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F5A77" w:rsidRDefault="005F5A77" w:rsidP="005F5A77"/>
    <w:p w:rsidR="005F5A77" w:rsidRDefault="005F5A77" w:rsidP="005F5A77"/>
    <w:p w:rsidR="005F5A77" w:rsidRDefault="005F5A77" w:rsidP="005F5A77"/>
    <w:p w:rsidR="005F5A77" w:rsidRDefault="005F5A77" w:rsidP="005F5A77"/>
    <w:p w:rsidR="005F5A77" w:rsidRDefault="005F5A77" w:rsidP="005F5A77"/>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r w:rsidRPr="00830090">
        <w:rPr>
          <w:rFonts w:ascii="Times New Roman" w:hAnsi="Times New Roman" w:cs="Times New Roman"/>
          <w:b/>
          <w:sz w:val="36"/>
          <w:szCs w:val="36"/>
        </w:rPr>
        <w:t>El adiós europeo al Estado del Bienestar: la “sociedad participativa”, el “gasto soci</w:t>
      </w:r>
      <w:r>
        <w:rPr>
          <w:rFonts w:ascii="Times New Roman" w:hAnsi="Times New Roman" w:cs="Times New Roman"/>
          <w:b/>
          <w:sz w:val="36"/>
          <w:szCs w:val="36"/>
        </w:rPr>
        <w:t>al privado”, la “gran sociedad”,</w:t>
      </w:r>
      <w:r w:rsidRPr="00830090">
        <w:rPr>
          <w:rFonts w:ascii="Times New Roman" w:hAnsi="Times New Roman" w:cs="Times New Roman"/>
          <w:b/>
          <w:sz w:val="36"/>
          <w:szCs w:val="36"/>
        </w:rPr>
        <w:t xml:space="preserve"> y demás experimentos de laboratorio (¿otra vez el triunfo de la ideología sobre la razón?) </w:t>
      </w: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r>
        <w:rPr>
          <w:rFonts w:ascii="Times New Roman" w:hAnsi="Times New Roman" w:cs="Times New Roman"/>
          <w:b/>
          <w:sz w:val="36"/>
          <w:szCs w:val="36"/>
        </w:rPr>
        <w:tab/>
      </w:r>
      <w:r>
        <w:rPr>
          <w:rFonts w:ascii="Times New Roman" w:hAnsi="Times New Roman" w:cs="Times New Roman"/>
          <w:b/>
          <w:sz w:val="36"/>
          <w:szCs w:val="36"/>
        </w:rPr>
        <w:tab/>
      </w:r>
      <w:r>
        <w:rPr>
          <w:rFonts w:ascii="Times New Roman" w:hAnsi="Times New Roman" w:cs="Times New Roman"/>
          <w:b/>
          <w:sz w:val="36"/>
          <w:szCs w:val="36"/>
        </w:rPr>
        <w:tab/>
      </w:r>
      <w:r>
        <w:rPr>
          <w:rFonts w:ascii="Times New Roman" w:hAnsi="Times New Roman" w:cs="Times New Roman"/>
          <w:b/>
          <w:sz w:val="36"/>
          <w:szCs w:val="36"/>
        </w:rPr>
        <w:tab/>
      </w:r>
      <w:r>
        <w:rPr>
          <w:rFonts w:ascii="Times New Roman" w:hAnsi="Times New Roman" w:cs="Times New Roman"/>
          <w:b/>
          <w:sz w:val="36"/>
          <w:szCs w:val="36"/>
        </w:rPr>
        <w:tab/>
      </w:r>
      <w:r>
        <w:rPr>
          <w:rFonts w:ascii="Times New Roman" w:hAnsi="Times New Roman" w:cs="Times New Roman"/>
          <w:b/>
          <w:sz w:val="36"/>
          <w:szCs w:val="36"/>
        </w:rPr>
        <w:tab/>
      </w: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36"/>
          <w:szCs w:val="36"/>
        </w:rPr>
      </w:pP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t>Dedicatoria: A</w:t>
      </w:r>
      <w:r w:rsidR="00FE14BF">
        <w:rPr>
          <w:rFonts w:ascii="Times New Roman" w:hAnsi="Times New Roman" w:cs="Times New Roman"/>
          <w:b/>
          <w:sz w:val="28"/>
          <w:szCs w:val="28"/>
        </w:rPr>
        <w:t xml:space="preserve"> Daniel,</w:t>
      </w:r>
      <w:bookmarkStart w:id="0" w:name="_GoBack"/>
      <w:bookmarkEnd w:id="0"/>
      <w:r>
        <w:rPr>
          <w:rFonts w:ascii="Times New Roman" w:hAnsi="Times New Roman" w:cs="Times New Roman"/>
          <w:b/>
          <w:sz w:val="28"/>
          <w:szCs w:val="28"/>
        </w:rPr>
        <w:t xml:space="preserve"> mi cuarto nieto</w:t>
      </w: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t>- para qu</w:t>
      </w:r>
      <w:r w:rsidR="00126823">
        <w:rPr>
          <w:rFonts w:ascii="Times New Roman" w:hAnsi="Times New Roman" w:cs="Times New Roman"/>
          <w:b/>
          <w:sz w:val="28"/>
          <w:szCs w:val="28"/>
        </w:rPr>
        <w:t>e algún día pueda investigar la</w:t>
      </w:r>
      <w:r>
        <w:rPr>
          <w:rFonts w:ascii="Times New Roman" w:hAnsi="Times New Roman" w:cs="Times New Roman"/>
          <w:b/>
          <w:sz w:val="28"/>
          <w:szCs w:val="28"/>
        </w:rPr>
        <w:t xml:space="preserve"> “sin</w:t>
      </w:r>
      <w:r w:rsidR="00126823">
        <w:rPr>
          <w:rFonts w:ascii="Times New Roman" w:hAnsi="Times New Roman" w:cs="Times New Roman"/>
          <w:b/>
          <w:sz w:val="28"/>
          <w:szCs w:val="28"/>
        </w:rPr>
        <w:t>razón</w:t>
      </w:r>
      <w:r>
        <w:rPr>
          <w:rFonts w:ascii="Times New Roman" w:hAnsi="Times New Roman" w:cs="Times New Roman"/>
          <w:b/>
          <w:sz w:val="28"/>
          <w:szCs w:val="28"/>
        </w:rPr>
        <w:t>” del bienestar social europeo perdido</w:t>
      </w: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t>- para que algún día pueda intentar entender (espero que no perdonar) cómo la crisis de los mercados financieros se convirtió en un “tsunami” social que arrasó con todo</w:t>
      </w: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t>- para que algún día pueda comprender (espero que no perdonar) por qué sus padres tendrán que educarlo para un mundo de escasez, cuando ellos, anteriormente, fueron educados para un mundo de abundancia</w:t>
      </w: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t>- finalmente, para que pueda constatar que su abuelo (millonario en derrotas), al menos, no fe cómplice del proceso de amnesia voluntaria, que facilitó la nueva edad oscura de Europa (una eutanasia pasiva, que hundió en la miseria y desesperanza a millones de personas de varias generaciones)</w:t>
      </w: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 xml:space="preserve">                                          Ricardo Lomoro</w:t>
      </w: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r>
      <w:r>
        <w:rPr>
          <w:rFonts w:ascii="Times New Roman" w:hAnsi="Times New Roman" w:cs="Times New Roman"/>
          <w:b/>
          <w:sz w:val="28"/>
          <w:szCs w:val="28"/>
        </w:rPr>
        <w:tab/>
        <w:t xml:space="preserve"> Septiembre 2014</w:t>
      </w:r>
    </w:p>
    <w:p w:rsidR="005F5A77" w:rsidRDefault="005F5A77" w:rsidP="005F5A77">
      <w:pPr>
        <w:jc w:val="both"/>
        <w:rPr>
          <w:rFonts w:ascii="Times New Roman" w:hAnsi="Times New Roman" w:cs="Times New Roman"/>
          <w:b/>
          <w:sz w:val="28"/>
          <w:szCs w:val="28"/>
        </w:rPr>
      </w:pPr>
    </w:p>
    <w:p w:rsidR="005F5A77" w:rsidRDefault="005F5A77" w:rsidP="005F5A77">
      <w:pPr>
        <w:jc w:val="both"/>
        <w:rPr>
          <w:rFonts w:ascii="Times New Roman" w:hAnsi="Times New Roman" w:cs="Times New Roman"/>
          <w:b/>
          <w:sz w:val="28"/>
          <w:szCs w:val="28"/>
        </w:rPr>
      </w:pP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lastRenderedPageBreak/>
        <w:t>Temario</w:t>
      </w: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t>Parte I</w:t>
      </w:r>
    </w:p>
    <w:p w:rsidR="005F5A77" w:rsidRDefault="005F5A77" w:rsidP="005F5A77">
      <w:pPr>
        <w:jc w:val="both"/>
        <w:rPr>
          <w:rFonts w:ascii="Times New Roman" w:hAnsi="Times New Roman" w:cs="Times New Roman"/>
          <w:b/>
          <w:sz w:val="24"/>
          <w:szCs w:val="24"/>
        </w:rPr>
      </w:pPr>
      <w:r w:rsidRPr="008A0E88">
        <w:rPr>
          <w:rFonts w:ascii="Times New Roman" w:hAnsi="Times New Roman" w:cs="Times New Roman"/>
          <w:b/>
          <w:sz w:val="24"/>
          <w:szCs w:val="24"/>
        </w:rPr>
        <w:t>1</w:t>
      </w:r>
      <w:r>
        <w:rPr>
          <w:rFonts w:ascii="Times New Roman" w:hAnsi="Times New Roman" w:cs="Times New Roman"/>
          <w:b/>
          <w:sz w:val="24"/>
          <w:szCs w:val="24"/>
        </w:rPr>
        <w:t xml:space="preserve"> -  Introducción: la economía del cinismo</w:t>
      </w:r>
    </w:p>
    <w:p w:rsidR="005F5A77" w:rsidRPr="008634CC" w:rsidRDefault="005F5A77" w:rsidP="005F5A77">
      <w:pPr>
        <w:jc w:val="both"/>
        <w:rPr>
          <w:rFonts w:ascii="Times New Roman" w:hAnsi="Times New Roman" w:cs="Times New Roman"/>
          <w:b/>
          <w:sz w:val="24"/>
          <w:szCs w:val="24"/>
        </w:rPr>
      </w:pPr>
      <w:r w:rsidRPr="008634CC">
        <w:rPr>
          <w:rFonts w:ascii="Times New Roman" w:hAnsi="Times New Roman" w:cs="Times New Roman"/>
          <w:b/>
          <w:sz w:val="24"/>
          <w:szCs w:val="24"/>
        </w:rPr>
        <w:t xml:space="preserve">- La victoria del capital sobre el trabajo, de la economía financiera sobre la real </w:t>
      </w:r>
    </w:p>
    <w:p w:rsidR="005F5A77" w:rsidRDefault="005F5A77" w:rsidP="005F5A77">
      <w:pPr>
        <w:jc w:val="both"/>
        <w:rPr>
          <w:rFonts w:ascii="Times New Roman" w:hAnsi="Times New Roman" w:cs="Times New Roman"/>
          <w:b/>
          <w:sz w:val="24"/>
          <w:szCs w:val="24"/>
        </w:rPr>
      </w:pPr>
      <w:r w:rsidRPr="008634CC">
        <w:rPr>
          <w:rFonts w:ascii="Times New Roman" w:hAnsi="Times New Roman"/>
          <w:b/>
          <w:sz w:val="24"/>
          <w:szCs w:val="24"/>
        </w:rPr>
        <w:t>-</w:t>
      </w:r>
      <w:r w:rsidRPr="008634CC">
        <w:rPr>
          <w:rFonts w:ascii="Times New Roman" w:hAnsi="Times New Roman"/>
          <w:sz w:val="24"/>
          <w:szCs w:val="24"/>
        </w:rPr>
        <w:t xml:space="preserve"> </w:t>
      </w:r>
      <w:r w:rsidRPr="008634CC">
        <w:rPr>
          <w:rFonts w:ascii="Times New Roman" w:hAnsi="Times New Roman" w:cs="Times New Roman"/>
          <w:b/>
          <w:sz w:val="24"/>
          <w:szCs w:val="24"/>
        </w:rPr>
        <w:t xml:space="preserve">Del “conservadurismo compasivo” del Imperator George W. Bush, a la “sociedad participativa” del Koning Willem Alexander I </w:t>
      </w:r>
    </w:p>
    <w:p w:rsidR="005F5A77" w:rsidRPr="009A0A8D" w:rsidRDefault="005F5A77" w:rsidP="005F5A77">
      <w:pPr>
        <w:jc w:val="both"/>
        <w:rPr>
          <w:rFonts w:ascii="Times New Roman" w:hAnsi="Times New Roman" w:cs="Times New Roman"/>
          <w:b/>
          <w:sz w:val="24"/>
          <w:szCs w:val="24"/>
        </w:rPr>
      </w:pPr>
      <w:r w:rsidRPr="009A0A8D">
        <w:rPr>
          <w:rFonts w:ascii="Times New Roman" w:hAnsi="Times New Roman" w:cs="Times New Roman"/>
          <w:b/>
          <w:sz w:val="24"/>
          <w:szCs w:val="24"/>
        </w:rPr>
        <w:t>- Análisis de un nuevo enfoque (el fin de la “maquinita de la felicidad”)</w:t>
      </w:r>
    </w:p>
    <w:p w:rsidR="005F5A77" w:rsidRPr="00683E51" w:rsidRDefault="005F5A77" w:rsidP="005F5A77">
      <w:pPr>
        <w:pStyle w:val="NormalWeb"/>
        <w:jc w:val="both"/>
        <w:rPr>
          <w:b/>
        </w:rPr>
      </w:pPr>
      <w:r>
        <w:rPr>
          <w:b/>
        </w:rPr>
        <w:t xml:space="preserve">- </w:t>
      </w:r>
      <w:r w:rsidRPr="00683E51">
        <w:rPr>
          <w:b/>
        </w:rPr>
        <w:t xml:space="preserve">Reinventando el Estado del Bienestar </w:t>
      </w:r>
    </w:p>
    <w:p w:rsidR="005F5A77" w:rsidRDefault="005F5A77" w:rsidP="005F5A77">
      <w:pPr>
        <w:jc w:val="both"/>
        <w:rPr>
          <w:rFonts w:ascii="Times New Roman" w:hAnsi="Times New Roman" w:cs="Times New Roman"/>
          <w:b/>
          <w:sz w:val="24"/>
          <w:szCs w:val="24"/>
        </w:rPr>
      </w:pPr>
      <w:r w:rsidRPr="004108D7">
        <w:rPr>
          <w:rFonts w:ascii="Times New Roman" w:hAnsi="Times New Roman" w:cs="Times New Roman"/>
          <w:b/>
          <w:sz w:val="24"/>
          <w:szCs w:val="24"/>
        </w:rPr>
        <w:t>-</w:t>
      </w:r>
      <w:r>
        <w:rPr>
          <w:rFonts w:ascii="Times New Roman" w:hAnsi="Times New Roman" w:cs="Times New Roman"/>
          <w:sz w:val="24"/>
          <w:szCs w:val="24"/>
        </w:rPr>
        <w:t xml:space="preserve"> </w:t>
      </w:r>
      <w:r w:rsidRPr="001E45DA">
        <w:rPr>
          <w:rFonts w:ascii="Times New Roman" w:hAnsi="Times New Roman" w:cs="Times New Roman"/>
          <w:b/>
          <w:sz w:val="24"/>
          <w:szCs w:val="24"/>
        </w:rPr>
        <w:t xml:space="preserve">La </w:t>
      </w:r>
      <w:r>
        <w:rPr>
          <w:rFonts w:ascii="Times New Roman" w:hAnsi="Times New Roman" w:cs="Times New Roman"/>
          <w:b/>
          <w:sz w:val="24"/>
          <w:szCs w:val="24"/>
        </w:rPr>
        <w:t>‘</w:t>
      </w:r>
      <w:r w:rsidRPr="001E45DA">
        <w:rPr>
          <w:rFonts w:ascii="Times New Roman" w:hAnsi="Times New Roman" w:cs="Times New Roman"/>
          <w:b/>
          <w:sz w:val="24"/>
          <w:szCs w:val="24"/>
        </w:rPr>
        <w:t>acción</w:t>
      </w:r>
      <w:r>
        <w:rPr>
          <w:rFonts w:ascii="Times New Roman" w:hAnsi="Times New Roman" w:cs="Times New Roman"/>
          <w:b/>
          <w:sz w:val="24"/>
          <w:szCs w:val="24"/>
        </w:rPr>
        <w:t>’</w:t>
      </w:r>
      <w:r w:rsidRPr="001E45DA">
        <w:rPr>
          <w:rFonts w:ascii="Times New Roman" w:hAnsi="Times New Roman" w:cs="Times New Roman"/>
          <w:b/>
          <w:sz w:val="24"/>
          <w:szCs w:val="24"/>
        </w:rPr>
        <w:t xml:space="preserve"> de los políticos</w:t>
      </w:r>
      <w:r>
        <w:rPr>
          <w:rFonts w:ascii="Times New Roman" w:hAnsi="Times New Roman" w:cs="Times New Roman"/>
          <w:b/>
          <w:sz w:val="24"/>
          <w:szCs w:val="24"/>
        </w:rPr>
        <w:t>: apretarse el cinturón (ajeno) para salir de la crisis</w:t>
      </w:r>
    </w:p>
    <w:p w:rsidR="005F5A77" w:rsidRPr="007D1C98" w:rsidRDefault="005F5A77" w:rsidP="005F5A77">
      <w:pPr>
        <w:pStyle w:val="NormalWeb"/>
        <w:jc w:val="both"/>
        <w:rPr>
          <w:b/>
        </w:rPr>
      </w:pPr>
      <w:r>
        <w:rPr>
          <w:b/>
        </w:rPr>
        <w:t>- El eclipse de la razón (</w:t>
      </w:r>
      <w:r w:rsidRPr="007D1C98">
        <w:rPr>
          <w:b/>
        </w:rPr>
        <w:t>…y la ignorancia obstinada es ideología)</w:t>
      </w:r>
    </w:p>
    <w:p w:rsidR="005F5A77" w:rsidRDefault="005F5A77" w:rsidP="005F5A77">
      <w:pPr>
        <w:pStyle w:val="NormalWeb"/>
        <w:jc w:val="both"/>
        <w:rPr>
          <w:b/>
        </w:rPr>
      </w:pPr>
      <w:r>
        <w:rPr>
          <w:b/>
        </w:rPr>
        <w:t>2 - La mala educación</w:t>
      </w:r>
    </w:p>
    <w:p w:rsidR="005F5A77" w:rsidRDefault="005F5A77" w:rsidP="005F5A77">
      <w:pPr>
        <w:pStyle w:val="NormalWeb"/>
        <w:shd w:val="clear" w:color="auto" w:fill="FFFFFF"/>
        <w:jc w:val="both"/>
        <w:rPr>
          <w:b/>
          <w:bCs/>
          <w:kern w:val="36"/>
        </w:rPr>
      </w:pPr>
      <w:r>
        <w:rPr>
          <w:b/>
          <w:bCs/>
          <w:kern w:val="36"/>
        </w:rPr>
        <w:t xml:space="preserve">- </w:t>
      </w:r>
      <w:r w:rsidRPr="00C26470">
        <w:rPr>
          <w:b/>
          <w:bCs/>
          <w:kern w:val="36"/>
        </w:rPr>
        <w:t>Un recorrido</w:t>
      </w:r>
      <w:r>
        <w:rPr>
          <w:b/>
          <w:bCs/>
          <w:kern w:val="36"/>
        </w:rPr>
        <w:t xml:space="preserve"> de cabotaje, por la hemeroteca (2011 - 2013)</w:t>
      </w:r>
    </w:p>
    <w:p w:rsidR="005F5A77" w:rsidRDefault="005F5A77" w:rsidP="005F5A77">
      <w:pPr>
        <w:spacing w:line="240" w:lineRule="auto"/>
        <w:jc w:val="both"/>
        <w:rPr>
          <w:rFonts w:ascii="Times New Roman" w:hAnsi="Times New Roman" w:cs="Times New Roman"/>
          <w:b/>
          <w:bCs/>
          <w:sz w:val="24"/>
          <w:szCs w:val="24"/>
        </w:rPr>
      </w:pPr>
      <w:r>
        <w:rPr>
          <w:rFonts w:ascii="Times New Roman" w:hAnsi="Times New Roman" w:cs="Times New Roman"/>
          <w:b/>
          <w:bCs/>
          <w:sz w:val="24"/>
          <w:szCs w:val="24"/>
        </w:rPr>
        <w:t>- Informe especial (I) - El caso español: cuando los maestros son “analfabetos funcionales”… ¿qué futuro le espera a la educación?</w:t>
      </w:r>
    </w:p>
    <w:p w:rsidR="005F5A77" w:rsidRDefault="005F5A77" w:rsidP="005F5A77">
      <w:pPr>
        <w:pStyle w:val="NormalWeb"/>
        <w:jc w:val="both"/>
        <w:rPr>
          <w:rStyle w:val="nfasis"/>
          <w:rFonts w:eastAsiaTheme="majorEastAsia"/>
          <w:color w:val="FF0000"/>
        </w:rPr>
      </w:pPr>
      <w:r>
        <w:rPr>
          <w:b/>
          <w:bCs/>
        </w:rPr>
        <w:t>- Informe especial (II) - El retorno de los “burros” (pobres alumnos, pobre España)</w:t>
      </w:r>
      <w:r w:rsidRPr="00F77839">
        <w:rPr>
          <w:rStyle w:val="nfasis"/>
          <w:rFonts w:eastAsiaTheme="majorEastAsia"/>
          <w:color w:val="FF0000"/>
        </w:rPr>
        <w:t xml:space="preserve"> </w:t>
      </w:r>
    </w:p>
    <w:p w:rsidR="005F5A77" w:rsidRDefault="005F5A77" w:rsidP="005F5A77">
      <w:pPr>
        <w:pStyle w:val="NormalWeb"/>
        <w:jc w:val="both"/>
        <w:rPr>
          <w:b/>
        </w:rPr>
      </w:pPr>
      <w:r>
        <w:rPr>
          <w:b/>
        </w:rPr>
        <w:t>3 - Enfermos de esperar</w:t>
      </w:r>
    </w:p>
    <w:p w:rsidR="005F5A77" w:rsidRDefault="005F5A77" w:rsidP="005F5A77">
      <w:pPr>
        <w:spacing w:before="100" w:beforeAutospacing="1" w:after="100" w:afterAutospacing="1" w:line="240" w:lineRule="auto"/>
        <w:jc w:val="both"/>
        <w:rPr>
          <w:rFonts w:ascii="Times New Roman" w:hAnsi="Times New Roman" w:cs="Times New Roman"/>
          <w:b/>
          <w:bCs/>
          <w:kern w:val="36"/>
          <w:sz w:val="24"/>
          <w:szCs w:val="24"/>
        </w:rPr>
      </w:pPr>
      <w:r>
        <w:rPr>
          <w:rFonts w:ascii="Times New Roman" w:hAnsi="Times New Roman" w:cs="Times New Roman"/>
          <w:b/>
          <w:bCs/>
          <w:kern w:val="36"/>
          <w:sz w:val="24"/>
          <w:szCs w:val="24"/>
        </w:rPr>
        <w:t xml:space="preserve">- </w:t>
      </w:r>
      <w:r w:rsidRPr="00134786">
        <w:rPr>
          <w:rFonts w:ascii="Times New Roman" w:hAnsi="Times New Roman" w:cs="Times New Roman"/>
          <w:b/>
          <w:bCs/>
          <w:kern w:val="36"/>
          <w:sz w:val="24"/>
          <w:szCs w:val="24"/>
        </w:rPr>
        <w:t>Un recorrido de cabotaje, por la hemeroteca (2011 - 2013)</w:t>
      </w:r>
    </w:p>
    <w:p w:rsidR="005F5A77" w:rsidRPr="008634CC" w:rsidRDefault="005F5A77" w:rsidP="005F5A77">
      <w:pPr>
        <w:spacing w:after="0"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Informe especial</w:t>
      </w:r>
      <w:r w:rsidRPr="005668D9">
        <w:rPr>
          <w:rFonts w:ascii="Times New Roman" w:eastAsia="Times New Roman" w:hAnsi="Times New Roman"/>
          <w:b/>
          <w:sz w:val="24"/>
          <w:szCs w:val="24"/>
          <w:lang w:eastAsia="es-ES"/>
        </w:rPr>
        <w:t xml:space="preserve"> - La sanidad española a debate: el sistema de salud público amenaza con volverse una losa difícil de soportar para los contribuyentes a no ser que se emprendan reformas</w:t>
      </w:r>
    </w:p>
    <w:p w:rsidR="005F5A77" w:rsidRDefault="005F5A77" w:rsidP="005F5A77">
      <w:pPr>
        <w:pStyle w:val="NormalWeb"/>
        <w:jc w:val="both"/>
        <w:rPr>
          <w:b/>
        </w:rPr>
      </w:pPr>
      <w:r>
        <w:rPr>
          <w:b/>
        </w:rPr>
        <w:t>4 - Pensiones: un pasado sin futuro (anticipando el adiós)</w:t>
      </w:r>
    </w:p>
    <w:p w:rsidR="005F5A77" w:rsidRDefault="005F5A77" w:rsidP="005F5A77">
      <w:pPr>
        <w:jc w:val="both"/>
        <w:rPr>
          <w:rFonts w:ascii="Times New Roman" w:eastAsia="Times New Roman" w:hAnsi="Times New Roman"/>
          <w:b/>
          <w:bCs/>
          <w:kern w:val="36"/>
          <w:sz w:val="24"/>
          <w:szCs w:val="24"/>
          <w:lang w:eastAsia="es-ES"/>
        </w:rPr>
      </w:pPr>
      <w:r>
        <w:rPr>
          <w:rFonts w:ascii="Times New Roman" w:eastAsia="Times New Roman" w:hAnsi="Times New Roman"/>
          <w:b/>
          <w:bCs/>
          <w:kern w:val="36"/>
          <w:sz w:val="24"/>
          <w:szCs w:val="24"/>
          <w:lang w:eastAsia="es-ES"/>
        </w:rPr>
        <w:t xml:space="preserve">- </w:t>
      </w:r>
      <w:r w:rsidRPr="00C26470">
        <w:rPr>
          <w:rFonts w:ascii="Times New Roman" w:eastAsia="Times New Roman" w:hAnsi="Times New Roman"/>
          <w:b/>
          <w:bCs/>
          <w:kern w:val="36"/>
          <w:sz w:val="24"/>
          <w:szCs w:val="24"/>
          <w:lang w:eastAsia="es-ES"/>
        </w:rPr>
        <w:t>Un recorrido</w:t>
      </w:r>
      <w:r>
        <w:rPr>
          <w:rFonts w:ascii="Times New Roman" w:eastAsia="Times New Roman" w:hAnsi="Times New Roman"/>
          <w:b/>
          <w:bCs/>
          <w:kern w:val="36"/>
          <w:sz w:val="24"/>
          <w:szCs w:val="24"/>
          <w:lang w:eastAsia="es-ES"/>
        </w:rPr>
        <w:t xml:space="preserve"> de cabotaje, por la hemeroteca (2011 - 2013)</w:t>
      </w:r>
    </w:p>
    <w:p w:rsidR="005F5A77" w:rsidRPr="00DD6955" w:rsidRDefault="005F5A77" w:rsidP="005F5A77">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 Informe especial</w:t>
      </w:r>
      <w:r w:rsidRPr="00DD6955">
        <w:rPr>
          <w:rFonts w:ascii="Times New Roman" w:eastAsia="Times New Roman" w:hAnsi="Times New Roman"/>
          <w:b/>
          <w:sz w:val="24"/>
          <w:szCs w:val="24"/>
          <w:lang w:eastAsia="es-ES"/>
        </w:rPr>
        <w:t xml:space="preserve"> - El caso español</w:t>
      </w:r>
      <w:r>
        <w:rPr>
          <w:rFonts w:ascii="Times New Roman" w:eastAsia="Times New Roman" w:hAnsi="Times New Roman"/>
          <w:b/>
          <w:sz w:val="24"/>
          <w:szCs w:val="24"/>
          <w:lang w:eastAsia="es-ES"/>
        </w:rPr>
        <w:t xml:space="preserve">: la “solución final” para lograr la “sostenibilidad” del sistema público de pensiones, “hay que matar a los viejos” (además se ahorra en sanidad). Dos beneficios fiscales por el precio de uno (si total, se iban a morir igual)  </w:t>
      </w:r>
    </w:p>
    <w:p w:rsidR="005F5A77" w:rsidRPr="009323EE" w:rsidRDefault="005F5A77" w:rsidP="005F5A77">
      <w:pPr>
        <w:jc w:val="both"/>
        <w:rPr>
          <w:rFonts w:ascii="Times New Roman" w:hAnsi="Times New Roman"/>
          <w:b/>
          <w:sz w:val="24"/>
          <w:szCs w:val="24"/>
        </w:rPr>
      </w:pPr>
    </w:p>
    <w:p w:rsidR="005F5A77" w:rsidRPr="009A4812" w:rsidRDefault="005F5A77" w:rsidP="005F5A77">
      <w:pPr>
        <w:pStyle w:val="NormalWeb"/>
        <w:jc w:val="both"/>
      </w:pPr>
    </w:p>
    <w:p w:rsidR="005F5A77" w:rsidRDefault="005F5A77" w:rsidP="005F5A77">
      <w:pPr>
        <w:jc w:val="both"/>
        <w:rPr>
          <w:rFonts w:ascii="Times New Roman" w:hAnsi="Times New Roman" w:cs="Times New Roman"/>
          <w:b/>
          <w:sz w:val="28"/>
          <w:szCs w:val="28"/>
        </w:rPr>
      </w:pPr>
      <w:r>
        <w:rPr>
          <w:rFonts w:ascii="Times New Roman" w:hAnsi="Times New Roman" w:cs="Times New Roman"/>
          <w:b/>
          <w:sz w:val="28"/>
          <w:szCs w:val="28"/>
        </w:rPr>
        <w:lastRenderedPageBreak/>
        <w:t>Parte II</w:t>
      </w:r>
    </w:p>
    <w:p w:rsidR="005F5A77" w:rsidRDefault="005F5A77" w:rsidP="005F5A77">
      <w:pPr>
        <w:spacing w:line="240" w:lineRule="auto"/>
        <w:rPr>
          <w:rFonts w:ascii="Times New Roman" w:hAnsi="Times New Roman" w:cs="Times New Roman"/>
          <w:b/>
          <w:sz w:val="24"/>
          <w:szCs w:val="24"/>
        </w:rPr>
      </w:pPr>
      <w:r>
        <w:rPr>
          <w:rFonts w:ascii="Times New Roman" w:hAnsi="Times New Roman" w:cs="Times New Roman"/>
          <w:b/>
          <w:sz w:val="24"/>
          <w:szCs w:val="24"/>
        </w:rPr>
        <w:t>“Del baúl de los recuerdos”: base de datos (antes que nos borren la memoria)</w:t>
      </w:r>
    </w:p>
    <w:p w:rsidR="005F5A77" w:rsidRDefault="005F5A77" w:rsidP="005F5A77">
      <w:pPr>
        <w:spacing w:line="240" w:lineRule="auto"/>
        <w:rPr>
          <w:rFonts w:ascii="Times New Roman" w:hAnsi="Times New Roman" w:cs="Times New Roman"/>
          <w:b/>
          <w:sz w:val="24"/>
          <w:szCs w:val="24"/>
        </w:rPr>
      </w:pPr>
      <w:r>
        <w:rPr>
          <w:rFonts w:ascii="Times New Roman" w:hAnsi="Times New Roman" w:cs="Times New Roman"/>
          <w:b/>
          <w:sz w:val="24"/>
          <w:szCs w:val="24"/>
        </w:rPr>
        <w:t>Anexo I: Las causas (la calle del adiós)</w:t>
      </w:r>
    </w:p>
    <w:p w:rsidR="005F5A77" w:rsidRDefault="005F5A77" w:rsidP="005F5A77">
      <w:pPr>
        <w:spacing w:line="240" w:lineRule="auto"/>
        <w:rPr>
          <w:rFonts w:ascii="Times New Roman" w:hAnsi="Times New Roman" w:cs="Times New Roman"/>
          <w:b/>
          <w:sz w:val="24"/>
          <w:szCs w:val="24"/>
        </w:rPr>
      </w:pPr>
      <w:r>
        <w:rPr>
          <w:rFonts w:ascii="Times New Roman" w:hAnsi="Times New Roman" w:cs="Times New Roman"/>
          <w:b/>
          <w:sz w:val="24"/>
          <w:szCs w:val="24"/>
        </w:rPr>
        <w:t xml:space="preserve">- Déficits públicos </w:t>
      </w:r>
      <w:r w:rsidRPr="008606E4">
        <w:rPr>
          <w:rFonts w:ascii="Times New Roman" w:hAnsi="Times New Roman" w:cs="Times New Roman"/>
          <w:b/>
          <w:sz w:val="24"/>
          <w:szCs w:val="24"/>
        </w:rPr>
        <w:t>(austeras ilusiones)</w:t>
      </w:r>
    </w:p>
    <w:p w:rsidR="005F5A77" w:rsidRDefault="005F5A77" w:rsidP="005F5A77">
      <w:pPr>
        <w:pStyle w:val="NormalWeb"/>
        <w:jc w:val="both"/>
        <w:rPr>
          <w:b/>
        </w:rPr>
      </w:pPr>
      <w:r>
        <w:rPr>
          <w:b/>
        </w:rPr>
        <w:t>- Deuda pública (el gran agujero negro)</w:t>
      </w:r>
      <w:r w:rsidRPr="00CB7F35">
        <w:rPr>
          <w:b/>
        </w:rPr>
        <w:t xml:space="preserve"> </w:t>
      </w:r>
    </w:p>
    <w:p w:rsidR="005F5A77" w:rsidRDefault="005F5A77" w:rsidP="005F5A77">
      <w:pPr>
        <w:spacing w:line="240" w:lineRule="auto"/>
        <w:jc w:val="both"/>
        <w:rPr>
          <w:rFonts w:ascii="Times New Roman" w:hAnsi="Times New Roman"/>
          <w:b/>
          <w:sz w:val="24"/>
          <w:szCs w:val="24"/>
        </w:rPr>
      </w:pPr>
      <w:r>
        <w:rPr>
          <w:rFonts w:ascii="Times New Roman" w:hAnsi="Times New Roman"/>
          <w:b/>
          <w:sz w:val="24"/>
          <w:szCs w:val="24"/>
        </w:rPr>
        <w:t>Anexo II: Los causantes (esa gigantesca Casa de Apuestas)</w:t>
      </w:r>
    </w:p>
    <w:p w:rsidR="005F5A77" w:rsidRDefault="005F5A77" w:rsidP="005F5A77">
      <w:pPr>
        <w:spacing w:line="240" w:lineRule="auto"/>
        <w:jc w:val="both"/>
        <w:rPr>
          <w:rFonts w:ascii="Times New Roman" w:hAnsi="Times New Roman"/>
          <w:b/>
          <w:sz w:val="24"/>
          <w:szCs w:val="24"/>
        </w:rPr>
      </w:pPr>
      <w:r>
        <w:rPr>
          <w:rFonts w:ascii="Times New Roman" w:hAnsi="Times New Roman"/>
          <w:b/>
          <w:sz w:val="24"/>
          <w:szCs w:val="24"/>
        </w:rPr>
        <w:t xml:space="preserve">- </w:t>
      </w:r>
      <w:r w:rsidRPr="000370D6">
        <w:rPr>
          <w:rFonts w:ascii="Times New Roman" w:hAnsi="Times New Roman"/>
          <w:b/>
          <w:sz w:val="24"/>
          <w:szCs w:val="24"/>
        </w:rPr>
        <w:t>La encrucijada de los Bancos Centrales</w:t>
      </w:r>
      <w:r>
        <w:rPr>
          <w:rFonts w:ascii="Times New Roman" w:hAnsi="Times New Roman"/>
          <w:b/>
          <w:sz w:val="24"/>
          <w:szCs w:val="24"/>
        </w:rPr>
        <w:t xml:space="preserve"> (el QEternity)</w:t>
      </w:r>
      <w:r w:rsidRPr="000370D6">
        <w:rPr>
          <w:rFonts w:ascii="Times New Roman" w:hAnsi="Times New Roman"/>
          <w:b/>
          <w:sz w:val="24"/>
          <w:szCs w:val="24"/>
        </w:rPr>
        <w:t xml:space="preserve"> </w:t>
      </w:r>
    </w:p>
    <w:p w:rsidR="005F5A77" w:rsidRDefault="005F5A77" w:rsidP="005F5A77">
      <w:pPr>
        <w:pStyle w:val="NormalWeb"/>
        <w:jc w:val="both"/>
        <w:rPr>
          <w:b/>
        </w:rPr>
      </w:pPr>
      <w:r>
        <w:rPr>
          <w:b/>
        </w:rPr>
        <w:t>- La b</w:t>
      </w:r>
      <w:r w:rsidRPr="001F1A67">
        <w:rPr>
          <w:b/>
        </w:rPr>
        <w:t>anca &amp;</w:t>
      </w:r>
      <w:r>
        <w:rPr>
          <w:b/>
        </w:rPr>
        <w:t xml:space="preserve"> la b</w:t>
      </w:r>
      <w:r w:rsidRPr="001F1A67">
        <w:rPr>
          <w:b/>
        </w:rPr>
        <w:t xml:space="preserve">olsa </w:t>
      </w:r>
      <w:r>
        <w:rPr>
          <w:b/>
        </w:rPr>
        <w:t>(sálvese quien pueda</w:t>
      </w:r>
      <w:r w:rsidRPr="001F1A67">
        <w:rPr>
          <w:b/>
        </w:rPr>
        <w:t xml:space="preserve">) </w:t>
      </w:r>
    </w:p>
    <w:p w:rsidR="005F5A77" w:rsidRDefault="005F5A77" w:rsidP="005F5A77">
      <w:pPr>
        <w:shd w:val="clear" w:color="auto" w:fill="FFFFFF"/>
        <w:spacing w:before="60" w:after="180" w:line="240" w:lineRule="auto"/>
        <w:jc w:val="both"/>
        <w:rPr>
          <w:rFonts w:ascii="Times New Roman" w:hAnsi="Times New Roman" w:cs="Times New Roman"/>
          <w:b/>
          <w:color w:val="000000"/>
          <w:sz w:val="24"/>
          <w:szCs w:val="24"/>
        </w:rPr>
      </w:pPr>
      <w:r w:rsidRPr="00B036D0">
        <w:rPr>
          <w:rFonts w:ascii="Times New Roman" w:hAnsi="Times New Roman" w:cs="Times New Roman"/>
          <w:b/>
          <w:color w:val="000000"/>
          <w:sz w:val="24"/>
          <w:szCs w:val="24"/>
        </w:rPr>
        <w:t>Anexo III: Lo</w:t>
      </w:r>
      <w:r>
        <w:rPr>
          <w:rFonts w:ascii="Times New Roman" w:hAnsi="Times New Roman" w:cs="Times New Roman"/>
          <w:b/>
          <w:color w:val="000000"/>
          <w:sz w:val="24"/>
          <w:szCs w:val="24"/>
        </w:rPr>
        <w:t>s efectos (el largo proceso de devaluación interna</w:t>
      </w:r>
      <w:r w:rsidRPr="00B036D0">
        <w:rPr>
          <w:rFonts w:ascii="Times New Roman" w:hAnsi="Times New Roman" w:cs="Times New Roman"/>
          <w:b/>
          <w:color w:val="000000"/>
          <w:sz w:val="24"/>
          <w:szCs w:val="24"/>
        </w:rPr>
        <w:t>)</w:t>
      </w:r>
    </w:p>
    <w:p w:rsidR="005F5A77" w:rsidRDefault="005F5A77" w:rsidP="005F5A77">
      <w:pPr>
        <w:shd w:val="clear" w:color="auto" w:fill="FFFFFF"/>
        <w:spacing w:before="60" w:after="180" w:line="240" w:lineRule="auto"/>
        <w:jc w:val="both"/>
        <w:rPr>
          <w:rFonts w:ascii="Times New Roman" w:hAnsi="Times New Roman" w:cs="Times New Roman"/>
          <w:b/>
          <w:color w:val="000000"/>
          <w:sz w:val="24"/>
          <w:szCs w:val="24"/>
        </w:rPr>
      </w:pPr>
      <w:r>
        <w:rPr>
          <w:rFonts w:ascii="Times New Roman" w:hAnsi="Times New Roman" w:cs="Times New Roman"/>
          <w:b/>
          <w:color w:val="000000"/>
          <w:sz w:val="24"/>
          <w:szCs w:val="24"/>
        </w:rPr>
        <w:t xml:space="preserve">- </w:t>
      </w:r>
      <w:r w:rsidRPr="00B036D0">
        <w:rPr>
          <w:rFonts w:ascii="Times New Roman" w:hAnsi="Times New Roman" w:cs="Times New Roman"/>
          <w:b/>
          <w:color w:val="000000"/>
          <w:sz w:val="24"/>
          <w:szCs w:val="24"/>
        </w:rPr>
        <w:t>Empleo &amp; desempleo (la desigualdad osificada)</w:t>
      </w:r>
    </w:p>
    <w:p w:rsidR="005F5A77" w:rsidRDefault="005F5A77" w:rsidP="005F5A77">
      <w:pPr>
        <w:pStyle w:val="NormalWeb"/>
        <w:jc w:val="both"/>
        <w:rPr>
          <w:b/>
        </w:rPr>
      </w:pPr>
      <w:r>
        <w:t xml:space="preserve">- </w:t>
      </w:r>
      <w:r>
        <w:rPr>
          <w:b/>
        </w:rPr>
        <w:t>Las caras del dolor (los juegos del hambre)</w:t>
      </w:r>
    </w:p>
    <w:p w:rsidR="005F5A77" w:rsidRDefault="005F5A77" w:rsidP="005F5A77">
      <w:pPr>
        <w:pStyle w:val="NormalWeb"/>
        <w:jc w:val="both"/>
        <w:rPr>
          <w:b/>
        </w:rPr>
      </w:pPr>
      <w:r w:rsidRPr="00650C3D">
        <w:rPr>
          <w:b/>
        </w:rPr>
        <w:t>Anexo IV: El Bienestar del Estado (el derroche de los políticos)</w:t>
      </w:r>
    </w:p>
    <w:p w:rsidR="005F5A77" w:rsidRDefault="005F5A77" w:rsidP="005F5A77">
      <w:pPr>
        <w:pStyle w:val="NormalWeb"/>
        <w:jc w:val="both"/>
        <w:rPr>
          <w:b/>
        </w:rPr>
      </w:pPr>
      <w:r>
        <w:rPr>
          <w:b/>
        </w:rPr>
        <w:t xml:space="preserve">Anexo V: Spain is different (un esperpento donde la disfuncionalidad es el sistema) </w:t>
      </w:r>
    </w:p>
    <w:p w:rsidR="005F5A77" w:rsidRDefault="005F5A77" w:rsidP="005F5A77">
      <w:pPr>
        <w:pStyle w:val="NormalWeb"/>
        <w:jc w:val="both"/>
        <w:rPr>
          <w:b/>
        </w:rPr>
      </w:pPr>
    </w:p>
    <w:p w:rsidR="005F5A77" w:rsidRDefault="005F5A77" w:rsidP="005F5A77">
      <w:pPr>
        <w:spacing w:line="240" w:lineRule="auto"/>
        <w:jc w:val="both"/>
        <w:rPr>
          <w:rFonts w:ascii="Times New Roman" w:hAnsi="Times New Roman"/>
          <w:b/>
          <w:sz w:val="24"/>
          <w:szCs w:val="24"/>
        </w:rPr>
      </w:pPr>
      <w:r>
        <w:rPr>
          <w:rFonts w:ascii="Times New Roman" w:hAnsi="Times New Roman"/>
          <w:b/>
          <w:sz w:val="24"/>
          <w:szCs w:val="24"/>
        </w:rPr>
        <w:t>Nota (febrero 2014): El análisis económico debe servir para ayudar a otros a estar mejor informados. Es un planteo de escepticismo clásico que está alejado de cualquier posición conformista. Ese dilema existencial que todos los días enfrento al tener que asumir mi propia ignorancia de manera socrática para capacitarme cotidianamente y poder contar así la realidad.</w:t>
      </w:r>
    </w:p>
    <w:p w:rsidR="005F5A77" w:rsidRDefault="005F5A77" w:rsidP="005F5A77">
      <w:pPr>
        <w:jc w:val="both"/>
        <w:rPr>
          <w:rFonts w:ascii="Times New Roman" w:hAnsi="Times New Roman" w:cs="Times New Roman"/>
          <w:b/>
          <w:sz w:val="28"/>
          <w:szCs w:val="28"/>
        </w:rPr>
      </w:pPr>
    </w:p>
    <w:p w:rsidR="005F5A77" w:rsidRPr="00CC41A8" w:rsidRDefault="005F5A77" w:rsidP="005F5A77">
      <w:pPr>
        <w:jc w:val="both"/>
        <w:rPr>
          <w:rFonts w:ascii="Times New Roman" w:hAnsi="Times New Roman" w:cs="Times New Roman"/>
          <w:b/>
          <w:sz w:val="28"/>
          <w:szCs w:val="28"/>
        </w:rPr>
      </w:pPr>
    </w:p>
    <w:p w:rsidR="005F5A77" w:rsidRDefault="005F5A77" w:rsidP="005F5A77">
      <w:pPr>
        <w:spacing w:line="240" w:lineRule="auto"/>
        <w:jc w:val="both"/>
        <w:rPr>
          <w:rFonts w:ascii="Times New Roman" w:hAnsi="Times New Roman" w:cs="Times New Roman"/>
          <w:b/>
          <w:sz w:val="24"/>
          <w:szCs w:val="24"/>
        </w:rPr>
      </w:pPr>
      <w:r>
        <w:rPr>
          <w:sz w:val="36"/>
          <w:szCs w:val="36"/>
        </w:rPr>
        <w:tab/>
      </w:r>
      <w:r>
        <w:rPr>
          <w:sz w:val="36"/>
          <w:szCs w:val="36"/>
        </w:rPr>
        <w:tab/>
      </w:r>
      <w:r>
        <w:rPr>
          <w:sz w:val="36"/>
          <w:szCs w:val="36"/>
        </w:rPr>
        <w:tab/>
      </w:r>
    </w:p>
    <w:p w:rsidR="005F5A77" w:rsidRDefault="005F5A77" w:rsidP="00550638">
      <w:pPr>
        <w:spacing w:line="240" w:lineRule="auto"/>
        <w:jc w:val="both"/>
        <w:rPr>
          <w:rFonts w:ascii="Times New Roman" w:hAnsi="Times New Roman" w:cs="Times New Roman"/>
          <w:b/>
          <w:sz w:val="24"/>
          <w:szCs w:val="24"/>
        </w:rPr>
      </w:pPr>
    </w:p>
    <w:p w:rsidR="005F5A77" w:rsidRDefault="005F5A77" w:rsidP="00550638">
      <w:pPr>
        <w:spacing w:line="240" w:lineRule="auto"/>
        <w:jc w:val="both"/>
        <w:rPr>
          <w:rFonts w:ascii="Times New Roman" w:hAnsi="Times New Roman" w:cs="Times New Roman"/>
          <w:b/>
          <w:sz w:val="24"/>
          <w:szCs w:val="24"/>
        </w:rPr>
      </w:pPr>
    </w:p>
    <w:p w:rsidR="005F5A77" w:rsidRDefault="005F5A77" w:rsidP="00550638">
      <w:pPr>
        <w:spacing w:line="240" w:lineRule="auto"/>
        <w:jc w:val="both"/>
        <w:rPr>
          <w:rFonts w:ascii="Times New Roman" w:hAnsi="Times New Roman" w:cs="Times New Roman"/>
          <w:b/>
          <w:sz w:val="24"/>
          <w:szCs w:val="24"/>
        </w:rPr>
      </w:pPr>
    </w:p>
    <w:p w:rsidR="005F5A77" w:rsidRDefault="005F5A77" w:rsidP="00550638">
      <w:pPr>
        <w:spacing w:line="240" w:lineRule="auto"/>
        <w:jc w:val="both"/>
        <w:rPr>
          <w:rFonts w:ascii="Times New Roman" w:hAnsi="Times New Roman" w:cs="Times New Roman"/>
          <w:b/>
          <w:sz w:val="24"/>
          <w:szCs w:val="24"/>
        </w:rPr>
      </w:pPr>
    </w:p>
    <w:p w:rsidR="005F5A77" w:rsidRDefault="005F5A77" w:rsidP="00550638">
      <w:pPr>
        <w:spacing w:line="240" w:lineRule="auto"/>
        <w:jc w:val="both"/>
        <w:rPr>
          <w:rFonts w:ascii="Times New Roman" w:hAnsi="Times New Roman" w:cs="Times New Roman"/>
          <w:b/>
          <w:sz w:val="24"/>
          <w:szCs w:val="24"/>
        </w:rPr>
      </w:pPr>
    </w:p>
    <w:p w:rsidR="005F5A77" w:rsidRDefault="005F5A77" w:rsidP="00550638">
      <w:pPr>
        <w:spacing w:line="240" w:lineRule="auto"/>
        <w:jc w:val="both"/>
        <w:rPr>
          <w:rFonts w:ascii="Times New Roman" w:hAnsi="Times New Roman" w:cs="Times New Roman"/>
          <w:b/>
          <w:sz w:val="24"/>
          <w:szCs w:val="24"/>
        </w:rPr>
      </w:pPr>
    </w:p>
    <w:p w:rsidR="007A3A4C" w:rsidRDefault="00673728" w:rsidP="00550638">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Ensayo</w:t>
      </w:r>
      <w:r w:rsidR="00C81EFC">
        <w:rPr>
          <w:rFonts w:ascii="Times New Roman" w:hAnsi="Times New Roman" w:cs="Times New Roman"/>
          <w:b/>
          <w:sz w:val="24"/>
          <w:szCs w:val="24"/>
        </w:rPr>
        <w:t xml:space="preserve"> - El adiós europeo al Estado de</w:t>
      </w:r>
      <w:r w:rsidR="00607BB4">
        <w:rPr>
          <w:rFonts w:ascii="Times New Roman" w:hAnsi="Times New Roman" w:cs="Times New Roman"/>
          <w:b/>
          <w:sz w:val="24"/>
          <w:szCs w:val="24"/>
        </w:rPr>
        <w:t>l</w:t>
      </w:r>
      <w:r w:rsidR="00C81EFC">
        <w:rPr>
          <w:rFonts w:ascii="Times New Roman" w:hAnsi="Times New Roman" w:cs="Times New Roman"/>
          <w:b/>
          <w:sz w:val="24"/>
          <w:szCs w:val="24"/>
        </w:rPr>
        <w:t xml:space="preserve"> Bienestar: la “sociedad participativa”</w:t>
      </w:r>
      <w:r w:rsidR="00AA7240">
        <w:rPr>
          <w:rFonts w:ascii="Times New Roman" w:hAnsi="Times New Roman" w:cs="Times New Roman"/>
          <w:b/>
          <w:sz w:val="24"/>
          <w:szCs w:val="24"/>
        </w:rPr>
        <w:t>, el “gasto social privado”</w:t>
      </w:r>
      <w:r w:rsidR="00364D58">
        <w:rPr>
          <w:rFonts w:ascii="Times New Roman" w:hAnsi="Times New Roman" w:cs="Times New Roman"/>
          <w:b/>
          <w:sz w:val="24"/>
          <w:szCs w:val="24"/>
        </w:rPr>
        <w:t>, la “gran sociedad”,</w:t>
      </w:r>
      <w:r w:rsidR="00843AC1">
        <w:rPr>
          <w:rFonts w:ascii="Times New Roman" w:hAnsi="Times New Roman" w:cs="Times New Roman"/>
          <w:b/>
          <w:sz w:val="24"/>
          <w:szCs w:val="24"/>
        </w:rPr>
        <w:t xml:space="preserve"> y demás</w:t>
      </w:r>
      <w:r w:rsidR="00C81EFC">
        <w:rPr>
          <w:rFonts w:ascii="Times New Roman" w:hAnsi="Times New Roman" w:cs="Times New Roman"/>
          <w:b/>
          <w:sz w:val="24"/>
          <w:szCs w:val="24"/>
        </w:rPr>
        <w:t xml:space="preserve"> e</w:t>
      </w:r>
      <w:r w:rsidR="00843AC1">
        <w:rPr>
          <w:rFonts w:ascii="Times New Roman" w:hAnsi="Times New Roman" w:cs="Times New Roman"/>
          <w:b/>
          <w:sz w:val="24"/>
          <w:szCs w:val="24"/>
        </w:rPr>
        <w:t>xperimentos de laboratorio</w:t>
      </w:r>
      <w:r w:rsidR="00C81EFC">
        <w:rPr>
          <w:rFonts w:ascii="Times New Roman" w:hAnsi="Times New Roman" w:cs="Times New Roman"/>
          <w:b/>
          <w:sz w:val="24"/>
          <w:szCs w:val="24"/>
        </w:rPr>
        <w:t xml:space="preserve"> (¿otra vez el triunfo de la ideología sobre la razón?)</w:t>
      </w:r>
      <w:r w:rsidR="008A0E88">
        <w:rPr>
          <w:rFonts w:ascii="Times New Roman" w:hAnsi="Times New Roman" w:cs="Times New Roman"/>
          <w:b/>
          <w:sz w:val="24"/>
          <w:szCs w:val="24"/>
        </w:rPr>
        <w:t xml:space="preserve"> (Parte I)</w:t>
      </w:r>
    </w:p>
    <w:p w:rsidR="00C81EFC" w:rsidRDefault="00C81EFC" w:rsidP="00550638">
      <w:pPr>
        <w:spacing w:line="240" w:lineRule="auto"/>
        <w:jc w:val="both"/>
        <w:rPr>
          <w:rFonts w:ascii="Times New Roman" w:hAnsi="Times New Roman" w:cs="Times New Roman"/>
          <w:b/>
          <w:sz w:val="24"/>
          <w:szCs w:val="24"/>
        </w:rPr>
      </w:pPr>
      <w:r w:rsidRPr="008A0E88">
        <w:rPr>
          <w:rFonts w:ascii="Times New Roman" w:hAnsi="Times New Roman" w:cs="Times New Roman"/>
          <w:b/>
          <w:sz w:val="24"/>
          <w:szCs w:val="24"/>
        </w:rPr>
        <w:t>1</w:t>
      </w:r>
      <w:r>
        <w:rPr>
          <w:rFonts w:ascii="Times New Roman" w:hAnsi="Times New Roman" w:cs="Times New Roman"/>
          <w:b/>
          <w:sz w:val="24"/>
          <w:szCs w:val="24"/>
        </w:rPr>
        <w:t xml:space="preserve"> -  Introducción: la economía del cinismo</w:t>
      </w:r>
    </w:p>
    <w:p w:rsidR="001019C7" w:rsidRPr="00495DC9" w:rsidRDefault="001019C7" w:rsidP="00550638">
      <w:pPr>
        <w:spacing w:line="240" w:lineRule="auto"/>
        <w:jc w:val="both"/>
        <w:rPr>
          <w:rFonts w:ascii="Times New Roman" w:hAnsi="Times New Roman" w:cs="Times New Roman"/>
          <w:sz w:val="24"/>
          <w:szCs w:val="24"/>
        </w:rPr>
      </w:pPr>
      <w:r w:rsidRPr="001019C7">
        <w:rPr>
          <w:rFonts w:ascii="Times New Roman" w:hAnsi="Times New Roman" w:cs="Times New Roman"/>
          <w:i/>
          <w:sz w:val="24"/>
          <w:szCs w:val="24"/>
        </w:rPr>
        <w:t xml:space="preserve">“Tenemos suficiente para las necesidades de todos, pero no para la codicia de unos pocos”  </w:t>
      </w:r>
      <w:r w:rsidRPr="00495DC9">
        <w:rPr>
          <w:rFonts w:ascii="Times New Roman" w:hAnsi="Times New Roman" w:cs="Times New Roman"/>
          <w:sz w:val="24"/>
          <w:szCs w:val="24"/>
        </w:rPr>
        <w:t>Gandhi</w:t>
      </w:r>
    </w:p>
    <w:p w:rsidR="001019C7" w:rsidRPr="001019C7" w:rsidRDefault="0052271D"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t xml:space="preserve">      </w:t>
      </w:r>
      <w:r w:rsidR="001019C7">
        <w:rPr>
          <w:rFonts w:ascii="Arial" w:eastAsia="Times New Roman" w:hAnsi="Arial" w:cs="Arial"/>
          <w:noProof/>
          <w:color w:val="000000"/>
          <w:sz w:val="24"/>
          <w:szCs w:val="24"/>
          <w:lang w:eastAsia="es-ES"/>
        </w:rPr>
        <w:drawing>
          <wp:inline distT="0" distB="0" distL="0" distR="0" wp14:anchorId="6226DE66" wp14:editId="082ECBD2">
            <wp:extent cx="3364992" cy="3723437"/>
            <wp:effectExtent l="0" t="0" r="6985" b="0"/>
            <wp:docPr id="124" name="Imagen 124" descr="El grito, Edward Munch (189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descr="El grito, Edward Munch (1893) "/>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364816" cy="3723242"/>
                    </a:xfrm>
                    <a:prstGeom prst="rect">
                      <a:avLst/>
                    </a:prstGeom>
                    <a:noFill/>
                    <a:ln>
                      <a:noFill/>
                    </a:ln>
                  </pic:spPr>
                </pic:pic>
              </a:graphicData>
            </a:graphic>
          </wp:inline>
        </w:drawing>
      </w:r>
    </w:p>
    <w:p w:rsidR="001019C7" w:rsidRDefault="001019C7" w:rsidP="00550638">
      <w:pPr>
        <w:spacing w:line="240" w:lineRule="auto"/>
        <w:rPr>
          <w:rFonts w:ascii="Times New Roman" w:hAnsi="Times New Roman" w:cs="Times New Roman"/>
          <w:b/>
          <w:sz w:val="24"/>
          <w:szCs w:val="24"/>
        </w:rPr>
      </w:pPr>
    </w:p>
    <w:p w:rsidR="002B3A45" w:rsidRDefault="002B3A45" w:rsidP="00550638">
      <w:pPr>
        <w:spacing w:line="240" w:lineRule="auto"/>
        <w:rPr>
          <w:rFonts w:ascii="Times New Roman" w:hAnsi="Times New Roman" w:cs="Times New Roman"/>
          <w:b/>
          <w:sz w:val="24"/>
          <w:szCs w:val="24"/>
        </w:rPr>
      </w:pPr>
    </w:p>
    <w:p w:rsidR="002B3A45" w:rsidRDefault="002B3A45" w:rsidP="00550638">
      <w:pPr>
        <w:spacing w:line="240" w:lineRule="auto"/>
        <w:rPr>
          <w:rFonts w:ascii="Times New Roman" w:hAnsi="Times New Roman" w:cs="Times New Roman"/>
          <w:b/>
          <w:sz w:val="24"/>
          <w:szCs w:val="24"/>
        </w:rPr>
      </w:pPr>
      <w:r>
        <w:rPr>
          <w:rFonts w:ascii="Times New Roman" w:hAnsi="Times New Roman" w:cs="Times New Roman"/>
          <w:b/>
          <w:sz w:val="24"/>
          <w:szCs w:val="24"/>
        </w:rPr>
        <w:t>La crisis mutante</w:t>
      </w:r>
    </w:p>
    <w:p w:rsidR="003641A0" w:rsidRDefault="001019C7" w:rsidP="00550638">
      <w:pPr>
        <w:spacing w:line="240" w:lineRule="auto"/>
        <w:rPr>
          <w:rFonts w:ascii="Times New Roman" w:hAnsi="Times New Roman" w:cs="Times New Roman"/>
          <w:b/>
          <w:sz w:val="24"/>
          <w:szCs w:val="24"/>
        </w:rPr>
      </w:pPr>
      <w:r>
        <w:rPr>
          <w:noProof/>
          <w:lang w:eastAsia="es-ES"/>
        </w:rPr>
        <w:drawing>
          <wp:inline distT="0" distB="0" distL="0" distR="0" wp14:anchorId="064DE5D3" wp14:editId="75767B68">
            <wp:extent cx="6144768" cy="2333549"/>
            <wp:effectExtent l="0" t="0" r="0" b="0"/>
            <wp:docPr id="125" name="Imagen 125" descr="http://estaticos01.expansion.com/imagenes/2011/09/30/economia/1317417728_g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http://estaticos01.expansion.com/imagenes/2011/09/30/economia/1317417728_g_0.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154728" cy="2337331"/>
                    </a:xfrm>
                    <a:prstGeom prst="rect">
                      <a:avLst/>
                    </a:prstGeom>
                    <a:noFill/>
                    <a:ln>
                      <a:noFill/>
                    </a:ln>
                  </pic:spPr>
                </pic:pic>
              </a:graphicData>
            </a:graphic>
          </wp:inline>
        </w:drawing>
      </w:r>
    </w:p>
    <w:p w:rsidR="00373926" w:rsidRDefault="00373926" w:rsidP="00550638">
      <w:pPr>
        <w:spacing w:line="240" w:lineRule="auto"/>
        <w:rPr>
          <w:rFonts w:ascii="Times New Roman" w:hAnsi="Times New Roman" w:cs="Times New Roman"/>
          <w:sz w:val="24"/>
          <w:szCs w:val="24"/>
          <w:u w:val="single"/>
        </w:rPr>
      </w:pPr>
      <w:r>
        <w:rPr>
          <w:rFonts w:ascii="Times New Roman" w:hAnsi="Times New Roman" w:cs="Times New Roman"/>
          <w:sz w:val="24"/>
          <w:szCs w:val="24"/>
          <w:u w:val="single"/>
        </w:rPr>
        <w:t>Y cuenta la historia…</w:t>
      </w:r>
    </w:p>
    <w:p w:rsidR="00EF021E" w:rsidRPr="003641A0" w:rsidRDefault="00373926" w:rsidP="00550638">
      <w:pPr>
        <w:spacing w:line="240" w:lineRule="auto"/>
        <w:rPr>
          <w:rFonts w:ascii="Times New Roman" w:hAnsi="Times New Roman"/>
          <w:i/>
          <w:sz w:val="24"/>
          <w:szCs w:val="24"/>
        </w:rPr>
      </w:pPr>
      <w:r>
        <w:rPr>
          <w:rFonts w:ascii="Times New Roman" w:hAnsi="Times New Roman" w:cs="Times New Roman"/>
          <w:sz w:val="24"/>
          <w:szCs w:val="24"/>
          <w:u w:val="single"/>
        </w:rPr>
        <w:lastRenderedPageBreak/>
        <w:t xml:space="preserve">Agosto 2012: </w:t>
      </w:r>
      <w:r w:rsidR="003641A0">
        <w:rPr>
          <w:rFonts w:ascii="Times New Roman" w:hAnsi="Times New Roman" w:cs="Times New Roman"/>
          <w:sz w:val="24"/>
          <w:szCs w:val="24"/>
          <w:u w:val="single"/>
        </w:rPr>
        <w:t>a cinco años del inicio de la</w:t>
      </w:r>
      <w:r w:rsidR="001167D1">
        <w:rPr>
          <w:rFonts w:ascii="Times New Roman" w:hAnsi="Times New Roman" w:cs="Times New Roman"/>
          <w:sz w:val="24"/>
          <w:szCs w:val="24"/>
          <w:u w:val="single"/>
        </w:rPr>
        <w:t xml:space="preserve"> mayor</w:t>
      </w:r>
      <w:r w:rsidR="003641A0">
        <w:rPr>
          <w:rFonts w:ascii="Times New Roman" w:hAnsi="Times New Roman" w:cs="Times New Roman"/>
          <w:sz w:val="24"/>
          <w:szCs w:val="24"/>
          <w:u w:val="single"/>
        </w:rPr>
        <w:t xml:space="preserve"> crisis</w:t>
      </w:r>
      <w:r>
        <w:rPr>
          <w:rFonts w:ascii="Times New Roman" w:hAnsi="Times New Roman" w:cs="Times New Roman"/>
          <w:sz w:val="24"/>
          <w:szCs w:val="24"/>
          <w:u w:val="single"/>
        </w:rPr>
        <w:t xml:space="preserve"> económica desde los años 30</w:t>
      </w:r>
      <w:r w:rsidR="001019C7" w:rsidRPr="003641A0">
        <w:rPr>
          <w:rFonts w:ascii="Times New Roman" w:hAnsi="Times New Roman" w:cs="Times New Roman"/>
          <w:sz w:val="24"/>
          <w:szCs w:val="24"/>
          <w:u w:val="single"/>
        </w:rPr>
        <w:t xml:space="preserve">                 </w:t>
      </w:r>
      <w:r w:rsidR="001019C7" w:rsidRPr="003641A0">
        <w:rPr>
          <w:rFonts w:ascii="Times New Roman" w:hAnsi="Times New Roman"/>
          <w:i/>
          <w:sz w:val="24"/>
          <w:szCs w:val="24"/>
        </w:rPr>
        <w:t xml:space="preserve">                                        </w:t>
      </w:r>
    </w:p>
    <w:p w:rsidR="003641A0" w:rsidRPr="00EF021E" w:rsidRDefault="003641A0" w:rsidP="00550638">
      <w:pPr>
        <w:spacing w:line="240" w:lineRule="auto"/>
        <w:jc w:val="both"/>
        <w:rPr>
          <w:rFonts w:ascii="Times New Roman" w:hAnsi="Times New Roman" w:cs="Times New Roman"/>
          <w:sz w:val="24"/>
          <w:szCs w:val="24"/>
        </w:rPr>
      </w:pPr>
      <w:r>
        <w:rPr>
          <w:rFonts w:ascii="Times New Roman" w:hAnsi="Times New Roman"/>
          <w:i/>
          <w:sz w:val="24"/>
          <w:szCs w:val="24"/>
        </w:rPr>
        <w:t>“</w:t>
      </w:r>
      <w:r w:rsidR="002B3A45" w:rsidRPr="003641A0">
        <w:rPr>
          <w:rFonts w:ascii="Times New Roman" w:hAnsi="Times New Roman"/>
          <w:i/>
          <w:sz w:val="24"/>
          <w:szCs w:val="24"/>
        </w:rPr>
        <w:t>Funesto aniversario. Este mes de agosto se cumplen cinco años desde el inicio de la mayor crisis que han conocido las economías desarrolladas desde la Gran Depresión de los años 30. Un lustro en el que, parafraseando a Neruda, la economía mundial, en general, y la europea, en particular, han escrito algunos de los capítulos más tristes de su historia reciente</w:t>
      </w:r>
      <w:r>
        <w:rPr>
          <w:rFonts w:ascii="Times New Roman" w:hAnsi="Times New Roman"/>
          <w:i/>
          <w:sz w:val="24"/>
          <w:szCs w:val="24"/>
        </w:rPr>
        <w:t>”..</w:t>
      </w:r>
      <w:r w:rsidR="002B3A45" w:rsidRPr="003641A0">
        <w:rPr>
          <w:rFonts w:ascii="Times New Roman" w:hAnsi="Times New Roman"/>
          <w:i/>
          <w:sz w:val="24"/>
          <w:szCs w:val="24"/>
        </w:rPr>
        <w:t>.</w:t>
      </w:r>
      <w:r>
        <w:rPr>
          <w:rFonts w:ascii="Times New Roman" w:hAnsi="Times New Roman"/>
          <w:i/>
          <w:sz w:val="24"/>
          <w:szCs w:val="24"/>
        </w:rPr>
        <w:t xml:space="preserve"> </w:t>
      </w:r>
      <w:r w:rsidRPr="00956E61">
        <w:rPr>
          <w:rFonts w:ascii="Times New Roman" w:hAnsi="Times New Roman"/>
          <w:sz w:val="24"/>
          <w:szCs w:val="24"/>
          <w:u w:val="single"/>
        </w:rPr>
        <w:t>El lustro en que vivimos peligrosamente</w:t>
      </w:r>
      <w:r>
        <w:rPr>
          <w:rFonts w:ascii="Times New Roman" w:hAnsi="Times New Roman"/>
          <w:sz w:val="24"/>
          <w:szCs w:val="24"/>
        </w:rPr>
        <w:t xml:space="preserve"> (Expansión - </w:t>
      </w:r>
      <w:r w:rsidRPr="00956E61">
        <w:rPr>
          <w:rFonts w:ascii="Times New Roman" w:hAnsi="Times New Roman"/>
          <w:b/>
          <w:sz w:val="24"/>
          <w:szCs w:val="24"/>
        </w:rPr>
        <w:t>9/8/12</w:t>
      </w:r>
      <w:r>
        <w:rPr>
          <w:rFonts w:ascii="Times New Roman" w:hAnsi="Times New Roman"/>
          <w:sz w:val="24"/>
          <w:szCs w:val="24"/>
        </w:rPr>
        <w:t>)</w:t>
      </w:r>
    </w:p>
    <w:p w:rsidR="002B3A45" w:rsidRPr="00373926" w:rsidRDefault="002B3A45" w:rsidP="00550638">
      <w:pPr>
        <w:spacing w:line="240" w:lineRule="auto"/>
        <w:jc w:val="both"/>
        <w:rPr>
          <w:rFonts w:ascii="Times New Roman" w:hAnsi="Times New Roman"/>
          <w:sz w:val="24"/>
          <w:szCs w:val="24"/>
        </w:rPr>
      </w:pPr>
      <w:r w:rsidRPr="00373926">
        <w:rPr>
          <w:rFonts w:ascii="Times New Roman" w:hAnsi="Times New Roman"/>
          <w:sz w:val="24"/>
          <w:szCs w:val="24"/>
        </w:rPr>
        <w:t>Es una historia que, por desgracia, aún carece de final</w:t>
      </w:r>
      <w:r w:rsidR="003641A0" w:rsidRPr="00373926">
        <w:rPr>
          <w:rFonts w:ascii="Times New Roman" w:hAnsi="Times New Roman"/>
          <w:sz w:val="24"/>
          <w:szCs w:val="24"/>
        </w:rPr>
        <w:t>; m</w:t>
      </w:r>
      <w:r w:rsidRPr="00373926">
        <w:rPr>
          <w:rFonts w:ascii="Times New Roman" w:hAnsi="Times New Roman"/>
          <w:sz w:val="24"/>
          <w:szCs w:val="24"/>
        </w:rPr>
        <w:t>ucho ha llovido, y no para bien, desde que en agosto de 2007 el mundo tomara conciencia de la magnitud del problema de las hipotecas subprime, también conocidas como hipotecas basura, aquellas que, al calor de unos tipos históricamente bajos y de unos gestores ávidos de multiplicar su rentabilidad, se concedieron masivamente a quienes difícilmente podían afrontar su devolución. El resultado de tan peligroso cóctel, que condujo a que en 2007 cerca del 20% de las hipotecas generadas en Estados Unidos fueran ya subprime, no se hizo esperar: el estallido de una crisis de dimensión planetaria que ha resquebrajado los cimientos del sistema capitalista.</w:t>
      </w:r>
    </w:p>
    <w:p w:rsidR="002B3A45" w:rsidRPr="00373926" w:rsidRDefault="002B3A45" w:rsidP="00550638">
      <w:pPr>
        <w:spacing w:line="240" w:lineRule="auto"/>
        <w:jc w:val="both"/>
        <w:rPr>
          <w:rFonts w:ascii="Times New Roman" w:hAnsi="Times New Roman"/>
          <w:sz w:val="24"/>
          <w:szCs w:val="24"/>
        </w:rPr>
      </w:pPr>
      <w:r w:rsidRPr="00373926">
        <w:rPr>
          <w:rFonts w:ascii="Times New Roman" w:hAnsi="Times New Roman"/>
          <w:sz w:val="24"/>
          <w:szCs w:val="24"/>
        </w:rPr>
        <w:t>El virus se originó al otro lado del Atlántico, pero rápidamente se propagó por</w:t>
      </w:r>
      <w:r w:rsidR="003641A0" w:rsidRPr="00373926">
        <w:rPr>
          <w:rFonts w:ascii="Times New Roman" w:hAnsi="Times New Roman"/>
          <w:sz w:val="24"/>
          <w:szCs w:val="24"/>
        </w:rPr>
        <w:t xml:space="preserve"> Europa, donde el </w:t>
      </w:r>
      <w:r w:rsidRPr="00373926">
        <w:rPr>
          <w:rFonts w:ascii="Times New Roman" w:hAnsi="Times New Roman"/>
          <w:sz w:val="24"/>
          <w:szCs w:val="24"/>
        </w:rPr>
        <w:t>9 de agosto, de 2007 el gigante bancario francés BNP Paribas congeló varios fondos de inversión por valor de 1.600 millones de euros por culpa, precisamente, del tsunami provocado por los créditos de alto riesgo estadounidenses. Sin embargo, sus verdaderas consecuencias apenas se lograban atisbar. De hecho, mientras el resto del mundo empezaba a observar con creciente inquietud la magnitud del terremoto, la bolsa española proseguía impertérrita su escalada alcista, hasta alcanzar en noviembre de ese año un máximo histórico en el umbral de los 16.</w:t>
      </w:r>
      <w:r w:rsidR="003641A0" w:rsidRPr="00373926">
        <w:rPr>
          <w:rFonts w:ascii="Times New Roman" w:hAnsi="Times New Roman"/>
          <w:sz w:val="24"/>
          <w:szCs w:val="24"/>
        </w:rPr>
        <w:t xml:space="preserve">000 puntos. </w:t>
      </w:r>
      <w:r w:rsidRPr="00373926">
        <w:rPr>
          <w:rFonts w:ascii="Times New Roman" w:hAnsi="Times New Roman"/>
          <w:sz w:val="24"/>
          <w:szCs w:val="24"/>
        </w:rPr>
        <w:t xml:space="preserve">Ese mismo mes, la OCDE estimaba ya en más de 220.000 millones de euros las pérdidas bursátiles sufridas por las entidades financieras a causa de las turbulencias subprime, una cifra que en el caso de las provisiones necesarias para absorber las pérdidas sería en el futuro mucho mayor, creciendo exponencialmente. </w:t>
      </w:r>
    </w:p>
    <w:p w:rsidR="002B3A45" w:rsidRPr="00373926" w:rsidRDefault="002B3A45" w:rsidP="00550638">
      <w:pPr>
        <w:spacing w:line="240" w:lineRule="auto"/>
        <w:jc w:val="both"/>
        <w:rPr>
          <w:rFonts w:ascii="Times New Roman" w:hAnsi="Times New Roman"/>
          <w:sz w:val="24"/>
          <w:szCs w:val="24"/>
        </w:rPr>
      </w:pPr>
      <w:r w:rsidRPr="00373926">
        <w:rPr>
          <w:rFonts w:ascii="Times New Roman" w:hAnsi="Times New Roman"/>
          <w:sz w:val="24"/>
          <w:szCs w:val="24"/>
        </w:rPr>
        <w:t>Lo que comenzó como una crisis hipotecaria e inmobiliaria pronto derivó en una tormenta financiera perfecta, que hizo tambalear las estructuras de los sistemas financieros estadounidense</w:t>
      </w:r>
      <w:r w:rsidR="003641A0" w:rsidRPr="00373926">
        <w:rPr>
          <w:rFonts w:ascii="Times New Roman" w:hAnsi="Times New Roman"/>
          <w:sz w:val="24"/>
          <w:szCs w:val="24"/>
        </w:rPr>
        <w:t>,</w:t>
      </w:r>
      <w:r w:rsidRPr="00373926">
        <w:rPr>
          <w:rFonts w:ascii="Times New Roman" w:hAnsi="Times New Roman"/>
          <w:sz w:val="24"/>
          <w:szCs w:val="24"/>
        </w:rPr>
        <w:t xml:space="preserve"> y europeo, cuyos gobiernos se vieron obligados a acudir al rescate de sus entidades más emblemáticas y que tuvo en el colapso de Lehman Brothers, en septiembre de 2008, su gran punto de inflexión. La caída del gigante financiero no sólo hirió casi de muerte el modelo de banca de inversión como negocio específico e individual, sino que propició el cierre a cal y canto de los mercados de financiación, un cerrojazo que en mayor o menor medida ha estado presente a lo largo del último quinquenio y que provocó una feroz desconfianza entre las entidades financieras que aún perdura.</w:t>
      </w:r>
    </w:p>
    <w:p w:rsidR="002B3A45" w:rsidRDefault="002B3A45" w:rsidP="00550638">
      <w:pPr>
        <w:spacing w:line="240" w:lineRule="auto"/>
        <w:jc w:val="both"/>
        <w:rPr>
          <w:rFonts w:ascii="Times New Roman" w:hAnsi="Times New Roman"/>
          <w:sz w:val="24"/>
          <w:szCs w:val="24"/>
        </w:rPr>
      </w:pPr>
      <w:r w:rsidRPr="00373926">
        <w:rPr>
          <w:rFonts w:ascii="Times New Roman" w:hAnsi="Times New Roman"/>
          <w:sz w:val="24"/>
          <w:szCs w:val="24"/>
        </w:rPr>
        <w:t xml:space="preserve">Tras la crisis hipotecaria, inmobiliaria y crediticia sobrevinieron la recesión y la crisis de deuda soberana, fruto precisamente del elevado endeudamiento en que incurrieron los Estados para mitigar los efectos del bache económico. Una desatinada y parsimoniosa gestión de la crisis de deuda por parte de Europa pronto desembocó en el rescate económico de Grecia e Irlanda en 2010 y de Portugal en 2011. </w:t>
      </w:r>
      <w:r w:rsidR="001167D1" w:rsidRPr="00373926">
        <w:rPr>
          <w:rFonts w:ascii="Times New Roman" w:hAnsi="Times New Roman"/>
          <w:sz w:val="24"/>
          <w:szCs w:val="24"/>
        </w:rPr>
        <w:t xml:space="preserve">En 2012, son </w:t>
      </w:r>
      <w:r w:rsidRPr="00373926">
        <w:rPr>
          <w:rFonts w:ascii="Times New Roman" w:hAnsi="Times New Roman"/>
          <w:sz w:val="24"/>
          <w:szCs w:val="24"/>
        </w:rPr>
        <w:t>Chi</w:t>
      </w:r>
      <w:r w:rsidR="001167D1" w:rsidRPr="00373926">
        <w:rPr>
          <w:rFonts w:ascii="Times New Roman" w:hAnsi="Times New Roman"/>
          <w:sz w:val="24"/>
          <w:szCs w:val="24"/>
        </w:rPr>
        <w:t>pre y España las que acuden</w:t>
      </w:r>
      <w:r w:rsidRPr="00373926">
        <w:rPr>
          <w:rFonts w:ascii="Times New Roman" w:hAnsi="Times New Roman"/>
          <w:sz w:val="24"/>
          <w:szCs w:val="24"/>
        </w:rPr>
        <w:t xml:space="preserve"> al amparo de sus socios europeos, elevando a cinco los países miembros del euro auxiliados financieramente por Europa. </w:t>
      </w:r>
    </w:p>
    <w:p w:rsidR="00550638" w:rsidRPr="00373926" w:rsidRDefault="00550638" w:rsidP="00550638">
      <w:pPr>
        <w:spacing w:line="240" w:lineRule="auto"/>
        <w:jc w:val="both"/>
        <w:rPr>
          <w:rFonts w:ascii="Times New Roman" w:hAnsi="Times New Roman"/>
          <w:sz w:val="24"/>
          <w:szCs w:val="24"/>
        </w:rPr>
      </w:pPr>
    </w:p>
    <w:p w:rsidR="00373926" w:rsidRDefault="00373926" w:rsidP="00550638">
      <w:pPr>
        <w:spacing w:before="100" w:beforeAutospacing="1" w:after="100" w:afterAutospacing="1" w:line="240" w:lineRule="auto"/>
        <w:jc w:val="both"/>
        <w:rPr>
          <w:rFonts w:ascii="Times New Roman" w:eastAsia="Times New Roman" w:hAnsi="Times New Roman" w:cs="Times New Roman"/>
          <w:sz w:val="24"/>
          <w:szCs w:val="24"/>
          <w:u w:val="single"/>
        </w:rPr>
      </w:pPr>
      <w:r w:rsidRPr="00373926">
        <w:rPr>
          <w:rFonts w:ascii="Times New Roman" w:eastAsia="Times New Roman" w:hAnsi="Times New Roman" w:cs="Times New Roman"/>
          <w:bCs/>
          <w:sz w:val="24"/>
          <w:szCs w:val="24"/>
          <w:u w:val="single"/>
        </w:rPr>
        <w:lastRenderedPageBreak/>
        <w:t xml:space="preserve">Septiembre 2013: </w:t>
      </w:r>
      <w:r>
        <w:rPr>
          <w:rFonts w:ascii="Times New Roman" w:eastAsia="Times New Roman" w:hAnsi="Times New Roman" w:cs="Times New Roman"/>
          <w:bCs/>
          <w:sz w:val="24"/>
          <w:szCs w:val="24"/>
          <w:u w:val="single"/>
        </w:rPr>
        <w:t>d</w:t>
      </w:r>
      <w:r w:rsidRPr="00373926">
        <w:rPr>
          <w:rFonts w:ascii="Times New Roman" w:eastAsia="Times New Roman" w:hAnsi="Times New Roman" w:cs="Times New Roman"/>
          <w:bCs/>
          <w:sz w:val="24"/>
          <w:szCs w:val="24"/>
          <w:u w:val="single"/>
        </w:rPr>
        <w:t>uro contagio (una crisis de mil cabezas que</w:t>
      </w:r>
      <w:r w:rsidR="00F04996">
        <w:rPr>
          <w:rFonts w:ascii="Times New Roman" w:eastAsia="Times New Roman" w:hAnsi="Times New Roman" w:cs="Times New Roman"/>
          <w:bCs/>
          <w:sz w:val="24"/>
          <w:szCs w:val="24"/>
          <w:u w:val="single"/>
        </w:rPr>
        <w:t xml:space="preserve"> aún</w:t>
      </w:r>
      <w:r w:rsidRPr="00373926">
        <w:rPr>
          <w:rFonts w:ascii="Times New Roman" w:eastAsia="Times New Roman" w:hAnsi="Times New Roman" w:cs="Times New Roman"/>
          <w:bCs/>
          <w:sz w:val="24"/>
          <w:szCs w:val="24"/>
          <w:u w:val="single"/>
        </w:rPr>
        <w:t xml:space="preserve"> sigue viva)</w:t>
      </w:r>
    </w:p>
    <w:p w:rsidR="00F568AB" w:rsidRPr="00F568AB" w:rsidRDefault="00F568AB" w:rsidP="0055063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i/>
          <w:sz w:val="24"/>
          <w:szCs w:val="24"/>
        </w:rPr>
        <w:t>“</w:t>
      </w:r>
      <w:r w:rsidRPr="00872021">
        <w:rPr>
          <w:rFonts w:ascii="Times New Roman" w:eastAsia="Times New Roman" w:hAnsi="Times New Roman" w:cs="Times New Roman"/>
          <w:i/>
          <w:sz w:val="24"/>
          <w:szCs w:val="24"/>
        </w:rPr>
        <w:t>Hace hoy cinco años, el suelo de Manhattan tembló en el número 745 de la Séptima Avenida. Al edificio que ahí se alza es donde señalan en los tours cuando los turistas preguntan por el epicentro de la mayor crisis financiera desde la Gran Depresión. Esa era la sede de Lehman Brothers. Ya hubo un serio avisó unas calles más abajo, en el 383 de Madison Avenue, la torre ocupada por Bear Stearns. Los dos rascacielos lucen ahora colores diferentes, los de sus nuevos dueños, Barclays y JP Morgan. Pero el mundo no se ha recuperado aún de aquel shock</w:t>
      </w:r>
      <w:r>
        <w:rPr>
          <w:rFonts w:ascii="Times New Roman" w:eastAsia="Times New Roman" w:hAnsi="Times New Roman" w:cs="Times New Roman"/>
          <w:i/>
          <w:sz w:val="24"/>
          <w:szCs w:val="24"/>
        </w:rPr>
        <w:t>”</w:t>
      </w:r>
      <w:r w:rsidRPr="00872021">
        <w:rPr>
          <w:rFonts w:ascii="Times New Roman" w:eastAsia="Times New Roman" w:hAnsi="Times New Roman" w:cs="Times New Roman"/>
          <w:i/>
          <w:sz w:val="24"/>
          <w:szCs w:val="24"/>
        </w:rPr>
        <w:t>…</w:t>
      </w:r>
      <w:r>
        <w:rPr>
          <w:rFonts w:ascii="Times New Roman" w:eastAsia="Times New Roman" w:hAnsi="Times New Roman" w:cs="Times New Roman"/>
          <w:i/>
          <w:sz w:val="24"/>
          <w:szCs w:val="24"/>
        </w:rPr>
        <w:t xml:space="preserve"> </w:t>
      </w:r>
      <w:r w:rsidRPr="004A2292">
        <w:rPr>
          <w:rFonts w:ascii="Times New Roman" w:eastAsia="Times New Roman" w:hAnsi="Times New Roman" w:cs="Times New Roman"/>
          <w:sz w:val="24"/>
          <w:szCs w:val="24"/>
          <w:u w:val="single"/>
        </w:rPr>
        <w:t>Los restos del huracán</w:t>
      </w:r>
      <w:r>
        <w:rPr>
          <w:rFonts w:ascii="Times New Roman" w:eastAsia="Times New Roman" w:hAnsi="Times New Roman" w:cs="Times New Roman"/>
          <w:sz w:val="24"/>
          <w:szCs w:val="24"/>
        </w:rPr>
        <w:t xml:space="preserve"> (El País - </w:t>
      </w:r>
      <w:r w:rsidRPr="004A2292">
        <w:rPr>
          <w:rFonts w:ascii="Times New Roman" w:eastAsia="Times New Roman" w:hAnsi="Times New Roman" w:cs="Times New Roman"/>
          <w:b/>
          <w:sz w:val="24"/>
          <w:szCs w:val="24"/>
        </w:rPr>
        <w:t>15/9/13</w:t>
      </w:r>
      <w:r>
        <w:rPr>
          <w:rFonts w:ascii="Times New Roman" w:eastAsia="Times New Roman" w:hAnsi="Times New Roman" w:cs="Times New Roman"/>
          <w:sz w:val="24"/>
          <w:szCs w:val="24"/>
        </w:rPr>
        <w:t>)</w:t>
      </w:r>
    </w:p>
    <w:p w:rsidR="00373926" w:rsidRPr="00F568AB" w:rsidRDefault="00373926" w:rsidP="00550638">
      <w:pPr>
        <w:spacing w:before="100" w:beforeAutospacing="1" w:after="100" w:afterAutospacing="1"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Si el terremoto Lehman provocó sacudidas en las finanzas mundiales, las réplicas en la economía real resultaron igualmente tremendas, rápidas y globales. Con el sector financiero al borde del colapso, la actividad se paralizó. </w:t>
      </w:r>
      <w:r w:rsidRPr="00F568AB">
        <w:rPr>
          <w:rFonts w:ascii="Times New Roman" w:eastAsia="Times New Roman" w:hAnsi="Times New Roman" w:cs="Times New Roman"/>
          <w:bCs/>
          <w:sz w:val="24"/>
          <w:szCs w:val="24"/>
        </w:rPr>
        <w:t>En el último trimestre de 2008, la economía estadounidense se contrajo a una tasa trimestral anualizada del 8,3%, la mayor en medio siglo</w:t>
      </w:r>
      <w:r w:rsidRPr="00F568AB">
        <w:rPr>
          <w:rFonts w:ascii="Times New Roman" w:eastAsia="Times New Roman" w:hAnsi="Times New Roman" w:cs="Times New Roman"/>
          <w:sz w:val="24"/>
          <w:szCs w:val="24"/>
        </w:rPr>
        <w:t>, y en el primero de 2009 la Eurozona se contrajo un 2,8% intertrimestral y España, un 1,7%, en ambos casos registros sin precedentes. En cuanto al desempleo, comenzó a acelerarse en Estados Unidos hasta alcanzar el 10% en el transcurso de 2009, la mayor tasa desde 1983; también creció en la Eurozona, en un proceso que se ha visto prolongado por la crisis de la deuda soberana desde 2010. </w:t>
      </w:r>
    </w:p>
    <w:p w:rsidR="00373926" w:rsidRPr="00F568AB" w:rsidRDefault="00373926" w:rsidP="00550638">
      <w:pPr>
        <w:spacing w:before="100" w:beforeAutospacing="1" w:after="100" w:afterAutospacing="1"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Como antídoto contra estos impactos, </w:t>
      </w:r>
      <w:r w:rsidRPr="00F568AB">
        <w:rPr>
          <w:rFonts w:ascii="Times New Roman" w:eastAsia="Times New Roman" w:hAnsi="Times New Roman" w:cs="Times New Roman"/>
          <w:bCs/>
          <w:sz w:val="24"/>
          <w:szCs w:val="24"/>
        </w:rPr>
        <w:t>los bancos centrales respondieron con la mayor descarga de munición monetaria de la historia</w:t>
      </w:r>
      <w:r w:rsidRPr="00F568AB">
        <w:rPr>
          <w:rFonts w:ascii="Times New Roman" w:eastAsia="Times New Roman" w:hAnsi="Times New Roman" w:cs="Times New Roman"/>
          <w:sz w:val="24"/>
          <w:szCs w:val="24"/>
        </w:rPr>
        <w:t>. Y por distintas vías: colocando los tipos de interés cerca del 0% y comprando directamente deuda pública y privada en los mercados para reforzar la liquidez del sistema y mantener bajos los costes de financiación. A su vez,</w:t>
      </w:r>
      <w:r w:rsidRPr="00F568AB">
        <w:rPr>
          <w:rFonts w:ascii="Times New Roman" w:eastAsia="Times New Roman" w:hAnsi="Times New Roman" w:cs="Times New Roman"/>
          <w:bCs/>
          <w:sz w:val="24"/>
          <w:szCs w:val="24"/>
        </w:rPr>
        <w:t xml:space="preserve"> los Estados</w:t>
      </w:r>
      <w:r w:rsidRPr="00F568AB">
        <w:rPr>
          <w:rFonts w:ascii="Times New Roman" w:eastAsia="Times New Roman" w:hAnsi="Times New Roman" w:cs="Times New Roman"/>
          <w:sz w:val="24"/>
          <w:szCs w:val="24"/>
        </w:rPr>
        <w:t xml:space="preserve">, en su afán por sostener sus sistemas financieros y por contrarrestar los efectos contractivos en la economía real, </w:t>
      </w:r>
      <w:r w:rsidRPr="00F568AB">
        <w:rPr>
          <w:rFonts w:ascii="Times New Roman" w:eastAsia="Times New Roman" w:hAnsi="Times New Roman" w:cs="Times New Roman"/>
          <w:bCs/>
          <w:sz w:val="24"/>
          <w:szCs w:val="24"/>
        </w:rPr>
        <w:t>tiraron de gasto público para salir al paso de los problemas.</w:t>
      </w:r>
      <w:r w:rsidR="00F568AB" w:rsidRPr="00F568AB">
        <w:rPr>
          <w:rFonts w:ascii="Times New Roman" w:eastAsia="Times New Roman" w:hAnsi="Times New Roman" w:cs="Times New Roman"/>
          <w:sz w:val="24"/>
          <w:szCs w:val="24"/>
        </w:rPr>
        <w:t> </w:t>
      </w:r>
    </w:p>
    <w:p w:rsidR="00373926" w:rsidRPr="00F568AB" w:rsidRDefault="00373926" w:rsidP="00550638">
      <w:pPr>
        <w:spacing w:before="100" w:beforeAutospacing="1" w:after="100" w:afterAutospacing="1"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Estos </w:t>
      </w:r>
      <w:r w:rsidR="00A92207" w:rsidRPr="00F568AB">
        <w:rPr>
          <w:rFonts w:ascii="Times New Roman" w:eastAsia="Times New Roman" w:hAnsi="Times New Roman" w:cs="Times New Roman"/>
          <w:sz w:val="24"/>
          <w:szCs w:val="24"/>
        </w:rPr>
        <w:t>paliativos</w:t>
      </w:r>
      <w:r w:rsidRPr="00F568AB">
        <w:rPr>
          <w:rFonts w:ascii="Times New Roman" w:eastAsia="Times New Roman" w:hAnsi="Times New Roman" w:cs="Times New Roman"/>
          <w:sz w:val="24"/>
          <w:szCs w:val="24"/>
        </w:rPr>
        <w:t xml:space="preserve"> surtieron efecto. La economía mundial pareció reaccionar en la segunda mitad de 2009. Pero no hubo que esperar mucho para comprobar que el </w:t>
      </w:r>
      <w:r w:rsidRPr="00F568AB">
        <w:rPr>
          <w:rFonts w:ascii="Times New Roman" w:eastAsia="Times New Roman" w:hAnsi="Times New Roman" w:cs="Times New Roman"/>
          <w:iCs/>
          <w:sz w:val="24"/>
          <w:szCs w:val="24"/>
        </w:rPr>
        <w:t>shock</w:t>
      </w:r>
      <w:r w:rsidRPr="00F568AB">
        <w:rPr>
          <w:rFonts w:ascii="Times New Roman" w:eastAsia="Times New Roman" w:hAnsi="Times New Roman" w:cs="Times New Roman"/>
          <w:sz w:val="24"/>
          <w:szCs w:val="24"/>
        </w:rPr>
        <w:t xml:space="preserve"> de Lehman iba a tener múltiples derivaciones. Como, por ejemplo, la transmisión de los problemas de deuda del sector privado al sector público.</w:t>
      </w:r>
      <w:r w:rsidRPr="00F568AB">
        <w:rPr>
          <w:rFonts w:ascii="Times New Roman" w:eastAsia="Times New Roman" w:hAnsi="Times New Roman" w:cs="Times New Roman"/>
          <w:bCs/>
          <w:sz w:val="24"/>
          <w:szCs w:val="24"/>
        </w:rPr>
        <w:t xml:space="preserve"> Ya no se temía que quebraran los bancos; el nuevo temor era que quebraran los países. </w:t>
      </w:r>
      <w:r w:rsidRPr="00F568AB">
        <w:rPr>
          <w:rFonts w:ascii="Times New Roman" w:eastAsia="Times New Roman" w:hAnsi="Times New Roman" w:cs="Times New Roman"/>
          <w:sz w:val="24"/>
          <w:szCs w:val="24"/>
        </w:rPr>
        <w:t xml:space="preserve"> </w:t>
      </w:r>
    </w:p>
    <w:p w:rsidR="00373926" w:rsidRPr="00F568AB" w:rsidRDefault="00373926" w:rsidP="00550638">
      <w:pPr>
        <w:spacing w:before="100" w:beforeAutospacing="1" w:after="100" w:afterAutospacing="1"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mejor muestra de que, cinco años después,</w:t>
      </w:r>
      <w:r w:rsidRPr="00F568AB">
        <w:rPr>
          <w:rFonts w:ascii="Times New Roman" w:eastAsia="Times New Roman" w:hAnsi="Times New Roman" w:cs="Times New Roman"/>
          <w:bCs/>
          <w:sz w:val="24"/>
          <w:szCs w:val="24"/>
        </w:rPr>
        <w:t xml:space="preserve"> los ecos del derrumbe de Lehman siguen escuchándose</w:t>
      </w:r>
      <w:r w:rsidRPr="00F568AB">
        <w:rPr>
          <w:rFonts w:ascii="Times New Roman" w:eastAsia="Times New Roman" w:hAnsi="Times New Roman" w:cs="Times New Roman"/>
          <w:sz w:val="24"/>
          <w:szCs w:val="24"/>
        </w:rPr>
        <w:t xml:space="preserve"> es que los bancos centrales continúan aplicando los estímulos monetarios más potentes de la historia. Es más, en los últimos meses han confirmado que tienen previsto mantener los tipos de interés en mínimos históricos todo el tiempo que sea necesario, una evidencia inequívoca de que hasta qué punto fue el daño posterior a la quiebra de Lehman. La lenta recuperación de la economía y del mercado laboral en Estados Unidos, Reino Unido o la Eurozona les ha impedido desactivar sus medidas </w:t>
      </w:r>
      <w:r w:rsidRPr="00F568AB">
        <w:rPr>
          <w:rFonts w:ascii="Times New Roman" w:eastAsia="Times New Roman" w:hAnsi="Times New Roman" w:cs="Times New Roman"/>
          <w:iCs/>
          <w:sz w:val="24"/>
          <w:szCs w:val="24"/>
        </w:rPr>
        <w:t>anticrisis</w:t>
      </w:r>
      <w:r w:rsidRPr="00F568AB">
        <w:rPr>
          <w:rFonts w:ascii="Times New Roman" w:eastAsia="Times New Roman" w:hAnsi="Times New Roman" w:cs="Times New Roman"/>
          <w:i/>
          <w:iCs/>
          <w:sz w:val="24"/>
          <w:szCs w:val="24"/>
        </w:rPr>
        <w:t xml:space="preserve"> </w:t>
      </w:r>
      <w:r w:rsidRPr="00F568AB">
        <w:rPr>
          <w:rFonts w:ascii="Times New Roman" w:eastAsia="Times New Roman" w:hAnsi="Times New Roman" w:cs="Times New Roman"/>
          <w:sz w:val="24"/>
          <w:szCs w:val="24"/>
        </w:rPr>
        <w:t xml:space="preserve">a la espera de que la reactivación se afiance. </w:t>
      </w:r>
      <w:r w:rsidRPr="00F568AB">
        <w:rPr>
          <w:rFonts w:ascii="Times New Roman" w:eastAsia="Times New Roman" w:hAnsi="Times New Roman" w:cs="Times New Roman"/>
          <w:bCs/>
          <w:sz w:val="24"/>
          <w:szCs w:val="24"/>
        </w:rPr>
        <w:t xml:space="preserve">Lehman quebró hace cinco años... pero parece que fue ayer. </w:t>
      </w:r>
      <w:r w:rsidRPr="00F568AB">
        <w:rPr>
          <w:rFonts w:ascii="Times New Roman" w:eastAsia="Times New Roman" w:hAnsi="Times New Roman" w:cs="Times New Roman"/>
          <w:sz w:val="24"/>
          <w:szCs w:val="24"/>
        </w:rPr>
        <w:t>Es lo que tiene que la alargada sombra de su caída aún planee sobre la economía mundial.</w:t>
      </w: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La Reserva Federal cifra en 12,6 billones de dólares la cantidad que movilizó para estabilizar el sector financiero, lo que equivale a más del 80% del PIB de 2007. Eso sin contar con unos tipos de interés estancados en el 0% desde diciembre de 2008 y tres rondas de estímulos que provocaron que el balance de la Reserva Federal se </w:t>
      </w:r>
      <w:r w:rsidRPr="00F568AB">
        <w:rPr>
          <w:rFonts w:ascii="Times New Roman" w:eastAsia="Times New Roman" w:hAnsi="Times New Roman" w:cs="Times New Roman"/>
          <w:sz w:val="24"/>
          <w:szCs w:val="24"/>
        </w:rPr>
        <w:lastRenderedPageBreak/>
        <w:t>multiplicara por cuatro en cinco años, desde los 925.750 millones previos a la quiebra de Lehman.</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Para salvar a la </w:t>
      </w:r>
      <w:r w:rsidR="00F568AB">
        <w:rPr>
          <w:rFonts w:ascii="Times New Roman" w:eastAsia="Times New Roman" w:hAnsi="Times New Roman" w:cs="Times New Roman"/>
          <w:sz w:val="24"/>
          <w:szCs w:val="24"/>
        </w:rPr>
        <w:t>banca -y de paso, la economía-</w:t>
      </w:r>
      <w:r w:rsidRPr="00F568AB">
        <w:rPr>
          <w:rFonts w:ascii="Times New Roman" w:eastAsia="Times New Roman" w:hAnsi="Times New Roman" w:cs="Times New Roman"/>
          <w:sz w:val="24"/>
          <w:szCs w:val="24"/>
        </w:rPr>
        <w:t xml:space="preserve"> la Administración de George W. Bush creó un programa de asistencia a activos problemáticos (llamado TARP, sus siglas en inglés). El plan contó inicialmente con 700.000 millones de dólares, aunque el desembolso final fue de 418.000 millones. Parte del dinero se dirigió también hacia General Motors y Chrysler, para financiar su reflote. Cinco años después, la parte del plan de rescate correspondiente a la banca tiene unos beneficios de 27.600 millones.</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Muchas de las instituciones que recibieron ayuda no eran estadounidenses, como Société Générale, BNP Paribas o Deustche Bank. Las ramificaciones del sector financiero provocaron que la crisis se dispersara con rapidez por todo el planeta, afectando especialmente a las economías industrializadas, donde las vulnerabilidades y los excesivos riesgos asumidos por sus bancos quedaron completamente al descubierto. Eso forzó a los bancos centrales a abrir de forma coordinada líneas de liquidez en dólares, porque las cañerías del sistema financiero se quedaron literalmente secas.</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crisis financiera provocó la que se considera ya como la primera recesión planetaria: según datos del Fondo Monetario Internacional (FMI), el PIB mundial sufrió una contracción del 0,7% en 2009. En las economías avanzadas, el saldo negativo fue del 3,7%, mientras que los emergentes se convertían en los flotadores del crecimiento global.</w:t>
      </w:r>
    </w:p>
    <w:p w:rsidR="00F22B93" w:rsidRDefault="00F22B93" w:rsidP="00550638">
      <w:pPr>
        <w:spacing w:after="0" w:line="240" w:lineRule="auto"/>
        <w:jc w:val="both"/>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confusión sobre lo sucedido no se ha despejado del todo. La gran pregunta es qué habría pasado si se hubiera rescatado a tiempo el banco dirigido por Dick Fuld, uno de los villanos de la crisis. Lo más probable es que las cosas no hubieran sido muy diferentes. La bautizada como la Gran Re</w:t>
      </w:r>
      <w:r w:rsidR="00F568AB">
        <w:rPr>
          <w:rFonts w:ascii="Times New Roman" w:eastAsia="Times New Roman" w:hAnsi="Times New Roman" w:cs="Times New Roman"/>
          <w:sz w:val="24"/>
          <w:szCs w:val="24"/>
        </w:rPr>
        <w:t>cesión ya había comenzado en EE</w:t>
      </w:r>
      <w:r w:rsidRPr="00F568AB">
        <w:rPr>
          <w:rFonts w:ascii="Times New Roman" w:eastAsia="Times New Roman" w:hAnsi="Times New Roman" w:cs="Times New Roman"/>
          <w:sz w:val="24"/>
          <w:szCs w:val="24"/>
        </w:rPr>
        <w:t>UU en diciembre de 2007, siete meses antes de la caída de Lehman. Fue la confluencia de varios factores la que la produjo: la concesión de préstamos por parte de los bancos a clientes que no lo merecían, el pobre trabajo de las agencias que ponen nota a la deuda, una regulación financiera laxa y una serie de incentivos públicos que animaron a que se prestara y se pidiera prestado. En otras palabras, el dinero fácil y el aparente exceso de liquidez hincharon la burbuja durante la expansión hasta explotar.</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Si la desregulación financiera es uno de los factores que provocaron la catástrofe, se puede señalar entonces a varios responsables. El proceso se inició con el republicano Ronald Reagan, que gobernó en los años ochenta, aunque fue con el demócrata Bill Clinton, una década después, cuando se abonó el terreno a los excesos que llevaron a colapso de Lehman. Bajo su presidencia murió la Ley Glass-Steagall, que en 1933 había levantado un muro de separación entre la banca de inversión y la comercial para evitar que se produjera un crash bursátil como el de 1929.</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También con Bill Clinton cobraron vida nuevas leyes que desregularon los contratos de futuros y forzaron a los bancos a conceder préstamos a propietarios con un pobre historial crediticio. Todo ello sucedió con Alan Greenspan al frente de la Reserva Federal y fue abrazado después por George W. Bush. El propio Greenspan admitió más tarde que el error fue confiar en que los bancos serían capaces de regularse a sí mismos.</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lastRenderedPageBreak/>
        <w:t>Una de l</w:t>
      </w:r>
      <w:r w:rsidR="00F568AB">
        <w:rPr>
          <w:rFonts w:ascii="Times New Roman" w:eastAsia="Times New Roman" w:hAnsi="Times New Roman" w:cs="Times New Roman"/>
          <w:sz w:val="24"/>
          <w:szCs w:val="24"/>
        </w:rPr>
        <w:t>as respuestas a la crisis en EE</w:t>
      </w:r>
      <w:r w:rsidRPr="00F568AB">
        <w:rPr>
          <w:rFonts w:ascii="Times New Roman" w:eastAsia="Times New Roman" w:hAnsi="Times New Roman" w:cs="Times New Roman"/>
          <w:sz w:val="24"/>
          <w:szCs w:val="24"/>
        </w:rPr>
        <w:t>UU fue la Ley Dodd-Frank, una reforma del sistema financiero destinada a reforzar la supervisión de las grandes entidades y a obligarlas a elevar sus colchones de capital. Cinco años después, los reguladores aseguran que el sistema financiero es hoy más seguro, que el dinero del contribuyente está protegido y que en la próxima crisis las cosas se harán de una manera más ordenada, sin que domine el pánico. Sin embargo, la Ley Dodd-Frank y las nuevas normas internacionales no evitaron que el concepto de demasiado grande para caer siga siendo una realidad. Solo hay que ver el actual tamaño de JP Morgan, convertido en e</w:t>
      </w:r>
      <w:r w:rsidR="00F568AB">
        <w:rPr>
          <w:rFonts w:ascii="Times New Roman" w:eastAsia="Times New Roman" w:hAnsi="Times New Roman" w:cs="Times New Roman"/>
          <w:sz w:val="24"/>
          <w:szCs w:val="24"/>
        </w:rPr>
        <w:t>l mayor banco de EE</w:t>
      </w:r>
      <w:r w:rsidRPr="00F568AB">
        <w:rPr>
          <w:rFonts w:ascii="Times New Roman" w:eastAsia="Times New Roman" w:hAnsi="Times New Roman" w:cs="Times New Roman"/>
          <w:sz w:val="24"/>
          <w:szCs w:val="24"/>
        </w:rPr>
        <w:t>UU, con unos activos superiores a los 2,5 billones de dólares.</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Las cuatro mayores fir</w:t>
      </w:r>
      <w:r w:rsidR="00F568AB">
        <w:rPr>
          <w:rFonts w:ascii="Times New Roman" w:eastAsia="Times New Roman" w:hAnsi="Times New Roman" w:cs="Times New Roman"/>
          <w:sz w:val="24"/>
          <w:szCs w:val="24"/>
        </w:rPr>
        <w:t>mas financieras de EE</w:t>
      </w:r>
      <w:r w:rsidRPr="00F568AB">
        <w:rPr>
          <w:rFonts w:ascii="Times New Roman" w:eastAsia="Times New Roman" w:hAnsi="Times New Roman" w:cs="Times New Roman"/>
          <w:sz w:val="24"/>
          <w:szCs w:val="24"/>
        </w:rPr>
        <w:t>UU son, a septiembre de 2013, un 30% más grandes que antes del colapso de Lehman Brothers. La aplicación de la nueva regulación financiera, que busca que los bancos sean más transparentes, va con retraso a escala internacional, mientras en paralelo se debate sobre la necesidad de levantar de nuevo un cortafuegos en el negocio de los grandes bancos, al estilo de la Ley Glass-Steagall, una iniciativa que se topa con el poderoso lobby de Wall Street.</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Hay pocas dudas acerca de que la exigencia de una mayor liquidez a los bancos permita que tengan más margen para capear el próximo revés. Las pruebas de estrés, como las que realiza la Reserva Federal, están sirviendo para poner freno a lo que gastan los bancos para tener contentos a los accionistas. Además, la regulación financiera cubre ahora a más entidades, y la Fed cuenta con poderes adicionales para actuar. A escala global, el FMI considera que las reformas avanzan en la buena dirección. Pero también dice que la estructura básica del sistema financiero sigue siendo la misma que antes de la crisis y advierte de los peligros que ello supone. En otras palabras: es demasiado compleja y los activos están concentrados en bancos sistémicos, demasiado grandes para caer.</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Si la repuesta a unos eventos extraordinarios fue extraordinaria, también lo fueron las consecuencias. Al hacer balance de la crisis, la Reserva Federal de Dallas ha publicado un estudio (septiembre 2013) en el que revela que la Gran Recesión va a costar hasta 120.0</w:t>
      </w:r>
      <w:r w:rsidR="00F568AB">
        <w:rPr>
          <w:rFonts w:ascii="Times New Roman" w:eastAsia="Times New Roman" w:hAnsi="Times New Roman" w:cs="Times New Roman"/>
          <w:sz w:val="24"/>
          <w:szCs w:val="24"/>
        </w:rPr>
        <w:t>00 dólares a cada familia en EE</w:t>
      </w:r>
      <w:r w:rsidRPr="00F568AB">
        <w:rPr>
          <w:rFonts w:ascii="Times New Roman" w:eastAsia="Times New Roman" w:hAnsi="Times New Roman" w:cs="Times New Roman"/>
          <w:sz w:val="24"/>
          <w:szCs w:val="24"/>
        </w:rPr>
        <w:t>UU, lo que equivale a una pérdida de poder adquisitivo de hasta 14 billones de dólares. Es como borrar de un plumazo casi todo el PIB de la mayor potencia del mundo.</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cifra es producto de la pérdida de valor del patrimonio y de la caída de las remuneraciones vividas en los últimos cinco años. La gran duda en este momento, como muestra el mismo e</w:t>
      </w:r>
      <w:r w:rsidR="00F568AB">
        <w:rPr>
          <w:rFonts w:ascii="Times New Roman" w:eastAsia="Times New Roman" w:hAnsi="Times New Roman" w:cs="Times New Roman"/>
          <w:sz w:val="24"/>
          <w:szCs w:val="24"/>
        </w:rPr>
        <w:t>studio, es si la economía de EE</w:t>
      </w:r>
      <w:r w:rsidRPr="00F568AB">
        <w:rPr>
          <w:rFonts w:ascii="Times New Roman" w:eastAsia="Times New Roman" w:hAnsi="Times New Roman" w:cs="Times New Roman"/>
          <w:sz w:val="24"/>
          <w:szCs w:val="24"/>
        </w:rPr>
        <w:t>UU será capaz de recuperar el vigor previo a la crisis. Si no lo consigue, la Fed de Dallas señala que el impacto será aún mayor. Y todo esto sin contar con el colapso del mercado inmobiliario, donde el precio medio de la vivienda arrastra, a septiembre de 2013, una depreciación del 25%.</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Oficialmente, la Gran Recesión acabó en junio de 2009, aunque en Wall Street se tocó fondo unos meses antes. Eso, sobre papel. El ciudadano de la calle lo siente de otra manera. La recesión destruy</w:t>
      </w:r>
      <w:r w:rsidR="00F568AB">
        <w:rPr>
          <w:rFonts w:ascii="Times New Roman" w:eastAsia="Times New Roman" w:hAnsi="Times New Roman" w:cs="Times New Roman"/>
          <w:sz w:val="24"/>
          <w:szCs w:val="24"/>
        </w:rPr>
        <w:t>ó 8,7 millones de empleos en EE</w:t>
      </w:r>
      <w:r w:rsidRPr="00F568AB">
        <w:rPr>
          <w:rFonts w:ascii="Times New Roman" w:eastAsia="Times New Roman" w:hAnsi="Times New Roman" w:cs="Times New Roman"/>
          <w:sz w:val="24"/>
          <w:szCs w:val="24"/>
        </w:rPr>
        <w:t xml:space="preserve">UU y el total de parados se disparó a 14,7 millones. La tasa de paro alcanzó el 10% en octubre de 2009. En septiembre de 2013 está en el 7,3%, una mejora que se explica por la caída en la tasa de participación (las personas dispuestas a trabajar) hasta el 63,2%, su nivel de 1978. Si estuviera en el 66,5% registrado de media entre 1988 y 2007, según Moody’s, el paro sería del 11,9%. Cuatro años después de la recesión, hay 11,3 millones de parados y </w:t>
      </w:r>
      <w:r w:rsidRPr="00F568AB">
        <w:rPr>
          <w:rFonts w:ascii="Times New Roman" w:eastAsia="Times New Roman" w:hAnsi="Times New Roman" w:cs="Times New Roman"/>
          <w:sz w:val="24"/>
          <w:szCs w:val="24"/>
        </w:rPr>
        <w:lastRenderedPageBreak/>
        <w:t>10,6 mil</w:t>
      </w:r>
      <w:r w:rsidR="00F568AB">
        <w:rPr>
          <w:rFonts w:ascii="Times New Roman" w:eastAsia="Times New Roman" w:hAnsi="Times New Roman" w:cs="Times New Roman"/>
          <w:sz w:val="24"/>
          <w:szCs w:val="24"/>
        </w:rPr>
        <w:t>lones de personas subempleadas -</w:t>
      </w:r>
      <w:r w:rsidRPr="00F568AB">
        <w:rPr>
          <w:rFonts w:ascii="Times New Roman" w:eastAsia="Times New Roman" w:hAnsi="Times New Roman" w:cs="Times New Roman"/>
          <w:sz w:val="24"/>
          <w:szCs w:val="24"/>
        </w:rPr>
        <w:t>forza</w:t>
      </w:r>
      <w:r w:rsidR="00F568AB">
        <w:rPr>
          <w:rFonts w:ascii="Times New Roman" w:eastAsia="Times New Roman" w:hAnsi="Times New Roman" w:cs="Times New Roman"/>
          <w:sz w:val="24"/>
          <w:szCs w:val="24"/>
        </w:rPr>
        <w:t>das a trabajar a tiempo parcial-</w:t>
      </w:r>
      <w:r w:rsidRPr="00F568AB">
        <w:rPr>
          <w:rFonts w:ascii="Times New Roman" w:eastAsia="Times New Roman" w:hAnsi="Times New Roman" w:cs="Times New Roman"/>
          <w:sz w:val="24"/>
          <w:szCs w:val="24"/>
        </w:rPr>
        <w:t xml:space="preserve"> o que se declaran frustradas con las perspectivas laborales.</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La recuperación del colapso escenificado con el derrumbe de Lehman Brothers está siendo, por tanto, desigual, y la incertidumbre de la opinión pública respecto al futuro de la economía y del sistema financiero persiste en el quinto aniversar</w:t>
      </w:r>
      <w:r w:rsidR="00F568AB">
        <w:rPr>
          <w:rFonts w:ascii="Times New Roman" w:eastAsia="Times New Roman" w:hAnsi="Times New Roman" w:cs="Times New Roman"/>
          <w:sz w:val="24"/>
          <w:szCs w:val="24"/>
        </w:rPr>
        <w:t>io. El ciudadano, en EE</w:t>
      </w:r>
      <w:r w:rsidRPr="00F568AB">
        <w:rPr>
          <w:rFonts w:ascii="Times New Roman" w:eastAsia="Times New Roman" w:hAnsi="Times New Roman" w:cs="Times New Roman"/>
          <w:sz w:val="24"/>
          <w:szCs w:val="24"/>
        </w:rPr>
        <w:t>UU, nota que las cosas empiezan a ir mejor, pero, en general, teme que se quede en un nuevo intento de recuperación, como cuando se habló de los brotes verdes en la primavera de 2009.</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 xml:space="preserve"> Durante este tiempo, además, se ha incrementado la brecha entre los que más tienen y los que menos, un problema que se plasma en numerosos estudios publicados en los últimos dos años y que denunció el movimiento Ocupemos Wall Street. El 10% que está más arriba se llevó la mitad de la riqueza generada por la economía. Y si se sube aún más alto, el 1% se comió una quinta parte.</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Pr="00F568AB"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Para las rentas más altas, la crisis pasó mucho antes que para el ciudadano medio. Los que más tienen fueron los que más se beneficiaron del repunte de Wall Street, de la mejora del mercado inmobiliario y de tipos de interés por los suelos, por no dejar de mencionar los dividendos que reciben por sus inversiones en empresas que vuelven a ser muy rentables. Los más ricos controlan el 90% del capital que se mueve en el parqué.</w:t>
      </w:r>
    </w:p>
    <w:p w:rsidR="00373926" w:rsidRPr="00F568AB" w:rsidRDefault="00373926" w:rsidP="00550638">
      <w:pPr>
        <w:spacing w:after="0" w:line="240" w:lineRule="auto"/>
        <w:jc w:val="both"/>
        <w:rPr>
          <w:rFonts w:ascii="Times New Roman" w:eastAsia="Times New Roman" w:hAnsi="Times New Roman" w:cs="Times New Roman"/>
          <w:sz w:val="24"/>
          <w:szCs w:val="24"/>
        </w:rPr>
      </w:pPr>
    </w:p>
    <w:p w:rsidR="00373926" w:rsidRDefault="00373926" w:rsidP="00550638">
      <w:pPr>
        <w:spacing w:after="0" w:line="240" w:lineRule="auto"/>
        <w:jc w:val="both"/>
        <w:rPr>
          <w:rFonts w:ascii="Times New Roman" w:eastAsia="Times New Roman" w:hAnsi="Times New Roman" w:cs="Times New Roman"/>
          <w:sz w:val="24"/>
          <w:szCs w:val="24"/>
        </w:rPr>
      </w:pPr>
      <w:r w:rsidRPr="00F568AB">
        <w:rPr>
          <w:rFonts w:ascii="Times New Roman" w:eastAsia="Times New Roman" w:hAnsi="Times New Roman" w:cs="Times New Roman"/>
          <w:sz w:val="24"/>
          <w:szCs w:val="24"/>
        </w:rPr>
        <w:t>Esa brecha también se ve a escala global. El FMI advierte de que el desempleo sigue afectando de manera desproporcionada a los jóvenes. Se calcula que hay aún 200 millones de empleos por recuperar en todo el mundo, destruidos por la crisis financiera. La gran dificultad está en cómo desmontar la estructura puesta en marcha para responder a la crisis sin que eso afecte a los emergentes. Hacia ellos se dirigió la liquidez cuando el mundo desarrollado estuvo en dificultades y ahora empiezan a mostrar síntomas de debilitamiento. Es otra evidencia de que las réplicas de la crisis siguen reverberando en una economía global que necesita de los estímulos para crecer y está dominada por la incertidumbre. Por eso, el temor es que la próxim</w:t>
      </w:r>
      <w:r w:rsidR="00F568AB">
        <w:rPr>
          <w:rFonts w:ascii="Times New Roman" w:eastAsia="Times New Roman" w:hAnsi="Times New Roman" w:cs="Times New Roman"/>
          <w:sz w:val="24"/>
          <w:szCs w:val="24"/>
        </w:rPr>
        <w:t>a implosión no afecte solo a EE</w:t>
      </w:r>
      <w:r w:rsidRPr="00F568AB">
        <w:rPr>
          <w:rFonts w:ascii="Times New Roman" w:eastAsia="Times New Roman" w:hAnsi="Times New Roman" w:cs="Times New Roman"/>
          <w:sz w:val="24"/>
          <w:szCs w:val="24"/>
        </w:rPr>
        <w:t>UU y Europa, sino también a Rusia, Brasil y China.</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hAnsi="Times New Roman" w:cs="Times New Roman"/>
          <w:sz w:val="24"/>
          <w:szCs w:val="24"/>
          <w:u w:val="single"/>
        </w:rPr>
      </w:pPr>
      <w:r w:rsidRPr="00A758B5">
        <w:rPr>
          <w:rFonts w:ascii="Times New Roman" w:hAnsi="Times New Roman" w:cs="Times New Roman"/>
          <w:sz w:val="24"/>
          <w:szCs w:val="24"/>
          <w:u w:val="single"/>
        </w:rPr>
        <w:t>Comienza el séptimo año de la crisis</w:t>
      </w:r>
    </w:p>
    <w:p w:rsidR="00C43A12" w:rsidRDefault="00C43A12" w:rsidP="00550638">
      <w:pPr>
        <w:spacing w:before="100" w:beforeAutospacing="1" w:after="100" w:afterAutospacing="1" w:line="240" w:lineRule="auto"/>
        <w:jc w:val="both"/>
        <w:rPr>
          <w:rFonts w:ascii="Times New Roman" w:eastAsia="Times New Roman" w:hAnsi="Times New Roman" w:cs="Times New Roman"/>
          <w:sz w:val="24"/>
          <w:szCs w:val="24"/>
        </w:rPr>
      </w:pPr>
      <w:r w:rsidRPr="00C43A12">
        <w:rPr>
          <w:rFonts w:ascii="Times New Roman" w:eastAsia="Times New Roman" w:hAnsi="Times New Roman" w:cs="Times New Roman"/>
          <w:sz w:val="24"/>
          <w:szCs w:val="24"/>
        </w:rPr>
        <w:t xml:space="preserve">¿Qué es lo que está pasando? </w:t>
      </w:r>
      <w:r w:rsidRPr="00C43A12">
        <w:rPr>
          <w:rFonts w:ascii="Times New Roman" w:eastAsia="Times New Roman" w:hAnsi="Times New Roman" w:cs="Times New Roman"/>
          <w:bCs/>
          <w:sz w:val="24"/>
          <w:szCs w:val="24"/>
        </w:rPr>
        <w:t xml:space="preserve">¿Por qué esta crisis se está enquistando y parece que no va a terminar nunca? </w:t>
      </w:r>
      <w:r w:rsidRPr="00C43A12">
        <w:rPr>
          <w:rFonts w:ascii="Times New Roman" w:eastAsia="Times New Roman" w:hAnsi="Times New Roman" w:cs="Times New Roman"/>
          <w:sz w:val="24"/>
          <w:szCs w:val="24"/>
        </w:rPr>
        <w:t>¿Acaso ésta es la nueva normalidad?</w:t>
      </w:r>
      <w:r>
        <w:rPr>
          <w:rFonts w:ascii="Times New Roman" w:eastAsia="Times New Roman" w:hAnsi="Times New Roman" w:cs="Times New Roman"/>
          <w:sz w:val="24"/>
          <w:szCs w:val="24"/>
        </w:rPr>
        <w:t xml:space="preserve"> </w:t>
      </w:r>
    </w:p>
    <w:p w:rsidR="00F22B93" w:rsidRPr="00C43A12" w:rsidRDefault="00F22B93"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Las siguientes</w:t>
      </w:r>
      <w:r w:rsidR="00C43A12">
        <w:rPr>
          <w:rFonts w:ascii="Times New Roman" w:eastAsia="Times New Roman" w:hAnsi="Times New Roman" w:cs="Times New Roman"/>
          <w:sz w:val="24"/>
          <w:szCs w:val="24"/>
        </w:rPr>
        <w:t xml:space="preserve"> “lecturas</w:t>
      </w:r>
      <w:r w:rsidR="00A14542">
        <w:rPr>
          <w:rFonts w:ascii="Times New Roman" w:eastAsia="Times New Roman" w:hAnsi="Times New Roman" w:cs="Times New Roman"/>
          <w:sz w:val="24"/>
          <w:szCs w:val="24"/>
        </w:rPr>
        <w:t xml:space="preserve"> recomendadas” (de prestigiosos </w:t>
      </w:r>
      <w:r w:rsidR="00C43A12">
        <w:rPr>
          <w:rFonts w:ascii="Times New Roman" w:eastAsia="Times New Roman" w:hAnsi="Times New Roman" w:cs="Times New Roman"/>
          <w:sz w:val="24"/>
          <w:szCs w:val="24"/>
        </w:rPr>
        <w:t>autores)</w:t>
      </w:r>
      <w:r>
        <w:rPr>
          <w:rFonts w:ascii="Times New Roman" w:eastAsia="Times New Roman" w:hAnsi="Times New Roman" w:cs="Times New Roman"/>
          <w:sz w:val="24"/>
          <w:szCs w:val="24"/>
        </w:rPr>
        <w:t>,</w:t>
      </w:r>
      <w:r w:rsidR="00C43A12">
        <w:rPr>
          <w:rFonts w:ascii="Times New Roman" w:eastAsia="Times New Roman" w:hAnsi="Times New Roman" w:cs="Times New Roman"/>
          <w:sz w:val="24"/>
          <w:szCs w:val="24"/>
        </w:rPr>
        <w:t xml:space="preserve"> pueden</w:t>
      </w:r>
      <w:r w:rsidR="00E2240D">
        <w:rPr>
          <w:rFonts w:ascii="Times New Roman" w:eastAsia="Times New Roman" w:hAnsi="Times New Roman" w:cs="Times New Roman"/>
          <w:sz w:val="24"/>
          <w:szCs w:val="24"/>
        </w:rPr>
        <w:t xml:space="preserve"> ayudarles, tal vez, a encontrar</w:t>
      </w:r>
      <w:r>
        <w:rPr>
          <w:rFonts w:ascii="Times New Roman" w:eastAsia="Times New Roman" w:hAnsi="Times New Roman" w:cs="Times New Roman"/>
          <w:sz w:val="24"/>
          <w:szCs w:val="24"/>
        </w:rPr>
        <w:t xml:space="preserve"> algunas respuestas</w:t>
      </w:r>
      <w:r w:rsidR="00C43A12">
        <w:rPr>
          <w:rFonts w:ascii="Times New Roman" w:eastAsia="Times New Roman" w:hAnsi="Times New Roman" w:cs="Times New Roman"/>
          <w:sz w:val="24"/>
          <w:szCs w:val="24"/>
        </w:rPr>
        <w:t>:</w:t>
      </w:r>
    </w:p>
    <w:p w:rsidR="00C43A12" w:rsidRDefault="00C43A12" w:rsidP="00550638">
      <w:pPr>
        <w:pStyle w:val="NormalWeb"/>
        <w:jc w:val="both"/>
      </w:pPr>
      <w:r>
        <w:t xml:space="preserve">- </w:t>
      </w:r>
      <w:r w:rsidRPr="008040A0">
        <w:rPr>
          <w:u w:val="single"/>
        </w:rPr>
        <w:t>Los verdaderos culpables de la crisis</w:t>
      </w:r>
      <w:r>
        <w:t xml:space="preserve"> (Vozpópuli - </w:t>
      </w:r>
      <w:r w:rsidRPr="008040A0">
        <w:rPr>
          <w:b/>
        </w:rPr>
        <w:t>22/8/13</w:t>
      </w:r>
      <w:r>
        <w:t>)</w:t>
      </w:r>
    </w:p>
    <w:p w:rsidR="00C43A12" w:rsidRDefault="00C43A12" w:rsidP="00550638">
      <w:pPr>
        <w:pStyle w:val="NormalWeb"/>
        <w:jc w:val="both"/>
      </w:pPr>
      <w:r>
        <w:t xml:space="preserve">(Por Juan Ramón Rallo) </w:t>
      </w:r>
    </w:p>
    <w:p w:rsidR="00C43A12" w:rsidRPr="00964102" w:rsidRDefault="00C43A12" w:rsidP="00550638">
      <w:pPr>
        <w:pStyle w:val="NormalWeb"/>
        <w:jc w:val="both"/>
        <w:rPr>
          <w:color w:val="FF0000"/>
          <w:u w:val="single"/>
        </w:rPr>
      </w:pPr>
      <w:r w:rsidRPr="00964102">
        <w:rPr>
          <w:color w:val="FF0000"/>
          <w:u w:val="single"/>
        </w:rPr>
        <w:t>Seis años después de que estallara la crisis, “los culpables” andan sueltos con absoluta impunidad, motivo que ha conducido al justiciero Obama a tratar de enchironarlos</w:t>
      </w:r>
      <w:r>
        <w:t xml:space="preserve">. No se han filtrado detalles, pues en esto pesa más la forma que el fondo, </w:t>
      </w:r>
      <w:r w:rsidRPr="00964102">
        <w:rPr>
          <w:color w:val="FF0000"/>
          <w:u w:val="single"/>
        </w:rPr>
        <w:t xml:space="preserve">pero todo apunta a una ofensiva contra Wall Street: es decir, contra los bancos comerciales que financiaron </w:t>
      </w:r>
      <w:r w:rsidRPr="00964102">
        <w:rPr>
          <w:color w:val="FF0000"/>
          <w:u w:val="single"/>
        </w:rPr>
        <w:lastRenderedPageBreak/>
        <w:t>el desaguisado de la burbuja crediticia, contra los bancos de inversión que colocaron la basura de los anteriores por todo el mundo, contra las agencias de calificación que vistieron a la mona de seda o contra las aseguradoras financieras que asumieron una mayor exposición a los riesgos crediticios de lo que podían soportar.</w:t>
      </w:r>
    </w:p>
    <w:p w:rsidR="00C43A12" w:rsidRPr="005F6EA4" w:rsidRDefault="00C43A12" w:rsidP="00550638">
      <w:pPr>
        <w:pStyle w:val="NormalWeb"/>
        <w:jc w:val="both"/>
        <w:rPr>
          <w:u w:val="single"/>
        </w:rPr>
      </w:pPr>
      <w:r w:rsidRPr="005F6EA4">
        <w:rPr>
          <w:u w:val="single"/>
        </w:rPr>
        <w:t>Desde luego, todos ellos son culpables de inflar la oferta de crédito muy por encima de los niveles de ahorro que había detrás de ese crédito: a saber, todos ellos son culpables de abaratar artificialmente el crédito para inducir a familias y empresas a demandar más préstamos de los que habrían demandado a un coste financiero más alto y más realista. Sucede, sin embargo, que los mismos motivos que empleamos para cargar contra los oferentes de crédito también podríamos usarlos para reputar culpables a los imprudentes demandantes de crédito, es decir, a las familias y empresas que se aprovecharon del clima de tipos de interés artificialmente bajos para adelantar su consumo futuro o para sobredimensionar la escala de sus operaciones. ¿Los perseguirá a todos ellos Obama o se concentrará en un par de chivos expiatorios que le permitan hacer como que hace?</w:t>
      </w:r>
    </w:p>
    <w:p w:rsidR="00C43A12" w:rsidRPr="005F6EA4" w:rsidRDefault="00C43A12" w:rsidP="00550638">
      <w:pPr>
        <w:pStyle w:val="NormalWeb"/>
        <w:jc w:val="both"/>
        <w:rPr>
          <w:u w:val="single"/>
        </w:rPr>
      </w:pPr>
      <w:r w:rsidRPr="005F6EA4">
        <w:rPr>
          <w:color w:val="FF0000"/>
          <w:u w:val="single"/>
        </w:rPr>
        <w:t>Y es que, al final, todos aquellos que, de buena o de mala fe, se sumergieron en la orgía crediticia son responsables del desaguisado derivado de lo misma</w:t>
      </w:r>
      <w:r>
        <w:t xml:space="preserve">. Por supuesto, esto no significa ni que todos hayan cometido actividades delictivas ni que nadie lo haya hecho. Es evidente que la burbuja de crédito barato ha convivido con fraudes, engaños, estafas y desfalcos varios, por todo lo cual sus brazos ejecutores deberían ser perseguidos. Pero sí </w:t>
      </w:r>
      <w:r w:rsidRPr="005F6EA4">
        <w:rPr>
          <w:u w:val="single"/>
        </w:rPr>
        <w:t>significa que la inmensa mayoría de las actividades que contribuyeron a alimentar y disparatar la burbuja de crédito barato no tuvieron nada de delictivas y que, por consiguiente, si queremos ir más allá de un simple ajuste de cuentas extemporáneo y evitar que se repitan episodios tan devastadores como los que estamos sufriendo, habrá que buscar sus causas y sus culpables últimos; es decir, aquellos que ponen los medios para que los bancos privados ofrezcan demasiado crédito demasiado barato.</w:t>
      </w:r>
    </w:p>
    <w:p w:rsidR="00C43A12" w:rsidRDefault="00C43A12" w:rsidP="00550638">
      <w:pPr>
        <w:pStyle w:val="NormalWeb"/>
        <w:jc w:val="both"/>
      </w:pPr>
      <w:r>
        <w:t>Los privilegios estatales de la banca</w:t>
      </w:r>
    </w:p>
    <w:p w:rsidR="00C43A12" w:rsidRDefault="00C43A12" w:rsidP="00550638">
      <w:pPr>
        <w:pStyle w:val="NormalWeb"/>
        <w:jc w:val="both"/>
      </w:pPr>
      <w:r>
        <w:rPr>
          <w:color w:val="FF0000"/>
          <w:u w:val="single"/>
        </w:rPr>
        <w:t>La banca privada -</w:t>
      </w:r>
      <w:r w:rsidRPr="005F6EA4">
        <w:rPr>
          <w:color w:val="FF0000"/>
          <w:u w:val="single"/>
        </w:rPr>
        <w:t xml:space="preserve">como </w:t>
      </w:r>
      <w:r>
        <w:rPr>
          <w:color w:val="FF0000"/>
          <w:u w:val="single"/>
        </w:rPr>
        <w:t>cualquier otro agente económico-</w:t>
      </w:r>
      <w:r w:rsidRPr="005F6EA4">
        <w:rPr>
          <w:color w:val="FF0000"/>
          <w:u w:val="single"/>
        </w:rPr>
        <w:t xml:space="preserve"> es una industria que tiene fortísimos incentivos a endeudarse a corto plazo y prestar a largo plazo</w:t>
      </w:r>
      <w:r>
        <w:t>. Los tipos de interés que se abonan por la deuda a corto son generalmente mucho más reducidos que los de la deuda a largo, lo que posibilita efectuar un cierto arbitraje entre ambos. Si el banco concede una hipoteca a 30 años a un tipo fijo del 6% financiándola con un depósito a tres meses (o con un repo a un día) por el que paga un tipo anualizado del 1%, las ganancias son más que evidentes y atractivas. Además, el trasvase de capital desde el corto al largo plazo permite reducir los tipos a largo plazo, permitiendo que se endeude una nueva hornada de potenciales clientes satisfechos con las más laxas condiciones de financiación.</w:t>
      </w:r>
    </w:p>
    <w:p w:rsidR="00C43A12" w:rsidRPr="005F6EA4" w:rsidRDefault="00C43A12" w:rsidP="00550638">
      <w:pPr>
        <w:pStyle w:val="NormalWeb"/>
        <w:jc w:val="both"/>
        <w:rPr>
          <w:color w:val="FF0000"/>
          <w:u w:val="single"/>
        </w:rPr>
      </w:pPr>
      <w:r w:rsidRPr="005F6EA4">
        <w:rPr>
          <w:u w:val="single"/>
        </w:rPr>
        <w:t>Como digo, la tentación de arbitrar tipos de interés de distinto plazo no es un vicio exclusivo de la ba</w:t>
      </w:r>
      <w:r>
        <w:rPr>
          <w:u w:val="single"/>
        </w:rPr>
        <w:t>nca: cualquier empresa privada -o cualquier familia-</w:t>
      </w:r>
      <w:r w:rsidRPr="005F6EA4">
        <w:rPr>
          <w:u w:val="single"/>
        </w:rPr>
        <w:t xml:space="preserve"> estaría deseosa de financiarse a corto plazo con tal de minorar su coste financiero</w:t>
      </w:r>
      <w:r>
        <w:t xml:space="preserve">. </w:t>
      </w:r>
      <w:r w:rsidRPr="005F6EA4">
        <w:rPr>
          <w:color w:val="FF0000"/>
          <w:u w:val="single"/>
        </w:rPr>
        <w:t xml:space="preserve">La diferencia entre las familias y las empresas, por un lado, y la banca, por otro, es que las primeras caerían pronto en suspensión de pagos si optaran por hiperapalancarse a corto plazo. Pero la banca no: pese a que sus fuentes de financiación son depósitos a la vista o a corto plazo, repos o bonos de escasa duración y pese a que sus activos están repletos de activos a largo plazo, la muy maldita no termina de suspender pagos. ¿Cómo es posible? ¿Acaso </w:t>
      </w:r>
      <w:r w:rsidRPr="005F6EA4">
        <w:rPr>
          <w:color w:val="FF0000"/>
          <w:u w:val="single"/>
        </w:rPr>
        <w:lastRenderedPageBreak/>
        <w:t>ha sido bendecida la banca con una habilidad sobrenatural para gestionar su liquidez con la que no cuentan ni familias ni empresas?</w:t>
      </w:r>
    </w:p>
    <w:p w:rsidR="00C43A12" w:rsidRDefault="00C43A12" w:rsidP="00550638">
      <w:pPr>
        <w:pStyle w:val="NormalWeb"/>
        <w:jc w:val="both"/>
      </w:pPr>
      <w:r w:rsidRPr="005F6EA4">
        <w:rPr>
          <w:b/>
          <w:color w:val="FF0000"/>
          <w:u w:val="single"/>
        </w:rPr>
        <w:t>No, el asunto es bastante más sencillo: los bancos han ido acumulando, año tras año, crisis tras crisis, una montaña de privilegios concedidos por el Estado, y es esa montaña de privilegios la que les concede margen de maniobra para su exuberancia crediticia.</w:t>
      </w:r>
      <w:r w:rsidRPr="005F6EA4">
        <w:rPr>
          <w:color w:val="FF0000"/>
        </w:rPr>
        <w:t xml:space="preserve"> </w:t>
      </w:r>
      <w:r w:rsidRPr="005F6EA4">
        <w:rPr>
          <w:u w:val="single"/>
        </w:rPr>
        <w:t>Por un lado, los pasivos a la vista de la banca (depósitos a la vista) cuentan con el aval implícito del Tesoro, lo que incentiva a los acreedores del banco (depositantes) a que se despreocupen por entero de su liquidez y de su solvencia: ¿para qué exigir el repago de los depósitos si, en cualquier caso, el contribuyente terminará apoquinando?</w:t>
      </w:r>
      <w:r>
        <w:t xml:space="preserve"> </w:t>
      </w:r>
      <w:r w:rsidRPr="005F6EA4">
        <w:rPr>
          <w:u w:val="single"/>
        </w:rPr>
        <w:t>Por otro, aun cuando los depositantes acudieran en masa a retirar sus fondos del banco, éste podría dirigirse al banco central de turno para solicitar una refinanciación, en cuyo caso lograría evitar nuevamente la suspensión de pagos; pues, para más inri, el banco central ya no se ve forzado a pagar sus deudas en oro y, por tanto, posee un margen infinito para refinanciar a cualquier deudor</w:t>
      </w:r>
      <w:r>
        <w:t xml:space="preserve">. </w:t>
      </w:r>
      <w:r w:rsidRPr="005F6EA4">
        <w:rPr>
          <w:color w:val="FF0000"/>
          <w:u w:val="single"/>
        </w:rPr>
        <w:t>¿Hay alguna otra industria cuyos pasivos se vean protegidos contra la insolvencia y la iliquidez por las autoridades estatales? No: de ahí que la banca ostente una posición privilegiada (gracias al Estado) dentro del entramado financiero actual que le permite expandir y abaratar tanto el crédito como sus demandantes solventes se lo requieran.</w:t>
      </w:r>
      <w:r>
        <w:t xml:space="preserve"> La financiación familiar y empresarial deja de estar limitada por la disponibilidad de capital y pasa a estarlo sólo por la calenturienta imaginación faraónica del banquero de turno.</w:t>
      </w:r>
    </w:p>
    <w:p w:rsidR="00C43A12" w:rsidRPr="005F6EA4" w:rsidRDefault="00C43A12" w:rsidP="00550638">
      <w:pPr>
        <w:pStyle w:val="NormalWeb"/>
        <w:jc w:val="both"/>
        <w:rPr>
          <w:b/>
          <w:color w:val="FF0000"/>
          <w:u w:val="single"/>
        </w:rPr>
      </w:pPr>
      <w:r w:rsidRPr="005F6EA4">
        <w:rPr>
          <w:b/>
          <w:color w:val="FF0000"/>
          <w:u w:val="single"/>
        </w:rPr>
        <w:t>El problema, por consiguiente, reside en que el Estado ha abortado todos los mecanismos con los que sí contaría el mercado para poner coto a la imprudencia financiera de los agentes económicos: las corridas bancarias y el riesgo cierto de suspender pagos. Es más, el Estado incluso ha promovido esa masiva imprudencia financiera cuando le ha convenido políticamente, empujando al banco central a bajar los tipos de interés del mercado interbancario con el objetivo de inducir una nueva burbuja de crédito: por ejemplo en 2001 (cuando la Fed, primero, y el BCE, después, colocar sus tasas de intervención en mínimos históricos) o por ejemplo ahora mismo con los reiterados Quantitative Easings. ¿O cuál creen que es el propósito de esas flexibilizaciones cuantitativas salvo la de inducir un abaratamiento del coste de financiación de la economía estadounidense y facilitar así una nueva ronda de endeudamiento y de pelotazos crediticios?</w:t>
      </w:r>
    </w:p>
    <w:p w:rsidR="00C43A12" w:rsidRDefault="00C43A12" w:rsidP="00550638">
      <w:pPr>
        <w:pStyle w:val="NormalWeb"/>
        <w:jc w:val="both"/>
        <w:rPr>
          <w:color w:val="FF0000"/>
          <w:u w:val="single"/>
        </w:rPr>
      </w:pPr>
      <w:r w:rsidRPr="005F6EA4">
        <w:rPr>
          <w:u w:val="single"/>
        </w:rPr>
        <w:t>Si Obama quiere perseguir a los culpables de la crisis, lo tiene muy sencillo: puede comenzar por cerrar la Reserva Federal y el FDIC, por colocar entre rejas a sus presidentes pasados y presentes tras inhabilitarles para el ejercicio de cargos públicos y privados, y por no rescatar a los bancos privados que incurran en prácticas financieras imprudentes (todos).</w:t>
      </w:r>
      <w:r>
        <w:t xml:space="preserve"> Si no lo hace, si en lugar de ello sigue mareando la perdiz y desenfocando la naturaleza de los auténticos problemas de fondo, si reduce todos los desequilibrios a una mera cuestión de malas aptitudes personales por parte de unos equipos gestores demasiado codiciosos en lugar de a una pésima e inflacionista configuración de todo el entramado sistema financiero, acaso sea porque </w:t>
      </w:r>
      <w:r w:rsidRPr="005F6EA4">
        <w:rPr>
          <w:color w:val="FF0000"/>
          <w:u w:val="single"/>
        </w:rPr>
        <w:t>él es en estos momentos el principal cómplice de unos verdaderos culpables que no desean ser descubiertos. Cortina de humo, se llama.</w:t>
      </w:r>
    </w:p>
    <w:p w:rsidR="00C43A12" w:rsidRPr="005A7BF9" w:rsidRDefault="00C43A12" w:rsidP="00550638">
      <w:pPr>
        <w:pStyle w:val="NormalWeb"/>
        <w:jc w:val="both"/>
      </w:pPr>
      <w:r>
        <w:t>(</w:t>
      </w:r>
      <w:r w:rsidRPr="005A7BF9">
        <w:t>Juan Ramón Rallo es</w:t>
      </w:r>
      <w:r w:rsidR="00163A77">
        <w:t xml:space="preserve"> doctor en Economía </w:t>
      </w:r>
      <w:r w:rsidRPr="005A7BF9">
        <w:t>y licenciado</w:t>
      </w:r>
      <w:r w:rsidR="00163A77">
        <w:t xml:space="preserve"> en Derecho </w:t>
      </w:r>
      <w:r w:rsidRPr="005A7BF9">
        <w:t>por la Universidad de Valencia</w:t>
      </w:r>
      <w:r w:rsidR="00163A77">
        <w:t xml:space="preserve">, </w:t>
      </w:r>
      <w:r w:rsidRPr="005A7BF9">
        <w:t>master en Economía de la Escuela Austriaca por la Universidad Rey Juan</w:t>
      </w:r>
      <w:r w:rsidR="00163A77">
        <w:t xml:space="preserve"> </w:t>
      </w:r>
      <w:r w:rsidR="00163A77">
        <w:lastRenderedPageBreak/>
        <w:t>Carlos de Madrid. E</w:t>
      </w:r>
      <w:r w:rsidRPr="005A7BF9">
        <w:t>s profesor en esta última universidad y en los centros de e</w:t>
      </w:r>
      <w:r w:rsidR="00163A77">
        <w:t>studios OMMA e Isead. E</w:t>
      </w:r>
      <w:r w:rsidRPr="005A7BF9">
        <w:t>s directo</w:t>
      </w:r>
      <w:r>
        <w:t>r del Instituto Juan de Mariana…)</w:t>
      </w:r>
    </w:p>
    <w:p w:rsidR="00C43A12" w:rsidRDefault="00C43A12" w:rsidP="00550638">
      <w:pPr>
        <w:pStyle w:val="NormalWeb"/>
        <w:jc w:val="both"/>
      </w:pPr>
      <w:r>
        <w:t xml:space="preserve">- </w:t>
      </w:r>
      <w:r w:rsidRPr="001A241C">
        <w:rPr>
          <w:u w:val="single"/>
        </w:rPr>
        <w:t>El patológico legado de Lehman</w:t>
      </w:r>
      <w:r>
        <w:t xml:space="preserve"> (Project Syndicate - </w:t>
      </w:r>
      <w:r w:rsidRPr="001A241C">
        <w:rPr>
          <w:b/>
        </w:rPr>
        <w:t>27/8/13</w:t>
      </w:r>
      <w:r>
        <w:t>)</w:t>
      </w:r>
      <w:r>
        <w:tab/>
      </w:r>
    </w:p>
    <w:p w:rsidR="00C43A12" w:rsidRPr="00AE04BD" w:rsidRDefault="00C43A12" w:rsidP="00550638">
      <w:pPr>
        <w:pStyle w:val="NormalWeb"/>
        <w:jc w:val="both"/>
      </w:pPr>
      <w:r>
        <w:t xml:space="preserve">(Por </w:t>
      </w:r>
      <w:r w:rsidRPr="00AE04BD">
        <w:t>Mohamed A. El-Erian</w:t>
      </w:r>
      <w:r>
        <w:t>)</w:t>
      </w:r>
    </w:p>
    <w:p w:rsidR="00C43A12" w:rsidRDefault="00C43A12" w:rsidP="00550638">
      <w:pPr>
        <w:pStyle w:val="NormalWeb"/>
        <w:jc w:val="both"/>
      </w:pPr>
      <w:r>
        <w:t xml:space="preserve">Newport Beach.- </w:t>
      </w:r>
      <w:r w:rsidRPr="007105A1">
        <w:rPr>
          <w:u w:val="single"/>
        </w:rPr>
        <w:t>Cuando se acerca el quinto aniversario del desordenado desplome del banco de inversión Lehman Brothers</w:t>
      </w:r>
      <w:r>
        <w:t>, algunos analistas repasarán las causas de una “repentina parada” mundial sin precedentes cuya consecuencia fueron enormes trastornos económicos y financieros. Otros describirán las consecuencias de un acontecimiento que sigue produciendo considerable sufrimiento humano y algunos transmitirán sus experiencias personales en un momento terrorífico para la economía mundial y para ellos personalmente (como autoridades o participantes en los mercados financieros y también en su propia vida cotidiana).</w:t>
      </w:r>
    </w:p>
    <w:p w:rsidR="00C43A12" w:rsidRDefault="00C43A12" w:rsidP="00550638">
      <w:pPr>
        <w:pStyle w:val="NormalWeb"/>
        <w:jc w:val="both"/>
      </w:pPr>
      <w:r>
        <w:t>Por interesantes que esas contribuciones sean, espero que veamos también las de otro género: análisis de los resultados, anteriormente inconcebibles, que han pasado a ser realidad -con profundas consecuencias para las generaciones actuales y futuras- y que nuestros sistemas de gobierno aún no han abordado apropiadamente. Teniéndolo presente, permítaseme ofrecer cuatro.</w:t>
      </w:r>
    </w:p>
    <w:p w:rsidR="00C43A12" w:rsidRPr="007105A1" w:rsidRDefault="00C43A12" w:rsidP="00550638">
      <w:pPr>
        <w:pStyle w:val="NormalWeb"/>
        <w:jc w:val="both"/>
        <w:rPr>
          <w:u w:val="single"/>
        </w:rPr>
      </w:pPr>
      <w:r w:rsidRPr="007105A1">
        <w:rPr>
          <w:color w:val="FF0000"/>
          <w:u w:val="single"/>
        </w:rPr>
        <w:t>E</w:t>
      </w:r>
      <w:r w:rsidR="00331160">
        <w:rPr>
          <w:color w:val="FF0000"/>
          <w:u w:val="single"/>
        </w:rPr>
        <w:t>l primero de dichos resultados -</w:t>
      </w:r>
      <w:r w:rsidRPr="007105A1">
        <w:rPr>
          <w:color w:val="FF0000"/>
          <w:u w:val="single"/>
        </w:rPr>
        <w:t>y el más tran</w:t>
      </w:r>
      <w:r w:rsidR="00331160">
        <w:rPr>
          <w:color w:val="FF0000"/>
          <w:u w:val="single"/>
        </w:rPr>
        <w:t>scendental con mucha diferencia-</w:t>
      </w:r>
      <w:r w:rsidRPr="007105A1">
        <w:rPr>
          <w:color w:val="FF0000"/>
          <w:u w:val="single"/>
        </w:rPr>
        <w:t xml:space="preserve"> es la continua dificultad que las economías occidentales afrontan para engendrar un crecimiento económico sólido y una creación de empleo suficiente</w:t>
      </w:r>
      <w:r>
        <w:t xml:space="preserve">. Pese a la profunda reducción inicial del PIB en el último trimestre de 2008 y el primero de 2009, </w:t>
      </w:r>
      <w:r w:rsidRPr="007105A1">
        <w:rPr>
          <w:u w:val="single"/>
        </w:rPr>
        <w:t>demasiadas economías occidentales aún no se han recuperado adecuadamente, por no hablar de conseguir unas tasas de crecimiento sostenido que compensaran completamente la pérdida de puestos de trabajo y de ingresos</w:t>
      </w:r>
      <w:r>
        <w:t xml:space="preserve">. </w:t>
      </w:r>
      <w:r w:rsidRPr="007105A1">
        <w:rPr>
          <w:u w:val="single"/>
        </w:rPr>
        <w:t>De forma más general, sólo algunas han superado decisivamente la triplicidad de males que la crisis reveló: una demanda agregada ins</w:t>
      </w:r>
      <w:r>
        <w:rPr>
          <w:u w:val="single"/>
        </w:rPr>
        <w:t>uficiente y desequilibrada, una insuficiente</w:t>
      </w:r>
      <w:r w:rsidRPr="007105A1">
        <w:rPr>
          <w:u w:val="single"/>
        </w:rPr>
        <w:t xml:space="preserve"> capacidad de resistencia y agilidad estructurales y una deuda excesiva y persistente.</w:t>
      </w:r>
    </w:p>
    <w:p w:rsidR="00C43A12" w:rsidRPr="007105A1" w:rsidRDefault="00C43A12" w:rsidP="00550638">
      <w:pPr>
        <w:pStyle w:val="NormalWeb"/>
        <w:jc w:val="both"/>
        <w:rPr>
          <w:color w:val="FF0000"/>
          <w:u w:val="single"/>
        </w:rPr>
      </w:pPr>
      <w:r w:rsidRPr="007105A1">
        <w:rPr>
          <w:color w:val="FF0000"/>
          <w:u w:val="single"/>
        </w:rPr>
        <w:t>El resultado neto no se limita al crecimiento débil, al empeoramiento de la desigualdad de renta, al elevado desempleo a largo plazo y al alarmante desempleo juvenil del momento presente. Cinco años después de la crisis financiera mundial, demasiados países siguen rezagados por culpa de unos motores de crecimiento agotados, y anticuados. A consecuencia de ello, las perspectivas para una recuperación económica rápida, duradera y no excluyente siguen siendo un grave motivo de preocupación.</w:t>
      </w:r>
    </w:p>
    <w:p w:rsidR="00C43A12" w:rsidRPr="007105A1" w:rsidRDefault="00C43A12" w:rsidP="00550638">
      <w:pPr>
        <w:pStyle w:val="NormalWeb"/>
        <w:jc w:val="both"/>
        <w:rPr>
          <w:color w:val="FF0000"/>
          <w:u w:val="single"/>
        </w:rPr>
      </w:pPr>
      <w:r w:rsidRPr="007105A1">
        <w:rPr>
          <w:color w:val="FF0000"/>
          <w:u w:val="single"/>
        </w:rPr>
        <w:t>En vista de esa dura realidad, no es de extrañar que el segundo resultado anteriormente inconcebible se deba a reacciones normativas insuficientes, a saber, el gran desequilibrio persistente entre la hiperactividad de los bancos centrales y la frustrante pasividad de otras autoridades.</w:t>
      </w:r>
    </w:p>
    <w:p w:rsidR="00C43A12" w:rsidRPr="007105A1" w:rsidRDefault="00C43A12" w:rsidP="00550638">
      <w:pPr>
        <w:pStyle w:val="NormalWeb"/>
        <w:jc w:val="both"/>
        <w:rPr>
          <w:u w:val="single"/>
        </w:rPr>
      </w:pPr>
      <w:r w:rsidRPr="007105A1">
        <w:rPr>
          <w:u w:val="single"/>
        </w:rPr>
        <w:t xml:space="preserve">La gran sorpresa a este respecto no es la de que los bancos centrales actuaran decisiva y audazmente cuando los mercados financieros se paralizaron y la actividad económica se desplomó. En vista de su acceso relativamente ilimitado a la acuñación de dinero y su enorme grado de autonomía operativa, era de esperar que los bancos centrales fueran los </w:t>
      </w:r>
      <w:r w:rsidRPr="007105A1">
        <w:rPr>
          <w:u w:val="single"/>
        </w:rPr>
        <w:lastRenderedPageBreak/>
        <w:t>primeros en reaccionar y, además, activa y eficazmente y así lo hicieron de forma impresionante y mundialmente coordinada.</w:t>
      </w:r>
    </w:p>
    <w:p w:rsidR="00C43A12" w:rsidRPr="007105A1" w:rsidRDefault="00C43A12" w:rsidP="00550638">
      <w:pPr>
        <w:pStyle w:val="NormalWeb"/>
        <w:jc w:val="both"/>
        <w:rPr>
          <w:color w:val="FF0000"/>
          <w:u w:val="single"/>
        </w:rPr>
      </w:pPr>
      <w:r w:rsidRPr="007105A1">
        <w:rPr>
          <w:color w:val="FF0000"/>
          <w:u w:val="single"/>
        </w:rPr>
        <w:t>Lo que sorprende es que, cinco años después de la crisis y cuatro años después de que los paralizados mercados financieros reanudaran su funcionamiento normal, las economías occidentales sigan dependiendo abrumadoramente de los bancos centrales para evitar unos resultados económicos aún peores. Con ello los bancos centrales  se han visto obligados a alejarse de sus competencias básicas para utilizar unos instrumentos normativos parciales e imperfectos durante un período demasiado largo.</w:t>
      </w:r>
    </w:p>
    <w:p w:rsidR="00C43A12" w:rsidRDefault="00C43A12" w:rsidP="00550638">
      <w:pPr>
        <w:pStyle w:val="NormalWeb"/>
        <w:jc w:val="both"/>
      </w:pPr>
      <w:r w:rsidRPr="007105A1">
        <w:rPr>
          <w:u w:val="single"/>
        </w:rPr>
        <w:t>Ese resultado refleja una polarización política interna en los Estados Unidos y la complejidad de las relaciones regionales en Europa, que han bloqueado los planteamientos normativos amplios y equilibrados</w:t>
      </w:r>
      <w:r>
        <w:t xml:space="preserve">. Para apreciar la magnitud del problema, piénsese en la repetida </w:t>
      </w:r>
      <w:r w:rsidR="00331160">
        <w:t>negativa del Congreso de los EEUU</w:t>
      </w:r>
      <w:r>
        <w:t xml:space="preserve"> a aprobar un presupuesto anual (por no hablar de aplicar reformas a medio plazo) o las incompletas iniciativas a escala de la zona del euro en un momento de desempleo alarmante y amenazas residuales de trastornos financieros.</w:t>
      </w:r>
    </w:p>
    <w:p w:rsidR="00C43A12" w:rsidRPr="007105A1" w:rsidRDefault="00C43A12" w:rsidP="00550638">
      <w:pPr>
        <w:pStyle w:val="NormalWeb"/>
        <w:jc w:val="both"/>
        <w:rPr>
          <w:color w:val="FF0000"/>
          <w:u w:val="single"/>
        </w:rPr>
      </w:pPr>
      <w:r w:rsidRPr="007105A1">
        <w:rPr>
          <w:u w:val="single"/>
        </w:rPr>
        <w:t>Semejante disfunción política ha socavado la capacidad de reacción de otras entidades encargadas de la formulación de políticas, incluidas las que cuentan con instrumentos mejores que los bancos centrales, lo que ha obligado a estos últimos a mantenerse en el primer plano normativo, tendiendo un puente tras otro, mientras esperan que otras autoridades se pongan las pilas.</w:t>
      </w:r>
      <w:r>
        <w:t xml:space="preserve"> </w:t>
      </w:r>
      <w:r w:rsidRPr="007105A1">
        <w:rPr>
          <w:color w:val="FF0000"/>
          <w:u w:val="single"/>
        </w:rPr>
        <w:t>El resultado ha sido la exposición de las economías occidentales a medidas cada vez más experimentales, con considerable incertidumbre sobre las repercusiones a largo plazo del funcionamiento de los complejos sistemas basados en el mercado mediante conceptos artificiales.</w:t>
      </w:r>
    </w:p>
    <w:p w:rsidR="00C43A12" w:rsidRPr="007105A1" w:rsidRDefault="00C43A12" w:rsidP="00550638">
      <w:pPr>
        <w:pStyle w:val="NormalWeb"/>
        <w:jc w:val="both"/>
        <w:rPr>
          <w:color w:val="FF0000"/>
          <w:u w:val="single"/>
        </w:rPr>
      </w:pPr>
      <w:r w:rsidRPr="007105A1">
        <w:rPr>
          <w:color w:val="FF0000"/>
          <w:u w:val="single"/>
        </w:rPr>
        <w:t>El tercer resultado anteriormente inconcebible se refiere a la evolución de los países en desarrollo. Tras haber sufrido al comienzo las consecuencias de la crisis financiera tanto como los países occidentales (de hecho, más en materia de producción y comercio), esas economías históricamente menos sólidas protagonizaron una recuperación notable... hasta el punto de que pasaron a ser el motor del crecimiento mundial. Sin embargo, en ese proceso cayeron en una combinación de políticas desequilibrada, que ahora amenaza la continuidad de su crecimiento y su estabilidad financiera.</w:t>
      </w:r>
    </w:p>
    <w:p w:rsidR="00C43A12" w:rsidRPr="007105A1" w:rsidRDefault="00C43A12" w:rsidP="00550638">
      <w:pPr>
        <w:pStyle w:val="NormalWeb"/>
        <w:jc w:val="both"/>
        <w:rPr>
          <w:color w:val="FF0000"/>
          <w:u w:val="single"/>
        </w:rPr>
      </w:pPr>
      <w:r w:rsidRPr="007105A1">
        <w:rPr>
          <w:color w:val="FF0000"/>
          <w:u w:val="single"/>
        </w:rPr>
        <w:t>Unos nuevos riesgos de inestabilidad financiera señalan a las sorpresas cuarta y última: la falta de una renovación profunda, de forma creíble, sostenible y socialmente responsable, de los principales causantes de la crisis.</w:t>
      </w:r>
    </w:p>
    <w:p w:rsidR="00C43A12" w:rsidRPr="007105A1" w:rsidRDefault="00C43A12" w:rsidP="00550638">
      <w:pPr>
        <w:pStyle w:val="NormalWeb"/>
        <w:jc w:val="both"/>
        <w:rPr>
          <w:u w:val="single"/>
        </w:rPr>
      </w:pPr>
      <w:r w:rsidRPr="007105A1">
        <w:rPr>
          <w:u w:val="single"/>
        </w:rPr>
        <w:t>Piénsese en los grandes bancos occidentales. En vista de su importancia sistémica, muchos fueron rescatados y, con un continuo apoyo oficial, recuperaron la rentabilidad muy rápidamente. Sin embargo, no estuvieron sujetos a la fiscalidad de unos beneficios inesperados ni las autoridades han modificado suficientemente los incentivos estructurales que alientan a correr riesgos excesivos. En el caso de Europa, sólo ahora se está incitando a los bancos a abordar decisivamente sus déficits de capital, problemas de apalancamiento y activos débiles y residuales.</w:t>
      </w:r>
    </w:p>
    <w:p w:rsidR="00C43A12" w:rsidRPr="007105A1" w:rsidRDefault="00C43A12" w:rsidP="00550638">
      <w:pPr>
        <w:pStyle w:val="NormalWeb"/>
        <w:jc w:val="both"/>
        <w:rPr>
          <w:color w:val="FF0000"/>
          <w:u w:val="single"/>
        </w:rPr>
      </w:pPr>
      <w:r w:rsidRPr="007105A1">
        <w:rPr>
          <w:color w:val="FF0000"/>
          <w:u w:val="single"/>
        </w:rPr>
        <w:t xml:space="preserve">A riesgo de que se me considere un “angustias”, sigo preocupado por la magnitud del retraso que nuestros sistemas de dirección económica han demostrado a la hora de abordar esos cuatro resultados. Cuanto más dure esta situación inhabitual, mayor será el </w:t>
      </w:r>
      <w:r w:rsidRPr="007105A1">
        <w:rPr>
          <w:color w:val="FF0000"/>
          <w:u w:val="single"/>
        </w:rPr>
        <w:lastRenderedPageBreak/>
        <w:t>riesgo de que las ramificaciones perjudiciales de la crisis de 2008 sigan teniendo repercusiones incluso para las generaciones futuras.</w:t>
      </w:r>
    </w:p>
    <w:p w:rsidR="00C43A12" w:rsidRPr="005F0E9B" w:rsidRDefault="00C43A12" w:rsidP="00550638">
      <w:pPr>
        <w:pStyle w:val="NormalWeb"/>
        <w:jc w:val="both"/>
        <w:rPr>
          <w:lang w:val="en-US"/>
        </w:rPr>
      </w:pPr>
      <w:r>
        <w:rPr>
          <w:lang w:val="en-US"/>
        </w:rPr>
        <w:t>(</w:t>
      </w:r>
      <w:r w:rsidRPr="001A241C">
        <w:rPr>
          <w:lang w:val="en-US"/>
        </w:rPr>
        <w:t xml:space="preserve">Mohamed A. El-Erian is CEO and co-Chief Investment Officer of the global investment company PIMCO, with approximately $2 trillion in assets under management. </w:t>
      </w:r>
      <w:r w:rsidRPr="005F0E9B">
        <w:rPr>
          <w:lang w:val="en-US"/>
        </w:rPr>
        <w:t>He previously worked at the Internation</w:t>
      </w:r>
      <w:r>
        <w:rPr>
          <w:lang w:val="en-US"/>
        </w:rPr>
        <w:t>al Monetary Fund</w:t>
      </w:r>
      <w:r w:rsidRPr="005F0E9B">
        <w:rPr>
          <w:lang w:val="en-US"/>
        </w:rPr>
        <w:t>…)</w:t>
      </w:r>
    </w:p>
    <w:p w:rsidR="00C43A12" w:rsidRPr="005F0E9B" w:rsidRDefault="00C43A12" w:rsidP="00550638">
      <w:pPr>
        <w:spacing w:after="0" w:line="240" w:lineRule="auto"/>
        <w:jc w:val="both"/>
        <w:rPr>
          <w:rFonts w:ascii="Times New Roman" w:eastAsia="Times New Roman" w:hAnsi="Times New Roman" w:cs="Times New Roman"/>
          <w:sz w:val="24"/>
          <w:szCs w:val="24"/>
          <w:lang w:val="en-US"/>
        </w:rPr>
      </w:pPr>
      <w:r w:rsidRPr="005F0E9B">
        <w:rPr>
          <w:rFonts w:ascii="Times New Roman" w:eastAsia="Times New Roman" w:hAnsi="Times New Roman" w:cs="Times New Roman"/>
          <w:sz w:val="24"/>
          <w:szCs w:val="24"/>
          <w:lang w:val="en-US"/>
        </w:rPr>
        <w:t xml:space="preserve">- </w:t>
      </w:r>
      <w:r w:rsidRPr="005F0E9B">
        <w:rPr>
          <w:rFonts w:ascii="Times New Roman" w:eastAsia="Times New Roman" w:hAnsi="Times New Roman" w:cs="Times New Roman"/>
          <w:sz w:val="24"/>
          <w:szCs w:val="24"/>
          <w:u w:val="single"/>
          <w:lang w:val="en-US"/>
        </w:rPr>
        <w:t>¿Fracasó el capitalismo?</w:t>
      </w:r>
      <w:r w:rsidRPr="005F0E9B">
        <w:rPr>
          <w:rFonts w:ascii="Times New Roman" w:eastAsia="Times New Roman" w:hAnsi="Times New Roman" w:cs="Times New Roman"/>
          <w:sz w:val="24"/>
          <w:szCs w:val="24"/>
          <w:lang w:val="en-US"/>
        </w:rPr>
        <w:t xml:space="preserve"> (Project Syndicate - </w:t>
      </w:r>
      <w:r w:rsidRPr="005F0E9B">
        <w:rPr>
          <w:rFonts w:ascii="Times New Roman" w:eastAsia="Times New Roman" w:hAnsi="Times New Roman" w:cs="Times New Roman"/>
          <w:b/>
          <w:sz w:val="24"/>
          <w:szCs w:val="24"/>
          <w:lang w:val="en-US"/>
        </w:rPr>
        <w:t>13/9/13</w:t>
      </w:r>
      <w:r w:rsidRPr="005F0E9B">
        <w:rPr>
          <w:rFonts w:ascii="Times New Roman" w:eastAsia="Times New Roman" w:hAnsi="Times New Roman" w:cs="Times New Roman"/>
          <w:sz w:val="24"/>
          <w:szCs w:val="24"/>
          <w:lang w:val="en-US"/>
        </w:rPr>
        <w:t>)</w:t>
      </w:r>
      <w:r w:rsidRPr="005F0E9B">
        <w:rPr>
          <w:rFonts w:ascii="Times New Roman" w:eastAsia="Times New Roman" w:hAnsi="Times New Roman" w:cs="Times New Roman"/>
          <w:sz w:val="24"/>
          <w:szCs w:val="24"/>
          <w:lang w:val="en-US"/>
        </w:rPr>
        <w:tab/>
      </w:r>
    </w:p>
    <w:p w:rsidR="00C43A12" w:rsidRPr="005F0E9B" w:rsidRDefault="00C43A12" w:rsidP="00550638">
      <w:pPr>
        <w:spacing w:after="0" w:line="240" w:lineRule="auto"/>
        <w:jc w:val="both"/>
        <w:rPr>
          <w:rFonts w:ascii="Times New Roman" w:eastAsia="Times New Roman" w:hAnsi="Times New Roman" w:cs="Times New Roman"/>
          <w:sz w:val="24"/>
          <w:szCs w:val="24"/>
          <w:lang w:val="en-US"/>
        </w:rPr>
      </w:pPr>
    </w:p>
    <w:p w:rsidR="00C43A12" w:rsidRPr="005F304D" w:rsidRDefault="00C43A12" w:rsidP="00550638">
      <w:pPr>
        <w:spacing w:after="0" w:line="240" w:lineRule="auto"/>
        <w:jc w:val="both"/>
        <w:rPr>
          <w:rFonts w:ascii="Times New Roman" w:eastAsia="Times New Roman" w:hAnsi="Times New Roman" w:cs="Times New Roman"/>
          <w:sz w:val="24"/>
          <w:szCs w:val="24"/>
          <w:lang w:val="en-US"/>
        </w:rPr>
      </w:pPr>
      <w:r w:rsidRPr="005F304D">
        <w:rPr>
          <w:rFonts w:ascii="Times New Roman" w:eastAsia="Times New Roman" w:hAnsi="Times New Roman" w:cs="Times New Roman"/>
          <w:sz w:val="24"/>
          <w:szCs w:val="24"/>
          <w:lang w:val="en-US"/>
        </w:rPr>
        <w:t>(Por Roman Frydman &amp; Michael D. Goldberg)</w:t>
      </w:r>
    </w:p>
    <w:p w:rsidR="00C43A12" w:rsidRPr="005F304D" w:rsidRDefault="00C43A12" w:rsidP="00550638">
      <w:pPr>
        <w:spacing w:after="0" w:line="240" w:lineRule="auto"/>
        <w:jc w:val="both"/>
        <w:rPr>
          <w:rFonts w:ascii="Times New Roman" w:eastAsia="Times New Roman" w:hAnsi="Times New Roman" w:cs="Times New Roman"/>
          <w:sz w:val="24"/>
          <w:szCs w:val="24"/>
          <w:lang w:val="en-US"/>
        </w:rPr>
      </w:pPr>
    </w:p>
    <w:p w:rsidR="00C43A12" w:rsidRPr="002C0221" w:rsidRDefault="00331160" w:rsidP="00550638">
      <w:pPr>
        <w:spacing w:after="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sz w:val="24"/>
          <w:szCs w:val="24"/>
        </w:rPr>
        <w:t>Nueva York.-</w:t>
      </w:r>
      <w:r w:rsidR="00C43A12" w:rsidRPr="00DD77F8">
        <w:rPr>
          <w:rFonts w:ascii="Times New Roman" w:eastAsia="Times New Roman" w:hAnsi="Times New Roman" w:cs="Times New Roman"/>
          <w:sz w:val="24"/>
          <w:szCs w:val="24"/>
        </w:rPr>
        <w:t xml:space="preserve"> </w:t>
      </w:r>
      <w:r w:rsidR="00C43A12" w:rsidRPr="002C0221">
        <w:rPr>
          <w:rFonts w:ascii="Times New Roman" w:eastAsia="Times New Roman" w:hAnsi="Times New Roman" w:cs="Times New Roman"/>
          <w:color w:val="FF0000"/>
          <w:sz w:val="24"/>
          <w:szCs w:val="24"/>
          <w:u w:val="single"/>
        </w:rPr>
        <w:t>Hace cinco años la agencia de calificaciones Standard &amp; Poor’s mantuvo la cali</w:t>
      </w:r>
      <w:r>
        <w:rPr>
          <w:rFonts w:ascii="Times New Roman" w:eastAsia="Times New Roman" w:hAnsi="Times New Roman" w:cs="Times New Roman"/>
          <w:color w:val="FF0000"/>
          <w:sz w:val="24"/>
          <w:szCs w:val="24"/>
          <w:u w:val="single"/>
        </w:rPr>
        <w:t>ficación de grado de inversión “A”</w:t>
      </w:r>
      <w:r w:rsidR="00C43A12" w:rsidRPr="002C0221">
        <w:rPr>
          <w:rFonts w:ascii="Times New Roman" w:eastAsia="Times New Roman" w:hAnsi="Times New Roman" w:cs="Times New Roman"/>
          <w:color w:val="FF0000"/>
          <w:sz w:val="24"/>
          <w:szCs w:val="24"/>
          <w:u w:val="single"/>
        </w:rPr>
        <w:t xml:space="preserve"> para Lehman Brothers hasta seis días antes de que colapsara. Moody’s esperó aún más: redujo la calificación de Lehman un día laborable antes de su derrumbe. ¿Cómo es posible que reputadas agencias de calificació</w:t>
      </w:r>
      <w:r>
        <w:rPr>
          <w:rFonts w:ascii="Times New Roman" w:eastAsia="Times New Roman" w:hAnsi="Times New Roman" w:cs="Times New Roman"/>
          <w:color w:val="FF0000"/>
          <w:sz w:val="24"/>
          <w:szCs w:val="24"/>
          <w:u w:val="single"/>
        </w:rPr>
        <w:t>n -y bancos de inversión-</w:t>
      </w:r>
      <w:r w:rsidR="00C43A12" w:rsidRPr="002C0221">
        <w:rPr>
          <w:rFonts w:ascii="Times New Roman" w:eastAsia="Times New Roman" w:hAnsi="Times New Roman" w:cs="Times New Roman"/>
          <w:color w:val="FF0000"/>
          <w:sz w:val="24"/>
          <w:szCs w:val="24"/>
          <w:u w:val="single"/>
        </w:rPr>
        <w:t xml:space="preserve"> se equivoquen tanto en sus evaluaciones?</w:t>
      </w:r>
    </w:p>
    <w:p w:rsidR="00C43A12" w:rsidRPr="00DD77F8" w:rsidRDefault="00C43A12" w:rsidP="00550638">
      <w:pPr>
        <w:spacing w:after="0" w:line="240" w:lineRule="auto"/>
        <w:jc w:val="both"/>
        <w:rPr>
          <w:rFonts w:ascii="Times New Roman" w:eastAsia="Times New Roman" w:hAnsi="Times New Roman" w:cs="Times New Roman"/>
          <w:sz w:val="24"/>
          <w:szCs w:val="24"/>
        </w:rPr>
      </w:pPr>
    </w:p>
    <w:p w:rsidR="00C43A12" w:rsidRPr="002C0221" w:rsidRDefault="00C43A12" w:rsidP="00550638">
      <w:pPr>
        <w:spacing w:after="0" w:line="240" w:lineRule="auto"/>
        <w:jc w:val="both"/>
        <w:rPr>
          <w:rFonts w:ascii="Times New Roman" w:eastAsia="Times New Roman" w:hAnsi="Times New Roman" w:cs="Times New Roman"/>
          <w:b/>
          <w:color w:val="FF0000"/>
          <w:sz w:val="24"/>
          <w:szCs w:val="24"/>
          <w:u w:val="single"/>
        </w:rPr>
      </w:pPr>
      <w:r w:rsidRPr="002C0221">
        <w:rPr>
          <w:rFonts w:ascii="Times New Roman" w:eastAsia="Times New Roman" w:hAnsi="Times New Roman" w:cs="Times New Roman"/>
          <w:b/>
          <w:color w:val="FF0000"/>
          <w:sz w:val="24"/>
          <w:szCs w:val="24"/>
          <w:u w:val="single"/>
        </w:rPr>
        <w:t>Los reguladores, banqueros y agencias de calificación son en gran parte culpables de la crisis. Pero esta cuasidebacle no fue tanto un fracaso del capitalismo como un fracaso de la capacidad de los modelos económicos contemporáneos para comprender el rol y el funcionamien</w:t>
      </w:r>
      <w:r w:rsidR="00331160">
        <w:rPr>
          <w:rFonts w:ascii="Times New Roman" w:eastAsia="Times New Roman" w:hAnsi="Times New Roman" w:cs="Times New Roman"/>
          <w:b/>
          <w:color w:val="FF0000"/>
          <w:sz w:val="24"/>
          <w:szCs w:val="24"/>
          <w:u w:val="single"/>
        </w:rPr>
        <w:t>to de los mercados financieros -</w:t>
      </w:r>
      <w:r w:rsidRPr="002C0221">
        <w:rPr>
          <w:rFonts w:ascii="Times New Roman" w:eastAsia="Times New Roman" w:hAnsi="Times New Roman" w:cs="Times New Roman"/>
          <w:b/>
          <w:color w:val="FF0000"/>
          <w:sz w:val="24"/>
          <w:szCs w:val="24"/>
          <w:u w:val="single"/>
        </w:rPr>
        <w:t>y, en término</w:t>
      </w:r>
      <w:r w:rsidR="00331160">
        <w:rPr>
          <w:rFonts w:ascii="Times New Roman" w:eastAsia="Times New Roman" w:hAnsi="Times New Roman" w:cs="Times New Roman"/>
          <w:b/>
          <w:color w:val="FF0000"/>
          <w:sz w:val="24"/>
          <w:szCs w:val="24"/>
          <w:u w:val="single"/>
        </w:rPr>
        <w:t>s más amplios, la inestabilidad-</w:t>
      </w:r>
      <w:r w:rsidRPr="002C0221">
        <w:rPr>
          <w:rFonts w:ascii="Times New Roman" w:eastAsia="Times New Roman" w:hAnsi="Times New Roman" w:cs="Times New Roman"/>
          <w:b/>
          <w:color w:val="FF0000"/>
          <w:sz w:val="24"/>
          <w:szCs w:val="24"/>
          <w:u w:val="single"/>
        </w:rPr>
        <w:t xml:space="preserve"> en las economías capitalistas.</w:t>
      </w:r>
    </w:p>
    <w:p w:rsidR="00C43A12" w:rsidRPr="002C0221" w:rsidRDefault="00C43A12" w:rsidP="00550638">
      <w:pPr>
        <w:spacing w:after="0" w:line="240" w:lineRule="auto"/>
        <w:jc w:val="both"/>
        <w:rPr>
          <w:rFonts w:ascii="Times New Roman" w:eastAsia="Times New Roman" w:hAnsi="Times New Roman" w:cs="Times New Roman"/>
          <w:b/>
          <w:color w:val="FF0000"/>
          <w:sz w:val="24"/>
          <w:szCs w:val="24"/>
          <w:u w:val="single"/>
        </w:rPr>
      </w:pPr>
    </w:p>
    <w:p w:rsidR="00C43A12" w:rsidRPr="002C0221" w:rsidRDefault="00C43A12" w:rsidP="00550638">
      <w:pPr>
        <w:spacing w:after="0" w:line="240" w:lineRule="auto"/>
        <w:jc w:val="both"/>
        <w:rPr>
          <w:rFonts w:ascii="Times New Roman" w:eastAsia="Times New Roman" w:hAnsi="Times New Roman" w:cs="Times New Roman"/>
          <w:b/>
          <w:color w:val="FF0000"/>
          <w:sz w:val="24"/>
          <w:szCs w:val="24"/>
          <w:u w:val="single"/>
        </w:rPr>
      </w:pPr>
      <w:r w:rsidRPr="002C0221">
        <w:rPr>
          <w:rFonts w:ascii="Times New Roman" w:eastAsia="Times New Roman" w:hAnsi="Times New Roman" w:cs="Times New Roman"/>
          <w:color w:val="FF0000"/>
          <w:sz w:val="24"/>
          <w:szCs w:val="24"/>
          <w:u w:val="single"/>
        </w:rPr>
        <w:t xml:space="preserve">Estos modelos apuntalaron con supuesta cientificidad decisiones de política e innovaciones financieras que aumentaron en gran medida </w:t>
      </w:r>
      <w:r w:rsidR="009B17C8">
        <w:rPr>
          <w:rFonts w:ascii="Times New Roman" w:eastAsia="Times New Roman" w:hAnsi="Times New Roman" w:cs="Times New Roman"/>
          <w:color w:val="FF0000"/>
          <w:sz w:val="24"/>
          <w:szCs w:val="24"/>
          <w:u w:val="single"/>
        </w:rPr>
        <w:t>las probabilidades -y tal vez tornaron inevitable-</w:t>
      </w:r>
      <w:r w:rsidRPr="002C0221">
        <w:rPr>
          <w:rFonts w:ascii="Times New Roman" w:eastAsia="Times New Roman" w:hAnsi="Times New Roman" w:cs="Times New Roman"/>
          <w:color w:val="FF0000"/>
          <w:sz w:val="24"/>
          <w:szCs w:val="24"/>
          <w:u w:val="single"/>
        </w:rPr>
        <w:t xml:space="preserve"> la peor crisis desde la Gran Depresión</w:t>
      </w:r>
      <w:r w:rsidRPr="00DD77F8">
        <w:rPr>
          <w:rFonts w:ascii="Times New Roman" w:eastAsia="Times New Roman" w:hAnsi="Times New Roman" w:cs="Times New Roman"/>
          <w:sz w:val="24"/>
          <w:szCs w:val="24"/>
        </w:rPr>
        <w:t xml:space="preserve">. </w:t>
      </w:r>
      <w:r w:rsidRPr="002C0221">
        <w:rPr>
          <w:rFonts w:ascii="Times New Roman" w:eastAsia="Times New Roman" w:hAnsi="Times New Roman" w:cs="Times New Roman"/>
          <w:b/>
          <w:color w:val="FF0000"/>
          <w:sz w:val="24"/>
          <w:szCs w:val="24"/>
          <w:u w:val="single"/>
        </w:rPr>
        <w:t>Después del colapso de Lehman el expresidente de la Reserva Federal, Alan Greenspan, declaró ante el Con</w:t>
      </w:r>
      <w:r w:rsidR="00331160">
        <w:rPr>
          <w:rFonts w:ascii="Times New Roman" w:eastAsia="Times New Roman" w:hAnsi="Times New Roman" w:cs="Times New Roman"/>
          <w:b/>
          <w:color w:val="FF0000"/>
          <w:sz w:val="24"/>
          <w:szCs w:val="24"/>
          <w:u w:val="single"/>
        </w:rPr>
        <w:t>greso estadounidense que había “encontrado un defecto”</w:t>
      </w:r>
      <w:r w:rsidRPr="002C0221">
        <w:rPr>
          <w:rFonts w:ascii="Times New Roman" w:eastAsia="Times New Roman" w:hAnsi="Times New Roman" w:cs="Times New Roman"/>
          <w:b/>
          <w:color w:val="FF0000"/>
          <w:sz w:val="24"/>
          <w:szCs w:val="24"/>
          <w:u w:val="single"/>
        </w:rPr>
        <w:t xml:space="preserve"> en la ideología que propone que el interés personal protegería a la sociedad contra los excesos del sistema financiero. Pero el daño ya estaba hecho.</w:t>
      </w:r>
    </w:p>
    <w:p w:rsidR="00C43A12" w:rsidRPr="002C0221" w:rsidRDefault="00C43A12" w:rsidP="00550638">
      <w:pPr>
        <w:spacing w:after="0" w:line="240" w:lineRule="auto"/>
        <w:jc w:val="both"/>
        <w:rPr>
          <w:rFonts w:ascii="Times New Roman" w:eastAsia="Times New Roman" w:hAnsi="Times New Roman" w:cs="Times New Roman"/>
          <w:b/>
          <w:color w:val="FF0000"/>
          <w:sz w:val="24"/>
          <w:szCs w:val="24"/>
          <w:u w:val="single"/>
        </w:rPr>
      </w:pPr>
    </w:p>
    <w:p w:rsidR="00C43A12" w:rsidRPr="002C0221" w:rsidRDefault="00C43A12" w:rsidP="00550638">
      <w:pPr>
        <w:spacing w:after="0" w:line="240" w:lineRule="auto"/>
        <w:jc w:val="both"/>
        <w:rPr>
          <w:rFonts w:ascii="Times New Roman" w:eastAsia="Times New Roman" w:hAnsi="Times New Roman" w:cs="Times New Roman"/>
          <w:b/>
          <w:color w:val="FF0000"/>
          <w:sz w:val="24"/>
          <w:szCs w:val="24"/>
          <w:u w:val="single"/>
        </w:rPr>
      </w:pPr>
      <w:r w:rsidRPr="002C0221">
        <w:rPr>
          <w:rFonts w:ascii="Times New Roman" w:eastAsia="Times New Roman" w:hAnsi="Times New Roman" w:cs="Times New Roman"/>
          <w:b/>
          <w:color w:val="FF0000"/>
          <w:sz w:val="24"/>
          <w:szCs w:val="24"/>
          <w:u w:val="single"/>
        </w:rPr>
        <w:t>El origen de esa doctrina puede encontrarse en la teoría económica dominante sobre las causas de la inestabilidad del precio de los activos, una teoría que para explicar las variaciones en el riesgo y el precio de los activos postula que el futuro se deriva mecánicamente del pasado. Los modelos mecánicos de los economistas contemporáneos implican que quienes participan en el mercado y buscan su propio interés no harán subir los precios de las viviendas y otros activos hasta niveles claramente excesivos en el período previo a la crisis. Por lo tanto, esas fluctuaciones excesivas han sido consideradas como síntomas de la irracionalidad de los actores del mercado.</w:t>
      </w:r>
    </w:p>
    <w:p w:rsidR="00C43A12" w:rsidRPr="002C0221" w:rsidRDefault="00C43A12" w:rsidP="00550638">
      <w:pPr>
        <w:spacing w:after="0" w:line="240" w:lineRule="auto"/>
        <w:jc w:val="both"/>
        <w:rPr>
          <w:rFonts w:ascii="Times New Roman" w:eastAsia="Times New Roman" w:hAnsi="Times New Roman" w:cs="Times New Roman"/>
          <w:b/>
          <w:color w:val="FF0000"/>
          <w:sz w:val="24"/>
          <w:szCs w:val="24"/>
          <w:u w:val="single"/>
        </w:rPr>
      </w:pPr>
    </w:p>
    <w:p w:rsidR="00C43A12" w:rsidRPr="00AD7534" w:rsidRDefault="00331160" w:rsidP="00550638">
      <w:pPr>
        <w:spacing w:after="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Este supuesto erróneo -</w:t>
      </w:r>
      <w:r w:rsidR="00C43A12" w:rsidRPr="00AD7534">
        <w:rPr>
          <w:rFonts w:ascii="Times New Roman" w:eastAsia="Times New Roman" w:hAnsi="Times New Roman" w:cs="Times New Roman"/>
          <w:color w:val="FF0000"/>
          <w:sz w:val="24"/>
          <w:szCs w:val="24"/>
          <w:u w:val="single"/>
        </w:rPr>
        <w:t>que las decisiones basadas en el interés propio puedan representarse ade</w:t>
      </w:r>
      <w:r>
        <w:rPr>
          <w:rFonts w:ascii="Times New Roman" w:eastAsia="Times New Roman" w:hAnsi="Times New Roman" w:cs="Times New Roman"/>
          <w:color w:val="FF0000"/>
          <w:sz w:val="24"/>
          <w:szCs w:val="24"/>
          <w:u w:val="single"/>
        </w:rPr>
        <w:t>cuadamente con reglas mecánicas-</w:t>
      </w:r>
      <w:r w:rsidR="00C43A12" w:rsidRPr="00AD7534">
        <w:rPr>
          <w:rFonts w:ascii="Times New Roman" w:eastAsia="Times New Roman" w:hAnsi="Times New Roman" w:cs="Times New Roman"/>
          <w:color w:val="FF0000"/>
          <w:sz w:val="24"/>
          <w:szCs w:val="24"/>
          <w:u w:val="single"/>
        </w:rPr>
        <w:t xml:space="preserve"> apuntaló la creación de instrumentos financieros sintéticos y legitimó, sobre bases supuestamente científicas, su comercialización a fondos de pensión y otras instituciones financieras en todo el mundo. Sorprendentemente, las economías emergentes con mercados financieros relativamente menos relacionados escaparon a muchas de las consecuencias más atroces de esas innovaciones.</w:t>
      </w:r>
    </w:p>
    <w:p w:rsidR="00C43A12" w:rsidRPr="00DD77F8" w:rsidRDefault="00C43A12" w:rsidP="00550638">
      <w:pPr>
        <w:spacing w:after="0" w:line="240" w:lineRule="auto"/>
        <w:jc w:val="both"/>
        <w:rPr>
          <w:rFonts w:ascii="Times New Roman" w:eastAsia="Times New Roman" w:hAnsi="Times New Roman" w:cs="Times New Roman"/>
          <w:sz w:val="24"/>
          <w:szCs w:val="24"/>
        </w:rPr>
      </w:pPr>
    </w:p>
    <w:p w:rsidR="00C43A12" w:rsidRPr="00AD7534" w:rsidRDefault="00C43A12" w:rsidP="00550638">
      <w:pPr>
        <w:spacing w:after="0" w:line="240" w:lineRule="auto"/>
        <w:jc w:val="both"/>
        <w:rPr>
          <w:rFonts w:ascii="Times New Roman" w:eastAsia="Times New Roman" w:hAnsi="Times New Roman" w:cs="Times New Roman"/>
          <w:b/>
          <w:color w:val="FF0000"/>
          <w:sz w:val="24"/>
          <w:szCs w:val="24"/>
          <w:u w:val="single"/>
        </w:rPr>
      </w:pPr>
      <w:r w:rsidRPr="00AD7534">
        <w:rPr>
          <w:rFonts w:ascii="Times New Roman" w:eastAsia="Times New Roman" w:hAnsi="Times New Roman" w:cs="Times New Roman"/>
          <w:color w:val="FF0000"/>
          <w:sz w:val="24"/>
          <w:szCs w:val="24"/>
          <w:u w:val="single"/>
        </w:rPr>
        <w:lastRenderedPageBreak/>
        <w:t>La confianza de los economistas contemporáneos en reglas mecánicas para ente</w:t>
      </w:r>
      <w:r w:rsidR="00331160">
        <w:rPr>
          <w:rFonts w:ascii="Times New Roman" w:eastAsia="Times New Roman" w:hAnsi="Times New Roman" w:cs="Times New Roman"/>
          <w:color w:val="FF0000"/>
          <w:sz w:val="24"/>
          <w:szCs w:val="24"/>
          <w:u w:val="single"/>
        </w:rPr>
        <w:t>nder los resultados económicos -e influir sobre ellos-</w:t>
      </w:r>
      <w:r w:rsidRPr="00AD7534">
        <w:rPr>
          <w:rFonts w:ascii="Times New Roman" w:eastAsia="Times New Roman" w:hAnsi="Times New Roman" w:cs="Times New Roman"/>
          <w:color w:val="FF0000"/>
          <w:sz w:val="24"/>
          <w:szCs w:val="24"/>
          <w:u w:val="single"/>
        </w:rPr>
        <w:t xml:space="preserve"> se extiende también a la política macroeconómica y a </w:t>
      </w:r>
      <w:r w:rsidR="00331160">
        <w:rPr>
          <w:rFonts w:ascii="Times New Roman" w:eastAsia="Times New Roman" w:hAnsi="Times New Roman" w:cs="Times New Roman"/>
          <w:color w:val="FF0000"/>
          <w:sz w:val="24"/>
          <w:szCs w:val="24"/>
          <w:u w:val="single"/>
        </w:rPr>
        <w:t>menudo recurre a una autoridad -</w:t>
      </w:r>
      <w:r w:rsidR="00331160">
        <w:rPr>
          <w:rFonts w:ascii="Times New Roman" w:eastAsia="Times New Roman" w:hAnsi="Times New Roman" w:cs="Times New Roman"/>
          <w:b/>
          <w:color w:val="FF0000"/>
          <w:sz w:val="24"/>
          <w:szCs w:val="24"/>
          <w:u w:val="single"/>
        </w:rPr>
        <w:t>John Maynard Keynes-</w:t>
      </w:r>
      <w:r w:rsidRPr="00AD7534">
        <w:rPr>
          <w:rFonts w:ascii="Times New Roman" w:eastAsia="Times New Roman" w:hAnsi="Times New Roman" w:cs="Times New Roman"/>
          <w:b/>
          <w:color w:val="FF0000"/>
          <w:sz w:val="24"/>
          <w:szCs w:val="24"/>
          <w:u w:val="single"/>
        </w:rPr>
        <w:t xml:space="preserve"> que hubiera rechazado su enfoque. Keynes entendió pronto la falacia que implica </w:t>
      </w:r>
      <w:r w:rsidR="00331160">
        <w:rPr>
          <w:rFonts w:ascii="Times New Roman" w:eastAsia="Times New Roman" w:hAnsi="Times New Roman" w:cs="Times New Roman"/>
          <w:b/>
          <w:color w:val="FF0000"/>
          <w:sz w:val="24"/>
          <w:szCs w:val="24"/>
          <w:u w:val="single"/>
        </w:rPr>
        <w:t>aplicar esas reglas mecánicas. “</w:t>
      </w:r>
      <w:r w:rsidRPr="00AD7534">
        <w:rPr>
          <w:rFonts w:ascii="Times New Roman" w:eastAsia="Times New Roman" w:hAnsi="Times New Roman" w:cs="Times New Roman"/>
          <w:b/>
          <w:color w:val="FF0000"/>
          <w:sz w:val="24"/>
          <w:szCs w:val="24"/>
          <w:u w:val="single"/>
        </w:rPr>
        <w:t>Nos hemos</w:t>
      </w:r>
      <w:r w:rsidR="00331160">
        <w:rPr>
          <w:rFonts w:ascii="Times New Roman" w:eastAsia="Times New Roman" w:hAnsi="Times New Roman" w:cs="Times New Roman"/>
          <w:b/>
          <w:color w:val="FF0000"/>
          <w:sz w:val="24"/>
          <w:szCs w:val="24"/>
          <w:u w:val="single"/>
        </w:rPr>
        <w:t xml:space="preserve"> sumergido en un enredo colosal”</w:t>
      </w:r>
      <w:r w:rsidRPr="00AD7534">
        <w:rPr>
          <w:rFonts w:ascii="Times New Roman" w:eastAsia="Times New Roman" w:hAnsi="Times New Roman" w:cs="Times New Roman"/>
          <w:b/>
          <w:color w:val="FF0000"/>
          <w:sz w:val="24"/>
          <w:szCs w:val="24"/>
          <w:u w:val="single"/>
        </w:rPr>
        <w:t>, previ</w:t>
      </w:r>
      <w:r w:rsidR="00331160">
        <w:rPr>
          <w:rFonts w:ascii="Times New Roman" w:eastAsia="Times New Roman" w:hAnsi="Times New Roman" w:cs="Times New Roman"/>
          <w:b/>
          <w:color w:val="FF0000"/>
          <w:sz w:val="24"/>
          <w:szCs w:val="24"/>
          <w:u w:val="single"/>
        </w:rPr>
        <w:t>no, “</w:t>
      </w:r>
      <w:r w:rsidRPr="00AD7534">
        <w:rPr>
          <w:rFonts w:ascii="Times New Roman" w:eastAsia="Times New Roman" w:hAnsi="Times New Roman" w:cs="Times New Roman"/>
          <w:b/>
          <w:color w:val="FF0000"/>
          <w:sz w:val="24"/>
          <w:szCs w:val="24"/>
          <w:u w:val="single"/>
        </w:rPr>
        <w:t>nos equivocamos en el control de una delicada máquina, cuyo</w:t>
      </w:r>
      <w:r w:rsidR="00331160">
        <w:rPr>
          <w:rFonts w:ascii="Times New Roman" w:eastAsia="Times New Roman" w:hAnsi="Times New Roman" w:cs="Times New Roman"/>
          <w:b/>
          <w:color w:val="FF0000"/>
          <w:sz w:val="24"/>
          <w:szCs w:val="24"/>
          <w:u w:val="single"/>
        </w:rPr>
        <w:t xml:space="preserve"> funcionamiento no comprendemos”</w:t>
      </w:r>
      <w:r w:rsidRPr="00AD7534">
        <w:rPr>
          <w:rFonts w:ascii="Times New Roman" w:eastAsia="Times New Roman" w:hAnsi="Times New Roman" w:cs="Times New Roman"/>
          <w:b/>
          <w:color w:val="FF0000"/>
          <w:sz w:val="24"/>
          <w:szCs w:val="24"/>
          <w:u w:val="single"/>
        </w:rPr>
        <w:t>.</w:t>
      </w:r>
    </w:p>
    <w:p w:rsidR="00C43A12" w:rsidRPr="00AD7534" w:rsidRDefault="00C43A12" w:rsidP="00550638">
      <w:pPr>
        <w:spacing w:after="0" w:line="240" w:lineRule="auto"/>
        <w:jc w:val="both"/>
        <w:rPr>
          <w:rFonts w:ascii="Times New Roman" w:eastAsia="Times New Roman" w:hAnsi="Times New Roman" w:cs="Times New Roman"/>
          <w:color w:val="FF0000"/>
          <w:sz w:val="24"/>
          <w:szCs w:val="24"/>
          <w:u w:val="single"/>
        </w:rPr>
      </w:pPr>
    </w:p>
    <w:p w:rsidR="00C43A12" w:rsidRPr="00AD7534" w:rsidRDefault="00C43A12" w:rsidP="00550638">
      <w:pPr>
        <w:spacing w:after="0" w:line="240" w:lineRule="auto"/>
        <w:jc w:val="both"/>
        <w:rPr>
          <w:rFonts w:ascii="Times New Roman" w:eastAsia="Times New Roman" w:hAnsi="Times New Roman" w:cs="Times New Roman"/>
          <w:color w:val="FF0000"/>
          <w:sz w:val="24"/>
          <w:szCs w:val="24"/>
          <w:u w:val="single"/>
        </w:rPr>
      </w:pPr>
      <w:r w:rsidRPr="00AD7534">
        <w:rPr>
          <w:rFonts w:ascii="Times New Roman" w:eastAsia="Times New Roman" w:hAnsi="Times New Roman" w:cs="Times New Roman"/>
          <w:color w:val="FF0000"/>
          <w:sz w:val="24"/>
          <w:szCs w:val="24"/>
          <w:u w:val="single"/>
        </w:rPr>
        <w:t>En la Teoría general de la ocupación, el interés y el dinero, Keynes buscó proporcionar los motivos necesarios para generar confianza en la política fiscal expansionista como remedio para las economías capitalistas avanzadas contra la Gran Depresión. Pero, después de la Segunda Guerra Mundial, sus sucesores desarrollaron una agenda mucho más ambiciosa. En vez de perseguir medidas para contrarrestar las fluctuaciones excesivas en la actividad económica, como la profunda contracción de la década de 1930, las llamadas políticas de estabilización se centraron en medidas que procuraban mantener el</w:t>
      </w:r>
      <w:r w:rsidR="00331160">
        <w:rPr>
          <w:rFonts w:ascii="Times New Roman" w:eastAsia="Times New Roman" w:hAnsi="Times New Roman" w:cs="Times New Roman"/>
          <w:color w:val="FF0000"/>
          <w:sz w:val="24"/>
          <w:szCs w:val="24"/>
          <w:u w:val="single"/>
        </w:rPr>
        <w:t xml:space="preserve"> pleno empleo. Los modelos del “nuevo keynesianismo”</w:t>
      </w:r>
      <w:r w:rsidRPr="00AD7534">
        <w:rPr>
          <w:rFonts w:ascii="Times New Roman" w:eastAsia="Times New Roman" w:hAnsi="Times New Roman" w:cs="Times New Roman"/>
          <w:color w:val="FF0000"/>
          <w:sz w:val="24"/>
          <w:szCs w:val="24"/>
          <w:u w:val="single"/>
        </w:rPr>
        <w:t xml:space="preserve"> que apuntalaban estas políticas suponía</w:t>
      </w:r>
      <w:r w:rsidR="00821216">
        <w:rPr>
          <w:rFonts w:ascii="Times New Roman" w:eastAsia="Times New Roman" w:hAnsi="Times New Roman" w:cs="Times New Roman"/>
          <w:color w:val="FF0000"/>
          <w:sz w:val="24"/>
          <w:szCs w:val="24"/>
          <w:u w:val="single"/>
        </w:rPr>
        <w:t>n que el “verdadero”</w:t>
      </w:r>
      <w:r w:rsidR="00331160">
        <w:rPr>
          <w:rFonts w:ascii="Times New Roman" w:eastAsia="Times New Roman" w:hAnsi="Times New Roman" w:cs="Times New Roman"/>
          <w:color w:val="FF0000"/>
          <w:sz w:val="24"/>
          <w:szCs w:val="24"/>
          <w:u w:val="single"/>
        </w:rPr>
        <w:t xml:space="preserve"> potencial -y con él, la “brecha del producto”</w:t>
      </w:r>
      <w:r w:rsidRPr="00AD7534">
        <w:rPr>
          <w:rFonts w:ascii="Times New Roman" w:eastAsia="Times New Roman" w:hAnsi="Times New Roman" w:cs="Times New Roman"/>
          <w:color w:val="FF0000"/>
          <w:sz w:val="24"/>
          <w:szCs w:val="24"/>
          <w:u w:val="single"/>
        </w:rPr>
        <w:t xml:space="preserve"> que la política expansionista busca reduci</w:t>
      </w:r>
      <w:r w:rsidR="00331160">
        <w:rPr>
          <w:rFonts w:ascii="Times New Roman" w:eastAsia="Times New Roman" w:hAnsi="Times New Roman" w:cs="Times New Roman"/>
          <w:color w:val="FF0000"/>
          <w:sz w:val="24"/>
          <w:szCs w:val="24"/>
          <w:u w:val="single"/>
        </w:rPr>
        <w:t>r para alcanzar el pleno empleo-</w:t>
      </w:r>
      <w:r w:rsidRPr="00AD7534">
        <w:rPr>
          <w:rFonts w:ascii="Times New Roman" w:eastAsia="Times New Roman" w:hAnsi="Times New Roman" w:cs="Times New Roman"/>
          <w:color w:val="FF0000"/>
          <w:sz w:val="24"/>
          <w:szCs w:val="24"/>
          <w:u w:val="single"/>
        </w:rPr>
        <w:t xml:space="preserve"> podían medirse con precisión.</w:t>
      </w:r>
    </w:p>
    <w:p w:rsidR="00C43A12" w:rsidRPr="00AD7534" w:rsidRDefault="00C43A12" w:rsidP="00550638">
      <w:pPr>
        <w:spacing w:after="0" w:line="240" w:lineRule="auto"/>
        <w:jc w:val="both"/>
        <w:rPr>
          <w:rFonts w:ascii="Times New Roman" w:eastAsia="Times New Roman" w:hAnsi="Times New Roman" w:cs="Times New Roman"/>
          <w:color w:val="FF0000"/>
          <w:sz w:val="24"/>
          <w:szCs w:val="24"/>
          <w:u w:val="single"/>
        </w:rPr>
      </w:pPr>
    </w:p>
    <w:p w:rsidR="00C43A12" w:rsidRPr="00AD7534" w:rsidRDefault="00C43A12" w:rsidP="00550638">
      <w:pPr>
        <w:spacing w:after="0" w:line="240" w:lineRule="auto"/>
        <w:jc w:val="both"/>
        <w:rPr>
          <w:rFonts w:ascii="Times New Roman" w:eastAsia="Times New Roman" w:hAnsi="Times New Roman" w:cs="Times New Roman"/>
          <w:b/>
          <w:color w:val="FF0000"/>
          <w:sz w:val="24"/>
          <w:szCs w:val="24"/>
          <w:u w:val="single"/>
        </w:rPr>
      </w:pPr>
      <w:r w:rsidRPr="00AD7534">
        <w:rPr>
          <w:rFonts w:ascii="Times New Roman" w:eastAsia="Times New Roman" w:hAnsi="Times New Roman" w:cs="Times New Roman"/>
          <w:b/>
          <w:color w:val="FF0000"/>
          <w:sz w:val="24"/>
          <w:szCs w:val="24"/>
          <w:u w:val="single"/>
        </w:rPr>
        <w:t>Pero, para decirlo sin rodeos, creer que el economista puede especificar anticipada y completamente el comportamien</w:t>
      </w:r>
      <w:r w:rsidR="00331160">
        <w:rPr>
          <w:rFonts w:ascii="Times New Roman" w:eastAsia="Times New Roman" w:hAnsi="Times New Roman" w:cs="Times New Roman"/>
          <w:b/>
          <w:color w:val="FF0000"/>
          <w:sz w:val="24"/>
          <w:szCs w:val="24"/>
          <w:u w:val="single"/>
        </w:rPr>
        <w:t>to de los resultados agregados -</w:t>
      </w:r>
      <w:r w:rsidRPr="00AD7534">
        <w:rPr>
          <w:rFonts w:ascii="Times New Roman" w:eastAsia="Times New Roman" w:hAnsi="Times New Roman" w:cs="Times New Roman"/>
          <w:b/>
          <w:color w:val="FF0000"/>
          <w:sz w:val="24"/>
          <w:szCs w:val="24"/>
          <w:u w:val="single"/>
        </w:rPr>
        <w:t>y con ellos, el nivel p</w:t>
      </w:r>
      <w:r w:rsidR="00331160">
        <w:rPr>
          <w:rFonts w:ascii="Times New Roman" w:eastAsia="Times New Roman" w:hAnsi="Times New Roman" w:cs="Times New Roman"/>
          <w:b/>
          <w:color w:val="FF0000"/>
          <w:sz w:val="24"/>
          <w:szCs w:val="24"/>
          <w:u w:val="single"/>
        </w:rPr>
        <w:t>otencial de actividad económica-</w:t>
      </w:r>
      <w:r w:rsidRPr="00AD7534">
        <w:rPr>
          <w:rFonts w:ascii="Times New Roman" w:eastAsia="Times New Roman" w:hAnsi="Times New Roman" w:cs="Times New Roman"/>
          <w:b/>
          <w:color w:val="FF0000"/>
          <w:sz w:val="24"/>
          <w:szCs w:val="24"/>
          <w:u w:val="single"/>
        </w:rPr>
        <w:t xml:space="preserve"> es falaz. Las proyecciones implicadas por el modelo macroeconométrico de la Fed relacionadas con los tiempos y efectos de los estímulos económicos de 2008 sobre el empleo, que resultaron notablemente equivocadas, son un claro ejemplo.</w:t>
      </w:r>
    </w:p>
    <w:p w:rsidR="00C43A12" w:rsidRPr="00DD77F8" w:rsidRDefault="00C43A12" w:rsidP="00550638">
      <w:pPr>
        <w:spacing w:after="0" w:line="240" w:lineRule="auto"/>
        <w:jc w:val="both"/>
        <w:rPr>
          <w:rFonts w:ascii="Times New Roman" w:eastAsia="Times New Roman" w:hAnsi="Times New Roman" w:cs="Times New Roman"/>
          <w:sz w:val="24"/>
          <w:szCs w:val="24"/>
        </w:rPr>
      </w:pPr>
    </w:p>
    <w:p w:rsidR="00C43A12" w:rsidRPr="00AD7534" w:rsidRDefault="00C43A12" w:rsidP="00550638">
      <w:pPr>
        <w:spacing w:after="0" w:line="240" w:lineRule="auto"/>
        <w:jc w:val="both"/>
        <w:rPr>
          <w:rFonts w:ascii="Times New Roman" w:eastAsia="Times New Roman" w:hAnsi="Times New Roman" w:cs="Times New Roman"/>
          <w:sz w:val="24"/>
          <w:szCs w:val="24"/>
          <w:u w:val="single"/>
        </w:rPr>
      </w:pPr>
      <w:r w:rsidRPr="00AD7534">
        <w:rPr>
          <w:rFonts w:ascii="Times New Roman" w:eastAsia="Times New Roman" w:hAnsi="Times New Roman" w:cs="Times New Roman"/>
          <w:sz w:val="24"/>
          <w:szCs w:val="24"/>
          <w:u w:val="single"/>
        </w:rPr>
        <w:t>Sin embargo, la corriente dominante en la profesión económica insiste en que esos modelos mecanicistas mantienen su validez. El economista y premio nobel Paul Kr</w:t>
      </w:r>
      <w:r w:rsidR="00331160">
        <w:rPr>
          <w:rFonts w:ascii="Times New Roman" w:eastAsia="Times New Roman" w:hAnsi="Times New Roman" w:cs="Times New Roman"/>
          <w:sz w:val="24"/>
          <w:szCs w:val="24"/>
          <w:u w:val="single"/>
        </w:rPr>
        <w:t>ugman, por ejemplo, afirma que “</w:t>
      </w:r>
      <w:r w:rsidRPr="00AD7534">
        <w:rPr>
          <w:rFonts w:ascii="Times New Roman" w:eastAsia="Times New Roman" w:hAnsi="Times New Roman" w:cs="Times New Roman"/>
          <w:sz w:val="24"/>
          <w:szCs w:val="24"/>
          <w:u w:val="single"/>
        </w:rPr>
        <w:t>u</w:t>
      </w:r>
      <w:r w:rsidR="00400051">
        <w:rPr>
          <w:rFonts w:ascii="Times New Roman" w:eastAsia="Times New Roman" w:hAnsi="Times New Roman" w:cs="Times New Roman"/>
          <w:sz w:val="24"/>
          <w:szCs w:val="24"/>
          <w:u w:val="single"/>
        </w:rPr>
        <w:t>na estimación rápida e informal” sobre la base de “</w:t>
      </w:r>
      <w:r w:rsidR="00331160">
        <w:rPr>
          <w:rFonts w:ascii="Times New Roman" w:eastAsia="Times New Roman" w:hAnsi="Times New Roman" w:cs="Times New Roman"/>
          <w:sz w:val="24"/>
          <w:szCs w:val="24"/>
          <w:u w:val="single"/>
        </w:rPr>
        <w:t>macroeconomía de libro de texto”</w:t>
      </w:r>
      <w:r w:rsidRPr="00AD7534">
        <w:rPr>
          <w:rFonts w:ascii="Times New Roman" w:eastAsia="Times New Roman" w:hAnsi="Times New Roman" w:cs="Times New Roman"/>
          <w:sz w:val="24"/>
          <w:szCs w:val="24"/>
          <w:u w:val="single"/>
        </w:rPr>
        <w:t xml:space="preserve"> indica que el estímulo fiscal estadounidense de $</w:t>
      </w:r>
      <w:r w:rsidR="00400051">
        <w:rPr>
          <w:rFonts w:ascii="Times New Roman" w:eastAsia="Times New Roman" w:hAnsi="Times New Roman" w:cs="Times New Roman"/>
          <w:sz w:val="24"/>
          <w:szCs w:val="24"/>
          <w:u w:val="single"/>
        </w:rPr>
        <w:t xml:space="preserve"> </w:t>
      </w:r>
      <w:r w:rsidRPr="00AD7534">
        <w:rPr>
          <w:rFonts w:ascii="Times New Roman" w:eastAsia="Times New Roman" w:hAnsi="Times New Roman" w:cs="Times New Roman"/>
          <w:sz w:val="24"/>
          <w:szCs w:val="24"/>
          <w:u w:val="single"/>
        </w:rPr>
        <w:t>800 mil millones en 2009 debió haber sido tres veces mayor.</w:t>
      </w:r>
    </w:p>
    <w:p w:rsidR="00C43A12" w:rsidRPr="00DD77F8" w:rsidRDefault="00C43A12" w:rsidP="00550638">
      <w:pPr>
        <w:spacing w:after="0" w:line="240" w:lineRule="auto"/>
        <w:jc w:val="both"/>
        <w:rPr>
          <w:rFonts w:ascii="Times New Roman" w:eastAsia="Times New Roman" w:hAnsi="Times New Roman" w:cs="Times New Roman"/>
          <w:sz w:val="24"/>
          <w:szCs w:val="24"/>
        </w:rPr>
      </w:pPr>
    </w:p>
    <w:p w:rsidR="00C43A12" w:rsidRPr="00DD77F8" w:rsidRDefault="00C43A12" w:rsidP="00550638">
      <w:pPr>
        <w:spacing w:after="0" w:line="240" w:lineRule="auto"/>
        <w:jc w:val="both"/>
        <w:rPr>
          <w:rFonts w:ascii="Times New Roman" w:eastAsia="Times New Roman" w:hAnsi="Times New Roman" w:cs="Times New Roman"/>
          <w:sz w:val="24"/>
          <w:szCs w:val="24"/>
        </w:rPr>
      </w:pPr>
      <w:r w:rsidRPr="00AD7534">
        <w:rPr>
          <w:rFonts w:ascii="Times New Roman" w:eastAsia="Times New Roman" w:hAnsi="Times New Roman" w:cs="Times New Roman"/>
          <w:color w:val="FF0000"/>
          <w:sz w:val="24"/>
          <w:szCs w:val="24"/>
          <w:u w:val="single"/>
        </w:rPr>
        <w:t>Claramente, necesitamos un nuevo libro de texto. La cuestión no es si el estímulo fiscal ayudó, o si un mayor estímulo hubiera ayudado más; la pregunta es si los responsables de las políticas deben confiar en cualquier modelo que suponga que el futuro se desprende mecánicamente del pasado</w:t>
      </w:r>
      <w:r w:rsidRPr="00DD77F8">
        <w:rPr>
          <w:rFonts w:ascii="Times New Roman" w:eastAsia="Times New Roman" w:hAnsi="Times New Roman" w:cs="Times New Roman"/>
          <w:sz w:val="24"/>
          <w:szCs w:val="24"/>
        </w:rPr>
        <w:t>. Por ejemplo, el colapso en el mercado inmobiliario que, dejó a millones de propietarios estadounidenses con hipotecas superiores al valor de sus viviendas, no es parte de los modelos de los libros de texto, pero tornó imposibles los cálculos precisos del estímulo fiscal basados</w:t>
      </w:r>
      <w:r>
        <w:rPr>
          <w:rFonts w:ascii="Times New Roman" w:eastAsia="Times New Roman" w:hAnsi="Times New Roman" w:cs="Times New Roman"/>
          <w:sz w:val="24"/>
          <w:szCs w:val="24"/>
        </w:rPr>
        <w:t xml:space="preserve"> en ellos. El público </w:t>
      </w:r>
      <w:r w:rsidR="00331160">
        <w:rPr>
          <w:rFonts w:ascii="Times New Roman" w:eastAsia="Times New Roman" w:hAnsi="Times New Roman" w:cs="Times New Roman"/>
          <w:sz w:val="24"/>
          <w:szCs w:val="24"/>
        </w:rPr>
        <w:t>desconfía</w:t>
      </w:r>
      <w:r w:rsidRPr="00DD77F8">
        <w:rPr>
          <w:rFonts w:ascii="Times New Roman" w:eastAsia="Times New Roman" w:hAnsi="Times New Roman" w:cs="Times New Roman"/>
          <w:sz w:val="24"/>
          <w:szCs w:val="24"/>
        </w:rPr>
        <w:t xml:space="preserve"> mucho cuando se afirma que esos modelos proporcionan algún tipo de base científica para la política económica.</w:t>
      </w:r>
    </w:p>
    <w:p w:rsidR="00C43A12" w:rsidRPr="00DD77F8" w:rsidRDefault="00C43A12" w:rsidP="00550638">
      <w:pPr>
        <w:spacing w:after="0" w:line="240" w:lineRule="auto"/>
        <w:jc w:val="both"/>
        <w:rPr>
          <w:rFonts w:ascii="Times New Roman" w:eastAsia="Times New Roman" w:hAnsi="Times New Roman" w:cs="Times New Roman"/>
          <w:sz w:val="24"/>
          <w:szCs w:val="24"/>
        </w:rPr>
      </w:pPr>
    </w:p>
    <w:p w:rsidR="00C43A12" w:rsidRPr="00AD7534" w:rsidRDefault="00C43A12" w:rsidP="00550638">
      <w:pPr>
        <w:spacing w:after="0" w:line="240" w:lineRule="auto"/>
        <w:jc w:val="both"/>
        <w:rPr>
          <w:rFonts w:ascii="Times New Roman" w:eastAsia="Times New Roman" w:hAnsi="Times New Roman" w:cs="Times New Roman"/>
          <w:color w:val="FF0000"/>
          <w:sz w:val="24"/>
          <w:szCs w:val="24"/>
          <w:u w:val="single"/>
        </w:rPr>
      </w:pPr>
      <w:r w:rsidRPr="00AD7534">
        <w:rPr>
          <w:rFonts w:ascii="Times New Roman" w:eastAsia="Times New Roman" w:hAnsi="Times New Roman" w:cs="Times New Roman"/>
          <w:color w:val="FF0000"/>
          <w:sz w:val="24"/>
          <w:szCs w:val="24"/>
          <w:u w:val="single"/>
        </w:rPr>
        <w:t>Pero renunciar a lo qu</w:t>
      </w:r>
      <w:r w:rsidR="00F04996">
        <w:rPr>
          <w:rFonts w:ascii="Times New Roman" w:eastAsia="Times New Roman" w:hAnsi="Times New Roman" w:cs="Times New Roman"/>
          <w:color w:val="FF0000"/>
          <w:sz w:val="24"/>
          <w:szCs w:val="24"/>
          <w:u w:val="single"/>
        </w:rPr>
        <w:t>e Friedrich von Hayek llamó la “</w:t>
      </w:r>
      <w:r w:rsidRPr="00AD7534">
        <w:rPr>
          <w:rFonts w:ascii="Times New Roman" w:eastAsia="Times New Roman" w:hAnsi="Times New Roman" w:cs="Times New Roman"/>
          <w:color w:val="FF0000"/>
          <w:sz w:val="24"/>
          <w:szCs w:val="24"/>
          <w:u w:val="single"/>
        </w:rPr>
        <w:t>pre</w:t>
      </w:r>
      <w:r w:rsidR="00F04996">
        <w:rPr>
          <w:rFonts w:ascii="Times New Roman" w:eastAsia="Times New Roman" w:hAnsi="Times New Roman" w:cs="Times New Roman"/>
          <w:color w:val="FF0000"/>
          <w:sz w:val="24"/>
          <w:szCs w:val="24"/>
          <w:u w:val="single"/>
        </w:rPr>
        <w:t>tensión del conocimiento exacto”</w:t>
      </w:r>
      <w:r w:rsidRPr="00AD7534">
        <w:rPr>
          <w:rFonts w:ascii="Times New Roman" w:eastAsia="Times New Roman" w:hAnsi="Times New Roman" w:cs="Times New Roman"/>
          <w:color w:val="FF0000"/>
          <w:sz w:val="24"/>
          <w:szCs w:val="24"/>
          <w:u w:val="single"/>
        </w:rPr>
        <w:t xml:space="preserve"> de los economistas no implica abandonar la posibilidad de que la teoría económica pueda informar la formulación de políticas. De hecho, reconocer el conocimiento siempre imperfecto por parte de los economistas, responsables de políticas y actores del mercado tiene implicaciones importantes para nuestra comprensión de la inestabilidad financiera y el rol del estado para mitigarla.</w:t>
      </w:r>
    </w:p>
    <w:p w:rsidR="00C43A12" w:rsidRPr="00DD77F8" w:rsidRDefault="00C43A12" w:rsidP="00550638">
      <w:pPr>
        <w:spacing w:after="0" w:line="240" w:lineRule="auto"/>
        <w:jc w:val="both"/>
        <w:rPr>
          <w:rFonts w:ascii="Times New Roman" w:eastAsia="Times New Roman" w:hAnsi="Times New Roman" w:cs="Times New Roman"/>
          <w:sz w:val="24"/>
          <w:szCs w:val="24"/>
        </w:rPr>
      </w:pPr>
    </w:p>
    <w:p w:rsidR="00C43A12" w:rsidRPr="00AD7534" w:rsidRDefault="00C43A12" w:rsidP="00550638">
      <w:pPr>
        <w:spacing w:after="0" w:line="240" w:lineRule="auto"/>
        <w:jc w:val="both"/>
        <w:rPr>
          <w:rFonts w:ascii="Times New Roman" w:eastAsia="Times New Roman" w:hAnsi="Times New Roman" w:cs="Times New Roman"/>
          <w:color w:val="FF0000"/>
          <w:sz w:val="24"/>
          <w:szCs w:val="24"/>
          <w:u w:val="single"/>
        </w:rPr>
      </w:pPr>
      <w:r w:rsidRPr="00DD77F8">
        <w:rPr>
          <w:rFonts w:ascii="Times New Roman" w:eastAsia="Times New Roman" w:hAnsi="Times New Roman" w:cs="Times New Roman"/>
          <w:sz w:val="24"/>
          <w:szCs w:val="24"/>
        </w:rPr>
        <w:lastRenderedPageBreak/>
        <w:t xml:space="preserve">Las variaciones en el precio de los activos no surgen porque los participantes en el mercado son irracionales, sino porque intentan sobrellevar su conocimiento siempre imperfecto del flujo futuro de beneficios derivado de proyectos de inversión alternativos. La inestabilidad de los mercados es, por lo tanto, integral a la forma en que las economías capitalistas asignan sus ahorros. </w:t>
      </w:r>
      <w:r w:rsidRPr="00AD7534">
        <w:rPr>
          <w:rFonts w:ascii="Times New Roman" w:eastAsia="Times New Roman" w:hAnsi="Times New Roman" w:cs="Times New Roman"/>
          <w:color w:val="FF0000"/>
          <w:sz w:val="24"/>
          <w:szCs w:val="24"/>
          <w:u w:val="single"/>
        </w:rPr>
        <w:t>Dado esto, los responsables de políticas no deben intervenir porque cuenten con un conocimiento superior sobre el valor de los activos (de hecho, nadie lo tiene), sino porque los participantes del mercado en busca de beneficios no internalizan los enormes costos sociales asociados a las excesivas alzas y bajas de los precios.</w:t>
      </w:r>
    </w:p>
    <w:p w:rsidR="00C43A12" w:rsidRPr="00DD77F8" w:rsidRDefault="00C43A12" w:rsidP="00550638">
      <w:pPr>
        <w:spacing w:after="0" w:line="240" w:lineRule="auto"/>
        <w:jc w:val="both"/>
        <w:rPr>
          <w:rFonts w:ascii="Times New Roman" w:eastAsia="Times New Roman" w:hAnsi="Times New Roman" w:cs="Times New Roman"/>
          <w:sz w:val="24"/>
          <w:szCs w:val="24"/>
        </w:rPr>
      </w:pPr>
    </w:p>
    <w:p w:rsidR="00C43A12" w:rsidRPr="00AD7534" w:rsidRDefault="00C43A12" w:rsidP="00550638">
      <w:pPr>
        <w:spacing w:after="0" w:line="240" w:lineRule="auto"/>
        <w:jc w:val="both"/>
        <w:rPr>
          <w:rFonts w:ascii="Times New Roman" w:eastAsia="Times New Roman" w:hAnsi="Times New Roman" w:cs="Times New Roman"/>
          <w:color w:val="FF0000"/>
          <w:sz w:val="24"/>
          <w:szCs w:val="24"/>
          <w:u w:val="single"/>
        </w:rPr>
      </w:pPr>
      <w:r w:rsidRPr="00AD7534">
        <w:rPr>
          <w:rFonts w:ascii="Times New Roman" w:eastAsia="Times New Roman" w:hAnsi="Times New Roman" w:cs="Times New Roman"/>
          <w:color w:val="FF0000"/>
          <w:sz w:val="24"/>
          <w:szCs w:val="24"/>
          <w:u w:val="single"/>
        </w:rPr>
        <w:t>Son esas excesivas fluctuaciones, no los desvíos respe</w:t>
      </w:r>
      <w:r w:rsidR="00331160">
        <w:rPr>
          <w:rFonts w:ascii="Times New Roman" w:eastAsia="Times New Roman" w:hAnsi="Times New Roman" w:cs="Times New Roman"/>
          <w:color w:val="FF0000"/>
          <w:sz w:val="24"/>
          <w:szCs w:val="24"/>
          <w:u w:val="single"/>
        </w:rPr>
        <w:t>cto de algún imaginativo valor “verdadero” -</w:t>
      </w:r>
      <w:r w:rsidRPr="00AD7534">
        <w:rPr>
          <w:rFonts w:ascii="Times New Roman" w:eastAsia="Times New Roman" w:hAnsi="Times New Roman" w:cs="Times New Roman"/>
          <w:color w:val="FF0000"/>
          <w:sz w:val="24"/>
          <w:szCs w:val="24"/>
          <w:u w:val="single"/>
        </w:rPr>
        <w:t>ya sea de los ac</w:t>
      </w:r>
      <w:r w:rsidR="00331160">
        <w:rPr>
          <w:rFonts w:ascii="Times New Roman" w:eastAsia="Times New Roman" w:hAnsi="Times New Roman" w:cs="Times New Roman"/>
          <w:color w:val="FF0000"/>
          <w:sz w:val="24"/>
          <w:szCs w:val="24"/>
          <w:u w:val="single"/>
        </w:rPr>
        <w:t>tivos o de la tasa de desempleo-</w:t>
      </w:r>
      <w:r w:rsidRPr="00AD7534">
        <w:rPr>
          <w:rFonts w:ascii="Times New Roman" w:eastAsia="Times New Roman" w:hAnsi="Times New Roman" w:cs="Times New Roman"/>
          <w:color w:val="FF0000"/>
          <w:sz w:val="24"/>
          <w:szCs w:val="24"/>
          <w:u w:val="single"/>
        </w:rPr>
        <w:t xml:space="preserve"> aquello que, según Keynes, los responsables de las políticas debían procurar mitigar. A diferencia de sus sucesores, Keynes y Hayek entendieron que el conocimiento imperfecto y los cambios no rutinarios implican que las reglas de política, junto con las variables subyacentes a ellas, ganan y pierden relevancia en momentos que nadie puede anticipar.</w:t>
      </w:r>
    </w:p>
    <w:p w:rsidR="00C43A12" w:rsidRPr="00DD77F8" w:rsidRDefault="00C43A12" w:rsidP="00550638">
      <w:pPr>
        <w:spacing w:after="0" w:line="240" w:lineRule="auto"/>
        <w:jc w:val="both"/>
        <w:rPr>
          <w:rFonts w:ascii="Times New Roman" w:eastAsia="Times New Roman" w:hAnsi="Times New Roman" w:cs="Times New Roman"/>
          <w:sz w:val="24"/>
          <w:szCs w:val="24"/>
        </w:rPr>
      </w:pPr>
    </w:p>
    <w:p w:rsidR="00C43A12" w:rsidRPr="00DD77F8" w:rsidRDefault="00C43A12" w:rsidP="00550638">
      <w:pPr>
        <w:spacing w:after="0" w:line="240" w:lineRule="auto"/>
        <w:jc w:val="both"/>
        <w:rPr>
          <w:rFonts w:ascii="Times New Roman" w:eastAsia="Times New Roman" w:hAnsi="Times New Roman" w:cs="Times New Roman"/>
          <w:sz w:val="24"/>
          <w:szCs w:val="24"/>
        </w:rPr>
      </w:pPr>
      <w:r w:rsidRPr="00AD7534">
        <w:rPr>
          <w:rFonts w:ascii="Times New Roman" w:eastAsia="Times New Roman" w:hAnsi="Times New Roman" w:cs="Times New Roman"/>
          <w:color w:val="FF0000"/>
          <w:sz w:val="24"/>
          <w:szCs w:val="24"/>
          <w:u w:val="single"/>
        </w:rPr>
        <w:t>Esa percepción parece haber regresado a la formulación de políticas en la tierra natal de Keynes. En palabras de Mervyn King, el exgober</w:t>
      </w:r>
      <w:r w:rsidR="00A92207">
        <w:rPr>
          <w:rFonts w:ascii="Times New Roman" w:eastAsia="Times New Roman" w:hAnsi="Times New Roman" w:cs="Times New Roman"/>
          <w:color w:val="FF0000"/>
          <w:sz w:val="24"/>
          <w:szCs w:val="24"/>
          <w:u w:val="single"/>
        </w:rPr>
        <w:t>nador del Banco de Inglaterra, “</w:t>
      </w:r>
      <w:r w:rsidRPr="00AD7534">
        <w:rPr>
          <w:rFonts w:ascii="Times New Roman" w:eastAsia="Times New Roman" w:hAnsi="Times New Roman" w:cs="Times New Roman"/>
          <w:color w:val="FF0000"/>
          <w:sz w:val="24"/>
          <w:szCs w:val="24"/>
          <w:u w:val="single"/>
        </w:rPr>
        <w:t>Nuestra comprensión de la economía es incompl</w:t>
      </w:r>
      <w:r w:rsidR="00331160">
        <w:rPr>
          <w:rFonts w:ascii="Times New Roman" w:eastAsia="Times New Roman" w:hAnsi="Times New Roman" w:cs="Times New Roman"/>
          <w:color w:val="FF0000"/>
          <w:sz w:val="24"/>
          <w:szCs w:val="24"/>
          <w:u w:val="single"/>
        </w:rPr>
        <w:t>eta y evoluciona continuamente (...)</w:t>
      </w:r>
      <w:r w:rsidRPr="00AD7534">
        <w:rPr>
          <w:rFonts w:ascii="Times New Roman" w:eastAsia="Times New Roman" w:hAnsi="Times New Roman" w:cs="Times New Roman"/>
          <w:color w:val="FF0000"/>
          <w:sz w:val="24"/>
          <w:szCs w:val="24"/>
          <w:u w:val="single"/>
        </w:rPr>
        <w:t xml:space="preserve"> Describir la política monetaria en términos de una regla constante derivada de un modelo conocido de la economía es igno</w:t>
      </w:r>
      <w:r w:rsidR="00A92207">
        <w:rPr>
          <w:rFonts w:ascii="Times New Roman" w:eastAsia="Times New Roman" w:hAnsi="Times New Roman" w:cs="Times New Roman"/>
          <w:color w:val="FF0000"/>
          <w:sz w:val="24"/>
          <w:szCs w:val="24"/>
          <w:u w:val="single"/>
        </w:rPr>
        <w:t>rar este proceso de aprendizaje”</w:t>
      </w:r>
      <w:r w:rsidRPr="00AD7534">
        <w:rPr>
          <w:rFonts w:ascii="Times New Roman" w:eastAsia="Times New Roman" w:hAnsi="Times New Roman" w:cs="Times New Roman"/>
          <w:color w:val="FF0000"/>
          <w:sz w:val="24"/>
          <w:szCs w:val="24"/>
          <w:u w:val="single"/>
        </w:rPr>
        <w:t>.</w:t>
      </w:r>
      <w:r w:rsidRPr="00AD7534">
        <w:rPr>
          <w:rFonts w:ascii="Times New Roman" w:eastAsia="Times New Roman" w:hAnsi="Times New Roman" w:cs="Times New Roman"/>
          <w:color w:val="FF0000"/>
          <w:sz w:val="24"/>
          <w:szCs w:val="24"/>
        </w:rPr>
        <w:t xml:space="preserve"> </w:t>
      </w:r>
      <w:r w:rsidRPr="00DD77F8">
        <w:rPr>
          <w:rFonts w:ascii="Times New Roman" w:eastAsia="Times New Roman" w:hAnsi="Times New Roman" w:cs="Times New Roman"/>
          <w:sz w:val="24"/>
          <w:szCs w:val="24"/>
        </w:rPr>
        <w:t>Su sucesor, Mark Carney, ha llegado a personificar esta visión al evitar reglas fijas de política y favorecer una discreción limitada, basada en rangos orientativos para indicadores clave.</w:t>
      </w:r>
    </w:p>
    <w:p w:rsidR="00C43A12" w:rsidRPr="00DD77F8" w:rsidRDefault="00C43A12" w:rsidP="00550638">
      <w:pPr>
        <w:spacing w:after="0" w:line="240" w:lineRule="auto"/>
        <w:jc w:val="both"/>
        <w:rPr>
          <w:rFonts w:ascii="Times New Roman" w:eastAsia="Times New Roman" w:hAnsi="Times New Roman" w:cs="Times New Roman"/>
          <w:sz w:val="24"/>
          <w:szCs w:val="24"/>
        </w:rPr>
      </w:pPr>
    </w:p>
    <w:p w:rsidR="00C43A12" w:rsidRPr="00AD7534" w:rsidRDefault="00C43A12" w:rsidP="00550638">
      <w:pPr>
        <w:spacing w:after="0" w:line="240" w:lineRule="auto"/>
        <w:jc w:val="both"/>
        <w:rPr>
          <w:rFonts w:ascii="Times New Roman" w:eastAsia="Times New Roman" w:hAnsi="Times New Roman" w:cs="Times New Roman"/>
          <w:b/>
          <w:color w:val="FF0000"/>
          <w:sz w:val="24"/>
          <w:szCs w:val="24"/>
          <w:u w:val="single"/>
        </w:rPr>
      </w:pPr>
      <w:r w:rsidRPr="00AD7534">
        <w:rPr>
          <w:rFonts w:ascii="Times New Roman" w:eastAsia="Times New Roman" w:hAnsi="Times New Roman" w:cs="Times New Roman"/>
          <w:b/>
          <w:color w:val="FF0000"/>
          <w:sz w:val="24"/>
          <w:szCs w:val="24"/>
          <w:u w:val="single"/>
        </w:rPr>
        <w:t>En vez de pretender alcanzar metas numéricas precisas, ya sea para la inflación o el desempleo, la formulación de políticas en este modo busca reducir las fluctuaciones excesivas. Responde entonces a problemas reales, no a reglas y teorías (que estos problemas pueden haber tornado obsoletas). Si somos sinceros sobre las causas de la c</w:t>
      </w:r>
      <w:r w:rsidR="00331160">
        <w:rPr>
          <w:rFonts w:ascii="Times New Roman" w:eastAsia="Times New Roman" w:hAnsi="Times New Roman" w:cs="Times New Roman"/>
          <w:b/>
          <w:color w:val="FF0000"/>
          <w:sz w:val="24"/>
          <w:szCs w:val="24"/>
          <w:u w:val="single"/>
        </w:rPr>
        <w:t>risis de 2008 -</w:t>
      </w:r>
      <w:r w:rsidRPr="00AD7534">
        <w:rPr>
          <w:rFonts w:ascii="Times New Roman" w:eastAsia="Times New Roman" w:hAnsi="Times New Roman" w:cs="Times New Roman"/>
          <w:b/>
          <w:color w:val="FF0000"/>
          <w:sz w:val="24"/>
          <w:szCs w:val="24"/>
          <w:u w:val="single"/>
        </w:rPr>
        <w:t>y nos tomamos en serio</w:t>
      </w:r>
      <w:r w:rsidR="00331160">
        <w:rPr>
          <w:rFonts w:ascii="Times New Roman" w:eastAsia="Times New Roman" w:hAnsi="Times New Roman" w:cs="Times New Roman"/>
          <w:b/>
          <w:color w:val="FF0000"/>
          <w:sz w:val="24"/>
          <w:szCs w:val="24"/>
          <w:u w:val="single"/>
        </w:rPr>
        <w:t xml:space="preserve"> la prevención de su repetición-</w:t>
      </w:r>
      <w:r w:rsidRPr="00AD7534">
        <w:rPr>
          <w:rFonts w:ascii="Times New Roman" w:eastAsia="Times New Roman" w:hAnsi="Times New Roman" w:cs="Times New Roman"/>
          <w:b/>
          <w:color w:val="FF0000"/>
          <w:sz w:val="24"/>
          <w:szCs w:val="24"/>
          <w:u w:val="single"/>
        </w:rPr>
        <w:t xml:space="preserve"> debemos aceptar los límites del análisis económico, para aprovechar aquello que sí puede ofrecernos.</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DD77F8">
        <w:rPr>
          <w:rFonts w:ascii="Times New Roman" w:eastAsia="Times New Roman" w:hAnsi="Times New Roman" w:cs="Times New Roman"/>
          <w:sz w:val="24"/>
          <w:szCs w:val="24"/>
          <w:lang w:val="en-US"/>
        </w:rPr>
        <w:t>Roman Frydman is Professor of Economics at New York University</w:t>
      </w:r>
      <w:r>
        <w:rPr>
          <w:rFonts w:ascii="Times New Roman" w:eastAsia="Times New Roman" w:hAnsi="Times New Roman" w:cs="Times New Roman"/>
          <w:sz w:val="24"/>
          <w:szCs w:val="24"/>
          <w:lang w:val="en-US"/>
        </w:rPr>
        <w:t xml:space="preserve">. </w:t>
      </w:r>
      <w:r w:rsidRPr="00DD77F8">
        <w:rPr>
          <w:rFonts w:ascii="Times New Roman" w:eastAsia="Times New Roman" w:hAnsi="Times New Roman" w:cs="Times New Roman"/>
          <w:sz w:val="24"/>
          <w:szCs w:val="24"/>
          <w:lang w:val="en-US"/>
        </w:rPr>
        <w:t>Michael D. Goldberg is Professor of Economics at the University of New Hampshire…</w:t>
      </w:r>
      <w:r>
        <w:rPr>
          <w:rFonts w:ascii="Times New Roman" w:eastAsia="Times New Roman" w:hAnsi="Times New Roman" w:cs="Times New Roman"/>
          <w:sz w:val="24"/>
          <w:szCs w:val="24"/>
          <w:lang w:val="en-US"/>
        </w:rPr>
        <w:t>)</w:t>
      </w:r>
      <w:r w:rsidRPr="00DD77F8">
        <w:rPr>
          <w:rFonts w:ascii="Times New Roman" w:eastAsia="Times New Roman" w:hAnsi="Times New Roman" w:cs="Times New Roman"/>
          <w:sz w:val="24"/>
          <w:szCs w:val="24"/>
          <w:lang w:val="en-US"/>
        </w:rPr>
        <w:t xml:space="preserve"> </w:t>
      </w:r>
    </w:p>
    <w:p w:rsidR="00C43A12" w:rsidRDefault="00C43A12" w:rsidP="00550638">
      <w:pPr>
        <w:pStyle w:val="NormalWeb"/>
        <w:jc w:val="both"/>
      </w:pPr>
      <w:r>
        <w:t xml:space="preserve">- </w:t>
      </w:r>
      <w:r w:rsidRPr="005C6801">
        <w:rPr>
          <w:u w:val="single"/>
        </w:rPr>
        <w:t>Cinco años de no reforma financiera</w:t>
      </w:r>
      <w:r>
        <w:t xml:space="preserve"> (Project Syndicate - </w:t>
      </w:r>
      <w:r w:rsidRPr="005C6801">
        <w:rPr>
          <w:b/>
        </w:rPr>
        <w:t>13/9/13</w:t>
      </w:r>
      <w:r>
        <w:t>)</w:t>
      </w:r>
    </w:p>
    <w:p w:rsidR="00C43A12" w:rsidRDefault="00C43A12" w:rsidP="00550638">
      <w:pPr>
        <w:pStyle w:val="NormalWeb"/>
        <w:jc w:val="both"/>
      </w:pPr>
      <w:r>
        <w:t xml:space="preserve">(Por </w:t>
      </w:r>
      <w:r w:rsidRPr="00655D76">
        <w:t>Anat Admati)</w:t>
      </w:r>
      <w:r>
        <w:tab/>
      </w:r>
    </w:p>
    <w:p w:rsidR="00C43A12" w:rsidRPr="00DF150F" w:rsidRDefault="00331160" w:rsidP="00550638">
      <w:pPr>
        <w:pStyle w:val="NormalWeb"/>
        <w:jc w:val="both"/>
        <w:rPr>
          <w:u w:val="single"/>
        </w:rPr>
      </w:pPr>
      <w:r>
        <w:t>Stanford.-</w:t>
      </w:r>
      <w:r w:rsidR="00C43A12">
        <w:t xml:space="preserve"> </w:t>
      </w:r>
      <w:r w:rsidR="00C43A12" w:rsidRPr="00DF150F">
        <w:rPr>
          <w:u w:val="single"/>
        </w:rPr>
        <w:t>Cinco años después que el colapso de Lehman Brothers desató la mayor crisis financiera global desde la Gran Depresión, sectores bancarios sobredimensionados han hecho añicos las economías de Irlanda, Islandia y Chipre. Los bancos en Italia, España y otras partes no están prestando lo suficiente. El auge del crédito en China se está convirtiendo en un fiasco. En resumen, el sistema financiero mundial sigue siendo peligroso y disfuncional.</w:t>
      </w:r>
    </w:p>
    <w:p w:rsidR="00C43A12" w:rsidRPr="00DF150F" w:rsidRDefault="00C43A12" w:rsidP="00550638">
      <w:pPr>
        <w:pStyle w:val="NormalWeb"/>
        <w:jc w:val="both"/>
        <w:rPr>
          <w:u w:val="single"/>
        </w:rPr>
      </w:pPr>
      <w:r w:rsidRPr="00DF150F">
        <w:rPr>
          <w:u w:val="single"/>
        </w:rPr>
        <w:t xml:space="preserve">Peor aún, a pesar de años de debate, no se ha alcanzado un consenso sobre la naturaleza de los problemas del sistema financiero -mucho menos sobre cómo solucionarlos-. Y eso parece reflejar el poder político de los bancos. </w:t>
      </w:r>
    </w:p>
    <w:p w:rsidR="00C43A12" w:rsidRPr="00DF150F" w:rsidRDefault="00C43A12" w:rsidP="00550638">
      <w:pPr>
        <w:pStyle w:val="NormalWeb"/>
        <w:jc w:val="both"/>
        <w:rPr>
          <w:color w:val="FF0000"/>
          <w:u w:val="single"/>
        </w:rPr>
      </w:pPr>
      <w:r w:rsidRPr="00DF150F">
        <w:rPr>
          <w:color w:val="FF0000"/>
          <w:u w:val="single"/>
        </w:rPr>
        <w:lastRenderedPageBreak/>
        <w:t>Por ejemplo, Vince Cable, el secretario de negocios del Reino Unido, recientemente acusó a los reguladores del Banco de Ing</w:t>
      </w:r>
      <w:r w:rsidR="00331160">
        <w:rPr>
          <w:color w:val="FF0000"/>
          <w:u w:val="single"/>
        </w:rPr>
        <w:t>laterra -a quienes calificó de “talibanes del capital”</w:t>
      </w:r>
      <w:r w:rsidRPr="00DF150F">
        <w:rPr>
          <w:color w:val="FF0000"/>
          <w:u w:val="single"/>
        </w:rPr>
        <w:t>- de frenar la recuperación económica del país al imponer reglas excesivas a los bancos. Cable parece creerles a los lobistas de los bancos cuando dicen que el préstamo y el crecimiento se verían afectados</w:t>
      </w:r>
      <w:r w:rsidR="00331160">
        <w:rPr>
          <w:color w:val="FF0000"/>
          <w:u w:val="single"/>
        </w:rPr>
        <w:t xml:space="preserve"> si se obligara a los bancos a “tener más capital”</w:t>
      </w:r>
      <w:r w:rsidRPr="00DF150F">
        <w:rPr>
          <w:color w:val="FF0000"/>
          <w:u w:val="single"/>
        </w:rPr>
        <w:t>.</w:t>
      </w:r>
    </w:p>
    <w:p w:rsidR="00C43A12" w:rsidRPr="00DF150F" w:rsidRDefault="00C43A12" w:rsidP="00550638">
      <w:pPr>
        <w:pStyle w:val="NormalWeb"/>
        <w:jc w:val="both"/>
        <w:rPr>
          <w:color w:val="FF0000"/>
          <w:u w:val="single"/>
        </w:rPr>
      </w:pPr>
      <w:r w:rsidRPr="00DF150F">
        <w:rPr>
          <w:color w:val="FF0000"/>
          <w:u w:val="single"/>
        </w:rPr>
        <w:t xml:space="preserve">Estos argumentos de los altos responsables de las políticas económicas no son exclusivos del Reino Unido; pero son falsos y engañosos. El capital bancario no son </w:t>
      </w:r>
      <w:r w:rsidR="00331160">
        <w:rPr>
          <w:color w:val="FF0000"/>
          <w:u w:val="single"/>
        </w:rPr>
        <w:t>reservas en efectivo que deben “ahorrarse”</w:t>
      </w:r>
      <w:r w:rsidRPr="00DF150F">
        <w:rPr>
          <w:color w:val="FF0000"/>
          <w:u w:val="single"/>
        </w:rPr>
        <w:t xml:space="preserve">; es dinero no prestado que se puede usar para otorgar préstamos. </w:t>
      </w:r>
    </w:p>
    <w:p w:rsidR="00C43A12" w:rsidRDefault="00C43A12" w:rsidP="00550638">
      <w:pPr>
        <w:pStyle w:val="NormalWeb"/>
        <w:jc w:val="both"/>
      </w:pPr>
      <w:r>
        <w:t xml:space="preserve">En otras palabras, el crecimiento económico y del préstamo ha sufrido desde 2007 porque las instituciones financieras altamente endeudadas no pudieron absorber sus pérdidas, no por regulaciones que intentaban reducir su nivel de endeudamiento. Las regulaciones vigentes cuando estalló la crisis eran inadecuadas y se las había implementado de manera igualmente inadecuada, mientras que las reformas propuestas desde entonces no fueron mucho mejores. Las reformas propuestas en Basilea III, por ejemplo, les permitirían a los bancos financiar hasta el 97% de sus activos con dinero prestado; algunas inversiones se podían hacer enteramente con fondos prestados. </w:t>
      </w:r>
    </w:p>
    <w:p w:rsidR="00C43A12" w:rsidRDefault="00C43A12" w:rsidP="00550638">
      <w:pPr>
        <w:pStyle w:val="NormalWeb"/>
        <w:jc w:val="both"/>
      </w:pPr>
      <w:r>
        <w:t xml:space="preserve">Los peligros de esta estrategia a esta altura deberían ser obvios. Cuando los propietarios de los hogares no pueden pagar sus hipotecas, pueden perder su casa, perjudicando a todo el vecindario. Lo mismo es válido para las instituciones financieras, como demostró la quiebra de Lehman. </w:t>
      </w:r>
    </w:p>
    <w:p w:rsidR="00C43A12" w:rsidRDefault="00C43A12" w:rsidP="00550638">
      <w:pPr>
        <w:pStyle w:val="NormalWeb"/>
        <w:jc w:val="both"/>
      </w:pPr>
      <w:r>
        <w:t>Es más, los efectos de un alto nivel de endeudamiento se sienten antes de que los prestatarios dejen de pagar</w:t>
      </w:r>
      <w:r w:rsidR="00331160">
        <w:t>. Los propietarios en apuros o “ahogados”</w:t>
      </w:r>
      <w:r>
        <w:t xml:space="preserve"> no invierten mucho en mantenimiento o mejoras. De la misma manera, los bancos débiles con deudas pendientes que les impiden financiar inversiones que valen la pena son perjudiciales para la economía. </w:t>
      </w:r>
    </w:p>
    <w:p w:rsidR="00C43A12" w:rsidRDefault="00C43A12" w:rsidP="00550638">
      <w:pPr>
        <w:pStyle w:val="NormalWeb"/>
        <w:jc w:val="both"/>
      </w:pPr>
      <w:r>
        <w:t xml:space="preserve">Las regulaciones con imperfecciones distorsionan aún más el comportamiento de los bancos débiles -por ejemplo, predisponiéndolos a favor de otorgar préstamos a los gobiernos o invertir en títulos realizables en lugar de prestarle dinero a las empresas. Los reguladores muchas veces toleran, y a veces respaldan, a los bancos débiles, negando la realidad de su condición desesperada. Eso es contraproducente. </w:t>
      </w:r>
    </w:p>
    <w:p w:rsidR="00C43A12" w:rsidRPr="00DF150F" w:rsidRDefault="00C43A12" w:rsidP="00550638">
      <w:pPr>
        <w:pStyle w:val="NormalWeb"/>
        <w:jc w:val="both"/>
        <w:rPr>
          <w:color w:val="FF0000"/>
          <w:u w:val="single"/>
        </w:rPr>
      </w:pPr>
      <w:r w:rsidRPr="00DF150F">
        <w:rPr>
          <w:color w:val="FF0000"/>
          <w:u w:val="single"/>
        </w:rPr>
        <w:t xml:space="preserve">Los reguladores, más bien, deben tomar medidas enérgicas para desmantelar a los bancos zombis y obligar a los bancos viables a depender más de los mercados de valores, donde el riesgo se negocia y se cotiza, para volverse más fuertes. Prohibir los desembolsos a los accionistas y exigirles a los bancos que recauden fondos vendiendo nuevas acciones los fortalecería sin limitar su capacidad de préstamo. Los bancos que no pueden vender sus acciones a ningún precio tal vez sean demasiado débiles como para sobrevivir sin subsidios. Esos bancos son disfuncionales y hay que soltarles la mano. </w:t>
      </w:r>
    </w:p>
    <w:p w:rsidR="00C43A12" w:rsidRPr="00DF150F" w:rsidRDefault="00C43A12" w:rsidP="00550638">
      <w:pPr>
        <w:pStyle w:val="NormalWeb"/>
        <w:jc w:val="both"/>
        <w:rPr>
          <w:color w:val="FF0000"/>
          <w:u w:val="single"/>
        </w:rPr>
      </w:pPr>
      <w:r w:rsidRPr="00DF150F">
        <w:rPr>
          <w:color w:val="FF0000"/>
          <w:u w:val="single"/>
        </w:rPr>
        <w:t xml:space="preserve">Si queremos bancos más seguros y más saludables, no se les puede exigir otra cosa que reducir su dependencia del endeudamiento. Como entidades prestadoras, los bancos pierden cuando los prestatarios no pagan. Los propios bancos, sin embargo, son los mayores prestatarios, y normalmente financian más del 90% -y en algunos casos más </w:t>
      </w:r>
      <w:r w:rsidRPr="00DF150F">
        <w:rPr>
          <w:color w:val="FF0000"/>
          <w:u w:val="single"/>
        </w:rPr>
        <w:lastRenderedPageBreak/>
        <w:t>del 95%- de sus inversiones endeudándose. (Por el contrario, las corporaciones no financieras rara vez piden prestado más del 70% de sus activos, y muchas veces mucho menos, a pesar de la falta de alguna regulación de sus ratios de apalancamiento).</w:t>
      </w:r>
    </w:p>
    <w:p w:rsidR="00C43A12" w:rsidRDefault="00C43A12" w:rsidP="00550638">
      <w:pPr>
        <w:pStyle w:val="NormalWeb"/>
        <w:jc w:val="both"/>
      </w:pPr>
      <w:r>
        <w:t>Chipre es un ejemplo de este problema. A partir de 2010, los bancos chipriotas invirtieron parte de sus depósitos en bonos del gobierno griego, que prometían tasas de interés superiores al 10% -a veces inclusive 15% o 20%-. Mientras Grecia pagaba estas tasas altas, los bancos chipriotas podían ofrecerles a sus depositantes tasas atractivas, como del 4,5%, y prosperar.</w:t>
      </w:r>
    </w:p>
    <w:p w:rsidR="00C43A12" w:rsidRDefault="00C43A12" w:rsidP="00550638">
      <w:pPr>
        <w:pStyle w:val="NormalWeb"/>
        <w:jc w:val="both"/>
      </w:pPr>
      <w:r>
        <w:t xml:space="preserve">Los bancos chipriotas pasaron las pruebas de resistencia en julio de 2011. Sin embargo, a principios de 2012, sus bonos griegos perdieron el 75% de su valor. Como los bancos hacían sus inversiones con escaso dinero prestado, se volvieron insolventes. Después de haberse mantenido a flote durante un año con la ayuda del Banco Central Europeo, los bancos chipriotas se vieron obligados a enfrentar sus pérdidas. Uno cerró. Los depósitos superiores a 100.000 euros (133.000 dólares) generaron pérdidas. Los contribuyentes de la eurozona entregaron 10.000 millones de euros en fondos de rescate.  </w:t>
      </w:r>
    </w:p>
    <w:p w:rsidR="00C43A12" w:rsidRPr="00DF150F" w:rsidRDefault="00C43A12" w:rsidP="00550638">
      <w:pPr>
        <w:pStyle w:val="NormalWeb"/>
        <w:jc w:val="both"/>
        <w:rPr>
          <w:color w:val="FF0000"/>
          <w:u w:val="single"/>
        </w:rPr>
      </w:pPr>
      <w:r>
        <w:t xml:space="preserve">Curiosamente, los reguladores habían permitido que los bancos chipriotas incurrieran en las prácticas que habían originado sus problemas. Si bien la inversión en bonos griegos era riesgosa -lo que se reflejaba en las altas tasas que prometían los bonos-, las regulaciones ignoraron la posibilidad de una pérdida. </w:t>
      </w:r>
      <w:r w:rsidRPr="00DF150F">
        <w:rPr>
          <w:color w:val="FF0000"/>
          <w:u w:val="single"/>
        </w:rPr>
        <w:t>Mientras la ventaja de los riesgos daba resultados, las ganancias de los bancos beneficiaron a sus accionistas y gerentes, los políticos estaban contentos y los bancos crecieron enormemente en relación a la economía.</w:t>
      </w:r>
    </w:p>
    <w:p w:rsidR="00C43A12" w:rsidRPr="00DF150F" w:rsidRDefault="00C43A12" w:rsidP="00550638">
      <w:pPr>
        <w:pStyle w:val="NormalWeb"/>
        <w:jc w:val="both"/>
        <w:rPr>
          <w:u w:val="single"/>
        </w:rPr>
      </w:pPr>
      <w:r w:rsidRPr="00DF150F">
        <w:rPr>
          <w:u w:val="single"/>
        </w:rPr>
        <w:t xml:space="preserve">Las regulaciones propuestas por Basilea III establecieron requerimientos de capital mínimo absolutamente insuficientes y mantienen una estrategia errónea para ajustar los requerimientos al riesgo. Dentro de la eurozona, por ejemplo, los bancos pueden otorgar préstamos a cualquier gobierno usando exclusivamente dinero prestado. El banco franco-belga Dexia, al igual que los bancos chipriotas y muchos otros desde 2008, quebraron o fueron rescatados de pérdidas en inversiones riesgosas que los reguladores habían considerado seguras. </w:t>
      </w:r>
    </w:p>
    <w:p w:rsidR="00C43A12" w:rsidRPr="00DF150F" w:rsidRDefault="00C43A12" w:rsidP="00550638">
      <w:pPr>
        <w:pStyle w:val="NormalWeb"/>
        <w:jc w:val="both"/>
        <w:rPr>
          <w:u w:val="single"/>
        </w:rPr>
      </w:pPr>
      <w:r w:rsidRPr="00DF150F">
        <w:rPr>
          <w:u w:val="single"/>
        </w:rPr>
        <w:t>Las regulaciones en todas partes parecen basarse en el falso concepto de que los</w:t>
      </w:r>
      <w:r w:rsidR="00331160">
        <w:rPr>
          <w:u w:val="single"/>
        </w:rPr>
        <w:t xml:space="preserve"> bancos deberían tener capital “apenas suficiente”</w:t>
      </w:r>
      <w:r w:rsidRPr="00DF150F">
        <w:rPr>
          <w:u w:val="single"/>
        </w:rPr>
        <w:t>. El capital no es escaso</w:t>
      </w:r>
      <w:r w:rsidR="00331160">
        <w:rPr>
          <w:u w:val="single"/>
        </w:rPr>
        <w:t xml:space="preserve"> para los bancos viables, y la “ciencia”</w:t>
      </w:r>
      <w:r w:rsidRPr="00DF150F">
        <w:rPr>
          <w:u w:val="single"/>
        </w:rPr>
        <w:t xml:space="preserve"> de las complejas evaluaciones de riesgo o las pruebas de resistencia es una ilusión nociva. En cambio, la regulación debería apuntar a obligar a los inversores de los bancos a asumir un porcentaje mucho mayor de su propio riesgo, y así preocuparse mucho más por gestionarlo, para limitar el daño colateral de su endeudamiento excesivo. </w:t>
      </w:r>
    </w:p>
    <w:p w:rsidR="00C43A12" w:rsidRPr="00DF150F" w:rsidRDefault="00C43A12" w:rsidP="00550638">
      <w:pPr>
        <w:pStyle w:val="NormalWeb"/>
        <w:jc w:val="both"/>
        <w:rPr>
          <w:u w:val="single"/>
        </w:rPr>
      </w:pPr>
      <w:r w:rsidRPr="00DF150F">
        <w:rPr>
          <w:u w:val="single"/>
        </w:rPr>
        <w:t xml:space="preserve">Algunos dicen que los bancos son por naturaleza especiales, porque distribuyen los ahorros de la sociedad y crean liquidez. De hecho, los bancos se han vuelto especiales principalmente por su capacidad para realizar tantas apuestas a expensas de los demás. Nada sobre la intermediación financiera justifica permitirles a los bancos distorsionar la economía y poner en peligro a la población como lo hacen. </w:t>
      </w:r>
    </w:p>
    <w:p w:rsidR="00C43A12" w:rsidRPr="00655D76" w:rsidRDefault="00C43A12" w:rsidP="00550638">
      <w:pPr>
        <w:pStyle w:val="NormalWeb"/>
        <w:jc w:val="both"/>
        <w:rPr>
          <w:u w:val="single"/>
          <w:lang w:val="en-US"/>
        </w:rPr>
      </w:pPr>
      <w:r w:rsidRPr="00DF150F">
        <w:rPr>
          <w:u w:val="single"/>
        </w:rPr>
        <w:t xml:space="preserve">Desafortunadamente, a pesar del enorme daño causado por la crisis financiera, es poco lo que ha cambiado en la política de los bancos. Son demasiados los políticos y los </w:t>
      </w:r>
      <w:r w:rsidRPr="00DF150F">
        <w:rPr>
          <w:u w:val="single"/>
        </w:rPr>
        <w:lastRenderedPageBreak/>
        <w:t xml:space="preserve">reguladores que ponen </w:t>
      </w:r>
      <w:r w:rsidR="00331160">
        <w:rPr>
          <w:u w:val="single"/>
        </w:rPr>
        <w:t>sus propios intereses y los de “sus”</w:t>
      </w:r>
      <w:r w:rsidRPr="00DF150F">
        <w:rPr>
          <w:u w:val="single"/>
        </w:rPr>
        <w:t xml:space="preserve"> bancos por delante de su obligación de proteger a los contribuyentes y a los ciudadanos. </w:t>
      </w:r>
      <w:r w:rsidRPr="00655D76">
        <w:rPr>
          <w:u w:val="single"/>
          <w:lang w:val="en-US"/>
        </w:rPr>
        <w:t>Debemos exigirles que cumplan mejor su trabajo.</w:t>
      </w:r>
    </w:p>
    <w:p w:rsidR="00C43A12" w:rsidRDefault="00C43A12" w:rsidP="00550638">
      <w:pPr>
        <w:pStyle w:val="NormalWeb"/>
        <w:jc w:val="both"/>
        <w:rPr>
          <w:lang w:val="en-US"/>
        </w:rPr>
      </w:pPr>
      <w:r>
        <w:rPr>
          <w:lang w:val="en-US"/>
        </w:rPr>
        <w:t>(</w:t>
      </w:r>
      <w:r w:rsidRPr="005C6801">
        <w:rPr>
          <w:lang w:val="en-US"/>
        </w:rPr>
        <w:t>Anat Admati, Professor of Finance and Economics at the Stanford Graduate School of Business, is co-author (with Martin Hellwig) of The Bankers’ New Clothe</w:t>
      </w:r>
      <w:r>
        <w:rPr>
          <w:lang w:val="en-US"/>
        </w:rPr>
        <w:t>s</w:t>
      </w:r>
      <w:r w:rsidRPr="005C6801">
        <w:rPr>
          <w:lang w:val="en-US"/>
        </w:rPr>
        <w:t>…</w:t>
      </w:r>
      <w:r>
        <w:rPr>
          <w:lang w:val="en-US"/>
        </w:rPr>
        <w:t>)</w:t>
      </w:r>
    </w:p>
    <w:p w:rsidR="00331160" w:rsidRPr="00331160" w:rsidRDefault="00331160" w:rsidP="00550638">
      <w:pPr>
        <w:pStyle w:val="NormalWeb"/>
        <w:jc w:val="both"/>
        <w:rPr>
          <w:u w:val="single"/>
        </w:rPr>
      </w:pPr>
      <w:r w:rsidRPr="00331160">
        <w:rPr>
          <w:u w:val="single"/>
        </w:rPr>
        <w:t xml:space="preserve">The Hall of Fame: </w:t>
      </w:r>
      <w:r w:rsidR="004F2AB1">
        <w:rPr>
          <w:u w:val="single"/>
        </w:rPr>
        <w:t>“</w:t>
      </w:r>
      <w:r w:rsidRPr="00331160">
        <w:rPr>
          <w:u w:val="single"/>
        </w:rPr>
        <w:t>Caras y Caretas</w:t>
      </w:r>
      <w:r w:rsidR="004F2AB1">
        <w:rPr>
          <w:u w:val="single"/>
        </w:rPr>
        <w:t>”</w:t>
      </w:r>
      <w:r w:rsidRPr="00331160">
        <w:rPr>
          <w:u w:val="single"/>
        </w:rPr>
        <w:t xml:space="preserve"> (para que nunca</w:t>
      </w:r>
      <w:r w:rsidR="004F2AB1">
        <w:rPr>
          <w:u w:val="single"/>
        </w:rPr>
        <w:t xml:space="preserve"> se olviden de</w:t>
      </w:r>
      <w:r w:rsidRPr="00331160">
        <w:rPr>
          <w:u w:val="single"/>
        </w:rPr>
        <w:t xml:space="preserve"> quienes les han robado</w:t>
      </w:r>
      <w:r w:rsidR="004F2AB1">
        <w:rPr>
          <w:u w:val="single"/>
        </w:rPr>
        <w:t xml:space="preserve"> el pasado -pensiones-, el presente -empleo y sanidad- y el futuro -educación-)</w:t>
      </w:r>
    </w:p>
    <w:p w:rsidR="00C43A12" w:rsidRDefault="00C43A12" w:rsidP="0055063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u w:val="single"/>
        </w:rPr>
        <w:t>Los protagonistas de la crisis, cinco años después</w:t>
      </w:r>
      <w:r>
        <w:rPr>
          <w:rFonts w:ascii="Times New Roman" w:eastAsia="Times New Roman" w:hAnsi="Times New Roman" w:cs="Times New Roman"/>
          <w:sz w:val="24"/>
          <w:szCs w:val="24"/>
        </w:rPr>
        <w:t xml:space="preserve"> (The Wall Street Journal - </w:t>
      </w:r>
      <w:r w:rsidRPr="00CA1C7E">
        <w:rPr>
          <w:rFonts w:ascii="Times New Roman" w:eastAsia="Times New Roman" w:hAnsi="Times New Roman" w:cs="Times New Roman"/>
          <w:b/>
          <w:sz w:val="24"/>
          <w:szCs w:val="24"/>
        </w:rPr>
        <w:t>15/9/13</w:t>
      </w:r>
      <w:r>
        <w:rPr>
          <w:rFonts w:ascii="Times New Roman" w:eastAsia="Times New Roman" w:hAnsi="Times New Roman" w:cs="Times New Roman"/>
          <w:sz w:val="24"/>
          <w:szCs w:val="24"/>
        </w:rPr>
        <w:t>)</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174E71" w:rsidRDefault="00C43A12" w:rsidP="00550638">
      <w:pPr>
        <w:spacing w:after="0" w:line="240" w:lineRule="auto"/>
        <w:jc w:val="both"/>
        <w:rPr>
          <w:rFonts w:ascii="Times New Roman" w:eastAsia="Times New Roman" w:hAnsi="Times New Roman" w:cs="Times New Roman"/>
          <w:color w:val="FF0000"/>
          <w:sz w:val="24"/>
          <w:szCs w:val="24"/>
        </w:rPr>
      </w:pPr>
      <w:r w:rsidRPr="00CA1C7E">
        <w:rPr>
          <w:rFonts w:ascii="Times New Roman" w:eastAsia="Times New Roman" w:hAnsi="Times New Roman" w:cs="Times New Roman"/>
          <w:sz w:val="24"/>
          <w:szCs w:val="24"/>
        </w:rPr>
        <w:t>El elenco de la crisis financiera de 2008</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b/>
          <w:sz w:val="24"/>
          <w:szCs w:val="24"/>
        </w:rPr>
        <w:t xml:space="preserve"> </w:t>
      </w:r>
    </w:p>
    <w:p w:rsidR="00C43A12" w:rsidRPr="00CA1C7E"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Los dramáticos eventos de septiembre de 2008 pusieron a varios banqueros y funcionarios en la mira del público. Otros funcionarios jugaron papeles clave en la crisis, aunque no hayan ejercido un rol central. Un puñado de los principales protagonistas siguen activos en la vida pública, algunos incluso tienen los mismos trabajos, otros han desaparecido por completo de la vida pública.</w:t>
      </w:r>
    </w:p>
    <w:p w:rsidR="00550638" w:rsidRDefault="00550638"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CA1C7E" w:rsidRDefault="00C43A12" w:rsidP="00550638">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Henry Paulson</w:t>
      </w: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Funcionario</w:t>
      </w:r>
    </w:p>
    <w:p w:rsidR="00C43A12" w:rsidRDefault="00C43A12" w:rsidP="00550638">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Departamento del Tesoro</w:t>
      </w:r>
    </w:p>
    <w:p w:rsidR="004F2AB1" w:rsidRDefault="004F2AB1"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5D6947FB" wp14:editId="2AFB441F">
            <wp:extent cx="1828800" cy="1653236"/>
            <wp:effectExtent l="0" t="0" r="0" b="4445"/>
            <wp:docPr id="51" name="Imagen 51" descr="http://s.wsj.net/public/resources/images/OB-YU313_0905fi_DV_20130905131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sj.net/public/resources/images/OB-YU313_0905fi_DV_2013090513144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75" cy="1653304"/>
                    </a:xfrm>
                    <a:prstGeom prst="rect">
                      <a:avLst/>
                    </a:prstGeom>
                    <a:noFill/>
                    <a:ln>
                      <a:noFill/>
                    </a:ln>
                  </pic:spPr>
                </pic:pic>
              </a:graphicData>
            </a:graphic>
          </wp:inline>
        </w:drawing>
      </w:r>
    </w:p>
    <w:p w:rsidR="00C43A12" w:rsidRPr="00CA1C7E" w:rsidRDefault="00C43A12" w:rsidP="00550638">
      <w:pPr>
        <w:spacing w:after="0" w:line="240" w:lineRule="auto"/>
        <w:jc w:val="both"/>
        <w:rPr>
          <w:rFonts w:ascii="Times New Roman" w:eastAsia="Times New Roman" w:hAnsi="Times New Roman" w:cs="Times New Roman"/>
          <w:sz w:val="24"/>
          <w:szCs w:val="24"/>
        </w:rPr>
      </w:pPr>
    </w:p>
    <w:p w:rsidR="00550638" w:rsidRDefault="00C43A12" w:rsidP="0055063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Henry Paulson a</w:t>
      </w:r>
      <w:r w:rsidRPr="00CA1C7E">
        <w:rPr>
          <w:rFonts w:ascii="Times New Roman" w:eastAsia="Times New Roman" w:hAnsi="Times New Roman" w:cs="Times New Roman"/>
          <w:sz w:val="24"/>
          <w:szCs w:val="24"/>
        </w:rPr>
        <w:t xml:space="preserve">penas estaba en su segundo año como secretario del Tesoro cuando la crisis financiera estalló, lo que obligó al ex presidente ejecutivo de Goldman Sachs Group Inc. a llevar a cabo una serie de rescates gubernamentales sin precedentes, incluyendo ayudar a facilitar la venta de Bear Stearns Cos. a J.P. Morgan Chase &amp; Co. y colocando gigantes </w:t>
      </w:r>
      <w:r w:rsidR="00163A77">
        <w:rPr>
          <w:rFonts w:ascii="Times New Roman" w:eastAsia="Times New Roman" w:hAnsi="Times New Roman" w:cs="Times New Roman"/>
          <w:sz w:val="24"/>
          <w:szCs w:val="24"/>
        </w:rPr>
        <w:t xml:space="preserve">hipotecarios bajo tutela legal. </w:t>
      </w:r>
      <w:r w:rsidRPr="00CA1C7E">
        <w:rPr>
          <w:rFonts w:ascii="Times New Roman" w:eastAsia="Times New Roman" w:hAnsi="Times New Roman" w:cs="Times New Roman"/>
          <w:sz w:val="24"/>
          <w:szCs w:val="24"/>
        </w:rPr>
        <w:t>Paulson, de 67 años, escribió en el prólogo de su</w:t>
      </w:r>
      <w:r>
        <w:rPr>
          <w:rFonts w:ascii="Times New Roman" w:eastAsia="Times New Roman" w:hAnsi="Times New Roman" w:cs="Times New Roman"/>
          <w:sz w:val="24"/>
          <w:szCs w:val="24"/>
        </w:rPr>
        <w:t xml:space="preserve"> libro, “On the Brink” (algo así</w:t>
      </w:r>
      <w:r w:rsidRPr="00CA1C7E">
        <w:rPr>
          <w:rFonts w:ascii="Times New Roman" w:eastAsia="Times New Roman" w:hAnsi="Times New Roman" w:cs="Times New Roman"/>
          <w:sz w:val="24"/>
          <w:szCs w:val="24"/>
        </w:rPr>
        <w:t xml:space="preserve"> como, “Al borde”), “No quería ser el secretario del Tesoro que presidía durante el inicio de otra Gran Depresión, y no tengo duda de que eso es exactamente lo que nuestro país habría enfrentado si nuestros esfuerzos se hubieran quedado cortos”.</w:t>
      </w:r>
    </w:p>
    <w:p w:rsidR="00550638" w:rsidRDefault="00550638" w:rsidP="00550638">
      <w:pPr>
        <w:spacing w:after="0" w:line="240" w:lineRule="auto"/>
        <w:jc w:val="both"/>
        <w:rPr>
          <w:rFonts w:ascii="Times New Roman" w:eastAsia="Times New Roman" w:hAnsi="Times New Roman" w:cs="Times New Roman"/>
          <w:sz w:val="24"/>
          <w:szCs w:val="24"/>
        </w:rPr>
      </w:pPr>
    </w:p>
    <w:p w:rsidR="00550638" w:rsidRDefault="00550638" w:rsidP="00550638">
      <w:pPr>
        <w:spacing w:after="0" w:line="240" w:lineRule="auto"/>
        <w:jc w:val="both"/>
        <w:rPr>
          <w:rFonts w:ascii="Times New Roman" w:eastAsia="Times New Roman" w:hAnsi="Times New Roman" w:cs="Times New Roman"/>
          <w:sz w:val="24"/>
          <w:szCs w:val="24"/>
        </w:rPr>
      </w:pPr>
    </w:p>
    <w:p w:rsidR="00550638" w:rsidRDefault="00550638" w:rsidP="00550638">
      <w:pPr>
        <w:spacing w:after="0" w:line="240" w:lineRule="auto"/>
        <w:jc w:val="both"/>
        <w:rPr>
          <w:rFonts w:ascii="Times New Roman" w:eastAsia="Times New Roman" w:hAnsi="Times New Roman" w:cs="Times New Roman"/>
          <w:sz w:val="24"/>
          <w:szCs w:val="24"/>
        </w:rPr>
      </w:pPr>
    </w:p>
    <w:p w:rsidR="00550638" w:rsidRDefault="00550638" w:rsidP="00550638">
      <w:pPr>
        <w:spacing w:after="0" w:line="240" w:lineRule="auto"/>
        <w:jc w:val="both"/>
        <w:rPr>
          <w:rFonts w:ascii="Times New Roman" w:eastAsia="Times New Roman" w:hAnsi="Times New Roman" w:cs="Times New Roman"/>
          <w:sz w:val="24"/>
          <w:szCs w:val="24"/>
        </w:rPr>
      </w:pPr>
    </w:p>
    <w:p w:rsidR="00550638" w:rsidRDefault="00550638" w:rsidP="00550638">
      <w:pPr>
        <w:spacing w:after="0" w:line="240" w:lineRule="auto"/>
        <w:jc w:val="both"/>
        <w:rPr>
          <w:rFonts w:ascii="Times New Roman" w:eastAsia="Times New Roman" w:hAnsi="Times New Roman" w:cs="Times New Roman"/>
          <w:sz w:val="24"/>
          <w:szCs w:val="24"/>
        </w:rPr>
      </w:pPr>
    </w:p>
    <w:p w:rsidR="00550638" w:rsidRDefault="00550638" w:rsidP="00550638">
      <w:pPr>
        <w:spacing w:after="0" w:line="240" w:lineRule="auto"/>
        <w:jc w:val="both"/>
        <w:rPr>
          <w:rFonts w:ascii="Times New Roman" w:eastAsia="Times New Roman" w:hAnsi="Times New Roman" w:cs="Times New Roman"/>
          <w:sz w:val="24"/>
          <w:szCs w:val="24"/>
        </w:rPr>
      </w:pPr>
    </w:p>
    <w:p w:rsidR="00550638" w:rsidRDefault="00550638" w:rsidP="00550638">
      <w:pPr>
        <w:spacing w:after="0" w:line="240" w:lineRule="auto"/>
        <w:jc w:val="both"/>
        <w:rPr>
          <w:rFonts w:ascii="Times New Roman" w:eastAsia="Times New Roman" w:hAnsi="Times New Roman" w:cs="Times New Roman"/>
          <w:sz w:val="24"/>
          <w:szCs w:val="24"/>
        </w:rPr>
      </w:pPr>
    </w:p>
    <w:p w:rsidR="00C43A12" w:rsidRPr="00CA1C7E" w:rsidRDefault="00C43A12" w:rsidP="00550638">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lastRenderedPageBreak/>
        <w:t>Ben Bernanke</w:t>
      </w: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Funcionario</w:t>
      </w:r>
    </w:p>
    <w:p w:rsidR="00C43A12" w:rsidRDefault="00C43A12" w:rsidP="00550638">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Reserva Federal de EE</w:t>
      </w:r>
      <w:r w:rsidR="004F2AB1">
        <w:rPr>
          <w:rFonts w:ascii="Times New Roman" w:eastAsia="Times New Roman" w:hAnsi="Times New Roman" w:cs="Times New Roman"/>
          <w:sz w:val="24"/>
          <w:szCs w:val="24"/>
        </w:rPr>
        <w:t>UU</w:t>
      </w:r>
      <w:r w:rsidRPr="00CA1C7E">
        <w:rPr>
          <w:rFonts w:ascii="Times New Roman" w:eastAsia="Times New Roman" w:hAnsi="Times New Roman" w:cs="Times New Roman"/>
          <w:sz w:val="24"/>
          <w:szCs w:val="24"/>
        </w:rPr>
        <w:t xml:space="preserve"> </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04712E3C" wp14:editId="05076687">
            <wp:extent cx="1865376" cy="1814169"/>
            <wp:effectExtent l="0" t="0" r="1905" b="0"/>
            <wp:docPr id="53" name="Imagen 53" descr="http://s.wsj.net/public/resources/images/OB-YU314_0905fi_DV_20130905131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sj.net/public/resources/images/OB-YU314_0905fi_DV_20130905131532.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65452" cy="1814243"/>
                    </a:xfrm>
                    <a:prstGeom prst="rect">
                      <a:avLst/>
                    </a:prstGeom>
                    <a:noFill/>
                    <a:ln>
                      <a:noFill/>
                    </a:ln>
                  </pic:spPr>
                </pic:pic>
              </a:graphicData>
            </a:graphic>
          </wp:inline>
        </w:drawing>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Ben Bernanke, un estudiante de la Gran Depresión, estaba ansioso por evitar una repetición durante su mandato y utilizó e hizo amplio uso de las potestades de la Fed para abrir los canales de financiación y proteg</w:t>
      </w:r>
      <w:r w:rsidR="00163A77">
        <w:rPr>
          <w:rFonts w:ascii="Times New Roman" w:eastAsia="Times New Roman" w:hAnsi="Times New Roman" w:cs="Times New Roman"/>
          <w:sz w:val="24"/>
          <w:szCs w:val="24"/>
        </w:rPr>
        <w:t xml:space="preserve">er a Wall Street de un colapso. </w:t>
      </w:r>
      <w:r w:rsidRPr="00CA1C7E">
        <w:rPr>
          <w:rFonts w:ascii="Times New Roman" w:eastAsia="Times New Roman" w:hAnsi="Times New Roman" w:cs="Times New Roman"/>
          <w:sz w:val="24"/>
          <w:szCs w:val="24"/>
        </w:rPr>
        <w:t>La Fed prestó US$</w:t>
      </w:r>
      <w:r w:rsidR="004F2AB1">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29.000 millones para inducir a J.P. Morgan Chase &amp; Co. a comprar Bear Stearns Cos. e inyectó US$</w:t>
      </w:r>
      <w:r w:rsidR="004F2AB1">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85.000 millones en Am</w:t>
      </w:r>
      <w:r w:rsidR="00163A77">
        <w:rPr>
          <w:rFonts w:ascii="Times New Roman" w:eastAsia="Times New Roman" w:hAnsi="Times New Roman" w:cs="Times New Roman"/>
          <w:sz w:val="24"/>
          <w:szCs w:val="24"/>
        </w:rPr>
        <w:t xml:space="preserve">erican International Group Inc. </w:t>
      </w:r>
      <w:r w:rsidRPr="00CA1C7E">
        <w:rPr>
          <w:rFonts w:ascii="Times New Roman" w:eastAsia="Times New Roman" w:hAnsi="Times New Roman" w:cs="Times New Roman"/>
          <w:sz w:val="24"/>
          <w:szCs w:val="24"/>
        </w:rPr>
        <w:t>Bernanke también persuadió a los líderes del Congreso a respaldar un rescate. Además, recortó las tasas de interés de corto plazo a cero en diciembre de 2008 y supervisó la impresión de US$</w:t>
      </w:r>
      <w:r w:rsidR="004F2AB1">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 xml:space="preserve">2,8 billones para comprar valores de largo plazo </w:t>
      </w:r>
      <w:r w:rsidR="00163A77">
        <w:rPr>
          <w:rFonts w:ascii="Times New Roman" w:eastAsia="Times New Roman" w:hAnsi="Times New Roman" w:cs="Times New Roman"/>
          <w:sz w:val="24"/>
          <w:szCs w:val="24"/>
        </w:rPr>
        <w:t xml:space="preserve">a fin de apuntalar la economía. </w:t>
      </w:r>
      <w:r w:rsidRPr="00CA1C7E">
        <w:rPr>
          <w:rFonts w:ascii="Times New Roman" w:eastAsia="Times New Roman" w:hAnsi="Times New Roman" w:cs="Times New Roman"/>
          <w:sz w:val="24"/>
          <w:szCs w:val="24"/>
        </w:rPr>
        <w:t>Se prevé que Bernanke, ahora de 59 años, deje la presidencia de la Fed cuando su término concluya en enero de 2014.</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CA1C7E" w:rsidRDefault="00C43A12" w:rsidP="00550638">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Timothy Geithner</w:t>
      </w:r>
      <w:r>
        <w:rPr>
          <w:rFonts w:ascii="Times New Roman" w:eastAsia="Times New Roman" w:hAnsi="Times New Roman" w:cs="Times New Roman"/>
          <w:sz w:val="24"/>
          <w:szCs w:val="24"/>
        </w:rPr>
        <w:t xml:space="preserve">   </w:t>
      </w:r>
      <w:r w:rsidRPr="00CA1C7E">
        <w:rPr>
          <w:rFonts w:ascii="Times New Roman" w:eastAsia="Times New Roman" w:hAnsi="Times New Roman" w:cs="Times New Roman"/>
          <w:sz w:val="24"/>
          <w:szCs w:val="24"/>
        </w:rPr>
        <w:t>Funcionario</w:t>
      </w:r>
    </w:p>
    <w:p w:rsidR="00C43A12" w:rsidRDefault="00C43A12" w:rsidP="00550638">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Banco de la Reserva Federal de Nueva York</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07F4FB66" wp14:editId="5C5D2DED">
            <wp:extent cx="1865376" cy="1792224"/>
            <wp:effectExtent l="0" t="0" r="1905" b="0"/>
            <wp:docPr id="480" name="Imagen 480" descr="http://s.wsj.net/public/resources/images/OB-YU315_0905fi_DV_201309051316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sj.net/public/resources/images/OB-YU315_0905fi_DV_20130905131620.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865453" cy="1792298"/>
                    </a:xfrm>
                    <a:prstGeom prst="rect">
                      <a:avLst/>
                    </a:prstGeom>
                    <a:noFill/>
                    <a:ln>
                      <a:noFill/>
                    </a:ln>
                  </pic:spPr>
                </pic:pic>
              </a:graphicData>
            </a:graphic>
          </wp:inline>
        </w:drawing>
      </w:r>
    </w:p>
    <w:p w:rsidR="00C43A12" w:rsidRPr="00CA1C7E"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CA1C7E">
        <w:rPr>
          <w:rFonts w:ascii="Times New Roman" w:eastAsia="Times New Roman" w:hAnsi="Times New Roman" w:cs="Times New Roman"/>
          <w:sz w:val="24"/>
          <w:szCs w:val="24"/>
        </w:rPr>
        <w:t>Timothy Geithner estaba a la cabeza del Banco de la Reserva Federal de Nueva York durante la crisis, actuando como los ojos y oídos del gobierno en Wall Street. Geithner buscó intervenir en la crisis rápidamente, abogando por los rescates de firmas como Bear Stearns Cos. y Am</w:t>
      </w:r>
      <w:r w:rsidR="00163A77">
        <w:rPr>
          <w:rFonts w:ascii="Times New Roman" w:eastAsia="Times New Roman" w:hAnsi="Times New Roman" w:cs="Times New Roman"/>
          <w:sz w:val="24"/>
          <w:szCs w:val="24"/>
        </w:rPr>
        <w:t xml:space="preserve">erican International Group Inc. </w:t>
      </w:r>
      <w:r w:rsidRPr="00CA1C7E">
        <w:rPr>
          <w:rFonts w:ascii="Times New Roman" w:eastAsia="Times New Roman" w:hAnsi="Times New Roman" w:cs="Times New Roman"/>
          <w:sz w:val="24"/>
          <w:szCs w:val="24"/>
        </w:rPr>
        <w:t>En enero de 2009 cuando se convirtió en secretario del Tesoro y siguió supervisando programas para fortalecer el sistema financiero. Geithner, ahora de 52 años, está escribiendo un libro sobre su papel en la respuesta a la crisis financiera.</w:t>
      </w:r>
    </w:p>
    <w:p w:rsidR="00550638" w:rsidRDefault="00550638" w:rsidP="00550638">
      <w:pPr>
        <w:spacing w:after="0" w:line="240" w:lineRule="auto"/>
        <w:jc w:val="both"/>
        <w:rPr>
          <w:rFonts w:ascii="Times New Roman" w:eastAsia="Times New Roman" w:hAnsi="Times New Roman" w:cs="Times New Roman"/>
          <w:sz w:val="24"/>
          <w:szCs w:val="24"/>
        </w:rPr>
      </w:pPr>
    </w:p>
    <w:p w:rsidR="00163A77" w:rsidRDefault="00163A77" w:rsidP="00550638">
      <w:pPr>
        <w:spacing w:after="0" w:line="240" w:lineRule="auto"/>
        <w:jc w:val="both"/>
        <w:rPr>
          <w:rFonts w:ascii="Times New Roman" w:eastAsia="Times New Roman" w:hAnsi="Times New Roman" w:cs="Times New Roman"/>
          <w:sz w:val="24"/>
          <w:szCs w:val="24"/>
        </w:rPr>
      </w:pPr>
    </w:p>
    <w:p w:rsidR="00163A77" w:rsidRDefault="00163A77" w:rsidP="00550638">
      <w:pPr>
        <w:spacing w:after="0" w:line="240" w:lineRule="auto"/>
        <w:jc w:val="both"/>
        <w:rPr>
          <w:rFonts w:ascii="Times New Roman" w:eastAsia="Times New Roman" w:hAnsi="Times New Roman" w:cs="Times New Roman"/>
          <w:sz w:val="24"/>
          <w:szCs w:val="24"/>
        </w:rPr>
      </w:pPr>
    </w:p>
    <w:p w:rsidR="00163A77" w:rsidRDefault="00163A77" w:rsidP="00550638">
      <w:pPr>
        <w:spacing w:after="0" w:line="240" w:lineRule="auto"/>
        <w:jc w:val="both"/>
        <w:rPr>
          <w:rFonts w:ascii="Times New Roman" w:eastAsia="Times New Roman" w:hAnsi="Times New Roman" w:cs="Times New Roman"/>
          <w:sz w:val="24"/>
          <w:szCs w:val="24"/>
        </w:rPr>
      </w:pPr>
    </w:p>
    <w:p w:rsidR="00C43A12" w:rsidRPr="00BD3CC1" w:rsidRDefault="00C43A12" w:rsidP="00550638">
      <w:pPr>
        <w:spacing w:after="0" w:line="240" w:lineRule="auto"/>
        <w:jc w:val="both"/>
        <w:rPr>
          <w:rFonts w:ascii="Times New Roman" w:eastAsia="Times New Roman" w:hAnsi="Times New Roman" w:cs="Times New Roman"/>
          <w:sz w:val="24"/>
          <w:szCs w:val="24"/>
          <w:lang w:val="en-US"/>
        </w:rPr>
      </w:pPr>
      <w:r w:rsidRPr="00BD3CC1">
        <w:rPr>
          <w:rFonts w:ascii="Times New Roman" w:eastAsia="Times New Roman" w:hAnsi="Times New Roman" w:cs="Times New Roman"/>
          <w:sz w:val="24"/>
          <w:szCs w:val="24"/>
          <w:lang w:val="en-US"/>
        </w:rPr>
        <w:lastRenderedPageBreak/>
        <w:t>James Cayne   Banquero</w:t>
      </w:r>
    </w:p>
    <w:p w:rsidR="00C43A12" w:rsidRPr="00BD3CC1" w:rsidRDefault="00C43A12" w:rsidP="00550638">
      <w:pPr>
        <w:spacing w:after="0" w:line="240" w:lineRule="auto"/>
        <w:jc w:val="both"/>
        <w:rPr>
          <w:rFonts w:ascii="Times New Roman" w:eastAsia="Times New Roman" w:hAnsi="Times New Roman" w:cs="Times New Roman"/>
          <w:sz w:val="24"/>
          <w:szCs w:val="24"/>
          <w:lang w:val="en-US"/>
        </w:rPr>
      </w:pPr>
      <w:r w:rsidRPr="00BD3CC1">
        <w:rPr>
          <w:rFonts w:ascii="Times New Roman" w:eastAsia="Times New Roman" w:hAnsi="Times New Roman" w:cs="Times New Roman"/>
          <w:sz w:val="24"/>
          <w:szCs w:val="24"/>
          <w:lang w:val="en-US"/>
        </w:rPr>
        <w:t>Bear Stearns</w:t>
      </w:r>
    </w:p>
    <w:p w:rsidR="00C43A12" w:rsidRPr="00BD3CC1" w:rsidRDefault="00C43A12" w:rsidP="00550638">
      <w:pPr>
        <w:spacing w:after="0" w:line="240" w:lineRule="auto"/>
        <w:jc w:val="both"/>
        <w:rPr>
          <w:rFonts w:ascii="Times New Roman" w:eastAsia="Times New Roman" w:hAnsi="Times New Roman" w:cs="Times New Roman"/>
          <w:sz w:val="24"/>
          <w:szCs w:val="24"/>
          <w:lang w:val="en-US"/>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7DB7CDF0" wp14:editId="0F645F29">
            <wp:extent cx="2026310" cy="1784909"/>
            <wp:effectExtent l="0" t="0" r="0" b="6350"/>
            <wp:docPr id="481" name="Imagen 481" descr="http://s.wsj.net/public/resources/images/OB-YS814_0830fi_DV_20130830124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sj.net/public/resources/images/OB-YS814_0830fi_DV_20130830124130.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026392" cy="1784981"/>
                    </a:xfrm>
                    <a:prstGeom prst="rect">
                      <a:avLst/>
                    </a:prstGeom>
                    <a:noFill/>
                    <a:ln>
                      <a:noFill/>
                    </a:ln>
                  </pic:spPr>
                </pic:pic>
              </a:graphicData>
            </a:graphic>
          </wp:inline>
        </w:drawing>
      </w:r>
    </w:p>
    <w:p w:rsidR="00C43A12" w:rsidRPr="00174E71"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James Cayne era el presidente de Bear Stearns Cos. en 2007, cuando dos de los fondos de cobertura del banco de inversión colapsaron bajo las pérdidas de los valores respaldados por hipotecas, uno de las primeras s</w:t>
      </w:r>
      <w:r w:rsidR="004F2AB1">
        <w:rPr>
          <w:rFonts w:ascii="Times New Roman" w:eastAsia="Times New Roman" w:hAnsi="Times New Roman" w:cs="Times New Roman"/>
          <w:sz w:val="24"/>
          <w:szCs w:val="24"/>
        </w:rPr>
        <w:t>eñales de la crisis financiera.</w:t>
      </w:r>
      <w:r w:rsidR="00163A77">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Abandonó su puesto de presidente ejecutivo bajo presión de los accionistas en enero de 2008, en medio de crecientes críticas por las pérdidas de la firma, las acciones en picada y lo que algunos ejecutivos percibían como un liderazgo poco comprometido. En marzo, a medida que la confianza en Bear siguió debilitándose, el</w:t>
      </w:r>
      <w:r w:rsidR="004F2AB1">
        <w:rPr>
          <w:rFonts w:ascii="Times New Roman" w:eastAsia="Times New Roman" w:hAnsi="Times New Roman" w:cs="Times New Roman"/>
          <w:sz w:val="24"/>
          <w:szCs w:val="24"/>
        </w:rPr>
        <w:t xml:space="preserve"> gobierno de EEUU</w:t>
      </w:r>
      <w:r w:rsidRPr="00174E71">
        <w:rPr>
          <w:rFonts w:ascii="Times New Roman" w:eastAsia="Times New Roman" w:hAnsi="Times New Roman" w:cs="Times New Roman"/>
          <w:sz w:val="24"/>
          <w:szCs w:val="24"/>
        </w:rPr>
        <w:t xml:space="preserve"> gestionó su venta a J.P. Morgan Chase &amp; Co. por US$</w:t>
      </w:r>
      <w:r w:rsidR="004F2AB1">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1.400 millones. A principios de 2007, la capitalización de mercado de Bear estaba en US$</w:t>
      </w:r>
      <w:r w:rsidR="004F2AB1">
        <w:rPr>
          <w:rFonts w:ascii="Times New Roman" w:eastAsia="Times New Roman" w:hAnsi="Times New Roman" w:cs="Times New Roman"/>
          <w:sz w:val="24"/>
          <w:szCs w:val="24"/>
        </w:rPr>
        <w:t xml:space="preserve"> </w:t>
      </w:r>
      <w:r w:rsidR="00163A77">
        <w:rPr>
          <w:rFonts w:ascii="Times New Roman" w:eastAsia="Times New Roman" w:hAnsi="Times New Roman" w:cs="Times New Roman"/>
          <w:sz w:val="24"/>
          <w:szCs w:val="24"/>
        </w:rPr>
        <w:t xml:space="preserve">25.000 millones. </w:t>
      </w:r>
      <w:r w:rsidRPr="00174E71">
        <w:rPr>
          <w:rFonts w:ascii="Times New Roman" w:eastAsia="Times New Roman" w:hAnsi="Times New Roman" w:cs="Times New Roman"/>
          <w:sz w:val="24"/>
          <w:szCs w:val="24"/>
        </w:rPr>
        <w:t>En años recientes, Cayne, ya jubilado, ha mante</w:t>
      </w:r>
      <w:r w:rsidR="004F2AB1">
        <w:rPr>
          <w:rFonts w:ascii="Times New Roman" w:eastAsia="Times New Roman" w:hAnsi="Times New Roman" w:cs="Times New Roman"/>
          <w:sz w:val="24"/>
          <w:szCs w:val="24"/>
        </w:rPr>
        <w:t xml:space="preserve">nido un perfil discreto. </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174E71"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Angelo Mozilo</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Banquero</w:t>
      </w:r>
    </w:p>
    <w:p w:rsidR="00C43A12"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Countrywide</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18A35BD3" wp14:editId="4E065C68">
            <wp:extent cx="1901952" cy="1777594"/>
            <wp:effectExtent l="0" t="0" r="3175" b="0"/>
            <wp:docPr id="482" name="Imagen 482" descr="http://s.wsj.net/public/resources/images/OB-YS845_0830fi_DV_20130830130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sj.net/public/resources/images/OB-YS845_0830fi_DV_20130830130554.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02029" cy="1777666"/>
                    </a:xfrm>
                    <a:prstGeom prst="rect">
                      <a:avLst/>
                    </a:prstGeom>
                    <a:noFill/>
                    <a:ln>
                      <a:noFill/>
                    </a:ln>
                  </pic:spPr>
                </pic:pic>
              </a:graphicData>
            </a:graphic>
          </wp:inline>
        </w:drawing>
      </w:r>
    </w:p>
    <w:p w:rsidR="00C43A12" w:rsidRPr="00174E71"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Angelo Mozilo fue el cofundador y presidente ejecutivo de Countrywide Financial Corp., uno de los mayores prestamistas del país y un proveedor de préstamos de alto riesgo antes de la crisis finan</w:t>
      </w:r>
      <w:r w:rsidR="00163A77">
        <w:rPr>
          <w:rFonts w:ascii="Times New Roman" w:eastAsia="Times New Roman" w:hAnsi="Times New Roman" w:cs="Times New Roman"/>
          <w:sz w:val="24"/>
          <w:szCs w:val="24"/>
        </w:rPr>
        <w:t xml:space="preserve">ciera. </w:t>
      </w:r>
      <w:r w:rsidRPr="00174E71">
        <w:rPr>
          <w:rFonts w:ascii="Times New Roman" w:eastAsia="Times New Roman" w:hAnsi="Times New Roman" w:cs="Times New Roman"/>
          <w:sz w:val="24"/>
          <w:szCs w:val="24"/>
        </w:rPr>
        <w:t>Mozilo fue pionero de los créditos hipotecarios de alto riesgo y de tasas ajustables que contribuyeron a impulsar el auge inmobilia</w:t>
      </w:r>
      <w:r w:rsidR="00163A77">
        <w:rPr>
          <w:rFonts w:ascii="Times New Roman" w:eastAsia="Times New Roman" w:hAnsi="Times New Roman" w:cs="Times New Roman"/>
          <w:sz w:val="24"/>
          <w:szCs w:val="24"/>
        </w:rPr>
        <w:t xml:space="preserve">rio en los años previos a 2008. </w:t>
      </w:r>
      <w:r w:rsidRPr="00174E71">
        <w:rPr>
          <w:rFonts w:ascii="Times New Roman" w:eastAsia="Times New Roman" w:hAnsi="Times New Roman" w:cs="Times New Roman"/>
          <w:sz w:val="24"/>
          <w:szCs w:val="24"/>
        </w:rPr>
        <w:t xml:space="preserve">Bank of America Corp. compró Countrywide a principios de 2008 conforme el prestamista batallaba con cesaciones </w:t>
      </w:r>
      <w:r w:rsidR="00163A77">
        <w:rPr>
          <w:rFonts w:ascii="Times New Roman" w:eastAsia="Times New Roman" w:hAnsi="Times New Roman" w:cs="Times New Roman"/>
          <w:sz w:val="24"/>
          <w:szCs w:val="24"/>
        </w:rPr>
        <w:t xml:space="preserve">de pagos y pérdidas acumuladas. </w:t>
      </w:r>
      <w:r w:rsidRPr="00174E71">
        <w:rPr>
          <w:rFonts w:ascii="Times New Roman" w:eastAsia="Times New Roman" w:hAnsi="Times New Roman" w:cs="Times New Roman"/>
          <w:sz w:val="24"/>
          <w:szCs w:val="24"/>
        </w:rPr>
        <w:t>En 2010, Mozilo acordó pagar US$</w:t>
      </w:r>
      <w:r w:rsidR="004F2AB1">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67,5 millones en multas para cerrar casos en su contra por fraude civil y uso indebido de información privilegiada. Mozilo, ahora de 74 años, no admitió ni negó haber cometido prácticas indebidas, pero aceptó una prohibición de por vida de ejercer el puesto de ejecutivo o director de u</w:t>
      </w:r>
      <w:r w:rsidR="00163A77">
        <w:rPr>
          <w:rFonts w:ascii="Times New Roman" w:eastAsia="Times New Roman" w:hAnsi="Times New Roman" w:cs="Times New Roman"/>
          <w:sz w:val="24"/>
          <w:szCs w:val="24"/>
        </w:rPr>
        <w:t xml:space="preserve">na empresa que </w:t>
      </w:r>
      <w:r w:rsidR="00163A77">
        <w:rPr>
          <w:rFonts w:ascii="Times New Roman" w:eastAsia="Times New Roman" w:hAnsi="Times New Roman" w:cs="Times New Roman"/>
          <w:sz w:val="24"/>
          <w:szCs w:val="24"/>
        </w:rPr>
        <w:lastRenderedPageBreak/>
        <w:t xml:space="preserve">cotiza en bolsa. </w:t>
      </w:r>
      <w:r w:rsidRPr="00174E71">
        <w:rPr>
          <w:rFonts w:ascii="Times New Roman" w:eastAsia="Times New Roman" w:hAnsi="Times New Roman" w:cs="Times New Roman"/>
          <w:sz w:val="24"/>
          <w:szCs w:val="24"/>
        </w:rPr>
        <w:t xml:space="preserve">Un abogado de Mozilo indicó que está jubilado y “dedicando su tiempo </w:t>
      </w:r>
      <w:r w:rsidR="004F2AB1">
        <w:rPr>
          <w:rFonts w:ascii="Times New Roman" w:eastAsia="Times New Roman" w:hAnsi="Times New Roman" w:cs="Times New Roman"/>
          <w:sz w:val="24"/>
          <w:szCs w:val="24"/>
        </w:rPr>
        <w:t xml:space="preserve">a iniciativas filantrópicas”. </w:t>
      </w:r>
    </w:p>
    <w:p w:rsidR="00163A77" w:rsidRDefault="00163A77" w:rsidP="00550638">
      <w:pPr>
        <w:spacing w:after="0" w:line="240" w:lineRule="auto"/>
        <w:jc w:val="both"/>
        <w:rPr>
          <w:rFonts w:ascii="Times New Roman" w:eastAsia="Times New Roman" w:hAnsi="Times New Roman" w:cs="Times New Roman"/>
          <w:sz w:val="24"/>
          <w:szCs w:val="24"/>
        </w:rPr>
      </w:pPr>
    </w:p>
    <w:p w:rsidR="00C43A12" w:rsidRPr="00BD3CC1" w:rsidRDefault="00C43A12" w:rsidP="00550638">
      <w:pPr>
        <w:spacing w:after="0" w:line="240" w:lineRule="auto"/>
        <w:jc w:val="both"/>
        <w:rPr>
          <w:rFonts w:ascii="Times New Roman" w:eastAsia="Times New Roman" w:hAnsi="Times New Roman" w:cs="Times New Roman"/>
          <w:sz w:val="24"/>
          <w:szCs w:val="24"/>
          <w:lang w:val="en-US"/>
        </w:rPr>
      </w:pPr>
      <w:r w:rsidRPr="00BD3CC1">
        <w:rPr>
          <w:rFonts w:ascii="Times New Roman" w:eastAsia="Times New Roman" w:hAnsi="Times New Roman" w:cs="Times New Roman"/>
          <w:sz w:val="24"/>
          <w:szCs w:val="24"/>
          <w:lang w:val="en-US"/>
        </w:rPr>
        <w:t>Richard Fuld Jr.   Banquero</w:t>
      </w:r>
    </w:p>
    <w:p w:rsidR="00C43A12" w:rsidRPr="00BD3CC1" w:rsidRDefault="00C43A12" w:rsidP="00550638">
      <w:pPr>
        <w:spacing w:after="0" w:line="240" w:lineRule="auto"/>
        <w:jc w:val="both"/>
        <w:rPr>
          <w:rFonts w:ascii="Times New Roman" w:eastAsia="Times New Roman" w:hAnsi="Times New Roman" w:cs="Times New Roman"/>
          <w:sz w:val="24"/>
          <w:szCs w:val="24"/>
          <w:lang w:val="en-US"/>
        </w:rPr>
      </w:pPr>
      <w:r w:rsidRPr="00BD3CC1">
        <w:rPr>
          <w:rFonts w:ascii="Times New Roman" w:eastAsia="Times New Roman" w:hAnsi="Times New Roman" w:cs="Times New Roman"/>
          <w:sz w:val="24"/>
          <w:szCs w:val="24"/>
          <w:lang w:val="en-US"/>
        </w:rPr>
        <w:t>Lehman</w:t>
      </w:r>
    </w:p>
    <w:p w:rsidR="00C43A12" w:rsidRPr="00BD3CC1" w:rsidRDefault="00C43A12" w:rsidP="00550638">
      <w:pPr>
        <w:spacing w:after="0" w:line="240" w:lineRule="auto"/>
        <w:jc w:val="both"/>
        <w:rPr>
          <w:rFonts w:ascii="Times New Roman" w:eastAsia="Times New Roman" w:hAnsi="Times New Roman" w:cs="Times New Roman"/>
          <w:sz w:val="24"/>
          <w:szCs w:val="24"/>
          <w:lang w:val="en-US"/>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6513E8CE" wp14:editId="47D71DAC">
            <wp:extent cx="1850745" cy="1843430"/>
            <wp:effectExtent l="0" t="0" r="0" b="4445"/>
            <wp:docPr id="483" name="Imagen 483" descr="http://s.wsj.net/public/resources/images/OB-YS111_collap_DV_201308282125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sj.net/public/resources/images/OB-YS111_collap_DV_20130828212554.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850821" cy="1843505"/>
                    </a:xfrm>
                    <a:prstGeom prst="rect">
                      <a:avLst/>
                    </a:prstGeom>
                    <a:noFill/>
                    <a:ln>
                      <a:noFill/>
                    </a:ln>
                  </pic:spPr>
                </pic:pic>
              </a:graphicData>
            </a:graphic>
          </wp:inline>
        </w:drawing>
      </w:r>
    </w:p>
    <w:p w:rsidR="00C43A12" w:rsidRPr="00174E71" w:rsidRDefault="00C43A12" w:rsidP="00550638">
      <w:pPr>
        <w:spacing w:after="0" w:line="240" w:lineRule="auto"/>
        <w:jc w:val="both"/>
        <w:rPr>
          <w:rFonts w:ascii="Times New Roman" w:eastAsia="Times New Roman" w:hAnsi="Times New Roman" w:cs="Times New Roman"/>
          <w:sz w:val="24"/>
          <w:szCs w:val="24"/>
        </w:rPr>
      </w:pPr>
    </w:p>
    <w:p w:rsidR="00C43A12" w:rsidRPr="00174E71"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Richard Fuld fue presidente de Lehman Brothers Holdings Inc., un banco de inversión con enfoque en bonos que incursionó con gran ímpetu al mercado de inmuebles comerciales y los créditos apalancados en los años justo antes de la crisis. Las pérdidas se acumularon y los esfuerzos de vender la firma fracasaron en septiembre 14, de 2008, cuando el gobierno se negó a proporcionar un respaldo financiero. El 15 de septiembre, Lehman sol</w:t>
      </w:r>
      <w:r w:rsidR="00163A77">
        <w:rPr>
          <w:rFonts w:ascii="Times New Roman" w:eastAsia="Times New Roman" w:hAnsi="Times New Roman" w:cs="Times New Roman"/>
          <w:sz w:val="24"/>
          <w:szCs w:val="24"/>
        </w:rPr>
        <w:t xml:space="preserve">icitó protección de bancarrota. </w:t>
      </w:r>
      <w:r w:rsidRPr="00174E71">
        <w:rPr>
          <w:rFonts w:ascii="Times New Roman" w:eastAsia="Times New Roman" w:hAnsi="Times New Roman" w:cs="Times New Roman"/>
          <w:sz w:val="24"/>
          <w:szCs w:val="24"/>
        </w:rPr>
        <w:t>Fuld permaneció en Lehman tras la solicitud de bancarrota para ayudar a liquidar los activos de la firma que quedaban. En abril de 2009, abrió Matrix Advisors LLC, una consultoría en Nueva York que asesora a empresa en temas desde tendencias económicas hasta gestión de riesgo.</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174E71"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John Thain</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Banquero</w:t>
      </w:r>
    </w:p>
    <w:p w:rsidR="00C43A12"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Merrill Lynch</w:t>
      </w:r>
    </w:p>
    <w:p w:rsidR="00163A77" w:rsidRDefault="00163A77" w:rsidP="00550638">
      <w:pPr>
        <w:spacing w:after="0" w:line="240" w:lineRule="auto"/>
        <w:jc w:val="both"/>
        <w:rPr>
          <w:rFonts w:ascii="Times New Roman" w:eastAsia="Times New Roman" w:hAnsi="Times New Roman" w:cs="Times New Roman"/>
          <w:sz w:val="24"/>
          <w:szCs w:val="24"/>
        </w:rPr>
      </w:pPr>
    </w:p>
    <w:p w:rsidR="00163A77" w:rsidRDefault="00163A77"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229A2C79" wp14:editId="0FA8E165">
            <wp:extent cx="1777593" cy="1777594"/>
            <wp:effectExtent l="0" t="0" r="0" b="0"/>
            <wp:docPr id="507" name="Imagen 507" descr="http://s.wsj.net/public/resources/images/OB-YU316_0905fi_DV_201309051317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sj.net/public/resources/images/OB-YU316_0905fi_DV_20130905131750.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77665" cy="1777666"/>
                    </a:xfrm>
                    <a:prstGeom prst="rect">
                      <a:avLst/>
                    </a:prstGeom>
                    <a:noFill/>
                    <a:ln>
                      <a:noFill/>
                    </a:ln>
                  </pic:spPr>
                </pic:pic>
              </a:graphicData>
            </a:graphic>
          </wp:inline>
        </w:drawing>
      </w:r>
    </w:p>
    <w:p w:rsidR="00C43A12" w:rsidRPr="00174E71"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John Thain era presidente de Merrill Lynch &amp; Co., asumiendo el cargo en octubre de 2007 a medida que la crisis se intensificaba. Buscó proteger a la empresa de los problemas del mercado, al recaudar capital, purgar los activos tóxicos y vender participaciones grandes en la empresa. Pero Merrill se vio golpeada a principios de septiembre de 2008 por los inversionistas preocupados de que necesitaría capital. Tras 48 horas de negociaciones frenéticas, el 14 de septiembre Bank of America Corp. acordó comprar Merrill Lynch por US$</w:t>
      </w:r>
      <w:r w:rsidR="004F2AB1">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50.000 millones en acciones, alrededor de 40% menos que el valor de mercado de Merrill en su mejor momento.</w:t>
      </w:r>
      <w:r w:rsidR="00163A77">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 xml:space="preserve">Thain fue despedido de Bank of America a principios de 2009 en medio de polémicas en torno a las pérdidas </w:t>
      </w:r>
      <w:r w:rsidRPr="00174E71">
        <w:rPr>
          <w:rFonts w:ascii="Times New Roman" w:eastAsia="Times New Roman" w:hAnsi="Times New Roman" w:cs="Times New Roman"/>
          <w:sz w:val="24"/>
          <w:szCs w:val="24"/>
        </w:rPr>
        <w:lastRenderedPageBreak/>
        <w:t>en alza de Merrill y pagos de bonificaciones en las semanas antes</w:t>
      </w:r>
      <w:r w:rsidR="00163A77">
        <w:rPr>
          <w:rFonts w:ascii="Times New Roman" w:eastAsia="Times New Roman" w:hAnsi="Times New Roman" w:cs="Times New Roman"/>
          <w:sz w:val="24"/>
          <w:szCs w:val="24"/>
        </w:rPr>
        <w:t xml:space="preserve"> de que se finalizara la venta. </w:t>
      </w:r>
      <w:r w:rsidRPr="00174E71">
        <w:rPr>
          <w:rFonts w:ascii="Times New Roman" w:eastAsia="Times New Roman" w:hAnsi="Times New Roman" w:cs="Times New Roman"/>
          <w:sz w:val="24"/>
          <w:szCs w:val="24"/>
        </w:rPr>
        <w:t>Thain, de 58 años, ahora dirige CIT Group, un prestamista para pequeñas y medianas empresas.</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174E71"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Robert Willumstad</w:t>
      </w:r>
      <w:r>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Banquero</w:t>
      </w:r>
    </w:p>
    <w:p w:rsidR="00C43A12"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AIG</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5CDBA573" wp14:editId="71670ABC">
            <wp:extent cx="1967788" cy="1901952"/>
            <wp:effectExtent l="0" t="0" r="0" b="3175"/>
            <wp:docPr id="485" name="Imagen 485" descr="http://s.wsj.net/public/resources/images/OB-YU317_0905fi_DV_20130905131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sj.net/public/resources/images/OB-YU317_0905fi_DV_20130905131804.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75437" cy="1909345"/>
                    </a:xfrm>
                    <a:prstGeom prst="rect">
                      <a:avLst/>
                    </a:prstGeom>
                    <a:noFill/>
                    <a:ln>
                      <a:noFill/>
                    </a:ln>
                  </pic:spPr>
                </pic:pic>
              </a:graphicData>
            </a:graphic>
          </wp:inline>
        </w:drawing>
      </w:r>
    </w:p>
    <w:p w:rsidR="00C43A12" w:rsidRPr="00174E71"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Robert Willumstad, presidente de la junta de American International Group Inc., asumió el cargo adicional de presidente ejecutivo en junio de 2008 cuando el ex presidente ejecutivo Martin Sullivan fue despedido debido a pérdidas en los derivados ligados a crédito</w:t>
      </w:r>
      <w:r w:rsidR="00163A77">
        <w:rPr>
          <w:rFonts w:ascii="Times New Roman" w:eastAsia="Times New Roman" w:hAnsi="Times New Roman" w:cs="Times New Roman"/>
          <w:sz w:val="24"/>
          <w:szCs w:val="24"/>
        </w:rPr>
        <w:t xml:space="preserve">s hipotecarios de alto riesgos. </w:t>
      </w:r>
      <w:r w:rsidRPr="00174E71">
        <w:rPr>
          <w:rFonts w:ascii="Times New Roman" w:eastAsia="Times New Roman" w:hAnsi="Times New Roman" w:cs="Times New Roman"/>
          <w:sz w:val="24"/>
          <w:szCs w:val="24"/>
        </w:rPr>
        <w:t>El 16 de septiembre de 2008, el gobierno estadounidense tomó control de AIG, comunicando sus preocupaciones sobre el peligro que un colapso supondría para el sistema financiero. Como parte del acuerdo, el secretario del Tesoro, Henry Paulson, insistió que W</w:t>
      </w:r>
      <w:r w:rsidR="00163A77">
        <w:rPr>
          <w:rFonts w:ascii="Times New Roman" w:eastAsia="Times New Roman" w:hAnsi="Times New Roman" w:cs="Times New Roman"/>
          <w:sz w:val="24"/>
          <w:szCs w:val="24"/>
        </w:rPr>
        <w:t xml:space="preserve">illumstad abandonara el puesto. </w:t>
      </w:r>
      <w:r w:rsidRPr="00174E71">
        <w:rPr>
          <w:rFonts w:ascii="Times New Roman" w:eastAsia="Times New Roman" w:hAnsi="Times New Roman" w:cs="Times New Roman"/>
          <w:sz w:val="24"/>
          <w:szCs w:val="24"/>
        </w:rPr>
        <w:t>Willumstad, ahora de 68 años, es socio en Brysam Global Partners, una firma de private equity que cofundó en 2007.</w:t>
      </w:r>
    </w:p>
    <w:p w:rsidR="004F2AB1" w:rsidRDefault="004F2AB1" w:rsidP="00550638">
      <w:pPr>
        <w:spacing w:after="0" w:line="240" w:lineRule="auto"/>
        <w:jc w:val="both"/>
        <w:rPr>
          <w:rFonts w:ascii="Times New Roman" w:eastAsia="Times New Roman" w:hAnsi="Times New Roman" w:cs="Times New Roman"/>
          <w:sz w:val="24"/>
          <w:szCs w:val="24"/>
        </w:rPr>
      </w:pPr>
    </w:p>
    <w:p w:rsidR="00C43A12" w:rsidRPr="00174E71" w:rsidRDefault="00C43A12" w:rsidP="00550638">
      <w:pPr>
        <w:spacing w:after="0" w:line="240" w:lineRule="auto"/>
        <w:jc w:val="both"/>
        <w:rPr>
          <w:rFonts w:ascii="Times New Roman" w:eastAsia="Times New Roman" w:hAnsi="Times New Roman" w:cs="Times New Roman"/>
          <w:sz w:val="24"/>
          <w:szCs w:val="24"/>
          <w:lang w:val="en-US"/>
        </w:rPr>
      </w:pPr>
      <w:r w:rsidRPr="00174E71">
        <w:rPr>
          <w:rFonts w:ascii="Times New Roman" w:eastAsia="Times New Roman" w:hAnsi="Times New Roman" w:cs="Times New Roman"/>
          <w:sz w:val="24"/>
          <w:szCs w:val="24"/>
          <w:lang w:val="en-US"/>
        </w:rPr>
        <w:t>Kenneth D. Lewis</w:t>
      </w:r>
      <w:r>
        <w:rPr>
          <w:rFonts w:ascii="Times New Roman" w:eastAsia="Times New Roman" w:hAnsi="Times New Roman" w:cs="Times New Roman"/>
          <w:sz w:val="24"/>
          <w:szCs w:val="24"/>
          <w:lang w:val="en-US"/>
        </w:rPr>
        <w:t xml:space="preserve">   </w:t>
      </w:r>
      <w:r w:rsidRPr="00174E71">
        <w:rPr>
          <w:rFonts w:ascii="Times New Roman" w:eastAsia="Times New Roman" w:hAnsi="Times New Roman" w:cs="Times New Roman"/>
          <w:sz w:val="24"/>
          <w:szCs w:val="24"/>
          <w:lang w:val="en-US"/>
        </w:rPr>
        <w:t>Banquero</w:t>
      </w:r>
    </w:p>
    <w:p w:rsidR="00C43A12" w:rsidRDefault="00C43A12" w:rsidP="00550638">
      <w:pPr>
        <w:spacing w:after="0" w:line="240" w:lineRule="auto"/>
        <w:jc w:val="both"/>
        <w:rPr>
          <w:rFonts w:ascii="Times New Roman" w:eastAsia="Times New Roman" w:hAnsi="Times New Roman" w:cs="Times New Roman"/>
          <w:sz w:val="24"/>
          <w:szCs w:val="24"/>
          <w:lang w:val="en-US"/>
        </w:rPr>
      </w:pPr>
      <w:r w:rsidRPr="00174E71">
        <w:rPr>
          <w:rFonts w:ascii="Times New Roman" w:eastAsia="Times New Roman" w:hAnsi="Times New Roman" w:cs="Times New Roman"/>
          <w:sz w:val="24"/>
          <w:szCs w:val="24"/>
          <w:lang w:val="en-US"/>
        </w:rPr>
        <w:t>Bank of America</w:t>
      </w:r>
    </w:p>
    <w:p w:rsidR="00C43A12" w:rsidRDefault="00C43A12" w:rsidP="00550638">
      <w:pPr>
        <w:spacing w:after="0" w:line="240" w:lineRule="auto"/>
        <w:jc w:val="both"/>
        <w:rPr>
          <w:rFonts w:ascii="Times New Roman" w:eastAsia="Times New Roman" w:hAnsi="Times New Roman" w:cs="Times New Roman"/>
          <w:sz w:val="24"/>
          <w:szCs w:val="24"/>
          <w:lang w:val="en-US"/>
        </w:rPr>
      </w:pPr>
    </w:p>
    <w:p w:rsidR="00C43A12" w:rsidRDefault="00C43A12" w:rsidP="00550638">
      <w:pPr>
        <w:spacing w:after="0" w:line="240" w:lineRule="auto"/>
        <w:jc w:val="both"/>
        <w:rPr>
          <w:rFonts w:ascii="Times New Roman" w:eastAsia="Times New Roman" w:hAnsi="Times New Roman" w:cs="Times New Roman"/>
          <w:sz w:val="24"/>
          <w:szCs w:val="24"/>
          <w:lang w:val="en-US"/>
        </w:rPr>
      </w:pPr>
      <w:r>
        <w:rPr>
          <w:rFonts w:ascii="Arial" w:hAnsi="Arial" w:cs="Arial"/>
          <w:noProof/>
          <w:color w:val="333333"/>
          <w:sz w:val="15"/>
          <w:szCs w:val="15"/>
          <w:lang w:eastAsia="es-ES"/>
        </w:rPr>
        <w:drawing>
          <wp:inline distT="0" distB="0" distL="0" distR="0" wp14:anchorId="1913C5F6" wp14:editId="269E24FE">
            <wp:extent cx="1967788" cy="1741018"/>
            <wp:effectExtent l="0" t="0" r="0" b="0"/>
            <wp:docPr id="486" name="Imagen 486" descr="http://s.wsj.net/public/resources/images/OB-YU320_0905fi_DV_201309051319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sj.net/public/resources/images/OB-YU320_0905fi_DV_2013090513194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67868" cy="1741089"/>
                    </a:xfrm>
                    <a:prstGeom prst="rect">
                      <a:avLst/>
                    </a:prstGeom>
                    <a:noFill/>
                    <a:ln>
                      <a:noFill/>
                    </a:ln>
                  </pic:spPr>
                </pic:pic>
              </a:graphicData>
            </a:graphic>
          </wp:inline>
        </w:drawing>
      </w:r>
    </w:p>
    <w:p w:rsidR="00C43A12" w:rsidRPr="00174E71" w:rsidRDefault="00C43A12" w:rsidP="00550638">
      <w:pPr>
        <w:spacing w:after="0" w:line="240" w:lineRule="auto"/>
        <w:jc w:val="both"/>
        <w:rPr>
          <w:rFonts w:ascii="Times New Roman" w:eastAsia="Times New Roman" w:hAnsi="Times New Roman" w:cs="Times New Roman"/>
          <w:sz w:val="24"/>
          <w:szCs w:val="24"/>
          <w:lang w:val="en-US"/>
        </w:rPr>
      </w:pPr>
    </w:p>
    <w:p w:rsidR="00C43A12" w:rsidRDefault="00C43A12" w:rsidP="00550638">
      <w:pPr>
        <w:spacing w:after="0" w:line="240" w:lineRule="auto"/>
        <w:jc w:val="both"/>
        <w:rPr>
          <w:rFonts w:ascii="Times New Roman" w:eastAsia="Times New Roman" w:hAnsi="Times New Roman" w:cs="Times New Roman"/>
          <w:sz w:val="24"/>
          <w:szCs w:val="24"/>
        </w:rPr>
      </w:pPr>
      <w:r w:rsidRPr="00174E71">
        <w:rPr>
          <w:rFonts w:ascii="Times New Roman" w:eastAsia="Times New Roman" w:hAnsi="Times New Roman" w:cs="Times New Roman"/>
          <w:sz w:val="24"/>
          <w:szCs w:val="24"/>
        </w:rPr>
        <w:t>Kenneth Lewis, presidente de Bank of America Corp., orquestó una serie de adquisiciones durante la crisis financiera para crear un gigante bancario involucrado en casi todo segmento del sistema financiero. En 2008, compró al prestamista hipotecario Countrywide Financial y a Merrill Lynch.</w:t>
      </w:r>
      <w:r w:rsidR="00163A77">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Tras las adquisiciones, sus pérdidas ascendieron y los litigios se dispararon. Los analistas calcularon en 2012 que Countrywide le había costado más de US$</w:t>
      </w:r>
      <w:r w:rsidR="004F2AB1">
        <w:rPr>
          <w:rFonts w:ascii="Times New Roman" w:eastAsia="Times New Roman" w:hAnsi="Times New Roman" w:cs="Times New Roman"/>
          <w:sz w:val="24"/>
          <w:szCs w:val="24"/>
        </w:rPr>
        <w:t xml:space="preserve"> </w:t>
      </w:r>
      <w:r w:rsidRPr="00174E71">
        <w:rPr>
          <w:rFonts w:ascii="Times New Roman" w:eastAsia="Times New Roman" w:hAnsi="Times New Roman" w:cs="Times New Roman"/>
          <w:sz w:val="24"/>
          <w:szCs w:val="24"/>
        </w:rPr>
        <w:t>40.000 millones a Bank of America.</w:t>
      </w:r>
      <w:r w:rsidR="00163A77">
        <w:rPr>
          <w:rFonts w:ascii="Times New Roman" w:eastAsia="Times New Roman" w:hAnsi="Times New Roman" w:cs="Times New Roman"/>
          <w:sz w:val="24"/>
          <w:szCs w:val="24"/>
        </w:rPr>
        <w:t xml:space="preserve"> </w:t>
      </w:r>
      <w:r w:rsidR="004F2AB1">
        <w:rPr>
          <w:rFonts w:ascii="Times New Roman" w:eastAsia="Times New Roman" w:hAnsi="Times New Roman" w:cs="Times New Roman"/>
          <w:sz w:val="24"/>
          <w:szCs w:val="24"/>
        </w:rPr>
        <w:t>Ante</w:t>
      </w:r>
      <w:r w:rsidRPr="00174E71">
        <w:rPr>
          <w:rFonts w:ascii="Times New Roman" w:eastAsia="Times New Roman" w:hAnsi="Times New Roman" w:cs="Times New Roman"/>
          <w:sz w:val="24"/>
          <w:szCs w:val="24"/>
        </w:rPr>
        <w:t xml:space="preserve"> crecientes críticas, Lewis, ahora de 66 años,</w:t>
      </w:r>
      <w:r w:rsidR="00163A77">
        <w:rPr>
          <w:rFonts w:ascii="Times New Roman" w:eastAsia="Times New Roman" w:hAnsi="Times New Roman" w:cs="Times New Roman"/>
          <w:sz w:val="24"/>
          <w:szCs w:val="24"/>
        </w:rPr>
        <w:t xml:space="preserve"> anunció su jubilación en 2009. </w:t>
      </w:r>
      <w:r w:rsidRPr="00174E71">
        <w:rPr>
          <w:rFonts w:ascii="Times New Roman" w:eastAsia="Times New Roman" w:hAnsi="Times New Roman" w:cs="Times New Roman"/>
          <w:sz w:val="24"/>
          <w:szCs w:val="24"/>
        </w:rPr>
        <w:t xml:space="preserve">Ahora, </w:t>
      </w:r>
      <w:r w:rsidRPr="00174E71">
        <w:rPr>
          <w:rFonts w:ascii="Times New Roman" w:eastAsia="Times New Roman" w:hAnsi="Times New Roman" w:cs="Times New Roman"/>
          <w:sz w:val="24"/>
          <w:szCs w:val="24"/>
        </w:rPr>
        <w:lastRenderedPageBreak/>
        <w:t>Lewis divide su tiempo entre Carolina del Norte y Florida. Lo que más disfruta son días callados de lectura en casa, según una persona cercana.</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8D07FE"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James Dimon</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Banquero</w:t>
      </w:r>
    </w:p>
    <w:p w:rsidR="00C43A12"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J.P. Morgan Chase</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1BFDE7B6" wp14:editId="76AEF6DF">
            <wp:extent cx="1975104" cy="1821485"/>
            <wp:effectExtent l="0" t="0" r="6350" b="7620"/>
            <wp:docPr id="487" name="Imagen 487" descr="http://s.wsj.net/public/resources/images/OB-YU321_0905fi_DV_2013090513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sj.net/public/resources/images/OB-YU321_0905fi_DV_20130905132015.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75185" cy="1821560"/>
                    </a:xfrm>
                    <a:prstGeom prst="rect">
                      <a:avLst/>
                    </a:prstGeom>
                    <a:noFill/>
                    <a:ln>
                      <a:noFill/>
                    </a:ln>
                  </pic:spPr>
                </pic:pic>
              </a:graphicData>
            </a:graphic>
          </wp:inline>
        </w:drawing>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James Dimon, presidente de J.P. Morgan Chase &amp; Co., surgió como uno de los ejecutivos más poderosos del sector bancario durante la crisis financiera. J.P. Morgan compró Bear Stearns Cos. en marzo de 2008 mientras la firma de corretaje se desplomaba, y obtuvo un respaldo de US$</w:t>
      </w:r>
      <w:r w:rsidR="004F2AB1">
        <w:rPr>
          <w:rFonts w:ascii="Times New Roman" w:eastAsia="Times New Roman" w:hAnsi="Times New Roman" w:cs="Times New Roman"/>
          <w:sz w:val="24"/>
          <w:szCs w:val="24"/>
        </w:rPr>
        <w:t xml:space="preserve"> </w:t>
      </w:r>
      <w:r w:rsidR="00163A77">
        <w:rPr>
          <w:rFonts w:ascii="Times New Roman" w:eastAsia="Times New Roman" w:hAnsi="Times New Roman" w:cs="Times New Roman"/>
          <w:sz w:val="24"/>
          <w:szCs w:val="24"/>
        </w:rPr>
        <w:t xml:space="preserve">29.000 millones del gobierno. </w:t>
      </w:r>
      <w:r w:rsidRPr="008D07FE">
        <w:rPr>
          <w:rFonts w:ascii="Times New Roman" w:eastAsia="Times New Roman" w:hAnsi="Times New Roman" w:cs="Times New Roman"/>
          <w:sz w:val="24"/>
          <w:szCs w:val="24"/>
        </w:rPr>
        <w:t>En 2013, Dimon, ahora de 57 años, sobrevivió una propuesta de algunos accionistas de separar sus roles de presidente de la junta y presidente ejecutivo, tras enormes pérdidas</w:t>
      </w:r>
      <w:r w:rsidR="00F22B93">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por un operador de la empresa en Londres y otros retos regulatorios para el banco.</w:t>
      </w:r>
      <w:r w:rsidR="00F22B93">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Dimon sigue teniendo ambos cargos en el banco.</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8D07FE" w:rsidRDefault="00C43A12" w:rsidP="00550638">
      <w:pPr>
        <w:spacing w:after="0" w:line="240" w:lineRule="auto"/>
        <w:jc w:val="both"/>
        <w:rPr>
          <w:rFonts w:ascii="Times New Roman" w:eastAsia="Times New Roman" w:hAnsi="Times New Roman" w:cs="Times New Roman"/>
          <w:sz w:val="24"/>
          <w:szCs w:val="24"/>
          <w:lang w:val="en-US"/>
        </w:rPr>
      </w:pPr>
      <w:r w:rsidRPr="003B0D17">
        <w:rPr>
          <w:rFonts w:ascii="Times New Roman" w:eastAsia="Times New Roman" w:hAnsi="Times New Roman" w:cs="Times New Roman"/>
          <w:sz w:val="24"/>
          <w:szCs w:val="24"/>
        </w:rPr>
        <w:t xml:space="preserve">Robert E. Diamond Jr.   </w:t>
      </w:r>
      <w:r w:rsidRPr="008D07FE">
        <w:rPr>
          <w:rFonts w:ascii="Times New Roman" w:eastAsia="Times New Roman" w:hAnsi="Times New Roman" w:cs="Times New Roman"/>
          <w:sz w:val="24"/>
          <w:szCs w:val="24"/>
          <w:lang w:val="en-US"/>
        </w:rPr>
        <w:t>Banquero</w:t>
      </w:r>
    </w:p>
    <w:p w:rsidR="00C43A12" w:rsidRDefault="00C43A12" w:rsidP="00550638">
      <w:pPr>
        <w:spacing w:after="0" w:line="240" w:lineRule="auto"/>
        <w:jc w:val="both"/>
        <w:rPr>
          <w:rFonts w:ascii="Times New Roman" w:eastAsia="Times New Roman" w:hAnsi="Times New Roman" w:cs="Times New Roman"/>
          <w:sz w:val="24"/>
          <w:szCs w:val="24"/>
          <w:lang w:val="en-US"/>
        </w:rPr>
      </w:pPr>
      <w:r w:rsidRPr="008D07FE">
        <w:rPr>
          <w:rFonts w:ascii="Times New Roman" w:eastAsia="Times New Roman" w:hAnsi="Times New Roman" w:cs="Times New Roman"/>
          <w:sz w:val="24"/>
          <w:szCs w:val="24"/>
          <w:lang w:val="en-US"/>
        </w:rPr>
        <w:t>Barclays</w:t>
      </w:r>
    </w:p>
    <w:p w:rsidR="00C43A12" w:rsidRDefault="00C43A12" w:rsidP="00550638">
      <w:pPr>
        <w:spacing w:after="0" w:line="240" w:lineRule="auto"/>
        <w:jc w:val="both"/>
        <w:rPr>
          <w:rFonts w:ascii="Times New Roman" w:eastAsia="Times New Roman" w:hAnsi="Times New Roman" w:cs="Times New Roman"/>
          <w:sz w:val="24"/>
          <w:szCs w:val="24"/>
          <w:lang w:val="en-US"/>
        </w:rPr>
      </w:pPr>
    </w:p>
    <w:p w:rsidR="00C43A12" w:rsidRDefault="00C43A12" w:rsidP="00550638">
      <w:pPr>
        <w:spacing w:after="0" w:line="240" w:lineRule="auto"/>
        <w:jc w:val="both"/>
        <w:rPr>
          <w:rFonts w:ascii="Times New Roman" w:eastAsia="Times New Roman" w:hAnsi="Times New Roman" w:cs="Times New Roman"/>
          <w:sz w:val="24"/>
          <w:szCs w:val="24"/>
          <w:lang w:val="en-US"/>
        </w:rPr>
      </w:pPr>
      <w:r>
        <w:rPr>
          <w:rFonts w:ascii="Arial" w:hAnsi="Arial" w:cs="Arial"/>
          <w:noProof/>
          <w:color w:val="333333"/>
          <w:sz w:val="15"/>
          <w:szCs w:val="15"/>
          <w:lang w:eastAsia="es-ES"/>
        </w:rPr>
        <w:drawing>
          <wp:inline distT="0" distB="0" distL="0" distR="0" wp14:anchorId="3141CD56" wp14:editId="446F2DB0">
            <wp:extent cx="1975104" cy="1872692"/>
            <wp:effectExtent l="0" t="0" r="6350" b="0"/>
            <wp:docPr id="488" name="Imagen 488" descr="http://s.wsj.net/public/resources/images/OB-YS850_0830fi_DV_20130830130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wsj.net/public/resources/images/OB-YS850_0830fi_DV_20130830130832.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75184" cy="1872768"/>
                    </a:xfrm>
                    <a:prstGeom prst="rect">
                      <a:avLst/>
                    </a:prstGeom>
                    <a:noFill/>
                    <a:ln>
                      <a:noFill/>
                    </a:ln>
                  </pic:spPr>
                </pic:pic>
              </a:graphicData>
            </a:graphic>
          </wp:inline>
        </w:drawing>
      </w:r>
    </w:p>
    <w:p w:rsidR="00C43A12" w:rsidRPr="008D07FE" w:rsidRDefault="00C43A12" w:rsidP="00550638">
      <w:pPr>
        <w:spacing w:after="0" w:line="240" w:lineRule="auto"/>
        <w:jc w:val="both"/>
        <w:rPr>
          <w:rFonts w:ascii="Times New Roman" w:eastAsia="Times New Roman" w:hAnsi="Times New Roman" w:cs="Times New Roman"/>
          <w:sz w:val="24"/>
          <w:szCs w:val="24"/>
          <w:lang w:val="en-US"/>
        </w:rPr>
      </w:pPr>
    </w:p>
    <w:p w:rsidR="00C43A12"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Robert Diamond, entonces presidente del banco de Reino Unido Barclays PLC, participó en la compra de la empresa de la mayoría de las operaciones de América del Norte de Lehman en 2008 por solo US$</w:t>
      </w:r>
      <w:r w:rsidR="00F22B93">
        <w:rPr>
          <w:rFonts w:ascii="Times New Roman" w:eastAsia="Times New Roman" w:hAnsi="Times New Roman" w:cs="Times New Roman"/>
          <w:sz w:val="24"/>
          <w:szCs w:val="24"/>
        </w:rPr>
        <w:t xml:space="preserve"> </w:t>
      </w:r>
      <w:r w:rsidR="00163A77">
        <w:rPr>
          <w:rFonts w:ascii="Times New Roman" w:eastAsia="Times New Roman" w:hAnsi="Times New Roman" w:cs="Times New Roman"/>
          <w:sz w:val="24"/>
          <w:szCs w:val="24"/>
        </w:rPr>
        <w:t xml:space="preserve">1.750 millones. </w:t>
      </w:r>
      <w:r w:rsidRPr="008D07FE">
        <w:rPr>
          <w:rFonts w:ascii="Times New Roman" w:eastAsia="Times New Roman" w:hAnsi="Times New Roman" w:cs="Times New Roman"/>
          <w:sz w:val="24"/>
          <w:szCs w:val="24"/>
        </w:rPr>
        <w:t>Diamond, ahora de 62 años, se convirtió en presidente ejecutivo de Barclays en 2011 pero dimitió en 2012, después de que el banco admitió que intentó manipular tasas de interés d</w:t>
      </w:r>
      <w:r w:rsidR="00163A77">
        <w:rPr>
          <w:rFonts w:ascii="Times New Roman" w:eastAsia="Times New Roman" w:hAnsi="Times New Roman" w:cs="Times New Roman"/>
          <w:sz w:val="24"/>
          <w:szCs w:val="24"/>
        </w:rPr>
        <w:t xml:space="preserve">e referencia durante la crisis. </w:t>
      </w:r>
      <w:r w:rsidRPr="008D07FE">
        <w:rPr>
          <w:rFonts w:ascii="Times New Roman" w:eastAsia="Times New Roman" w:hAnsi="Times New Roman" w:cs="Times New Roman"/>
          <w:sz w:val="24"/>
          <w:szCs w:val="24"/>
        </w:rPr>
        <w:t>Diamond planea lanzar su propio banco comercial con enfoque en África y Europa en los próximos meses, reportó Th</w:t>
      </w:r>
      <w:r w:rsidR="00F22B93">
        <w:rPr>
          <w:rFonts w:ascii="Times New Roman" w:eastAsia="Times New Roman" w:hAnsi="Times New Roman" w:cs="Times New Roman"/>
          <w:sz w:val="24"/>
          <w:szCs w:val="24"/>
        </w:rPr>
        <w:t>e Wall Street Journal en julio.</w:t>
      </w:r>
    </w:p>
    <w:p w:rsidR="00163A77" w:rsidRDefault="00163A77" w:rsidP="00550638">
      <w:pPr>
        <w:spacing w:after="0" w:line="240" w:lineRule="auto"/>
        <w:jc w:val="both"/>
        <w:rPr>
          <w:rFonts w:ascii="Times New Roman" w:eastAsia="Times New Roman" w:hAnsi="Times New Roman" w:cs="Times New Roman"/>
          <w:sz w:val="24"/>
          <w:szCs w:val="24"/>
        </w:rPr>
      </w:pPr>
    </w:p>
    <w:p w:rsidR="00BD3CC1" w:rsidRDefault="00BD3CC1"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lastRenderedPageBreak/>
        <w:t>John Paulson</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Inversionista</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8D07FE"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7838A3C8" wp14:editId="2FF0309C">
            <wp:extent cx="1916582" cy="1880006"/>
            <wp:effectExtent l="0" t="0" r="7620" b="6350"/>
            <wp:docPr id="489" name="Imagen 489" descr="http://s.wsj.net/public/resources/images/OB-YS854_0830fi_DV_2013083013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sj.net/public/resources/images/OB-YS854_0830fi_DV_2013083013093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916660" cy="1880083"/>
                    </a:xfrm>
                    <a:prstGeom prst="rect">
                      <a:avLst/>
                    </a:prstGeom>
                    <a:noFill/>
                    <a:ln>
                      <a:noFill/>
                    </a:ln>
                  </pic:spPr>
                </pic:pic>
              </a:graphicData>
            </a:graphic>
          </wp:inline>
        </w:drawing>
      </w:r>
    </w:p>
    <w:p w:rsidR="00C43A12" w:rsidRPr="008D07FE"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 xml:space="preserve"> </w:t>
      </w:r>
    </w:p>
    <w:p w:rsidR="00C43A12"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John Paulson era un gerente de fondo de cobertura poc</w:t>
      </w:r>
      <w:r w:rsidR="00F22B93">
        <w:rPr>
          <w:rFonts w:ascii="Times New Roman" w:eastAsia="Times New Roman" w:hAnsi="Times New Roman" w:cs="Times New Roman"/>
          <w:sz w:val="24"/>
          <w:szCs w:val="24"/>
        </w:rPr>
        <w:t>o conocido que obtuvo renombre -</w:t>
      </w:r>
      <w:r w:rsidRPr="008D07FE">
        <w:rPr>
          <w:rFonts w:ascii="Times New Roman" w:eastAsia="Times New Roman" w:hAnsi="Times New Roman" w:cs="Times New Roman"/>
          <w:sz w:val="24"/>
          <w:szCs w:val="24"/>
        </w:rPr>
        <w:t>además de miles de m</w:t>
      </w:r>
      <w:r w:rsidR="00F22B93">
        <w:rPr>
          <w:rFonts w:ascii="Times New Roman" w:eastAsia="Times New Roman" w:hAnsi="Times New Roman" w:cs="Times New Roman"/>
          <w:sz w:val="24"/>
          <w:szCs w:val="24"/>
        </w:rPr>
        <w:t>illones de dólares en ganancias-</w:t>
      </w:r>
      <w:r w:rsidRPr="008D07FE">
        <w:rPr>
          <w:rFonts w:ascii="Times New Roman" w:eastAsia="Times New Roman" w:hAnsi="Times New Roman" w:cs="Times New Roman"/>
          <w:sz w:val="24"/>
          <w:szCs w:val="24"/>
        </w:rPr>
        <w:t xml:space="preserve"> con una apuesta contra corriente, apostando contra las hipotecas de alto riesgo. En 2007 y 2008, ganó unos US$</w:t>
      </w:r>
      <w:r w:rsidR="00F22B93">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20.000 millones en ganancias por transacciones a medida que el mercado inmobiliario se venía abajo. Esta apuesta convirtió a Paulson en uno de los inversionistas más populares de Wall Street y los activos de su firma, Paulson &amp; Co., crecieron a US$</w:t>
      </w:r>
      <w:r w:rsidR="00F22B93">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36.000</w:t>
      </w:r>
      <w:r w:rsidR="00163A77">
        <w:rPr>
          <w:rFonts w:ascii="Times New Roman" w:eastAsia="Times New Roman" w:hAnsi="Times New Roman" w:cs="Times New Roman"/>
          <w:sz w:val="24"/>
          <w:szCs w:val="24"/>
        </w:rPr>
        <w:t xml:space="preserve"> millones al comienzo de 2012.  </w:t>
      </w:r>
      <w:r w:rsidRPr="008D07FE">
        <w:rPr>
          <w:rFonts w:ascii="Times New Roman" w:eastAsia="Times New Roman" w:hAnsi="Times New Roman" w:cs="Times New Roman"/>
          <w:sz w:val="24"/>
          <w:szCs w:val="24"/>
        </w:rPr>
        <w:t>El inversionista, de 57 años, ahora está apostando a un repunte en el mercado inmobiliario.</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Philip Falcone</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Inversionista</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2C859B60" wp14:editId="1CA68F63">
            <wp:extent cx="1916582" cy="1799538"/>
            <wp:effectExtent l="0" t="0" r="7620" b="0"/>
            <wp:docPr id="490" name="Imagen 490" descr="http://s.wsj.net/public/resources/images/OB-YS855_0830fi_DV_2013083013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sj.net/public/resources/images/OB-YS855_0830fi_DV_20130830131023.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16660" cy="1799612"/>
                    </a:xfrm>
                    <a:prstGeom prst="rect">
                      <a:avLst/>
                    </a:prstGeom>
                    <a:noFill/>
                    <a:ln>
                      <a:noFill/>
                    </a:ln>
                  </pic:spPr>
                </pic:pic>
              </a:graphicData>
            </a:graphic>
          </wp:inline>
        </w:drawing>
      </w:r>
    </w:p>
    <w:p w:rsidR="00C43A12" w:rsidRPr="008D07FE"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Philip Falcone se convirtió en uno de los inversionistas estrella de la crisis financiera al anticipar que la cesación de pagos en hipotecas se dispararía y que las empresa</w:t>
      </w:r>
      <w:r w:rsidR="00163A77">
        <w:rPr>
          <w:rFonts w:ascii="Times New Roman" w:eastAsia="Times New Roman" w:hAnsi="Times New Roman" w:cs="Times New Roman"/>
          <w:sz w:val="24"/>
          <w:szCs w:val="24"/>
        </w:rPr>
        <w:t xml:space="preserve">s mineras aumentarían en </w:t>
      </w:r>
      <w:r w:rsidR="00A92207">
        <w:rPr>
          <w:rFonts w:ascii="Times New Roman" w:eastAsia="Times New Roman" w:hAnsi="Times New Roman" w:cs="Times New Roman"/>
          <w:sz w:val="24"/>
          <w:szCs w:val="24"/>
        </w:rPr>
        <w:t>valor.</w:t>
      </w:r>
      <w:r w:rsidR="00A92207" w:rsidRPr="008D07FE">
        <w:rPr>
          <w:rFonts w:ascii="Times New Roman" w:eastAsia="Times New Roman" w:hAnsi="Times New Roman" w:cs="Times New Roman"/>
          <w:sz w:val="24"/>
          <w:szCs w:val="24"/>
        </w:rPr>
        <w:t xml:space="preserve"> Falcone</w:t>
      </w:r>
      <w:r w:rsidRPr="008D07FE">
        <w:rPr>
          <w:rFonts w:ascii="Times New Roman" w:eastAsia="Times New Roman" w:hAnsi="Times New Roman" w:cs="Times New Roman"/>
          <w:sz w:val="24"/>
          <w:szCs w:val="24"/>
        </w:rPr>
        <w:t xml:space="preserve"> y su firma, Harbinger Capital Partners, enfrentaron cargos de fraude civil en 2012 por presuntamente otorgar un trato preferencial a su fundador y a algunos clientes. Falcone admitió haber cometido prácticas indebidas en un acuerdo civil con la Comisión de Bolsa y Valores en agosto de 2013, y aceptó una prohibición de la industria de va</w:t>
      </w:r>
      <w:r w:rsidR="00163A77">
        <w:rPr>
          <w:rFonts w:ascii="Times New Roman" w:eastAsia="Times New Roman" w:hAnsi="Times New Roman" w:cs="Times New Roman"/>
          <w:sz w:val="24"/>
          <w:szCs w:val="24"/>
        </w:rPr>
        <w:t xml:space="preserve">lores por al menos cinco años. </w:t>
      </w:r>
      <w:r w:rsidRPr="008D07FE">
        <w:rPr>
          <w:rFonts w:ascii="Times New Roman" w:eastAsia="Times New Roman" w:hAnsi="Times New Roman" w:cs="Times New Roman"/>
          <w:sz w:val="24"/>
          <w:szCs w:val="24"/>
        </w:rPr>
        <w:t>Falcone dijo en un informe en ese momento que el acuerdo le permite seguir enfocándose en su empresa que cotiza en bolsa, Harbinger Group Inc., y en Lightsquared Inc., una iniciativa ambiciosa en la que Falcone invirtió miles de millones de dólares.</w:t>
      </w:r>
    </w:p>
    <w:p w:rsidR="00163A77" w:rsidRDefault="00163A77" w:rsidP="00550638">
      <w:pPr>
        <w:spacing w:after="0" w:line="240" w:lineRule="auto"/>
        <w:jc w:val="both"/>
        <w:rPr>
          <w:rFonts w:ascii="Times New Roman" w:eastAsia="Times New Roman" w:hAnsi="Times New Roman" w:cs="Times New Roman"/>
          <w:sz w:val="24"/>
          <w:szCs w:val="24"/>
        </w:rPr>
      </w:pPr>
    </w:p>
    <w:p w:rsidR="00163A77" w:rsidRDefault="00163A77" w:rsidP="00550638">
      <w:pPr>
        <w:spacing w:after="0" w:line="240" w:lineRule="auto"/>
        <w:jc w:val="both"/>
        <w:rPr>
          <w:rFonts w:ascii="Times New Roman" w:eastAsia="Times New Roman" w:hAnsi="Times New Roman" w:cs="Times New Roman"/>
          <w:sz w:val="24"/>
          <w:szCs w:val="24"/>
        </w:rPr>
      </w:pPr>
    </w:p>
    <w:p w:rsidR="00163A77" w:rsidRDefault="00163A77"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8D07FE"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lastRenderedPageBreak/>
        <w:t xml:space="preserve">Joseph Cassano </w:t>
      </w:r>
      <w:r>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Financista</w:t>
      </w:r>
    </w:p>
    <w:p w:rsidR="00C43A12"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AIG</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3CD796D1" wp14:editId="35C19F33">
            <wp:extent cx="1865376" cy="1894636"/>
            <wp:effectExtent l="0" t="0" r="1905" b="0"/>
            <wp:docPr id="491" name="Imagen 491" descr="http://s.wsj.net/public/resources/images/OB-YS811_0830fi_DV_201308301239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sj.net/public/resources/images/OB-YS811_0830fi_DV_20130830123916.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865452" cy="1894713"/>
                    </a:xfrm>
                    <a:prstGeom prst="rect">
                      <a:avLst/>
                    </a:prstGeom>
                    <a:noFill/>
                    <a:ln>
                      <a:noFill/>
                    </a:ln>
                  </pic:spPr>
                </pic:pic>
              </a:graphicData>
            </a:graphic>
          </wp:inline>
        </w:drawing>
      </w:r>
    </w:p>
    <w:p w:rsidR="00C43A12" w:rsidRPr="008D07FE" w:rsidRDefault="00C43A12" w:rsidP="00550638">
      <w:pPr>
        <w:spacing w:after="0" w:line="240" w:lineRule="auto"/>
        <w:jc w:val="both"/>
        <w:rPr>
          <w:rFonts w:ascii="Times New Roman" w:eastAsia="Times New Roman" w:hAnsi="Times New Roman" w:cs="Times New Roman"/>
          <w:sz w:val="24"/>
          <w:szCs w:val="24"/>
        </w:rPr>
      </w:pPr>
    </w:p>
    <w:p w:rsidR="00C43A12" w:rsidRPr="008D07FE"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Como jefe de la división de productos financieros de AIG, Joseph Cassano estuvo en el centro de una apuesta realizada en las hipotecas que llevó al gigante de seguros a las manos del gobierno estadounidense. La división vendió miles de millones en seguros contra cesación de pagos para conjuntos de bonos respaldados por hipotecas, es decir seguros contra el colapso de los bonos, y después enfrentó miles de millones en llamadas para exigir avales cu</w:t>
      </w:r>
      <w:r w:rsidR="00163A77">
        <w:rPr>
          <w:rFonts w:ascii="Times New Roman" w:eastAsia="Times New Roman" w:hAnsi="Times New Roman" w:cs="Times New Roman"/>
          <w:sz w:val="24"/>
          <w:szCs w:val="24"/>
        </w:rPr>
        <w:t xml:space="preserve">ando el mercado se vino abajo. </w:t>
      </w:r>
      <w:r w:rsidRPr="008D07FE">
        <w:rPr>
          <w:rFonts w:ascii="Times New Roman" w:eastAsia="Times New Roman" w:hAnsi="Times New Roman" w:cs="Times New Roman"/>
          <w:sz w:val="24"/>
          <w:szCs w:val="24"/>
        </w:rPr>
        <w:t>En 2010, Cassano, ahora de 58 años, comunic</w:t>
      </w:r>
      <w:r w:rsidR="00F22B93">
        <w:rPr>
          <w:rFonts w:ascii="Times New Roman" w:eastAsia="Times New Roman" w:hAnsi="Times New Roman" w:cs="Times New Roman"/>
          <w:sz w:val="24"/>
          <w:szCs w:val="24"/>
        </w:rPr>
        <w:t>ó a un panel del Congreso de EEUU</w:t>
      </w:r>
      <w:r w:rsidRPr="008D07FE">
        <w:rPr>
          <w:rFonts w:ascii="Times New Roman" w:eastAsia="Times New Roman" w:hAnsi="Times New Roman" w:cs="Times New Roman"/>
          <w:sz w:val="24"/>
          <w:szCs w:val="24"/>
        </w:rPr>
        <w:t xml:space="preserve"> que tomó decisiones “prudentes”, y defendió las acciones del gigante de seguros, agregando que al contribuyente estadounidense le hubiera ido mejor si él habría permanecido en AIG. </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F22B93" w:rsidRDefault="00C43A12" w:rsidP="00550638">
      <w:pPr>
        <w:spacing w:after="0" w:line="240" w:lineRule="auto"/>
        <w:jc w:val="both"/>
        <w:rPr>
          <w:rFonts w:ascii="Times New Roman" w:eastAsia="Times New Roman" w:hAnsi="Times New Roman" w:cs="Times New Roman"/>
          <w:sz w:val="24"/>
          <w:szCs w:val="24"/>
          <w:lang w:val="en-US"/>
        </w:rPr>
      </w:pPr>
      <w:r w:rsidRPr="00F22B93">
        <w:rPr>
          <w:rFonts w:ascii="Times New Roman" w:eastAsia="Times New Roman" w:hAnsi="Times New Roman" w:cs="Times New Roman"/>
          <w:sz w:val="24"/>
          <w:szCs w:val="24"/>
          <w:lang w:val="en-US"/>
        </w:rPr>
        <w:t>Boaz Weinstein   Financista</w:t>
      </w:r>
    </w:p>
    <w:p w:rsidR="00C43A12" w:rsidRPr="00F22B93" w:rsidRDefault="00C43A12" w:rsidP="00550638">
      <w:pPr>
        <w:spacing w:after="0" w:line="240" w:lineRule="auto"/>
        <w:jc w:val="both"/>
        <w:rPr>
          <w:rFonts w:ascii="Times New Roman" w:eastAsia="Times New Roman" w:hAnsi="Times New Roman" w:cs="Times New Roman"/>
          <w:sz w:val="24"/>
          <w:szCs w:val="24"/>
          <w:lang w:val="en-US"/>
        </w:rPr>
      </w:pPr>
      <w:r w:rsidRPr="00F22B93">
        <w:rPr>
          <w:rFonts w:ascii="Times New Roman" w:eastAsia="Times New Roman" w:hAnsi="Times New Roman" w:cs="Times New Roman"/>
          <w:sz w:val="24"/>
          <w:szCs w:val="24"/>
          <w:lang w:val="en-US"/>
        </w:rPr>
        <w:t xml:space="preserve">Deutsche Bank </w:t>
      </w:r>
    </w:p>
    <w:p w:rsidR="00C43A12" w:rsidRPr="00F22B93" w:rsidRDefault="00C43A12" w:rsidP="00550638">
      <w:pPr>
        <w:spacing w:after="0" w:line="240" w:lineRule="auto"/>
        <w:jc w:val="both"/>
        <w:rPr>
          <w:rFonts w:ascii="Times New Roman" w:eastAsia="Times New Roman" w:hAnsi="Times New Roman" w:cs="Times New Roman"/>
          <w:sz w:val="24"/>
          <w:szCs w:val="24"/>
          <w:lang w:val="en-US"/>
        </w:rPr>
      </w:pPr>
    </w:p>
    <w:p w:rsidR="00C43A12" w:rsidRDefault="00C43A12" w:rsidP="00550638">
      <w:pPr>
        <w:spacing w:after="0" w:line="240" w:lineRule="auto"/>
        <w:jc w:val="both"/>
        <w:rPr>
          <w:rFonts w:ascii="Times New Roman" w:eastAsia="Times New Roman" w:hAnsi="Times New Roman" w:cs="Times New Roman"/>
          <w:sz w:val="24"/>
          <w:szCs w:val="24"/>
        </w:rPr>
      </w:pPr>
      <w:r>
        <w:rPr>
          <w:rFonts w:ascii="Arial" w:hAnsi="Arial" w:cs="Arial"/>
          <w:noProof/>
          <w:color w:val="333333"/>
          <w:sz w:val="15"/>
          <w:szCs w:val="15"/>
          <w:lang w:eastAsia="es-ES"/>
        </w:rPr>
        <w:drawing>
          <wp:inline distT="0" distB="0" distL="0" distR="0" wp14:anchorId="6005481C" wp14:editId="45AC392E">
            <wp:extent cx="1916582" cy="1843430"/>
            <wp:effectExtent l="0" t="0" r="7620" b="4445"/>
            <wp:docPr id="492" name="Imagen 492" descr="http://s.wsj.net/public/resources/images/OB-YS815_0830fi_DV_201308301243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s.wsj.net/public/resources/images/OB-YS815_0830fi_DV_2013083012430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16660" cy="1843505"/>
                    </a:xfrm>
                    <a:prstGeom prst="rect">
                      <a:avLst/>
                    </a:prstGeom>
                    <a:noFill/>
                    <a:ln>
                      <a:noFill/>
                    </a:ln>
                  </pic:spPr>
                </pic:pic>
              </a:graphicData>
            </a:graphic>
          </wp:inline>
        </w:drawing>
      </w:r>
    </w:p>
    <w:p w:rsidR="00C43A12" w:rsidRPr="008D07FE"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8D07FE">
        <w:rPr>
          <w:rFonts w:ascii="Times New Roman" w:eastAsia="Times New Roman" w:hAnsi="Times New Roman" w:cs="Times New Roman"/>
          <w:sz w:val="24"/>
          <w:szCs w:val="24"/>
        </w:rPr>
        <w:t>La adopción y el dominio de los seguros contra la cesación de pagos en Deutsche Bank por parte de Boaz Weinstein le ayudaron a obtener el puesto de director gerente a los 27 años. Dirigió un fondo de US$</w:t>
      </w:r>
      <w:r w:rsidR="00BD3CC1">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10.000 millones y embolsó cientos de millones de dólares al año por el banco alemana, en donde fue codirector de tra</w:t>
      </w:r>
      <w:r w:rsidR="00163A77">
        <w:rPr>
          <w:rFonts w:ascii="Times New Roman" w:eastAsia="Times New Roman" w:hAnsi="Times New Roman" w:cs="Times New Roman"/>
          <w:sz w:val="24"/>
          <w:szCs w:val="24"/>
        </w:rPr>
        <w:t>nsacciones globales de crédito.</w:t>
      </w:r>
      <w:r w:rsidR="00EC2152">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Pero las apuestas del grupo en deuda corporativa se desmoronaron a finales de 2008, y el fondo terminó el año con un descenso de 18%, perdiendo unos US$</w:t>
      </w:r>
      <w:r w:rsidR="00F22B93">
        <w:rPr>
          <w:rFonts w:ascii="Times New Roman" w:eastAsia="Times New Roman" w:hAnsi="Times New Roman" w:cs="Times New Roman"/>
          <w:sz w:val="24"/>
          <w:szCs w:val="24"/>
        </w:rPr>
        <w:t xml:space="preserve"> </w:t>
      </w:r>
      <w:r w:rsidRPr="008D07FE">
        <w:rPr>
          <w:rFonts w:ascii="Times New Roman" w:eastAsia="Times New Roman" w:hAnsi="Times New Roman" w:cs="Times New Roman"/>
          <w:sz w:val="24"/>
          <w:szCs w:val="24"/>
        </w:rPr>
        <w:t>1.800 millones. Weinstein, ahora de 40 años, escindió su grupo de transacciones de crédito a principios de 2009.</w:t>
      </w:r>
    </w:p>
    <w:p w:rsidR="00163A77" w:rsidRDefault="00163A77" w:rsidP="00550638">
      <w:pPr>
        <w:spacing w:after="0" w:line="240" w:lineRule="auto"/>
        <w:jc w:val="both"/>
        <w:rPr>
          <w:rFonts w:ascii="Times New Roman" w:eastAsia="Times New Roman" w:hAnsi="Times New Roman" w:cs="Times New Roman"/>
          <w:sz w:val="24"/>
          <w:szCs w:val="24"/>
        </w:rPr>
      </w:pPr>
    </w:p>
    <w:p w:rsidR="00163A77" w:rsidRDefault="00163A77"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Pr="003B0D17" w:rsidRDefault="00C43A12" w:rsidP="00550638">
      <w:pPr>
        <w:spacing w:after="0" w:line="240" w:lineRule="auto"/>
        <w:jc w:val="both"/>
        <w:rPr>
          <w:rFonts w:ascii="Times New Roman" w:eastAsia="Times New Roman" w:hAnsi="Times New Roman" w:cs="Times New Roman"/>
          <w:sz w:val="24"/>
          <w:szCs w:val="24"/>
          <w:lang w:val="en-US"/>
        </w:rPr>
      </w:pPr>
      <w:r w:rsidRPr="003B0D17">
        <w:rPr>
          <w:rFonts w:ascii="Times New Roman" w:eastAsia="Times New Roman" w:hAnsi="Times New Roman" w:cs="Times New Roman"/>
          <w:sz w:val="24"/>
          <w:szCs w:val="24"/>
          <w:lang w:val="en-US"/>
        </w:rPr>
        <w:lastRenderedPageBreak/>
        <w:t>Ralph Cioffi &amp; Matthew Tannin   Financistas</w:t>
      </w:r>
    </w:p>
    <w:p w:rsidR="00C43A12" w:rsidRPr="003B0D17" w:rsidRDefault="00C43A12" w:rsidP="00550638">
      <w:pPr>
        <w:spacing w:after="0" w:line="240" w:lineRule="auto"/>
        <w:jc w:val="both"/>
        <w:rPr>
          <w:rFonts w:ascii="Times New Roman" w:eastAsia="Times New Roman" w:hAnsi="Times New Roman" w:cs="Times New Roman"/>
          <w:sz w:val="24"/>
          <w:szCs w:val="24"/>
          <w:lang w:val="en-US"/>
        </w:rPr>
      </w:pPr>
      <w:r w:rsidRPr="003B0D17">
        <w:rPr>
          <w:rFonts w:ascii="Times New Roman" w:eastAsia="Times New Roman" w:hAnsi="Times New Roman" w:cs="Times New Roman"/>
          <w:sz w:val="24"/>
          <w:szCs w:val="24"/>
          <w:lang w:val="en-US"/>
        </w:rPr>
        <w:t>Bear Stearns</w:t>
      </w:r>
    </w:p>
    <w:p w:rsidR="00C43A12" w:rsidRPr="003B0D17" w:rsidRDefault="00C43A12" w:rsidP="00550638">
      <w:pPr>
        <w:spacing w:after="0" w:line="240" w:lineRule="auto"/>
        <w:jc w:val="both"/>
        <w:rPr>
          <w:rFonts w:ascii="Times New Roman" w:eastAsia="Times New Roman" w:hAnsi="Times New Roman" w:cs="Times New Roman"/>
          <w:sz w:val="24"/>
          <w:szCs w:val="24"/>
          <w:lang w:val="en-US"/>
        </w:rPr>
      </w:pPr>
    </w:p>
    <w:p w:rsidR="00C43A12" w:rsidRPr="000A57FD" w:rsidRDefault="00C43A12" w:rsidP="00550638">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El colapso de los fondos de cobertura altamente apalancados de US$</w:t>
      </w:r>
      <w:r w:rsidR="00F22B93">
        <w:rPr>
          <w:rFonts w:ascii="Times New Roman" w:eastAsia="Times New Roman" w:hAnsi="Times New Roman" w:cs="Times New Roman"/>
          <w:sz w:val="24"/>
          <w:szCs w:val="24"/>
        </w:rPr>
        <w:t xml:space="preserve"> </w:t>
      </w:r>
      <w:r w:rsidRPr="000A57FD">
        <w:rPr>
          <w:rFonts w:ascii="Times New Roman" w:eastAsia="Times New Roman" w:hAnsi="Times New Roman" w:cs="Times New Roman"/>
          <w:sz w:val="24"/>
          <w:szCs w:val="24"/>
        </w:rPr>
        <w:t xml:space="preserve">1.600 millones de Bear Stearns, gestionados por Ralph Cioffi y Matthew Tannin, fue una de las primeras señales de aflicción en los mercados de crédito. Los procuradores federales después avanzaron para levantar cargos criminales contra estos sujetos, declarando que habían engañado a los inversionistas sobre el portafolio de valores respaldados por hipotecas. </w:t>
      </w:r>
    </w:p>
    <w:p w:rsidR="00C43A12" w:rsidRPr="000A57FD" w:rsidRDefault="00C43A12" w:rsidP="00550638">
      <w:pPr>
        <w:spacing w:after="0" w:line="240" w:lineRule="auto"/>
        <w:jc w:val="both"/>
        <w:rPr>
          <w:rFonts w:ascii="Times New Roman" w:eastAsia="Times New Roman" w:hAnsi="Times New Roman" w:cs="Times New Roman"/>
          <w:sz w:val="24"/>
          <w:szCs w:val="24"/>
        </w:rPr>
      </w:pPr>
    </w:p>
    <w:p w:rsidR="00C43A12" w:rsidRPr="000A57FD" w:rsidRDefault="00C43A12" w:rsidP="00550638">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 xml:space="preserve">En noviembre de 2009, Cioffi, ahora de 57 años, y Tannin, de 52 años, fueron exonerados por el jurado. </w:t>
      </w:r>
    </w:p>
    <w:p w:rsidR="00C43A12" w:rsidRPr="000A57FD" w:rsidRDefault="00C43A12" w:rsidP="00550638">
      <w:pPr>
        <w:spacing w:after="0" w:line="240" w:lineRule="auto"/>
        <w:jc w:val="both"/>
        <w:rPr>
          <w:rFonts w:ascii="Times New Roman" w:eastAsia="Times New Roman" w:hAnsi="Times New Roman" w:cs="Times New Roman"/>
          <w:sz w:val="24"/>
          <w:szCs w:val="24"/>
        </w:rPr>
      </w:pPr>
    </w:p>
    <w:p w:rsidR="00C43A12" w:rsidRDefault="00C43A12" w:rsidP="00550638">
      <w:pPr>
        <w:spacing w:after="0" w:line="240" w:lineRule="auto"/>
        <w:jc w:val="both"/>
        <w:rPr>
          <w:rFonts w:ascii="Times New Roman" w:eastAsia="Times New Roman" w:hAnsi="Times New Roman" w:cs="Times New Roman"/>
          <w:sz w:val="24"/>
          <w:szCs w:val="24"/>
        </w:rPr>
      </w:pPr>
      <w:r w:rsidRPr="000A57FD">
        <w:rPr>
          <w:rFonts w:ascii="Times New Roman" w:eastAsia="Times New Roman" w:hAnsi="Times New Roman" w:cs="Times New Roman"/>
          <w:sz w:val="24"/>
          <w:szCs w:val="24"/>
        </w:rPr>
        <w:t>Cioffi ahora vive en Florida con su familia y está invirtiendo su propio dinero.</w:t>
      </w:r>
    </w:p>
    <w:p w:rsidR="00C43A12" w:rsidRDefault="00C43A12" w:rsidP="00550638">
      <w:pPr>
        <w:spacing w:after="0" w:line="240" w:lineRule="auto"/>
        <w:jc w:val="both"/>
        <w:rPr>
          <w:rFonts w:ascii="Times New Roman" w:eastAsia="Times New Roman" w:hAnsi="Times New Roman" w:cs="Times New Roman"/>
          <w:sz w:val="24"/>
          <w:szCs w:val="24"/>
        </w:rPr>
      </w:pPr>
    </w:p>
    <w:p w:rsidR="00C43A12" w:rsidRDefault="00F22B93" w:rsidP="0055063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Arial" w:hAnsi="Arial" w:cs="Arial"/>
          <w:noProof/>
          <w:color w:val="333333"/>
          <w:sz w:val="15"/>
          <w:szCs w:val="15"/>
          <w:lang w:eastAsia="es-ES"/>
        </w:rPr>
        <w:drawing>
          <wp:inline distT="0" distB="0" distL="0" distR="0" wp14:anchorId="7B1A7FD6" wp14:editId="42A724AF">
            <wp:extent cx="1938528" cy="2626156"/>
            <wp:effectExtent l="0" t="0" r="5080" b="3175"/>
            <wp:docPr id="493" name="Imagen 493" descr="http://s.wsj.net/public/resources/images/OB-YS840_0830fi_DV_20130830130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s.wsj.net/public/resources/images/OB-YS840_0830fi_DV_20130830130315.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38607" cy="2626263"/>
                    </a:xfrm>
                    <a:prstGeom prst="rect">
                      <a:avLst/>
                    </a:prstGeom>
                    <a:noFill/>
                    <a:ln>
                      <a:noFill/>
                    </a:ln>
                  </pic:spPr>
                </pic:pic>
              </a:graphicData>
            </a:graphic>
          </wp:inline>
        </w:drawing>
      </w:r>
    </w:p>
    <w:p w:rsidR="00373926" w:rsidRDefault="00373926" w:rsidP="00550638">
      <w:pPr>
        <w:spacing w:line="240" w:lineRule="auto"/>
        <w:jc w:val="both"/>
        <w:rPr>
          <w:rFonts w:ascii="Times New Roman" w:hAnsi="Times New Roman"/>
          <w:sz w:val="24"/>
          <w:szCs w:val="24"/>
        </w:rPr>
      </w:pPr>
    </w:p>
    <w:p w:rsidR="002F3510" w:rsidRDefault="003B0D17" w:rsidP="00550638">
      <w:pPr>
        <w:pStyle w:val="Prrafodelista"/>
        <w:numPr>
          <w:ilvl w:val="1"/>
          <w:numId w:val="31"/>
        </w:numPr>
        <w:spacing w:line="240" w:lineRule="auto"/>
        <w:jc w:val="both"/>
        <w:rPr>
          <w:rFonts w:ascii="Times New Roman" w:hAnsi="Times New Roman" w:cs="Times New Roman"/>
          <w:b/>
          <w:sz w:val="24"/>
          <w:szCs w:val="24"/>
        </w:rPr>
      </w:pPr>
      <w:r w:rsidRPr="002F3510">
        <w:rPr>
          <w:rFonts w:ascii="Times New Roman" w:hAnsi="Times New Roman" w:cs="Times New Roman"/>
          <w:b/>
          <w:sz w:val="24"/>
          <w:szCs w:val="24"/>
        </w:rPr>
        <w:t xml:space="preserve">- La victoria del capital sobre el trabajo, de la economía financiera sobre la real </w:t>
      </w:r>
    </w:p>
    <w:p w:rsidR="003118A0" w:rsidRPr="003118A0" w:rsidRDefault="00BD3CC1" w:rsidP="0055063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El “conundrum” de la crisis: ¿quién paga los platos rotos?</w:t>
      </w:r>
    </w:p>
    <w:p w:rsidR="002F3510" w:rsidRDefault="002F3510" w:rsidP="00550638">
      <w:pPr>
        <w:pStyle w:val="NormalWeb"/>
        <w:jc w:val="both"/>
      </w:pPr>
      <w:r>
        <w:t xml:space="preserve">- </w:t>
      </w:r>
      <w:r w:rsidRPr="003F5E84">
        <w:rPr>
          <w:u w:val="single"/>
        </w:rPr>
        <w:t>Por qué duran tanto las crisis: nadie quiere pagar la cuenta</w:t>
      </w:r>
      <w:r>
        <w:t xml:space="preserve"> (The Wall Street Journal - </w:t>
      </w:r>
      <w:r w:rsidRPr="003F5E84">
        <w:rPr>
          <w:b/>
        </w:rPr>
        <w:t>10/11/11</w:t>
      </w:r>
      <w:r>
        <w:t>)</w:t>
      </w:r>
    </w:p>
    <w:p w:rsidR="002F3510" w:rsidRPr="002F3510" w:rsidRDefault="002F3510" w:rsidP="00550638">
      <w:pPr>
        <w:pStyle w:val="NormalWeb"/>
        <w:jc w:val="both"/>
      </w:pPr>
      <w:r w:rsidRPr="002F3510">
        <w:t xml:space="preserve">(Por David Wessel)                                             </w:t>
      </w:r>
      <w:r>
        <w:t xml:space="preserve">                              </w:t>
      </w:r>
      <w:r w:rsidRPr="002F3510">
        <w:t>Lectura recomendada</w:t>
      </w:r>
    </w:p>
    <w:p w:rsidR="002F3510" w:rsidRPr="00CE172C" w:rsidRDefault="002F3510" w:rsidP="00550638">
      <w:pPr>
        <w:pStyle w:val="NormalWeb"/>
        <w:jc w:val="both"/>
        <w:rPr>
          <w:color w:val="FF0000"/>
          <w:u w:val="single"/>
        </w:rPr>
      </w:pPr>
      <w:r w:rsidRPr="00CE172C">
        <w:rPr>
          <w:color w:val="FF0000"/>
          <w:u w:val="single"/>
        </w:rPr>
        <w:t>Ya han pasado dos años desde que las llamas aparecieron por primera vez en Grecia, y sin embargo el fuego aún no ha sido apagado. Ahora se ha propagado a Italia.</w:t>
      </w:r>
    </w:p>
    <w:p w:rsidR="002F3510" w:rsidRPr="00CE172C" w:rsidRDefault="002F3510" w:rsidP="00550638">
      <w:pPr>
        <w:pStyle w:val="NormalWeb"/>
        <w:jc w:val="both"/>
        <w:rPr>
          <w:color w:val="FF0000"/>
          <w:u w:val="single"/>
        </w:rPr>
      </w:pPr>
      <w:r w:rsidRPr="00CE172C">
        <w:rPr>
          <w:color w:val="FF0000"/>
          <w:u w:val="single"/>
        </w:rPr>
        <w:t>Han pasado cinco años desde que reventó la burbuja inmobiliaria de Estados Unidos. El sector de la vivienda sigue siendo una de las principales razones por las que la economía del país tiene un desempeño tan débil.</w:t>
      </w:r>
    </w:p>
    <w:p w:rsidR="002F3510" w:rsidRPr="00CE172C" w:rsidRDefault="002F3510" w:rsidP="00550638">
      <w:pPr>
        <w:pStyle w:val="NormalWeb"/>
        <w:jc w:val="both"/>
        <w:rPr>
          <w:color w:val="FF0000"/>
          <w:u w:val="single"/>
        </w:rPr>
      </w:pPr>
      <w:r w:rsidRPr="00CE172C">
        <w:rPr>
          <w:color w:val="FF0000"/>
          <w:u w:val="single"/>
        </w:rPr>
        <w:t xml:space="preserve">En ambos continentes, ya no quedan dudas sobre la severidad de la amenaza o la urgencia con la que se necesitan mejores políticas. Aun así, los jugadores parecen completamente incapaces de actuar. </w:t>
      </w:r>
    </w:p>
    <w:p w:rsidR="002F3510" w:rsidRPr="00CE172C" w:rsidRDefault="002F3510" w:rsidP="00550638">
      <w:pPr>
        <w:pStyle w:val="NormalWeb"/>
        <w:jc w:val="both"/>
        <w:rPr>
          <w:b/>
          <w:color w:val="FF0000"/>
          <w:u w:val="single"/>
        </w:rPr>
      </w:pPr>
      <w:r w:rsidRPr="00CE172C">
        <w:rPr>
          <w:b/>
          <w:color w:val="FF0000"/>
          <w:u w:val="single"/>
        </w:rPr>
        <w:lastRenderedPageBreak/>
        <w:t>¿Qué les está llevando tanto tiempo? Decidir quién tendrá que pagar la cuenta.</w:t>
      </w:r>
    </w:p>
    <w:p w:rsidR="002F3510" w:rsidRPr="00CE172C" w:rsidRDefault="002F3510" w:rsidP="00550638">
      <w:pPr>
        <w:pStyle w:val="NormalWeb"/>
        <w:jc w:val="both"/>
        <w:rPr>
          <w:b/>
          <w:color w:val="FF0000"/>
          <w:u w:val="single"/>
        </w:rPr>
      </w:pPr>
      <w:r>
        <w:rPr>
          <w:b/>
          <w:color w:val="FF0000"/>
          <w:u w:val="single"/>
        </w:rPr>
        <w:t>“</w:t>
      </w:r>
      <w:r w:rsidRPr="00CE172C">
        <w:rPr>
          <w:b/>
          <w:color w:val="FF0000"/>
          <w:u w:val="single"/>
        </w:rPr>
        <w:t>En todas las crisis, se deben repartir las pérdidas entre deudor</w:t>
      </w:r>
      <w:r>
        <w:rPr>
          <w:b/>
          <w:color w:val="FF0000"/>
          <w:u w:val="single"/>
        </w:rPr>
        <w:t>es, acreedores y contribuyentes”</w:t>
      </w:r>
      <w:r w:rsidRPr="00CE172C">
        <w:rPr>
          <w:b/>
          <w:color w:val="FF0000"/>
          <w:u w:val="single"/>
        </w:rPr>
        <w:t xml:space="preserve">, explica Anna Gelpern, profesora de derecho de la Universidad Americana y </w:t>
      </w:r>
      <w:r>
        <w:rPr>
          <w:b/>
          <w:color w:val="FF0000"/>
          <w:u w:val="single"/>
        </w:rPr>
        <w:t>ex funcionaria del Tesoro de EEUU. “</w:t>
      </w:r>
      <w:r w:rsidRPr="00CE172C">
        <w:rPr>
          <w:b/>
          <w:color w:val="FF0000"/>
          <w:u w:val="single"/>
        </w:rPr>
        <w:t xml:space="preserve">Es un concepto sorprendentemente simple, </w:t>
      </w:r>
      <w:r>
        <w:rPr>
          <w:b/>
          <w:color w:val="FF0000"/>
          <w:u w:val="single"/>
        </w:rPr>
        <w:t>y completamente irreconciliable”</w:t>
      </w:r>
      <w:r w:rsidRPr="00CE172C">
        <w:rPr>
          <w:b/>
          <w:color w:val="FF0000"/>
          <w:u w:val="single"/>
        </w:rPr>
        <w:t>.</w:t>
      </w:r>
    </w:p>
    <w:p w:rsidR="002F3510" w:rsidRPr="00CE172C" w:rsidRDefault="002F3510" w:rsidP="00550638">
      <w:pPr>
        <w:pStyle w:val="NormalWeb"/>
        <w:jc w:val="both"/>
        <w:rPr>
          <w:b/>
          <w:color w:val="FF0000"/>
          <w:u w:val="single"/>
        </w:rPr>
      </w:pPr>
      <w:r>
        <w:rPr>
          <w:b/>
          <w:color w:val="FF0000"/>
          <w:u w:val="single"/>
        </w:rPr>
        <w:t>“</w:t>
      </w:r>
      <w:r w:rsidRPr="00CE172C">
        <w:rPr>
          <w:b/>
          <w:color w:val="FF0000"/>
          <w:u w:val="single"/>
        </w:rPr>
        <w:t>Por definición,</w:t>
      </w:r>
      <w:r>
        <w:rPr>
          <w:b/>
          <w:color w:val="FF0000"/>
          <w:u w:val="single"/>
        </w:rPr>
        <w:t xml:space="preserve"> es un problema político”, agrega. “</w:t>
      </w:r>
      <w:r w:rsidRPr="00CE172C">
        <w:rPr>
          <w:b/>
          <w:color w:val="FF0000"/>
          <w:u w:val="single"/>
        </w:rPr>
        <w:t>Incluso si surgiera la idea de una distribución óptima, si no es vendible polí</w:t>
      </w:r>
      <w:r>
        <w:rPr>
          <w:b/>
          <w:color w:val="FF0000"/>
          <w:u w:val="single"/>
        </w:rPr>
        <w:t>ticamente, no puede concretarse”</w:t>
      </w:r>
      <w:r w:rsidRPr="00CE172C">
        <w:rPr>
          <w:b/>
          <w:color w:val="FF0000"/>
          <w:u w:val="single"/>
        </w:rPr>
        <w:t>.</w:t>
      </w:r>
    </w:p>
    <w:p w:rsidR="002F3510" w:rsidRPr="00CE172C" w:rsidRDefault="002F3510" w:rsidP="00550638">
      <w:pPr>
        <w:pStyle w:val="NormalWeb"/>
        <w:jc w:val="both"/>
        <w:rPr>
          <w:b/>
          <w:u w:val="single"/>
        </w:rPr>
      </w:pPr>
      <w:r w:rsidRPr="00CE172C">
        <w:rPr>
          <w:b/>
          <w:u w:val="single"/>
        </w:rPr>
        <w:t>Esta vez, la escala es intimidatoria. El Fondo Monetario Internacional estima que los tenedores de hipotecas</w:t>
      </w:r>
      <w:r>
        <w:rPr>
          <w:b/>
          <w:u w:val="single"/>
        </w:rPr>
        <w:t xml:space="preserve"> en EEUU</w:t>
      </w:r>
      <w:r w:rsidRPr="00CE172C">
        <w:rPr>
          <w:b/>
          <w:u w:val="single"/>
        </w:rPr>
        <w:t xml:space="preserve"> y otras deudas perdieron US$ 2,7 billones (millones de millones) en la fase estadounidense de la crisis global, parte de cuya suma ya fue trasladada a los contribuyentes. Las viviendas del país valen casi US$ 7 billones menos que hace cinco años, una caída de 25%.</w:t>
      </w:r>
    </w:p>
    <w:p w:rsidR="002F3510" w:rsidRPr="00CE172C" w:rsidRDefault="002F3510" w:rsidP="00550638">
      <w:pPr>
        <w:pStyle w:val="NormalWeb"/>
        <w:jc w:val="both"/>
        <w:rPr>
          <w:b/>
          <w:u w:val="single"/>
        </w:rPr>
      </w:pPr>
      <w:r>
        <w:t xml:space="preserve">Se han hecho toda clase de intentos por reducir los pagos mensuales de hipotecas para algunos, por refinanciar créditos con intereses altos, por asegurarse de que los embargos se llevan a cabo correctamente, por recapitalizar bancos para que puedan absorber pérdidas, y demás. </w:t>
      </w:r>
      <w:r w:rsidRPr="00CE172C">
        <w:rPr>
          <w:b/>
          <w:u w:val="single"/>
        </w:rPr>
        <w:t>El gran paso que no se dio: reducir el principal sobre las hipotecas. El gran obstáculo: ¿quién paga los platos rotos? ¿Los bancos? ¿Los inversionistas hipotecarios? ¿Los contribuyentes?</w:t>
      </w:r>
    </w:p>
    <w:p w:rsidR="002F3510" w:rsidRPr="00CE172C" w:rsidRDefault="002F3510" w:rsidP="00550638">
      <w:pPr>
        <w:pStyle w:val="NormalWeb"/>
        <w:jc w:val="both"/>
        <w:rPr>
          <w:b/>
          <w:u w:val="single"/>
        </w:rPr>
      </w:pPr>
      <w:r w:rsidRPr="00CE172C">
        <w:rPr>
          <w:b/>
          <w:u w:val="single"/>
        </w:rPr>
        <w:t>En Europa, los retrasos para admitir que Grecia pidió prestado demasiado convirtieron lo que hubiera sido un problema difícil pero manejable en una calamidad. Un gran motivo para el retraso: decidir quién pagaría la cuenta. ¿Los contribuyentes alemanes? ¿Los accionistas de bancos franceses? ¿Los tenedores de bonos extranjeros?</w:t>
      </w:r>
    </w:p>
    <w:p w:rsidR="002F3510" w:rsidRPr="00CE172C" w:rsidRDefault="002F3510" w:rsidP="00550638">
      <w:pPr>
        <w:pStyle w:val="NormalWeb"/>
        <w:jc w:val="both"/>
        <w:rPr>
          <w:b/>
          <w:u w:val="single"/>
        </w:rPr>
      </w:pPr>
      <w:r>
        <w:rPr>
          <w:b/>
          <w:u w:val="single"/>
        </w:rPr>
        <w:t>Cuando un prestatario -un banco, una empresa, un país-</w:t>
      </w:r>
      <w:r w:rsidRPr="00CE172C">
        <w:rPr>
          <w:b/>
          <w:u w:val="single"/>
        </w:rPr>
        <w:t xml:space="preserve"> tiene problemas, la reacción inicial es decir, bueno, tienen el dinero, sólo que están cortos de efectivo. A menudo eso es verdad. Así que el prestamista le da un respiro al prestatario, la empresa empeñ</w:t>
      </w:r>
      <w:r>
        <w:rPr>
          <w:b/>
          <w:u w:val="single"/>
        </w:rPr>
        <w:t>a sus cuentas por cobrar, o el “acreedor de último recurso”</w:t>
      </w:r>
      <w:r w:rsidRPr="00CE172C">
        <w:rPr>
          <w:b/>
          <w:u w:val="single"/>
        </w:rPr>
        <w:t>, el banco central, otorga préstamos de emergencia porque está seguro de que le devolverán el diner</w:t>
      </w:r>
      <w:r>
        <w:rPr>
          <w:b/>
          <w:u w:val="single"/>
        </w:rPr>
        <w:t>o. El problema, se dice, es de “liquidez”</w:t>
      </w:r>
      <w:r w:rsidRPr="00CE172C">
        <w:rPr>
          <w:b/>
          <w:u w:val="single"/>
        </w:rPr>
        <w:t xml:space="preserve"> (lo que significa que nadie perderá dine</w:t>
      </w:r>
      <w:r>
        <w:rPr>
          <w:b/>
          <w:u w:val="single"/>
        </w:rPr>
        <w:t>ro al final) en lugar de decir “solvencia”</w:t>
      </w:r>
      <w:r w:rsidRPr="00CE172C">
        <w:rPr>
          <w:b/>
          <w:u w:val="single"/>
        </w:rPr>
        <w:t xml:space="preserve"> (lo que significa que alguien perderá dinero).</w:t>
      </w:r>
    </w:p>
    <w:p w:rsidR="002F3510" w:rsidRDefault="002F3510" w:rsidP="00550638">
      <w:pPr>
        <w:pStyle w:val="NormalWeb"/>
        <w:jc w:val="both"/>
      </w:pPr>
      <w:r w:rsidRPr="00CE172C">
        <w:rPr>
          <w:u w:val="single"/>
        </w:rPr>
        <w:t>La tentación de extender esa lógica más allá de la razón es grande. Admitir que, por ejemplo, algunos gobiernos europeos no pagarán 100 centavos por cada dólar, o que algunos préstamos hipotecarios no valen lo que dicen los libros contables, obligaría a los prestamistas a asumir pérdidas</w:t>
      </w:r>
      <w:r>
        <w:t>. Si éstas son grandes, la solvencia de los bancos está en duda. En Francia, los mercados no están tan escépticos ante la capacidad del gobierno de pagar sus cuentas y cumplir con las obligaciones de intereses, sino que se preocupan más por un potencialmente costoso rescate gubernamental de los bancos que tienen mucha deuda de gobiernos extranjeros.</w:t>
      </w:r>
    </w:p>
    <w:p w:rsidR="002F3510" w:rsidRPr="00CE172C" w:rsidRDefault="002F3510" w:rsidP="00550638">
      <w:pPr>
        <w:pStyle w:val="NormalWeb"/>
        <w:jc w:val="both"/>
        <w:rPr>
          <w:u w:val="single"/>
        </w:rPr>
      </w:pPr>
      <w:r>
        <w:t xml:space="preserve">Entonces, </w:t>
      </w:r>
      <w:r w:rsidRPr="00CE172C">
        <w:rPr>
          <w:u w:val="single"/>
        </w:rPr>
        <w:t>los bancos y los inversionistas igualmente prestan, a menudo a tasas de interés que reflejan el riesgo de que no cobren. Si todo sale bien, ganan mucho dinero. De lo contrario, y hay mucho dinero en juego, los contribuyentes pagan las cuentas.</w:t>
      </w:r>
    </w:p>
    <w:p w:rsidR="002F3510" w:rsidRPr="00CE172C" w:rsidRDefault="002F3510" w:rsidP="00550638">
      <w:pPr>
        <w:pStyle w:val="NormalWeb"/>
        <w:jc w:val="both"/>
        <w:rPr>
          <w:b/>
          <w:color w:val="FF0000"/>
          <w:u w:val="single"/>
        </w:rPr>
      </w:pPr>
      <w:r>
        <w:rPr>
          <w:b/>
          <w:color w:val="FF0000"/>
          <w:u w:val="single"/>
        </w:rPr>
        <w:lastRenderedPageBreak/>
        <w:t>“</w:t>
      </w:r>
      <w:r w:rsidRPr="00CE172C">
        <w:rPr>
          <w:b/>
          <w:color w:val="FF0000"/>
          <w:u w:val="single"/>
        </w:rPr>
        <w:t>Las partes que tienen pérdidas contractuales intentan pasar esas pérdidas a otros, esp</w:t>
      </w:r>
      <w:r>
        <w:rPr>
          <w:b/>
          <w:color w:val="FF0000"/>
          <w:u w:val="single"/>
        </w:rPr>
        <w:t>ecialmente a los contribuyentes”</w:t>
      </w:r>
      <w:r w:rsidRPr="00CE172C">
        <w:rPr>
          <w:b/>
          <w:color w:val="FF0000"/>
          <w:u w:val="single"/>
        </w:rPr>
        <w:t>, afirma Edward Kane,</w:t>
      </w:r>
      <w:r>
        <w:rPr>
          <w:b/>
          <w:color w:val="FF0000"/>
          <w:u w:val="single"/>
        </w:rPr>
        <w:t xml:space="preserve"> economista de Boston College. “</w:t>
      </w:r>
      <w:r w:rsidRPr="00CE172C">
        <w:rPr>
          <w:b/>
          <w:color w:val="FF0000"/>
          <w:u w:val="single"/>
        </w:rPr>
        <w:t xml:space="preserve">Estas crisis tienden a prolongarse mientras haya una posibilidad de trasladar las pérdidas a </w:t>
      </w:r>
      <w:r>
        <w:rPr>
          <w:b/>
          <w:color w:val="FF0000"/>
          <w:u w:val="single"/>
        </w:rPr>
        <w:t>los contribuyentes”</w:t>
      </w:r>
      <w:r w:rsidRPr="00CE172C">
        <w:rPr>
          <w:b/>
          <w:color w:val="FF0000"/>
          <w:u w:val="single"/>
        </w:rPr>
        <w:t>.</w:t>
      </w:r>
    </w:p>
    <w:p w:rsidR="002F3510" w:rsidRDefault="002F3510" w:rsidP="00550638">
      <w:pPr>
        <w:pStyle w:val="NormalWeb"/>
        <w:jc w:val="both"/>
      </w:pPr>
      <w:r w:rsidRPr="00CE172C">
        <w:rPr>
          <w:b/>
          <w:color w:val="FF0000"/>
          <w:u w:val="single"/>
        </w:rPr>
        <w:t>Entonces primero está la negación, luego los retrasos y por último, el disimulo. Esto tiene costos.</w:t>
      </w:r>
      <w:r>
        <w:t xml:space="preserve"> Los préstamos bancarios son uno. “Los bancos no están ansiosos de otorgar crédito, porque no saben cuánto capital tienen, y les resulta difícil levantar dinero, porque los inversionistas no están seguros de su condición financiera”, sostiene John Makin, del American Enterprise Institute.</w:t>
      </w:r>
    </w:p>
    <w:p w:rsidR="002F3510" w:rsidRDefault="002F3510" w:rsidP="00550638">
      <w:pPr>
        <w:pStyle w:val="NormalWeb"/>
        <w:jc w:val="both"/>
        <w:rPr>
          <w:b/>
          <w:color w:val="FF0000"/>
          <w:u w:val="single"/>
        </w:rPr>
      </w:pPr>
      <w:r w:rsidRPr="00CE172C">
        <w:rPr>
          <w:b/>
          <w:color w:val="FF0000"/>
          <w:u w:val="single"/>
        </w:rPr>
        <w:t>Los contribuyentes van a pagar algunos platos rotos. ¿Cuántos? Hasta que no se decida eso, la crisis continuará.</w:t>
      </w:r>
    </w:p>
    <w:p w:rsidR="00E2240D" w:rsidRDefault="003118A0" w:rsidP="00550638">
      <w:pPr>
        <w:pStyle w:val="NormalWeb"/>
        <w:jc w:val="both"/>
        <w:rPr>
          <w:u w:val="single"/>
        </w:rPr>
      </w:pPr>
      <w:r>
        <w:rPr>
          <w:u w:val="single"/>
        </w:rPr>
        <w:t>El gasto social</w:t>
      </w:r>
      <w:r w:rsidR="00BD3CC1">
        <w:rPr>
          <w:u w:val="single"/>
        </w:rPr>
        <w:t xml:space="preserve"> europeo (la imposibilidad europea de</w:t>
      </w:r>
      <w:r>
        <w:rPr>
          <w:u w:val="single"/>
        </w:rPr>
        <w:t xml:space="preserve"> sobrevivir en una tierra “plana”)</w:t>
      </w:r>
    </w:p>
    <w:p w:rsidR="002F3510" w:rsidRPr="00E2240D" w:rsidRDefault="002F3510" w:rsidP="00550638">
      <w:pPr>
        <w:pStyle w:val="NormalWeb"/>
        <w:jc w:val="both"/>
        <w:rPr>
          <w:u w:val="single"/>
        </w:rPr>
      </w:pPr>
      <w:r>
        <w:rPr>
          <w:noProof/>
        </w:rPr>
        <w:drawing>
          <wp:anchor distT="0" distB="0" distL="0" distR="0" simplePos="0" relativeHeight="251665408" behindDoc="0" locked="0" layoutInCell="1" allowOverlap="0" wp14:anchorId="213735CD" wp14:editId="5E17C659">
            <wp:simplePos x="0" y="0"/>
            <wp:positionH relativeFrom="column">
              <wp:posOffset>967740</wp:posOffset>
            </wp:positionH>
            <wp:positionV relativeFrom="line">
              <wp:posOffset>185420</wp:posOffset>
            </wp:positionV>
            <wp:extent cx="2856865" cy="3949700"/>
            <wp:effectExtent l="0" t="0" r="635" b="0"/>
            <wp:wrapSquare wrapText="bothSides"/>
            <wp:docPr id="509" name="Imagen 509" descr="2011022483grafico_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11022483grafico_in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6865" cy="3949700"/>
                    </a:xfrm>
                    <a:prstGeom prst="rect">
                      <a:avLst/>
                    </a:prstGeom>
                    <a:noFill/>
                    <a:ln>
                      <a:noFill/>
                    </a:ln>
                  </pic:spPr>
                </pic:pic>
              </a:graphicData>
            </a:graphic>
            <wp14:sizeRelH relativeFrom="page">
              <wp14:pctWidth>0</wp14:pctWidth>
            </wp14:sizeRelH>
            <wp14:sizeRelV relativeFrom="page">
              <wp14:pctHeight>0</wp14:pctHeight>
            </wp14:sizeRelV>
          </wp:anchor>
        </w:drawing>
      </w:r>
      <w:r>
        <w:rPr>
          <w:b/>
        </w:rPr>
        <w:tab/>
      </w:r>
      <w:r>
        <w:rPr>
          <w:b/>
        </w:rPr>
        <w:tab/>
      </w:r>
    </w:p>
    <w:p w:rsidR="002F3510" w:rsidRPr="00E04057" w:rsidRDefault="002F3510" w:rsidP="00550638">
      <w:pPr>
        <w:pStyle w:val="NormalWeb"/>
        <w:jc w:val="both"/>
        <w:rPr>
          <w:b/>
        </w:rPr>
      </w:pPr>
    </w:p>
    <w:p w:rsidR="002F3510" w:rsidRDefault="002F3510" w:rsidP="00550638">
      <w:pPr>
        <w:spacing w:line="240" w:lineRule="auto"/>
        <w:rPr>
          <w:rFonts w:ascii="Times New Roman" w:hAnsi="Times New Roman" w:cs="Times New Roman"/>
          <w:sz w:val="24"/>
          <w:szCs w:val="24"/>
        </w:rPr>
      </w:pPr>
    </w:p>
    <w:p w:rsidR="002F3510" w:rsidRDefault="002F3510" w:rsidP="00550638">
      <w:pPr>
        <w:spacing w:line="240" w:lineRule="auto"/>
        <w:rPr>
          <w:rFonts w:ascii="Times New Roman" w:hAnsi="Times New Roman" w:cs="Times New Roman"/>
          <w:sz w:val="24"/>
          <w:szCs w:val="24"/>
        </w:rPr>
      </w:pPr>
    </w:p>
    <w:p w:rsidR="002F3510" w:rsidRDefault="002F3510" w:rsidP="00550638">
      <w:pPr>
        <w:spacing w:line="240" w:lineRule="auto"/>
        <w:rPr>
          <w:rFonts w:ascii="Times New Roman" w:hAnsi="Times New Roman" w:cs="Times New Roman"/>
          <w:sz w:val="24"/>
          <w:szCs w:val="24"/>
        </w:rPr>
      </w:pPr>
    </w:p>
    <w:p w:rsidR="002F3510" w:rsidRDefault="002F3510" w:rsidP="00550638">
      <w:pPr>
        <w:spacing w:line="240" w:lineRule="auto"/>
        <w:rPr>
          <w:rFonts w:ascii="Times New Roman" w:hAnsi="Times New Roman" w:cs="Times New Roman"/>
          <w:sz w:val="24"/>
          <w:szCs w:val="24"/>
        </w:rPr>
      </w:pPr>
    </w:p>
    <w:p w:rsidR="002F3510" w:rsidRDefault="002F3510" w:rsidP="00550638">
      <w:pPr>
        <w:spacing w:line="240" w:lineRule="auto"/>
        <w:rPr>
          <w:rFonts w:ascii="Times New Roman" w:hAnsi="Times New Roman" w:cs="Times New Roman"/>
          <w:sz w:val="24"/>
          <w:szCs w:val="24"/>
        </w:rPr>
      </w:pPr>
    </w:p>
    <w:p w:rsidR="002F3510" w:rsidRDefault="002F3510" w:rsidP="00550638">
      <w:pPr>
        <w:spacing w:line="240" w:lineRule="auto"/>
        <w:rPr>
          <w:rFonts w:ascii="Times New Roman" w:hAnsi="Times New Roman" w:cs="Times New Roman"/>
          <w:sz w:val="24"/>
          <w:szCs w:val="24"/>
        </w:rPr>
      </w:pPr>
    </w:p>
    <w:p w:rsidR="002F3510" w:rsidRDefault="002F3510" w:rsidP="00550638">
      <w:pPr>
        <w:spacing w:line="240" w:lineRule="auto"/>
        <w:rPr>
          <w:rFonts w:ascii="Times New Roman" w:hAnsi="Times New Roman" w:cs="Times New Roman"/>
          <w:sz w:val="24"/>
          <w:szCs w:val="24"/>
        </w:rPr>
      </w:pPr>
    </w:p>
    <w:p w:rsidR="002F3510" w:rsidRDefault="002F3510" w:rsidP="00550638">
      <w:pPr>
        <w:spacing w:line="240" w:lineRule="auto"/>
        <w:rPr>
          <w:rFonts w:ascii="Times New Roman" w:hAnsi="Times New Roman" w:cs="Times New Roman"/>
          <w:sz w:val="24"/>
          <w:szCs w:val="24"/>
        </w:rPr>
      </w:pPr>
    </w:p>
    <w:p w:rsidR="002F3510" w:rsidRDefault="002F3510" w:rsidP="00550638">
      <w:pPr>
        <w:spacing w:line="240" w:lineRule="auto"/>
        <w:rPr>
          <w:rFonts w:ascii="Times New Roman" w:hAnsi="Times New Roman" w:cs="Times New Roman"/>
          <w:sz w:val="24"/>
          <w:szCs w:val="24"/>
        </w:rPr>
      </w:pPr>
    </w:p>
    <w:p w:rsidR="002F3510" w:rsidRDefault="002F3510" w:rsidP="00550638">
      <w:pPr>
        <w:spacing w:line="240" w:lineRule="auto"/>
        <w:rPr>
          <w:rFonts w:ascii="Times New Roman" w:hAnsi="Times New Roman" w:cs="Times New Roman"/>
          <w:sz w:val="24"/>
          <w:szCs w:val="24"/>
        </w:rPr>
      </w:pPr>
    </w:p>
    <w:p w:rsidR="00E2240D" w:rsidRDefault="00E2240D" w:rsidP="00550638">
      <w:pPr>
        <w:pStyle w:val="NormalWeb"/>
        <w:jc w:val="both"/>
        <w:rPr>
          <w:rFonts w:eastAsiaTheme="minorHAnsi"/>
          <w:lang w:eastAsia="en-US"/>
        </w:rPr>
      </w:pPr>
    </w:p>
    <w:p w:rsidR="00550638" w:rsidRDefault="00550638" w:rsidP="00550638">
      <w:pPr>
        <w:pStyle w:val="NormalWeb"/>
        <w:jc w:val="both"/>
      </w:pPr>
    </w:p>
    <w:p w:rsidR="00550638" w:rsidRDefault="00E2240D" w:rsidP="00550638">
      <w:pPr>
        <w:pStyle w:val="NormalWeb"/>
        <w:jc w:val="both"/>
      </w:pPr>
      <w:r>
        <w:t>(</w:t>
      </w:r>
      <w:r w:rsidR="00550638">
        <w:t xml:space="preserve">Fuente; </w:t>
      </w:r>
      <w:r w:rsidR="003118A0">
        <w:t xml:space="preserve">El Confidencial - </w:t>
      </w:r>
      <w:r w:rsidR="003118A0" w:rsidRPr="008539F9">
        <w:rPr>
          <w:b/>
        </w:rPr>
        <w:t>25/2/11</w:t>
      </w:r>
      <w:r w:rsidR="003118A0">
        <w:t>)</w:t>
      </w:r>
    </w:p>
    <w:p w:rsidR="00E2240D" w:rsidRPr="00E2240D" w:rsidRDefault="00E2240D" w:rsidP="00550638">
      <w:pPr>
        <w:pStyle w:val="NormalWeb"/>
        <w:jc w:val="both"/>
        <w:rPr>
          <w:u w:val="single"/>
        </w:rPr>
      </w:pPr>
      <w:r w:rsidRPr="00E2240D">
        <w:rPr>
          <w:u w:val="single"/>
        </w:rPr>
        <w:t>¿Más Europa?</w:t>
      </w:r>
    </w:p>
    <w:p w:rsidR="002F3510" w:rsidRPr="002773E6" w:rsidRDefault="002F3510" w:rsidP="00550638">
      <w:pPr>
        <w:pStyle w:val="NormalWeb"/>
        <w:jc w:val="both"/>
      </w:pPr>
      <w:r>
        <w:rPr>
          <w:i/>
        </w:rPr>
        <w:t>“</w:t>
      </w:r>
      <w:r w:rsidRPr="002F3510">
        <w:rPr>
          <w:i/>
        </w:rPr>
        <w:t>Los líderes europeos piden una mayor unión para salir de la crisis pero la opinión pública desconfía cada vez más de las instituciones comunes</w:t>
      </w:r>
      <w:r>
        <w:rPr>
          <w:i/>
        </w:rPr>
        <w:t xml:space="preserve">”… </w:t>
      </w:r>
      <w:r w:rsidRPr="007E648F">
        <w:rPr>
          <w:u w:val="single"/>
        </w:rPr>
        <w:t>¿Una Europa euroescéptica?</w:t>
      </w:r>
      <w:r>
        <w:t xml:space="preserve"> (El País - </w:t>
      </w:r>
      <w:r w:rsidRPr="007E648F">
        <w:rPr>
          <w:b/>
        </w:rPr>
        <w:t>25/11/11</w:t>
      </w:r>
      <w:r>
        <w:t>)</w:t>
      </w:r>
    </w:p>
    <w:p w:rsidR="002F3510" w:rsidRPr="00CC5EA4" w:rsidRDefault="002F3510" w:rsidP="00550638">
      <w:pPr>
        <w:spacing w:line="240" w:lineRule="auto"/>
        <w:jc w:val="both"/>
        <w:rPr>
          <w:rFonts w:ascii="Times New Roman" w:hAnsi="Times New Roman"/>
          <w:sz w:val="24"/>
          <w:szCs w:val="24"/>
        </w:rPr>
      </w:pPr>
      <w:r w:rsidRPr="00CC5EA4">
        <w:rPr>
          <w:rFonts w:ascii="Times New Roman" w:hAnsi="Times New Roman"/>
          <w:sz w:val="24"/>
          <w:szCs w:val="24"/>
        </w:rPr>
        <w:lastRenderedPageBreak/>
        <w:t>¿Más Europa? Esa parece ser una de las soluciones propuestas a la crisis económica y política que asola al continente. La forma concreta que esa “mayor” Europa tome no está nada clara (creación de un tesoro europeo, establecimiento de impuestos europeos, fortalecimiento de los mecanismos de control fiscal por parte de las instancias supranacionales,…), pero todas ellas parecen pasar por una nueva ronda de transferencias de soberanía hacia las instituciones supranacionales en el ámbito de la política económica.</w:t>
      </w:r>
    </w:p>
    <w:p w:rsidR="002F3510" w:rsidRPr="00CC5EA4" w:rsidRDefault="002F3510" w:rsidP="00550638">
      <w:pPr>
        <w:spacing w:line="240" w:lineRule="auto"/>
        <w:jc w:val="both"/>
        <w:rPr>
          <w:rFonts w:ascii="Times New Roman" w:hAnsi="Times New Roman"/>
          <w:sz w:val="24"/>
          <w:szCs w:val="24"/>
        </w:rPr>
      </w:pPr>
      <w:r w:rsidRPr="00CC5EA4">
        <w:rPr>
          <w:rFonts w:ascii="Times New Roman" w:hAnsi="Times New Roman"/>
          <w:sz w:val="24"/>
          <w:szCs w:val="24"/>
        </w:rPr>
        <w:t>Nada hace pensar que los líderes europeos encuentren en la opinión pública europea un aliado en este p</w:t>
      </w:r>
      <w:r w:rsidR="003118A0" w:rsidRPr="00CC5EA4">
        <w:rPr>
          <w:rFonts w:ascii="Times New Roman" w:hAnsi="Times New Roman"/>
          <w:sz w:val="24"/>
          <w:szCs w:val="24"/>
        </w:rPr>
        <w:t xml:space="preserve">roceso. Según el </w:t>
      </w:r>
      <w:r w:rsidRPr="00CC5EA4">
        <w:rPr>
          <w:rFonts w:ascii="Times New Roman" w:hAnsi="Times New Roman"/>
          <w:sz w:val="24"/>
          <w:szCs w:val="24"/>
        </w:rPr>
        <w:t>Eurobarómetro</w:t>
      </w:r>
      <w:r w:rsidR="003118A0" w:rsidRPr="00CC5EA4">
        <w:rPr>
          <w:rFonts w:ascii="Times New Roman" w:hAnsi="Times New Roman"/>
          <w:sz w:val="24"/>
          <w:szCs w:val="24"/>
        </w:rPr>
        <w:t xml:space="preserve"> (de inicios del año 2011)</w:t>
      </w:r>
      <w:r w:rsidRPr="00CC5EA4">
        <w:rPr>
          <w:rFonts w:ascii="Times New Roman" w:hAnsi="Times New Roman"/>
          <w:sz w:val="24"/>
          <w:szCs w:val="24"/>
        </w:rPr>
        <w:t>, menos de la mitad de los europeos (un 47%) creen que la pertenencia de su país a la UE ha sido algo positivo (frente al 18% que piensa que ha sido algo malo y al 31% que considera que no ha sido ni bueno ni malo), y solo el 41% confía en la Unión Europea (frente a un 47% que desconfía). Si preguntamos a los europeos sobre algunas de las reformas propuestas, como un mayor papel de las instituciones supranacionales en la definición de la política fiscal, los resultados son incluso menos esperanzadores.</w:t>
      </w:r>
    </w:p>
    <w:p w:rsidR="002F3510" w:rsidRPr="00CC5EA4" w:rsidRDefault="002F3510" w:rsidP="00550638">
      <w:pPr>
        <w:spacing w:line="240" w:lineRule="auto"/>
        <w:jc w:val="both"/>
        <w:rPr>
          <w:rFonts w:ascii="Times New Roman" w:hAnsi="Times New Roman"/>
          <w:sz w:val="24"/>
          <w:szCs w:val="24"/>
        </w:rPr>
      </w:pPr>
      <w:r w:rsidRPr="00CC5EA4">
        <w:rPr>
          <w:rFonts w:ascii="Times New Roman" w:hAnsi="Times New Roman"/>
          <w:sz w:val="24"/>
          <w:szCs w:val="24"/>
        </w:rPr>
        <w:t>En cierto sentido, que el euroescepticismo esté en auge no debería sorprendernos. Una de las regularidades empíricas más estables encontradas por los estudiosos de la opinión pública europea es que el apoyo al proceso de integración está muy correlacionado con el ciclo económico: los europeos apoyamos la integración en los años de bonanza económica y nos hacemos euroescépticos en las crisis. Si observamos la evolución de la desconfianza hacia la Unión Europea por países, se aprecia que son los países que están atravesando mayores dificultades económicas aquellos donde el ascenso del euroescepticismo es más acusado.</w:t>
      </w:r>
    </w:p>
    <w:p w:rsidR="002F3510" w:rsidRPr="00CC5EA4" w:rsidRDefault="002F3510" w:rsidP="00550638">
      <w:pPr>
        <w:spacing w:line="240" w:lineRule="auto"/>
        <w:jc w:val="both"/>
        <w:rPr>
          <w:rFonts w:ascii="Times New Roman" w:hAnsi="Times New Roman"/>
          <w:sz w:val="24"/>
          <w:szCs w:val="24"/>
        </w:rPr>
      </w:pPr>
      <w:r w:rsidRPr="00CC5EA4">
        <w:rPr>
          <w:rFonts w:ascii="Times New Roman" w:hAnsi="Times New Roman"/>
          <w:sz w:val="24"/>
          <w:szCs w:val="24"/>
        </w:rPr>
        <w:t>Mientras que en los países escandinavos (con poblaciones tradicionalmente muy euroescépticas) la desconfianza de sus poblaciones hacia Europa de hecho se ha reducido ligeramente en la última década, en los países del centro del continente y, sobre todo, en la periferia más afectada por la crisis (los famosos PIIGS), se puede detectar un claro aumento de la desconfianza hacia la UE en los últimos cinco años. Por el papel central que, según algunos, la opinión pública alemana ha jugado en la capacidad de los líderes europeos de adoptar determinadas decisiones, es particularmente preocupante el aumento de la desconfianza hacia la UE en este país que, a pesar de no haber sufrido apenas la crisis económica, ha visto cómo su nivel de desconfiados hacia Europa ha aumentado en solo cuatro años en veinte puntos, hasta colocarse en un 55%.</w:t>
      </w:r>
    </w:p>
    <w:p w:rsidR="002F3510" w:rsidRPr="00CC5EA4" w:rsidRDefault="002F3510" w:rsidP="00550638">
      <w:pPr>
        <w:spacing w:line="240" w:lineRule="auto"/>
        <w:jc w:val="both"/>
        <w:rPr>
          <w:rFonts w:ascii="Times New Roman" w:hAnsi="Times New Roman"/>
          <w:sz w:val="24"/>
          <w:szCs w:val="24"/>
        </w:rPr>
      </w:pPr>
      <w:r w:rsidRPr="00CC5EA4">
        <w:rPr>
          <w:rFonts w:ascii="Times New Roman" w:hAnsi="Times New Roman"/>
          <w:sz w:val="24"/>
          <w:szCs w:val="24"/>
        </w:rPr>
        <w:t>Menos de la mitad de la población europea cree que la UE ha sido positiva</w:t>
      </w:r>
    </w:p>
    <w:p w:rsidR="002F3510" w:rsidRPr="00CC5EA4" w:rsidRDefault="002F3510" w:rsidP="00550638">
      <w:pPr>
        <w:spacing w:line="240" w:lineRule="auto"/>
        <w:jc w:val="both"/>
        <w:rPr>
          <w:rFonts w:ascii="Times New Roman" w:hAnsi="Times New Roman"/>
          <w:sz w:val="24"/>
          <w:szCs w:val="24"/>
        </w:rPr>
      </w:pPr>
      <w:r w:rsidRPr="00CC5EA4">
        <w:rPr>
          <w:rFonts w:ascii="Times New Roman" w:hAnsi="Times New Roman"/>
          <w:sz w:val="24"/>
          <w:szCs w:val="24"/>
        </w:rPr>
        <w:t xml:space="preserve">¿Qué papel ha jugado la existencia de la moneda única en este proceso de auge del euroescepticismo? Resulta complicado establecer nítidas relaciones de causalidad con estos datos, pero es llamativo que dos de los tres países que decidieron quedarse fuera de la unión monetaria tienen hoy índices de confianza en la UE mejores que hace una década, mientras que, con la excepción de Finlandia, todos los miembros de la eurozona han visto cómo el euroescepticismo crecía en sus poblaciones. El caso de Grecia es el más dramático de todos: mientras que en el 2001 tres cuartos de la población confiaban en la UE y un cuarto desconfiaba, en 2011 la relación se ha invertido: hoy sólo un tercio de la población confía en la UE, y dos tercios </w:t>
      </w:r>
      <w:r w:rsidR="00CC5EA4" w:rsidRPr="00CC5EA4">
        <w:rPr>
          <w:rFonts w:ascii="Times New Roman" w:hAnsi="Times New Roman"/>
          <w:sz w:val="24"/>
          <w:szCs w:val="24"/>
        </w:rPr>
        <w:t>desconfían</w:t>
      </w:r>
      <w:r w:rsidRPr="00CC5EA4">
        <w:rPr>
          <w:rFonts w:ascii="Times New Roman" w:hAnsi="Times New Roman"/>
          <w:sz w:val="24"/>
          <w:szCs w:val="24"/>
        </w:rPr>
        <w:t>.</w:t>
      </w:r>
    </w:p>
    <w:p w:rsidR="002F3510" w:rsidRPr="00CC5EA4" w:rsidRDefault="002F3510" w:rsidP="00550638">
      <w:pPr>
        <w:spacing w:line="240" w:lineRule="auto"/>
        <w:jc w:val="both"/>
        <w:rPr>
          <w:rFonts w:ascii="Times New Roman" w:hAnsi="Times New Roman"/>
          <w:sz w:val="24"/>
          <w:szCs w:val="24"/>
        </w:rPr>
      </w:pPr>
      <w:r w:rsidRPr="00CC5EA4">
        <w:rPr>
          <w:rFonts w:ascii="Times New Roman" w:hAnsi="Times New Roman"/>
          <w:sz w:val="24"/>
          <w:szCs w:val="24"/>
        </w:rPr>
        <w:t xml:space="preserve">¿Han cambiado las características de los individuos europeístas y euroescépticos a lo largo de esta década? Un análisis en detalle de los determinantes de la desconfianza a </w:t>
      </w:r>
      <w:r w:rsidRPr="00CC5EA4">
        <w:rPr>
          <w:rFonts w:ascii="Times New Roman" w:hAnsi="Times New Roman"/>
          <w:sz w:val="24"/>
          <w:szCs w:val="24"/>
        </w:rPr>
        <w:lastRenderedPageBreak/>
        <w:t>nivel individual revela que si bien muchas características de los individuos (edad, clase social) siguen estando asociadas de la misma forma que hace diez años con diferentes opiniones sobre la UE, el efecto de la ideología del individuo ha cambiado de dirección: en 2001 los europeos de izquierdas tendían, en media, a desconfiar menos de la UE que los de derechas. Hoy sucede lo contrario: ideológicamente, son los europeos de izquierdas los que más desconfían de la UE.</w:t>
      </w:r>
    </w:p>
    <w:p w:rsidR="002F3510" w:rsidRDefault="003118A0"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002F3510">
        <w:rPr>
          <w:noProof/>
          <w:lang w:eastAsia="es-ES"/>
        </w:rPr>
        <w:drawing>
          <wp:inline distT="0" distB="0" distL="0" distR="0" wp14:anchorId="51212C1B" wp14:editId="00A5F79B">
            <wp:extent cx="2859938" cy="4710988"/>
            <wp:effectExtent l="0" t="0" r="0" b="0"/>
            <wp:docPr id="508" name="Imagen 508" descr="1322245839_324287_1322250637_noticia_norm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1322245839_324287_1322250637_noticia_normal"/>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60040" cy="4711155"/>
                    </a:xfrm>
                    <a:prstGeom prst="rect">
                      <a:avLst/>
                    </a:prstGeom>
                    <a:noFill/>
                    <a:ln>
                      <a:noFill/>
                    </a:ln>
                  </pic:spPr>
                </pic:pic>
              </a:graphicData>
            </a:graphic>
          </wp:inline>
        </w:drawing>
      </w:r>
    </w:p>
    <w:p w:rsidR="002F3510" w:rsidRPr="002773E6" w:rsidRDefault="002F3510" w:rsidP="00550638">
      <w:pPr>
        <w:spacing w:line="240" w:lineRule="auto"/>
        <w:jc w:val="both"/>
        <w:rPr>
          <w:rFonts w:ascii="Times New Roman" w:hAnsi="Times New Roman"/>
          <w:sz w:val="24"/>
          <w:szCs w:val="24"/>
        </w:rPr>
      </w:pPr>
      <w:r w:rsidRPr="002773E6">
        <w:rPr>
          <w:rFonts w:ascii="Times New Roman" w:hAnsi="Times New Roman"/>
          <w:sz w:val="24"/>
          <w:szCs w:val="24"/>
        </w:rPr>
        <w:t>Si, como apuntan estos datos, la crisis económica y su gestión ha deteriorado el apoyo a la UE en los países más duramente afectados por la crisis y entre los sectores más progresistas de la población, ¿existen formas de recobrar la confianza de los europeos en la UE y de dotar de una legitimidad democrática a los intensificación del proceso de integración de la que ahora carece?</w:t>
      </w:r>
    </w:p>
    <w:p w:rsidR="002F3510" w:rsidRDefault="002F3510" w:rsidP="00550638">
      <w:pPr>
        <w:spacing w:line="240" w:lineRule="auto"/>
        <w:jc w:val="both"/>
        <w:rPr>
          <w:rFonts w:ascii="Times New Roman" w:hAnsi="Times New Roman"/>
          <w:sz w:val="24"/>
          <w:szCs w:val="24"/>
        </w:rPr>
      </w:pPr>
      <w:r>
        <w:rPr>
          <w:rFonts w:ascii="Times New Roman" w:hAnsi="Times New Roman"/>
          <w:sz w:val="24"/>
          <w:szCs w:val="24"/>
        </w:rPr>
        <w:t xml:space="preserve">Es cierto </w:t>
      </w:r>
      <w:r w:rsidR="00BD3CC1">
        <w:rPr>
          <w:rFonts w:ascii="Times New Roman" w:hAnsi="Times New Roman"/>
          <w:sz w:val="24"/>
          <w:szCs w:val="24"/>
        </w:rPr>
        <w:t>que</w:t>
      </w:r>
      <w:r w:rsidRPr="002773E6">
        <w:rPr>
          <w:rFonts w:ascii="Times New Roman" w:hAnsi="Times New Roman"/>
          <w:sz w:val="24"/>
          <w:szCs w:val="24"/>
        </w:rPr>
        <w:t xml:space="preserve">, dada la heterogeneidad de intereses que conviven en la UE, la capacidad de adoptar políticas que agraden a amplios sectores de europeos y que hagan por tanto recobrar la confianza de éstos en las instituciones supranacionales es limitada. Sin embargo, los propios datos de Eurobarómetro muestran que sí existen políticas demandadas de manera casi unánime por los europeos: la abrumadora mayoría de los europeos creen que la Unión Europea debería endurecer las políticas contra los paraísos fiscales (89%), regular los salarios en el sector financiero (82%), o establecer un impuesto a los beneficios de los bancos (84%) o a las transacciones financieras (el 72%). La UE puede aprovechar el amplio consenso ciudadano sobre estas cuestiones como una oportunidad para ganar la confianza ciudadana que ha perdido durante la </w:t>
      </w:r>
      <w:r w:rsidRPr="002773E6">
        <w:rPr>
          <w:rFonts w:ascii="Times New Roman" w:hAnsi="Times New Roman"/>
          <w:sz w:val="24"/>
          <w:szCs w:val="24"/>
        </w:rPr>
        <w:lastRenderedPageBreak/>
        <w:t>crisis. O puede elegir ignorar estas demandas y agrandar los problemas de desconfianza ciudadana a medida que estas cuestiones sean cada vez más centrales en la agenda política de los europeos. Hagan ustedes sus apuestas.</w:t>
      </w:r>
    </w:p>
    <w:p w:rsidR="00C72E46" w:rsidRPr="00CC5EA4" w:rsidRDefault="00D80328" w:rsidP="00550638">
      <w:pPr>
        <w:spacing w:line="240" w:lineRule="auto"/>
        <w:jc w:val="both"/>
        <w:rPr>
          <w:rFonts w:ascii="Times New Roman" w:hAnsi="Times New Roman"/>
          <w:sz w:val="24"/>
          <w:szCs w:val="24"/>
          <w:u w:val="single"/>
        </w:rPr>
      </w:pPr>
      <w:r>
        <w:rPr>
          <w:rFonts w:ascii="Times New Roman" w:hAnsi="Times New Roman"/>
          <w:sz w:val="24"/>
          <w:szCs w:val="24"/>
          <w:u w:val="single"/>
        </w:rPr>
        <w:t>Si se sustituye</w:t>
      </w:r>
      <w:r w:rsidRPr="00CC5EA4">
        <w:rPr>
          <w:rFonts w:ascii="Times New Roman" w:hAnsi="Times New Roman"/>
          <w:sz w:val="24"/>
          <w:szCs w:val="24"/>
          <w:u w:val="single"/>
        </w:rPr>
        <w:t xml:space="preserve"> la economía real por la financiera</w:t>
      </w:r>
      <w:r>
        <w:rPr>
          <w:rFonts w:ascii="Times New Roman" w:hAnsi="Times New Roman"/>
          <w:sz w:val="24"/>
          <w:szCs w:val="24"/>
          <w:u w:val="single"/>
        </w:rPr>
        <w:t xml:space="preserve"> ¿p</w:t>
      </w:r>
      <w:r w:rsidR="00C72E46" w:rsidRPr="00CC5EA4">
        <w:rPr>
          <w:rFonts w:ascii="Times New Roman" w:hAnsi="Times New Roman"/>
          <w:sz w:val="24"/>
          <w:szCs w:val="24"/>
          <w:u w:val="single"/>
        </w:rPr>
        <w:t>uede el capitalismo morir de éxito?</w:t>
      </w:r>
    </w:p>
    <w:p w:rsidR="00C72E46" w:rsidRPr="00F04996" w:rsidRDefault="00C72E46"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715BE5">
        <w:rPr>
          <w:rFonts w:ascii="Times New Roman" w:hAnsi="Times New Roman"/>
          <w:sz w:val="24"/>
          <w:szCs w:val="24"/>
          <w:u w:val="single"/>
        </w:rPr>
        <w:t>¿Es sostenible el capitalismo moderno?</w:t>
      </w:r>
      <w:r>
        <w:rPr>
          <w:rFonts w:ascii="Times New Roman" w:hAnsi="Times New Roman"/>
          <w:sz w:val="24"/>
          <w:szCs w:val="24"/>
        </w:rPr>
        <w:t xml:space="preserve"> </w:t>
      </w:r>
      <w:r w:rsidRPr="00F04996">
        <w:rPr>
          <w:rFonts w:ascii="Times New Roman" w:hAnsi="Times New Roman"/>
          <w:sz w:val="24"/>
          <w:szCs w:val="24"/>
        </w:rPr>
        <w:t xml:space="preserve">(Project Syndicate - </w:t>
      </w:r>
      <w:r w:rsidRPr="00F04996">
        <w:rPr>
          <w:rFonts w:ascii="Times New Roman" w:hAnsi="Times New Roman"/>
          <w:b/>
          <w:sz w:val="24"/>
          <w:szCs w:val="24"/>
        </w:rPr>
        <w:t>2/12/11</w:t>
      </w:r>
      <w:r w:rsidRPr="00F04996">
        <w:rPr>
          <w:rFonts w:ascii="Times New Roman" w:hAnsi="Times New Roman"/>
          <w:sz w:val="24"/>
          <w:szCs w:val="24"/>
        </w:rPr>
        <w:t>)</w:t>
      </w:r>
    </w:p>
    <w:p w:rsidR="00C72E46" w:rsidRPr="00F04996" w:rsidRDefault="00C72E46" w:rsidP="00550638">
      <w:pPr>
        <w:spacing w:line="240" w:lineRule="auto"/>
        <w:jc w:val="both"/>
        <w:rPr>
          <w:rFonts w:ascii="Times New Roman" w:hAnsi="Times New Roman"/>
          <w:sz w:val="24"/>
          <w:szCs w:val="24"/>
        </w:rPr>
      </w:pPr>
      <w:r w:rsidRPr="00F04996">
        <w:rPr>
          <w:rFonts w:ascii="Times New Roman" w:hAnsi="Times New Roman"/>
          <w:sz w:val="24"/>
          <w:szCs w:val="24"/>
        </w:rPr>
        <w:t>(Por Kenneth Rogoff)                                                                        Lectura recomendada</w:t>
      </w:r>
    </w:p>
    <w:p w:rsidR="00C72E46" w:rsidRPr="00ED5476" w:rsidRDefault="00C72E46" w:rsidP="00550638">
      <w:pPr>
        <w:spacing w:line="240" w:lineRule="auto"/>
        <w:jc w:val="both"/>
        <w:rPr>
          <w:rFonts w:ascii="Times New Roman" w:hAnsi="Times New Roman"/>
          <w:color w:val="FF0000"/>
          <w:sz w:val="24"/>
          <w:szCs w:val="24"/>
          <w:u w:val="single"/>
        </w:rPr>
      </w:pPr>
      <w:r>
        <w:rPr>
          <w:rFonts w:ascii="Times New Roman" w:hAnsi="Times New Roman"/>
          <w:sz w:val="24"/>
          <w:szCs w:val="24"/>
        </w:rPr>
        <w:t>Cambridge.-</w:t>
      </w:r>
      <w:r w:rsidRPr="00715BE5">
        <w:rPr>
          <w:rFonts w:ascii="Times New Roman" w:hAnsi="Times New Roman"/>
          <w:sz w:val="24"/>
          <w:szCs w:val="24"/>
        </w:rPr>
        <w:t xml:space="preserve"> </w:t>
      </w:r>
      <w:r w:rsidRPr="00ED5476">
        <w:rPr>
          <w:rFonts w:ascii="Times New Roman" w:hAnsi="Times New Roman"/>
          <w:color w:val="FF0000"/>
          <w:sz w:val="24"/>
          <w:szCs w:val="24"/>
          <w:u w:val="single"/>
        </w:rPr>
        <w:t xml:space="preserve">A menudo me preguntan si la reciente crisis financiera global marca el comienzo del fin de la era del capitalismo moderno. Es una pregunta curiosa porque al parecer  se presupone que existe un sustituto viable esperando tomar el relevo. La verdad de las cosas es que, al menos por ahora, las únicas alternativas serias al paradigma anglo-estadounidense dominante actual son otras formas de capitalismo. </w:t>
      </w:r>
    </w:p>
    <w:p w:rsidR="00C72E46" w:rsidRPr="00715BE5" w:rsidRDefault="00C72E46" w:rsidP="00550638">
      <w:pPr>
        <w:spacing w:line="240" w:lineRule="auto"/>
        <w:jc w:val="both"/>
        <w:rPr>
          <w:rFonts w:ascii="Times New Roman" w:hAnsi="Times New Roman"/>
          <w:sz w:val="24"/>
          <w:szCs w:val="24"/>
        </w:rPr>
      </w:pPr>
      <w:r w:rsidRPr="00ED5476">
        <w:rPr>
          <w:rFonts w:ascii="Times New Roman" w:hAnsi="Times New Roman"/>
          <w:b/>
          <w:color w:val="FF0000"/>
          <w:sz w:val="24"/>
          <w:szCs w:val="24"/>
          <w:u w:val="single"/>
        </w:rPr>
        <w:t xml:space="preserve">Pareciera que el capitalismo continental europeo, que combina generosos beneficios sociales y de salud; y un horario de trabajo razonable, aunado a periodos de vacaciones largos, una jubilación temprana; y distribuciones del ingreso relativamente equitativas, </w:t>
      </w:r>
      <w:r w:rsidR="00D80328">
        <w:rPr>
          <w:rFonts w:ascii="Times New Roman" w:hAnsi="Times New Roman"/>
          <w:b/>
          <w:color w:val="FF0000"/>
          <w:sz w:val="24"/>
          <w:szCs w:val="24"/>
          <w:u w:val="single"/>
        </w:rPr>
        <w:t>parecería ser muy recomendable -</w:t>
      </w:r>
      <w:r w:rsidRPr="00ED5476">
        <w:rPr>
          <w:rFonts w:ascii="Times New Roman" w:hAnsi="Times New Roman"/>
          <w:b/>
          <w:color w:val="FF0000"/>
          <w:sz w:val="24"/>
          <w:szCs w:val="24"/>
          <w:u w:val="single"/>
        </w:rPr>
        <w:t>pero carece de sostenibilidad</w:t>
      </w:r>
      <w:r w:rsidRPr="00715BE5">
        <w:rPr>
          <w:rFonts w:ascii="Times New Roman" w:hAnsi="Times New Roman"/>
          <w:sz w:val="24"/>
          <w:szCs w:val="24"/>
        </w:rPr>
        <w:t xml:space="preserve">. </w:t>
      </w:r>
      <w:r w:rsidRPr="00ED5476">
        <w:rPr>
          <w:rFonts w:ascii="Times New Roman" w:hAnsi="Times New Roman"/>
          <w:sz w:val="24"/>
          <w:szCs w:val="24"/>
          <w:u w:val="single"/>
        </w:rPr>
        <w:t>Se afirma generalmente que el capitalismo darwiniano chino, con empresas de exportación que operan en un ambiente de encarnizada competencia, una frágil red de seguridad social y una extensa intervención gubernamental, es el heredero inevitable del capitalismo occidental, aunque solo sea por el enorme tamaño de China y su tasa de crecimiento proporcionalmente desmesurada</w:t>
      </w:r>
      <w:r w:rsidRPr="00715BE5">
        <w:rPr>
          <w:rFonts w:ascii="Times New Roman" w:hAnsi="Times New Roman"/>
          <w:sz w:val="24"/>
          <w:szCs w:val="24"/>
        </w:rPr>
        <w:t>. Con todo, el sistema económico chino está evolucionando continuamente</w:t>
      </w:r>
      <w:r>
        <w:rPr>
          <w:rFonts w:ascii="Times New Roman" w:hAnsi="Times New Roman"/>
          <w:sz w:val="24"/>
          <w:szCs w:val="24"/>
        </w:rPr>
        <w:t xml:space="preserve">. </w:t>
      </w:r>
    </w:p>
    <w:p w:rsidR="00C72E46" w:rsidRPr="00715BE5" w:rsidRDefault="00C72E46" w:rsidP="00550638">
      <w:pPr>
        <w:spacing w:line="240" w:lineRule="auto"/>
        <w:jc w:val="both"/>
        <w:rPr>
          <w:rFonts w:ascii="Times New Roman" w:hAnsi="Times New Roman"/>
          <w:sz w:val="24"/>
          <w:szCs w:val="24"/>
        </w:rPr>
      </w:pPr>
      <w:r w:rsidRPr="00715BE5">
        <w:rPr>
          <w:rFonts w:ascii="Times New Roman" w:hAnsi="Times New Roman"/>
          <w:sz w:val="24"/>
          <w:szCs w:val="24"/>
        </w:rPr>
        <w:t>En efecto, no es claro cuánto más seguirán transformándose a sí mismas las estructuras financieras, económicas y  políticas chinas, y si ese país en  última instancia mutará en una nueva forma de capitalismo. En cualquier caso, a China todavía le aquejan las vulnerabilidades financieras, económicas y sociales comunes de un país de bajos ingresos de  rápido crecimiento.</w:t>
      </w:r>
    </w:p>
    <w:p w:rsidR="00C72E46" w:rsidRPr="00507299" w:rsidRDefault="00C72E46" w:rsidP="00550638">
      <w:pPr>
        <w:spacing w:line="240" w:lineRule="auto"/>
        <w:jc w:val="both"/>
        <w:rPr>
          <w:rFonts w:ascii="Times New Roman" w:hAnsi="Times New Roman"/>
          <w:sz w:val="24"/>
          <w:szCs w:val="24"/>
          <w:u w:val="single"/>
        </w:rPr>
      </w:pPr>
      <w:r w:rsidRPr="00ED5476">
        <w:rPr>
          <w:rFonts w:ascii="Times New Roman" w:hAnsi="Times New Roman"/>
          <w:color w:val="FF0000"/>
          <w:sz w:val="24"/>
          <w:szCs w:val="24"/>
          <w:u w:val="single"/>
        </w:rPr>
        <w:t>Tal vez, el asunto central es que en todo el panorama histórico, todas las formas actuales de capitalismo son finalmente temporales.</w:t>
      </w:r>
      <w:r w:rsidRPr="00715BE5">
        <w:rPr>
          <w:rFonts w:ascii="Times New Roman" w:hAnsi="Times New Roman"/>
          <w:sz w:val="24"/>
          <w:szCs w:val="24"/>
        </w:rPr>
        <w:t xml:space="preserve"> El capitalismo moderno ha tenido resultados extraordinarios desde el comienzo de la Revolución Industrial hace dos siglos,  que sacó de la pobreza absoluta a miles de millones de personas. En términos comparativos, el marxismo y el socialismo autoritario han tenido resultados desastrosos. Sin embargo</w:t>
      </w:r>
      <w:r w:rsidRPr="00507299">
        <w:rPr>
          <w:rFonts w:ascii="Times New Roman" w:hAnsi="Times New Roman"/>
          <w:sz w:val="24"/>
          <w:szCs w:val="24"/>
          <w:u w:val="single"/>
        </w:rPr>
        <w:t>, a medida que la industrialización y el progreso económico se extienden en Asia (y ahora en África), algún día la lucha por la subsistencia ya no será un imperativo principal, y las numerosas fallas del capitalismo contemporáneo podrían parecer más importantes.</w:t>
      </w:r>
    </w:p>
    <w:p w:rsidR="00C72E46" w:rsidRPr="00507299" w:rsidRDefault="00C72E46" w:rsidP="00550638">
      <w:pPr>
        <w:spacing w:line="240" w:lineRule="auto"/>
        <w:jc w:val="both"/>
        <w:rPr>
          <w:rFonts w:ascii="Times New Roman" w:hAnsi="Times New Roman"/>
          <w:color w:val="FF0000"/>
          <w:sz w:val="24"/>
          <w:szCs w:val="24"/>
          <w:u w:val="single"/>
        </w:rPr>
      </w:pPr>
      <w:r w:rsidRPr="00507299">
        <w:rPr>
          <w:rFonts w:ascii="Times New Roman" w:hAnsi="Times New Roman"/>
          <w:color w:val="FF0000"/>
          <w:sz w:val="24"/>
          <w:szCs w:val="24"/>
          <w:u w:val="single"/>
        </w:rPr>
        <w:t>Primero, incluso las principales economías capitalistas no han podido valorar efectivamente los bienes públicos como el aire limpio y el agua. El fracaso para lograr concluir un nuevo acuerdo global de cambio climático es sintomático de esta parálisis.</w:t>
      </w:r>
    </w:p>
    <w:p w:rsidR="00C72E46" w:rsidRPr="00715BE5" w:rsidRDefault="00C72E46" w:rsidP="00550638">
      <w:pPr>
        <w:spacing w:line="240" w:lineRule="auto"/>
        <w:jc w:val="both"/>
        <w:rPr>
          <w:rFonts w:ascii="Times New Roman" w:hAnsi="Times New Roman"/>
          <w:sz w:val="24"/>
          <w:szCs w:val="24"/>
        </w:rPr>
      </w:pPr>
      <w:r w:rsidRPr="00507299">
        <w:rPr>
          <w:rFonts w:ascii="Times New Roman" w:hAnsi="Times New Roman"/>
          <w:color w:val="FF0000"/>
          <w:sz w:val="24"/>
          <w:szCs w:val="24"/>
          <w:u w:val="single"/>
        </w:rPr>
        <w:t>Segundo, el capitalismo ha producido una gran riqueza pero, al mismo tiempo, extraordinarios niveles de desigualdad. La creciente brecha es en parte solo un efecto secundario de la innovación y el espíritu empresarial</w:t>
      </w:r>
      <w:r w:rsidRPr="00715BE5">
        <w:rPr>
          <w:rFonts w:ascii="Times New Roman" w:hAnsi="Times New Roman"/>
          <w:sz w:val="24"/>
          <w:szCs w:val="24"/>
        </w:rPr>
        <w:t xml:space="preserve">. Las personas no se quejan del éxito de Steve Jobs; sus contribuciones son obvias. Sin embargo, no siempre resulta así: </w:t>
      </w:r>
      <w:r w:rsidRPr="00507299">
        <w:rPr>
          <w:rFonts w:ascii="Times New Roman" w:hAnsi="Times New Roman"/>
          <w:b/>
          <w:color w:val="FF0000"/>
          <w:sz w:val="24"/>
          <w:szCs w:val="24"/>
          <w:u w:val="single"/>
        </w:rPr>
        <w:t>una gran riqueza permite a los grupos e individuos comprar poder político e influencia, que a su vez ayuda a generar una mayor riqueza</w:t>
      </w:r>
      <w:r w:rsidRPr="00715BE5">
        <w:rPr>
          <w:rFonts w:ascii="Times New Roman" w:hAnsi="Times New Roman"/>
          <w:sz w:val="24"/>
          <w:szCs w:val="24"/>
        </w:rPr>
        <w:t xml:space="preserve">. Solamente pocos países </w:t>
      </w:r>
      <w:r w:rsidRPr="00715BE5">
        <w:rPr>
          <w:rFonts w:ascii="Times New Roman" w:hAnsi="Times New Roman"/>
          <w:sz w:val="24"/>
          <w:szCs w:val="24"/>
        </w:rPr>
        <w:lastRenderedPageBreak/>
        <w:t>–Suecia, por ejemplo, han podido interrumpir este círculo vicio</w:t>
      </w:r>
      <w:r>
        <w:rPr>
          <w:rFonts w:ascii="Times New Roman" w:hAnsi="Times New Roman"/>
          <w:sz w:val="24"/>
          <w:szCs w:val="24"/>
        </w:rPr>
        <w:t>so sin colapsar el crecimiento.</w:t>
      </w:r>
      <w:r w:rsidRPr="00715BE5">
        <w:rPr>
          <w:rFonts w:ascii="Times New Roman" w:hAnsi="Times New Roman"/>
          <w:sz w:val="24"/>
          <w:szCs w:val="24"/>
        </w:rPr>
        <w:t xml:space="preserve"> </w:t>
      </w:r>
    </w:p>
    <w:p w:rsidR="00C72E46" w:rsidRPr="00507299" w:rsidRDefault="00C72E46" w:rsidP="00550638">
      <w:pPr>
        <w:spacing w:line="240" w:lineRule="auto"/>
        <w:jc w:val="both"/>
        <w:rPr>
          <w:rFonts w:ascii="Times New Roman" w:hAnsi="Times New Roman"/>
          <w:color w:val="FF0000"/>
          <w:sz w:val="24"/>
          <w:szCs w:val="24"/>
          <w:u w:val="single"/>
        </w:rPr>
      </w:pPr>
      <w:r w:rsidRPr="00507299">
        <w:rPr>
          <w:rFonts w:ascii="Times New Roman" w:hAnsi="Times New Roman"/>
          <w:color w:val="FF0000"/>
          <w:sz w:val="24"/>
          <w:szCs w:val="24"/>
          <w:u w:val="single"/>
        </w:rPr>
        <w:t>El tercer problema es la oferta y distribución de servicios médicos; un mercado que no logra satisfacer varios de los requisitos básicos necesarios para que el mecanismo de los precios genere eficiencia económica, empezando con la dificultad que encaran los consumidores para evaluar la calidad de su tratamiento.</w:t>
      </w:r>
    </w:p>
    <w:p w:rsidR="00C72E46" w:rsidRPr="00715BE5" w:rsidRDefault="00C72E46" w:rsidP="00550638">
      <w:pPr>
        <w:spacing w:line="240" w:lineRule="auto"/>
        <w:jc w:val="both"/>
        <w:rPr>
          <w:rFonts w:ascii="Times New Roman" w:hAnsi="Times New Roman"/>
          <w:sz w:val="24"/>
          <w:szCs w:val="24"/>
        </w:rPr>
      </w:pPr>
      <w:r w:rsidRPr="00507299">
        <w:rPr>
          <w:rFonts w:ascii="Times New Roman" w:hAnsi="Times New Roman"/>
          <w:sz w:val="24"/>
          <w:szCs w:val="24"/>
          <w:u w:val="single"/>
        </w:rPr>
        <w:t>El problema se agravará</w:t>
      </w:r>
      <w:r w:rsidRPr="00715BE5">
        <w:rPr>
          <w:rFonts w:ascii="Times New Roman" w:hAnsi="Times New Roman"/>
          <w:sz w:val="24"/>
          <w:szCs w:val="24"/>
        </w:rPr>
        <w:t xml:space="preserve">: con seguridad aumentarán </w:t>
      </w:r>
      <w:r w:rsidRPr="00507299">
        <w:rPr>
          <w:rFonts w:ascii="Times New Roman" w:hAnsi="Times New Roman"/>
          <w:sz w:val="24"/>
          <w:szCs w:val="24"/>
          <w:u w:val="single"/>
        </w:rPr>
        <w:t>los costos de los servicios de salud</w:t>
      </w:r>
      <w:r w:rsidRPr="00715BE5">
        <w:rPr>
          <w:rFonts w:ascii="Times New Roman" w:hAnsi="Times New Roman"/>
          <w:sz w:val="24"/>
          <w:szCs w:val="24"/>
        </w:rPr>
        <w:t xml:space="preserve"> como proporción del ingreso a medida que las sociedades sean más ricas y más viejas, y </w:t>
      </w:r>
      <w:r w:rsidRPr="00507299">
        <w:rPr>
          <w:rFonts w:ascii="Times New Roman" w:hAnsi="Times New Roman"/>
          <w:sz w:val="24"/>
          <w:szCs w:val="24"/>
          <w:u w:val="single"/>
        </w:rPr>
        <w:t>probablemente rebasarán el 30% del PIB dentro de unas décadas</w:t>
      </w:r>
      <w:r w:rsidRPr="00715BE5">
        <w:rPr>
          <w:rFonts w:ascii="Times New Roman" w:hAnsi="Times New Roman"/>
          <w:sz w:val="24"/>
          <w:szCs w:val="24"/>
        </w:rPr>
        <w:t>. En el mercado de los servicios de salud, quizá más que en cualquier otro, muchos países están luchando con el dilema moral de cómo mantener los incentivos para producir y consumir eficientemente sin generar disparidades inaceptablemente grandes en el acceso a esos servicios.</w:t>
      </w:r>
    </w:p>
    <w:p w:rsidR="00C72E46" w:rsidRPr="00715BE5" w:rsidRDefault="00C72E46" w:rsidP="00550638">
      <w:pPr>
        <w:spacing w:line="240" w:lineRule="auto"/>
        <w:jc w:val="both"/>
        <w:rPr>
          <w:rFonts w:ascii="Times New Roman" w:hAnsi="Times New Roman"/>
          <w:sz w:val="24"/>
          <w:szCs w:val="24"/>
        </w:rPr>
      </w:pPr>
      <w:r w:rsidRPr="00507299">
        <w:rPr>
          <w:rFonts w:ascii="Times New Roman" w:hAnsi="Times New Roman"/>
          <w:sz w:val="24"/>
          <w:szCs w:val="24"/>
          <w:u w:val="single"/>
        </w:rPr>
        <w:t>Es irónico que muchas sociedades capitalistas modernas realicen campañas públicas para instar a las personas a poner más atención a su salud, mientras se promueve un ecosistema económico que induce a muchos consumidores a una dieta extremadamente malsana</w:t>
      </w:r>
      <w:r w:rsidRPr="00715BE5">
        <w:rPr>
          <w:rFonts w:ascii="Times New Roman" w:hAnsi="Times New Roman"/>
          <w:sz w:val="24"/>
          <w:szCs w:val="24"/>
        </w:rPr>
        <w:t xml:space="preserve">. De acuerdo con los Centros para el Control y Prevención de Enfermedades de los Estados Unidos, un 34% de los estadounidenses son obesos. Es claro que la forma convencional de </w:t>
      </w:r>
      <w:r w:rsidR="00D80328">
        <w:rPr>
          <w:rFonts w:ascii="Times New Roman" w:hAnsi="Times New Roman"/>
          <w:sz w:val="24"/>
          <w:szCs w:val="24"/>
        </w:rPr>
        <w:t>medir el crecimiento económico -</w:t>
      </w:r>
      <w:r w:rsidRPr="00715BE5">
        <w:rPr>
          <w:rFonts w:ascii="Times New Roman" w:hAnsi="Times New Roman"/>
          <w:sz w:val="24"/>
          <w:szCs w:val="24"/>
        </w:rPr>
        <w:t xml:space="preserve">que implica un mayor consumo- no puede ser un fin en sí mismo. </w:t>
      </w:r>
    </w:p>
    <w:p w:rsidR="00C72E46" w:rsidRPr="00507299" w:rsidRDefault="00C72E46" w:rsidP="00550638">
      <w:pPr>
        <w:spacing w:line="240" w:lineRule="auto"/>
        <w:jc w:val="both"/>
        <w:rPr>
          <w:rFonts w:ascii="Times New Roman" w:hAnsi="Times New Roman"/>
          <w:sz w:val="24"/>
          <w:szCs w:val="24"/>
          <w:u w:val="single"/>
        </w:rPr>
      </w:pPr>
      <w:r w:rsidRPr="00507299">
        <w:rPr>
          <w:rFonts w:ascii="Times New Roman" w:hAnsi="Times New Roman"/>
          <w:color w:val="FF0000"/>
          <w:sz w:val="24"/>
          <w:szCs w:val="24"/>
          <w:u w:val="single"/>
        </w:rPr>
        <w:t>Cuarto, los sistemas capitalistas actuales subestiman considerablemente el bienestar de las generaciones futuras</w:t>
      </w:r>
      <w:r w:rsidRPr="00715BE5">
        <w:rPr>
          <w:rFonts w:ascii="Times New Roman" w:hAnsi="Times New Roman"/>
          <w:sz w:val="24"/>
          <w:szCs w:val="24"/>
        </w:rPr>
        <w:t xml:space="preserve">. Esto no ha sido importante en gran parte del periodo desde la Revolución Industrial, pues el continuo avance tecnológico ha superado las políticas miopes. </w:t>
      </w:r>
      <w:r w:rsidRPr="00507299">
        <w:rPr>
          <w:rFonts w:ascii="Times New Roman" w:hAnsi="Times New Roman"/>
          <w:sz w:val="24"/>
          <w:szCs w:val="24"/>
          <w:u w:val="single"/>
        </w:rPr>
        <w:t>En general, cada generación ha tenido mucho más éxito que la precedente. Sin embargo, como la población mundial está rebasando los siete mil millones, y los presagios de escasez de recursos se hacen cada vez más evidentes, no hay garantía de que se pueda mantener esta trayectoria.</w:t>
      </w:r>
    </w:p>
    <w:p w:rsidR="00C72E46" w:rsidRPr="00715BE5" w:rsidRDefault="00C72E46" w:rsidP="00550638">
      <w:pPr>
        <w:spacing w:line="240" w:lineRule="auto"/>
        <w:jc w:val="both"/>
        <w:rPr>
          <w:rFonts w:ascii="Times New Roman" w:hAnsi="Times New Roman"/>
          <w:sz w:val="24"/>
          <w:szCs w:val="24"/>
        </w:rPr>
      </w:pPr>
      <w:r w:rsidRPr="00507299">
        <w:rPr>
          <w:rFonts w:ascii="Times New Roman" w:hAnsi="Times New Roman"/>
          <w:color w:val="FF0000"/>
          <w:sz w:val="24"/>
          <w:szCs w:val="24"/>
          <w:u w:val="single"/>
        </w:rPr>
        <w:t>Por supuesto, las crisis financieras son el quinto problema, tal vez el que recientemente ha provocado más exámenes de conciencia. En el mundo de las finanzas, la continua innovación tecnológica no ha reducido notoriamente los riesgos, y bien podría haberlos ampliado</w:t>
      </w:r>
      <w:r w:rsidRPr="00715BE5">
        <w:rPr>
          <w:rFonts w:ascii="Times New Roman" w:hAnsi="Times New Roman"/>
          <w:sz w:val="24"/>
          <w:szCs w:val="24"/>
        </w:rPr>
        <w:t>.</w:t>
      </w:r>
    </w:p>
    <w:p w:rsidR="00C72E46" w:rsidRPr="00715BE5" w:rsidRDefault="00C72E46" w:rsidP="00550638">
      <w:pPr>
        <w:spacing w:line="240" w:lineRule="auto"/>
        <w:jc w:val="both"/>
        <w:rPr>
          <w:rFonts w:ascii="Times New Roman" w:hAnsi="Times New Roman"/>
          <w:sz w:val="24"/>
          <w:szCs w:val="24"/>
        </w:rPr>
      </w:pPr>
      <w:r w:rsidRPr="00715BE5">
        <w:rPr>
          <w:rFonts w:ascii="Times New Roman" w:hAnsi="Times New Roman"/>
          <w:sz w:val="24"/>
          <w:szCs w:val="24"/>
        </w:rPr>
        <w:t>En principio, ninguno de los problemas del capitalismo es insuperable, y los economistas han ofrecido una serie de soluciones basadas en el mercado. Un alto precio global del carbón induciría a las empresas y las personas a internalizar el costo de sus actividades contaminantes.  Se pueden diseñar sistemas fiscales que ofrezcan un mayor margen de redistribución del ingreso sin que ello conlleve necesariamente distorsiones paralizantes, mediante una minimización de los gastos fiscales no transparentes y manteniendo bajas las tasas marginales. Lograr precios efectivos de los servicios de salud, incluidos los de los tiempos de espera, podría fomentar un mejor equilibrio entre la equidad y la eficiencia. Los sistemas financieros podrían estar mejor regulados, dando una atención más rigurosa a las acumulaciones excesivas de deuda.</w:t>
      </w:r>
    </w:p>
    <w:p w:rsidR="00C72E46" w:rsidRPr="00507299" w:rsidRDefault="00C72E46" w:rsidP="00550638">
      <w:pPr>
        <w:spacing w:line="240" w:lineRule="auto"/>
        <w:jc w:val="both"/>
        <w:rPr>
          <w:rFonts w:ascii="Times New Roman" w:hAnsi="Times New Roman"/>
          <w:color w:val="FF0000"/>
          <w:sz w:val="24"/>
          <w:szCs w:val="24"/>
          <w:u w:val="single"/>
        </w:rPr>
      </w:pPr>
      <w:r w:rsidRPr="00507299">
        <w:rPr>
          <w:rFonts w:ascii="Times New Roman" w:hAnsi="Times New Roman"/>
          <w:color w:val="FF0000"/>
          <w:sz w:val="24"/>
          <w:szCs w:val="24"/>
          <w:u w:val="single"/>
        </w:rPr>
        <w:t xml:space="preserve">¿Será el capitalismo víctima de su propio éxito en la producción masiva de riqueza? Por ahora, por muy de moda que pueda estar el tema de la desaparición del capitalismo, la posibilidad parece remota. No obstante, mientras sigan creciendo la contaminación, la inestabilidad financiera, los problemas de salud y la desigualdad, y mientras los </w:t>
      </w:r>
      <w:r w:rsidRPr="00507299">
        <w:rPr>
          <w:rFonts w:ascii="Times New Roman" w:hAnsi="Times New Roman"/>
          <w:color w:val="FF0000"/>
          <w:sz w:val="24"/>
          <w:szCs w:val="24"/>
          <w:u w:val="single"/>
        </w:rPr>
        <w:lastRenderedPageBreak/>
        <w:t>sistemas políticos continúen paralizados, dentro de pocas décadas el futuro del capitalismo podría no parecer tan seguro como lo parece ahora.</w:t>
      </w:r>
    </w:p>
    <w:p w:rsidR="002F3510" w:rsidRDefault="00C72E46" w:rsidP="00550638">
      <w:pPr>
        <w:spacing w:line="240" w:lineRule="auto"/>
        <w:jc w:val="both"/>
        <w:rPr>
          <w:rFonts w:ascii="Times New Roman" w:hAnsi="Times New Roman"/>
          <w:sz w:val="24"/>
          <w:szCs w:val="24"/>
        </w:rPr>
      </w:pPr>
      <w:r>
        <w:rPr>
          <w:rFonts w:ascii="Times New Roman" w:hAnsi="Times New Roman"/>
          <w:sz w:val="24"/>
          <w:szCs w:val="24"/>
        </w:rPr>
        <w:t>(</w:t>
      </w:r>
      <w:r w:rsidRPr="00715BE5">
        <w:rPr>
          <w:rFonts w:ascii="Times New Roman" w:hAnsi="Times New Roman"/>
          <w:sz w:val="24"/>
          <w:szCs w:val="24"/>
        </w:rPr>
        <w:t>Kenneth Rogoff es profesor de Economía y Políticas Públicas de la Universidad de Harvard, fue economista en jefe del FMI. Cop</w:t>
      </w:r>
      <w:r>
        <w:rPr>
          <w:rFonts w:ascii="Times New Roman" w:hAnsi="Times New Roman"/>
          <w:sz w:val="24"/>
          <w:szCs w:val="24"/>
        </w:rPr>
        <w:t>yright: Project Syndicate, 2011)</w:t>
      </w:r>
    </w:p>
    <w:p w:rsidR="00CC5EA4" w:rsidRPr="00CC5EA4" w:rsidRDefault="00CC5EA4" w:rsidP="00550638">
      <w:pPr>
        <w:spacing w:line="240" w:lineRule="auto"/>
        <w:jc w:val="both"/>
        <w:rPr>
          <w:rFonts w:ascii="Times New Roman" w:hAnsi="Times New Roman"/>
          <w:sz w:val="24"/>
          <w:szCs w:val="24"/>
          <w:u w:val="single"/>
        </w:rPr>
      </w:pPr>
      <w:r w:rsidRPr="00CC5EA4">
        <w:rPr>
          <w:rFonts w:ascii="Times New Roman" w:hAnsi="Times New Roman"/>
          <w:sz w:val="24"/>
          <w:szCs w:val="24"/>
          <w:u w:val="single"/>
        </w:rPr>
        <w:t>El fin de la socialdemocracia</w:t>
      </w:r>
      <w:r w:rsidR="00DC1E75">
        <w:rPr>
          <w:rFonts w:ascii="Times New Roman" w:hAnsi="Times New Roman"/>
          <w:sz w:val="24"/>
          <w:szCs w:val="24"/>
          <w:u w:val="single"/>
        </w:rPr>
        <w:t>…</w:t>
      </w:r>
      <w:r w:rsidRPr="00CC5EA4">
        <w:rPr>
          <w:rFonts w:ascii="Times New Roman" w:hAnsi="Times New Roman"/>
          <w:sz w:val="24"/>
          <w:szCs w:val="24"/>
          <w:u w:val="single"/>
        </w:rPr>
        <w:t xml:space="preserve"> y lo que vendrá después</w:t>
      </w:r>
    </w:p>
    <w:p w:rsidR="00CC5EA4" w:rsidRPr="00E224A6" w:rsidRDefault="00CC5EA4" w:rsidP="00550638">
      <w:pPr>
        <w:pStyle w:val="NormalWeb"/>
        <w:jc w:val="both"/>
      </w:pPr>
      <w:r w:rsidRPr="00CC5EA4">
        <w:rPr>
          <w:i/>
        </w:rPr>
        <w:t xml:space="preserve">“El lunes y el martes hubo mucha gente en las calles, muchos de ellos fueron arrestados. Y hoy habrá mucha más gente”. El periodista griego con el que había acordado una entrevista para analizar los sucesos que está viviendo su país (sólo en esta semana, una huelga general de 48 horas que se desarrolló ayer y anteayer, con numerosos incidentes tras la aprobación del plan de </w:t>
      </w:r>
      <w:r w:rsidRPr="00CC5EA4">
        <w:rPr>
          <w:bCs/>
          <w:i/>
        </w:rPr>
        <w:t>Papandreu</w:t>
      </w:r>
      <w:r w:rsidRPr="00CC5EA4">
        <w:rPr>
          <w:i/>
        </w:rPr>
        <w:t xml:space="preserve">) me canceló la cita: lo que estaba ocurriendo en la calle era demasiado significativo como para perdérselo. Y no es mal ejemplo de lo que está comenzando a ocurrir en toda Europa: quizá pueda entenderse el asunto griego como una excepción al orden de cosas general, como una situación causada por malos gobernantes o por haber vivido por encima de sus posibilidades durante mucho tiempo, pero lo cierto es que su malestar comparte causa con muchos de los conflictos europeos. Como señala </w:t>
      </w:r>
      <w:r w:rsidRPr="00CC5EA4">
        <w:rPr>
          <w:bCs/>
          <w:i/>
        </w:rPr>
        <w:t>Pablo Antonio Moreno</w:t>
      </w:r>
      <w:r w:rsidRPr="00CC5EA4">
        <w:rPr>
          <w:i/>
        </w:rPr>
        <w:t>, profesor de economía política de la Universidad CEU San Pablo, “los estados hoy no tienen dinero, por lo que toman medidas antipopulares. Parece que no hay otra solución. Estamos todos pagando los errores, y a España le va a pasar lo mismo”</w:t>
      </w:r>
      <w:r>
        <w:rPr>
          <w:i/>
        </w:rPr>
        <w:t>…</w:t>
      </w:r>
      <w:r w:rsidRPr="00CC5EA4">
        <w:rPr>
          <w:i/>
        </w:rPr>
        <w:t xml:space="preserve"> </w:t>
      </w:r>
      <w:r w:rsidR="00E224A6" w:rsidRPr="00573B32">
        <w:rPr>
          <w:u w:val="single"/>
        </w:rPr>
        <w:t>Huelgas y represión: el futuro de la política europea</w:t>
      </w:r>
      <w:r w:rsidR="00E224A6">
        <w:t xml:space="preserve"> (El Confidencial - </w:t>
      </w:r>
      <w:r w:rsidR="00E224A6" w:rsidRPr="00573B32">
        <w:rPr>
          <w:b/>
        </w:rPr>
        <w:t>30/6/11</w:t>
      </w:r>
      <w:r w:rsidR="00E224A6">
        <w:t>)</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Por eso, las masivas manifestaciones helenas y las últimas movilizaciones británicas no son más que expresiones diferentes del mismo problema, el de los recortes que ambos gobiernos (en proporciones muy distintas) llevan tiempo aprobando. Y ese clima presupuestariamente restrictivo va a llevar a la calle a muchos ciudadanos europeos en los próximos meses. También en España, afirma Moreno: “Como el país está económicamente en la ruina y tenemos una clase política descastada y desgastada, </w:t>
      </w:r>
      <w:r w:rsidRPr="00E224A6">
        <w:rPr>
          <w:rFonts w:ascii="Times New Roman" w:eastAsia="Times New Roman" w:hAnsi="Times New Roman"/>
          <w:bCs/>
          <w:sz w:val="24"/>
          <w:szCs w:val="24"/>
          <w:lang w:eastAsia="es-ES"/>
        </w:rPr>
        <w:t>el Gobierno que entre va a tener que tomar, sin lugar a dudas, medidas muy duras para reactivar la situación política económica y social de nuestro país”</w:t>
      </w:r>
      <w:r w:rsidRPr="00E224A6">
        <w:rPr>
          <w:rFonts w:ascii="Times New Roman" w:eastAsia="Times New Roman" w:hAnsi="Times New Roman"/>
          <w:sz w:val="24"/>
          <w:szCs w:val="24"/>
          <w:lang w:eastAsia="es-ES"/>
        </w:rPr>
        <w:t xml:space="preserve">. </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En ese sentido, la huelga de funcionar</w:t>
      </w:r>
      <w:r w:rsidR="00E224A6" w:rsidRPr="00E224A6">
        <w:rPr>
          <w:rFonts w:ascii="Times New Roman" w:eastAsia="Times New Roman" w:hAnsi="Times New Roman"/>
          <w:sz w:val="24"/>
          <w:szCs w:val="24"/>
          <w:lang w:eastAsia="es-ES"/>
        </w:rPr>
        <w:t>ios británicos prevista para el 30/6/11</w:t>
      </w:r>
      <w:r w:rsidRPr="00E224A6">
        <w:rPr>
          <w:rFonts w:ascii="Times New Roman" w:eastAsia="Times New Roman" w:hAnsi="Times New Roman"/>
          <w:sz w:val="24"/>
          <w:szCs w:val="24"/>
          <w:lang w:eastAsia="es-ES"/>
        </w:rPr>
        <w:t xml:space="preserve"> es una buena muestra de algunos de los puntos futuros de conflictividad, que serán más notorios cuanto más avancen las políticas de austeridad. Uno de los aspectos materiales que más han empujado para que la huelga se convoque ha sido la reforma de las pensiones. Un tema importante, señala </w:t>
      </w:r>
      <w:r w:rsidRPr="00E224A6">
        <w:rPr>
          <w:rFonts w:ascii="Times New Roman" w:eastAsia="Times New Roman" w:hAnsi="Times New Roman"/>
          <w:bCs/>
          <w:sz w:val="24"/>
          <w:szCs w:val="24"/>
          <w:lang w:eastAsia="es-ES"/>
        </w:rPr>
        <w:t>Miguel Martínez Lucio</w:t>
      </w:r>
      <w:r w:rsidRPr="00E224A6">
        <w:rPr>
          <w:rFonts w:ascii="Times New Roman" w:eastAsia="Times New Roman" w:hAnsi="Times New Roman"/>
          <w:sz w:val="24"/>
          <w:szCs w:val="24"/>
          <w:lang w:eastAsia="es-ES"/>
        </w:rPr>
        <w:t>, profesor de Human Resources Management de la Manchester Business School, “porque supone una bajada indirecta de sueldos y porque las pensiones previstas para este colectivo son ya inferiores a las del sector privado. Pero sobre, todo porque hablamos de trabajos como los de asistente social, maestro de escuela o policía en los que el número de agresiones sufridas por los funcionarios públicos se están multiplica</w:t>
      </w:r>
      <w:r w:rsidR="00E224A6" w:rsidRPr="00E224A6">
        <w:rPr>
          <w:rFonts w:ascii="Times New Roman" w:eastAsia="Times New Roman" w:hAnsi="Times New Roman"/>
          <w:sz w:val="24"/>
          <w:szCs w:val="24"/>
          <w:lang w:eastAsia="es-ES"/>
        </w:rPr>
        <w:t>n</w:t>
      </w:r>
      <w:r w:rsidRPr="00E224A6">
        <w:rPr>
          <w:rFonts w:ascii="Times New Roman" w:eastAsia="Times New Roman" w:hAnsi="Times New Roman"/>
          <w:sz w:val="24"/>
          <w:szCs w:val="24"/>
          <w:lang w:eastAsia="es-ES"/>
        </w:rPr>
        <w:t xml:space="preserve">do. Y si no conservas una oferta económica decente, ¿cómo vas a atraer a la gente a un puesto donde la violencia es habitual? </w:t>
      </w:r>
      <w:r w:rsidRPr="00E224A6">
        <w:rPr>
          <w:rFonts w:ascii="Times New Roman" w:eastAsia="Times New Roman" w:hAnsi="Times New Roman"/>
          <w:bCs/>
          <w:sz w:val="24"/>
          <w:szCs w:val="24"/>
          <w:lang w:eastAsia="es-ES"/>
        </w:rPr>
        <w:t>Por eso hay apoyo a la huelga: la gente sabe que es duro ser hoy un profesor o un asistente social</w:t>
      </w:r>
      <w:r w:rsidR="00E224A6" w:rsidRPr="00E224A6">
        <w:rPr>
          <w:rFonts w:ascii="Times New Roman" w:eastAsia="Times New Roman" w:hAnsi="Times New Roman"/>
          <w:sz w:val="24"/>
          <w:szCs w:val="24"/>
          <w:lang w:eastAsia="es-ES"/>
        </w:rPr>
        <w:t>”.</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A pesar de no ser una huelga general, </w:t>
      </w:r>
      <w:r w:rsidR="00E224A6" w:rsidRPr="00E224A6">
        <w:rPr>
          <w:rFonts w:ascii="Times New Roman" w:eastAsia="Times New Roman" w:hAnsi="Times New Roman"/>
          <w:sz w:val="24"/>
          <w:szCs w:val="24"/>
          <w:lang w:eastAsia="es-ES"/>
        </w:rPr>
        <w:t xml:space="preserve">todo está preparado para que </w:t>
      </w:r>
      <w:r w:rsidRPr="00E224A6">
        <w:rPr>
          <w:rFonts w:ascii="Times New Roman" w:eastAsia="Times New Roman" w:hAnsi="Times New Roman"/>
          <w:sz w:val="24"/>
          <w:szCs w:val="24"/>
          <w:lang w:eastAsia="es-ES"/>
        </w:rPr>
        <w:t xml:space="preserve">sea una gran movilización. Los sindicatos convocantes son cuatro, tres de la educación, NUT (National Union of Teachers 200.000 afiliados), ATL (Association of Teachers and Lecturers, 160.000) y UCU (University and College Union, 120.000) y uno de los </w:t>
      </w:r>
      <w:r w:rsidRPr="00E224A6">
        <w:rPr>
          <w:rFonts w:ascii="Times New Roman" w:eastAsia="Times New Roman" w:hAnsi="Times New Roman"/>
          <w:sz w:val="24"/>
          <w:szCs w:val="24"/>
          <w:lang w:eastAsia="es-ES"/>
        </w:rPr>
        <w:lastRenderedPageBreak/>
        <w:t xml:space="preserve">servicios públicos, PCS (Public and Commercial Services Union, 300.000), cuyos afiliados se han manifestado masivamente a favor de la huelga, lo cual hace pensar en un seguimiento elevado. Para </w:t>
      </w:r>
      <w:r w:rsidRPr="00E224A6">
        <w:rPr>
          <w:rFonts w:ascii="Times New Roman" w:eastAsia="Times New Roman" w:hAnsi="Times New Roman"/>
          <w:bCs/>
          <w:sz w:val="24"/>
          <w:szCs w:val="24"/>
          <w:lang w:eastAsia="es-ES"/>
        </w:rPr>
        <w:t>Andrew Richards</w:t>
      </w:r>
      <w:r w:rsidRPr="00E224A6">
        <w:rPr>
          <w:rFonts w:ascii="Times New Roman" w:eastAsia="Times New Roman" w:hAnsi="Times New Roman"/>
          <w:sz w:val="24"/>
          <w:szCs w:val="24"/>
          <w:lang w:eastAsia="es-ES"/>
        </w:rPr>
        <w:t>, profesor de Ciencia Política en el Centro de Estudios Avanzados en Ciencias Sociales de la Fundación Juan March, “tras 20 años en los que los niveles de conflicto industrial han sido bastante bajos, una movilización como esta es significativa, aun cuando no llegue a los niveles mucho más elevados de una huelga general”. No obstante, el panorama apunta hacia un ambiente generalizado de confrontación. Por una parte, apunta Martínez Lucio, en septiembre</w:t>
      </w:r>
      <w:r w:rsidR="00E224A6" w:rsidRPr="00E224A6">
        <w:rPr>
          <w:rFonts w:ascii="Times New Roman" w:eastAsia="Times New Roman" w:hAnsi="Times New Roman"/>
          <w:sz w:val="24"/>
          <w:szCs w:val="24"/>
          <w:lang w:eastAsia="es-ES"/>
        </w:rPr>
        <w:t xml:space="preserve"> (2011)</w:t>
      </w:r>
      <w:r w:rsidRPr="00E224A6">
        <w:rPr>
          <w:rFonts w:ascii="Times New Roman" w:eastAsia="Times New Roman" w:hAnsi="Times New Roman"/>
          <w:sz w:val="24"/>
          <w:szCs w:val="24"/>
          <w:lang w:eastAsia="es-ES"/>
        </w:rPr>
        <w:t xml:space="preserve"> está prevista la movilización de académicos y de estudiantes universitarios, y </w:t>
      </w:r>
      <w:r w:rsidRPr="00E224A6">
        <w:rPr>
          <w:rFonts w:ascii="Times New Roman" w:eastAsia="Times New Roman" w:hAnsi="Times New Roman"/>
          <w:bCs/>
          <w:sz w:val="24"/>
          <w:szCs w:val="24"/>
          <w:lang w:eastAsia="es-ES"/>
        </w:rPr>
        <w:t xml:space="preserve">para octubre, señala Richards, los dos sindicatos más grandes del sector público, UNISON (con más de 1.375.000 afiliados) y UNITE (más de 1.000.000) están planificando huelgas. </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En todo caso, estas movilizaciones “no son más que expresiones específicas de un conflicto más general, ya que todo proviene del problema de la crisis económica y de cómo la están resolviendo a base de recortes”. Y ello no sólo supone la rearticulación de muchas posiciones sociales, sino también la reordenación o desaparición de muchos de los viejos actores, En ese contexto, </w:t>
      </w:r>
      <w:r w:rsidRPr="00E224A6">
        <w:rPr>
          <w:rFonts w:ascii="Times New Roman" w:eastAsia="Times New Roman" w:hAnsi="Times New Roman"/>
          <w:bCs/>
          <w:sz w:val="24"/>
          <w:szCs w:val="24"/>
          <w:lang w:eastAsia="es-ES"/>
        </w:rPr>
        <w:t>los partidos socialdemócratas aparecen especialmente desubicados, ya que han de aplicar políticas que no coinciden con su ideario y que son ampliamente rechazadas por muchos de sus votantes</w:t>
      </w:r>
      <w:r w:rsidRPr="00E224A6">
        <w:rPr>
          <w:rFonts w:ascii="Times New Roman" w:eastAsia="Times New Roman" w:hAnsi="Times New Roman"/>
          <w:sz w:val="24"/>
          <w:szCs w:val="24"/>
          <w:lang w:eastAsia="es-ES"/>
        </w:rPr>
        <w:t xml:space="preserve">. En el caso británico, señala Richards, “el comportamiento del partido laborista ha decepcionado notablemente a los sindicatos, ya que su líder, </w:t>
      </w:r>
      <w:r w:rsidRPr="00E224A6">
        <w:rPr>
          <w:rFonts w:ascii="Times New Roman" w:eastAsia="Times New Roman" w:hAnsi="Times New Roman"/>
          <w:bCs/>
          <w:sz w:val="24"/>
          <w:szCs w:val="24"/>
          <w:lang w:eastAsia="es-ES"/>
        </w:rPr>
        <w:t>Ed Milliban</w:t>
      </w:r>
      <w:r w:rsidR="00400051">
        <w:rPr>
          <w:rFonts w:ascii="Times New Roman" w:eastAsia="Times New Roman" w:hAnsi="Times New Roman"/>
          <w:bCs/>
          <w:sz w:val="24"/>
          <w:szCs w:val="24"/>
          <w:lang w:eastAsia="es-ES"/>
        </w:rPr>
        <w:t>d</w:t>
      </w:r>
      <w:r w:rsidRPr="00E224A6">
        <w:rPr>
          <w:rFonts w:ascii="Times New Roman" w:eastAsia="Times New Roman" w:hAnsi="Times New Roman"/>
          <w:sz w:val="24"/>
          <w:szCs w:val="24"/>
          <w:lang w:eastAsia="es-ES"/>
        </w:rPr>
        <w:t xml:space="preserve">, se ha manifestado en contra de la huelga, perdiendo así una gran oportunidad de articular un discurso narrativo que refleje las preocupaciones de una sociedad”. </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Para Richards, hubiera sido mucho más coherente que el pequeño de los Milliband hubiera afirmado que, a pesar de vivir una solución económicamente grave, habrían de buscarse soluciones que no pasaran por la confrontación con los sindicatos y los trabajadores. “Al no hacerlo así, </w:t>
      </w:r>
      <w:r w:rsidRPr="00E224A6">
        <w:rPr>
          <w:rFonts w:ascii="Times New Roman" w:eastAsia="Times New Roman" w:hAnsi="Times New Roman"/>
          <w:bCs/>
          <w:sz w:val="24"/>
          <w:szCs w:val="24"/>
          <w:lang w:eastAsia="es-ES"/>
        </w:rPr>
        <w:t>es probable que muchos de quienes van a la huelga acaben pensando, al igual que ocurría en las movilizaciones españoles, que apenas hay diferencia entre los dos principales partidos</w:t>
      </w:r>
      <w:r w:rsidRPr="00E224A6">
        <w:rPr>
          <w:rFonts w:ascii="Times New Roman" w:eastAsia="Times New Roman" w:hAnsi="Times New Roman"/>
          <w:sz w:val="24"/>
          <w:szCs w:val="24"/>
          <w:lang w:eastAsia="es-ES"/>
        </w:rPr>
        <w:t xml:space="preserve">”. </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Lo que ha ocurrido a los laboristas es que su líder no ha querido aparecer como un político que apoya las huelgas, sino como una alternativa creíble de los conservadores, señala Martínez Lucio, “</w:t>
      </w:r>
      <w:r w:rsidRPr="00E224A6">
        <w:rPr>
          <w:rFonts w:ascii="Times New Roman" w:eastAsia="Times New Roman" w:hAnsi="Times New Roman"/>
          <w:bCs/>
          <w:sz w:val="24"/>
          <w:szCs w:val="24"/>
          <w:lang w:eastAsia="es-ES"/>
        </w:rPr>
        <w:t>alineándose con la tendencia general de los partidos socialdemócratas europeos, que tiene miedo de aliarse con las propuestas radicales contra la crisis</w:t>
      </w:r>
      <w:r w:rsidRPr="00E224A6">
        <w:rPr>
          <w:rFonts w:ascii="Times New Roman" w:eastAsia="Times New Roman" w:hAnsi="Times New Roman"/>
          <w:sz w:val="24"/>
          <w:szCs w:val="24"/>
          <w:lang w:eastAsia="es-ES"/>
        </w:rPr>
        <w:t>. Sin embargo, en este caso han perdido una gran oportunidad, no sólo porque haya mucho apoyo para los sindicatos en la sociedad británica sino porque no estamos hablando de una huelga de trabajadores bien pagados con condiciones laborales de lujo que defienden sus privilegios, sino de empleados que trabajan en</w:t>
      </w:r>
      <w:r w:rsidR="00E224A6" w:rsidRPr="00E224A6">
        <w:rPr>
          <w:rFonts w:ascii="Times New Roman" w:eastAsia="Times New Roman" w:hAnsi="Times New Roman"/>
          <w:sz w:val="24"/>
          <w:szCs w:val="24"/>
          <w:lang w:eastAsia="es-ES"/>
        </w:rPr>
        <w:t xml:space="preserve"> condiciones muy complicadas”. </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El problema de fondo, afirma Martínez Lucio, es que los socialdemócratas europeos han aceptado en gran medida el discurso liberal-conservador sobre los orígenes de la crisis y sobre cuáles deben ser las soluciones. Y, por eso, la crisis parece estar dejando sin sitio a una socialdemocracia cada vez más cuestionada. De una parte, </w:t>
      </w:r>
      <w:r w:rsidRPr="00E224A6">
        <w:rPr>
          <w:rFonts w:ascii="Times New Roman" w:eastAsia="Times New Roman" w:hAnsi="Times New Roman"/>
          <w:bCs/>
          <w:sz w:val="24"/>
          <w:szCs w:val="24"/>
          <w:lang w:eastAsia="es-ES"/>
        </w:rPr>
        <w:t>los poderes financieros que les demandan austeridad tienden a no fiarse de la voluntad de hacer reformas de los partidos de centro izquierda;</w:t>
      </w:r>
      <w:r w:rsidRPr="00E224A6">
        <w:rPr>
          <w:rFonts w:ascii="Times New Roman" w:eastAsia="Times New Roman" w:hAnsi="Times New Roman"/>
          <w:sz w:val="24"/>
          <w:szCs w:val="24"/>
          <w:lang w:eastAsia="es-ES"/>
        </w:rPr>
        <w:t xml:space="preserve"> por otra, sus electores no coinciden ni en la necesidad de los recortes ni en el modo en que están actuando respecto de esos mismos poderes financieros. Desde esta perspectiva, las movilizaciones están siendo perjudiciales para </w:t>
      </w:r>
      <w:r w:rsidRPr="00E224A6">
        <w:rPr>
          <w:rFonts w:ascii="Times New Roman" w:eastAsia="Times New Roman" w:hAnsi="Times New Roman"/>
          <w:sz w:val="24"/>
          <w:szCs w:val="24"/>
          <w:lang w:eastAsia="es-ES"/>
        </w:rPr>
        <w:lastRenderedPageBreak/>
        <w:t>los partidos de izquierda parlamentaria, situados en una tierra de nadie que les obliga a hacer cada vez mayores equilibrios.</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La cuestión es dónde va a ir a parar ese caudal de descontento. El descreimiento y el alejamiento de la política es una opción y el aumento de la presencia social del populismo es otra, pero la hipótesis que más suele manejarse es el surgimiento de un nuevo tipo de izquierda. Moreno descarta esta posibilidad, ya que, afirma, “</w:t>
      </w:r>
      <w:r w:rsidRPr="00E224A6">
        <w:rPr>
          <w:rFonts w:ascii="Times New Roman" w:eastAsia="Times New Roman" w:hAnsi="Times New Roman"/>
          <w:bCs/>
          <w:sz w:val="24"/>
          <w:szCs w:val="24"/>
          <w:lang w:eastAsia="es-ES"/>
        </w:rPr>
        <w:t>la izquierda lleva años estancada, ni ha dado el perfil ni ha ofrecido programas ni ha hecho nada. Y los sindicatos ahí están, chupando del frasco del Estado</w:t>
      </w:r>
      <w:r w:rsidRPr="00E224A6">
        <w:rPr>
          <w:rFonts w:ascii="Times New Roman" w:eastAsia="Times New Roman" w:hAnsi="Times New Roman"/>
          <w:sz w:val="24"/>
          <w:szCs w:val="24"/>
          <w:lang w:eastAsia="es-ES"/>
        </w:rPr>
        <w:t xml:space="preserve">, sin que sepamos dónde va a parar el dinero que se les da”. </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Sin embargo, lo que nos está diciendo la experiencia de las movilizaciones europeas es que, más allá del signo que tengan, </w:t>
      </w:r>
      <w:r w:rsidRPr="00E224A6">
        <w:rPr>
          <w:rFonts w:ascii="Times New Roman" w:eastAsia="Times New Roman" w:hAnsi="Times New Roman"/>
          <w:bCs/>
          <w:sz w:val="24"/>
          <w:szCs w:val="24"/>
          <w:lang w:eastAsia="es-ES"/>
        </w:rPr>
        <w:t>están apareciendo novedades sustanciales en la política</w:t>
      </w:r>
      <w:r w:rsidRPr="00E224A6">
        <w:rPr>
          <w:rFonts w:ascii="Times New Roman" w:eastAsia="Times New Roman" w:hAnsi="Times New Roman"/>
          <w:sz w:val="24"/>
          <w:szCs w:val="24"/>
          <w:lang w:eastAsia="es-ES"/>
        </w:rPr>
        <w:t xml:space="preserve"> que tiene poco que ver con las claves bajo las que estábamos acostumbrados a analizarla. Entre ellas: </w:t>
      </w:r>
    </w:p>
    <w:p w:rsidR="00CC5EA4" w:rsidRPr="00E224A6" w:rsidRDefault="00CC5EA4" w:rsidP="00550638">
      <w:pPr>
        <w:spacing w:before="100" w:beforeAutospacing="1" w:after="100" w:afterAutospacing="1"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1 En países como el Reino Unido, señala Martínez Lucio, </w:t>
      </w:r>
      <w:r w:rsidRPr="00E224A6">
        <w:rPr>
          <w:rFonts w:ascii="Times New Roman" w:eastAsia="Times New Roman" w:hAnsi="Times New Roman"/>
          <w:bCs/>
          <w:sz w:val="24"/>
          <w:szCs w:val="24"/>
          <w:lang w:eastAsia="es-ES"/>
        </w:rPr>
        <w:t>está aumentando tanto la afiliación a los sindicatos c</w:t>
      </w:r>
      <w:r w:rsidRPr="00E224A6">
        <w:rPr>
          <w:rFonts w:ascii="Times New Roman" w:eastAsia="Times New Roman" w:hAnsi="Times New Roman"/>
          <w:sz w:val="24"/>
          <w:szCs w:val="24"/>
          <w:lang w:eastAsia="es-ES"/>
        </w:rPr>
        <w:t xml:space="preserve">omo su presencia social. “Dado que el sistema electoral británico dificulta la existencia de partidos minoritarios y prácticamente imposibilita un espacio de izquierda fuera del partido laborista, </w:t>
      </w:r>
      <w:r w:rsidRPr="00E224A6">
        <w:rPr>
          <w:rFonts w:ascii="Times New Roman" w:eastAsia="Times New Roman" w:hAnsi="Times New Roman"/>
          <w:bCs/>
          <w:sz w:val="24"/>
          <w:szCs w:val="24"/>
          <w:lang w:eastAsia="es-ES"/>
        </w:rPr>
        <w:t>son las formaciones sindicales las que están empezando a jugar este papel de izquierda alternativa</w:t>
      </w:r>
      <w:r w:rsidRPr="00E224A6">
        <w:rPr>
          <w:rFonts w:ascii="Times New Roman" w:eastAsia="Times New Roman" w:hAnsi="Times New Roman"/>
          <w:sz w:val="24"/>
          <w:szCs w:val="24"/>
          <w:lang w:eastAsia="es-ES"/>
        </w:rPr>
        <w:t xml:space="preserve">. Desde hace unos años están apareciendo nuevos líderes sindicales, algunos de los cuales siguen militando en el partido laborista, que están ocupando claramente ese espacio”. Lo que está por verse es cómo transforman esa presencia en algún tipo de poder político. </w:t>
      </w:r>
    </w:p>
    <w:p w:rsidR="00E224A6" w:rsidRDefault="00CC5EA4" w:rsidP="00550638">
      <w:pPr>
        <w:spacing w:after="0" w:line="240" w:lineRule="auto"/>
        <w:jc w:val="both"/>
        <w:rPr>
          <w:rFonts w:ascii="Times New Roman" w:eastAsia="Times New Roman" w:hAnsi="Times New Roman"/>
          <w:sz w:val="24"/>
          <w:szCs w:val="24"/>
          <w:lang w:eastAsia="es-ES"/>
        </w:rPr>
      </w:pPr>
      <w:r w:rsidRPr="00E224A6">
        <w:rPr>
          <w:rFonts w:ascii="Times New Roman" w:eastAsia="Times New Roman" w:hAnsi="Times New Roman"/>
          <w:sz w:val="24"/>
          <w:szCs w:val="24"/>
          <w:lang w:eastAsia="es-ES"/>
        </w:rPr>
        <w:t xml:space="preserve">2. </w:t>
      </w:r>
      <w:r w:rsidRPr="00E224A6">
        <w:rPr>
          <w:rFonts w:ascii="Times New Roman" w:eastAsia="Times New Roman" w:hAnsi="Times New Roman"/>
          <w:bCs/>
          <w:sz w:val="24"/>
          <w:szCs w:val="24"/>
          <w:lang w:eastAsia="es-ES"/>
        </w:rPr>
        <w:t>Las alternativas son cada vez más numerosas y fragmentadas</w:t>
      </w:r>
      <w:r w:rsidRPr="00E224A6">
        <w:rPr>
          <w:rFonts w:ascii="Times New Roman" w:eastAsia="Times New Roman" w:hAnsi="Times New Roman"/>
          <w:sz w:val="24"/>
          <w:szCs w:val="24"/>
          <w:lang w:eastAsia="es-ES"/>
        </w:rPr>
        <w:t xml:space="preserve">, como demuestran múltiples ejemplos europeos (los últimos, España y Grecia). En un sentido, porque están apareciendo nuevos jugadores políticos, que van desde UPyD hasta el Frente Nacional francés pasando por la apuesta centrista de </w:t>
      </w:r>
      <w:r w:rsidRPr="00E224A6">
        <w:rPr>
          <w:rFonts w:ascii="Times New Roman" w:eastAsia="Times New Roman" w:hAnsi="Times New Roman"/>
          <w:bCs/>
          <w:sz w:val="24"/>
          <w:szCs w:val="24"/>
          <w:lang w:eastAsia="es-ES"/>
        </w:rPr>
        <w:t>François Bayrou</w:t>
      </w:r>
      <w:r w:rsidRPr="00E224A6">
        <w:rPr>
          <w:rFonts w:ascii="Times New Roman" w:eastAsia="Times New Roman" w:hAnsi="Times New Roman"/>
          <w:sz w:val="24"/>
          <w:szCs w:val="24"/>
          <w:lang w:eastAsia="es-ES"/>
        </w:rPr>
        <w:t>, el ascenso de los Liberal Demócratas en el Reino Unido o por la recomposición de la izquierda alemana en Die Linke, lo cual está produciendo un juego</w:t>
      </w:r>
      <w:r w:rsidR="00E224A6">
        <w:rPr>
          <w:rFonts w:ascii="Times New Roman" w:eastAsia="Times New Roman" w:hAnsi="Times New Roman"/>
          <w:sz w:val="24"/>
          <w:szCs w:val="24"/>
          <w:lang w:eastAsia="es-ES"/>
        </w:rPr>
        <w:t xml:space="preserve"> de intereses político cada vez</w:t>
      </w:r>
      <w:r w:rsidRPr="00E224A6">
        <w:rPr>
          <w:rFonts w:ascii="Times New Roman" w:eastAsia="Times New Roman" w:hAnsi="Times New Roman"/>
          <w:sz w:val="24"/>
          <w:szCs w:val="24"/>
          <w:lang w:eastAsia="es-ES"/>
        </w:rPr>
        <w:t xml:space="preserve"> más fluido. </w:t>
      </w:r>
      <w:r w:rsidRPr="00E224A6">
        <w:rPr>
          <w:rFonts w:ascii="Times New Roman" w:eastAsia="Times New Roman" w:hAnsi="Times New Roman"/>
          <w:bCs/>
          <w:sz w:val="24"/>
          <w:szCs w:val="24"/>
          <w:lang w:eastAsia="es-ES"/>
        </w:rPr>
        <w:t>Pero, en otro, porque se está generando un magma de organizaciones jóvenes, bien estructuradas, que están potenciando cada vez más la sociedad civil (como se ha notado en el 15 M español) pero que carecen de un conductor articulado”</w:t>
      </w:r>
      <w:r w:rsidRPr="00E224A6">
        <w:rPr>
          <w:rFonts w:ascii="Times New Roman" w:eastAsia="Times New Roman" w:hAnsi="Times New Roman"/>
          <w:sz w:val="24"/>
          <w:szCs w:val="24"/>
          <w:lang w:eastAsia="es-ES"/>
        </w:rPr>
        <w:t xml:space="preserve">. Sin embargo, y aunque “este no sea un fenómeno nuevo, porque llevamos en esa situación fragmentada un periodo relativamente largo”, está cobrando cada vez más importancia, lo que está haciendo fermentar un caldo de cultivo del que va a surgir algo, aun cuando no pueda adivinarse todavía el qué. </w:t>
      </w:r>
    </w:p>
    <w:p w:rsidR="00550638" w:rsidRPr="00550638" w:rsidRDefault="00550638" w:rsidP="00550638">
      <w:pPr>
        <w:spacing w:after="0" w:line="240" w:lineRule="auto"/>
        <w:jc w:val="both"/>
        <w:rPr>
          <w:rFonts w:ascii="Times New Roman" w:eastAsia="Times New Roman" w:hAnsi="Times New Roman"/>
          <w:sz w:val="24"/>
          <w:szCs w:val="24"/>
          <w:lang w:eastAsia="es-ES"/>
        </w:rPr>
      </w:pPr>
    </w:p>
    <w:p w:rsidR="00683E51" w:rsidRPr="00DC1E75" w:rsidRDefault="00E224A6" w:rsidP="00550638">
      <w:pPr>
        <w:pStyle w:val="Prrafodelista"/>
        <w:numPr>
          <w:ilvl w:val="1"/>
          <w:numId w:val="31"/>
        </w:numPr>
        <w:spacing w:line="240" w:lineRule="auto"/>
        <w:jc w:val="both"/>
        <w:rPr>
          <w:rFonts w:ascii="Times New Roman" w:hAnsi="Times New Roman" w:cs="Times New Roman"/>
          <w:b/>
          <w:sz w:val="24"/>
          <w:szCs w:val="24"/>
        </w:rPr>
      </w:pPr>
      <w:r w:rsidRPr="00DC1E75">
        <w:rPr>
          <w:rFonts w:ascii="Times New Roman" w:hAnsi="Times New Roman"/>
          <w:b/>
          <w:sz w:val="24"/>
          <w:szCs w:val="24"/>
        </w:rPr>
        <w:t>-</w:t>
      </w:r>
      <w:r w:rsidRPr="00DC1E75">
        <w:rPr>
          <w:rFonts w:ascii="Times New Roman" w:hAnsi="Times New Roman"/>
          <w:sz w:val="24"/>
          <w:szCs w:val="24"/>
        </w:rPr>
        <w:t xml:space="preserve"> </w:t>
      </w:r>
      <w:r w:rsidR="002F3510" w:rsidRPr="00DC1E75">
        <w:rPr>
          <w:rFonts w:ascii="Times New Roman" w:hAnsi="Times New Roman" w:cs="Times New Roman"/>
          <w:b/>
          <w:sz w:val="24"/>
          <w:szCs w:val="24"/>
        </w:rPr>
        <w:t>D</w:t>
      </w:r>
      <w:r w:rsidR="00683E51" w:rsidRPr="00DC1E75">
        <w:rPr>
          <w:rFonts w:ascii="Times New Roman" w:hAnsi="Times New Roman" w:cs="Times New Roman"/>
          <w:b/>
          <w:sz w:val="24"/>
          <w:szCs w:val="24"/>
        </w:rPr>
        <w:t>el “conservadurismo compasivo” de</w:t>
      </w:r>
      <w:r w:rsidR="00914DA5" w:rsidRPr="00DC1E75">
        <w:rPr>
          <w:rFonts w:ascii="Times New Roman" w:hAnsi="Times New Roman" w:cs="Times New Roman"/>
          <w:b/>
          <w:sz w:val="24"/>
          <w:szCs w:val="24"/>
        </w:rPr>
        <w:t>l Imperator</w:t>
      </w:r>
      <w:r w:rsidR="00683E51" w:rsidRPr="00DC1E75">
        <w:rPr>
          <w:rFonts w:ascii="Times New Roman" w:hAnsi="Times New Roman" w:cs="Times New Roman"/>
          <w:b/>
          <w:sz w:val="24"/>
          <w:szCs w:val="24"/>
        </w:rPr>
        <w:t xml:space="preserve"> George W. Bush, </w:t>
      </w:r>
      <w:r w:rsidR="00D80328" w:rsidRPr="00DC1E75">
        <w:rPr>
          <w:rFonts w:ascii="Times New Roman" w:hAnsi="Times New Roman" w:cs="Times New Roman"/>
          <w:b/>
          <w:sz w:val="24"/>
          <w:szCs w:val="24"/>
        </w:rPr>
        <w:t xml:space="preserve">a la </w:t>
      </w:r>
      <w:r w:rsidR="00683E51" w:rsidRPr="00DC1E75">
        <w:rPr>
          <w:rFonts w:ascii="Times New Roman" w:hAnsi="Times New Roman" w:cs="Times New Roman"/>
          <w:b/>
          <w:sz w:val="24"/>
          <w:szCs w:val="24"/>
        </w:rPr>
        <w:t>“sociedad participativa” de</w:t>
      </w:r>
      <w:r w:rsidR="00E87CC8" w:rsidRPr="00DC1E75">
        <w:rPr>
          <w:rFonts w:ascii="Times New Roman" w:hAnsi="Times New Roman" w:cs="Times New Roman"/>
          <w:b/>
          <w:sz w:val="24"/>
          <w:szCs w:val="24"/>
        </w:rPr>
        <w:t>l Koning Willem</w:t>
      </w:r>
      <w:r w:rsidR="00683E51" w:rsidRPr="00DC1E75">
        <w:rPr>
          <w:rFonts w:ascii="Times New Roman" w:hAnsi="Times New Roman" w:cs="Times New Roman"/>
          <w:b/>
          <w:sz w:val="24"/>
          <w:szCs w:val="24"/>
        </w:rPr>
        <w:t xml:space="preserve"> Alexander</w:t>
      </w:r>
      <w:r w:rsidR="00914DA5" w:rsidRPr="00DC1E75">
        <w:rPr>
          <w:rFonts w:ascii="Times New Roman" w:hAnsi="Times New Roman" w:cs="Times New Roman"/>
          <w:b/>
          <w:sz w:val="24"/>
          <w:szCs w:val="24"/>
        </w:rPr>
        <w:t xml:space="preserve"> I</w:t>
      </w:r>
      <w:r w:rsidR="00E87CC8" w:rsidRPr="00DC1E75">
        <w:rPr>
          <w:rFonts w:ascii="Times New Roman" w:hAnsi="Times New Roman" w:cs="Times New Roman"/>
          <w:b/>
          <w:sz w:val="24"/>
          <w:szCs w:val="24"/>
        </w:rPr>
        <w:t xml:space="preserve"> </w:t>
      </w:r>
    </w:p>
    <w:p w:rsidR="00C32841" w:rsidRPr="00C32841" w:rsidRDefault="00C32841" w:rsidP="00550638">
      <w:pPr>
        <w:spacing w:line="240" w:lineRule="auto"/>
        <w:jc w:val="both"/>
        <w:rPr>
          <w:rFonts w:ascii="Times New Roman" w:hAnsi="Times New Roman" w:cs="Times New Roman"/>
          <w:sz w:val="24"/>
          <w:szCs w:val="24"/>
          <w:u w:val="single"/>
        </w:rPr>
      </w:pPr>
      <w:r w:rsidRPr="00C32841">
        <w:rPr>
          <w:rFonts w:ascii="Times New Roman" w:hAnsi="Times New Roman" w:cs="Times New Roman"/>
          <w:sz w:val="24"/>
          <w:szCs w:val="24"/>
          <w:u w:val="single"/>
        </w:rPr>
        <w:t xml:space="preserve">El Gobierno gestionó de forma generosa la protección social hasta la crisis. Holanda aboga por sustituir el Estado del bienestar por una “sociedad participativa” </w:t>
      </w:r>
    </w:p>
    <w:p w:rsidR="00683E51" w:rsidRPr="00E9313A" w:rsidRDefault="00E9313A" w:rsidP="00550638">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683E51" w:rsidRPr="00E9313A">
        <w:rPr>
          <w:rFonts w:ascii="Times New Roman" w:hAnsi="Times New Roman" w:cs="Times New Roman"/>
          <w:i/>
          <w:sz w:val="24"/>
          <w:szCs w:val="24"/>
        </w:rPr>
        <w:t>La apertura oficial del año parlamentario en Holanda ha sido el escenario escogido por el actual Gobierno, de centro izquierda, para anunciar la sustitución del “clásico estado de bienestar de la segunda mitad del siglo XX por una sociedad participativa”. Una forma aséptica de advertir a la ciudadanía de que la crisis sigue golpeando, y “cada holandés debe adaptarse a los cambios que se avecinan”</w:t>
      </w:r>
      <w:r>
        <w:rPr>
          <w:rFonts w:ascii="Times New Roman" w:hAnsi="Times New Roman" w:cs="Times New Roman"/>
          <w:i/>
          <w:sz w:val="24"/>
          <w:szCs w:val="24"/>
        </w:rPr>
        <w:t>”..</w:t>
      </w:r>
      <w:r w:rsidR="00683E51" w:rsidRPr="00E9313A">
        <w:rPr>
          <w:rFonts w:ascii="Times New Roman" w:hAnsi="Times New Roman" w:cs="Times New Roman"/>
          <w:i/>
          <w:sz w:val="24"/>
          <w:szCs w:val="24"/>
        </w:rPr>
        <w:t>.</w:t>
      </w:r>
      <w:r w:rsidR="00C32841">
        <w:rPr>
          <w:rFonts w:ascii="Times New Roman" w:hAnsi="Times New Roman" w:cs="Times New Roman"/>
          <w:sz w:val="24"/>
          <w:szCs w:val="24"/>
        </w:rPr>
        <w:t xml:space="preserve"> </w:t>
      </w:r>
      <w:r w:rsidRPr="000B043B">
        <w:rPr>
          <w:rFonts w:ascii="Times New Roman" w:hAnsi="Times New Roman" w:cs="Times New Roman"/>
          <w:sz w:val="24"/>
          <w:szCs w:val="24"/>
          <w:u w:val="single"/>
        </w:rPr>
        <w:t>Holanda aboga por sustituir el Estado del bienestar por una “sociedad participativa”</w:t>
      </w:r>
      <w:r>
        <w:rPr>
          <w:rFonts w:ascii="Times New Roman" w:hAnsi="Times New Roman" w:cs="Times New Roman"/>
          <w:sz w:val="24"/>
          <w:szCs w:val="24"/>
        </w:rPr>
        <w:t xml:space="preserve"> (El País - </w:t>
      </w:r>
      <w:r w:rsidRPr="000B043B">
        <w:rPr>
          <w:rFonts w:ascii="Times New Roman" w:hAnsi="Times New Roman" w:cs="Times New Roman"/>
          <w:b/>
          <w:sz w:val="24"/>
          <w:szCs w:val="24"/>
        </w:rPr>
        <w:t>17/9/13</w:t>
      </w:r>
      <w:r>
        <w:rPr>
          <w:rFonts w:ascii="Times New Roman" w:hAnsi="Times New Roman" w:cs="Times New Roman"/>
          <w:sz w:val="24"/>
          <w:szCs w:val="24"/>
        </w:rPr>
        <w:t>)</w:t>
      </w:r>
    </w:p>
    <w:p w:rsidR="00683E51" w:rsidRPr="00E9313A" w:rsidRDefault="00683E51" w:rsidP="00550638">
      <w:pPr>
        <w:spacing w:line="240" w:lineRule="auto"/>
        <w:jc w:val="both"/>
        <w:rPr>
          <w:rFonts w:ascii="Times New Roman" w:hAnsi="Times New Roman" w:cs="Times New Roman"/>
          <w:sz w:val="24"/>
          <w:szCs w:val="24"/>
        </w:rPr>
      </w:pPr>
      <w:r w:rsidRPr="00E9313A">
        <w:rPr>
          <w:rFonts w:ascii="Times New Roman" w:hAnsi="Times New Roman" w:cs="Times New Roman"/>
          <w:sz w:val="24"/>
          <w:szCs w:val="24"/>
        </w:rPr>
        <w:lastRenderedPageBreak/>
        <w:t>El entrecomillado procede del discurso de la Corona, pronunciado por primera vez por el nuevo rey, Guillermo Alejandro, pero escrito por un Ejecutivo en horas bajas. “El paso hacia una sociedad participativa es particularmente notable en la seguridad social y en los que necesiten cuidados de larga duración. Es precisamente en esos sectores donde el clásico Estado del bienestar de la segunda mitad del siglo XX ha producido sistemas que en su forma actual ni son sostenibles ni están adaptados a las expectativas de los ciudadanos”, agregó el monarca.</w:t>
      </w:r>
    </w:p>
    <w:p w:rsidR="00683E51" w:rsidRPr="00E9313A" w:rsidRDefault="00683E51" w:rsidP="00550638">
      <w:pPr>
        <w:spacing w:line="240" w:lineRule="auto"/>
        <w:jc w:val="both"/>
        <w:rPr>
          <w:rFonts w:ascii="Times New Roman" w:hAnsi="Times New Roman" w:cs="Times New Roman"/>
          <w:sz w:val="24"/>
          <w:szCs w:val="24"/>
        </w:rPr>
      </w:pPr>
      <w:r w:rsidRPr="00E9313A">
        <w:rPr>
          <w:rFonts w:ascii="Times New Roman" w:hAnsi="Times New Roman" w:cs="Times New Roman"/>
          <w:sz w:val="24"/>
          <w:szCs w:val="24"/>
        </w:rPr>
        <w:t>Una coalición de liberales y socialdemócratas, cuyos planes son considerados nefastos por un 80% de la población, según la encuesta más reciente, encargada por la televisión nacional (NOS). Del mismo sondeo de urgencia se deduce que los holandeses confían más en el mundo empresarial, y la propia regeneración de la economía mundial, que en la capacidad de sus políticos para salir de la crisis. La razón de su desánimo responde al anuncio de un nuevo ajuste de 6.000 millones de euros y el duro cálculo económico de la Oficina Central de Planificación para 2014: el paro llegará hasta el 7,5%; el déficit sumara un 3,3%, superando el límite del 3% exigido por Bruselas, y el poder adquisitivo bajará un 0,5%. La Oficina es el órgano de referencia en cuestiones de macroeconomía, y el Gobierno remite los presupuestos generales a sus expertos para su estudio. De ahí que las previsiones hayan sido publicadas sin problemas, y Mark Rutte, primer ministro liberal, y Diederik Samsom, líder socialdemócrata, hayan podido aferrarse a otro dato esencial. El que cifra el crecimiento económico en un 0,5% y ha permitido al rey Guillermo lanzar un tímido mensaje esperanzador. “Si bien la crisis sigue notándose, hay señales positivas que llevan a pensar que está llegando a su fin y hay perspectivas de mejora para Holanda”, ha dicho.</w:t>
      </w:r>
    </w:p>
    <w:p w:rsidR="00683E51" w:rsidRPr="00E9313A" w:rsidRDefault="00683E51" w:rsidP="00550638">
      <w:pPr>
        <w:spacing w:line="240" w:lineRule="auto"/>
        <w:jc w:val="both"/>
        <w:rPr>
          <w:rFonts w:ascii="Times New Roman" w:hAnsi="Times New Roman" w:cs="Times New Roman"/>
          <w:sz w:val="24"/>
          <w:szCs w:val="24"/>
        </w:rPr>
      </w:pPr>
      <w:r w:rsidRPr="00E9313A">
        <w:rPr>
          <w:rFonts w:ascii="Times New Roman" w:hAnsi="Times New Roman" w:cs="Times New Roman"/>
          <w:sz w:val="24"/>
          <w:szCs w:val="24"/>
        </w:rPr>
        <w:t>Vestido de gala pero no de uniforme militar, y flanqueado por su esposa, la reina consorte Máxima, el monarca ha querido contribuir a la sobriedad general. Es verdad que había gran expectación por ver a Máxima sentada en un trono, aunque fuera más pequeño. Después de cuatro soberanas seguidas, es la primera vez en 126 años que una consorte real acompaña al rey de Holanda en la apertura parlamentaria. Las calles estaban llenas para verles pasar en carroza, pero dentro no ha habido cortejo. A la Sala de los Caballeros del antiguo Parlamento medieval de La Haya le ha acompañado su hermano, el príncipe Constantino, y su mujer, Laurentien. Solo los cuatro han aparecido luego en la tradicional escena del balcón, su estreno desde la abdicación de Beatriz, actual princesa. Pero que nadie se engañe. El nuevo modelo social que se avecina, cada vez menos ideológico y más cercano a la tecnocracia, afectará a todos.</w:t>
      </w:r>
    </w:p>
    <w:p w:rsidR="00683E51" w:rsidRPr="00E9313A" w:rsidRDefault="00683E51" w:rsidP="00550638">
      <w:pPr>
        <w:spacing w:line="240" w:lineRule="auto"/>
        <w:jc w:val="both"/>
        <w:rPr>
          <w:rFonts w:ascii="Times New Roman" w:hAnsi="Times New Roman" w:cs="Times New Roman"/>
          <w:sz w:val="24"/>
          <w:szCs w:val="24"/>
        </w:rPr>
      </w:pPr>
      <w:r w:rsidRPr="00E9313A">
        <w:rPr>
          <w:rFonts w:ascii="Times New Roman" w:hAnsi="Times New Roman" w:cs="Times New Roman"/>
          <w:sz w:val="24"/>
          <w:szCs w:val="24"/>
        </w:rPr>
        <w:t>El rey ha recordado el endeudamiento de las familias, la delicada situación de los bancos y la necesidad de reducir el déficit. Ha subrayado la idoneidad de “unas reformas que requieren tiempo” y ha señalado que su país debe ser “un pueblo fuerte y consciente capaz de adaptar los cambios a su vida”. A continuación, ha explicado por qué se descentraliza de este modo: “La gente quiere decidir por sí misma, organizar su vida y cuidar unos de otros”. ¿Cómo se traduce todo ello a pie de calle?</w:t>
      </w:r>
    </w:p>
    <w:p w:rsidR="00683E51" w:rsidRPr="00E9313A" w:rsidRDefault="00683E51" w:rsidP="00550638">
      <w:pPr>
        <w:spacing w:line="240" w:lineRule="auto"/>
        <w:jc w:val="both"/>
        <w:rPr>
          <w:rFonts w:ascii="Times New Roman" w:hAnsi="Times New Roman" w:cs="Times New Roman"/>
          <w:sz w:val="24"/>
          <w:szCs w:val="24"/>
        </w:rPr>
      </w:pPr>
      <w:r w:rsidRPr="00E9313A">
        <w:rPr>
          <w:rFonts w:ascii="Times New Roman" w:hAnsi="Times New Roman" w:cs="Times New Roman"/>
          <w:sz w:val="24"/>
          <w:szCs w:val="24"/>
        </w:rPr>
        <w:t xml:space="preserve">Parte de los costes de los dependientes y enfermos crónicos, asistencia social y programas de reintegración laboral pasarán a manos municipales. Se trata de mejorar el servicio, pero los ayuntamientos disponen para estas partidas de la mitad del presupuesto estatal. Otro ejemplo son los subsidios para menores de seis años, y a partir de esa edad, que se uniformarán a la baja; el salario de los funcionarios se congela aunque pagaran menos primas sanitarias; el Ejército recortará 2.300 puestos (en 2011 ya se aprobó una reducción de 12.000 militares); el Estado ahorrará 750 millones en </w:t>
      </w:r>
      <w:r w:rsidRPr="00E9313A">
        <w:rPr>
          <w:rFonts w:ascii="Times New Roman" w:hAnsi="Times New Roman" w:cs="Times New Roman"/>
          <w:sz w:val="24"/>
          <w:szCs w:val="24"/>
        </w:rPr>
        <w:lastRenderedPageBreak/>
        <w:t>medicinas al reducir las pagadas por el seguro; los declarados incapaces para trabajar recibirán menos ayudas extra y todos los ministerios ahorraran, en conjunto, 165 millones de euros, entre otras medidas.</w:t>
      </w:r>
    </w:p>
    <w:p w:rsidR="00683E51" w:rsidRPr="00E9313A" w:rsidRDefault="00683E51" w:rsidP="00550638">
      <w:pPr>
        <w:spacing w:line="240" w:lineRule="auto"/>
        <w:jc w:val="both"/>
        <w:rPr>
          <w:rFonts w:ascii="Times New Roman" w:hAnsi="Times New Roman" w:cs="Times New Roman"/>
          <w:sz w:val="24"/>
          <w:szCs w:val="24"/>
        </w:rPr>
      </w:pPr>
      <w:r w:rsidRPr="00E9313A">
        <w:rPr>
          <w:rFonts w:ascii="Times New Roman" w:hAnsi="Times New Roman" w:cs="Times New Roman"/>
          <w:sz w:val="24"/>
          <w:szCs w:val="24"/>
        </w:rPr>
        <w:t>Las reacciones fueron inmediatas y repartieron alabanzas y críticas a partes iguales. Las primeras, para Guillermo, que estuvo “impecable al añadir lo personal recordando a su madre y a su hermano muerto, el príncipe Friso, a un discurso de peso”, según Sybrand Buma, líder democristiano, que resumió el sentir del resto de sus colegas parlamentarios. Las críticas se las llevó la sociedad participativa promovida por el Gobierno. “Es una ofensa para la gente y una política destructiva”, dijo Emile Roemer, jefe del Partido Socialista, radical. “Holanda es el enfermo de Europa porque no se reforma”, añadió el propio Buma, en cuanto pasó del rey a política. “No hay soluciones rápidas e indoloras. La economía se recupera más despacio de lo esperado. Aunque seguimos entre los países más ricos y competitivos del mundo, en términos de bienestar estamos como en 2007. Pero hay perspectivas, y estas reformas sientan la base de una recuperación sostenida”, contestó el ministro de Finanzas, Jeroen Dijsselbloem, al depositar su cartera con los presupuestos en el Parlame</w:t>
      </w:r>
      <w:r w:rsidR="00E9313A" w:rsidRPr="00E9313A">
        <w:rPr>
          <w:rFonts w:ascii="Times New Roman" w:hAnsi="Times New Roman" w:cs="Times New Roman"/>
          <w:sz w:val="24"/>
          <w:szCs w:val="24"/>
        </w:rPr>
        <w:t>nto, que la discutirá en la tercera semana de septiembre (2013)</w:t>
      </w:r>
      <w:r w:rsidRPr="00E9313A">
        <w:rPr>
          <w:rFonts w:ascii="Times New Roman" w:hAnsi="Times New Roman" w:cs="Times New Roman"/>
          <w:sz w:val="24"/>
          <w:szCs w:val="24"/>
        </w:rPr>
        <w:t>.</w:t>
      </w:r>
    </w:p>
    <w:p w:rsidR="00E9313A" w:rsidRPr="000B043B" w:rsidRDefault="00E9313A" w:rsidP="00550638">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683E51" w:rsidRPr="00E9313A">
        <w:rPr>
          <w:rFonts w:ascii="Times New Roman" w:hAnsi="Times New Roman" w:cs="Times New Roman"/>
          <w:i/>
          <w:sz w:val="24"/>
          <w:szCs w:val="24"/>
        </w:rPr>
        <w:t>La ironía enseña los dientes en esta crisis de nunca acabar. La próspera y calvinista Holanda, firme aliada de Berlín y Bruselas para imponer políticas de austeridad a rajatabla a todo el continente, empieza a caer en su propia trampa. Nadie presionó tanto para impulsar la rectitud con las cuentas públicas de la eurozona: Holanda se ve obligada ahora a probar su propia medicina, el pacto fiscal y los denominados Six Pack y Two Pack, una especie de Sagradas Escrituras de la austeridad para dificultar que los Gobiernos tomen medidas anticíclicas (en plata, que en medio de una recesión el Estado gaste y se endeude para compensar el hundimiento de la demanda privada). El Ejecutivo aprobó ayer un nuevo recorte para el año próxi</w:t>
      </w:r>
      <w:r w:rsidRPr="00E9313A">
        <w:rPr>
          <w:rFonts w:ascii="Times New Roman" w:hAnsi="Times New Roman" w:cs="Times New Roman"/>
          <w:i/>
          <w:sz w:val="24"/>
          <w:szCs w:val="24"/>
        </w:rPr>
        <w:t>mo, de 6.000 millones de euros -el 1% del PIB-</w:t>
      </w:r>
      <w:r w:rsidR="00683E51" w:rsidRPr="00E9313A">
        <w:rPr>
          <w:rFonts w:ascii="Times New Roman" w:hAnsi="Times New Roman" w:cs="Times New Roman"/>
          <w:i/>
          <w:sz w:val="24"/>
          <w:szCs w:val="24"/>
        </w:rPr>
        <w:t>, para tratar de cumplir los objetivos fiscales marcados por la Comisión Europea. No parece capaz de lograrlo: la prestigiosa DCP, el centro oficial de planificación económica, lleva tiempo avisando de que la tijera agravará la recesión e impedirá, por tanto, alcanzar las metas fiscales. Salvando las distancias, algo parecido a lo que ocurre más al sur, en toda la periferia</w:t>
      </w:r>
      <w:r>
        <w:rPr>
          <w:rFonts w:ascii="Times New Roman" w:hAnsi="Times New Roman" w:cs="Times New Roman"/>
          <w:i/>
          <w:sz w:val="24"/>
          <w:szCs w:val="24"/>
        </w:rPr>
        <w:t>”..</w:t>
      </w:r>
      <w:r w:rsidR="00683E51" w:rsidRPr="00E9313A">
        <w:rPr>
          <w:rFonts w:ascii="Times New Roman" w:hAnsi="Times New Roman" w:cs="Times New Roman"/>
          <w:i/>
          <w:sz w:val="24"/>
          <w:szCs w:val="24"/>
        </w:rPr>
        <w:t>.</w:t>
      </w:r>
      <w:r>
        <w:rPr>
          <w:rFonts w:ascii="Times New Roman" w:hAnsi="Times New Roman" w:cs="Times New Roman"/>
          <w:i/>
          <w:sz w:val="24"/>
          <w:szCs w:val="24"/>
        </w:rPr>
        <w:t xml:space="preserve"> </w:t>
      </w:r>
      <w:r w:rsidRPr="000B043B">
        <w:rPr>
          <w:rFonts w:ascii="Times New Roman" w:hAnsi="Times New Roman" w:cs="Times New Roman"/>
          <w:sz w:val="24"/>
          <w:szCs w:val="24"/>
          <w:u w:val="single"/>
        </w:rPr>
        <w:t>El Gobierno de Rutte se enfrenta a su propia trampa de la austeridad</w:t>
      </w:r>
      <w:r>
        <w:rPr>
          <w:rFonts w:ascii="Times New Roman" w:hAnsi="Times New Roman" w:cs="Times New Roman"/>
          <w:sz w:val="24"/>
          <w:szCs w:val="24"/>
        </w:rPr>
        <w:t xml:space="preserve"> (El </w:t>
      </w:r>
      <w:r w:rsidR="00A92207">
        <w:rPr>
          <w:rFonts w:ascii="Times New Roman" w:hAnsi="Times New Roman" w:cs="Times New Roman"/>
          <w:sz w:val="24"/>
          <w:szCs w:val="24"/>
        </w:rPr>
        <w:t>País</w:t>
      </w:r>
      <w:r>
        <w:rPr>
          <w:rFonts w:ascii="Times New Roman" w:hAnsi="Times New Roman" w:cs="Times New Roman"/>
          <w:sz w:val="24"/>
          <w:szCs w:val="24"/>
        </w:rPr>
        <w:t xml:space="preserve"> - </w:t>
      </w:r>
      <w:r w:rsidRPr="000B043B">
        <w:rPr>
          <w:rFonts w:ascii="Times New Roman" w:hAnsi="Times New Roman" w:cs="Times New Roman"/>
          <w:b/>
          <w:sz w:val="24"/>
          <w:szCs w:val="24"/>
        </w:rPr>
        <w:t>17/9/13</w:t>
      </w:r>
      <w:r>
        <w:rPr>
          <w:rFonts w:ascii="Times New Roman" w:hAnsi="Times New Roman" w:cs="Times New Roman"/>
          <w:sz w:val="24"/>
          <w:szCs w:val="24"/>
        </w:rPr>
        <w:t>)</w:t>
      </w:r>
    </w:p>
    <w:p w:rsidR="00683E51" w:rsidRPr="00E9313A" w:rsidRDefault="00683E51" w:rsidP="00550638">
      <w:pPr>
        <w:spacing w:line="240" w:lineRule="auto"/>
        <w:jc w:val="both"/>
        <w:rPr>
          <w:rFonts w:ascii="Times New Roman" w:hAnsi="Times New Roman" w:cs="Times New Roman"/>
          <w:sz w:val="24"/>
          <w:szCs w:val="24"/>
        </w:rPr>
      </w:pPr>
      <w:r w:rsidRPr="00E9313A">
        <w:rPr>
          <w:rFonts w:ascii="Times New Roman" w:hAnsi="Times New Roman" w:cs="Times New Roman"/>
          <w:sz w:val="24"/>
          <w:szCs w:val="24"/>
        </w:rPr>
        <w:t>El comisario de Asuntos Económicos, Olli Rehn, concedió en mayo</w:t>
      </w:r>
      <w:r w:rsidR="00E9313A" w:rsidRPr="00E9313A">
        <w:rPr>
          <w:rFonts w:ascii="Times New Roman" w:hAnsi="Times New Roman" w:cs="Times New Roman"/>
          <w:sz w:val="24"/>
          <w:szCs w:val="24"/>
        </w:rPr>
        <w:t xml:space="preserve"> (2013) un año extra -hasta 2014-</w:t>
      </w:r>
      <w:r w:rsidRPr="00E9313A">
        <w:rPr>
          <w:rFonts w:ascii="Times New Roman" w:hAnsi="Times New Roman" w:cs="Times New Roman"/>
          <w:sz w:val="24"/>
          <w:szCs w:val="24"/>
        </w:rPr>
        <w:t xml:space="preserve"> al país para alcanzar un déficit del 3% del PIB, ante el deterioro de la economía y en línea con la nueva retórica en boga en Bruselas, más suave con los recortes y más proclive a las reformas. Pero el pinchazo de la burbuja inmobiliaria empieza a hacer estragos, la crisis financiera afecta a tres de los cuatro grandes bancos, el paro sigue al alza (en niveles bajos, en torno al 7%, pero creciendo a toda velocidad) y la confianza de consumidores y empresas va de mal en peor. Rehn reclamó justo antes del verano que La Haya hiciera “un esfuerzo fiscal adicional de al menos un 1% del PIB”, exactamente la cifra aprobada, para bajar de ese listón del déficit del 3% en 2014. Pura ficción: ese tijeretazo provocará un agravamiento de la crisis e impedirá a Holanda cumplir con los objetivos fijados por la Comisión, según el citado DCP. El déficit se irá hasta el 3,3% en 2014, medio punto más de lo previsto. La ec</w:t>
      </w:r>
      <w:r w:rsidR="00E9313A" w:rsidRPr="00E9313A">
        <w:rPr>
          <w:rFonts w:ascii="Times New Roman" w:hAnsi="Times New Roman" w:cs="Times New Roman"/>
          <w:sz w:val="24"/>
          <w:szCs w:val="24"/>
        </w:rPr>
        <w:t xml:space="preserve">onomía caerá el 1,25% en el </w:t>
      </w:r>
      <w:r w:rsidRPr="00E9313A">
        <w:rPr>
          <w:rFonts w:ascii="Times New Roman" w:hAnsi="Times New Roman" w:cs="Times New Roman"/>
          <w:sz w:val="24"/>
          <w:szCs w:val="24"/>
        </w:rPr>
        <w:t>año</w:t>
      </w:r>
      <w:r w:rsidR="00E9313A" w:rsidRPr="00E9313A">
        <w:rPr>
          <w:rFonts w:ascii="Times New Roman" w:hAnsi="Times New Roman" w:cs="Times New Roman"/>
          <w:sz w:val="24"/>
          <w:szCs w:val="24"/>
        </w:rPr>
        <w:t xml:space="preserve"> 2013</w:t>
      </w:r>
      <w:r w:rsidRPr="00E9313A">
        <w:rPr>
          <w:rFonts w:ascii="Times New Roman" w:hAnsi="Times New Roman" w:cs="Times New Roman"/>
          <w:sz w:val="24"/>
          <w:szCs w:val="24"/>
        </w:rPr>
        <w:t>.</w:t>
      </w:r>
    </w:p>
    <w:p w:rsidR="00683E51" w:rsidRPr="00E9313A" w:rsidRDefault="00683E51" w:rsidP="00550638">
      <w:pPr>
        <w:spacing w:line="240" w:lineRule="auto"/>
        <w:jc w:val="both"/>
        <w:rPr>
          <w:rFonts w:ascii="Times New Roman" w:hAnsi="Times New Roman" w:cs="Times New Roman"/>
          <w:sz w:val="24"/>
          <w:szCs w:val="24"/>
        </w:rPr>
      </w:pPr>
      <w:r w:rsidRPr="00E9313A">
        <w:rPr>
          <w:rFonts w:ascii="Times New Roman" w:hAnsi="Times New Roman" w:cs="Times New Roman"/>
          <w:sz w:val="24"/>
          <w:szCs w:val="24"/>
        </w:rPr>
        <w:t xml:space="preserve">“La única vía para que España e Italia salgan de la crisis es que hagan cambios en el mercado de trabajo y sigan aprobando reformas y recortes”, decía un impulsivo Mark </w:t>
      </w:r>
      <w:r w:rsidRPr="00E9313A">
        <w:rPr>
          <w:rFonts w:ascii="Times New Roman" w:hAnsi="Times New Roman" w:cs="Times New Roman"/>
          <w:sz w:val="24"/>
          <w:szCs w:val="24"/>
        </w:rPr>
        <w:lastRenderedPageBreak/>
        <w:t>Rutte, el primer ministro holandés, en junio del año pasado. Ahora le toca a él: su Gobierno ha aplazado algunas reformas para no agravar la recesión, y se ha visto obligado a desistir de un recorte más ambicioso, tras coquetear con un tijeretazo aún mayor para cumplir con Bruselas.</w:t>
      </w:r>
    </w:p>
    <w:p w:rsidR="00683E51" w:rsidRPr="00E9313A" w:rsidRDefault="00683E51" w:rsidP="00550638">
      <w:pPr>
        <w:spacing w:line="240" w:lineRule="auto"/>
        <w:jc w:val="both"/>
        <w:rPr>
          <w:rFonts w:ascii="Times New Roman" w:hAnsi="Times New Roman" w:cs="Times New Roman"/>
          <w:sz w:val="24"/>
          <w:szCs w:val="24"/>
        </w:rPr>
      </w:pPr>
      <w:r w:rsidRPr="00E9313A">
        <w:rPr>
          <w:rFonts w:ascii="Times New Roman" w:hAnsi="Times New Roman" w:cs="Times New Roman"/>
          <w:sz w:val="24"/>
          <w:szCs w:val="24"/>
        </w:rPr>
        <w:t>El malestar ciudadano crece: la coalición de Gobierno se desploma en las encuestas, víctima de esa política económica. El ministro de Finanzas y presidente del Eurogrupo, Jeroen Dijsselbloem, avisa de que el país debe recuperar el impulso reformista y defiende los recortes como la única vía para conseguir un crecimiento sostenible, un discurso calcado al que dedica al sur de Europa. Pero las agencias de calificación ya han amenazado con retirar la triple A (la máxima nota crediticia), una auténtica obsesión en La Haya. Y ni siquiera los economistas más conservadores apoyan el abuso de tijera: Coen Teulings, del DCP, aseguraba hace unas semanas que rebajas adicionales del gasto “pueden decapitar la recuperación”. “Holanda se ve obligada a ser más papista que el Papa: se le caen los ingresos públicos por la recesión, el consumo se desploma por efecto precaución y las propias políticas que ellos han dictado a la UE les llevan ahora a esos nuevos recortes que pueden ser contraproducentes”, explica Luis Garicano, profesor de la London School of Economics afincado en Holanda. “Lo que necesita el país es lo contrario: de alguna manera, este es un ejemplo paradigmático de las consecuencias del triunfo de la ideología sobre la razón”, cierra.</w:t>
      </w:r>
    </w:p>
    <w:p w:rsidR="00683E51" w:rsidRPr="00C32841" w:rsidRDefault="00C32841" w:rsidP="00550638">
      <w:pPr>
        <w:spacing w:line="240" w:lineRule="auto"/>
        <w:jc w:val="both"/>
        <w:rPr>
          <w:rFonts w:ascii="Times New Roman" w:hAnsi="Times New Roman" w:cs="Times New Roman"/>
          <w:sz w:val="24"/>
          <w:szCs w:val="24"/>
        </w:rPr>
      </w:pPr>
      <w:r>
        <w:rPr>
          <w:rFonts w:ascii="Times New Roman" w:hAnsi="Times New Roman" w:cs="Times New Roman"/>
          <w:i/>
          <w:sz w:val="24"/>
          <w:szCs w:val="24"/>
        </w:rPr>
        <w:t>“</w:t>
      </w:r>
      <w:r w:rsidR="00683E51" w:rsidRPr="00C32841">
        <w:rPr>
          <w:rFonts w:ascii="Times New Roman" w:hAnsi="Times New Roman" w:cs="Times New Roman"/>
          <w:i/>
          <w:sz w:val="24"/>
          <w:szCs w:val="24"/>
        </w:rPr>
        <w:t>Femke tiene 78 años, padece diabetes y dos de sus mayores problemas asociados: hipertensión y limitaciones funcionales porque no camina bien. Vive sola en el norte de Holanda, recibe una pensión estatal y es ayudada en su aseo personal, comida, limpieza de la casa y paseos por una asistenta especializada pagada por la sanidad pública. Femke, que no quiere dar más datos privados, forma parte del segmento de población necesitado de cuidados de larga duración, que serán recortados en la nueva sociedad surgida de la crisis. Basada en la solidaridad y la iniciativa privada, cuenta con las familias para hacerse cargo de sus mayores y dependientes. De los ayuntamientos y los propios vecinos, espera a su vez que regulen servicios antes generales. En suma, un modelo social con menos subsidios y ayudas más costosas, en lugar del Estado de bienestar levantado durante los últimos sesenta años</w:t>
      </w:r>
      <w:r>
        <w:rPr>
          <w:rFonts w:ascii="Times New Roman" w:hAnsi="Times New Roman" w:cs="Times New Roman"/>
          <w:i/>
          <w:sz w:val="24"/>
          <w:szCs w:val="24"/>
        </w:rPr>
        <w:t>”..</w:t>
      </w:r>
      <w:r w:rsidR="00683E51" w:rsidRPr="00C32841">
        <w:rPr>
          <w:rFonts w:ascii="Times New Roman" w:hAnsi="Times New Roman" w:cs="Times New Roman"/>
          <w:i/>
          <w:sz w:val="24"/>
          <w:szCs w:val="24"/>
        </w:rPr>
        <w:t>.</w:t>
      </w:r>
      <w:r>
        <w:rPr>
          <w:rFonts w:ascii="Times New Roman" w:hAnsi="Times New Roman" w:cs="Times New Roman"/>
          <w:i/>
          <w:sz w:val="24"/>
          <w:szCs w:val="24"/>
        </w:rPr>
        <w:t xml:space="preserve">  </w:t>
      </w:r>
      <w:r w:rsidRPr="00E81460">
        <w:rPr>
          <w:rFonts w:ascii="Times New Roman" w:hAnsi="Times New Roman" w:cs="Times New Roman"/>
          <w:sz w:val="24"/>
          <w:szCs w:val="24"/>
          <w:u w:val="single"/>
        </w:rPr>
        <w:t>Holanda se prepara para pasar del bienestar a la solidaridad ciudadana</w:t>
      </w:r>
      <w:r>
        <w:rPr>
          <w:rFonts w:ascii="Times New Roman" w:hAnsi="Times New Roman" w:cs="Times New Roman"/>
          <w:sz w:val="24"/>
          <w:szCs w:val="24"/>
        </w:rPr>
        <w:t xml:space="preserve"> (El País - </w:t>
      </w:r>
      <w:r w:rsidRPr="000B043B">
        <w:rPr>
          <w:rFonts w:ascii="Times New Roman" w:hAnsi="Times New Roman" w:cs="Times New Roman"/>
          <w:b/>
          <w:sz w:val="24"/>
          <w:szCs w:val="24"/>
        </w:rPr>
        <w:t>21/9/13</w:t>
      </w:r>
      <w:r>
        <w:rPr>
          <w:rFonts w:ascii="Times New Roman" w:hAnsi="Times New Roman" w:cs="Times New Roman"/>
          <w:sz w:val="24"/>
          <w:szCs w:val="24"/>
        </w:rPr>
        <w:t>)</w:t>
      </w:r>
    </w:p>
    <w:p w:rsidR="00683E51" w:rsidRPr="00D80328" w:rsidRDefault="00683E51" w:rsidP="00550638">
      <w:pPr>
        <w:spacing w:line="240" w:lineRule="auto"/>
        <w:jc w:val="both"/>
        <w:rPr>
          <w:rFonts w:ascii="Times New Roman" w:hAnsi="Times New Roman" w:cs="Times New Roman"/>
          <w:sz w:val="24"/>
          <w:szCs w:val="24"/>
        </w:rPr>
      </w:pPr>
      <w:r w:rsidRPr="00D80328">
        <w:rPr>
          <w:rFonts w:ascii="Times New Roman" w:hAnsi="Times New Roman" w:cs="Times New Roman"/>
          <w:sz w:val="24"/>
          <w:szCs w:val="24"/>
        </w:rPr>
        <w:t>La transición no será fácil. El Gobierno de centro izquierda tendrá que pactar con la oposición para sacar adelante un ajuste (6.000 millones de euros añadidos a los 46.000 millones aprobados desde 2010) que afectará sobre todo a los pensionistas, y reducirá las subvenciones para familias con niños pequeños. Estas últimas varían en función de los ingresos y el número de hijos, y facilitan el pago de las guarderías. Pero la mayor revolución no será contable. Hasta que la recesión y el paro asomaron con fuerza, el Estado ha gestionado la protección social de forma generosa (los subsidios abarcan a la prole menor de edad, residente en el extranjero, de los padres inmigrantes asentados en Holanda). A cambio de pagar sus seguros e impuestos, el contribuyente lo tiene todo regulado.</w:t>
      </w:r>
    </w:p>
    <w:p w:rsidR="00683E51" w:rsidRPr="00D80328" w:rsidRDefault="00683E51" w:rsidP="00550638">
      <w:pPr>
        <w:spacing w:line="240" w:lineRule="auto"/>
        <w:jc w:val="both"/>
        <w:rPr>
          <w:rFonts w:ascii="Times New Roman" w:hAnsi="Times New Roman" w:cs="Times New Roman"/>
          <w:sz w:val="24"/>
          <w:szCs w:val="24"/>
        </w:rPr>
      </w:pPr>
      <w:r w:rsidRPr="00D80328">
        <w:rPr>
          <w:rFonts w:ascii="Times New Roman" w:hAnsi="Times New Roman" w:cs="Times New Roman"/>
          <w:sz w:val="24"/>
          <w:szCs w:val="24"/>
        </w:rPr>
        <w:t>Es lo que Sadik Harchaoui, presidente del Consejo para el Desarrollo Social, órgano</w:t>
      </w:r>
      <w:r w:rsidR="00C32841" w:rsidRPr="00D80328">
        <w:rPr>
          <w:rFonts w:ascii="Times New Roman" w:hAnsi="Times New Roman" w:cs="Times New Roman"/>
          <w:sz w:val="24"/>
          <w:szCs w:val="24"/>
        </w:rPr>
        <w:t xml:space="preserve"> asesor del Gobierno, denomina “solidaridad indirecta”. “</w:t>
      </w:r>
      <w:r w:rsidRPr="00D80328">
        <w:rPr>
          <w:rFonts w:ascii="Times New Roman" w:hAnsi="Times New Roman" w:cs="Times New Roman"/>
          <w:sz w:val="24"/>
          <w:szCs w:val="24"/>
        </w:rPr>
        <w:t xml:space="preserve">Al estar todo cubierto, ha subido el estándar de vida y la sensación de felicidad. Pero este sistema es anónimo y ha generado a su vez individualismo. Ha erosionado el papel de los ciudadanos en la sociedad. Porque la solidaridad directa, la del apoyo mutuo, tiene un fuerte componente </w:t>
      </w:r>
      <w:r w:rsidRPr="00D80328">
        <w:rPr>
          <w:rFonts w:ascii="Times New Roman" w:hAnsi="Times New Roman" w:cs="Times New Roman"/>
          <w:sz w:val="24"/>
          <w:szCs w:val="24"/>
        </w:rPr>
        <w:lastRenderedPageBreak/>
        <w:t>emocional. Ahora que ya no hay dinero público como antes, el Ejecutivo apela justamente a la solidaridad d</w:t>
      </w:r>
      <w:r w:rsidR="00C32841" w:rsidRPr="00D80328">
        <w:rPr>
          <w:rFonts w:ascii="Times New Roman" w:hAnsi="Times New Roman" w:cs="Times New Roman"/>
          <w:sz w:val="24"/>
          <w:szCs w:val="24"/>
        </w:rPr>
        <w:t>irecta”</w:t>
      </w:r>
      <w:r w:rsidRPr="00D80328">
        <w:rPr>
          <w:rFonts w:ascii="Times New Roman" w:hAnsi="Times New Roman" w:cs="Times New Roman"/>
          <w:sz w:val="24"/>
          <w:szCs w:val="24"/>
        </w:rPr>
        <w:t>, dice.</w:t>
      </w:r>
    </w:p>
    <w:p w:rsidR="00683E51" w:rsidRPr="00D80328" w:rsidRDefault="00683E51" w:rsidP="00550638">
      <w:pPr>
        <w:spacing w:line="240" w:lineRule="auto"/>
        <w:jc w:val="both"/>
        <w:rPr>
          <w:rFonts w:ascii="Times New Roman" w:hAnsi="Times New Roman" w:cs="Times New Roman"/>
          <w:sz w:val="24"/>
          <w:szCs w:val="24"/>
        </w:rPr>
      </w:pPr>
      <w:r w:rsidRPr="00D80328">
        <w:rPr>
          <w:rFonts w:ascii="Times New Roman" w:hAnsi="Times New Roman" w:cs="Times New Roman"/>
          <w:sz w:val="24"/>
          <w:szCs w:val="24"/>
        </w:rPr>
        <w:t>Con parientes lejanos, Femke no sabe qué será de ella. ¿Perderá la asistenta que le ayuda a moverse para evitar problemas circulatorios? ¿Irá menos horas a la semana, o será un grupo de vecinas, con o sin apoyo municipal, el que se cubra sus necesidades? Ella entiende que la crisis manda, pero pregunta quién pagará por los servicios.</w:t>
      </w:r>
    </w:p>
    <w:p w:rsidR="00683E51" w:rsidRPr="00D80328" w:rsidRDefault="00C32841" w:rsidP="00550638">
      <w:pPr>
        <w:spacing w:line="240" w:lineRule="auto"/>
        <w:jc w:val="both"/>
        <w:rPr>
          <w:rFonts w:ascii="Times New Roman" w:hAnsi="Times New Roman" w:cs="Times New Roman"/>
          <w:sz w:val="24"/>
          <w:szCs w:val="24"/>
        </w:rPr>
      </w:pPr>
      <w:r w:rsidRPr="00D80328">
        <w:rPr>
          <w:rFonts w:ascii="Times New Roman" w:hAnsi="Times New Roman" w:cs="Times New Roman"/>
          <w:sz w:val="24"/>
          <w:szCs w:val="24"/>
        </w:rPr>
        <w:t>“</w:t>
      </w:r>
      <w:r w:rsidR="00683E51" w:rsidRPr="00D80328">
        <w:rPr>
          <w:rFonts w:ascii="Times New Roman" w:hAnsi="Times New Roman" w:cs="Times New Roman"/>
          <w:sz w:val="24"/>
          <w:szCs w:val="24"/>
        </w:rPr>
        <w:t>El Estado ha gestionado el bienestar en las últimas décadas y su obligación era evitar las diferencias. Las iniciativas cívicas no son nuevas, pero en cuanto entren en juego fondos privados y locales, puede haber desigualdades. Y los holandeses no están acostumbrados a ello. Por eso es fundamental organizar bien el cambio de mentalidad propuesto. Pasar de recibir un subsidio, sin más, a la solidaridad directa, no</w:t>
      </w:r>
      <w:r w:rsidRPr="00D80328">
        <w:rPr>
          <w:rFonts w:ascii="Times New Roman" w:hAnsi="Times New Roman" w:cs="Times New Roman"/>
          <w:sz w:val="24"/>
          <w:szCs w:val="24"/>
        </w:rPr>
        <w:t xml:space="preserve"> es fácil”</w:t>
      </w:r>
      <w:r w:rsidR="00683E51" w:rsidRPr="00D80328">
        <w:rPr>
          <w:rFonts w:ascii="Times New Roman" w:hAnsi="Times New Roman" w:cs="Times New Roman"/>
          <w:sz w:val="24"/>
          <w:szCs w:val="24"/>
        </w:rPr>
        <w:t>, añade Harchaoui. Wim y Mariette Brugge, ambos de 36 años, con dos niños de cuatro y dos años, son el prototipo de ciudadano capaz de adaptarse al nuevo orden. Su generación ha ejercido con naturalidad la solidaridad del voluntariado y las campañas humanitarias, buen dato. Sus dudas, sin embargo, son parecidas a las de Femke. Tenían a los dos pequeños en la guardería tres días, y ahora solo va el mayor. Sus padres viven en otra región, y Mariette, que trabaja en una tienda de modas, ha visto reducida su jornada a los fines de semana por la crisis. Wim es taxista sin coche propio y el domingo no circula, así que una vecina se</w:t>
      </w:r>
      <w:r w:rsidRPr="00D80328">
        <w:rPr>
          <w:rFonts w:ascii="Times New Roman" w:hAnsi="Times New Roman" w:cs="Times New Roman"/>
          <w:sz w:val="24"/>
          <w:szCs w:val="24"/>
        </w:rPr>
        <w:t xml:space="preserve"> ocupa el sábado de los niños. “</w:t>
      </w:r>
      <w:r w:rsidR="00683E51" w:rsidRPr="00D80328">
        <w:rPr>
          <w:rFonts w:ascii="Times New Roman" w:hAnsi="Times New Roman" w:cs="Times New Roman"/>
          <w:sz w:val="24"/>
          <w:szCs w:val="24"/>
        </w:rPr>
        <w:t xml:space="preserve">Es un momento de incertidumbre. Han subido el precio de la guardería porque hay menos niños. </w:t>
      </w:r>
      <w:r w:rsidRPr="00D80328">
        <w:rPr>
          <w:rFonts w:ascii="Times New Roman" w:hAnsi="Times New Roman" w:cs="Times New Roman"/>
          <w:sz w:val="24"/>
          <w:szCs w:val="24"/>
        </w:rPr>
        <w:t>Ya veremos qué pasa”</w:t>
      </w:r>
      <w:r w:rsidR="00683E51" w:rsidRPr="00D80328">
        <w:rPr>
          <w:rFonts w:ascii="Times New Roman" w:hAnsi="Times New Roman" w:cs="Times New Roman"/>
          <w:sz w:val="24"/>
          <w:szCs w:val="24"/>
        </w:rPr>
        <w:t>, dicen, desde el comedor de su piso en Haarlem.</w:t>
      </w:r>
    </w:p>
    <w:p w:rsidR="00683E51" w:rsidRPr="00D80328" w:rsidRDefault="00C32841" w:rsidP="00550638">
      <w:pPr>
        <w:spacing w:line="240" w:lineRule="auto"/>
        <w:jc w:val="both"/>
        <w:rPr>
          <w:rFonts w:ascii="Times New Roman" w:hAnsi="Times New Roman" w:cs="Times New Roman"/>
          <w:sz w:val="24"/>
          <w:szCs w:val="24"/>
        </w:rPr>
      </w:pPr>
      <w:r w:rsidRPr="00D80328">
        <w:rPr>
          <w:rFonts w:ascii="Times New Roman" w:hAnsi="Times New Roman" w:cs="Times New Roman"/>
          <w:sz w:val="24"/>
          <w:szCs w:val="24"/>
        </w:rPr>
        <w:t>“</w:t>
      </w:r>
      <w:r w:rsidR="00683E51" w:rsidRPr="00D80328">
        <w:rPr>
          <w:rFonts w:ascii="Times New Roman" w:hAnsi="Times New Roman" w:cs="Times New Roman"/>
          <w:sz w:val="24"/>
          <w:szCs w:val="24"/>
        </w:rPr>
        <w:t>Todos sabemos que hay que recortar gastos socia</w:t>
      </w:r>
      <w:r w:rsidRPr="00D80328">
        <w:rPr>
          <w:rFonts w:ascii="Times New Roman" w:hAnsi="Times New Roman" w:cs="Times New Roman"/>
          <w:sz w:val="24"/>
          <w:szCs w:val="24"/>
        </w:rPr>
        <w:t>les. Cómo lograrlo es otra cosa”</w:t>
      </w:r>
      <w:r w:rsidR="00683E51" w:rsidRPr="00D80328">
        <w:rPr>
          <w:rFonts w:ascii="Times New Roman" w:hAnsi="Times New Roman" w:cs="Times New Roman"/>
          <w:sz w:val="24"/>
          <w:szCs w:val="24"/>
        </w:rPr>
        <w:t>, asegura Paul Schnabel, sociólogo y exdirector de la Oficina Central de Planificación económica, asesora por excelencia del Gobierno</w:t>
      </w:r>
      <w:r w:rsidRPr="00D80328">
        <w:rPr>
          <w:rFonts w:ascii="Times New Roman" w:hAnsi="Times New Roman" w:cs="Times New Roman"/>
          <w:sz w:val="24"/>
          <w:szCs w:val="24"/>
        </w:rPr>
        <w:t>. “</w:t>
      </w:r>
      <w:r w:rsidR="00683E51" w:rsidRPr="00D80328">
        <w:rPr>
          <w:rFonts w:ascii="Times New Roman" w:hAnsi="Times New Roman" w:cs="Times New Roman"/>
          <w:sz w:val="24"/>
          <w:szCs w:val="24"/>
        </w:rPr>
        <w:t>Este Gabinete es poco popular, pero a gran parte de la oposición no le conviene que caiga. Quedaría todo en manos de los que suben ahora: la derecha (del líder xenófobo) Geert Wilders, el socialismo radical y el partido de los pensionistas. Ningun</w:t>
      </w:r>
      <w:r w:rsidRPr="00D80328">
        <w:rPr>
          <w:rFonts w:ascii="Times New Roman" w:hAnsi="Times New Roman" w:cs="Times New Roman"/>
          <w:sz w:val="24"/>
          <w:szCs w:val="24"/>
        </w:rPr>
        <w:t>o está capacitado para gobernar”</w:t>
      </w:r>
      <w:r w:rsidR="00683E51" w:rsidRPr="00D80328">
        <w:rPr>
          <w:rFonts w:ascii="Times New Roman" w:hAnsi="Times New Roman" w:cs="Times New Roman"/>
          <w:sz w:val="24"/>
          <w:szCs w:val="24"/>
        </w:rPr>
        <w:t>, afirma. Schnabel subraya la importancia del Estado de bienestar y el rechazo que gene</w:t>
      </w:r>
      <w:r w:rsidRPr="00D80328">
        <w:rPr>
          <w:rFonts w:ascii="Times New Roman" w:hAnsi="Times New Roman" w:cs="Times New Roman"/>
          <w:sz w:val="24"/>
          <w:szCs w:val="24"/>
        </w:rPr>
        <w:t>ra su merma, pero recuerda que “</w:t>
      </w:r>
      <w:r w:rsidR="00683E51" w:rsidRPr="00D80328">
        <w:rPr>
          <w:rFonts w:ascii="Times New Roman" w:hAnsi="Times New Roman" w:cs="Times New Roman"/>
          <w:sz w:val="24"/>
          <w:szCs w:val="24"/>
        </w:rPr>
        <w:t>el PIB no sube, la recesión se alarga ya cinco años, y no hay dinero para pagar; la g</w:t>
      </w:r>
      <w:r w:rsidRPr="00D80328">
        <w:rPr>
          <w:rFonts w:ascii="Times New Roman" w:hAnsi="Times New Roman" w:cs="Times New Roman"/>
          <w:sz w:val="24"/>
          <w:szCs w:val="24"/>
        </w:rPr>
        <w:t>ente tendrá que adaptarse”</w:t>
      </w:r>
      <w:r w:rsidR="00683E51" w:rsidRPr="00D80328">
        <w:rPr>
          <w:rFonts w:ascii="Times New Roman" w:hAnsi="Times New Roman" w:cs="Times New Roman"/>
          <w:sz w:val="24"/>
          <w:szCs w:val="24"/>
        </w:rPr>
        <w:t>. Harchaoui está de acuerdo, aunque intenta suav</w:t>
      </w:r>
      <w:r w:rsidRPr="00D80328">
        <w:rPr>
          <w:rFonts w:ascii="Times New Roman" w:hAnsi="Times New Roman" w:cs="Times New Roman"/>
          <w:sz w:val="24"/>
          <w:szCs w:val="24"/>
        </w:rPr>
        <w:t>izar el golpe en la despedida: “</w:t>
      </w:r>
      <w:r w:rsidR="00683E51" w:rsidRPr="00D80328">
        <w:rPr>
          <w:rFonts w:ascii="Times New Roman" w:hAnsi="Times New Roman" w:cs="Times New Roman"/>
          <w:sz w:val="24"/>
          <w:szCs w:val="24"/>
        </w:rPr>
        <w:t>Si el Estado traslada sus tareas de protección social a los particulares, tal vez pod</w:t>
      </w:r>
      <w:r w:rsidRPr="00D80328">
        <w:rPr>
          <w:rFonts w:ascii="Times New Roman" w:hAnsi="Times New Roman" w:cs="Times New Roman"/>
          <w:sz w:val="24"/>
          <w:szCs w:val="24"/>
        </w:rPr>
        <w:t>rían bajarse algo los impuestos”</w:t>
      </w:r>
      <w:r w:rsidR="00683E51" w:rsidRPr="00D80328">
        <w:rPr>
          <w:rFonts w:ascii="Times New Roman" w:hAnsi="Times New Roman" w:cs="Times New Roman"/>
          <w:sz w:val="24"/>
          <w:szCs w:val="24"/>
        </w:rPr>
        <w:t>, sugiere.</w:t>
      </w:r>
    </w:p>
    <w:p w:rsidR="000803A1" w:rsidRPr="000803A1" w:rsidRDefault="000803A1" w:rsidP="00550638">
      <w:pPr>
        <w:pStyle w:val="NormalWeb"/>
        <w:jc w:val="both"/>
      </w:pPr>
      <w:r>
        <w:rPr>
          <w:i/>
        </w:rPr>
        <w:t>“</w:t>
      </w:r>
      <w:r w:rsidRPr="000803A1">
        <w:rPr>
          <w:i/>
        </w:rPr>
        <w:t>Es uno de los países que mejor representa el Estado de bienestar europeo, ese sistema de seguridad social estatal promovido a partir de la posguerra que garantizó altos niveles de equidad en el viejo continente. Pero el nuevo rey de Holanda, Guillermo Alejandro, manifestó en su primer discurso ante el Parlamento que el “Estado de bienestar clásico de la segunda mitad del siglo XX está terminado” y debe ser sustituido por “una sociedad participativa”</w:t>
      </w:r>
      <w:r>
        <w:rPr>
          <w:i/>
        </w:rPr>
        <w:t xml:space="preserve">… </w:t>
      </w:r>
      <w:r w:rsidRPr="00311F69">
        <w:rPr>
          <w:u w:val="single"/>
        </w:rPr>
        <w:t>El adiós de Holanda a uno de sus pilares: el Estado de bienestar</w:t>
      </w:r>
      <w:r>
        <w:t xml:space="preserve"> (BBCMundo - </w:t>
      </w:r>
      <w:r w:rsidRPr="00311F69">
        <w:rPr>
          <w:b/>
        </w:rPr>
        <w:t>30/9/13</w:t>
      </w:r>
      <w:r>
        <w:t>)</w:t>
      </w:r>
    </w:p>
    <w:p w:rsidR="000803A1" w:rsidRDefault="000803A1" w:rsidP="00550638">
      <w:pPr>
        <w:pStyle w:val="NormalWeb"/>
        <w:jc w:val="both"/>
      </w:pPr>
      <w:r>
        <w:t xml:space="preserve">Obviamente, el monarca no hablaba a título personal sino en representación del gobierno de coalición entre liberales (derecha) y laboristas (centro-izquierda) que ganó las elecciones a fines del año pasado con un mensaje de austeridad. </w:t>
      </w:r>
    </w:p>
    <w:p w:rsidR="000803A1" w:rsidRPr="00E46126" w:rsidRDefault="000803A1" w:rsidP="00550638">
      <w:pPr>
        <w:pStyle w:val="NormalWeb"/>
        <w:jc w:val="both"/>
      </w:pPr>
      <w:r w:rsidRPr="00E46126">
        <w:t xml:space="preserve">Según Diederik Boomsma, de la conservadora Fundación Edmund Burke en Holanda, el mensaje apunta a un cambio impostergable. “El Estado no puede ocuparse de todo. Cuando el gobierno habla de una sociedad participativa está promoviendo que una red </w:t>
      </w:r>
      <w:r w:rsidRPr="00E46126">
        <w:lastRenderedPageBreak/>
        <w:t xml:space="preserve">de ciudadanos se haga cargo de cosas que hasta ahora suministraba el Estado. Si alguien está desempleado, su red familiar y de amigos pueden darle los contactos para encontrar trabajo en vez de esperar que lo haga el Estado con impuestos que pagamos todos y afectan el crecimiento económico”, le dice Boomsma a </w:t>
      </w:r>
      <w:r w:rsidRPr="0059055C">
        <w:rPr>
          <w:i/>
        </w:rPr>
        <w:t>BBC Mundo</w:t>
      </w:r>
      <w:r w:rsidRPr="00E46126">
        <w:t>.</w:t>
      </w:r>
    </w:p>
    <w:p w:rsidR="000803A1" w:rsidRPr="00E46126" w:rsidRDefault="000803A1" w:rsidP="00550638">
      <w:pPr>
        <w:pStyle w:val="NormalWeb"/>
        <w:jc w:val="both"/>
      </w:pPr>
      <w:r w:rsidRPr="00E46126">
        <w:t xml:space="preserve">El Estado de Bienestar se consolidó en Europa como un intento de garantizar que el conjunto de la sociedad, </w:t>
      </w:r>
      <w:r w:rsidR="000E0A0A" w:rsidRPr="00E46126">
        <w:t>incluidos</w:t>
      </w:r>
      <w:r w:rsidRPr="00E46126">
        <w:t xml:space="preserve"> los más pobres, tuviera acceso a servicios básicos como salud, educación, pensión y seguro de desempleo, todo financiado con impuestos. La actual crisis sobrevino cuando a la carga impositiva se le añadió la profunda crisis económica que sacudió a Europa a partir del estallido financiero mundial de 2008. Las anécdotas de excesos en el Estado de bienestar, siempre jugosas, se multiplicaron por los medios de comunicación y los partidos políticos holandeses que reivindicaban la austeridad.</w:t>
      </w:r>
    </w:p>
    <w:p w:rsidR="000803A1" w:rsidRPr="00E46126" w:rsidRDefault="000803A1" w:rsidP="00550638">
      <w:pPr>
        <w:pStyle w:val="NormalWeb"/>
        <w:jc w:val="both"/>
      </w:pPr>
      <w:r w:rsidRPr="00E46126">
        <w:t>Una de las más citadas se refiere a los que cobran el seguro de desempleo, aunque no lo necesitan o trabajan en negro. “El Estado de bienestar corrompe a la gente que recibe los beneficios porque los hace dependientes de esta ayuda, al Estado porque crea una burocracia gigantesca y a la sociedad porque nadie hace nada por el resto”, comenta Boosma.</w:t>
      </w:r>
    </w:p>
    <w:p w:rsidR="000803A1" w:rsidRPr="00E46126" w:rsidRDefault="000803A1" w:rsidP="00550638">
      <w:pPr>
        <w:pStyle w:val="NormalWeb"/>
        <w:jc w:val="both"/>
      </w:pPr>
      <w:r w:rsidRPr="00E46126">
        <w:t>El primer ministro Mark Rutte reprendió recientemente a los holandeses que trataban al Estado como una “maquinita de la felicidad”. Según los críticos, uno de los más acabados ejemplos de esta “maquinita” es la propuesta del socialista Alderman Peter Verschuren en 2008 para que se aumentara la ayuda estatal de modo que los beneficiarios pudieran reemplazar sus viejos televisores por los más modernos de pantalla plana.</w:t>
      </w:r>
    </w:p>
    <w:p w:rsidR="000803A1" w:rsidRPr="00E46126" w:rsidRDefault="000803A1" w:rsidP="00550638">
      <w:pPr>
        <w:pStyle w:val="NormalWeb"/>
        <w:jc w:val="both"/>
      </w:pPr>
      <w:r w:rsidRPr="00E46126">
        <w:t xml:space="preserve">Desde la coalición gubernamental el Partido Laborista alerta que no se trata de abolir el sistema sino de mejorarlo, como le indica a </w:t>
      </w:r>
      <w:r w:rsidRPr="0059055C">
        <w:rPr>
          <w:i/>
        </w:rPr>
        <w:t>BBC Mundo</w:t>
      </w:r>
      <w:r w:rsidRPr="00E46126">
        <w:t xml:space="preserve"> René Cuperus, de la fundación laborista Wiardi Beckman Stichting.  “La necesidad de reforma no viene sólo de ahora. En los 90 había un millón de receptores del beneficio de invalidez para un país con una población de 16 millones de personas. Esto se ajustó y cambió. Algo similar se está haciendo ahora”, añade.</w:t>
      </w:r>
    </w:p>
    <w:p w:rsidR="000803A1" w:rsidRPr="00E46126" w:rsidRDefault="000803A1" w:rsidP="00550638">
      <w:pPr>
        <w:pStyle w:val="NormalWeb"/>
        <w:jc w:val="both"/>
      </w:pPr>
      <w:r w:rsidRPr="00E46126">
        <w:t>Pero si bien los excesos existen, el discurso del rey no cayó del cielo. Este septiembre (2013) el parlamento de Holanda se embarca en una incierta batalla para la aprobación de un ajuste de 6.000 millones de euros, que incluye una reducción de los subsidios de salud, las pensiones y las ayudas por desempleo. Con la crisis de la deuda soberana europea desatada por Grecia en 2010, Holanda se ha comportado como el alumno modelo de la Austeridad recortando el gasto público por más de 46.000 millones de euros. Lejos de subsanar el déficit fiscal o volver al crecimiento, hoy atraviesa la tercera recesión en tres años.</w:t>
      </w:r>
    </w:p>
    <w:p w:rsidR="000803A1" w:rsidRPr="00E46126" w:rsidRDefault="000803A1" w:rsidP="00550638">
      <w:pPr>
        <w:pStyle w:val="NormalWeb"/>
        <w:jc w:val="both"/>
      </w:pPr>
      <w:r w:rsidRPr="00E46126">
        <w:t>El círculo vicioso es típico de los programas de ajuste. Al recortar el gasto cae la actividad económica, se recauda menos (por menor consumo y producción) y se gasta más (por creciente desempleo), todo lo cual termina con un agujero mayor de las cuentas fiscales.</w:t>
      </w:r>
    </w:p>
    <w:p w:rsidR="000803A1" w:rsidRPr="00E46126" w:rsidRDefault="000803A1" w:rsidP="00550638">
      <w:pPr>
        <w:pStyle w:val="NormalWeb"/>
        <w:jc w:val="both"/>
      </w:pPr>
      <w:r w:rsidRPr="00E46126">
        <w:t>El líder del Partido Socialista, Emile Roemer, advirtió que en realidad no se busca modernizar el Estado de bienest</w:t>
      </w:r>
      <w:r w:rsidR="00A51545" w:rsidRPr="00E46126">
        <w:t>ar, sino cerrar las cuentas. “</w:t>
      </w:r>
      <w:r w:rsidRPr="00E46126">
        <w:t xml:space="preserve">Es una política destructiva, </w:t>
      </w:r>
      <w:r w:rsidRPr="00E46126">
        <w:lastRenderedPageBreak/>
        <w:t>una ofensa para la g</w:t>
      </w:r>
      <w:r w:rsidR="00A51545" w:rsidRPr="00E46126">
        <w:t xml:space="preserve">ente que no da esperanza alguna”, agregó. </w:t>
      </w:r>
      <w:r w:rsidRPr="00E46126">
        <w:t>Según los socialistas, la sociedad participativa que promueve el gobierno es un intento de hacer creer que los servicios que presta el Estado no van a desaparecer, sino que van a ser suministrados por organizaciones caritativas, ONG y el mismo tejido fam</w:t>
      </w:r>
      <w:r w:rsidR="00A51545" w:rsidRPr="00E46126">
        <w:t>iliar o de relaciones sociales.</w:t>
      </w:r>
    </w:p>
    <w:p w:rsidR="000803A1" w:rsidRPr="00E46126" w:rsidRDefault="000803A1" w:rsidP="00550638">
      <w:pPr>
        <w:pStyle w:val="NormalWeb"/>
        <w:jc w:val="both"/>
      </w:pPr>
      <w:r w:rsidRPr="00E46126">
        <w:t>Esta reforma del Estado de bienestar mediante el uso del sector privado no se limita a Holanda. En Reino Unido la coalición conservadora-liberal demócrata de David Cameron ha</w:t>
      </w:r>
      <w:r w:rsidR="00A51545" w:rsidRPr="00E46126">
        <w:t xml:space="preserve"> impulsado un concepto similar -la Big Society-</w:t>
      </w:r>
      <w:r w:rsidRPr="00E46126">
        <w:t xml:space="preserve"> para cubrir los huecos abiertos por su programa de recortes, uno de los más radicales de toda la Unión Europea. </w:t>
      </w:r>
    </w:p>
    <w:p w:rsidR="000803A1" w:rsidRPr="00E46126" w:rsidRDefault="000803A1" w:rsidP="00550638">
      <w:pPr>
        <w:pStyle w:val="NormalWeb"/>
        <w:jc w:val="both"/>
      </w:pPr>
      <w:r w:rsidRPr="00E46126">
        <w:t xml:space="preserve">Según el profesor de la London School of Economics, Howard Glennester, el objetivo de fondo es deshacerse del Estado de bienestar. </w:t>
      </w:r>
    </w:p>
    <w:p w:rsidR="000803A1" w:rsidRPr="00E46126" w:rsidRDefault="00A51545" w:rsidP="00550638">
      <w:pPr>
        <w:pStyle w:val="NormalWeb"/>
        <w:jc w:val="both"/>
      </w:pPr>
      <w:r w:rsidRPr="00E46126">
        <w:t>“</w:t>
      </w:r>
      <w:r w:rsidR="000803A1" w:rsidRPr="00E46126">
        <w:t>Las organizaciones caritativas son pequeñas, funcionan con gente que trabaja medio tiempo de manera voluntaria y no tienen los fondos neces</w:t>
      </w:r>
      <w:r w:rsidRPr="00E46126">
        <w:t xml:space="preserve">arios para reemplazar al Estado”, le dice a </w:t>
      </w:r>
      <w:r w:rsidRPr="0059055C">
        <w:rPr>
          <w:i/>
        </w:rPr>
        <w:t>BBC Mundo</w:t>
      </w:r>
      <w:r w:rsidRPr="00E46126">
        <w:t>. “</w:t>
      </w:r>
      <w:r w:rsidR="000803A1" w:rsidRPr="00E46126">
        <w:t xml:space="preserve">Lo que hay detrás es un proyecto político de desmantelamiento del Estado benefactor basado en la idea de que el estado hace todo mal y que las cosas funcionaban mejor en un pasado idílico, el siglo XIX, cuando las organizaciones caritativas tenían que cubrir esas necesidades sociales como podían. La realidad es que históricamente el Estado benefactor surgió por </w:t>
      </w:r>
      <w:r w:rsidRPr="00E46126">
        <w:t>las deficiencias de este modelo”</w:t>
      </w:r>
      <w:r w:rsidR="000803A1" w:rsidRPr="00E46126">
        <w:t>.</w:t>
      </w:r>
    </w:p>
    <w:p w:rsidR="000803A1" w:rsidRPr="00E46126" w:rsidRDefault="000803A1" w:rsidP="00550638">
      <w:pPr>
        <w:pStyle w:val="NormalWeb"/>
        <w:jc w:val="both"/>
      </w:pPr>
      <w:r w:rsidRPr="00E46126">
        <w:t xml:space="preserve">Autor de </w:t>
      </w:r>
      <w:r w:rsidRPr="00BB5AAA">
        <w:rPr>
          <w:i/>
        </w:rPr>
        <w:t>History of Social Policy Since the Secon</w:t>
      </w:r>
      <w:r w:rsidR="00A51545" w:rsidRPr="00BB5AAA">
        <w:rPr>
          <w:i/>
        </w:rPr>
        <w:t>d World War</w:t>
      </w:r>
      <w:r w:rsidR="00A51545" w:rsidRPr="00E46126">
        <w:t xml:space="preserve"> (“</w:t>
      </w:r>
      <w:r w:rsidRPr="00E46126">
        <w:t xml:space="preserve">Historia de las políticas sociales </w:t>
      </w:r>
      <w:r w:rsidR="00A51545" w:rsidRPr="00E46126">
        <w:t>desde la Segunda Guerra Mundial”</w:t>
      </w:r>
      <w:r w:rsidRPr="00E46126">
        <w:t xml:space="preserve">), Glennester explica que el Estado de bienestar no ha </w:t>
      </w:r>
      <w:r w:rsidR="00A51545" w:rsidRPr="00E46126">
        <w:t>dejado de cambiar y adaptarse.  “</w:t>
      </w:r>
      <w:r w:rsidRPr="00E46126">
        <w:t>No existe un modelo clásico inmóvil como plantea Holanda. El modelo se ha adaptado todo el tiempo para lidiar con cambios demográficos o problemas como el fraude o la dependencia que son usados para denigrar el sistema cuando, en realidad, son casos aislados sin</w:t>
      </w:r>
      <w:r w:rsidR="00A51545" w:rsidRPr="00E46126">
        <w:t xml:space="preserve"> incidencia real en el conjunto”</w:t>
      </w:r>
      <w:r w:rsidRPr="00E46126">
        <w:t>, dice.</w:t>
      </w:r>
      <w:r w:rsidR="00A51545" w:rsidRPr="00E46126">
        <w:t xml:space="preserve"> “</w:t>
      </w:r>
      <w:r w:rsidRPr="00E46126">
        <w:t xml:space="preserve">En este sentido las organizaciones caritativas pueden tener un papel auxiliar para una diversificación </w:t>
      </w:r>
      <w:r w:rsidR="000E0A0A" w:rsidRPr="00E46126">
        <w:t>administrativa</w:t>
      </w:r>
      <w:r w:rsidRPr="00E46126">
        <w:t xml:space="preserve"> del sistema, pero no para </w:t>
      </w:r>
      <w:r w:rsidR="000E0A0A" w:rsidRPr="00E46126">
        <w:t>sustituirlo</w:t>
      </w:r>
      <w:r w:rsidR="00A51545" w:rsidRPr="00E46126">
        <w:t xml:space="preserve"> o justificar recortes”</w:t>
      </w:r>
      <w:r w:rsidRPr="00E46126">
        <w:t>.</w:t>
      </w:r>
    </w:p>
    <w:p w:rsidR="00683E51" w:rsidRDefault="00C32841" w:rsidP="0055063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1.3 - </w:t>
      </w:r>
      <w:r w:rsidR="00683E51" w:rsidRPr="00683E51">
        <w:rPr>
          <w:rFonts w:ascii="Times New Roman" w:hAnsi="Times New Roman" w:cs="Times New Roman"/>
          <w:b/>
          <w:sz w:val="24"/>
          <w:szCs w:val="24"/>
        </w:rPr>
        <w:t>Análisis de un nuevo enfoque</w:t>
      </w:r>
      <w:r w:rsidR="00E46126">
        <w:rPr>
          <w:rFonts w:ascii="Times New Roman" w:hAnsi="Times New Roman" w:cs="Times New Roman"/>
          <w:b/>
          <w:sz w:val="24"/>
          <w:szCs w:val="24"/>
        </w:rPr>
        <w:t xml:space="preserve"> (el fin de la “maquinita de la felicidad”)</w:t>
      </w:r>
    </w:p>
    <w:p w:rsidR="00914DA5" w:rsidRPr="00C67263" w:rsidRDefault="00914DA5"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67263">
        <w:rPr>
          <w:rFonts w:ascii="Times New Roman" w:hAnsi="Times New Roman" w:cs="Times New Roman"/>
          <w:sz w:val="24"/>
          <w:szCs w:val="24"/>
          <w:u w:val="single"/>
        </w:rPr>
        <w:t>¿Ha muerto el Estado del Bienestar?</w:t>
      </w:r>
      <w:r>
        <w:rPr>
          <w:rFonts w:ascii="Times New Roman" w:hAnsi="Times New Roman" w:cs="Times New Roman"/>
          <w:sz w:val="24"/>
          <w:szCs w:val="24"/>
        </w:rPr>
        <w:t xml:space="preserve"> (Libertad Digital - </w:t>
      </w:r>
      <w:r w:rsidRPr="00C67263">
        <w:rPr>
          <w:rFonts w:ascii="Times New Roman" w:hAnsi="Times New Roman" w:cs="Times New Roman"/>
          <w:b/>
          <w:sz w:val="24"/>
          <w:szCs w:val="24"/>
        </w:rPr>
        <w:t>21/9/13</w:t>
      </w:r>
      <w:r>
        <w:rPr>
          <w:rFonts w:ascii="Times New Roman" w:hAnsi="Times New Roman" w:cs="Times New Roman"/>
          <w:sz w:val="24"/>
          <w:szCs w:val="24"/>
        </w:rPr>
        <w:t>)</w:t>
      </w:r>
      <w:r w:rsidR="00C32841">
        <w:rPr>
          <w:rFonts w:ascii="Times New Roman" w:hAnsi="Times New Roman" w:cs="Times New Roman"/>
          <w:sz w:val="24"/>
          <w:szCs w:val="24"/>
        </w:rPr>
        <w:t xml:space="preserve"> Lectura recomendada</w:t>
      </w:r>
    </w:p>
    <w:p w:rsidR="00914DA5" w:rsidRPr="0003416D" w:rsidRDefault="00914DA5" w:rsidP="00550638">
      <w:pPr>
        <w:spacing w:line="240" w:lineRule="auto"/>
        <w:jc w:val="both"/>
        <w:rPr>
          <w:rFonts w:ascii="Times New Roman" w:hAnsi="Times New Roman" w:cs="Times New Roman"/>
          <w:color w:val="FF0000"/>
          <w:sz w:val="24"/>
          <w:szCs w:val="24"/>
        </w:rPr>
      </w:pPr>
      <w:r w:rsidRPr="0003416D">
        <w:rPr>
          <w:rFonts w:ascii="Times New Roman" w:hAnsi="Times New Roman" w:cs="Times New Roman"/>
          <w:color w:val="FF0000"/>
          <w:sz w:val="24"/>
          <w:szCs w:val="24"/>
        </w:rPr>
        <w:t>Europa se enfrenta al reto demográfico. Los expertos se preguntan cómo financiar unos servicios públicos más caros sin ahuyentar al contribuyente.</w:t>
      </w:r>
    </w:p>
    <w:p w:rsidR="00914DA5" w:rsidRPr="00C67263" w:rsidRDefault="00914DA5"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(Por D</w:t>
      </w:r>
      <w:r w:rsidR="00C32841">
        <w:rPr>
          <w:rFonts w:ascii="Times New Roman" w:hAnsi="Times New Roman" w:cs="Times New Roman"/>
          <w:sz w:val="24"/>
          <w:szCs w:val="24"/>
        </w:rPr>
        <w:t>omingo</w:t>
      </w:r>
      <w:r>
        <w:rPr>
          <w:rFonts w:ascii="Times New Roman" w:hAnsi="Times New Roman" w:cs="Times New Roman"/>
          <w:sz w:val="24"/>
          <w:szCs w:val="24"/>
        </w:rPr>
        <w:t xml:space="preserve"> Soriano)</w:t>
      </w:r>
    </w:p>
    <w:p w:rsidR="00914DA5" w:rsidRPr="0003416D" w:rsidRDefault="00914DA5" w:rsidP="00550638">
      <w:pPr>
        <w:spacing w:line="240" w:lineRule="auto"/>
        <w:jc w:val="both"/>
        <w:rPr>
          <w:rFonts w:ascii="Times New Roman" w:hAnsi="Times New Roman" w:cs="Times New Roman"/>
          <w:color w:val="FF0000"/>
          <w:sz w:val="24"/>
          <w:szCs w:val="24"/>
          <w:u w:val="single"/>
        </w:rPr>
      </w:pPr>
      <w:r w:rsidRPr="0003416D">
        <w:rPr>
          <w:rFonts w:ascii="Times New Roman" w:hAnsi="Times New Roman" w:cs="Times New Roman"/>
          <w:color w:val="FF0000"/>
          <w:sz w:val="24"/>
          <w:szCs w:val="24"/>
          <w:u w:val="single"/>
        </w:rPr>
        <w:t>El paso hacia una sociedad participativa es particularmente notable en la seguridad social y en los que necesiten cuidados de larga duración. Es precisamente en esos sectores donde el clásico Estado del bienestar de la segunda mitad del siglo XX ha producido sistemas que en su forma actual ni son sostenibles ni están adaptados a las expectativas de los ciudadanos.</w:t>
      </w:r>
    </w:p>
    <w:p w:rsidR="00914DA5" w:rsidRPr="0003416D" w:rsidRDefault="00914DA5" w:rsidP="00550638">
      <w:pPr>
        <w:spacing w:line="240" w:lineRule="auto"/>
        <w:jc w:val="both"/>
        <w:rPr>
          <w:rFonts w:ascii="Times New Roman" w:hAnsi="Times New Roman" w:cs="Times New Roman"/>
          <w:color w:val="FF0000"/>
          <w:sz w:val="24"/>
          <w:szCs w:val="24"/>
          <w:u w:val="single"/>
        </w:rPr>
      </w:pPr>
      <w:r w:rsidRPr="0003416D">
        <w:rPr>
          <w:rFonts w:ascii="Times New Roman" w:hAnsi="Times New Roman" w:cs="Times New Roman"/>
          <w:sz w:val="24"/>
          <w:szCs w:val="24"/>
          <w:u w:val="single"/>
        </w:rPr>
        <w:t>Con estas palabras, leídas por su nuevo rey, Guillermo Alejandro I, pero escritas por el Gobierno liberal-socialdemócrata, Holanda se ponía este martes a la cabeza de un debate que desde hace años recorre Europa</w:t>
      </w:r>
      <w:r w:rsidRPr="00C67263">
        <w:rPr>
          <w:rFonts w:ascii="Times New Roman" w:hAnsi="Times New Roman" w:cs="Times New Roman"/>
          <w:sz w:val="24"/>
          <w:szCs w:val="24"/>
        </w:rPr>
        <w:t xml:space="preserve">: </w:t>
      </w:r>
      <w:r w:rsidRPr="0003416D">
        <w:rPr>
          <w:rFonts w:ascii="Times New Roman" w:hAnsi="Times New Roman" w:cs="Times New Roman"/>
          <w:color w:val="FF0000"/>
          <w:sz w:val="24"/>
          <w:szCs w:val="24"/>
          <w:u w:val="single"/>
        </w:rPr>
        <w:t>¿cómo mantener, si es que es posible, el Estado del Bienestar creado tras la Segunda Guerra Mundial?</w:t>
      </w:r>
    </w:p>
    <w:p w:rsidR="00914DA5" w:rsidRPr="0003416D" w:rsidRDefault="00914DA5" w:rsidP="00550638">
      <w:pPr>
        <w:spacing w:line="240" w:lineRule="auto"/>
        <w:jc w:val="both"/>
        <w:rPr>
          <w:rFonts w:ascii="Times New Roman" w:hAnsi="Times New Roman" w:cs="Times New Roman"/>
          <w:color w:val="FF0000"/>
          <w:sz w:val="24"/>
          <w:szCs w:val="24"/>
          <w:u w:val="single"/>
        </w:rPr>
      </w:pPr>
      <w:r w:rsidRPr="0003416D">
        <w:rPr>
          <w:rFonts w:ascii="Times New Roman" w:hAnsi="Times New Roman" w:cs="Times New Roman"/>
          <w:color w:val="FF0000"/>
          <w:sz w:val="24"/>
          <w:szCs w:val="24"/>
          <w:u w:val="single"/>
        </w:rPr>
        <w:lastRenderedPageBreak/>
        <w:t>La crisis económica ha puesto las cuentas públicas de un buen número de países de la UE al borde del precipicio. Todo el mundo es consciente en los casos de España, Italia, Portugal o Grecia. Pero también en el norte de Europa existe preocupación por la sostenibilidad financiera de los servicios públicos y las prestaciones sociales. Dinamarca, Suecia, Finlandia o el Reino Unido llevan años (en algunos casos décadas) implementando reformas en pensiones, educación o sanidad.</w:t>
      </w:r>
    </w:p>
    <w:p w:rsidR="00914DA5" w:rsidRPr="0003416D" w:rsidRDefault="00914DA5" w:rsidP="00550638">
      <w:pPr>
        <w:spacing w:line="240" w:lineRule="auto"/>
        <w:jc w:val="both"/>
        <w:rPr>
          <w:rFonts w:ascii="Times New Roman" w:hAnsi="Times New Roman" w:cs="Times New Roman"/>
          <w:sz w:val="24"/>
          <w:szCs w:val="24"/>
          <w:u w:val="single"/>
        </w:rPr>
      </w:pPr>
      <w:r w:rsidRPr="0003416D">
        <w:rPr>
          <w:rFonts w:ascii="Times New Roman" w:hAnsi="Times New Roman" w:cs="Times New Roman"/>
          <w:sz w:val="24"/>
          <w:szCs w:val="24"/>
          <w:u w:val="single"/>
        </w:rPr>
        <w:t>De esta manera, mientras en el sur de Europa los manifestantes claman por la elevación de la edad de jubilación, el copago sanitario o la reducción del número de funcionarios, a los contribuyentes alemanes o finlandeses, que han puesto el dinero para rescatar a los PIIGS, ya se les aplican estas medidas desde hace años.</w:t>
      </w:r>
    </w:p>
    <w:p w:rsidR="00914DA5" w:rsidRPr="00C67263" w:rsidRDefault="00C32841"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“Abrir el melón”</w:t>
      </w:r>
    </w:p>
    <w:p w:rsidR="00914DA5" w:rsidRPr="0003416D" w:rsidRDefault="00914DA5" w:rsidP="00550638">
      <w:pPr>
        <w:spacing w:line="240" w:lineRule="auto"/>
        <w:jc w:val="both"/>
        <w:rPr>
          <w:rFonts w:ascii="Times New Roman" w:hAnsi="Times New Roman" w:cs="Times New Roman"/>
          <w:color w:val="FF0000"/>
          <w:sz w:val="24"/>
          <w:szCs w:val="24"/>
          <w:u w:val="single"/>
        </w:rPr>
      </w:pPr>
      <w:r w:rsidRPr="0003416D">
        <w:rPr>
          <w:rFonts w:ascii="Times New Roman" w:hAnsi="Times New Roman" w:cs="Times New Roman"/>
          <w:color w:val="FF0000"/>
          <w:sz w:val="24"/>
          <w:szCs w:val="24"/>
          <w:u w:val="single"/>
        </w:rPr>
        <w:t>Ahora le toca el turno a Holanda, en una débil situación económica, de abrir el melón.</w:t>
      </w:r>
      <w:r w:rsidRPr="0003416D">
        <w:rPr>
          <w:rFonts w:ascii="Times New Roman" w:hAnsi="Times New Roman" w:cs="Times New Roman"/>
          <w:color w:val="FF0000"/>
          <w:sz w:val="24"/>
          <w:szCs w:val="24"/>
        </w:rPr>
        <w:t xml:space="preserve"> </w:t>
      </w:r>
      <w:r w:rsidRPr="00C67263">
        <w:rPr>
          <w:rFonts w:ascii="Times New Roman" w:hAnsi="Times New Roman" w:cs="Times New Roman"/>
          <w:sz w:val="24"/>
          <w:szCs w:val="24"/>
        </w:rPr>
        <w:t xml:space="preserve">No será sencillo. La oposición ya ha puesto el grito en el cielo. Y el Gobierno asegura que no es una elección sencilla, simplemente, es que no hay dinero. </w:t>
      </w:r>
      <w:r w:rsidRPr="0003416D">
        <w:rPr>
          <w:rFonts w:ascii="Times New Roman" w:hAnsi="Times New Roman" w:cs="Times New Roman"/>
          <w:color w:val="FF0000"/>
          <w:sz w:val="24"/>
          <w:szCs w:val="24"/>
          <w:u w:val="single"/>
        </w:rPr>
        <w:t>El diario progresista De Volkskrant encabezaba su portada del viernes c</w:t>
      </w:r>
      <w:r w:rsidR="00C32841">
        <w:rPr>
          <w:rFonts w:ascii="Times New Roman" w:hAnsi="Times New Roman" w:cs="Times New Roman"/>
          <w:color w:val="FF0000"/>
          <w:sz w:val="24"/>
          <w:szCs w:val="24"/>
          <w:u w:val="single"/>
        </w:rPr>
        <w:t>on una contundente afirmación: “</w:t>
      </w:r>
      <w:r w:rsidRPr="0003416D">
        <w:rPr>
          <w:rFonts w:ascii="Times New Roman" w:hAnsi="Times New Roman" w:cs="Times New Roman"/>
          <w:color w:val="FF0000"/>
          <w:sz w:val="24"/>
          <w:szCs w:val="24"/>
          <w:u w:val="single"/>
        </w:rPr>
        <w:t>El Estado del Bienestar ha muerto,</w:t>
      </w:r>
      <w:r w:rsidR="00C32841">
        <w:rPr>
          <w:rFonts w:ascii="Times New Roman" w:hAnsi="Times New Roman" w:cs="Times New Roman"/>
          <w:color w:val="FF0000"/>
          <w:sz w:val="24"/>
          <w:szCs w:val="24"/>
          <w:u w:val="single"/>
        </w:rPr>
        <w:t xml:space="preserve"> viva la sociedad participativa”</w:t>
      </w:r>
      <w:r w:rsidRPr="0003416D">
        <w:rPr>
          <w:rFonts w:ascii="Times New Roman" w:hAnsi="Times New Roman" w:cs="Times New Roman"/>
          <w:color w:val="FF0000"/>
          <w:sz w:val="24"/>
          <w:szCs w:val="24"/>
          <w:u w:val="single"/>
        </w:rPr>
        <w:t>. ¿Será verdad?</w:t>
      </w:r>
    </w:p>
    <w:p w:rsidR="00914DA5" w:rsidRPr="0003416D" w:rsidRDefault="00914DA5" w:rsidP="00550638">
      <w:pPr>
        <w:spacing w:line="240" w:lineRule="auto"/>
        <w:jc w:val="both"/>
        <w:rPr>
          <w:rFonts w:ascii="Times New Roman" w:hAnsi="Times New Roman" w:cs="Times New Roman"/>
          <w:sz w:val="24"/>
          <w:szCs w:val="24"/>
          <w:u w:val="single"/>
        </w:rPr>
      </w:pPr>
      <w:r w:rsidRPr="0003416D">
        <w:rPr>
          <w:rFonts w:ascii="Times New Roman" w:hAnsi="Times New Roman" w:cs="Times New Roman"/>
          <w:sz w:val="24"/>
          <w:szCs w:val="24"/>
          <w:u w:val="single"/>
        </w:rPr>
        <w:t>Mucho antes de la caída de Lehman Brothers en septiembre de 2008, la sostenibilidad del Estado del Bienestar europeo era puesta en duda por numerosos expertos. El modelo, nacido a comienzos del siglo XX y llevado a su máxima expresión tras la Segunda Guerra Mundial, daba muestras de agotamiento.</w:t>
      </w:r>
    </w:p>
    <w:p w:rsidR="00914DA5" w:rsidRPr="00C67263" w:rsidRDefault="00914DA5"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Más beneficiarios y más caros</w:t>
      </w:r>
    </w:p>
    <w:p w:rsidR="00914DA5" w:rsidRPr="00031800" w:rsidRDefault="00914DA5" w:rsidP="00550638">
      <w:pPr>
        <w:spacing w:line="240" w:lineRule="auto"/>
        <w:jc w:val="both"/>
        <w:rPr>
          <w:rFonts w:ascii="Times New Roman" w:hAnsi="Times New Roman" w:cs="Times New Roman"/>
          <w:sz w:val="24"/>
          <w:szCs w:val="24"/>
          <w:u w:val="single"/>
        </w:rPr>
      </w:pPr>
      <w:r w:rsidRPr="00C67263">
        <w:rPr>
          <w:rFonts w:ascii="Times New Roman" w:hAnsi="Times New Roman" w:cs="Times New Roman"/>
          <w:sz w:val="24"/>
          <w:szCs w:val="24"/>
        </w:rPr>
        <w:t xml:space="preserve">Cuando se habla del envejecimiento de la población europea y del coste que tendrá, se piensa siempre en las pensiones; pero no es éste el único ámbito en el que el cambio de la pirámide poblacional tendrá consecuencias. </w:t>
      </w:r>
      <w:r w:rsidRPr="00031800">
        <w:rPr>
          <w:rFonts w:ascii="Times New Roman" w:hAnsi="Times New Roman" w:cs="Times New Roman"/>
          <w:sz w:val="24"/>
          <w:szCs w:val="24"/>
          <w:u w:val="single"/>
        </w:rPr>
        <w:t>Se espera que en 2050 más del 25% de los ciudadanos europeos tengan más de 65 años. Esto quiere decir menos personas trabajando y más recibiendo prestaciones sociales cada vez más caras.</w:t>
      </w:r>
    </w:p>
    <w:p w:rsidR="00914DA5" w:rsidRPr="00031800" w:rsidRDefault="00914DA5" w:rsidP="00550638">
      <w:pPr>
        <w:spacing w:line="240" w:lineRule="auto"/>
        <w:jc w:val="both"/>
        <w:rPr>
          <w:rFonts w:ascii="Times New Roman" w:hAnsi="Times New Roman" w:cs="Times New Roman"/>
          <w:color w:val="FF0000"/>
          <w:sz w:val="24"/>
          <w:szCs w:val="24"/>
          <w:u w:val="single"/>
        </w:rPr>
      </w:pPr>
      <w:r w:rsidRPr="00031800">
        <w:rPr>
          <w:rFonts w:ascii="Times New Roman" w:hAnsi="Times New Roman" w:cs="Times New Roman"/>
          <w:sz w:val="24"/>
          <w:szCs w:val="24"/>
          <w:u w:val="single"/>
        </w:rPr>
        <w:t xml:space="preserve">Según los expertos, el gasto en sanidad, por ejemplo, se mantiene más o menos estable desde los 10 a los 60 años. A partir de esa edad, comienza a crecer de forma casi exponencial. </w:t>
      </w:r>
      <w:r w:rsidRPr="00031800">
        <w:rPr>
          <w:rFonts w:ascii="Times New Roman" w:hAnsi="Times New Roman" w:cs="Times New Roman"/>
          <w:color w:val="FF0000"/>
          <w:sz w:val="24"/>
          <w:szCs w:val="24"/>
          <w:u w:val="single"/>
        </w:rPr>
        <w:t>Los estudios dicen que en el año 2025, tratar a un paciente de menos de 65 años costará unos 2.200 euros (a precios constantes de 2010). Para los que tengan entre 65 y 79, esta cantidad se multiplica por cuatro, hasta los 8.570 euros. Para los que tengan entre 80 y 94 años, el coste será de 15.000 euros (siete veces más que al paciente convencional). Y para los mayores de 95 el coste será de 28.500 euros (catorce veces más).</w:t>
      </w:r>
    </w:p>
    <w:p w:rsidR="00914DA5" w:rsidRPr="00031800" w:rsidRDefault="00914DA5" w:rsidP="00550638">
      <w:pPr>
        <w:spacing w:line="240" w:lineRule="auto"/>
        <w:jc w:val="both"/>
        <w:rPr>
          <w:rFonts w:ascii="Times New Roman" w:hAnsi="Times New Roman" w:cs="Times New Roman"/>
          <w:sz w:val="24"/>
          <w:szCs w:val="24"/>
          <w:u w:val="single"/>
        </w:rPr>
      </w:pPr>
      <w:r w:rsidRPr="00031800">
        <w:rPr>
          <w:rFonts w:ascii="Times New Roman" w:hAnsi="Times New Roman" w:cs="Times New Roman"/>
          <w:sz w:val="24"/>
          <w:szCs w:val="24"/>
          <w:u w:val="single"/>
        </w:rPr>
        <w:t xml:space="preserve">Habrá quien diga que a cambio se gastará menos en educación, porque no nacen niños. </w:t>
      </w:r>
      <w:r w:rsidRPr="00C67263">
        <w:rPr>
          <w:rFonts w:ascii="Times New Roman" w:hAnsi="Times New Roman" w:cs="Times New Roman"/>
          <w:sz w:val="24"/>
          <w:szCs w:val="24"/>
        </w:rPr>
        <w:t xml:space="preserve">Y que hay cierto margen para subir el número total de la población activa, cuando finalice la plena incorporación de la mujer al mercado de trabajo (ahora mismo, entre las mayores de 50 años, aún hay un importante grupo al margen, una situación que irá diluyéndose con el paso de los años). </w:t>
      </w:r>
      <w:r w:rsidRPr="00031800">
        <w:rPr>
          <w:rFonts w:ascii="Times New Roman" w:hAnsi="Times New Roman" w:cs="Times New Roman"/>
          <w:sz w:val="24"/>
          <w:szCs w:val="24"/>
          <w:u w:val="single"/>
        </w:rPr>
        <w:t>En cualquier caso, ni el ahorro no será suficiente para cubrir los incrementos del gasto sanitario, ni las nuevas incorporaciones suplirán a las bajas.</w:t>
      </w:r>
    </w:p>
    <w:p w:rsidR="00914DA5" w:rsidRPr="00031800" w:rsidRDefault="00914DA5" w:rsidP="00550638">
      <w:pPr>
        <w:spacing w:line="240" w:lineRule="auto"/>
        <w:jc w:val="both"/>
        <w:rPr>
          <w:rFonts w:ascii="Times New Roman" w:hAnsi="Times New Roman" w:cs="Times New Roman"/>
          <w:color w:val="FF0000"/>
          <w:sz w:val="24"/>
          <w:szCs w:val="24"/>
          <w:u w:val="single"/>
        </w:rPr>
      </w:pPr>
      <w:r w:rsidRPr="00031800">
        <w:rPr>
          <w:rFonts w:ascii="Times New Roman" w:hAnsi="Times New Roman" w:cs="Times New Roman"/>
          <w:sz w:val="24"/>
          <w:szCs w:val="24"/>
          <w:u w:val="single"/>
        </w:rPr>
        <w:t xml:space="preserve">Además, hay que tener en cuenta que las prestaciones sociales cada día alcanzan a más individuos. En Alemania, por ejemplo, antes de la crisis, se estimaba que más del 70% de los hogares recibían algún tipo de ayuda pública. En un país con una renta per cápita </w:t>
      </w:r>
      <w:r w:rsidRPr="00031800">
        <w:rPr>
          <w:rFonts w:ascii="Times New Roman" w:hAnsi="Times New Roman" w:cs="Times New Roman"/>
          <w:sz w:val="24"/>
          <w:szCs w:val="24"/>
          <w:u w:val="single"/>
        </w:rPr>
        <w:lastRenderedPageBreak/>
        <w:t>que en la actualidad es ¡de más de 32.600 euros!</w:t>
      </w:r>
      <w:r w:rsidRPr="00C67263">
        <w:rPr>
          <w:rFonts w:ascii="Times New Roman" w:hAnsi="Times New Roman" w:cs="Times New Roman"/>
          <w:sz w:val="24"/>
          <w:szCs w:val="24"/>
        </w:rPr>
        <w:t xml:space="preserve"> </w:t>
      </w:r>
      <w:r w:rsidRPr="00031800">
        <w:rPr>
          <w:rFonts w:ascii="Times New Roman" w:hAnsi="Times New Roman" w:cs="Times New Roman"/>
          <w:color w:val="FF0000"/>
          <w:sz w:val="24"/>
          <w:szCs w:val="24"/>
          <w:u w:val="single"/>
        </w:rPr>
        <w:t>En Libertad de Eleg</w:t>
      </w:r>
      <w:r w:rsidR="00C32841">
        <w:rPr>
          <w:rFonts w:ascii="Times New Roman" w:hAnsi="Times New Roman" w:cs="Times New Roman"/>
          <w:color w:val="FF0000"/>
          <w:sz w:val="24"/>
          <w:szCs w:val="24"/>
          <w:u w:val="single"/>
        </w:rPr>
        <w:t>ir, Milton Friedman, apuntaba “</w:t>
      </w:r>
      <w:r w:rsidRPr="00031800">
        <w:rPr>
          <w:rFonts w:ascii="Times New Roman" w:hAnsi="Times New Roman" w:cs="Times New Roman"/>
          <w:color w:val="FF0000"/>
          <w:sz w:val="24"/>
          <w:szCs w:val="24"/>
          <w:u w:val="single"/>
        </w:rPr>
        <w:t xml:space="preserve">al comienzo de los programas de bienestar, los individuos que se beneficiaban eran pocos y los contribuyentes que financiaban los programas muchos. Ahora, todos pagamos programas con el dinero de uno de nuestros bolsillos intentando </w:t>
      </w:r>
      <w:r w:rsidR="00C32841">
        <w:rPr>
          <w:rFonts w:ascii="Times New Roman" w:hAnsi="Times New Roman" w:cs="Times New Roman"/>
          <w:color w:val="FF0000"/>
          <w:sz w:val="24"/>
          <w:szCs w:val="24"/>
          <w:u w:val="single"/>
        </w:rPr>
        <w:t>llenar el otro de los bolsillos”</w:t>
      </w:r>
      <w:r w:rsidRPr="00031800">
        <w:rPr>
          <w:rFonts w:ascii="Times New Roman" w:hAnsi="Times New Roman" w:cs="Times New Roman"/>
          <w:color w:val="FF0000"/>
          <w:sz w:val="24"/>
          <w:szCs w:val="24"/>
          <w:u w:val="single"/>
        </w:rPr>
        <w:t>.</w:t>
      </w:r>
    </w:p>
    <w:p w:rsidR="00914DA5" w:rsidRPr="00C67263" w:rsidRDefault="00914DA5"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Incentivos perversos</w:t>
      </w:r>
    </w:p>
    <w:p w:rsidR="00914DA5" w:rsidRPr="00031800" w:rsidRDefault="00914DA5" w:rsidP="00550638">
      <w:pPr>
        <w:spacing w:line="240" w:lineRule="auto"/>
        <w:jc w:val="both"/>
        <w:rPr>
          <w:rFonts w:ascii="Times New Roman" w:hAnsi="Times New Roman" w:cs="Times New Roman"/>
          <w:sz w:val="24"/>
          <w:szCs w:val="24"/>
          <w:u w:val="single"/>
        </w:rPr>
      </w:pPr>
      <w:r w:rsidRPr="00031800">
        <w:rPr>
          <w:rFonts w:ascii="Times New Roman" w:hAnsi="Times New Roman" w:cs="Times New Roman"/>
          <w:sz w:val="24"/>
          <w:szCs w:val="24"/>
          <w:u w:val="single"/>
        </w:rPr>
        <w:t>El Estado del Bienestar se asocia a la ayuda a los necesitados. El problema e</w:t>
      </w:r>
      <w:r w:rsidR="00C32841">
        <w:rPr>
          <w:rFonts w:ascii="Times New Roman" w:hAnsi="Times New Roman" w:cs="Times New Roman"/>
          <w:sz w:val="24"/>
          <w:szCs w:val="24"/>
          <w:u w:val="single"/>
        </w:rPr>
        <w:t>s que dar dinero a alguien por “ser algo” o por “</w:t>
      </w:r>
      <w:r w:rsidRPr="00031800">
        <w:rPr>
          <w:rFonts w:ascii="Times New Roman" w:hAnsi="Times New Roman" w:cs="Times New Roman"/>
          <w:sz w:val="24"/>
          <w:szCs w:val="24"/>
          <w:u w:val="single"/>
        </w:rPr>
        <w:t>est</w:t>
      </w:r>
      <w:r w:rsidR="00C32841">
        <w:rPr>
          <w:rFonts w:ascii="Times New Roman" w:hAnsi="Times New Roman" w:cs="Times New Roman"/>
          <w:sz w:val="24"/>
          <w:szCs w:val="24"/>
          <w:u w:val="single"/>
        </w:rPr>
        <w:t>ar en una determinada situación”</w:t>
      </w:r>
      <w:r w:rsidRPr="00031800">
        <w:rPr>
          <w:rFonts w:ascii="Times New Roman" w:hAnsi="Times New Roman" w:cs="Times New Roman"/>
          <w:sz w:val="24"/>
          <w:szCs w:val="24"/>
          <w:u w:val="single"/>
        </w:rPr>
        <w:t xml:space="preserve"> implica generar incentivos que pueden llegar a ser perversos</w:t>
      </w:r>
      <w:r w:rsidRPr="00C67263">
        <w:rPr>
          <w:rFonts w:ascii="Times New Roman" w:hAnsi="Times New Roman" w:cs="Times New Roman"/>
          <w:sz w:val="24"/>
          <w:szCs w:val="24"/>
        </w:rPr>
        <w:t xml:space="preserve">. En Dinamarca, por ejemplo, en los últimos meses, se ha generado una gran polémica a raíz de determinados casos aparecidos en los medios de comunicación de personas que vivían sin trabajar durante años, aunque eran perfectamente capaces de valerse por sí mismos; como el de esa madre soltera con dos hijas que vive en una casa pública, gana 2.700 dólares al mes y no ha trabajado nunca. </w:t>
      </w:r>
      <w:r w:rsidRPr="00031800">
        <w:rPr>
          <w:rFonts w:ascii="Times New Roman" w:hAnsi="Times New Roman" w:cs="Times New Roman"/>
          <w:sz w:val="24"/>
          <w:szCs w:val="24"/>
          <w:u w:val="single"/>
        </w:rPr>
        <w:t>En el país nórdico, casi el 9% de la población activa está oficialmente considerada como discapacitada y recibe una prestación del Estado. Con todo esto, sólo en 3 de 98 municipios la mayoría de los residentes trabajan (contando niños y ancianos, claro). Y eso en un país con una tasa de paro de menos del 5%.</w:t>
      </w:r>
    </w:p>
    <w:p w:rsidR="00914DA5" w:rsidRPr="00031800" w:rsidRDefault="00914DA5" w:rsidP="00550638">
      <w:pPr>
        <w:spacing w:line="240" w:lineRule="auto"/>
        <w:jc w:val="both"/>
        <w:rPr>
          <w:rFonts w:ascii="Times New Roman" w:hAnsi="Times New Roman" w:cs="Times New Roman"/>
          <w:color w:val="FF0000"/>
          <w:sz w:val="24"/>
          <w:szCs w:val="24"/>
          <w:u w:val="single"/>
        </w:rPr>
      </w:pPr>
      <w:r w:rsidRPr="00C67263">
        <w:rPr>
          <w:rFonts w:ascii="Times New Roman" w:hAnsi="Times New Roman" w:cs="Times New Roman"/>
          <w:sz w:val="24"/>
          <w:szCs w:val="24"/>
        </w:rPr>
        <w:t xml:space="preserve">Es muy difícil sostener una situación así. </w:t>
      </w:r>
      <w:r w:rsidRPr="00031800">
        <w:rPr>
          <w:rFonts w:ascii="Times New Roman" w:hAnsi="Times New Roman" w:cs="Times New Roman"/>
          <w:sz w:val="24"/>
          <w:szCs w:val="24"/>
          <w:u w:val="single"/>
        </w:rPr>
        <w:t>En España, por ejemplo, hay menos de 19 millones de trabajadores con una población de 47 millones de habitantes. Nadie quiere estar en el paro ni ser pobre, pero si los incentivos no están alineados, se pueden acabar propiciando situaciones indeseadas.</w:t>
      </w:r>
      <w:r w:rsidRPr="00C67263">
        <w:rPr>
          <w:rFonts w:ascii="Times New Roman" w:hAnsi="Times New Roman" w:cs="Times New Roman"/>
          <w:sz w:val="24"/>
          <w:szCs w:val="24"/>
        </w:rPr>
        <w:t xml:space="preserve"> </w:t>
      </w:r>
      <w:r w:rsidRPr="00031800">
        <w:rPr>
          <w:rFonts w:ascii="Times New Roman" w:hAnsi="Times New Roman" w:cs="Times New Roman"/>
          <w:color w:val="FF0000"/>
          <w:sz w:val="24"/>
          <w:szCs w:val="24"/>
          <w:u w:val="single"/>
        </w:rPr>
        <w:t>Según los datos del Observatorio Laboral de la Crisis de Fedea, aquellos parados que no cobran el subsidio de desempleo tienen el doble de posibilidades de encontrar trabajo que aquellos otros con sus mismas características pero que sí tienen derecho a una paga mensual. Todos los parados quieren un empleo, pero el diseño de la prestación es clave para motivar y facilitar que lo encuentren lo antes posible.</w:t>
      </w:r>
    </w:p>
    <w:p w:rsidR="00914DA5" w:rsidRPr="00031800" w:rsidRDefault="00914DA5" w:rsidP="00550638">
      <w:pPr>
        <w:spacing w:line="240" w:lineRule="auto"/>
        <w:jc w:val="both"/>
        <w:rPr>
          <w:rFonts w:ascii="Times New Roman" w:hAnsi="Times New Roman" w:cs="Times New Roman"/>
          <w:color w:val="FF0000"/>
          <w:sz w:val="24"/>
          <w:szCs w:val="24"/>
          <w:u w:val="single"/>
        </w:rPr>
      </w:pPr>
      <w:r w:rsidRPr="00031800">
        <w:rPr>
          <w:rFonts w:ascii="Times New Roman" w:hAnsi="Times New Roman" w:cs="Times New Roman"/>
          <w:color w:val="FF0000"/>
          <w:sz w:val="24"/>
          <w:szCs w:val="24"/>
          <w:u w:val="single"/>
        </w:rPr>
        <w:t>En este sentido, el Estado del Bienestar ha generado una clase propia, de personas que han vivido durante décadas de ayudas estatales que no quieren perder. En EEUU, hay mucha literatura académica sobre personas que no buscan empleo porque temen que les quiten sus beneficios. Un estudio del Cato Institute apunta que en 39 estados, la paga social del receptor medio es superior, por ejemplo, al salario inicial de una secretaria.</w:t>
      </w:r>
    </w:p>
    <w:p w:rsidR="00914DA5" w:rsidRPr="00C67263" w:rsidRDefault="00914DA5" w:rsidP="00550638">
      <w:pPr>
        <w:spacing w:line="240" w:lineRule="auto"/>
        <w:jc w:val="both"/>
        <w:rPr>
          <w:rFonts w:ascii="Times New Roman" w:hAnsi="Times New Roman" w:cs="Times New Roman"/>
          <w:sz w:val="24"/>
          <w:szCs w:val="24"/>
        </w:rPr>
      </w:pPr>
      <w:r w:rsidRPr="00031800">
        <w:rPr>
          <w:rFonts w:ascii="Times New Roman" w:hAnsi="Times New Roman" w:cs="Times New Roman"/>
          <w:color w:val="FF0000"/>
          <w:sz w:val="24"/>
          <w:szCs w:val="24"/>
          <w:u w:val="single"/>
        </w:rPr>
        <w:t>Las estadísticas muestran que cuando una persona comienza a recibir ayudas sociales, lo normal es que salga con relativa facilidad de esa situación: tiene relaciones laborales, está dentro de la dinámica del mercado laboral,... Pero si se mantiene más de un año, se multiplican las posibilidades de que se perpetúe en ese estado.</w:t>
      </w:r>
      <w:r w:rsidRPr="00C67263">
        <w:rPr>
          <w:rFonts w:ascii="Times New Roman" w:hAnsi="Times New Roman" w:cs="Times New Roman"/>
          <w:sz w:val="24"/>
          <w:szCs w:val="24"/>
        </w:rPr>
        <w:t xml:space="preserve"> </w:t>
      </w:r>
      <w:r w:rsidRPr="00031800">
        <w:rPr>
          <w:rFonts w:ascii="Times New Roman" w:hAnsi="Times New Roman" w:cs="Times New Roman"/>
          <w:sz w:val="24"/>
          <w:szCs w:val="24"/>
          <w:u w:val="single"/>
        </w:rPr>
        <w:t>En España, los parados con menos de tres meses en esa situación tienen más del 50% de posibilidades de encontrar un empleo en el trimestre siguiente; los de más de un año, menos del 15%.</w:t>
      </w:r>
      <w:r w:rsidRPr="00C67263">
        <w:rPr>
          <w:rFonts w:ascii="Times New Roman" w:hAnsi="Times New Roman" w:cs="Times New Roman"/>
          <w:sz w:val="24"/>
          <w:szCs w:val="24"/>
        </w:rPr>
        <w:t xml:space="preserve"> Por lo tanto, los expertos apuntan a que las ayudas deberían diseñarse para ser una ayuda para momentos difíciles, que incluyan incentivos para salir de esa situación, no un derecho sin ninguna contrap</w:t>
      </w:r>
      <w:r>
        <w:rPr>
          <w:rFonts w:ascii="Times New Roman" w:hAnsi="Times New Roman" w:cs="Times New Roman"/>
          <w:sz w:val="24"/>
          <w:szCs w:val="24"/>
        </w:rPr>
        <w:t>restación para el beneficiario.</w:t>
      </w:r>
    </w:p>
    <w:p w:rsidR="00914DA5" w:rsidRPr="00C67263" w:rsidRDefault="00914DA5"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Y esto, ¿quién lo paga?</w:t>
      </w:r>
    </w:p>
    <w:p w:rsidR="00914DA5" w:rsidRPr="00031800" w:rsidRDefault="00914DA5" w:rsidP="00550638">
      <w:pPr>
        <w:spacing w:line="240" w:lineRule="auto"/>
        <w:jc w:val="both"/>
        <w:rPr>
          <w:rFonts w:ascii="Times New Roman" w:hAnsi="Times New Roman" w:cs="Times New Roman"/>
          <w:sz w:val="24"/>
          <w:szCs w:val="24"/>
          <w:u w:val="single"/>
        </w:rPr>
      </w:pPr>
      <w:r w:rsidRPr="00031800">
        <w:rPr>
          <w:rFonts w:ascii="Times New Roman" w:hAnsi="Times New Roman" w:cs="Times New Roman"/>
          <w:color w:val="FF0000"/>
          <w:sz w:val="24"/>
          <w:szCs w:val="24"/>
          <w:u w:val="single"/>
        </w:rPr>
        <w:t>Aunque a veces se olvida, los contribuyentes son la otra cara de la moneda del Estado del Bienestar</w:t>
      </w:r>
      <w:r w:rsidRPr="00031800">
        <w:rPr>
          <w:rFonts w:ascii="Times New Roman" w:hAnsi="Times New Roman" w:cs="Times New Roman"/>
          <w:sz w:val="24"/>
          <w:szCs w:val="24"/>
          <w:u w:val="single"/>
        </w:rPr>
        <w:t>. Las pensiones, los sueldos de los médicos, los ordenadores para los colegios y los subsidios del paro cuestan dinero. Esta cuestión es una obviedad, pero casi nunca entra en el debate</w:t>
      </w:r>
      <w:r w:rsidRPr="00C67263">
        <w:rPr>
          <w:rFonts w:ascii="Times New Roman" w:hAnsi="Times New Roman" w:cs="Times New Roman"/>
          <w:sz w:val="24"/>
          <w:szCs w:val="24"/>
        </w:rPr>
        <w:t xml:space="preserve">. En ocasiones, parece como si las arcas del Estado fueran </w:t>
      </w:r>
      <w:r w:rsidRPr="00C67263">
        <w:rPr>
          <w:rFonts w:ascii="Times New Roman" w:hAnsi="Times New Roman" w:cs="Times New Roman"/>
          <w:sz w:val="24"/>
          <w:szCs w:val="24"/>
        </w:rPr>
        <w:lastRenderedPageBreak/>
        <w:t xml:space="preserve">infinitas. Pero no lo son. </w:t>
      </w:r>
      <w:r w:rsidRPr="00031800">
        <w:rPr>
          <w:rFonts w:ascii="Times New Roman" w:hAnsi="Times New Roman" w:cs="Times New Roman"/>
          <w:color w:val="FF0000"/>
          <w:sz w:val="24"/>
          <w:szCs w:val="24"/>
          <w:u w:val="single"/>
        </w:rPr>
        <w:t>Cada euro que se gasta en prestaciones (sean las que sean, justas o injustas, para necesitados o aprovechados) se ha sacado antes del bolsillo de un ciudadano a través de sus impuestos</w:t>
      </w:r>
      <w:r w:rsidRPr="00C67263">
        <w:rPr>
          <w:rFonts w:ascii="Times New Roman" w:hAnsi="Times New Roman" w:cs="Times New Roman"/>
          <w:sz w:val="24"/>
          <w:szCs w:val="24"/>
        </w:rPr>
        <w:t xml:space="preserve">. </w:t>
      </w:r>
      <w:r w:rsidRPr="00031800">
        <w:rPr>
          <w:rFonts w:ascii="Times New Roman" w:hAnsi="Times New Roman" w:cs="Times New Roman"/>
          <w:sz w:val="24"/>
          <w:szCs w:val="24"/>
          <w:u w:val="single"/>
        </w:rPr>
        <w:t>El discurso tradicional afirmaba que a cambio de las generosas prestaciones públicas, los europeos estaban dispuestos a pagar elevados tributos. Sin embargo, todo tiene un límite.</w:t>
      </w:r>
    </w:p>
    <w:p w:rsidR="00914DA5" w:rsidRPr="00C67263" w:rsidRDefault="00914DA5" w:rsidP="00550638">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En este sentido, casi siempre queda el recurso al clá</w:t>
      </w:r>
      <w:r w:rsidR="00C32841">
        <w:rPr>
          <w:rFonts w:ascii="Times New Roman" w:hAnsi="Times New Roman" w:cs="Times New Roman"/>
          <w:sz w:val="24"/>
          <w:szCs w:val="24"/>
        </w:rPr>
        <w:t>sico eslogan que exige que los “ricos”</w:t>
      </w:r>
      <w:r w:rsidRPr="00C67263">
        <w:rPr>
          <w:rFonts w:ascii="Times New Roman" w:hAnsi="Times New Roman" w:cs="Times New Roman"/>
          <w:sz w:val="24"/>
          <w:szCs w:val="24"/>
        </w:rPr>
        <w:t xml:space="preserve"> paguen más. Pero lo cierto es que los ricos ya pagan una parte sustancial de los impuestos. A pesar de las noticias puntuales (y muy llamativas) sobre millonarios que esquivan a Hacienda en los llamados paraísos fiscales, lo cierto es que la mayor parte de la recaudación llega de las clases</w:t>
      </w:r>
      <w:r>
        <w:rPr>
          <w:rFonts w:ascii="Times New Roman" w:hAnsi="Times New Roman" w:cs="Times New Roman"/>
          <w:sz w:val="24"/>
          <w:szCs w:val="24"/>
        </w:rPr>
        <w:t xml:space="preserve"> altas. Y con mucha diferencia.</w:t>
      </w:r>
    </w:p>
    <w:p w:rsidR="00914DA5" w:rsidRPr="00C67263" w:rsidRDefault="00914DA5" w:rsidP="00550638">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 xml:space="preserve">En España, el 28% de los contribuyentes, los que tenían una base imponible de más de 28.500 euros, aportaron el 70% de la recaudación del IPRF en 2010. Y esa tendencia aumenta con la renta. El 5% de las declaraciones (las que tenían una base imponible superior a los 60.000 euros) sumaba el 31% de la recaudación. Es decir, que casi un tercio de lo que se paga en el Impuesto sobre </w:t>
      </w:r>
      <w:r>
        <w:rPr>
          <w:rFonts w:ascii="Times New Roman" w:hAnsi="Times New Roman" w:cs="Times New Roman"/>
          <w:sz w:val="24"/>
          <w:szCs w:val="24"/>
        </w:rPr>
        <w:t>la Renta llega del 5% más rico.</w:t>
      </w:r>
    </w:p>
    <w:p w:rsidR="00914DA5" w:rsidRPr="00C67263" w:rsidRDefault="00914DA5" w:rsidP="00550638">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Tras las últimas subidas, estos contribuyentes ya pagan tipos marginales que van del 47 al 52%. Subir aún más los impuestos implica un doble riesgo: desincentivos al trabajo y fuga de talentos. Respecto a lo primero, hay que recordar que también en Europa está vigente la Curva de Laffer: a partir de un determinado nivel, subir los impuestos reduce la recaudación, porque se produce menos riqueza, ya que no merece la pena trabajar para que se lo lleve todo Hacienda. En España, según los cálculos de José Félix Sanz para FAES, ya hemos rebasado ese nivel, por lo que los incrementos en tributos sobre el trabajo (sobre todo IRPF) acaban incluso perju</w:t>
      </w:r>
      <w:r>
        <w:rPr>
          <w:rFonts w:ascii="Times New Roman" w:hAnsi="Times New Roman" w:cs="Times New Roman"/>
          <w:sz w:val="24"/>
          <w:szCs w:val="24"/>
        </w:rPr>
        <w:t>dicando a las arcas del Estado.</w:t>
      </w:r>
    </w:p>
    <w:p w:rsidR="00914DA5" w:rsidRPr="00C67263" w:rsidRDefault="00914DA5" w:rsidP="00550638">
      <w:pPr>
        <w:spacing w:line="240" w:lineRule="auto"/>
        <w:jc w:val="both"/>
        <w:rPr>
          <w:rFonts w:ascii="Times New Roman" w:hAnsi="Times New Roman" w:cs="Times New Roman"/>
          <w:sz w:val="24"/>
          <w:szCs w:val="24"/>
        </w:rPr>
      </w:pPr>
      <w:r w:rsidRPr="00C67263">
        <w:rPr>
          <w:rFonts w:ascii="Times New Roman" w:hAnsi="Times New Roman" w:cs="Times New Roman"/>
          <w:sz w:val="24"/>
          <w:szCs w:val="24"/>
        </w:rPr>
        <w:t>En segundo lugar, los países europeos tienen que tener en cuenta que ni las fronteras ni las distancias son como antes. Más allá de casos muy mediáticos, como el de Gerard Depardieu en Francia, lo cierto es que ahora es mucho más fácil escapar del fisco de tu país si el nivel de presión llega a niveles intolerables. Los países emergentes, Asia, EEUU, Reino Unido o los llamados paraísos fis</w:t>
      </w:r>
      <w:r>
        <w:rPr>
          <w:rFonts w:ascii="Times New Roman" w:hAnsi="Times New Roman" w:cs="Times New Roman"/>
          <w:sz w:val="24"/>
          <w:szCs w:val="24"/>
        </w:rPr>
        <w:t>cales: hay decenas de opciones.</w:t>
      </w:r>
    </w:p>
    <w:p w:rsidR="00914DA5" w:rsidRPr="00753003" w:rsidRDefault="00914DA5" w:rsidP="00550638">
      <w:pPr>
        <w:spacing w:line="240" w:lineRule="auto"/>
        <w:jc w:val="both"/>
        <w:rPr>
          <w:rFonts w:ascii="Times New Roman" w:hAnsi="Times New Roman" w:cs="Times New Roman"/>
          <w:color w:val="FF0000"/>
          <w:sz w:val="24"/>
          <w:szCs w:val="24"/>
          <w:u w:val="single"/>
        </w:rPr>
      </w:pPr>
      <w:r w:rsidRPr="00031800">
        <w:rPr>
          <w:rFonts w:ascii="Times New Roman" w:hAnsi="Times New Roman" w:cs="Times New Roman"/>
          <w:color w:val="FF0000"/>
          <w:sz w:val="24"/>
          <w:szCs w:val="24"/>
          <w:u w:val="single"/>
        </w:rPr>
        <w:t xml:space="preserve">Europa sabe que para mantener su Estado del Bienestar necesita alguien que lo pague. </w:t>
      </w:r>
      <w:r w:rsidRPr="00C67263">
        <w:rPr>
          <w:rFonts w:ascii="Times New Roman" w:hAnsi="Times New Roman" w:cs="Times New Roman"/>
          <w:sz w:val="24"/>
          <w:szCs w:val="24"/>
        </w:rPr>
        <w:t xml:space="preserve">Atacar tributariamente a las rentas altas es perjudicial para su competitividad, porque son estos trabajadores los que más aportan al crecimiento de un país. Cuando se habla de inversión en I+D o de ingenieros o de start-ups, hay que recordar que estos trabajadores ganan mucho dinero y tienen muchos destinos para escoger. Si ellos van a pagar la factura, necesitan saber que merece la pena hacerlo. </w:t>
      </w:r>
      <w:r w:rsidRPr="00753003">
        <w:rPr>
          <w:rFonts w:ascii="Times New Roman" w:hAnsi="Times New Roman" w:cs="Times New Roman"/>
          <w:color w:val="FF0000"/>
          <w:sz w:val="24"/>
          <w:szCs w:val="24"/>
          <w:u w:val="single"/>
        </w:rPr>
        <w:t>Alrededor de este dilema, se plantea el futuro de un Viejo Continente que cada día es más viejo.</w:t>
      </w:r>
    </w:p>
    <w:p w:rsidR="00683E51" w:rsidRPr="006536C2" w:rsidRDefault="00683E51"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C32841">
        <w:rPr>
          <w:rFonts w:ascii="Times New Roman" w:hAnsi="Times New Roman" w:cs="Times New Roman"/>
          <w:sz w:val="24"/>
          <w:szCs w:val="24"/>
          <w:u w:val="single"/>
        </w:rPr>
        <w:t>“Sociedad participativa”</w:t>
      </w:r>
      <w:r w:rsidRPr="006536C2">
        <w:rPr>
          <w:rFonts w:ascii="Times New Roman" w:hAnsi="Times New Roman" w:cs="Times New Roman"/>
          <w:sz w:val="24"/>
          <w:szCs w:val="24"/>
          <w:u w:val="single"/>
        </w:rPr>
        <w:t>: ¿la solución a la crisis del Estado del Bienestar?</w:t>
      </w:r>
      <w:r>
        <w:rPr>
          <w:rFonts w:ascii="Times New Roman" w:hAnsi="Times New Roman" w:cs="Times New Roman"/>
          <w:sz w:val="24"/>
          <w:szCs w:val="24"/>
        </w:rPr>
        <w:t xml:space="preserve"> (Libertad Digital - </w:t>
      </w:r>
      <w:r w:rsidRPr="006536C2">
        <w:rPr>
          <w:rFonts w:ascii="Times New Roman" w:hAnsi="Times New Roman" w:cs="Times New Roman"/>
          <w:b/>
          <w:sz w:val="24"/>
          <w:szCs w:val="24"/>
        </w:rPr>
        <w:t>22/9/13</w:t>
      </w:r>
      <w:r>
        <w:rPr>
          <w:rFonts w:ascii="Times New Roman" w:hAnsi="Times New Roman" w:cs="Times New Roman"/>
          <w:sz w:val="24"/>
          <w:szCs w:val="24"/>
        </w:rPr>
        <w:t>)</w:t>
      </w:r>
      <w:r w:rsidR="00C32841">
        <w:rPr>
          <w:rFonts w:ascii="Times New Roman" w:hAnsi="Times New Roman" w:cs="Times New Roman"/>
          <w:sz w:val="24"/>
          <w:szCs w:val="24"/>
        </w:rPr>
        <w:t xml:space="preserve">                                                                               Lectura recomendada</w:t>
      </w:r>
    </w:p>
    <w:p w:rsidR="00683E51" w:rsidRDefault="00683E51" w:rsidP="00550638">
      <w:pPr>
        <w:spacing w:line="240" w:lineRule="auto"/>
        <w:jc w:val="both"/>
        <w:rPr>
          <w:rFonts w:ascii="Times New Roman" w:hAnsi="Times New Roman" w:cs="Times New Roman"/>
          <w:sz w:val="24"/>
          <w:szCs w:val="24"/>
        </w:rPr>
      </w:pPr>
      <w:r w:rsidRPr="006536C2">
        <w:rPr>
          <w:rFonts w:ascii="Times New Roman" w:hAnsi="Times New Roman" w:cs="Times New Roman"/>
          <w:sz w:val="24"/>
          <w:szCs w:val="24"/>
        </w:rPr>
        <w:t>Los países del norte de Europa exploran cambios en los servicios públicos y nuevas formas de relación entre Estado y ciudadanos.</w:t>
      </w:r>
    </w:p>
    <w:p w:rsidR="00683E51" w:rsidRDefault="00683E51"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(Por D. Soriano)</w:t>
      </w:r>
    </w:p>
    <w:p w:rsidR="00683E51" w:rsidRPr="00C32841" w:rsidRDefault="00C32841" w:rsidP="00550638">
      <w:pPr>
        <w:pStyle w:val="NormalWeb"/>
        <w:jc w:val="both"/>
      </w:pPr>
      <w:r>
        <w:t>Guillermo de Holanda lo llamó “</w:t>
      </w:r>
      <w:hyperlink r:id="rId27" w:history="1">
        <w:r w:rsidR="00683E51" w:rsidRPr="00E46126">
          <w:rPr>
            <w:rStyle w:val="Hipervnculo"/>
            <w:rFonts w:eastAsiaTheme="majorEastAsia"/>
            <w:color w:val="FF0000"/>
          </w:rPr>
          <w:t>sociedad participativa</w:t>
        </w:r>
      </w:hyperlink>
      <w:r>
        <w:t>”</w:t>
      </w:r>
      <w:r w:rsidR="00683E51" w:rsidRPr="00C32841">
        <w:t>. David Cameron lleva más de un lustro hablando d</w:t>
      </w:r>
      <w:r>
        <w:t>e “</w:t>
      </w:r>
      <w:hyperlink r:id="rId28" w:history="1">
        <w:r w:rsidR="00683E51" w:rsidRPr="00E46126">
          <w:rPr>
            <w:rStyle w:val="Hipervnculo"/>
            <w:rFonts w:eastAsiaTheme="majorEastAsia"/>
            <w:color w:val="FF0000"/>
          </w:rPr>
          <w:t>gran sociedad</w:t>
        </w:r>
      </w:hyperlink>
      <w:r>
        <w:t>”</w:t>
      </w:r>
      <w:r w:rsidR="00683E51" w:rsidRPr="00C32841">
        <w:t>. Y Mauricio Rojas, uno de los teóricos más imp</w:t>
      </w:r>
      <w:r>
        <w:t>ortantes del tema, habla de la “</w:t>
      </w:r>
      <w:hyperlink r:id="rId29" w:history="1">
        <w:r w:rsidR="00683E51" w:rsidRPr="00E46126">
          <w:rPr>
            <w:rStyle w:val="Hipervnculo"/>
            <w:rFonts w:eastAsiaTheme="majorEastAsia"/>
            <w:color w:val="FF0000"/>
          </w:rPr>
          <w:t>reinvención del Estado del Bienestar</w:t>
        </w:r>
      </w:hyperlink>
      <w:r>
        <w:t>”</w:t>
      </w:r>
      <w:r w:rsidR="00683E51" w:rsidRPr="00C32841">
        <w:t xml:space="preserve"> sueco.</w:t>
      </w:r>
    </w:p>
    <w:p w:rsidR="00683E51" w:rsidRPr="00CF2808" w:rsidRDefault="00683E51" w:rsidP="00550638">
      <w:pPr>
        <w:pStyle w:val="NormalWeb"/>
        <w:jc w:val="both"/>
        <w:rPr>
          <w:color w:val="FF0000"/>
          <w:u w:val="single"/>
        </w:rPr>
      </w:pPr>
      <w:r>
        <w:lastRenderedPageBreak/>
        <w:t xml:space="preserve">A pesar de las diferentes denominaciones, todos estos planteamientos tienen numerosos elementos en común. </w:t>
      </w:r>
      <w:r w:rsidRPr="00981E45">
        <w:rPr>
          <w:rStyle w:val="Textoennegrita"/>
          <w:b w:val="0"/>
        </w:rPr>
        <w:t>A lo largo del Viejo Continente</w:t>
      </w:r>
      <w:r>
        <w:t xml:space="preserve">, </w:t>
      </w:r>
      <w:r w:rsidRPr="00CF2808">
        <w:rPr>
          <w:u w:val="single"/>
        </w:rPr>
        <w:t>el debate sobre los retos a los que se enfrenta el modelo europeo cobra cada día más fuerza</w:t>
      </w:r>
      <w:r>
        <w:t xml:space="preserve">. </w:t>
      </w:r>
      <w:r w:rsidRPr="00CF2808">
        <w:rPr>
          <w:color w:val="FF0000"/>
          <w:u w:val="single"/>
        </w:rPr>
        <w:t>Como explicaba el monarca de los Países Bajos esta misma semana, el inc</w:t>
      </w:r>
      <w:r w:rsidR="00C32841">
        <w:rPr>
          <w:color w:val="FF0000"/>
          <w:u w:val="single"/>
        </w:rPr>
        <w:t>remento en el gasto público es “insostenible”</w:t>
      </w:r>
      <w:r w:rsidRPr="00CF2808">
        <w:rPr>
          <w:color w:val="FF0000"/>
          <w:u w:val="single"/>
        </w:rPr>
        <w:t xml:space="preserve">. O se hace algo o todo el </w:t>
      </w:r>
      <w:r w:rsidR="005E4204">
        <w:rPr>
          <w:color w:val="FF0000"/>
          <w:u w:val="single"/>
        </w:rPr>
        <w:t>“</w:t>
      </w:r>
      <w:r w:rsidRPr="005E4204">
        <w:rPr>
          <w:rStyle w:val="nfasis"/>
          <w:i w:val="0"/>
          <w:color w:val="FF0000"/>
          <w:u w:val="single"/>
        </w:rPr>
        <w:t>edificio</w:t>
      </w:r>
      <w:r w:rsidR="005E4204">
        <w:rPr>
          <w:rStyle w:val="nfasis"/>
          <w:i w:val="0"/>
          <w:color w:val="FF0000"/>
          <w:u w:val="single"/>
        </w:rPr>
        <w:t>”</w:t>
      </w:r>
      <w:r w:rsidRPr="00CF2808">
        <w:rPr>
          <w:color w:val="FF0000"/>
          <w:u w:val="single"/>
        </w:rPr>
        <w:t xml:space="preserve"> puede venirse abajo.</w:t>
      </w:r>
    </w:p>
    <w:p w:rsidR="00683E51" w:rsidRPr="00C32841" w:rsidRDefault="00683E51" w:rsidP="00550638">
      <w:pPr>
        <w:pStyle w:val="Ttulo3"/>
        <w:spacing w:line="240" w:lineRule="auto"/>
        <w:jc w:val="both"/>
        <w:rPr>
          <w:rFonts w:ascii="Times New Roman" w:hAnsi="Times New Roman" w:cs="Times New Roman"/>
          <w:color w:val="auto"/>
          <w:sz w:val="24"/>
          <w:szCs w:val="24"/>
        </w:rPr>
      </w:pPr>
      <w:r w:rsidRPr="00C32841">
        <w:rPr>
          <w:rStyle w:val="Textoennegrita"/>
          <w:rFonts w:ascii="Times New Roman" w:hAnsi="Times New Roman" w:cs="Times New Roman"/>
          <w:color w:val="auto"/>
          <w:sz w:val="24"/>
          <w:szCs w:val="24"/>
        </w:rPr>
        <w:t>Derechos y ayudas</w:t>
      </w:r>
    </w:p>
    <w:p w:rsidR="00683E51" w:rsidRPr="00CF2808" w:rsidRDefault="00683E51" w:rsidP="00550638">
      <w:pPr>
        <w:pStyle w:val="NormalWeb"/>
        <w:jc w:val="both"/>
        <w:rPr>
          <w:u w:val="single"/>
        </w:rPr>
      </w:pPr>
      <w:r w:rsidRPr="00CF2808">
        <w:rPr>
          <w:u w:val="single"/>
        </w:rPr>
        <w:t xml:space="preserve">Como </w:t>
      </w:r>
      <w:hyperlink r:id="rId30" w:history="1">
        <w:r w:rsidRPr="00C32841">
          <w:rPr>
            <w:rStyle w:val="Hipervnculo"/>
            <w:rFonts w:eastAsiaTheme="majorEastAsia"/>
            <w:color w:val="auto"/>
          </w:rPr>
          <w:t>apuntábamos ayer sábado</w:t>
        </w:r>
      </w:hyperlink>
      <w:r w:rsidRPr="00CF2808">
        <w:rPr>
          <w:u w:val="single"/>
        </w:rPr>
        <w:t>, uno de los problemas del Estado del Bienestar es que ha ido creando una clase dependiente que vive de las ayudas públicas, que</w:t>
      </w:r>
      <w:r w:rsidR="00C32841">
        <w:rPr>
          <w:rStyle w:val="Textoennegrita"/>
          <w:u w:val="single"/>
        </w:rPr>
        <w:t xml:space="preserve"> </w:t>
      </w:r>
      <w:r w:rsidR="00C32841" w:rsidRPr="00981E45">
        <w:rPr>
          <w:rStyle w:val="Textoennegrita"/>
          <w:b w:val="0"/>
          <w:u w:val="single"/>
        </w:rPr>
        <w:t>se otorgan como “</w:t>
      </w:r>
      <w:r w:rsidR="000803A1" w:rsidRPr="00981E45">
        <w:rPr>
          <w:rStyle w:val="Textoennegrita"/>
          <w:b w:val="0"/>
          <w:u w:val="single"/>
        </w:rPr>
        <w:t>derechos”</w:t>
      </w:r>
      <w:r w:rsidRPr="00CF2808">
        <w:rPr>
          <w:rStyle w:val="Textoennegrita"/>
          <w:u w:val="single"/>
        </w:rPr>
        <w:t xml:space="preserve"> </w:t>
      </w:r>
      <w:r w:rsidRPr="00CF2808">
        <w:rPr>
          <w:u w:val="single"/>
        </w:rPr>
        <w:t>a los que cumplen con determinados requisitos, con todos los efectos perversos que eso tiene: se perpetúa una situación que debería ser temporal y en vez de ayudar a que salgan de ella acaban propiciando su enquistamiento.</w:t>
      </w:r>
    </w:p>
    <w:p w:rsidR="00683E51" w:rsidRPr="00CF2808" w:rsidRDefault="00683E51" w:rsidP="00550638">
      <w:pPr>
        <w:pStyle w:val="NormalWeb"/>
        <w:jc w:val="both"/>
        <w:rPr>
          <w:u w:val="single"/>
        </w:rPr>
      </w:pPr>
      <w:r w:rsidRPr="00CF2808">
        <w:rPr>
          <w:u w:val="single"/>
        </w:rPr>
        <w:t>En este sentido, la labor que determinadas organizaciones privadas realizan (como Caritas en España) puede ser un buen punto de partida para rediseñar el trabajo del Estado. En general, las instituciones públicas y privadas enfocan la ayuda a sus beneficiarios de una forma muy diferente.</w:t>
      </w:r>
    </w:p>
    <w:p w:rsidR="00683E51" w:rsidRDefault="00683E51" w:rsidP="00550638">
      <w:pPr>
        <w:pStyle w:val="NormalWeb"/>
        <w:jc w:val="both"/>
      </w:pPr>
      <w:r>
        <w:t>Para alguien que se encuentra en una</w:t>
      </w:r>
      <w:r>
        <w:rPr>
          <w:rStyle w:val="Textoennegrita"/>
        </w:rPr>
        <w:t xml:space="preserve"> </w:t>
      </w:r>
      <w:r w:rsidRPr="00981E45">
        <w:rPr>
          <w:rStyle w:val="Textoennegrita"/>
          <w:b w:val="0"/>
        </w:rPr>
        <w:t>situación puntual de necesidad</w:t>
      </w:r>
      <w:r>
        <w:rPr>
          <w:rStyle w:val="Textoennegrita"/>
        </w:rPr>
        <w:t xml:space="preserve"> </w:t>
      </w:r>
      <w:r>
        <w:t>es relativamente sencillo conseguir asistencia en una institución privada. Éstas no suelen exigir ningún requisito y son rápidas en la asistencia. Eso sí, normalmente, para mantener esta ayuda, el beneficiario debe intentar salir de la situación en la que ha caído. Es decir, no tiene garantizado que, haga lo que haga, seguirá siendo favorecido.</w:t>
      </w:r>
    </w:p>
    <w:p w:rsidR="00683E51" w:rsidRDefault="00683E51" w:rsidP="00550638">
      <w:pPr>
        <w:pStyle w:val="NormalWeb"/>
        <w:jc w:val="both"/>
      </w:pPr>
      <w:r>
        <w:t xml:space="preserve">Mientras tanto, </w:t>
      </w:r>
      <w:r w:rsidRPr="00981E45">
        <w:rPr>
          <w:rStyle w:val="Textoennegrita"/>
          <w:b w:val="0"/>
        </w:rPr>
        <w:t>lograr una ayuda pública</w:t>
      </w:r>
      <w:r>
        <w:t xml:space="preserve"> suele ser mucho más complicado. Hay que demostrar ante el organismo oficial de turno que se cumple con los requisitos, rellenar formularios, convencer a la administración de que realmente entra dentro del grupo previsto legalmente... Eso sí, una vez que se alcanza el objetivo, mantenerla es relativamente fácil. Sólo hay que seguir en la situación de dependencia que dio origen a la concesión del derecho.</w:t>
      </w:r>
    </w:p>
    <w:p w:rsidR="00683E51" w:rsidRPr="0080618D" w:rsidRDefault="00683E51" w:rsidP="00550638">
      <w:pPr>
        <w:pStyle w:val="NormalWeb"/>
        <w:jc w:val="both"/>
        <w:rPr>
          <w:color w:val="FF0000"/>
          <w:u w:val="single"/>
        </w:rPr>
      </w:pPr>
      <w:r w:rsidRPr="0080618D">
        <w:rPr>
          <w:color w:val="FF0000"/>
          <w:u w:val="single"/>
        </w:rPr>
        <w:t>Una de las c</w:t>
      </w:r>
      <w:r w:rsidR="000803A1">
        <w:rPr>
          <w:color w:val="FF0000"/>
          <w:u w:val="single"/>
        </w:rPr>
        <w:t>laves en este cambio hacia una “</w:t>
      </w:r>
      <w:r w:rsidRPr="00981E45">
        <w:rPr>
          <w:rStyle w:val="Textoennegrita"/>
          <w:b w:val="0"/>
          <w:color w:val="FF0000"/>
          <w:u w:val="single"/>
        </w:rPr>
        <w:t>sociedad participativa o gran sociedad</w:t>
      </w:r>
      <w:r w:rsidR="000803A1">
        <w:rPr>
          <w:color w:val="FF0000"/>
          <w:u w:val="single"/>
        </w:rPr>
        <w:t>”</w:t>
      </w:r>
      <w:r w:rsidRPr="0080618D">
        <w:rPr>
          <w:color w:val="FF0000"/>
          <w:u w:val="single"/>
        </w:rPr>
        <w:t xml:space="preserve"> pasa por impulsar un cambio de actitud en los beneficiarios. Éstas ya no serán más derechos, sino ayudas que tienen como objetivo la salida de esa situación. Y por lo tanto, tendrán una contraprestación en forma de obligaciones que tendrán que cumplir, con la amenaza implícita de perder la prestación correspondiente.</w:t>
      </w:r>
    </w:p>
    <w:p w:rsidR="00683E51" w:rsidRDefault="00683E51" w:rsidP="00550638">
      <w:pPr>
        <w:pStyle w:val="NormalWeb"/>
        <w:jc w:val="both"/>
      </w:pPr>
      <w:r w:rsidRPr="0080618D">
        <w:rPr>
          <w:color w:val="FF0000"/>
          <w:u w:val="single"/>
        </w:rPr>
        <w:t xml:space="preserve">Además, está la cuestión del montante de las ayudas. No puede ser que salga más rentable no trabajar que trabajar. Y, como veíamos ayer, hay ejemplos en los medios de personas que han hecho del </w:t>
      </w:r>
      <w:r w:rsidR="005E4204">
        <w:rPr>
          <w:color w:val="FF0000"/>
          <w:u w:val="single"/>
        </w:rPr>
        <w:t>“</w:t>
      </w:r>
      <w:r w:rsidRPr="005E4204">
        <w:rPr>
          <w:rStyle w:val="nfasis"/>
          <w:i w:val="0"/>
          <w:color w:val="FF0000"/>
          <w:u w:val="single"/>
        </w:rPr>
        <w:t>welfare</w:t>
      </w:r>
      <w:r w:rsidR="005E4204">
        <w:rPr>
          <w:rStyle w:val="nfasis"/>
          <w:i w:val="0"/>
          <w:color w:val="FF0000"/>
          <w:u w:val="single"/>
        </w:rPr>
        <w:t>”</w:t>
      </w:r>
      <w:r w:rsidRPr="0080618D">
        <w:rPr>
          <w:color w:val="FF0000"/>
          <w:u w:val="single"/>
        </w:rPr>
        <w:t xml:space="preserve"> su forma de vida</w:t>
      </w:r>
      <w:r>
        <w:t xml:space="preserve">. En este sentido, una de las medidas más comentadas y más polémicas de </w:t>
      </w:r>
      <w:hyperlink r:id="rId31" w:history="1">
        <w:r w:rsidRPr="000803A1">
          <w:rPr>
            <w:rStyle w:val="Hipervnculo"/>
            <w:rFonts w:eastAsiaTheme="majorEastAsia"/>
            <w:color w:val="auto"/>
          </w:rPr>
          <w:t>David Cameron</w:t>
        </w:r>
      </w:hyperlink>
      <w:r w:rsidRPr="000803A1">
        <w:t xml:space="preserve"> </w:t>
      </w:r>
      <w:r>
        <w:t>fue poner un límite a lo que una familia puede cobrar. Ningún hogar de dos miembros tendrá más de 500 libras a la semana en ayudas públicas.</w:t>
      </w:r>
    </w:p>
    <w:p w:rsidR="00683E51" w:rsidRPr="000803A1" w:rsidRDefault="00683E51" w:rsidP="00550638">
      <w:pPr>
        <w:pStyle w:val="Ttulo3"/>
        <w:spacing w:line="240" w:lineRule="auto"/>
        <w:jc w:val="both"/>
        <w:rPr>
          <w:rFonts w:ascii="Times New Roman" w:hAnsi="Times New Roman" w:cs="Times New Roman"/>
          <w:color w:val="auto"/>
          <w:sz w:val="24"/>
          <w:szCs w:val="24"/>
        </w:rPr>
      </w:pPr>
      <w:r w:rsidRPr="000803A1">
        <w:rPr>
          <w:rStyle w:val="Textoennegrita"/>
          <w:rFonts w:ascii="Times New Roman" w:hAnsi="Times New Roman" w:cs="Times New Roman"/>
          <w:color w:val="auto"/>
          <w:sz w:val="24"/>
          <w:szCs w:val="24"/>
        </w:rPr>
        <w:t>Más opciones</w:t>
      </w:r>
    </w:p>
    <w:p w:rsidR="00683E51" w:rsidRPr="0080618D" w:rsidRDefault="00683E51" w:rsidP="00550638">
      <w:pPr>
        <w:pStyle w:val="NormalWeb"/>
        <w:jc w:val="both"/>
        <w:rPr>
          <w:u w:val="single"/>
        </w:rPr>
      </w:pPr>
      <w:r w:rsidRPr="0080618D">
        <w:rPr>
          <w:u w:val="single"/>
        </w:rPr>
        <w:t xml:space="preserve">No es sólo una cuestión de costes. En una sociedad como la actual, cada vez con </w:t>
      </w:r>
      <w:r w:rsidRPr="00981E45">
        <w:rPr>
          <w:rStyle w:val="Textoennegrita"/>
          <w:b w:val="0"/>
          <w:u w:val="single"/>
        </w:rPr>
        <w:t>más opciones al alcance de los ciudadanos</w:t>
      </w:r>
      <w:r w:rsidRPr="00981E45">
        <w:rPr>
          <w:b/>
          <w:u w:val="single"/>
        </w:rPr>
        <w:t>,</w:t>
      </w:r>
      <w:r w:rsidRPr="0080618D">
        <w:rPr>
          <w:u w:val="single"/>
        </w:rPr>
        <w:t xml:space="preserve"> quizás no tenga mucho sentido que todo lo que </w:t>
      </w:r>
      <w:r w:rsidRPr="0080618D">
        <w:rPr>
          <w:u w:val="single"/>
        </w:rPr>
        <w:lastRenderedPageBreak/>
        <w:t>hace referencia a las pensiones, la salud o la educación, entre otros temas, sea escogido por un ministro o por su equipo de expertos.</w:t>
      </w:r>
    </w:p>
    <w:p w:rsidR="00683E51" w:rsidRPr="0080618D" w:rsidRDefault="00683E51" w:rsidP="00550638">
      <w:pPr>
        <w:pStyle w:val="NormalWeb"/>
        <w:jc w:val="both"/>
        <w:rPr>
          <w:color w:val="FF0000"/>
          <w:u w:val="single"/>
        </w:rPr>
      </w:pPr>
      <w:r w:rsidRPr="0080618D">
        <w:rPr>
          <w:color w:val="FF0000"/>
          <w:u w:val="single"/>
        </w:rPr>
        <w:t>Los países del norte de Europa han puesto en marcha un proceso de descentralización en la toma de decisiones. La idea consiste en acercar lo más posib</w:t>
      </w:r>
      <w:r w:rsidR="000803A1">
        <w:rPr>
          <w:color w:val="FF0000"/>
          <w:u w:val="single"/>
        </w:rPr>
        <w:t>le los servicios al ciudadano (“</w:t>
      </w:r>
      <w:r w:rsidR="00A92207">
        <w:rPr>
          <w:color w:val="FF0000"/>
          <w:u w:val="single"/>
        </w:rPr>
        <w:t>empoderar</w:t>
      </w:r>
      <w:r w:rsidR="000803A1">
        <w:rPr>
          <w:color w:val="FF0000"/>
          <w:u w:val="single"/>
        </w:rPr>
        <w:t>”</w:t>
      </w:r>
      <w:r w:rsidRPr="0080618D">
        <w:rPr>
          <w:color w:val="FF0000"/>
          <w:u w:val="single"/>
        </w:rPr>
        <w:t xml:space="preserve"> es el feo término de moda). En este sentido, el Gobierno británico quiere entregar algunas de sus competencias en su poder a los municipios y condados, en los que el control del vecino es mucho más estricto.</w:t>
      </w:r>
    </w:p>
    <w:p w:rsidR="00683E51" w:rsidRPr="0080618D" w:rsidRDefault="00683E51" w:rsidP="00550638">
      <w:pPr>
        <w:pStyle w:val="NormalWeb"/>
        <w:jc w:val="both"/>
        <w:rPr>
          <w:color w:val="FF0000"/>
          <w:u w:val="single"/>
        </w:rPr>
      </w:pPr>
      <w:r w:rsidRPr="0080618D">
        <w:rPr>
          <w:color w:val="FF0000"/>
          <w:u w:val="single"/>
        </w:rPr>
        <w:t xml:space="preserve">Pero algunos países han ido más allá. En </w:t>
      </w:r>
      <w:hyperlink r:id="rId32" w:history="1">
        <w:r w:rsidRPr="0080618D">
          <w:rPr>
            <w:rStyle w:val="Hipervnculo"/>
            <w:rFonts w:eastAsiaTheme="majorEastAsia"/>
            <w:color w:val="FF0000"/>
          </w:rPr>
          <w:t>Suecia o Dinamarca</w:t>
        </w:r>
      </w:hyperlink>
      <w:r w:rsidRPr="0080618D">
        <w:rPr>
          <w:rStyle w:val="Textoennegrita"/>
          <w:color w:val="FF0000"/>
          <w:u w:val="single"/>
        </w:rPr>
        <w:t xml:space="preserve"> </w:t>
      </w:r>
      <w:r w:rsidRPr="00872E51">
        <w:rPr>
          <w:rStyle w:val="Textoennegrita"/>
          <w:b w:val="0"/>
          <w:color w:val="FF0000"/>
          <w:u w:val="single"/>
        </w:rPr>
        <w:t>están vigentes</w:t>
      </w:r>
      <w:r w:rsidRPr="0080618D">
        <w:rPr>
          <w:color w:val="FF0000"/>
          <w:u w:val="single"/>
        </w:rPr>
        <w:t xml:space="preserve"> sistemas educativos cercanos al cheque escolar, quizás no con todas sus características, pero sí con algunas de las más importantes: autonomía para los centros, control de resultados, premios para los que mejor lo hagan,... Es decir, que tanto profesores como familias empiezan a dominar lo que pasa en la escuela. Ya no son burócratas los que deciden cómo, cuándo, dónde y qué estudia exactamente cada niño.</w:t>
      </w:r>
    </w:p>
    <w:p w:rsidR="00683E51" w:rsidRPr="0080618D" w:rsidRDefault="00683E51" w:rsidP="00550638">
      <w:pPr>
        <w:pStyle w:val="NormalWeb"/>
        <w:jc w:val="both"/>
        <w:rPr>
          <w:color w:val="FF0000"/>
          <w:u w:val="single"/>
        </w:rPr>
      </w:pPr>
      <w:r w:rsidRPr="0080618D">
        <w:rPr>
          <w:color w:val="FF0000"/>
          <w:u w:val="single"/>
        </w:rPr>
        <w:t xml:space="preserve">Los cambios no sólo se ciñen a la educación. En </w:t>
      </w:r>
      <w:hyperlink r:id="rId33" w:history="1">
        <w:r w:rsidRPr="0080618D">
          <w:rPr>
            <w:rStyle w:val="Hipervnculo"/>
            <w:rFonts w:eastAsiaTheme="majorEastAsia"/>
            <w:color w:val="FF0000"/>
          </w:rPr>
          <w:t>Holanda</w:t>
        </w:r>
      </w:hyperlink>
      <w:r w:rsidRPr="0080618D">
        <w:rPr>
          <w:color w:val="FF0000"/>
          <w:u w:val="single"/>
        </w:rPr>
        <w:t xml:space="preserve">, por ejemplo, a mediados de la pasada década se puso en marcha una </w:t>
      </w:r>
      <w:r w:rsidRPr="00981E45">
        <w:rPr>
          <w:rStyle w:val="Textoennegrita"/>
          <w:b w:val="0"/>
          <w:color w:val="FF0000"/>
          <w:u w:val="single"/>
        </w:rPr>
        <w:t>reforma sanitaria revolucionaria</w:t>
      </w:r>
      <w:r w:rsidRPr="0080618D">
        <w:rPr>
          <w:color w:val="FF0000"/>
          <w:u w:val="single"/>
        </w:rPr>
        <w:t xml:space="preserve"> que ha logrado uno de los sistemas más elogiados del continente. Básicamente, consiste en que cada ciudadano está obligado a escoger al asegurador de su conveniencia. El Gobierno se limita a establecer el catálogo de servicios básicos que todos deben ofertar y prohíbe la discriminación por el historial médico. Además, hay ayudas públicas para aquellos que no pueden pagarse el seguro obligatorio. Pero en todo caso la decisión final queda en manos de cada familia.</w:t>
      </w:r>
    </w:p>
    <w:p w:rsidR="00683E51" w:rsidRPr="0080618D" w:rsidRDefault="00683E51" w:rsidP="00550638">
      <w:pPr>
        <w:pStyle w:val="NormalWeb"/>
        <w:jc w:val="both"/>
        <w:rPr>
          <w:color w:val="FF0000"/>
          <w:u w:val="single"/>
        </w:rPr>
      </w:pPr>
      <w:r w:rsidRPr="0080618D">
        <w:rPr>
          <w:color w:val="FF0000"/>
          <w:u w:val="single"/>
        </w:rPr>
        <w:t xml:space="preserve">Y </w:t>
      </w:r>
      <w:hyperlink r:id="rId34" w:history="1">
        <w:r w:rsidRPr="0080618D">
          <w:rPr>
            <w:rStyle w:val="Hipervnculo"/>
            <w:rFonts w:eastAsiaTheme="majorEastAsia"/>
            <w:color w:val="FF0000"/>
          </w:rPr>
          <w:t>en Suecia</w:t>
        </w:r>
      </w:hyperlink>
      <w:r w:rsidRPr="0080618D">
        <w:rPr>
          <w:color w:val="FF0000"/>
          <w:u w:val="single"/>
        </w:rPr>
        <w:t>, uno de los países más innovadores en la materia, el sistema de pensiones público ya incluye un elemento de capitalización, que premia el ahorro individual. Además, se fomentan los planes privados y los de empresa, con importantes incentivos para su contratación.</w:t>
      </w:r>
    </w:p>
    <w:p w:rsidR="00683E51" w:rsidRPr="0080618D" w:rsidRDefault="00683E51" w:rsidP="00550638">
      <w:pPr>
        <w:pStyle w:val="NormalWeb"/>
        <w:jc w:val="both"/>
        <w:rPr>
          <w:color w:val="FF0000"/>
          <w:u w:val="single"/>
        </w:rPr>
      </w:pPr>
      <w:r w:rsidRPr="0080618D">
        <w:rPr>
          <w:color w:val="FF0000"/>
          <w:u w:val="single"/>
        </w:rPr>
        <w:t xml:space="preserve">Este tipo de soluciones </w:t>
      </w:r>
      <w:r w:rsidRPr="00981E45">
        <w:rPr>
          <w:rStyle w:val="Textoennegrita"/>
          <w:b w:val="0"/>
          <w:color w:val="FF0000"/>
          <w:u w:val="single"/>
        </w:rPr>
        <w:t>no son un bálsamo mágico</w:t>
      </w:r>
      <w:r w:rsidRPr="0080618D">
        <w:rPr>
          <w:color w:val="FF0000"/>
          <w:u w:val="single"/>
        </w:rPr>
        <w:t xml:space="preserve"> que sana todos los males. Pero al menos permiten que los ciudadanos vuelvan a tomar el control de partes muy importantes de sus vidas. Digamos que el Estado se asegura de que todo el mundo tiene acceso a los servicios básicos, pero permite que sea cada familia la que decida cómo aprovecharse de ellos.</w:t>
      </w:r>
    </w:p>
    <w:p w:rsidR="00683E51" w:rsidRPr="0080618D" w:rsidRDefault="00683E51" w:rsidP="00550638">
      <w:pPr>
        <w:pStyle w:val="NormalWeb"/>
        <w:jc w:val="both"/>
        <w:rPr>
          <w:u w:val="single"/>
        </w:rPr>
      </w:pPr>
      <w:r>
        <w:t xml:space="preserve">Muy vinculada con todo este fenómeno está la cuestión de cómo controlar a un poder político que cada día acumula más control sobre la vida de sus ciudadanos. Cameron apunta a la transparencia y la rendición de cuentas como dos claves para el desarrollo de su Gran Sociedad. Pero además, </w:t>
      </w:r>
      <w:r w:rsidRPr="0080618D">
        <w:rPr>
          <w:u w:val="single"/>
        </w:rPr>
        <w:t>si buena parte del presupuesto se gasta según los criterios de cada ciudadano particular, lo lógico es que desaparezcan también parte de los peores incentivos de la política. Ya no es el mandatario el que decide, sino que se convierte en un mero coordinador.</w:t>
      </w:r>
    </w:p>
    <w:p w:rsidR="00683E51" w:rsidRPr="000803A1" w:rsidRDefault="00683E51" w:rsidP="00550638">
      <w:pPr>
        <w:pStyle w:val="Ttulo3"/>
        <w:spacing w:line="240" w:lineRule="auto"/>
        <w:jc w:val="both"/>
        <w:rPr>
          <w:rFonts w:ascii="Times New Roman" w:hAnsi="Times New Roman" w:cs="Times New Roman"/>
          <w:color w:val="auto"/>
          <w:sz w:val="24"/>
          <w:szCs w:val="24"/>
        </w:rPr>
      </w:pPr>
      <w:r w:rsidRPr="000803A1">
        <w:rPr>
          <w:rStyle w:val="Textoennegrita"/>
          <w:rFonts w:ascii="Times New Roman" w:hAnsi="Times New Roman" w:cs="Times New Roman"/>
          <w:color w:val="auto"/>
          <w:sz w:val="24"/>
          <w:szCs w:val="24"/>
        </w:rPr>
        <w:t>La factura</w:t>
      </w:r>
    </w:p>
    <w:p w:rsidR="00683E51" w:rsidRPr="0080618D" w:rsidRDefault="00683E51" w:rsidP="00550638">
      <w:pPr>
        <w:pStyle w:val="NormalWeb"/>
        <w:jc w:val="both"/>
        <w:rPr>
          <w:color w:val="FF0000"/>
          <w:u w:val="single"/>
        </w:rPr>
      </w:pPr>
      <w:r w:rsidRPr="0080618D">
        <w:rPr>
          <w:color w:val="FF0000"/>
          <w:u w:val="single"/>
        </w:rPr>
        <w:t xml:space="preserve">Probablemente, el </w:t>
      </w:r>
      <w:r w:rsidRPr="00981E45">
        <w:rPr>
          <w:rStyle w:val="Textoennegrita"/>
          <w:b w:val="0"/>
          <w:color w:val="FF0000"/>
          <w:u w:val="single"/>
        </w:rPr>
        <w:t>gran problema del Estado del Bienestar</w:t>
      </w:r>
      <w:r w:rsidRPr="0080618D">
        <w:rPr>
          <w:color w:val="FF0000"/>
          <w:u w:val="single"/>
        </w:rPr>
        <w:t xml:space="preserve"> está en su financiación. Los costes han ido subiendo y ha llegado un momento en el que los ciudadanos se preguntan si merece la pena soportar este nivel de impuestos a cambio de los servicios que reciben. </w:t>
      </w:r>
      <w:r w:rsidRPr="0080618D">
        <w:rPr>
          <w:color w:val="FF0000"/>
          <w:u w:val="single"/>
        </w:rPr>
        <w:lastRenderedPageBreak/>
        <w:t>Para pagar todas estas prestaciones es imprescindible subir los tributos, pero eso tiene un peligro aparejado: puede espantar a los creadores de riqueza.</w:t>
      </w:r>
    </w:p>
    <w:p w:rsidR="00683E51" w:rsidRDefault="00683E51" w:rsidP="00550638">
      <w:pPr>
        <w:pStyle w:val="NormalWeb"/>
        <w:jc w:val="both"/>
      </w:pPr>
      <w:r>
        <w:t xml:space="preserve">¿Qué pasaría si todos los trabajadores con sueldos superiores a 60.000 euros decidieran quedarse en sus casas o irse a otros países con una fiscalidad más ventajosa? De un día para otro, cualquier Estado europeo entraría en quiebra. Son estos contribuyentes, de clase media-alta, los que sostienen sus sistemas públicos. Y si desaparece el que paga la factura, se viene abajo el </w:t>
      </w:r>
      <w:r w:rsidR="006204E4">
        <w:t>“</w:t>
      </w:r>
      <w:r w:rsidRPr="006204E4">
        <w:rPr>
          <w:rStyle w:val="nfasis"/>
          <w:i w:val="0"/>
        </w:rPr>
        <w:t>chiringuito</w:t>
      </w:r>
      <w:r w:rsidR="006204E4">
        <w:rPr>
          <w:rStyle w:val="nfasis"/>
          <w:i w:val="0"/>
        </w:rPr>
        <w:t>”</w:t>
      </w:r>
      <w:r>
        <w:t>.</w:t>
      </w:r>
    </w:p>
    <w:p w:rsidR="00683E51" w:rsidRPr="0080618D" w:rsidRDefault="00683E51" w:rsidP="00550638">
      <w:pPr>
        <w:pStyle w:val="NormalWeb"/>
        <w:jc w:val="both"/>
        <w:rPr>
          <w:u w:val="single"/>
        </w:rPr>
      </w:pPr>
      <w:r w:rsidRPr="0080618D">
        <w:rPr>
          <w:u w:val="single"/>
        </w:rPr>
        <w:t xml:space="preserve">En este sentido, hay que traer de nuevo a colación la </w:t>
      </w:r>
      <w:hyperlink r:id="rId35" w:history="1">
        <w:r w:rsidRPr="000803A1">
          <w:rPr>
            <w:rStyle w:val="Hipervnculo"/>
            <w:rFonts w:eastAsiaTheme="majorEastAsia"/>
            <w:color w:val="auto"/>
          </w:rPr>
          <w:t>famosa Curva de Laffer</w:t>
        </w:r>
      </w:hyperlink>
      <w:r w:rsidRPr="000803A1">
        <w:rPr>
          <w:u w:val="single"/>
        </w:rPr>
        <w:t>.</w:t>
      </w:r>
      <w:r w:rsidRPr="0080618D">
        <w:rPr>
          <w:u w:val="single"/>
        </w:rPr>
        <w:t xml:space="preserve"> Si los impuestos estuvieran en el 0%, no se recaudaría nada. Pero si estuvieran en el 100%, tampoco, porque nadie trabajaría. Por lo tanto, hay un punto en el que seguir subiendo los tributos comienza a ser perjudicial para la Hacienda de un país. ¿Cuál? No se sabe con exactitud. Pero en Europa, parece claro que casi todos los países están cerca.</w:t>
      </w:r>
    </w:p>
    <w:p w:rsidR="00683E51" w:rsidRPr="0080618D" w:rsidRDefault="00683E51" w:rsidP="00550638">
      <w:pPr>
        <w:pStyle w:val="NormalWeb"/>
        <w:jc w:val="both"/>
        <w:rPr>
          <w:u w:val="single"/>
        </w:rPr>
      </w:pPr>
      <w:r w:rsidRPr="0080618D">
        <w:rPr>
          <w:color w:val="FF0000"/>
          <w:u w:val="single"/>
        </w:rPr>
        <w:t xml:space="preserve">Exceptuando a los estados ex comunistas, el </w:t>
      </w:r>
      <w:r w:rsidRPr="000C24B6">
        <w:rPr>
          <w:rStyle w:val="Textoennegrita"/>
          <w:b w:val="0"/>
          <w:color w:val="FF0000"/>
          <w:u w:val="single"/>
        </w:rPr>
        <w:t>nivel de presión fiscal</w:t>
      </w:r>
      <w:r w:rsidRPr="0080618D">
        <w:rPr>
          <w:color w:val="FF0000"/>
          <w:u w:val="single"/>
        </w:rPr>
        <w:t xml:space="preserve"> en una situación de normalidad (en crisis puede haber grandes fluctuaciones) está entre el 40 y el 55%.</w:t>
      </w:r>
      <w:r w:rsidRPr="0080618D">
        <w:rPr>
          <w:color w:val="FF0000"/>
        </w:rPr>
        <w:t xml:space="preserve"> </w:t>
      </w:r>
      <w:r w:rsidRPr="0080618D">
        <w:rPr>
          <w:u w:val="single"/>
        </w:rPr>
        <w:t>Parece complicado subir más este nivel sin provocar una fuga de cerebros. De hecho, son habituales las historias de alemanes, franceses o españoles que encuentran en Silicon Valley las facilidades que no existen en sus países.</w:t>
      </w:r>
    </w:p>
    <w:p w:rsidR="00683E51" w:rsidRPr="0080618D" w:rsidRDefault="00683E51" w:rsidP="00550638">
      <w:pPr>
        <w:pStyle w:val="NormalWeb"/>
        <w:jc w:val="both"/>
        <w:rPr>
          <w:u w:val="single"/>
        </w:rPr>
      </w:pPr>
      <w:r w:rsidRPr="0080618D">
        <w:rPr>
          <w:u w:val="single"/>
        </w:rPr>
        <w:t xml:space="preserve">De nuevo, los </w:t>
      </w:r>
      <w:r w:rsidRPr="00981E45">
        <w:rPr>
          <w:rStyle w:val="Textoennegrita"/>
          <w:b w:val="0"/>
          <w:u w:val="single"/>
        </w:rPr>
        <w:t>países nórdicos aparecen a la cabeza de las innovaciones</w:t>
      </w:r>
      <w:r w:rsidRPr="0080618D">
        <w:rPr>
          <w:u w:val="single"/>
        </w:rPr>
        <w:t xml:space="preserve">. Por una parte, el nivel de presión fiscal se ha reducido en ellos de forma notable. Sí, siguen siendo los estados más voraces del mundo, pero a niveles muy inferiores a los de comienzos de los noventa. Y si </w:t>
      </w:r>
      <w:hyperlink r:id="rId36" w:history="1">
        <w:r w:rsidRPr="000803A1">
          <w:rPr>
            <w:rStyle w:val="Hipervnculo"/>
            <w:rFonts w:eastAsiaTheme="majorEastAsia"/>
            <w:color w:val="auto"/>
          </w:rPr>
          <w:t>medimos el esfuerzo fiscal</w:t>
        </w:r>
      </w:hyperlink>
      <w:r w:rsidRPr="0080618D">
        <w:rPr>
          <w:u w:val="single"/>
        </w:rPr>
        <w:t xml:space="preserve"> (es decir, presión fiscal en función del nivel de riqueza), éste es menor que en muchos países del sur de Europa.</w:t>
      </w:r>
    </w:p>
    <w:p w:rsidR="00683E51" w:rsidRPr="0080618D" w:rsidRDefault="00683E51" w:rsidP="00550638">
      <w:pPr>
        <w:pStyle w:val="NormalWeb"/>
        <w:jc w:val="both"/>
        <w:rPr>
          <w:u w:val="single"/>
        </w:rPr>
      </w:pPr>
      <w:r w:rsidRPr="0080618D">
        <w:rPr>
          <w:u w:val="single"/>
        </w:rPr>
        <w:t>Pero hay otra cuestión relevante. Suecia, Holanda o Dinamarca encabezan de forma recurrente los</w:t>
      </w:r>
      <w:r w:rsidRPr="0080618D">
        <w:rPr>
          <w:rStyle w:val="Textoennegrita"/>
          <w:u w:val="single"/>
        </w:rPr>
        <w:t xml:space="preserve"> </w:t>
      </w:r>
      <w:r w:rsidRPr="00981E45">
        <w:rPr>
          <w:rStyle w:val="Textoennegrita"/>
          <w:b w:val="0"/>
          <w:u w:val="single"/>
        </w:rPr>
        <w:t>rankings de libertad económica</w:t>
      </w:r>
      <w:r w:rsidRPr="0080618D">
        <w:rPr>
          <w:rStyle w:val="Textoennegrita"/>
          <w:u w:val="single"/>
        </w:rPr>
        <w:t xml:space="preserve"> </w:t>
      </w:r>
      <w:r w:rsidRPr="0080618D">
        <w:rPr>
          <w:u w:val="single"/>
        </w:rPr>
        <w:t>junto a Singapur, Hong Kong, Nueva Zelanda o Australia. Esto es notable, porque una de las cuestiones que más en cuenta tienen estos índices es el nivel impositivo y ya hemos visto que su puntuación en este apartado no es demasiado buena. Lo que quiere decir esto es que en el resto de aspectos, sus economías son muy competitivas, lo que les permite compensar (en parte) lo que pierden en materia tributaria. En cuestiones laborales, regulatorias, comerciales o de respeto a los derechos de propiedad tienen unas excelentes calificaciones.</w:t>
      </w:r>
    </w:p>
    <w:p w:rsidR="00683E51" w:rsidRPr="0036481B" w:rsidRDefault="00683E51" w:rsidP="00550638">
      <w:pPr>
        <w:pStyle w:val="NormalWeb"/>
        <w:jc w:val="both"/>
        <w:rPr>
          <w:color w:val="FF0000"/>
          <w:u w:val="single"/>
        </w:rPr>
      </w:pPr>
      <w:r>
        <w:t xml:space="preserve">En general, en todos estos países, el </w:t>
      </w:r>
      <w:r w:rsidRPr="00981E45">
        <w:rPr>
          <w:rStyle w:val="Textoennegrita"/>
          <w:b w:val="0"/>
        </w:rPr>
        <w:t>debate sigue abierto</w:t>
      </w:r>
      <w:r>
        <w:t xml:space="preserve">. Y las actitudes hacia los cambios son mucho más positivas que en España. </w:t>
      </w:r>
      <w:r w:rsidRPr="0036481B">
        <w:rPr>
          <w:color w:val="FF0000"/>
          <w:u w:val="single"/>
        </w:rPr>
        <w:t>Las preguntas no son sencillas de contestar. ¿Cómo conseguir un sistema impositivo que pueda pagar las prestaciones sociales actuales sin disparar una fuga de talento? ¿Qué hacer para evitar la aparición de una clase parasitaria que desanime al conjunto de la sociedad? ¿Es posible rebajar la factura de los servicios públicos? ¿Se puede competir con las economías avanzadas del resto del mundo con un 50% de presión fiscal? ¿Qué incentivos hay para innovar, arriesgarse o crear riqueza en unos estados que le garantizan al ciudadano que cuidarán de él "de la cuna a la tumba"? La respuesta a estos interrogantes marcará el éxito o el fracaso de los países europeos en las próximas décadas.</w:t>
      </w:r>
    </w:p>
    <w:p w:rsidR="00683E51" w:rsidRPr="00683E51" w:rsidRDefault="00A51545" w:rsidP="00550638">
      <w:pPr>
        <w:pStyle w:val="NormalWeb"/>
        <w:jc w:val="both"/>
        <w:rPr>
          <w:b/>
        </w:rPr>
      </w:pPr>
      <w:r>
        <w:rPr>
          <w:b/>
        </w:rPr>
        <w:t xml:space="preserve">1.4 - </w:t>
      </w:r>
      <w:r w:rsidR="00683E51" w:rsidRPr="00683E51">
        <w:rPr>
          <w:b/>
        </w:rPr>
        <w:t xml:space="preserve">Reinventando el Estado del Bienestar </w:t>
      </w:r>
    </w:p>
    <w:p w:rsidR="00683E51" w:rsidRDefault="00683E51" w:rsidP="00550638">
      <w:pPr>
        <w:pStyle w:val="NormalWeb"/>
        <w:jc w:val="both"/>
      </w:pPr>
      <w:r>
        <w:t xml:space="preserve">- </w:t>
      </w:r>
      <w:r w:rsidRPr="008E17DE">
        <w:rPr>
          <w:u w:val="single"/>
        </w:rPr>
        <w:t>Otro Estado del bienestar. El nuevo modelo sueco</w:t>
      </w:r>
      <w:r>
        <w:t xml:space="preserve"> (RdL - </w:t>
      </w:r>
      <w:r w:rsidRPr="008E17DE">
        <w:rPr>
          <w:b/>
        </w:rPr>
        <w:t>2008</w:t>
      </w:r>
      <w:r>
        <w:t>)</w:t>
      </w:r>
      <w:r w:rsidR="00A51545">
        <w:t xml:space="preserve">  Lectura recomendada</w:t>
      </w:r>
      <w:r>
        <w:t xml:space="preserve"> </w:t>
      </w:r>
    </w:p>
    <w:p w:rsidR="00683E51" w:rsidRDefault="00683E51" w:rsidP="00550638">
      <w:pPr>
        <w:pStyle w:val="NormalWeb"/>
        <w:jc w:val="both"/>
      </w:pPr>
      <w:r>
        <w:lastRenderedPageBreak/>
        <w:t>(Por Fernando Eguidazu)</w:t>
      </w:r>
    </w:p>
    <w:p w:rsidR="00683E51" w:rsidRDefault="00683E51" w:rsidP="00550638">
      <w:pPr>
        <w:pStyle w:val="NormalWeb"/>
        <w:jc w:val="both"/>
      </w:pPr>
      <w:r>
        <w:t>El debate sobre el Estado del bienestar, su sostenibilidad y su futuro suscita, por desgracia, más pasiones que razonamientos. Para quienes creen posible la permanente reivindicación de nuevas conquistas sociales y defienden un modelo de gestión pública, el cuestionamiento de este modelo, o la reflexión sobre sus costes y consecuencias, constituyen una expresión de insensibilidad social que excluye la posibilidad de diálogo.</w:t>
      </w:r>
    </w:p>
    <w:p w:rsidR="00683E51" w:rsidRDefault="00683E51" w:rsidP="00550638">
      <w:pPr>
        <w:pStyle w:val="NormalWeb"/>
        <w:jc w:val="both"/>
      </w:pPr>
      <w:r>
        <w:t xml:space="preserve">Posturas tan extremas no son hoy ya, afortunadamente, generales, pero aún existen. Y sobre todo, perviven todavía dos ideas muy arraigadas, y que ofrecen tenaz resistencia al debate: la primera es la convicción de que los bienes y servicios propios del Estado del bienestar (sanidad, educación, servicios sociales...) deben ser provistos directamente por el sector público, como única forma de asegurar su carácter universal e igualitario (cualquier participación privada se mira con desconfianza, por su riesgo de </w:t>
      </w:r>
      <w:r w:rsidR="005B522D">
        <w:t>“mercantilizar”</w:t>
      </w:r>
      <w:r w:rsidR="00E46126">
        <w:t xml:space="preserve"> o, incluso, de “parasitar”</w:t>
      </w:r>
      <w:r>
        <w:t xml:space="preserve"> el campo de lo social). La segunda tiene que ver con una falta de preocupación respecto de los costes, y de sus consecuencias para el crecimiento económico y el empleo. No es que se consideren inexistentes o irrelevantes (aunque haya quien piense que casi cualquier tamaño del Estado del bienestar es viable), pero sí se tiende a minimizar la importancia de esta cuestión.</w:t>
      </w:r>
    </w:p>
    <w:p w:rsidR="00683E51" w:rsidRPr="005B522D" w:rsidRDefault="00683E51" w:rsidP="00550638">
      <w:pPr>
        <w:pStyle w:val="NormalWeb"/>
        <w:jc w:val="both"/>
        <w:rPr>
          <w:u w:val="single"/>
        </w:rPr>
      </w:pPr>
      <w:r w:rsidRPr="005B522D">
        <w:rPr>
          <w:u w:val="single"/>
        </w:rPr>
        <w:t>Entendámonos. Un Estado que asegure a sus ciudadanos la igualdad de oportunidades (a través, fundamentalmente, de una educación universal y gratuita) y la protección frente a la adversidad (a través de un sistema sanitario universal y gratuito, y una cobertura de las contingencias de jubilación, invalidez, viudedad y orfandad, entre otras) es algo universalmente aceptado, que goza de un respaldo social pleno, y que aun en los países más reticentes a la intervención de los poderes públicos en la vida económica se acepta sin reservas. Son, en definitiva, ideas que han dejado de ser ya patrimonio de la izquierda. Pero que el Estado del bienestar sea hoy indiscutible e indiscutido no significa que lo sea también su tamaño. Muy al contrario, sus límites son actualmente tema de vivo debate en Europa.</w:t>
      </w:r>
    </w:p>
    <w:p w:rsidR="00683E51" w:rsidRDefault="00683E51" w:rsidP="00550638">
      <w:pPr>
        <w:pStyle w:val="NormalWeb"/>
        <w:jc w:val="both"/>
      </w:pPr>
      <w:r w:rsidRPr="005B522D">
        <w:rPr>
          <w:u w:val="single"/>
        </w:rPr>
        <w:t>El primer problema que plantea el Estado del bienestar es su propensión estructural al crecimiento. Por una parte, las demandas sociales son, por definición, infinitas. Por amplias y generosas que sean las prestaciones sanitarias, educativas o asistenciales, siempre será posible exigir más. Siempre podrán plantearse nuev</w:t>
      </w:r>
      <w:r w:rsidR="005B522D" w:rsidRPr="005B522D">
        <w:rPr>
          <w:u w:val="single"/>
        </w:rPr>
        <w:t xml:space="preserve">as conquistas sociales, </w:t>
      </w:r>
      <w:r w:rsidR="00E46126" w:rsidRPr="005B522D">
        <w:rPr>
          <w:u w:val="single"/>
        </w:rPr>
        <w:t>nuevos “pilares”</w:t>
      </w:r>
      <w:r w:rsidRPr="005B522D">
        <w:rPr>
          <w:u w:val="single"/>
        </w:rPr>
        <w:t xml:space="preserve"> del Estado del bienestar, sobre todo si existe el criterio de que toda necesidad genera necesariamente un derecho. Y, por otra parte, los costes de las prestaciones son crecientes.</w:t>
      </w:r>
      <w:r>
        <w:t xml:space="preserve"> En materia sanitaria, por ejemplo, los avances médicos y los nuevos tratamientos permiten salvar más vidas y mejorar la salud de los ciudadanos, pero a costes cada vez más altos. Por último, el factor demográfico genera también mayores costes: más jubilados, y con mayor esperanza de vida, suponen pensiones de jubilación más prolongadas, mayores gastos médicos y mayores gastos asistenciales.</w:t>
      </w:r>
    </w:p>
    <w:p w:rsidR="00683E51" w:rsidRPr="005B522D" w:rsidRDefault="00683E51" w:rsidP="00550638">
      <w:pPr>
        <w:pStyle w:val="NormalWeb"/>
        <w:jc w:val="both"/>
        <w:rPr>
          <w:u w:val="single"/>
        </w:rPr>
      </w:pPr>
      <w:r w:rsidRPr="005B522D">
        <w:rPr>
          <w:u w:val="single"/>
        </w:rPr>
        <w:t>A todo esto debe sumarse un electoralismo no siempre responsable</w:t>
      </w:r>
      <w:r>
        <w:t>. Una forma primaria de buscar votos consis</w:t>
      </w:r>
      <w:r w:rsidR="00E46126">
        <w:t>te en ofrecer nuevos y mayores “derechos”</w:t>
      </w:r>
      <w:r>
        <w:t xml:space="preserve"> (más prestaciones, más ayudas, más che</w:t>
      </w:r>
      <w:r w:rsidR="00E46126">
        <w:t>ques asistenciales...), porque “</w:t>
      </w:r>
      <w:r>
        <w:t>nuestro</w:t>
      </w:r>
      <w:r w:rsidR="00E46126">
        <w:t xml:space="preserve"> nivel de desarrollo lo permite”</w:t>
      </w:r>
      <w:r>
        <w:t xml:space="preserve">. Si tal cosa fuera siempre cierta, poco habría que discutir. </w:t>
      </w:r>
      <w:r w:rsidRPr="005B522D">
        <w:rPr>
          <w:u w:val="single"/>
        </w:rPr>
        <w:t xml:space="preserve">Pero el hecho es que en buena parte de Europa (y, muy en concreto, en Alemania y Francia) se ha llegado, tiempo ha, a la conclusión de que su actual volumen de gasto social está estrangulando </w:t>
      </w:r>
      <w:r w:rsidRPr="005B522D">
        <w:rPr>
          <w:u w:val="single"/>
        </w:rPr>
        <w:lastRenderedPageBreak/>
        <w:t>el crecimiento económico. Que su financiación, vía presión fiscal creciente y deuda pública disparada, está frenando el desarrollo y afectando seriamente al empleo. Y que, en consecuencia, un país debe atenerse no al gasto social que le gustaría, sino al que puede permitirse.</w:t>
      </w:r>
    </w:p>
    <w:p w:rsidR="00683E51" w:rsidRPr="005B522D" w:rsidRDefault="00683E51" w:rsidP="00550638">
      <w:pPr>
        <w:pStyle w:val="NormalWeb"/>
        <w:jc w:val="both"/>
        <w:rPr>
          <w:u w:val="single"/>
        </w:rPr>
      </w:pPr>
      <w:r w:rsidRPr="005B522D">
        <w:rPr>
          <w:u w:val="single"/>
        </w:rPr>
        <w:t>Determinar los límites del Estado del bienestar no es tarea fácil. No existen ecuaciones que nos indiquen cuál es el gasto social óptimo compatible con tasas aceptables de crecimiento de la renta y el empleo. En este terreno, como en otros, debemos guiarnos por el sistema de prueba y error</w:t>
      </w:r>
      <w:r>
        <w:t xml:space="preserve">. Podemos saber cuándo ese nivel de gasto social tiene efectos negativos sobre la renta y el empleo (caso de Francia y Alemania), o cuándo la bonanza económica deja un margen para aumentos de ese gasto. </w:t>
      </w:r>
      <w:r w:rsidRPr="005B522D">
        <w:rPr>
          <w:u w:val="single"/>
        </w:rPr>
        <w:t>Pero sobre cuál sea el nivel adecuado, el porcentaje óptimo de gasto social sobre el PIB, no cabe sino aspirar a una intuición razonable.</w:t>
      </w:r>
    </w:p>
    <w:p w:rsidR="00683E51" w:rsidRPr="005B522D" w:rsidRDefault="00683E51" w:rsidP="00550638">
      <w:pPr>
        <w:pStyle w:val="NormalWeb"/>
        <w:jc w:val="both"/>
        <w:rPr>
          <w:u w:val="single"/>
        </w:rPr>
      </w:pPr>
      <w:r w:rsidRPr="005B522D">
        <w:rPr>
          <w:u w:val="single"/>
        </w:rPr>
        <w:t>No puede, por otra parte, abordarse el problema de la cuantía del gasto social sin abordar a la vez la cuestión de sus formas de gestión. Subsiste en buena parte de la izquierda la convicción de que los bienes y servicios públicos deben ser provistos por las Administraciones públicas. La gestión privada se contempla con indisimulada hostilidad por dos razones: primera, por un claro prejuicio ideológico, ya que hay algo intrínsecamente inmoral en la obtención de beneficios en este tipo de actividades; y, segunda, porque se piensa que sólo la gestión pública puede garantizar la igualdad y la ausencia de discriminación entre los beneficiarios.</w:t>
      </w:r>
    </w:p>
    <w:p w:rsidR="00683E51" w:rsidRDefault="00683E51" w:rsidP="00550638">
      <w:pPr>
        <w:pStyle w:val="NormalWeb"/>
        <w:jc w:val="both"/>
      </w:pPr>
      <w:r w:rsidRPr="005B522D">
        <w:rPr>
          <w:u w:val="single"/>
        </w:rPr>
        <w:t>Pero esta gestión pública de las prestaciones sociales presenta inconvenientes que no deberían obviarse. Ante todo, la limitación de recursos y la peor capacidad gestora del sector público suelen redundar, desgraciadamente, en una pérdida de calidad. O, al menos, en una calidad que no es la que los beneficiarios desearían</w:t>
      </w:r>
      <w:r>
        <w:t xml:space="preserve">. </w:t>
      </w:r>
      <w:r w:rsidRPr="005B522D">
        <w:rPr>
          <w:u w:val="single"/>
        </w:rPr>
        <w:t>Nos encontramos, así, con un sistema sanitario poco satisfactorio (con listas de espera superiores a las razonables), un sistema educativo con resultados decepcionantes (en términos de fracaso escolar y bajo nivel de conocimientos), o un sistema de pensiones con mensualidades insuficientes.</w:t>
      </w:r>
      <w:r>
        <w:t xml:space="preserve"> Podemos extendernos hasta el infinito en la discusión sobre el nivel de calidad de estas prestaciones, pero sobre lo que cabe, creo, poca discusión es sobre la percepción social de que esa calidad no es la que los beneficiarios reclaman.</w:t>
      </w:r>
    </w:p>
    <w:p w:rsidR="00683E51" w:rsidRDefault="00683E51" w:rsidP="00550638">
      <w:pPr>
        <w:pStyle w:val="NormalWeb"/>
        <w:jc w:val="both"/>
      </w:pPr>
      <w:r w:rsidRPr="005B522D">
        <w:rPr>
          <w:u w:val="single"/>
        </w:rPr>
        <w:t>Si de lo que se trata es de asegurar la igualdad, aunque sea a costa de una calidad discreta, algunos podrían defender que la ecuación merece la pena. Pero el hecho es que el deterioro en la calidad de estas prestaciones contribuye al crecimiento de las desigualdades</w:t>
      </w:r>
      <w:r>
        <w:t>. Los más pudientes siempre podrán recurrir, por supuesto, a servicios sanitarios y educativos privados de mayor calidad, y podrán suscribir planes privados de pensiones más generosos. Nada hay de malo en ello si el nivel de lo que reciben quienes dependen de las prestaciones públicas es razonable. Pero cuanto más bajo sea este último, mayor será el número de personas que deban destinar una parte de sus recursos a asegurarse unas prestaciones privadas mejores. Y con ello se abrirá el camino a una desigualdad creciente.</w:t>
      </w:r>
    </w:p>
    <w:p w:rsidR="00683E51" w:rsidRDefault="00683E51" w:rsidP="00550638">
      <w:pPr>
        <w:pStyle w:val="NormalWeb"/>
        <w:jc w:val="both"/>
      </w:pPr>
      <w:r w:rsidRPr="005B522D">
        <w:rPr>
          <w:u w:val="single"/>
        </w:rPr>
        <w:t>La educación es un ejemplo evidente</w:t>
      </w:r>
      <w:r>
        <w:t xml:space="preserve">. Durante muchas décadas la educación en España ha sido un gran factor de igualación social. Insuficiente, posiblemente, y con importantes defectos pero, con todo, el sistema educativo ha constituido una palanca de promoción económica y social para muchos ciudadanos. Ahora bien, en los últimos </w:t>
      </w:r>
      <w:r>
        <w:lastRenderedPageBreak/>
        <w:t>tiempos diversos indicadores evidencian serias deficiencias (y aun un deterioro) en nuestro sistema educativo. Y ello es preocupante, porque puede acabar por llevarnos a una situación de hecho discriminatoria e injusta, en que quienes disponen de recursos para ello pueden obtener una educación privada de calidad, y quienes no los tienen deben conformars</w:t>
      </w:r>
      <w:r w:rsidR="00D121C5">
        <w:t>e con una formación deficiente -o en todo caso, peor-</w:t>
      </w:r>
      <w:r>
        <w:t xml:space="preserve"> que les colocará en inferioridad de condiciones en su vida laboral.</w:t>
      </w:r>
    </w:p>
    <w:p w:rsidR="00683E51" w:rsidRPr="00365DBA" w:rsidRDefault="00683E51" w:rsidP="00550638">
      <w:pPr>
        <w:pStyle w:val="NormalWeb"/>
        <w:jc w:val="both"/>
        <w:rPr>
          <w:i/>
        </w:rPr>
      </w:pPr>
      <w:r w:rsidRPr="005B522D">
        <w:rPr>
          <w:u w:val="single"/>
        </w:rPr>
        <w:t>Aún cabe otra reflexión. Un monopolio público de las prestaciones sociales</w:t>
      </w:r>
      <w:r w:rsidR="00D121C5" w:rsidRPr="005B522D">
        <w:rPr>
          <w:u w:val="single"/>
        </w:rPr>
        <w:t>, aunque asegurara la igualdad -</w:t>
      </w:r>
      <w:r w:rsidRPr="005B522D">
        <w:rPr>
          <w:u w:val="single"/>
        </w:rPr>
        <w:t>cosa disc</w:t>
      </w:r>
      <w:r w:rsidR="00D121C5" w:rsidRPr="005B522D">
        <w:rPr>
          <w:u w:val="single"/>
        </w:rPr>
        <w:t>utible, como antes se argumentó-</w:t>
      </w:r>
      <w:r w:rsidRPr="005B522D">
        <w:rPr>
          <w:u w:val="single"/>
        </w:rPr>
        <w:t>, lo haría a costa de una pérdida de libertad para el beneficiario</w:t>
      </w:r>
      <w:r>
        <w:t xml:space="preserve">. La posibilidad de elegir entre diversas opciones, en este campo de las prestaciones sociales, no es algo que deba descartarse por principio, ni tampoco algo imposible de conseguir. </w:t>
      </w:r>
      <w:r w:rsidRPr="00281B0B">
        <w:rPr>
          <w:u w:val="single"/>
        </w:rPr>
        <w:t>Y, sin embargo, el Estado paternalista tiende a rechazar cualquier posibilidad en este sentido: se garantiza a los ciudadanos unas determinadas prestaciones, pero en régimen de monopolio y sin posibilidad de elegir.</w:t>
      </w:r>
      <w:r>
        <w:t xml:space="preserve"> Nos encontramos con que somos libres para decidir qué automóvil o televisor compraremos, o en qué hotel pasaremos nuestras vacaciones, pero en cambio no lo somos para elegir en qué colegio educaremos a nuestros hijos, o en qué hospital atenderán nuestras enfermedades (salvo que lo paguemos aparte, claro), pese a ser estos últimos supuestos bastante más importantes. </w:t>
      </w:r>
      <w:r w:rsidRPr="00281B0B">
        <w:rPr>
          <w:u w:val="single"/>
        </w:rPr>
        <w:t>La libertad de elección es una parte consustancial de la libertad a secas, y es un privilegio irrenunciable del ciudadano. Y la igualdad de derechos, o la universalidad de la cobertura en materia sanitaria o educativa, no deberían ser incompatibles con la posibilidad de los usuarios de elegir entre diversas opciones.</w:t>
      </w:r>
      <w:r>
        <w:t xml:space="preserve"> Ahora bien, ¿es posible en la práctica esta libertad de elección? De todo ello trata el libro de Mauricio Rojas </w:t>
      </w:r>
      <w:r w:rsidRPr="00365DBA">
        <w:rPr>
          <w:i/>
        </w:rPr>
        <w:t>Reinventar el Estado del bienestar.</w:t>
      </w:r>
    </w:p>
    <w:p w:rsidR="00683E51" w:rsidRDefault="00683E51" w:rsidP="00550638">
      <w:pPr>
        <w:pStyle w:val="NormalWeb"/>
        <w:jc w:val="both"/>
      </w:pPr>
      <w:r>
        <w:t>La obra tiene un grave inconveniente: está prologada por José María Aznar. Y eso, en un país tan maniqueo como el nuestro, la descalificará a priori para muchos. Pero si uno es capaz de superar los prejuicios y de prescindir de las etiquetas, se encontrará con una lúcida y revulsiva reflexión sobre el Estado del bienestar y sus posibilidades.</w:t>
      </w:r>
    </w:p>
    <w:p w:rsidR="00683E51" w:rsidRPr="00281B0B" w:rsidRDefault="00683E51" w:rsidP="00550638">
      <w:pPr>
        <w:pStyle w:val="NormalWeb"/>
        <w:jc w:val="both"/>
        <w:rPr>
          <w:u w:val="single"/>
        </w:rPr>
      </w:pPr>
      <w:r w:rsidRPr="00281B0B">
        <w:rPr>
          <w:u w:val="single"/>
        </w:rPr>
        <w:t xml:space="preserve">Mauricio Rojas es un economista chileno autor de numerosos ensayos, entre ellos uno espléndido </w:t>
      </w:r>
      <w:r w:rsidR="00281B0B" w:rsidRPr="00281B0B">
        <w:rPr>
          <w:u w:val="single"/>
        </w:rPr>
        <w:t>sobre la economía argentina</w:t>
      </w:r>
      <w:r w:rsidR="00D121C5" w:rsidRPr="00281B0B">
        <w:rPr>
          <w:u w:val="single"/>
        </w:rPr>
        <w:t>. (“Ajá, chileno -dirán algunos-, otro cachorro de Pinochet”</w:t>
      </w:r>
      <w:r w:rsidRPr="00281B0B">
        <w:rPr>
          <w:u w:val="single"/>
        </w:rPr>
        <w:t>. Pues no: Rojas se afincó en Suecia en 1974 huyendo de la dictadura), y en el libro que comentamos analiza la experiencia de Suecia en materia de derechos sociales.</w:t>
      </w:r>
    </w:p>
    <w:p w:rsidR="00683E51" w:rsidRPr="00281B0B" w:rsidRDefault="00683E51" w:rsidP="00550638">
      <w:pPr>
        <w:pStyle w:val="NormalWeb"/>
        <w:jc w:val="both"/>
        <w:rPr>
          <w:u w:val="single"/>
        </w:rPr>
      </w:pPr>
      <w:r w:rsidRPr="00281B0B">
        <w:rPr>
          <w:u w:val="single"/>
        </w:rPr>
        <w:t>Durante mucho tiempo, Suecia ha sido un admirado ejemplo de modelo social avanzado, compatible con la economía de mercado, una prueba palpable de que era posible disfrutar de un Estado del bienestar generoso en un marco de economía de mercado con libertad de empresa y progreso económico. Un ejemplo a imitar, como alternativa tanto frente al comunismo que asegura la igualdad a costa de la prosperidad, como frente al capitalismo que asegura la prosperidad a costa de la igualdad.</w:t>
      </w:r>
    </w:p>
    <w:p w:rsidR="00683E51" w:rsidRPr="00281B0B" w:rsidRDefault="00683E51" w:rsidP="00550638">
      <w:pPr>
        <w:pStyle w:val="NormalWeb"/>
        <w:jc w:val="both"/>
        <w:rPr>
          <w:u w:val="single"/>
        </w:rPr>
      </w:pPr>
      <w:r>
        <w:t xml:space="preserve">Lo que nos cuenta Rojas es que ese modelo sueco pertenece ya a la historia. Aunque una parte de la izquierda no parezca haberlo percibido, </w:t>
      </w:r>
      <w:r w:rsidRPr="00281B0B">
        <w:rPr>
          <w:u w:val="single"/>
        </w:rPr>
        <w:t>el actual modelo sueco tiene ya muy poco que ver con aquel que durante tanto tiempo encandiló a los socialdemócratas y que ha venido señalándose como meta a alcanzar.</w:t>
      </w:r>
    </w:p>
    <w:p w:rsidR="00683E51" w:rsidRPr="00281B0B" w:rsidRDefault="00683E51" w:rsidP="00550638">
      <w:pPr>
        <w:pStyle w:val="NormalWeb"/>
        <w:jc w:val="both"/>
        <w:rPr>
          <w:u w:val="single"/>
        </w:rPr>
      </w:pPr>
      <w:r w:rsidRPr="00281B0B">
        <w:rPr>
          <w:u w:val="single"/>
        </w:rPr>
        <w:t xml:space="preserve">Este gran Estado benefactor sueco, tan admirado por la izquierda europea, y que se instauró en los años sesenta, entró en los años noventa en una profunda crisis que </w:t>
      </w:r>
      <w:r w:rsidRPr="00281B0B">
        <w:rPr>
          <w:u w:val="single"/>
        </w:rPr>
        <w:lastRenderedPageBreak/>
        <w:t>provocó profundas reformas, hasta desembocar en un modelo que es hoy bien distinto del que aún perdura en la imaginación de muchos.</w:t>
      </w:r>
    </w:p>
    <w:p w:rsidR="00683E51" w:rsidRDefault="00683E51" w:rsidP="00550638">
      <w:pPr>
        <w:pStyle w:val="NormalWeb"/>
        <w:jc w:val="both"/>
      </w:pPr>
      <w:r>
        <w:t>Hasta los años sesenta Suecia había sido un país que disfrutaba de altas tasas de crecimiento (la segunda mayor de Europa, detrás de Suiza, entre 1870 y 1950), con un nivel impositivo bajo (inferior al de Francia, Alemania o Reino Unido, e incluso al de Estados Unidos), y con un sector público de reducido tamaño (inferior incluso al británico o al estadounidense). En este período se construyó un sistema de seguridad y servicios sociales básicos, y se logró un consenso entre los agentes sociales que dio estabilidad al mercado laboral. Esta vía de reformismo prudente fue la línea predominante de la socialdemocracia sueca durante la primera mitad del siglo xx.</w:t>
      </w:r>
    </w:p>
    <w:p w:rsidR="00683E51" w:rsidRPr="00281B0B" w:rsidRDefault="00683E51" w:rsidP="00550638">
      <w:pPr>
        <w:pStyle w:val="NormalWeb"/>
        <w:jc w:val="both"/>
        <w:rPr>
          <w:u w:val="single"/>
        </w:rPr>
      </w:pPr>
      <w:r w:rsidRPr="00281B0B">
        <w:rPr>
          <w:u w:val="single"/>
        </w:rPr>
        <w:t>A partir de los años sesenta, sin embargo, se impuso un viraje en la socialdemocracia sueca hacia fórmulas más radicales. La carga tributaria creció entre 1960 y 1990, pasando del 28 al 56% del PIB (de ser inferior en un 2,1% a la de la OCDE pasó a ser superior en un 54,1%). Con este descomunal incremento de los recursos públicos se financió un Estado del bienestar gigantesco (el gasto público pasó de ser el 31% del PIB a ser el 60%), caracterizado por la gestión pública exclusiva de las prestaciones sociales (con ello el empleo público se triplicó durante el período). Paralelamente aumentó el intervencionismo del Estado en la economía, se rompió el delicado equilibrio de consenso de la etapa anterior, con un clima de confrontación creciente, y se abrió la puerta a reivindicaciones salariales permanentes. El resultado fue la rápida expansión de la economía planificada a costa de la economía de mercado. Como botón de muestra, entre 1965 y 1985 el empleo en el sector privado se redujo en 274.000 personas y el empleo en el sector público aumentó en 850.000.</w:t>
      </w:r>
    </w:p>
    <w:p w:rsidR="00683E51" w:rsidRPr="00281B0B" w:rsidRDefault="00683E51" w:rsidP="00550638">
      <w:pPr>
        <w:pStyle w:val="NormalWeb"/>
        <w:jc w:val="both"/>
        <w:rPr>
          <w:u w:val="single"/>
        </w:rPr>
      </w:pPr>
      <w:r w:rsidRPr="00281B0B">
        <w:rPr>
          <w:u w:val="single"/>
        </w:rPr>
        <w:t>El propósito del modelo era asegurar a todos los ciudadanos una amplia y generosa cobertura social (atención sanitaria, educación, prestaciones por desempleo, pensiones...) financiada públicamente y gestionada también públicamente. Pero para que tal cosa pueda cumplirse se requiere, por una parte, una carga tributaria muy elevada y, por otra, una favorable relación entre cotizantes y beneficiarios. Y esta ecuación tiene límites</w:t>
      </w:r>
      <w:r>
        <w:t xml:space="preserve">. Un gasto social creciente que exige, para financiarlo, impuestos y cargas sociales crecientes, en la medida en que desincentiva el trabajo termina por alterar negativamente la mencionada relación entre población activa y pasiva. </w:t>
      </w:r>
      <w:r w:rsidRPr="00281B0B">
        <w:rPr>
          <w:u w:val="single"/>
        </w:rPr>
        <w:t>La elevada tributación, unida a los estímulos al no trabajo (las prestaciones sociales, entre ellas un generoso subsidio de desempleo) desincentivan la oferta de trabajo, mientras que unas excesivas cargas sociales desincentivan la contratación por parte de las empresas.</w:t>
      </w:r>
    </w:p>
    <w:p w:rsidR="00683E51" w:rsidRPr="00281B0B" w:rsidRDefault="00683E51" w:rsidP="00550638">
      <w:pPr>
        <w:pStyle w:val="NormalWeb"/>
        <w:jc w:val="both"/>
        <w:rPr>
          <w:u w:val="single"/>
        </w:rPr>
      </w:pPr>
      <w:r w:rsidRPr="00281B0B">
        <w:rPr>
          <w:u w:val="single"/>
        </w:rPr>
        <w:t>Esto es lo que terminó por suceder en Suecia a partir de los años setenta. La carga tributaria fue aumentando hasta llegar, a fines de los años ochenta, al 56,2% del PIB. Esta alta tributación afectó incluso a los perceptores de salarios más bajos (los impuestos más cargas sociales para este segmento de población llegaron al 55% del coste laboral). Y, paralelamente, el sistema de acuerdos salariales con escala rígida castigó especialmente a los sectores con menor productividad y, por ende, a los trabajadores menos cualificados.</w:t>
      </w:r>
    </w:p>
    <w:p w:rsidR="00683E51" w:rsidRPr="00281B0B" w:rsidRDefault="00683E51" w:rsidP="00550638">
      <w:pPr>
        <w:pStyle w:val="NormalWeb"/>
        <w:jc w:val="both"/>
        <w:rPr>
          <w:u w:val="single"/>
        </w:rPr>
      </w:pPr>
      <w:r w:rsidRPr="00281B0B">
        <w:rPr>
          <w:u w:val="single"/>
        </w:rPr>
        <w:t xml:space="preserve">El resultado fue que el aumento del empleo entre 1960 y 1990 fue de sólo el 25%, frente al 81% de Estados Unidos, y este aumento, además, fue esencialmente empleo público. Y en cuanto al PIB per cápita, que en 1975 era el 90% del de Estados Unidos (y el más </w:t>
      </w:r>
      <w:r w:rsidRPr="00281B0B">
        <w:rPr>
          <w:u w:val="single"/>
        </w:rPr>
        <w:lastRenderedPageBreak/>
        <w:t>alto de la Europa Occidental), en 1995 había bajado al 75% (por debajo del de Alemania, Francia, Bélgica, Austria o Reino Unido).</w:t>
      </w:r>
    </w:p>
    <w:p w:rsidR="00683E51" w:rsidRPr="00281B0B" w:rsidRDefault="00683E51" w:rsidP="00550638">
      <w:pPr>
        <w:pStyle w:val="NormalWeb"/>
        <w:jc w:val="both"/>
        <w:rPr>
          <w:color w:val="FF0000"/>
          <w:u w:val="single"/>
        </w:rPr>
      </w:pPr>
      <w:r w:rsidRPr="00281B0B">
        <w:rPr>
          <w:color w:val="FF0000"/>
          <w:u w:val="single"/>
        </w:rPr>
        <w:t>A principios de los años noventa, Suecia experimentó la crisis económica más grave desde los años treinta. Entre 1990 y 1993 el PIB per cápita cayó en más del 6%. Se perdieron más de medio millón de puestos de trabajo. El paro pasó del 2,6% en 1989 al 13% en 1994. Como consecuencia de la crisis, los ingresos fiscales cayeron en picado. Y, paralelamente, el gasto público se disparó hasta alcanzar, en 1993, el 72,4% del PIB.</w:t>
      </w:r>
    </w:p>
    <w:p w:rsidR="00683E51" w:rsidRPr="00281B0B" w:rsidRDefault="00683E51" w:rsidP="00550638">
      <w:pPr>
        <w:pStyle w:val="NormalWeb"/>
        <w:jc w:val="both"/>
        <w:rPr>
          <w:u w:val="single"/>
        </w:rPr>
      </w:pPr>
      <w:r w:rsidRPr="00281B0B">
        <w:rPr>
          <w:color w:val="FF0000"/>
          <w:u w:val="single"/>
        </w:rPr>
        <w:t>Estos datos evidenciaban que el sistema era insostenible</w:t>
      </w:r>
      <w:r>
        <w:t xml:space="preserve">. </w:t>
      </w:r>
      <w:r w:rsidRPr="00281B0B">
        <w:rPr>
          <w:u w:val="single"/>
        </w:rPr>
        <w:t>El nuevo gobierno debió acometer por ello un duro programa de ajuste, con reducción del gasto público, limitación o reducción de los subsidios, reducción del empleo público, control de costes en los servicios públicos e introducción en estos últimos de un cierto nivel de competencia, dando acceso a los mismos al sector privado.</w:t>
      </w:r>
    </w:p>
    <w:p w:rsidR="00683E51" w:rsidRDefault="00683E51" w:rsidP="00550638">
      <w:pPr>
        <w:pStyle w:val="NormalWeb"/>
        <w:jc w:val="both"/>
      </w:pPr>
      <w:r>
        <w:t>No profundizaremos aquí sobre el programa de reformas económicas del gobierno sueco a partir de 1991, que permitió superar la crisis, y al que Rojas dedica interesantes páginas. Lo que nos interesa, a efectos de este comentario, es la reforma acometida en el modelo del Estado del bienestar.</w:t>
      </w:r>
    </w:p>
    <w:p w:rsidR="00683E51" w:rsidRPr="00281B0B" w:rsidRDefault="00683E51" w:rsidP="00550638">
      <w:pPr>
        <w:pStyle w:val="NormalWeb"/>
        <w:jc w:val="both"/>
        <w:rPr>
          <w:color w:val="FF0000"/>
          <w:u w:val="single"/>
        </w:rPr>
      </w:pPr>
      <w:r w:rsidRPr="00281B0B">
        <w:rPr>
          <w:color w:val="FF0000"/>
          <w:u w:val="single"/>
        </w:rPr>
        <w:t>Los ejes de la reforma del Estado benefactor sueco, excelentemente sintetizados por Rojas, han sido los siguientes: 1) ruptura del monopolio estatal sobre la provisión de servicios del bienestar, abriendo dicha provisión al sector empresarial privado, con el propósito de mejorar la gestión y reducir los costes gracias a la competencia; 2) como consecuencia de lo anterior, posibilidad de elección para los beneficiarios de tales servicios, con un doble resultado: primero, mayores dosis de libertad para el ciudadano (cosa deseable en sí), y segundo, mejora en la calidad de los servicios ofertados, gracias precisamente a la competencia entre los prestadores de los mismos; 3) reforma tanto del sistema fiscal como del sistema de subsidios, a fin de incentivar el trabajo y el empleo, y reducir el efecto desincentivador del anterior nivel de subsidios.</w:t>
      </w:r>
    </w:p>
    <w:p w:rsidR="00683E51" w:rsidRDefault="00683E51" w:rsidP="00550638">
      <w:pPr>
        <w:pStyle w:val="NormalWeb"/>
        <w:jc w:val="both"/>
      </w:pPr>
      <w:r>
        <w:t>Refirámonos inicialmente a los dos primeros puntos mencionados. La apertura del sector de los servicios de bienestar a la iniciativa privada se efectuó progresivamente (y a ritmo desigual, según las regiones y municipios, dado el grado de descentralización del sistema político sueco). Ello permitió la creciente aparición de un pujante sector empresarial de servicios sociales que introdujo en el mismo</w:t>
      </w:r>
      <w:r w:rsidR="00E87CC8">
        <w:t>,</w:t>
      </w:r>
      <w:r>
        <w:t xml:space="preserve"> criterios de gestión privada y ahorro de costes, así como estímulos a la mejora de la calidad y atención al usuario como consecuencia de la aparición de la competencia.</w:t>
      </w:r>
    </w:p>
    <w:p w:rsidR="00683E51" w:rsidRDefault="00683E51" w:rsidP="00550638">
      <w:pPr>
        <w:pStyle w:val="NormalWeb"/>
        <w:jc w:val="both"/>
      </w:pPr>
      <w:r w:rsidRPr="00281B0B">
        <w:rPr>
          <w:u w:val="single"/>
        </w:rPr>
        <w:t>La apertura de escuelas, centros sanitarios y empresas de servicios sociales (guarderías, residencias de ancianos, servicios de atención a discapacitados, etc.) de titularidad privada en régimen de competencia permitió además a los ciudadanos disponer de una diversidad de opciones donde antes sólo había una</w:t>
      </w:r>
      <w:r>
        <w:t>. Como señala Rojas, bajo el anterior sis</w:t>
      </w:r>
      <w:r w:rsidR="00281B0B">
        <w:t>tema de monopolio estatal, uno “le pertenecía”</w:t>
      </w:r>
      <w:r>
        <w:t xml:space="preserve"> a un hospit</w:t>
      </w:r>
      <w:r w:rsidR="00281B0B">
        <w:t>al público, y los hijos de uno “</w:t>
      </w:r>
      <w:r>
        <w:t>le per</w:t>
      </w:r>
      <w:r w:rsidR="00281B0B">
        <w:t>tenecían”</w:t>
      </w:r>
      <w:r>
        <w:t xml:space="preserve"> a una escuela pública determinada, aquella que se les había asignado de a</w:t>
      </w:r>
      <w:r w:rsidR="00D121C5">
        <w:t>cuerdo al área donde residían: “</w:t>
      </w:r>
      <w:r>
        <w:t>El Estado benefactor les aseguraba a los ciudadanos un nivel comparativamente alto de bienestar, pero al precio de una casi total falta de di</w:t>
      </w:r>
      <w:r w:rsidR="00D121C5">
        <w:t>versidad y libertad de elección”</w:t>
      </w:r>
      <w:r>
        <w:t xml:space="preserve"> (pp. 17 y 18).</w:t>
      </w:r>
    </w:p>
    <w:p w:rsidR="00683E51" w:rsidRPr="00281B0B" w:rsidRDefault="00683E51" w:rsidP="00550638">
      <w:pPr>
        <w:pStyle w:val="NormalWeb"/>
        <w:jc w:val="both"/>
        <w:rPr>
          <w:color w:val="FF0000"/>
          <w:u w:val="single"/>
        </w:rPr>
      </w:pPr>
      <w:r w:rsidRPr="00281B0B">
        <w:rPr>
          <w:u w:val="single"/>
        </w:rPr>
        <w:lastRenderedPageBreak/>
        <w:t>El modelo de estandarización de las condiciones de vida de los ciudadanos es el que fue siendo sustituido por otro que otorgaba a esos mismos ciudadanos una efectiva libertad de elección, lo que posibilitó, en frase de Rojas,</w:t>
      </w:r>
      <w:r w:rsidR="00D121C5" w:rsidRPr="00281B0B">
        <w:rPr>
          <w:u w:val="single"/>
        </w:rPr>
        <w:t xml:space="preserve"> el desarrollo de un auténtico “poder ciudadano”</w:t>
      </w:r>
      <w:r w:rsidRPr="00281B0B">
        <w:rPr>
          <w:u w:val="single"/>
        </w:rPr>
        <w:t>.</w:t>
      </w:r>
      <w:r>
        <w:t xml:space="preserve"> </w:t>
      </w:r>
      <w:r w:rsidRPr="00281B0B">
        <w:rPr>
          <w:color w:val="FF0000"/>
          <w:u w:val="single"/>
        </w:rPr>
        <w:t>El ciudadano sueco, hasta entonces súbdito de un Estado benefactor que le ofrecía amplias prestaciones sociales, pero a cambio de negarle toda capacidad de elección, se convertía en un ciudadano libre que podía comparar entre distintos oferentes, y elegir aquel que le ofreciera mayor calidad o que, por alguna razón, mereciera su preferencia.</w:t>
      </w:r>
    </w:p>
    <w:p w:rsidR="00683E51" w:rsidRPr="00281B0B" w:rsidRDefault="00683E51" w:rsidP="00550638">
      <w:pPr>
        <w:pStyle w:val="NormalWeb"/>
        <w:jc w:val="both"/>
        <w:rPr>
          <w:color w:val="FF0000"/>
          <w:u w:val="single"/>
        </w:rPr>
      </w:pPr>
      <w:r w:rsidRPr="00281B0B">
        <w:rPr>
          <w:color w:val="FF0000"/>
          <w:u w:val="single"/>
        </w:rPr>
        <w:t>La clave de este nuevo modelo era lo que</w:t>
      </w:r>
      <w:r w:rsidR="00D121C5" w:rsidRPr="00281B0B">
        <w:rPr>
          <w:color w:val="FF0000"/>
          <w:u w:val="single"/>
        </w:rPr>
        <w:t xml:space="preserve"> podríamos denominar el “</w:t>
      </w:r>
      <w:r w:rsidRPr="00281B0B">
        <w:rPr>
          <w:color w:val="FF0000"/>
          <w:u w:val="single"/>
        </w:rPr>
        <w:t>de</w:t>
      </w:r>
      <w:r w:rsidR="00D121C5" w:rsidRPr="00281B0B">
        <w:rPr>
          <w:color w:val="FF0000"/>
          <w:u w:val="single"/>
        </w:rPr>
        <w:t>splazamiento de la financiación”</w:t>
      </w:r>
      <w:r w:rsidRPr="00281B0B">
        <w:rPr>
          <w:color w:val="FF0000"/>
          <w:u w:val="single"/>
        </w:rPr>
        <w:t>. Ésta seguía siendo pública, es decir, el gasto dedicado a estos servicios sociales continuaba sufragándose con recursos públicos, pero el receptor de la misma ya no sería el oferente (la escuela o el hospital), sino el demandante, es decir, el ciudadano.</w:t>
      </w:r>
      <w:r w:rsidRPr="00281B0B">
        <w:rPr>
          <w:color w:val="FF0000"/>
        </w:rPr>
        <w:t xml:space="preserve"> </w:t>
      </w:r>
      <w:r w:rsidRPr="00281B0B">
        <w:rPr>
          <w:color w:val="FF0000"/>
          <w:u w:val="single"/>
        </w:rPr>
        <w:t xml:space="preserve">Tal cosa se materializaba en un bono o </w:t>
      </w:r>
      <w:r w:rsidR="00BB5AAA">
        <w:rPr>
          <w:color w:val="FF0000"/>
          <w:u w:val="single"/>
        </w:rPr>
        <w:t>“</w:t>
      </w:r>
      <w:r w:rsidRPr="00281B0B">
        <w:rPr>
          <w:color w:val="FF0000"/>
          <w:u w:val="single"/>
        </w:rPr>
        <w:t>voucher</w:t>
      </w:r>
      <w:r w:rsidR="00BB5AAA">
        <w:rPr>
          <w:color w:val="FF0000"/>
          <w:u w:val="single"/>
        </w:rPr>
        <w:t>”</w:t>
      </w:r>
      <w:r w:rsidRPr="00281B0B">
        <w:rPr>
          <w:color w:val="FF0000"/>
          <w:u w:val="single"/>
        </w:rPr>
        <w:t xml:space="preserve"> que el ciudadano recibía y que podía emplear para el pago de los servicios médicos o educativos que la escuela u hospital de su libre elección le proporcionase. A su vez, y para evitar cualquier vía a la discriminación, las escuelas o clínicas privadas no podrían cobrar cantidad adicional alguna por sus servicios, sino que sólo podrían financiarse con los bonos de sus usuarios. El beneficio de tales empresas se obtendría, por tanto, de sus ganancias de eficiencia, por la vía de reducción de costes. Y la competencia entre ellas aseguraría que ese ahorro de costes no se produjera a costa de un deterioro de la calidad.</w:t>
      </w:r>
    </w:p>
    <w:p w:rsidR="00683E51" w:rsidRPr="00415071" w:rsidRDefault="00683E51" w:rsidP="00550638">
      <w:pPr>
        <w:pStyle w:val="NormalWeb"/>
        <w:jc w:val="both"/>
        <w:rPr>
          <w:u w:val="single"/>
        </w:rPr>
      </w:pPr>
      <w:r w:rsidRPr="00415071">
        <w:rPr>
          <w:u w:val="single"/>
        </w:rPr>
        <w:t>Todo esto no significó que el Estado abandonase toda implicación en la provisión de los servicios del bienestar. Primero, porque persistían empresas y centros sanitarios de titularidad pública (sólo que ahora debían competir y preocuparse por costes y calidad), y segundo porque el Estado ejercía importantes funciones de control y supervisión (la apertura de centros privados requería, para su autorización, el cumplimiento de condiciones estrictas en cuanto a medios, ausencia de discriminación, renuncia al cobro de cantidades adicionales, etc.).</w:t>
      </w:r>
    </w:p>
    <w:p w:rsidR="00683E51" w:rsidRDefault="00683E51" w:rsidP="00550638">
      <w:pPr>
        <w:pStyle w:val="NormalWeb"/>
        <w:jc w:val="both"/>
      </w:pPr>
      <w:r>
        <w:t>Rojas expone con detalle las condiciones de este nuevo modelo en los campos de la sanidad, la educación y otros como las guarderías, atención a discapacitados o residencias de ancianos. Dedica a su explicación un buen número de páginas que, dadas las limitaciones de este comentario, no expondremos aquí, pero cuya lectura me parece muy recomendable.</w:t>
      </w:r>
    </w:p>
    <w:p w:rsidR="00683E51" w:rsidRDefault="00683E51" w:rsidP="00550638">
      <w:pPr>
        <w:pStyle w:val="NormalWeb"/>
        <w:jc w:val="both"/>
      </w:pPr>
      <w:r w:rsidRPr="00415071">
        <w:rPr>
          <w:u w:val="single"/>
        </w:rPr>
        <w:t>Rojas advierte que aún es pronto para evaluar con solvencia los resultados de la reforma, aunque las primeras valoraciones son positivas y, sobre todo, han suscitado la plena aprobación de los usuarios, es decir, los ciudadanos</w:t>
      </w:r>
      <w:r>
        <w:t>. Es significativo que el camino de reformas iniciado por los conservadores en 1991 fuera continuado decididamente por los socialdemócratas una vez recuperado el poder en 1994, cosa que habla a favor tanto del pragmatismo y ausencia de dogmatismos ideológicos de estos últimos como del grado de consenso social suscitado por el cambio de modelo.</w:t>
      </w:r>
    </w:p>
    <w:p w:rsidR="00683E51" w:rsidRPr="00415071" w:rsidRDefault="00683E51" w:rsidP="00550638">
      <w:pPr>
        <w:pStyle w:val="NormalWeb"/>
        <w:jc w:val="both"/>
        <w:rPr>
          <w:color w:val="FF0000"/>
          <w:u w:val="single"/>
        </w:rPr>
      </w:pPr>
      <w:r w:rsidRPr="00415071">
        <w:rPr>
          <w:color w:val="FF0000"/>
          <w:u w:val="single"/>
        </w:rPr>
        <w:t>Las reformas hasta aquí comentadas supusieron un cambio de modelo radical. El abandono del monopolio público en la provisión de servicios sociales, y la apertura a la iniciativa privada no sólo supusieron la renuncia a un dogma propio de la izquierda clásica en aras de una mayor eficiencia y un ahorro de costes (cosa vital para evitar el colapso del sistema), sino que, en realidad, provocaron un salto cualitativo en la propia concepción del Estado del bienestar. É</w:t>
      </w:r>
      <w:r w:rsidR="00D121C5" w:rsidRPr="00415071">
        <w:rPr>
          <w:color w:val="FF0000"/>
          <w:u w:val="single"/>
        </w:rPr>
        <w:t>ste no sólo no se desmantelaba -</w:t>
      </w:r>
      <w:r w:rsidRPr="00415071">
        <w:rPr>
          <w:color w:val="FF0000"/>
          <w:u w:val="single"/>
        </w:rPr>
        <w:t xml:space="preserve">como habrían </w:t>
      </w:r>
      <w:r w:rsidRPr="00415071">
        <w:rPr>
          <w:color w:val="FF0000"/>
          <w:u w:val="single"/>
        </w:rPr>
        <w:lastRenderedPageBreak/>
        <w:t xml:space="preserve">podido temer los </w:t>
      </w:r>
      <w:r w:rsidR="00D121C5" w:rsidRPr="00415071">
        <w:rPr>
          <w:color w:val="FF0000"/>
          <w:u w:val="single"/>
        </w:rPr>
        <w:t>partidarios del modelo anterior-</w:t>
      </w:r>
      <w:r w:rsidRPr="00415071">
        <w:rPr>
          <w:color w:val="FF0000"/>
          <w:u w:val="single"/>
        </w:rPr>
        <w:t xml:space="preserve"> sino que se potenciaba y reforzaba sus, dirí</w:t>
      </w:r>
      <w:r w:rsidR="00D121C5" w:rsidRPr="00415071">
        <w:rPr>
          <w:color w:val="FF0000"/>
          <w:u w:val="single"/>
        </w:rPr>
        <w:t>amos, “fundamentos éticos”</w:t>
      </w:r>
      <w:r w:rsidRPr="00415071">
        <w:rPr>
          <w:color w:val="FF0000"/>
          <w:u w:val="single"/>
        </w:rPr>
        <w:t xml:space="preserve"> al reconocer a los ciudadanos el ejercicio pleno de su libertad.</w:t>
      </w:r>
    </w:p>
    <w:p w:rsidR="00683E51" w:rsidRPr="00415071" w:rsidRDefault="00683E51" w:rsidP="00550638">
      <w:pPr>
        <w:pStyle w:val="NormalWeb"/>
        <w:jc w:val="both"/>
        <w:rPr>
          <w:u w:val="single"/>
        </w:rPr>
      </w:pPr>
      <w:r w:rsidRPr="00415071">
        <w:rPr>
          <w:u w:val="single"/>
        </w:rPr>
        <w:t>Por supuesto, esta reforma, con ser trascendente, no resolvía el problema del peso del Estado del bienestar sobre la economía, del enorme nivel del gasto público, del efecto desincentivador de impuestos y cargas sociales sobre el factor trabajo, de los estímulos al no trabajo añadidos por unas prestaciones sociales excesivamente permisivas y, como consecuencia de todo lo anterior, de unas decrecientes productividad y competitividad de la economía sueca.</w:t>
      </w:r>
    </w:p>
    <w:p w:rsidR="00683E51" w:rsidRPr="00415071" w:rsidRDefault="00683E51" w:rsidP="00550638">
      <w:pPr>
        <w:pStyle w:val="NormalWeb"/>
        <w:jc w:val="both"/>
        <w:rPr>
          <w:color w:val="FF0000"/>
          <w:u w:val="single"/>
        </w:rPr>
      </w:pPr>
      <w:r w:rsidRPr="00415071">
        <w:rPr>
          <w:color w:val="FF0000"/>
          <w:u w:val="single"/>
        </w:rPr>
        <w:t>A hacer frente a estos problemas es a lo que se orientó el tercer eje de la reforma, ya mencionado más arriba, el replanteamiento del sistema de transferencias: las del Estado a los ciudadanos vía subsidios, y las de los ciudadanos al Estado vía impuestos y cargas sociales.</w:t>
      </w:r>
    </w:p>
    <w:p w:rsidR="00683E51" w:rsidRDefault="00683E51" w:rsidP="00550638">
      <w:pPr>
        <w:pStyle w:val="NormalWeb"/>
        <w:jc w:val="both"/>
      </w:pPr>
      <w:r>
        <w:t>Como ya se ha señalado, el mantenimiento de un Estado del bienestar generoso requiere un gasto público elevado que sólo puede mantenerse con una elevada fiscalidad y un elevado nivel de empleo que asegure una fuerte base recaudatoria. Pero, a su vez, una excesiva fiscalidad y unas cotizaciones sociales altas desincentivan tanto la oferta como la demanda de trabajo, y reducen, al penalizar el empleo, tal base recaudatoria.</w:t>
      </w:r>
    </w:p>
    <w:p w:rsidR="00683E51" w:rsidRPr="00415071" w:rsidRDefault="00683E51" w:rsidP="00550638">
      <w:pPr>
        <w:pStyle w:val="NormalWeb"/>
        <w:jc w:val="both"/>
        <w:rPr>
          <w:color w:val="FF0000"/>
          <w:u w:val="single"/>
        </w:rPr>
      </w:pPr>
      <w:r w:rsidRPr="00415071">
        <w:rPr>
          <w:color w:val="FF0000"/>
          <w:u w:val="single"/>
        </w:rPr>
        <w:t>Por ello era evidente la necesidad de fomentar el crecimiento económico y el crecimiento del empleo. La vía elegida fue doble: por una parte, se trabajó en la reducción de los incentivos al no trabajo endureciendo las condiciones de acceso y permanencia en el subsidio de paro, a fin de estimular la búsqueda de empleo, todo ello unido a otras medidas en la misma dirección en materia de prestaciones sociales, como el seguro de enfermedad (aumentando el control sobre la duración y justificación de las bajas laborales). Por otra, se redujeron los impuestos, especialmente los que gravaban los ingresos más bajos, y se abarataron los gastos de contratación, especialmente también los correspondientes a los empleos peor remunerados.</w:t>
      </w:r>
    </w:p>
    <w:p w:rsidR="00683E51" w:rsidRPr="00415071" w:rsidRDefault="00683E51" w:rsidP="00550638">
      <w:pPr>
        <w:pStyle w:val="NormalWeb"/>
        <w:jc w:val="both"/>
        <w:rPr>
          <w:u w:val="single"/>
        </w:rPr>
      </w:pPr>
      <w:r w:rsidRPr="00415071">
        <w:rPr>
          <w:u w:val="single"/>
        </w:rPr>
        <w:t>Aún cabe hacer referencia a otra reforma nada desdeñable: la relativa al sistema de pensiones. La reforma de este sistema ha venido a crear dos sistemas complementarios, uno colectivo y básicamente de reparto, aunque con elementos de capitalización, y otro individual y de capitalización pura. Se trata de un sistema original, que ha merecido el elogio de organismos como el Banco Mundial, y que resulta plenamente exportable a otros países. Del ahorro obligatorio para pensiones, que es el 18,5% del salario bruto, el 16% debe destinarse al sistema colectivo, y el 2,5% restante puede dedicarse libremente por cada ciudadano a suscribir un fondo de pensiones, a su elección entre los más de setecientos autorizados (que son objeto de supervisión por un ente estatal).</w:t>
      </w:r>
    </w:p>
    <w:p w:rsidR="00683E51" w:rsidRDefault="00683E51" w:rsidP="00550638">
      <w:pPr>
        <w:pStyle w:val="NormalWeb"/>
        <w:jc w:val="both"/>
      </w:pPr>
      <w:r w:rsidRPr="00415071">
        <w:rPr>
          <w:color w:val="FF0000"/>
          <w:u w:val="single"/>
        </w:rPr>
        <w:t>Especialmente interesante es el funcionamiento del sistema colectivo. En él, la pensión recibida por el jubilado es el resultado de dividir la suma de las cotizaciones que ha pagado a lo largo de toda su vida laboral, con sus intereses, por el número de años de expectativa de vida que se le supone en función de su grupo o cohorte de edad. La ventaja de este sistema es que incentiva la postergación de la edad de retiro, puesto que con ella disminuye el divisor y, en consecuencia, incrementa la pensión resultante</w:t>
      </w:r>
      <w:r>
        <w:t>. Otras fórmulas persiguen asegurar el equilibrio financiero del sistema a largo plazo, aunque su descripción alargaría en exceso estas páginas. Remito al lector al libro de Rojas.</w:t>
      </w:r>
    </w:p>
    <w:p w:rsidR="00683E51" w:rsidRPr="00415071" w:rsidRDefault="00683E51" w:rsidP="00550638">
      <w:pPr>
        <w:pStyle w:val="NormalWeb"/>
        <w:jc w:val="both"/>
        <w:rPr>
          <w:color w:val="FF0000"/>
          <w:u w:val="single"/>
        </w:rPr>
      </w:pPr>
      <w:r w:rsidRPr="00415071">
        <w:rPr>
          <w:u w:val="single"/>
        </w:rPr>
        <w:lastRenderedPageBreak/>
        <w:t>El poco tiempo de vida de todas estas reformas dificulta un juicio definitivo sobre los frutos de la misma</w:t>
      </w:r>
      <w:r>
        <w:t xml:space="preserve">. La positiva evolución del empleo a partir de 2005 (especialmente entre los de más edad y los de menos) y el crecimiento del PIB parecen ser tributarios en buena medida de tales reformas, aunque no sea aún posible determinar en qué proporción. Lo que sí cabe asegurar es que las reformas cuentan con un amplísimo respaldo social. Y, por otra parte, nos ofrecen una importante enseñanza: </w:t>
      </w:r>
      <w:r w:rsidRPr="00415071">
        <w:rPr>
          <w:color w:val="FF0000"/>
          <w:u w:val="single"/>
        </w:rPr>
        <w:t>Suecia ha transitado desde un modelo de Estado benefactor, paternalista, monopolista, con escaso margen para la libertad de elección de los beneficiario</w:t>
      </w:r>
      <w:r w:rsidR="00415071" w:rsidRPr="00415071">
        <w:rPr>
          <w:color w:val="FF0000"/>
          <w:u w:val="single"/>
        </w:rPr>
        <w:t>s, hacia lo que Rojas llama un “</w:t>
      </w:r>
      <w:r w:rsidRPr="00415071">
        <w:rPr>
          <w:color w:val="FF0000"/>
          <w:u w:val="single"/>
        </w:rPr>
        <w:t>Estado posibilitado</w:t>
      </w:r>
      <w:r w:rsidR="00415071" w:rsidRPr="00415071">
        <w:rPr>
          <w:color w:val="FF0000"/>
          <w:u w:val="single"/>
        </w:rPr>
        <w:t>r”</w:t>
      </w:r>
      <w:r w:rsidRPr="00415071">
        <w:rPr>
          <w:color w:val="FF0000"/>
          <w:u w:val="single"/>
        </w:rPr>
        <w:t>, que preserva los beneficios sociales del Estado del bienestar, en términos de protección social e igualdad, pero con mayor eficiencia, menores costes y mayores márgenes de libertad para los ciudadanos.</w:t>
      </w:r>
    </w:p>
    <w:p w:rsidR="00683E51" w:rsidRPr="00415071" w:rsidRDefault="00683E51" w:rsidP="00550638">
      <w:pPr>
        <w:pStyle w:val="NormalWeb"/>
        <w:jc w:val="both"/>
        <w:rPr>
          <w:color w:val="FF0000"/>
          <w:u w:val="single"/>
        </w:rPr>
      </w:pPr>
      <w:r w:rsidRPr="00415071">
        <w:rPr>
          <w:color w:val="FF0000"/>
          <w:u w:val="single"/>
        </w:rPr>
        <w:t>Ello demuestra que es posible un Estado del bienestar que compatibilice la universalidad de la sanidad, educación y prestaciones sociales, con la igualdad de los ciudadanos a la hora de acceder a tales servicios, la colaboración entre el sector público y privado, la participación de la iniciativa privada y la libertad de elección que devuelve a los ciudadanos la plenitud en el ejercicio de sus derechos.</w:t>
      </w:r>
    </w:p>
    <w:p w:rsidR="00683E51" w:rsidRDefault="00683E51" w:rsidP="00550638">
      <w:pPr>
        <w:pStyle w:val="NormalWeb"/>
        <w:jc w:val="both"/>
      </w:pPr>
      <w:r w:rsidRPr="00415071">
        <w:rPr>
          <w:u w:val="single"/>
        </w:rPr>
        <w:t>Si el modelo resulta un éxito, como parece estar siendo el caso, constituye un ejemplo de cómo, aparcando dogmatismos y prejuicios ideológicos, es posible asegurar las conquistas sociales y lograr un Estado del bienestar viable para ciudadanos libres</w:t>
      </w:r>
      <w:r>
        <w:t xml:space="preserve">. En nuestro país, en el que aún permanece bastante arraigada la idea de que los servicios sociales deben ser gestionados en exclusiva, o casi, por el sector público, y donde se mira con desconfianza la participación del sector privado, sería bueno estudiar atentamente el nuevo modelo sueco. La clave última de este nuevo sistema reside, como antes se ha apuntado, en financiar a las personas (el bono escolar, o sanitario, o asistencial) y no a los prestadores monopolistas de tales servicios. No son pocas las voces que en España están ya alzándose en este sentido, y no estaría de más que se les prestase atención. Aunque ello sea pedir demasiado.  </w:t>
      </w:r>
    </w:p>
    <w:p w:rsidR="00683E51" w:rsidRDefault="00683E51" w:rsidP="00550638">
      <w:pPr>
        <w:pStyle w:val="NormalWeb"/>
        <w:jc w:val="both"/>
      </w:pPr>
      <w:r>
        <w:t xml:space="preserve">- </w:t>
      </w:r>
      <w:r w:rsidRPr="00996026">
        <w:rPr>
          <w:u w:val="single"/>
        </w:rPr>
        <w:t>Reinventar el Estado de Bienestar</w:t>
      </w:r>
      <w:r>
        <w:t xml:space="preserve"> (El Mundo - </w:t>
      </w:r>
      <w:r w:rsidRPr="00996026">
        <w:rPr>
          <w:b/>
        </w:rPr>
        <w:t>3/8/11</w:t>
      </w:r>
      <w:r>
        <w:t xml:space="preserve">) </w:t>
      </w:r>
      <w:r w:rsidR="00D121C5">
        <w:t xml:space="preserve">                Lectura recomendada</w:t>
      </w:r>
    </w:p>
    <w:p w:rsidR="00683E51" w:rsidRDefault="00683E51" w:rsidP="00550638">
      <w:pPr>
        <w:pStyle w:val="NormalWeb"/>
        <w:jc w:val="both"/>
      </w:pPr>
      <w:r>
        <w:t>(Por Mauricio Rojas)</w:t>
      </w:r>
    </w:p>
    <w:p w:rsidR="00683E51" w:rsidRDefault="00683E51" w:rsidP="00550638">
      <w:pPr>
        <w:pStyle w:val="NormalWeb"/>
        <w:jc w:val="both"/>
      </w:pPr>
      <w:r>
        <w:t>La crisis que vive España es, evidentemente, una crisis de su modelo productivo, pero también de su modelo de Estado. Por sus amplias funciones y su gran tamaño, el Estado se ha transformado en un eje fundamental para el progreso en las naciones modernas. Esto resulta aún más evidente si consideramos el peso específico del Estado en materias sociales que abarcan sectores tan estratégicos como educación y sanidad. España está aquejada de una seria crisis por la fragmentación caótica de sus funciones y la inflación de sus administraciones derivada del Estado autonómico. Esto es obvio. Además, España, en cuanto Estado de Bienestar, adolece de todos los defectos e ineficiencias propias de los sistemas jerárquicos cerrados y planificados.</w:t>
      </w:r>
    </w:p>
    <w:p w:rsidR="00683E51" w:rsidRPr="00415071" w:rsidRDefault="00683E51" w:rsidP="00550638">
      <w:pPr>
        <w:pStyle w:val="NormalWeb"/>
        <w:jc w:val="both"/>
        <w:rPr>
          <w:color w:val="FF0000"/>
          <w:u w:val="single"/>
        </w:rPr>
      </w:pPr>
      <w:r w:rsidRPr="00415071">
        <w:rPr>
          <w:color w:val="FF0000"/>
          <w:u w:val="single"/>
        </w:rPr>
        <w:t>El Estado de Bienestar, tal como lo conocemos, está haciendo agua por los cuatro costados, pero no por la maldad de los neoliberales o de los mercados sino por sus propios fallos y su desmesura. Por ello la reforma radical del Estado de Bienestar es una tarea tan decisiva, no sólo para mantenerlo en vida sino también para reencontrar una senda de crecimiento que asegure el bienestar futuro. Esta reforma debe, en lo esencial, asumir un gran reto: devolverle a la sociedad civil el protagonismo en política social.</w:t>
      </w:r>
    </w:p>
    <w:p w:rsidR="00683E51" w:rsidRPr="00415071" w:rsidRDefault="00683E51" w:rsidP="00550638">
      <w:pPr>
        <w:pStyle w:val="NormalWeb"/>
        <w:jc w:val="both"/>
        <w:rPr>
          <w:u w:val="single"/>
        </w:rPr>
      </w:pPr>
      <w:r w:rsidRPr="00415071">
        <w:rPr>
          <w:u w:val="single"/>
        </w:rPr>
        <w:lastRenderedPageBreak/>
        <w:t>El Estado de Bienestar actual presenta un fallo clave: está pensado como un aparato jerárquico que desde arriba debería resolver las necesidades sociales de los ciudadanos.</w:t>
      </w:r>
      <w:r>
        <w:t xml:space="preserve"> Se ha enquistado la idea de que las cosas se hacen mejor mediante monopolios públicos y una gran planificación que elimine el caos de la libertad ciudadana. </w:t>
      </w:r>
      <w:r w:rsidRPr="00415071">
        <w:rPr>
          <w:u w:val="single"/>
        </w:rPr>
        <w:t>Este planteamiento es responsable de haber privado al Estado de Bienestar de la fuente más vital de progreso de la sociedad moderna: la libertad que hemos conquistado para llevar a cabo nuestras ideas y ponerlas al servicio, compitiendo unas con otras, de quienes estén dispuestos a elegirlas libremente, ya que las consideran provechosas para sus proyectos de vida.</w:t>
      </w:r>
    </w:p>
    <w:p w:rsidR="00683E51" w:rsidRPr="00415071" w:rsidRDefault="00683E51" w:rsidP="00550638">
      <w:pPr>
        <w:pStyle w:val="NormalWeb"/>
        <w:jc w:val="both"/>
        <w:rPr>
          <w:color w:val="FF0000"/>
          <w:u w:val="single"/>
        </w:rPr>
      </w:pPr>
      <w:r w:rsidRPr="00415071">
        <w:rPr>
          <w:color w:val="FF0000"/>
          <w:u w:val="single"/>
        </w:rPr>
        <w:t>La hegemonía social del Estado, en conflicto con la sociedad civil, ha sido el eje de la formación de los Estados benefactores tradicionales. Esta rémora ideológica se ha convertido hoy en un impedimento al progreso que, para potenciar sus posibilidades, debe buscar una fructífera colaboración entre ambos actores. Esto implica diseñar un modelo de reforma del Estado de Bienestar donde la función estatal básica sea poner a disposición de la sociedad civil instrumentos para que ella misma resuelva sus problemas.</w:t>
      </w:r>
    </w:p>
    <w:p w:rsidR="00683E51" w:rsidRDefault="00683E51" w:rsidP="00550638">
      <w:pPr>
        <w:pStyle w:val="NormalWeb"/>
        <w:jc w:val="both"/>
      </w:pPr>
      <w:r w:rsidRPr="00415071">
        <w:rPr>
          <w:u w:val="single"/>
        </w:rPr>
        <w:t xml:space="preserve">Hace unos 20 </w:t>
      </w:r>
      <w:r w:rsidR="00D121C5" w:rsidRPr="00415071">
        <w:rPr>
          <w:u w:val="single"/>
        </w:rPr>
        <w:t>años</w:t>
      </w:r>
      <w:r w:rsidRPr="00415071">
        <w:rPr>
          <w:u w:val="single"/>
        </w:rPr>
        <w:t>, el país-paradigma del Estado de Bienestar, Suecia, estuvo sumido en una profunda crisis de la cual salió gracias a decididas reformas que hicieron de su viejo Estado benefactor uno renovado, que ha sabido combinar una gran moderación fiscal con una amplia apertura a la cooperación públicoprivada, la competencia y el empoderamiento de la sociedad civil</w:t>
      </w:r>
      <w:r>
        <w:t>. Suecia lidera hoy el desarrollo europeo, con altísimas tasas de crecimiento, plena estabilidad fiscal y notables logros en política social. De esta exitosa experiencia se pueden extraer algunas lecciones útiles para formular una propuesta de modernización del Estado de Bienestar español.</w:t>
      </w:r>
    </w:p>
    <w:p w:rsidR="00683E51" w:rsidRPr="00415071" w:rsidRDefault="00683E51" w:rsidP="00550638">
      <w:pPr>
        <w:pStyle w:val="NormalWeb"/>
        <w:jc w:val="both"/>
        <w:rPr>
          <w:color w:val="FF0000"/>
          <w:u w:val="single"/>
        </w:rPr>
      </w:pPr>
      <w:r w:rsidRPr="00415071">
        <w:rPr>
          <w:color w:val="FF0000"/>
          <w:u w:val="single"/>
        </w:rPr>
        <w:t>En primer lugar, la reforma del Estado de Bienestar debe ser llevada a cabo por la sociedad. El papel del Estado debe limitarse a abrir la posibilidad del cambio renunciando a su monopolio de la gestión de los servicios públicos y dándole al ciudadano una voz determinante.</w:t>
      </w:r>
    </w:p>
    <w:p w:rsidR="00683E51" w:rsidRPr="00415071" w:rsidRDefault="00683E51" w:rsidP="00550638">
      <w:pPr>
        <w:pStyle w:val="NormalWeb"/>
        <w:jc w:val="both"/>
        <w:rPr>
          <w:color w:val="FF0000"/>
          <w:u w:val="single"/>
        </w:rPr>
      </w:pPr>
      <w:r w:rsidRPr="00415071">
        <w:rPr>
          <w:color w:val="FF0000"/>
          <w:u w:val="single"/>
        </w:rPr>
        <w:t>Seguidamente, el principal agente de la modernización de los servicios públicos debe ser el ciudadano mismo. Para que ello sea posible, el ciudadano debe recibir la responsabilidad directa por la conformación de la oferta de servicios públicos mediante su libre elección de los mismos. La forma más simple y eficiente de alcanzar esto es un sistema de bonos del bienestar, por el cual el Estado transfiere a los ciudadanos el poder efectivo de configurar, mediante su demanda respaldada por los bonos del bienestar, la oferta misma de los servicios de responsabilidad pública.</w:t>
      </w:r>
    </w:p>
    <w:p w:rsidR="00683E51" w:rsidRDefault="00683E51" w:rsidP="00550638">
      <w:pPr>
        <w:pStyle w:val="NormalWeb"/>
        <w:jc w:val="both"/>
      </w:pPr>
      <w:r w:rsidRPr="00415071">
        <w:rPr>
          <w:color w:val="FF0000"/>
          <w:u w:val="single"/>
        </w:rPr>
        <w:t>En tercer lugar, se requiere pluralismo de proveedores que compitan por el favor ciudadano. La libertad de elección no puede realizarse si no existe una posibilidad real de elegir entre muchas alternativas que compitan entre sí en igualdad de condiciones y que, para su subsistencia, dependan de la elección libre de los ciudadanos</w:t>
      </w:r>
      <w:r>
        <w:t>. Esto implica separar la responsabilidad púbica por el acceso universal e igualitario a ciertos servicios y prestaciones sociales de su gestión. De esta manera se rompen los monopolios públicos, abriendo lo que ha sido un sistema cerrado al dinamismo de la libre competencia.</w:t>
      </w:r>
    </w:p>
    <w:p w:rsidR="00683E51" w:rsidRDefault="00683E51" w:rsidP="00550638">
      <w:pPr>
        <w:pStyle w:val="NormalWeb"/>
        <w:jc w:val="both"/>
      </w:pPr>
      <w:r w:rsidRPr="00415071">
        <w:rPr>
          <w:color w:val="FF0000"/>
          <w:u w:val="single"/>
        </w:rPr>
        <w:lastRenderedPageBreak/>
        <w:t>Y por último, desfuncionarizar los servicios de responsabilidad pública. La modernización del Es</w:t>
      </w:r>
      <w:r w:rsidR="00415071" w:rsidRPr="00415071">
        <w:rPr>
          <w:color w:val="FF0000"/>
          <w:u w:val="single"/>
        </w:rPr>
        <w:t>tado de Bienestar implica romper</w:t>
      </w:r>
      <w:r w:rsidRPr="00415071">
        <w:rPr>
          <w:color w:val="FF0000"/>
          <w:u w:val="single"/>
        </w:rPr>
        <w:t xml:space="preserve"> no sólo el monopolio de la gestión pública sino, además, el de ciertas categorías laborales sobre la prestación de los servicios de responsabilidad pública</w:t>
      </w:r>
      <w:r>
        <w:t>. La estabilidad en el empleo de quienes prestan servicios que no tienen directamente que ver con el ejercicio de la autoridad del Estado no debe, en el futuro, estar relacionada con asignaciones presupuestarias ni privilegios como la inmovilidad laboral, sino únicamente con la capacidad de atraer la demanda ciudadana y, con ello, el financiamiento público canalizado vía bonos del bienestar</w:t>
      </w:r>
    </w:p>
    <w:p w:rsidR="00683E51" w:rsidRDefault="00683E51" w:rsidP="00550638">
      <w:pPr>
        <w:pStyle w:val="NormalWeb"/>
        <w:jc w:val="both"/>
      </w:pPr>
      <w:r w:rsidRPr="004E4199">
        <w:rPr>
          <w:u w:val="single"/>
        </w:rPr>
        <w:t>Todo esto es una realidad en la Suecia de hoy, sin por ello haber disminuido ni un ápice el espíritu solidario que inspira su Estado de Bienestar ni su compromiso como garante del acceso universal e igualitario a servicios de calidad</w:t>
      </w:r>
      <w:r>
        <w:t>. Las reformas aquí resumidas no han pretendido desmontar el Estado de Bienestar, sino reinventarlo desmontando aquellas jerarquías, monopolios y excesos que lo amenazaban.</w:t>
      </w:r>
    </w:p>
    <w:p w:rsidR="00683E51" w:rsidRDefault="00683E51" w:rsidP="00550638">
      <w:pPr>
        <w:pStyle w:val="NormalWeb"/>
        <w:jc w:val="both"/>
      </w:pPr>
      <w:r w:rsidRPr="004E4199">
        <w:rPr>
          <w:u w:val="single"/>
        </w:rPr>
        <w:t>Los momentos de crisis pueden ser también momentos de lucidez. Aquello que por mucho tiempo ni siquiera hemos sido capaces de pensar puede transformarse en algo evidente e imperioso para no seguir empantanados</w:t>
      </w:r>
      <w:r>
        <w:t>. España vive hoy un momento de crisis de tal envergadura que requerirá, para ser superado, de toda la lucidez que seamos capaces de recabar. Y también de la valentía de enfrentar los riesgos políticos de decir lo que se debe y no sólo lo que se puede.</w:t>
      </w:r>
    </w:p>
    <w:p w:rsidR="00683E51" w:rsidRDefault="00683E51" w:rsidP="00550638">
      <w:pPr>
        <w:pStyle w:val="NormalWeb"/>
        <w:jc w:val="both"/>
      </w:pPr>
      <w:r>
        <w:t xml:space="preserve">Las propuestas aquí recogidas requieren, básicamente, comprender que la política serial del futuro no nos caerá como maná del cielo del poder del Estado. Ni el Estado ni la política pueden hacer tales milagros en un mundo tan cambiante, diverso y complejo como el de hoy. Lo que la política sí puede hacer es más modesto pero no menos importante: crear condiciones propicias para el ejercicio más pleno y más amplio de nuestra libertad. </w:t>
      </w:r>
      <w:r w:rsidRPr="004E4199">
        <w:rPr>
          <w:color w:val="FF0000"/>
          <w:u w:val="single"/>
        </w:rPr>
        <w:t>El paso de un Estado benefactor desde arriba a un verdadero Estado social de Bienestar requerirá, además, de un gran coraje por parte de los políticos que lo hagan posible: el coraje de desprenderse de una importante parcela de poder para devolvérsela a los ciudadanos</w:t>
      </w:r>
      <w:r>
        <w:t>.</w:t>
      </w:r>
    </w:p>
    <w:p w:rsidR="00A51545" w:rsidRDefault="00683E51" w:rsidP="00550638">
      <w:pPr>
        <w:pStyle w:val="NormalWeb"/>
        <w:jc w:val="both"/>
      </w:pPr>
      <w:r>
        <w:t>(Mauricio Rojas es profesor de la Universidad de Lund (Suecia) y autor de Reinventar</w:t>
      </w:r>
      <w:r w:rsidR="004E4199">
        <w:t xml:space="preserve"> </w:t>
      </w:r>
      <w:r>
        <w:t>el Estado del bienestar. la experiencia de Suecia (Gota a Gota, 2010)).</w:t>
      </w:r>
    </w:p>
    <w:p w:rsidR="00A51545" w:rsidRPr="00F73FE4" w:rsidRDefault="00A51545" w:rsidP="00550638">
      <w:pPr>
        <w:pStyle w:val="NormalWeb"/>
        <w:jc w:val="both"/>
      </w:pPr>
      <w:r>
        <w:t xml:space="preserve">- </w:t>
      </w:r>
      <w:r w:rsidRPr="00F73FE4">
        <w:rPr>
          <w:u w:val="single"/>
        </w:rPr>
        <w:t>Hacia un sistema regulatorio del siglo XXI</w:t>
      </w:r>
      <w:r>
        <w:t xml:space="preserve"> (The Wall Street Journal - </w:t>
      </w:r>
      <w:r w:rsidRPr="00F73FE4">
        <w:rPr>
          <w:b/>
        </w:rPr>
        <w:t>18/1/11</w:t>
      </w:r>
      <w:r>
        <w:t>)</w:t>
      </w:r>
    </w:p>
    <w:p w:rsidR="00A51545" w:rsidRPr="00022ED1" w:rsidRDefault="00A51545" w:rsidP="00550638">
      <w:pPr>
        <w:pStyle w:val="NormalWeb"/>
        <w:jc w:val="both"/>
      </w:pPr>
      <w:r w:rsidRPr="00022ED1">
        <w:t>(</w:t>
      </w:r>
      <w:r w:rsidRPr="00D121C5">
        <w:t xml:space="preserve">Por Barack Obama) </w:t>
      </w:r>
      <w:r w:rsidR="00D121C5">
        <w:t xml:space="preserve">                                                                         Lectura recomendada</w:t>
      </w:r>
    </w:p>
    <w:p w:rsidR="00A51545" w:rsidRDefault="00A51545" w:rsidP="00550638">
      <w:pPr>
        <w:pStyle w:val="NormalWeb"/>
        <w:jc w:val="both"/>
      </w:pPr>
      <w:r>
        <w:t>Por dos siglos, el libre mercado de Estados Unidos ha sido no solo la fuente de deslumbrantes ideas y productos que abren caminos, también ha sido la mayor fuerza generadora de prosperidad que el mundo haya conocido. Ese vibrante emprendimiento es la clave de nuestro continuo liderazgo global y del éxito de nuestra gente.</w:t>
      </w:r>
    </w:p>
    <w:p w:rsidR="00A51545" w:rsidRPr="00901875" w:rsidRDefault="00A51545" w:rsidP="00550638">
      <w:pPr>
        <w:pStyle w:val="NormalWeb"/>
        <w:jc w:val="both"/>
        <w:rPr>
          <w:u w:val="single"/>
        </w:rPr>
      </w:pPr>
      <w:r w:rsidRPr="00901875">
        <w:rPr>
          <w:u w:val="single"/>
        </w:rPr>
        <w:t>Sin embargo, a lo largo de nuestra historia, una de las razones por la que el libre mercado ha funcionado es que hemos buscado el balance adecuado. Hemos preservado la libertad del comercio a la vez que aplicamos las reglas y regulaciones necesarias para proteger al público de amenazas contra nuestra salud y seguridad y para evitar que la gente y los negocios sean víctimas de abusos.</w:t>
      </w:r>
    </w:p>
    <w:p w:rsidR="00A51545" w:rsidRDefault="00A51545" w:rsidP="00550638">
      <w:pPr>
        <w:pStyle w:val="NormalWeb"/>
        <w:jc w:val="both"/>
      </w:pPr>
      <w:r>
        <w:lastRenderedPageBreak/>
        <w:t>Desde las leyes que prohibieron el trabajo para niños, pasando por las leyes ambientales y nuestras recientes regulaciones contra los cargos escondidos y las multas que imponían las empresas de tarjetas de crédito, hemos, de cuando en cuando, implementado regalas de sentido común que han fortalecido a nuestro país sin interferir indebidamente en la búsqueda de progreso y el crecimiento de nuestra economía.</w:t>
      </w:r>
    </w:p>
    <w:p w:rsidR="00A51545" w:rsidRPr="00901875" w:rsidRDefault="00A51545" w:rsidP="00550638">
      <w:pPr>
        <w:pStyle w:val="NormalWeb"/>
        <w:jc w:val="both"/>
        <w:rPr>
          <w:u w:val="single"/>
        </w:rPr>
      </w:pPr>
      <w:r w:rsidRPr="00901875">
        <w:rPr>
          <w:u w:val="single"/>
        </w:rPr>
        <w:t>A veces esas reglas se han salido de control, colocando cargas poco razonables sobre los negocios, cargas que han ahogado la innovación y que han ejercido un efecto negativo sobre el crecimiento y los empleos. En otras ocasiones, no hemos cumplido con nuestra responsabilidad básica de proteger el interés público, lo que ha tenido consecuencias desastrosas. Tal fue el caso de los años anteriores a la crisis financiera de la cual aún nos estamos recuperando. En ese caso, una ausencia de supervisión adecuada y transparencia casi condujo al colapso de los mercados financieros y a una depresión a gran escala.</w:t>
      </w:r>
    </w:p>
    <w:p w:rsidR="00A51545" w:rsidRPr="00901875" w:rsidRDefault="00A51545" w:rsidP="00550638">
      <w:pPr>
        <w:pStyle w:val="NormalWeb"/>
        <w:jc w:val="both"/>
        <w:rPr>
          <w:u w:val="single"/>
        </w:rPr>
      </w:pPr>
      <w:r w:rsidRPr="00901875">
        <w:rPr>
          <w:u w:val="single"/>
        </w:rPr>
        <w:t>A lo largo de los últimos dos años, la meta de mi gobierno ha sido el encontrar el balance adecuado. Hoy, firmaré una orden ejecutiva que deja claro que este es el principio operativo de nuestro gobierno.</w:t>
      </w:r>
    </w:p>
    <w:p w:rsidR="00A51545" w:rsidRPr="00901875" w:rsidRDefault="00A51545" w:rsidP="00550638">
      <w:pPr>
        <w:pStyle w:val="NormalWeb"/>
        <w:jc w:val="both"/>
        <w:rPr>
          <w:color w:val="FF0000"/>
          <w:u w:val="single"/>
        </w:rPr>
      </w:pPr>
      <w:r w:rsidRPr="00901875">
        <w:rPr>
          <w:color w:val="FF0000"/>
          <w:u w:val="single"/>
        </w:rPr>
        <w:t>Esta orden requiere que las agencias federales se aseguren de que las regulaciones protejan nuestra seguridad, salud y ambiente a la vez que promueven el crecimiento económico</w:t>
      </w:r>
      <w:r>
        <w:t xml:space="preserve">. </w:t>
      </w:r>
      <w:r w:rsidRPr="00901875">
        <w:rPr>
          <w:color w:val="FF0000"/>
          <w:u w:val="single"/>
        </w:rPr>
        <w:t>Además, ordena una revisión a lo largo y ancho del gobierno de las reglas que ya se encuentran implementadas para retirar regulaciones anticuadas que frenen la creación de empleos y hagan a nuestra economía menos competitiva. Es una revisión que ayudará a organizar regulaciones que se han convertido en una colcha de retazos de reglas que se sobre imponen, el resultados de ligeros ajustes de gobiernos y legisladores de ambos partidos y la influencia de los intereses especiales en Washington a lo largo de varias décadas.</w:t>
      </w:r>
    </w:p>
    <w:p w:rsidR="00A51545" w:rsidRDefault="00A51545" w:rsidP="00550638">
      <w:pPr>
        <w:pStyle w:val="NormalWeb"/>
        <w:jc w:val="both"/>
      </w:pPr>
      <w:r>
        <w:t>En donde sea necesario, nos encargaremos de cerrar las brechas más obvias: nuevas reglas de seguridad para la fórmula para infantes; procedimientos para detener infecciones previsibles en hospitales; esfuerzos para atacar a los infractores crónicos de las leyes de seguridad laboral. Pero también estamos convirtiendo en nuestra misión el sacar de raíz regulaciones que entren en conflicto, que no valgan el costo, o que sean sencillamente tontas.</w:t>
      </w:r>
    </w:p>
    <w:p w:rsidR="00A51545" w:rsidRDefault="00A51545" w:rsidP="00550638">
      <w:pPr>
        <w:pStyle w:val="NormalWeb"/>
        <w:jc w:val="both"/>
      </w:pPr>
      <w:r>
        <w:t xml:space="preserve">Por ejemplo, la FDA (la agencia </w:t>
      </w:r>
      <w:r w:rsidR="00D121C5">
        <w:t>de seguridad de alimentos de EEUU</w:t>
      </w:r>
      <w:r>
        <w:t>) ha considera desde hace tiempo al edulcorante artificial sacarina, como seguro para el consumo humano. Sin embargo, por muchos años, la Agencia de Protección Ambiental (EPA) hizo que las compañías trataran a la sacarina de la misma forma que tratan a los químicos peligrosos. Si usted se lo echa a su café, entonces no es un desecho peligroso. La EPA sabiamente eliminó esa regla el mes pasado.</w:t>
      </w:r>
    </w:p>
    <w:p w:rsidR="00A51545" w:rsidRPr="00901875" w:rsidRDefault="00A51545" w:rsidP="00550638">
      <w:pPr>
        <w:pStyle w:val="NormalWeb"/>
        <w:jc w:val="both"/>
        <w:rPr>
          <w:color w:val="FF0000"/>
          <w:u w:val="single"/>
        </w:rPr>
      </w:pPr>
      <w:r w:rsidRPr="00D121C5">
        <w:rPr>
          <w:color w:val="FF0000"/>
        </w:rPr>
        <w:t>S</w:t>
      </w:r>
      <w:r w:rsidRPr="00901875">
        <w:rPr>
          <w:color w:val="FF0000"/>
          <w:u w:val="single"/>
        </w:rPr>
        <w:t xml:space="preserve">in embargo, crear un sistema regulatorio para el siglo XXI va más allá de qué reglas agregar y cuales sustraer. Como dejo en claro en la orden ejecutiva que estoy firmando, buscamos formas más accesibles y menos intrusivas para alcanzar los mismos objetivos, dándole una cuidadosa consideración a los costos y beneficios. Esto significa redactar reglas con más ayuda de expertos, negocios y personas del común. Significa usar la transparencia como una herramienta para informar a los consumidores de sus opciones, </w:t>
      </w:r>
      <w:r w:rsidRPr="00901875">
        <w:rPr>
          <w:color w:val="FF0000"/>
          <w:u w:val="single"/>
        </w:rPr>
        <w:lastRenderedPageBreak/>
        <w:t>en vez de restringirlas. Eso significa el asegurarse que el gobierno haga más de su trabajo en línea, de la misma forma en que las compañías lo están haciendo.</w:t>
      </w:r>
    </w:p>
    <w:p w:rsidR="00A51545" w:rsidRDefault="00A51545" w:rsidP="00550638">
      <w:pPr>
        <w:pStyle w:val="NormalWeb"/>
        <w:jc w:val="both"/>
      </w:pPr>
      <w:r>
        <w:t>También nos estamos deshaciendo de los absurdos e innecesarios requerimientos de papeleo que hacen perder tiempo y dinero. Estamos mirando al sistema como un todo para asegurarnos que evitamos regulación excesiva, inconsistente y redundante. Finalmente, hoy he indicado a las agencias federales que hagan más para identificar y reducir las cargas que las regulaciones impongan sobre los pequeños negocios. Las firmas pequeñas impulsan el crecimiento y generan la mayor parte de los nuevos empleos en este país. Necesitamos asegurarnos que nada se interponga en su camino.</w:t>
      </w:r>
    </w:p>
    <w:p w:rsidR="00A51545" w:rsidRDefault="00A51545" w:rsidP="00550638">
      <w:pPr>
        <w:pStyle w:val="NormalWeb"/>
        <w:jc w:val="both"/>
      </w:pPr>
      <w:r>
        <w:t>Un ejemplo importante de esta estrategia son los estándares de ahorro de combustible para autos y camionetas. Cuando asumí mi cargo, el país enfrentaba años de litigios y confusión debido a las reglas conflictivas impuestas por el Congreso, los reguladores federales y los estados.</w:t>
      </w:r>
    </w:p>
    <w:p w:rsidR="00A51545" w:rsidRDefault="00A51545" w:rsidP="00550638">
      <w:pPr>
        <w:pStyle w:val="NormalWeb"/>
        <w:jc w:val="both"/>
      </w:pPr>
      <w:r>
        <w:t>La EPA y el Departamento de Transporte trabajaron con las automotrices, sindicatos, estados como California y activistas ambientales a principios del año pasado para transformar una madeja de reglas en un agresivo estándar nuevo. Fue una victoria para las compañías automotrices que deseaban una certeza regulatoria, para los consumidores que pagarán menos cada vez que vayan a echar gasolina a sus autos, para nuestra seguridad, ya que ahorraremos 1.800 millones de barriles de crudo y para el ambiente a medida que reducimos la contaminación. Otro ejemplo: el miércoles, la FDA presentará un nuevo esfuerzo para mejorar el proceso para aprobar aparatos médicos, para mantener a los pacientes seguros a la vez que se llevan al mercado de manera más rápida productos innovadores y que pueden salvar vidas</w:t>
      </w:r>
    </w:p>
    <w:p w:rsidR="00A51545" w:rsidRDefault="00A51545" w:rsidP="00550638">
      <w:pPr>
        <w:pStyle w:val="NormalWeb"/>
        <w:jc w:val="both"/>
      </w:pPr>
      <w:r>
        <w:t>Pese a mucha de la acalorada retórica, nuestros esfuerzos a lo largo de los dos últimos años para modernizar nuestras regulaciones han conducido a reglas más inteligentes y en algunos casos más estrictas, para proteger nuestra salud, seguridad y medio ambiente. Sin embargo, según algunos cálculos actuales de su impacto económico, los beneficios de esas regulaciones exceden sus costos en miles de millones de dólares.</w:t>
      </w:r>
    </w:p>
    <w:p w:rsidR="00A51545" w:rsidRDefault="00A51545" w:rsidP="00550638">
      <w:pPr>
        <w:pStyle w:val="NormalWeb"/>
        <w:jc w:val="both"/>
      </w:pPr>
      <w:r>
        <w:t xml:space="preserve">Esa es la lección de nuestra historia: Nuestra economía no es un juego suma cero. Las regulaciones tienen su costo; a menudo, como país, tenemos que tomar decisiones duras sobre si esos costos son necesarios. Lo que </w:t>
      </w:r>
      <w:r w:rsidR="00A92207">
        <w:t>sí</w:t>
      </w:r>
      <w:r>
        <w:t xml:space="preserve"> está claro es que podemos alcanzar el equilibrio. Podemos hacer a nuestra economía más fuerte y competitiva a la vez que cumplimos nuestras responsabilidades fundamentales con los demás.</w:t>
      </w:r>
    </w:p>
    <w:p w:rsidR="00A51545" w:rsidRDefault="00A51545" w:rsidP="00550638">
      <w:pPr>
        <w:pStyle w:val="NormalWeb"/>
        <w:jc w:val="both"/>
      </w:pPr>
      <w:r>
        <w:t>(Obama es el presidente de Estados Unidos)</w:t>
      </w:r>
    </w:p>
    <w:p w:rsidR="00A51545" w:rsidRPr="00805443" w:rsidRDefault="00D121C5" w:rsidP="00550638">
      <w:pPr>
        <w:spacing w:line="240" w:lineRule="auto"/>
        <w:jc w:val="both"/>
        <w:rPr>
          <w:rFonts w:ascii="Times New Roman" w:hAnsi="Times New Roman" w:cs="Times New Roman"/>
          <w:sz w:val="24"/>
          <w:szCs w:val="24"/>
        </w:rPr>
      </w:pPr>
      <w:r>
        <w:rPr>
          <w:rFonts w:ascii="Times New Roman" w:hAnsi="Times New Roman" w:cs="Times New Roman"/>
          <w:b/>
          <w:sz w:val="24"/>
          <w:szCs w:val="24"/>
        </w:rPr>
        <w:t>Otros a</w:t>
      </w:r>
      <w:r w:rsidR="00A51545">
        <w:rPr>
          <w:rFonts w:ascii="Times New Roman" w:hAnsi="Times New Roman" w:cs="Times New Roman"/>
          <w:b/>
          <w:sz w:val="24"/>
          <w:szCs w:val="24"/>
        </w:rPr>
        <w:t>rtículos de opinión</w:t>
      </w:r>
      <w:r w:rsidR="00805443">
        <w:rPr>
          <w:rFonts w:ascii="Times New Roman" w:hAnsi="Times New Roman" w:cs="Times New Roman"/>
          <w:b/>
          <w:sz w:val="24"/>
          <w:szCs w:val="24"/>
        </w:rPr>
        <w:t xml:space="preserve"> que pueden enriquecer el debate </w:t>
      </w:r>
      <w:r w:rsidR="00805443">
        <w:rPr>
          <w:rFonts w:ascii="Times New Roman" w:hAnsi="Times New Roman" w:cs="Times New Roman"/>
          <w:sz w:val="24"/>
          <w:szCs w:val="24"/>
        </w:rPr>
        <w:t>(lecturas recomen</w:t>
      </w:r>
      <w:r w:rsidR="00805443" w:rsidRPr="00805443">
        <w:rPr>
          <w:rFonts w:ascii="Times New Roman" w:hAnsi="Times New Roman" w:cs="Times New Roman"/>
          <w:sz w:val="24"/>
          <w:szCs w:val="24"/>
        </w:rPr>
        <w:t>dadas)</w:t>
      </w:r>
    </w:p>
    <w:p w:rsidR="00A51545" w:rsidRPr="00FF3B17" w:rsidRDefault="00A51545" w:rsidP="00550638">
      <w:pPr>
        <w:spacing w:before="100" w:beforeAutospacing="1" w:after="100" w:afterAutospacing="1" w:line="240" w:lineRule="auto"/>
        <w:jc w:val="both"/>
        <w:rPr>
          <w:rFonts w:ascii="Times New Roman" w:eastAsia="Times New Roman" w:hAnsi="Times New Roman"/>
          <w:sz w:val="24"/>
          <w:szCs w:val="24"/>
          <w:lang w:val="en-US" w:eastAsia="es-ES"/>
        </w:rPr>
      </w:pPr>
      <w:r>
        <w:rPr>
          <w:rFonts w:ascii="Times New Roman" w:eastAsia="Times New Roman" w:hAnsi="Times New Roman"/>
          <w:sz w:val="24"/>
          <w:szCs w:val="24"/>
          <w:lang w:eastAsia="es-ES"/>
        </w:rPr>
        <w:t xml:space="preserve">- </w:t>
      </w:r>
      <w:r w:rsidRPr="00A227E5">
        <w:rPr>
          <w:rFonts w:ascii="Times New Roman" w:eastAsia="Times New Roman" w:hAnsi="Times New Roman"/>
          <w:sz w:val="24"/>
          <w:szCs w:val="24"/>
          <w:u w:val="single"/>
          <w:lang w:eastAsia="es-ES"/>
        </w:rPr>
        <w:t>¿Los pobres son los causantes de la crisis?</w:t>
      </w:r>
      <w:r>
        <w:rPr>
          <w:rFonts w:ascii="Times New Roman" w:eastAsia="Times New Roman" w:hAnsi="Times New Roman"/>
          <w:sz w:val="24"/>
          <w:szCs w:val="24"/>
          <w:lang w:eastAsia="es-ES"/>
        </w:rPr>
        <w:t xml:space="preserve"> </w:t>
      </w:r>
      <w:r w:rsidRPr="00FF3B17">
        <w:rPr>
          <w:rFonts w:ascii="Times New Roman" w:eastAsia="Times New Roman" w:hAnsi="Times New Roman"/>
          <w:sz w:val="24"/>
          <w:szCs w:val="24"/>
          <w:lang w:val="en-US" w:eastAsia="es-ES"/>
        </w:rPr>
        <w:t xml:space="preserve">(Project Syndicate - </w:t>
      </w:r>
      <w:r w:rsidRPr="00FF3B17">
        <w:rPr>
          <w:rFonts w:ascii="Times New Roman" w:eastAsia="Times New Roman" w:hAnsi="Times New Roman"/>
          <w:b/>
          <w:sz w:val="24"/>
          <w:szCs w:val="24"/>
          <w:lang w:val="en-US" w:eastAsia="es-ES"/>
        </w:rPr>
        <w:t>19/1/11</w:t>
      </w:r>
      <w:r w:rsidRPr="00FF3B17">
        <w:rPr>
          <w:rFonts w:ascii="Times New Roman" w:eastAsia="Times New Roman" w:hAnsi="Times New Roman"/>
          <w:sz w:val="24"/>
          <w:szCs w:val="24"/>
          <w:lang w:val="en-US" w:eastAsia="es-ES"/>
        </w:rPr>
        <w:t>)</w:t>
      </w:r>
    </w:p>
    <w:p w:rsidR="00A51545" w:rsidRPr="00FF3B17" w:rsidRDefault="00A51545" w:rsidP="00550638">
      <w:pPr>
        <w:spacing w:before="100" w:beforeAutospacing="1" w:after="100" w:afterAutospacing="1" w:line="240" w:lineRule="auto"/>
        <w:jc w:val="both"/>
        <w:rPr>
          <w:rFonts w:ascii="Times New Roman" w:eastAsia="Times New Roman" w:hAnsi="Times New Roman"/>
          <w:sz w:val="24"/>
          <w:szCs w:val="24"/>
          <w:lang w:val="en-US" w:eastAsia="es-ES"/>
        </w:rPr>
      </w:pPr>
      <w:r w:rsidRPr="00FF3B17">
        <w:rPr>
          <w:rFonts w:ascii="Times New Roman" w:eastAsia="Times New Roman" w:hAnsi="Times New Roman"/>
          <w:sz w:val="24"/>
          <w:szCs w:val="24"/>
          <w:lang w:val="en-US" w:eastAsia="es-ES"/>
        </w:rPr>
        <w:t>(Por Simon Johnson)</w:t>
      </w:r>
    </w:p>
    <w:p w:rsidR="00A51545" w:rsidRPr="00507ED4" w:rsidRDefault="00A5154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A227E5">
        <w:rPr>
          <w:rFonts w:ascii="Times New Roman" w:eastAsia="Times New Roman" w:hAnsi="Times New Roman"/>
          <w:sz w:val="24"/>
          <w:szCs w:val="24"/>
          <w:lang w:eastAsia="es-ES"/>
        </w:rPr>
        <w:t>W</w:t>
      </w:r>
      <w:r w:rsidR="00D121C5">
        <w:rPr>
          <w:rFonts w:ascii="Times New Roman" w:eastAsia="Times New Roman" w:hAnsi="Times New Roman"/>
          <w:sz w:val="24"/>
          <w:szCs w:val="24"/>
          <w:lang w:eastAsia="es-ES"/>
        </w:rPr>
        <w:t xml:space="preserve">ashington, DC.- </w:t>
      </w:r>
      <w:r w:rsidRPr="00507ED4">
        <w:rPr>
          <w:rFonts w:ascii="Times New Roman" w:eastAsia="Times New Roman" w:hAnsi="Times New Roman"/>
          <w:sz w:val="24"/>
          <w:szCs w:val="24"/>
          <w:u w:val="single"/>
          <w:lang w:eastAsia="es-ES"/>
        </w:rPr>
        <w:t>Estados Unidos sigue desgarrado por un acalorado debate sobre las causas de la crisis financiera de 2007-2009. ¿Hay que echarle la culpa al gobierno por lo que salió mal? Y, si fuera así, ¿de qué manera?</w:t>
      </w:r>
    </w:p>
    <w:p w:rsidR="00A51545" w:rsidRPr="00507ED4"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507ED4">
        <w:rPr>
          <w:rFonts w:ascii="Times New Roman" w:eastAsia="Times New Roman" w:hAnsi="Times New Roman"/>
          <w:color w:val="FF0000"/>
          <w:sz w:val="24"/>
          <w:szCs w:val="24"/>
          <w:u w:val="single"/>
          <w:lang w:eastAsia="es-ES"/>
        </w:rPr>
        <w:lastRenderedPageBreak/>
        <w:t xml:space="preserve">En diciembre, la minoría republicana en la Comisión de Investigación de la Crisis Financiera (FCIC, por su sigla en inglés) intervino con una narrativa de disenso preventiva. De acuerdo con este grupo, las políticas equivocadas del gobierno, destinadas a aumentar la cantidad de propietarios de viviendas entre la gente relativamente pobre, empujó a demasiada gente a contraer hipotecas de alto riesgo que no podían pagar. </w:t>
      </w:r>
    </w:p>
    <w:p w:rsidR="00A51545" w:rsidRPr="00507ED4" w:rsidRDefault="00A5154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A227E5">
        <w:rPr>
          <w:rFonts w:ascii="Times New Roman" w:eastAsia="Times New Roman" w:hAnsi="Times New Roman"/>
          <w:sz w:val="24"/>
          <w:szCs w:val="24"/>
          <w:lang w:eastAsia="es-ES"/>
        </w:rPr>
        <w:t xml:space="preserve">Potencialmente, esta narrativa puede ganar mucho respaldo, especialmente en la Cámara de Representantes controlada por los republicanos y en las vísperas de la elección presidencial de 2012. </w:t>
      </w:r>
      <w:r w:rsidRPr="00507ED4">
        <w:rPr>
          <w:rFonts w:ascii="Times New Roman" w:eastAsia="Times New Roman" w:hAnsi="Times New Roman"/>
          <w:sz w:val="24"/>
          <w:szCs w:val="24"/>
          <w:u w:val="single"/>
          <w:lang w:eastAsia="es-ES"/>
        </w:rPr>
        <w:t>Pero, mientras que los republicanos de la FCIC escriben elocuentemente, ¿tienen alguna prueba para respaldar sus aseveraciones? ¿La gente pobre en Estados Unidos es responsable de causar la crisis global más grave en más de una generación?</w:t>
      </w:r>
    </w:p>
    <w:p w:rsidR="00A51545" w:rsidRPr="00A227E5" w:rsidRDefault="00A51545" w:rsidP="00550638">
      <w:pPr>
        <w:spacing w:before="100" w:beforeAutospacing="1" w:after="100" w:afterAutospacing="1" w:line="240" w:lineRule="auto"/>
        <w:jc w:val="both"/>
        <w:rPr>
          <w:rFonts w:ascii="Times New Roman" w:eastAsia="Times New Roman" w:hAnsi="Times New Roman"/>
          <w:sz w:val="24"/>
          <w:szCs w:val="24"/>
          <w:lang w:eastAsia="es-ES"/>
        </w:rPr>
      </w:pPr>
      <w:r w:rsidRPr="00507ED4">
        <w:rPr>
          <w:rFonts w:ascii="Times New Roman" w:eastAsia="Times New Roman" w:hAnsi="Times New Roman"/>
          <w:sz w:val="24"/>
          <w:szCs w:val="24"/>
          <w:u w:val="single"/>
          <w:lang w:eastAsia="es-ES"/>
        </w:rPr>
        <w:t>No, según Daron Acemoglu del MIT (y autor junto conmigo en otros temas), que presentó sus conclusiones en la reunión anual de la Asociación de Finanzas de Estados Unidos a principios de enero</w:t>
      </w:r>
      <w:r w:rsidRPr="00A227E5">
        <w:rPr>
          <w:rFonts w:ascii="Times New Roman" w:eastAsia="Times New Roman" w:hAnsi="Times New Roman"/>
          <w:sz w:val="24"/>
          <w:szCs w:val="24"/>
          <w:lang w:eastAsia="es-ES"/>
        </w:rPr>
        <w:t>. (Las diapositiva</w:t>
      </w:r>
      <w:r w:rsidR="00981E45">
        <w:rPr>
          <w:rFonts w:ascii="Times New Roman" w:eastAsia="Times New Roman" w:hAnsi="Times New Roman"/>
          <w:sz w:val="24"/>
          <w:szCs w:val="24"/>
          <w:lang w:eastAsia="es-ES"/>
        </w:rPr>
        <w:t>s están en su sitio web del MIT</w:t>
      </w:r>
      <w:r w:rsidRPr="00A227E5">
        <w:rPr>
          <w:rFonts w:ascii="Times New Roman" w:eastAsia="Times New Roman" w:hAnsi="Times New Roman"/>
          <w:sz w:val="24"/>
          <w:szCs w:val="24"/>
          <w:lang w:eastAsia="es-ES"/>
        </w:rPr>
        <w:t>)</w:t>
      </w:r>
    </w:p>
    <w:p w:rsidR="00A51545" w:rsidRPr="00507ED4"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507ED4">
        <w:rPr>
          <w:rFonts w:ascii="Times New Roman" w:eastAsia="Times New Roman" w:hAnsi="Times New Roman"/>
          <w:color w:val="FF0000"/>
          <w:sz w:val="24"/>
          <w:szCs w:val="24"/>
          <w:u w:val="single"/>
          <w:lang w:eastAsia="es-ES"/>
        </w:rPr>
        <w:t>Acemoglu desglosa la narración republicana en tres interrogantes diferentes. Primero, ¿hay pruebas de que los políticos estadounidenses responden a las preferencias o deseos de los votantes de menores ingresos?</w:t>
      </w:r>
    </w:p>
    <w:p w:rsidR="00A51545" w:rsidRPr="00507ED4"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507ED4">
        <w:rPr>
          <w:rFonts w:ascii="Times New Roman" w:eastAsia="Times New Roman" w:hAnsi="Times New Roman"/>
          <w:color w:val="FF0000"/>
          <w:sz w:val="24"/>
          <w:szCs w:val="24"/>
          <w:u w:val="single"/>
          <w:lang w:eastAsia="es-ES"/>
        </w:rPr>
        <w:t>La evidencia en este punto no es tan definitiva como a uno le</w:t>
      </w:r>
      <w:r w:rsidR="00D121C5">
        <w:rPr>
          <w:rFonts w:ascii="Times New Roman" w:eastAsia="Times New Roman" w:hAnsi="Times New Roman"/>
          <w:color w:val="FF0000"/>
          <w:sz w:val="24"/>
          <w:szCs w:val="24"/>
          <w:u w:val="single"/>
          <w:lang w:eastAsia="es-ES"/>
        </w:rPr>
        <w:t xml:space="preserve"> gustaría, pero lo que tenemos -</w:t>
      </w:r>
      <w:r w:rsidRPr="00507ED4">
        <w:rPr>
          <w:rFonts w:ascii="Times New Roman" w:eastAsia="Times New Roman" w:hAnsi="Times New Roman"/>
          <w:color w:val="FF0000"/>
          <w:sz w:val="24"/>
          <w:szCs w:val="24"/>
          <w:u w:val="single"/>
          <w:lang w:eastAsia="es-ES"/>
        </w:rPr>
        <w:t xml:space="preserve">por ejemplo, a partir del trabajo de Larry Bartels de la Universidad de Princeton- sugiere que, en los últimos 50 años, prácticamente toda la élite política estadounidense dejó de compartir las preferencias de los votantes de ingresos bajos o medios. Las opiniones de los funcionarios se acercaron mucho más a las que comúnmente se hacen oír en la cima de la distribución de ingresos. </w:t>
      </w:r>
    </w:p>
    <w:p w:rsidR="00A51545" w:rsidRPr="006D31FB"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 xml:space="preserve">Existen varias teorías con respecto a por qué se produjo este cambio. En nuestro libro 13 banqueros, James Kwak y yo destacamos una combinación del creciente papel que juegan los aportes de campaña, la puerta giratoria entre Wall Street y Washington, y, sobre todo, un cambio ideológico hacia la idea de que las finanzas son buenas, que más finanzas es mejor y que lo mejor son las finanzas sin control. Existe un corolario claro: las voces e intereses de la gente relativamente pobre poco cuentan en la política norteamericana. </w:t>
      </w:r>
    </w:p>
    <w:p w:rsidR="00A51545" w:rsidRPr="00A227E5" w:rsidRDefault="00A51545" w:rsidP="00550638">
      <w:pPr>
        <w:spacing w:before="100" w:beforeAutospacing="1" w:after="100" w:afterAutospacing="1" w:line="240" w:lineRule="auto"/>
        <w:jc w:val="both"/>
        <w:rPr>
          <w:rFonts w:ascii="Times New Roman" w:eastAsia="Times New Roman" w:hAnsi="Times New Roman"/>
          <w:sz w:val="24"/>
          <w:szCs w:val="24"/>
          <w:lang w:eastAsia="es-ES"/>
        </w:rPr>
      </w:pPr>
      <w:r w:rsidRPr="006D31FB">
        <w:rPr>
          <w:rFonts w:ascii="Times New Roman" w:eastAsia="Times New Roman" w:hAnsi="Times New Roman"/>
          <w:color w:val="FF0000"/>
          <w:sz w:val="24"/>
          <w:szCs w:val="24"/>
          <w:u w:val="single"/>
          <w:lang w:eastAsia="es-ES"/>
        </w:rPr>
        <w:t>La evaluación que hace Acemoglu de la investigación reciente sobre el lobby es que las partes del sector privado querían que se re</w:t>
      </w:r>
      <w:r w:rsidR="00981E45">
        <w:rPr>
          <w:rFonts w:ascii="Times New Roman" w:eastAsia="Times New Roman" w:hAnsi="Times New Roman"/>
          <w:color w:val="FF0000"/>
          <w:sz w:val="24"/>
          <w:szCs w:val="24"/>
          <w:u w:val="single"/>
          <w:lang w:eastAsia="es-ES"/>
        </w:rPr>
        <w:t>lajaran las reglas financieras -</w:t>
      </w:r>
      <w:r w:rsidRPr="006D31FB">
        <w:rPr>
          <w:rFonts w:ascii="Times New Roman" w:eastAsia="Times New Roman" w:hAnsi="Times New Roman"/>
          <w:color w:val="FF0000"/>
          <w:sz w:val="24"/>
          <w:szCs w:val="24"/>
          <w:u w:val="single"/>
          <w:lang w:eastAsia="es-ES"/>
        </w:rPr>
        <w:t>y trabajaron duro e invirtieron mucho dinero para obtener este resultado-. El ímpetu por un gran mercado de hipotecas de alto riesgo surgió del interior del sector privado: “innovación” por parte de prestadores hipotecarios gigantes como Countrywide, Ameriquest y muchos otros, respaldados por los grandes bancos de inversión. Y, para hablar sin rodeos, fueron algunos de los mayores jugadores de Wall Street, no los propietarios excesivamente endeudados, los que recibieron rescates gubernamentales después de la crisis</w:t>
      </w:r>
      <w:r w:rsidRPr="00A227E5">
        <w:rPr>
          <w:rFonts w:ascii="Times New Roman" w:eastAsia="Times New Roman" w:hAnsi="Times New Roman"/>
          <w:sz w:val="24"/>
          <w:szCs w:val="24"/>
          <w:lang w:eastAsia="es-ES"/>
        </w:rPr>
        <w:t xml:space="preserve">. </w:t>
      </w:r>
    </w:p>
    <w:p w:rsidR="00A51545" w:rsidRPr="006D31FB"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 xml:space="preserve">Acemoglu luego pregunta si existen pruebas de que la distribución de ingresos en Estados Unidos empeoró a fines de los años 1990, lo que llevó a los políticos a aflojar las riendas en lo que concierne a prestarle dinero a gente que estaba “rezagada”. Los </w:t>
      </w:r>
      <w:r w:rsidRPr="006D31FB">
        <w:rPr>
          <w:rFonts w:ascii="Times New Roman" w:eastAsia="Times New Roman" w:hAnsi="Times New Roman"/>
          <w:color w:val="FF0000"/>
          <w:sz w:val="24"/>
          <w:szCs w:val="24"/>
          <w:u w:val="single"/>
          <w:lang w:eastAsia="es-ES"/>
        </w:rPr>
        <w:lastRenderedPageBreak/>
        <w:t xml:space="preserve">ingresos en Estados Unidos, efectivamente, se volvieron mucho más desiguales en los últimos 40 años, pero el momento elegido no encaja con esta historia en absoluto. </w:t>
      </w:r>
    </w:p>
    <w:p w:rsidR="00A51545" w:rsidRPr="006D31FB"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Por ejemplo, a partir del trabajo que hizo Acemoglu con David Autor (también del MIT), sabemos que los ingresos correspondientes al 10% que más gana subieron marcadamente durante los años 1980. Los ingresos semanales crecieron lentamente en el caso del 50% que menos gana y del 10% que menos ganaba en ese momento, pero al sector menos favorecido en la distribución de ingresos en realidad le fue relativamente bien en la segunda mitad de los años 1990.  De modo que nadie tuvo que pelearla más que este segmento en la víspera de la locura de las hipotecas de alto riesgo, que se produjo a principios de los años 2000.</w:t>
      </w:r>
    </w:p>
    <w:p w:rsidR="00A51545" w:rsidRPr="006D31FB"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A partir de datos de Thomas Piketty y Emmanuel Saez, Acemoglu también señala que la dinámica de la distribución de ingresos para el 1% que más gana en Estados Unidos parece diferente. Como sugirieron Thomas Philippon y Ariell Reshef, el marcado incremento de este grupo en el poder de ingresos parece más relacionado con la desregulación de las finanzas (y quizás otros sectores). En otras palabras, los grandes ganadores de la “innovación financiera” de todo tipo en las últimas tres décadas no fueron los pobres (ni siquiera l</w:t>
      </w:r>
      <w:r w:rsidR="00D121C5">
        <w:rPr>
          <w:rFonts w:ascii="Times New Roman" w:eastAsia="Times New Roman" w:hAnsi="Times New Roman"/>
          <w:color w:val="FF0000"/>
          <w:sz w:val="24"/>
          <w:szCs w:val="24"/>
          <w:u w:val="single"/>
          <w:lang w:eastAsia="es-ES"/>
        </w:rPr>
        <w:t>a clase media), sino los ricos -</w:t>
      </w:r>
      <w:r w:rsidRPr="006D31FB">
        <w:rPr>
          <w:rFonts w:ascii="Times New Roman" w:eastAsia="Times New Roman" w:hAnsi="Times New Roman"/>
          <w:color w:val="FF0000"/>
          <w:sz w:val="24"/>
          <w:szCs w:val="24"/>
          <w:u w:val="single"/>
          <w:lang w:eastAsia="es-ES"/>
        </w:rPr>
        <w:t xml:space="preserve">la gente que ya cobraba mucho. </w:t>
      </w:r>
    </w:p>
    <w:p w:rsidR="00A51545" w:rsidRPr="006D31FB"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Finalmente, Acemoglu examina el papel del respaldo del gobierno federal a la vivienda. Sin duda, Estados Unidos durante mucho tiempo ofreció subsidios a la vivienda ocupada por sus dueños –principalmente a través de una deducción impositiva para los intereses hipotecarios-. Pero este subsidio en absoluto explica el momento del auge del sector inmobiliario y de los descabellados préstamos hipotecarios.</w:t>
      </w:r>
    </w:p>
    <w:p w:rsidR="00A51545" w:rsidRPr="00A227E5" w:rsidRDefault="00A51545" w:rsidP="00550638">
      <w:pPr>
        <w:spacing w:before="100" w:beforeAutospacing="1" w:after="100" w:afterAutospacing="1" w:line="240" w:lineRule="auto"/>
        <w:jc w:val="both"/>
        <w:rPr>
          <w:rFonts w:ascii="Times New Roman" w:eastAsia="Times New Roman" w:hAnsi="Times New Roman"/>
          <w:sz w:val="24"/>
          <w:szCs w:val="24"/>
          <w:lang w:eastAsia="es-ES"/>
        </w:rPr>
      </w:pPr>
      <w:r w:rsidRPr="00A227E5">
        <w:rPr>
          <w:rFonts w:ascii="Times New Roman" w:eastAsia="Times New Roman" w:hAnsi="Times New Roman"/>
          <w:sz w:val="24"/>
          <w:szCs w:val="24"/>
          <w:lang w:eastAsia="es-ES"/>
        </w:rPr>
        <w:t>Los republicanos de la FCIC acusan con firmeza a Fannie Mae, Freddie Mac y otras empresas patrocinadas por el gobierno que respaldaron los préstamos para la vivienda mediante garantías de diferentes tipos. Tienen razón cuando dicen que Fannie y Freddie eran “demasiado grandes para quebrar”, lo que les permitió pedir dinero prestado a un m</w:t>
      </w:r>
      <w:r w:rsidR="00D121C5">
        <w:rPr>
          <w:rFonts w:ascii="Times New Roman" w:eastAsia="Times New Roman" w:hAnsi="Times New Roman"/>
          <w:sz w:val="24"/>
          <w:szCs w:val="24"/>
          <w:lang w:eastAsia="es-ES"/>
        </w:rPr>
        <w:t>enor costo y asumir más riesgo -</w:t>
      </w:r>
      <w:r w:rsidRPr="00A227E5">
        <w:rPr>
          <w:rFonts w:ascii="Times New Roman" w:eastAsia="Times New Roman" w:hAnsi="Times New Roman"/>
          <w:sz w:val="24"/>
          <w:szCs w:val="24"/>
          <w:lang w:eastAsia="es-ES"/>
        </w:rPr>
        <w:t>con un escaso financiamiento de capita</w:t>
      </w:r>
      <w:r>
        <w:rPr>
          <w:rFonts w:ascii="Times New Roman" w:eastAsia="Times New Roman" w:hAnsi="Times New Roman"/>
          <w:sz w:val="24"/>
          <w:szCs w:val="24"/>
          <w:lang w:eastAsia="es-ES"/>
        </w:rPr>
        <w:t>l para respaldar su exposición.</w:t>
      </w:r>
    </w:p>
    <w:p w:rsidR="00A51545" w:rsidRPr="006D31FB"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227E5">
        <w:rPr>
          <w:rFonts w:ascii="Times New Roman" w:eastAsia="Times New Roman" w:hAnsi="Times New Roman"/>
          <w:sz w:val="24"/>
          <w:szCs w:val="24"/>
          <w:lang w:eastAsia="es-ES"/>
        </w:rPr>
        <w:t xml:space="preserve">Pero, </w:t>
      </w:r>
      <w:r w:rsidRPr="006D31FB">
        <w:rPr>
          <w:rFonts w:ascii="Times New Roman" w:eastAsia="Times New Roman" w:hAnsi="Times New Roman"/>
          <w:color w:val="FF0000"/>
          <w:sz w:val="24"/>
          <w:szCs w:val="24"/>
          <w:u w:val="single"/>
          <w:lang w:eastAsia="es-ES"/>
        </w:rPr>
        <w:t xml:space="preserve">si bien Fannie y Freddie se lanzaron a hipotecas dudosas (particularmente aquellas conocidas como Alt-A) e hicieron operaciones con prestadores de alto riesgo, esto representaba algo relativamente pequeño y surgió tarde en el ciclo (por ejemplo, 2004-2005). El principal ímpetu para el auge surgió de toda la maquinaria de la securitización de “sello privado”, que era justamente eso: privado. De hecho, como señala Acemoglu, los poderosos jugadores del sector privado consistentemente intentaron marginar a Fannie y Freddie y excluirlas de los segmentos de mercado en rápida expansión. </w:t>
      </w:r>
    </w:p>
    <w:p w:rsidR="00A51545" w:rsidRPr="006D31FB" w:rsidRDefault="00A5154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6D31FB">
        <w:rPr>
          <w:rFonts w:ascii="Times New Roman" w:eastAsia="Times New Roman" w:hAnsi="Times New Roman"/>
          <w:color w:val="FF0000"/>
          <w:sz w:val="24"/>
          <w:szCs w:val="24"/>
          <w:u w:val="single"/>
          <w:lang w:eastAsia="es-ES"/>
        </w:rPr>
        <w:t>Los republicanos de la FCIC están en lo cierto al ubicar al gobierno en el centro de lo que salió mal. Pero este no fue un caso de sobrerregulación o de exceso de alcance. Por el contrario, 30 años de desregulación financiera, que fue posible gracias a que se cautivó el corazón y la mente de los reguladores, y de políticos tanto republicanos como demócratas, le dieron a una est</w:t>
      </w:r>
      <w:r w:rsidR="00450581">
        <w:rPr>
          <w:rFonts w:ascii="Times New Roman" w:eastAsia="Times New Roman" w:hAnsi="Times New Roman"/>
          <w:color w:val="FF0000"/>
          <w:sz w:val="24"/>
          <w:szCs w:val="24"/>
          <w:u w:val="single"/>
          <w:lang w:eastAsia="es-ES"/>
        </w:rPr>
        <w:t>recha élite del sector privado -</w:t>
      </w:r>
      <w:r w:rsidRPr="006D31FB">
        <w:rPr>
          <w:rFonts w:ascii="Times New Roman" w:eastAsia="Times New Roman" w:hAnsi="Times New Roman"/>
          <w:color w:val="FF0000"/>
          <w:sz w:val="24"/>
          <w:szCs w:val="24"/>
          <w:u w:val="single"/>
          <w:lang w:eastAsia="es-ES"/>
        </w:rPr>
        <w:t xml:space="preserve">principalmente en Wall Street- casi todas las ventajas del auge inmobiliario. </w:t>
      </w:r>
    </w:p>
    <w:p w:rsidR="00A51545" w:rsidRPr="006D31FB" w:rsidRDefault="00A5154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6D31FB">
        <w:rPr>
          <w:rFonts w:ascii="Times New Roman" w:eastAsia="Times New Roman" w:hAnsi="Times New Roman"/>
          <w:sz w:val="24"/>
          <w:szCs w:val="24"/>
          <w:u w:val="single"/>
          <w:lang w:eastAsia="es-ES"/>
        </w:rPr>
        <w:lastRenderedPageBreak/>
        <w:t xml:space="preserve">La parte negativa recayó en el resto de la sociedad, en especial en las personas de bajo nivel educativo y mal remuneradas, que ahora perdieron sus casas, sus empleos, las esperanzas para sus hijos o todo a la vez. Esta gente no causó la crisis. Pero está pagando por ella. </w:t>
      </w:r>
    </w:p>
    <w:p w:rsidR="00A51545" w:rsidRPr="00805443" w:rsidRDefault="00A51545"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A227E5">
        <w:rPr>
          <w:rFonts w:ascii="Times New Roman" w:eastAsia="Times New Roman" w:hAnsi="Times New Roman"/>
          <w:sz w:val="24"/>
          <w:szCs w:val="24"/>
          <w:lang w:eastAsia="es-ES"/>
        </w:rPr>
        <w:t>Simon Johnson, ex economista principal del FMI, es cofundador de un importante blog de economía, http://BaselineScenario.com, profesor en el MIT Sloan y miembro sénior en el Instituto Peterson para la Economía Internacional. Su libro, 13 banqueros, que escribió junto con James Kwak, está actualmente disponible en tapa blanda. Cop</w:t>
      </w:r>
      <w:r>
        <w:rPr>
          <w:rFonts w:ascii="Times New Roman" w:eastAsia="Times New Roman" w:hAnsi="Times New Roman"/>
          <w:sz w:val="24"/>
          <w:szCs w:val="24"/>
          <w:lang w:eastAsia="es-ES"/>
        </w:rPr>
        <w:t>yright: Project Syndicate, 2011)</w:t>
      </w:r>
    </w:p>
    <w:p w:rsidR="00A51545" w:rsidRDefault="00A51545" w:rsidP="00550638">
      <w:pPr>
        <w:pStyle w:val="NormalWeb"/>
        <w:jc w:val="both"/>
      </w:pPr>
      <w:r>
        <w:t xml:space="preserve">- </w:t>
      </w:r>
      <w:r w:rsidRPr="00777996">
        <w:rPr>
          <w:u w:val="single"/>
        </w:rPr>
        <w:t>El Estado no da felicidad (I)</w:t>
      </w:r>
      <w:r>
        <w:t xml:space="preserve"> (Negocios.com - </w:t>
      </w:r>
      <w:r w:rsidRPr="00777996">
        <w:rPr>
          <w:b/>
        </w:rPr>
        <w:t>23/9/13</w:t>
      </w:r>
      <w:r>
        <w:t>)</w:t>
      </w:r>
    </w:p>
    <w:p w:rsidR="00A51545" w:rsidRDefault="00A51545" w:rsidP="00550638">
      <w:pPr>
        <w:pStyle w:val="NormalWeb"/>
        <w:jc w:val="both"/>
      </w:pPr>
      <w:r>
        <w:t>(Por L</w:t>
      </w:r>
      <w:r w:rsidR="00D121C5">
        <w:t>uis I. Gómez)</w:t>
      </w:r>
    </w:p>
    <w:p w:rsidR="00A51545" w:rsidRPr="004E4199" w:rsidRDefault="00A51545" w:rsidP="00550638">
      <w:pPr>
        <w:pStyle w:val="NormalWeb"/>
        <w:jc w:val="both"/>
        <w:rPr>
          <w:color w:val="FF0000"/>
          <w:u w:val="single"/>
        </w:rPr>
      </w:pPr>
      <w:r w:rsidRPr="004E4199">
        <w:rPr>
          <w:color w:val="FF0000"/>
          <w:u w:val="single"/>
        </w:rPr>
        <w:t xml:space="preserve">No se trata de imponer un sistema social exactamente igual para todos, se trata de permitir el desarrollo de diferentes sistemas sociales.  </w:t>
      </w:r>
    </w:p>
    <w:p w:rsidR="00A51545" w:rsidRDefault="00A51545" w:rsidP="00550638">
      <w:pPr>
        <w:pStyle w:val="NormalWeb"/>
        <w:jc w:val="both"/>
      </w:pPr>
      <w:r>
        <w:t xml:space="preserve">Así concluían Herrnstein y Murray en su obra The Bell Curve, basándose para ello en la hipótesis por la cual, dado un factor social igual para todos los individuos, la diversidad individual respondería en un 100% a la heredabilidad. En otras palabras: </w:t>
      </w:r>
      <w:r w:rsidRPr="004E4199">
        <w:rPr>
          <w:u w:val="single"/>
        </w:rPr>
        <w:t>si una estructura estatal consiguiese generar un medio social uniforme, los individuos, lejos de avanzar en la igualdad, responderían a la heredabilidad, tanto genética como de su propio entorno particular</w:t>
      </w:r>
      <w:r>
        <w:t xml:space="preserve">. La consecuencia sociológica de tal afirmación aún no ha sido discutida en su totalidad. Los programas que se vienen desarrollando desde los 60 para mejorar la situación de grupos sociales marginales se basan todos en un modelo falso: se trata de igualar las </w:t>
      </w:r>
      <w:r w:rsidR="00D121C5">
        <w:t>condiciones de su medio social -ojo, y cultural-</w:t>
      </w:r>
      <w:r>
        <w:t xml:space="preserve"> a las de la clase media blanca occidental.</w:t>
      </w:r>
    </w:p>
    <w:p w:rsidR="00A51545" w:rsidRDefault="00A51545" w:rsidP="00550638">
      <w:pPr>
        <w:pStyle w:val="NormalWeb"/>
        <w:jc w:val="both"/>
      </w:pPr>
      <w:r>
        <w:t>Las principales herramientas han sido las llamadas “leyes de igualdad” y, sobre todo, la escolarización estatal obligatoria. Herrnstein y Murray, pero también Christopher Jencks antes, demostra</w:t>
      </w:r>
      <w:r w:rsidR="00D121C5">
        <w:t>ron con cifras el fracaso en EE</w:t>
      </w:r>
      <w:r>
        <w:t xml:space="preserve">UU de todas esas medidas: </w:t>
      </w:r>
      <w:r w:rsidRPr="004E4199">
        <w:rPr>
          <w:u w:val="single"/>
        </w:rPr>
        <w:t>la adopción de medidas sociopolíticas no son suficientes para convertir a todos los individuos de una sociedad en igualmente felices.</w:t>
      </w:r>
      <w:r>
        <w:t xml:space="preserve"> Esta afirmación es al mismo tiempo falsa y cierta. Es cierta en sentido lógico: si el medio social es igual para todos, son las limitaciones y/o ventajas biológicas heredadas las que definen las diferencias. Es falsa en su consecuencia sociológica: hasta la fecha, las medidas sociales encaminadas a compensar situaciones deficitarias en uno o un grupo de individuos han nacido de la falsa creencia por la que una sociedad es más igual cuanto más iguales sean las condiciones del medio en que se desarrollan los individuos.</w:t>
      </w:r>
    </w:p>
    <w:p w:rsidR="00A51545" w:rsidRPr="004E4199" w:rsidRDefault="00A51545" w:rsidP="00550638">
      <w:pPr>
        <w:pStyle w:val="NormalWeb"/>
        <w:jc w:val="both"/>
        <w:rPr>
          <w:color w:val="FF0000"/>
          <w:u w:val="single"/>
        </w:rPr>
      </w:pPr>
      <w:r w:rsidRPr="004E4199">
        <w:rPr>
          <w:color w:val="FF0000"/>
          <w:u w:val="single"/>
        </w:rPr>
        <w:t>Los individuos son diferentes, ya sea por limitación/ventaja biológica, limitación/ventaja cultural o limitación/ventaja social. No se trata de imponer un sistema social exactamente igual para todos, se trata de permitir el desarrollo de diferentes sistemas sociales que permitan a cada individuo la mejor compensación de sus limitaciones y el fomento óptimo de sus ventajas.</w:t>
      </w:r>
    </w:p>
    <w:p w:rsidR="00A51545" w:rsidRPr="004E4199" w:rsidRDefault="00A51545" w:rsidP="00550638">
      <w:pPr>
        <w:pStyle w:val="NormalWeb"/>
        <w:jc w:val="both"/>
        <w:rPr>
          <w:u w:val="single"/>
        </w:rPr>
      </w:pPr>
      <w:r w:rsidRPr="004E4199">
        <w:rPr>
          <w:u w:val="single"/>
        </w:rPr>
        <w:t>No es en absoluto preocupante constatar que existen diferencias entre los individuos de una sociedad. Lo verdaderamente preocupante es constatar cómo, víctimas de sistemas</w:t>
      </w:r>
      <w:r w:rsidR="00D121C5" w:rsidRPr="004E4199">
        <w:rPr>
          <w:u w:val="single"/>
        </w:rPr>
        <w:t xml:space="preserve"> </w:t>
      </w:r>
      <w:r w:rsidR="00D121C5" w:rsidRPr="004E4199">
        <w:rPr>
          <w:u w:val="single"/>
        </w:rPr>
        <w:lastRenderedPageBreak/>
        <w:t>estatales de ingeniería social</w:t>
      </w:r>
      <w:r w:rsidRPr="004E4199">
        <w:rPr>
          <w:u w:val="single"/>
        </w:rPr>
        <w:t>, un gran número de individuos se ven limitados en el desarrollo de sus propias capacidades.</w:t>
      </w:r>
    </w:p>
    <w:p w:rsidR="00A51545" w:rsidRDefault="00A51545" w:rsidP="00550638">
      <w:pPr>
        <w:pStyle w:val="NormalWeb"/>
        <w:jc w:val="both"/>
      </w:pPr>
      <w:r>
        <w:t>Si grave fue el error de los sociobiólogos atribuyendo exclusivamente a la genética la individualidad de los humanos, cayendo no pocas veces en la trampa racista, no menos grave es el de los sociólogos obviando por completo la base natural del hombre abandonándose en una loca carrera por ver quién es capaz de diseñar la sociedad perfecta. Hayek lo llamaba constructivismo de la sociología: nos fabricamos una estructura social ideal y suponemos que los humanos se encontrarán en ella felices, dado que no podrán seguir otros intereses que aquellos que su socialización en esa estructura social enseña.</w:t>
      </w:r>
    </w:p>
    <w:p w:rsidR="00A51545" w:rsidRDefault="00A51545" w:rsidP="00550638">
      <w:pPr>
        <w:pStyle w:val="NormalWeb"/>
        <w:jc w:val="both"/>
      </w:pPr>
      <w:r w:rsidRPr="004E4199">
        <w:rPr>
          <w:u w:val="single"/>
        </w:rPr>
        <w:t>Es necesaria una nueva sociología, una sociología libertaria, menos apegada a la estadística, a las tradiciones, a las estructuras; más interesada por el hombre, preocupada por sus contradicciones pero capaz de reconocer el potencial de desarrollo de cada uno de ellos.</w:t>
      </w:r>
      <w:r>
        <w:t xml:space="preserve"> El sociólogo debería huir de la obsesiva búsqueda de medidas y soluciones para todos los hombres incluidos en grupos sociales arbitrarios. Estructuras sociales construidas como “los blancos”, “los negros”, “los españoles”, “los europeos”, “los países occidentales” o “los países en vías de desarrollo” no son las adecuadas para fomentar el desarrollo de los valores individuales ni sus estrategias de mejora.</w:t>
      </w:r>
    </w:p>
    <w:p w:rsidR="00A51545" w:rsidRPr="004E4199" w:rsidRDefault="00A51545" w:rsidP="00550638">
      <w:pPr>
        <w:pStyle w:val="NormalWeb"/>
        <w:jc w:val="both"/>
        <w:rPr>
          <w:color w:val="FF0000"/>
          <w:u w:val="single"/>
        </w:rPr>
      </w:pPr>
      <w:r w:rsidRPr="004E4199">
        <w:rPr>
          <w:color w:val="FF0000"/>
          <w:u w:val="single"/>
        </w:rPr>
        <w:t>El Estado debería ser más abierto a diferentes formas de organización social para así generar verdaderas bolsas de oportunidad social a los diferentes individuos o grupos. Debería abandonar los experimentos por los que se pretende alcanzar profundos cambios individuales en todos los administrados mediante la impostura de estructuras únicas obligatorias (educación, por ejemplo).</w:t>
      </w:r>
    </w:p>
    <w:p w:rsidR="00A51545" w:rsidRPr="004E4199" w:rsidRDefault="00A51545" w:rsidP="00550638">
      <w:pPr>
        <w:pStyle w:val="NormalWeb"/>
        <w:jc w:val="both"/>
        <w:rPr>
          <w:u w:val="single"/>
        </w:rPr>
      </w:pPr>
      <w:r>
        <w:t xml:space="preserve">La identidad de grupo es algo que ha sido ocupada y manipulada por el Estado. Tiene, ciertamente, raíces naturales: la familia, el entorno cultural/religioso, el paisaje son factores que se conforman para la creación de un entorno que solemos identificar con “el nuestro”. </w:t>
      </w:r>
      <w:r w:rsidRPr="004E4199">
        <w:rPr>
          <w:u w:val="single"/>
        </w:rPr>
        <w:t>Desde ese natural de todo ser humano como ser social no se deben postular dos de los principios fundamentales que caracterizan un Estado: ni es necesario establecer fronteras entre grupos sociales diferentes, ni la “sociedad” tiene ningún tipo de derecho sobre cada uno de los individuos que la componen</w:t>
      </w:r>
      <w:r>
        <w:t xml:space="preserve">. Un niño nace en el seno de un grupo social. El niño no firma ningún contrato de ningún tipo que habilite a ese grupo social a constituirse en acreedor. Es más, un grupo social no es un ente independiente del individuo con capacidad de acción, a no ser que un Estado se autoarrogue la función de “representante y comandatario” de la sociedad. </w:t>
      </w:r>
      <w:r w:rsidRPr="004E4199">
        <w:rPr>
          <w:u w:val="single"/>
        </w:rPr>
        <w:t>La sociedad carece de voluntad y de existencia propias.</w:t>
      </w:r>
    </w:p>
    <w:p w:rsidR="00A51545" w:rsidRPr="004E4199" w:rsidRDefault="00A51545" w:rsidP="00550638">
      <w:pPr>
        <w:pStyle w:val="NormalWeb"/>
        <w:jc w:val="both"/>
        <w:rPr>
          <w:u w:val="single"/>
        </w:rPr>
      </w:pPr>
      <w:r w:rsidRPr="004E4199">
        <w:rPr>
          <w:u w:val="single"/>
        </w:rPr>
        <w:t>La institución o estructura que se autoatribuye el papel de representante de la sociedad no es más que un subgrupo social cuyos individuos pretenden dominar al resto. Por ello la verdadera solidaridad social es un obstáculo para todo Estado</w:t>
      </w:r>
      <w:r>
        <w:t xml:space="preserve">. Allí donde el poder del Estado pretende extenderse más allá de las marcas naturales de una lengua, un pueblo, una cultura, se encuentra con gravísimas dificultades para alcanzar una homogeneización satisfactoria. </w:t>
      </w:r>
      <w:r w:rsidRPr="004E4199">
        <w:rPr>
          <w:u w:val="single"/>
        </w:rPr>
        <w:t>Las tradiciones locales y las estructuras familiares se encuentran en clara oposición con la voluntad homogeneizante del estado y son, por ello, eliminadas o minimizadas.</w:t>
      </w:r>
    </w:p>
    <w:p w:rsidR="00A51545" w:rsidRDefault="00A51545" w:rsidP="00550638">
      <w:pPr>
        <w:pStyle w:val="NormalWeb"/>
        <w:jc w:val="both"/>
      </w:pPr>
      <w:r>
        <w:lastRenderedPageBreak/>
        <w:t>Mientras las ideologías estatistas conservadoras asientan sus razones para un estado fuerte en la cultura, el idioma, la religión y la familia, combaten las ideologías materialistas precisamente estos principios, claramente opuestos a la idea de una estructura social construida y supuestamente válida para todos.</w:t>
      </w:r>
    </w:p>
    <w:p w:rsidR="00A51545" w:rsidRDefault="00A51545" w:rsidP="00550638">
      <w:pPr>
        <w:pStyle w:val="NormalWeb"/>
        <w:jc w:val="both"/>
      </w:pPr>
      <w:r>
        <w:t xml:space="preserve">- </w:t>
      </w:r>
      <w:r w:rsidRPr="00E87CC8">
        <w:rPr>
          <w:u w:val="single"/>
        </w:rPr>
        <w:t>El Estado no da la felicidad (II)</w:t>
      </w:r>
      <w:r>
        <w:t xml:space="preserve"> (Negocios.com - </w:t>
      </w:r>
      <w:r w:rsidRPr="00777996">
        <w:rPr>
          <w:b/>
        </w:rPr>
        <w:t>23/9/13</w:t>
      </w:r>
      <w:r>
        <w:t>)</w:t>
      </w:r>
    </w:p>
    <w:p w:rsidR="00A51545" w:rsidRDefault="00A51545" w:rsidP="00550638">
      <w:pPr>
        <w:pStyle w:val="NormalWeb"/>
        <w:jc w:val="both"/>
      </w:pPr>
      <w:r>
        <w:t>(Por L</w:t>
      </w:r>
      <w:r w:rsidR="00D121C5">
        <w:t>uis I. Gómez)</w:t>
      </w:r>
    </w:p>
    <w:p w:rsidR="00A51545" w:rsidRPr="004E4199" w:rsidRDefault="00A51545" w:rsidP="00550638">
      <w:pPr>
        <w:pStyle w:val="NormalWeb"/>
        <w:jc w:val="both"/>
        <w:rPr>
          <w:color w:val="FF0000"/>
          <w:u w:val="single"/>
        </w:rPr>
      </w:pPr>
      <w:r w:rsidRPr="004E4199">
        <w:rPr>
          <w:color w:val="FF0000"/>
          <w:u w:val="single"/>
        </w:rPr>
        <w:t>No es competencia de nadie ayudar a quien porta el pañuelo o el crucifijo a integrarse mejor en una cosmovisión social predeterminada: eso es un asunto puramente privado.</w:t>
      </w:r>
    </w:p>
    <w:p w:rsidR="00A51545" w:rsidRPr="004E4199" w:rsidRDefault="00A51545" w:rsidP="00550638">
      <w:pPr>
        <w:pStyle w:val="NormalWeb"/>
        <w:jc w:val="both"/>
        <w:rPr>
          <w:color w:val="FF0000"/>
          <w:u w:val="single"/>
        </w:rPr>
      </w:pPr>
      <w:r w:rsidRPr="004E4199">
        <w:rPr>
          <w:u w:val="single"/>
        </w:rPr>
        <w:t>En el momento en que estamos convencidos de que debemos ayudar a otro nos autoconcedemos permiso para saltarnos las fronteras de su esfera privada y convertirlo en objeto de aquellas medidas correctoras que nosotros creemos que son las mejores</w:t>
      </w:r>
      <w:r>
        <w:t xml:space="preserve">. De esta manera aparece una nueva “intimidad”, nacida de la eliminación de fronteras personales, caracterizada por una nueva frontera: la frontera entre aquellas personas que se comportan conforme a la “norma social” y las que no lo hacen. </w:t>
      </w:r>
      <w:r w:rsidRPr="004E4199">
        <w:rPr>
          <w:color w:val="FF0000"/>
          <w:u w:val="single"/>
        </w:rPr>
        <w:t xml:space="preserve">Todo aquel que se diferencie en alguna forma de lo aceptado socialmente será objeto de medidas sociales de ayuda con la única meta de readaptarlo a lo convenido (a lo conveniente). </w:t>
      </w:r>
    </w:p>
    <w:p w:rsidR="00A51545" w:rsidRDefault="00A51545" w:rsidP="00550638">
      <w:pPr>
        <w:pStyle w:val="NormalWeb"/>
        <w:jc w:val="both"/>
      </w:pPr>
      <w:r>
        <w:t>Esta paradójica eliminación de fronteras (las personales) por la creación de otra nueva (la social) alcanza incluso los niveles más profundos de privacidad. Marta se queja de que su amigo Julio es un “macho” que pierde demasiado tiempo con sus amigotes y que esa forma de ser es definitivamente anticuada. No se para a preguntarse si el haberse enamorado de Julio tal vez sea consecuencia de que precisamente ella no está dispuesta a mantener una relación más estrecha con un hombre. Mide su relación con un rasero social, un estándar público, en lugar de hacerlo desde sus propias necesidades.</w:t>
      </w:r>
    </w:p>
    <w:p w:rsidR="00A51545" w:rsidRDefault="00A51545" w:rsidP="00550638">
      <w:pPr>
        <w:pStyle w:val="NormalWeb"/>
        <w:jc w:val="both"/>
      </w:pPr>
      <w:r>
        <w:t>Para la mayor parte de los humanos la necesidad de compañía es absolutamente básica. En las relaciones de pareja el día a día y las necesidades de cada uno de los participantes son las que marcan las fronteras de lo que no es común. La necesidad de “no soledad” nos lleva a formar también grupos más grandes, para mejor alcanzar determinados objetivos. Las relaciones en grupos más grandes también necesitan fronteras. Cualquier característica de un individuo que no afecte a las metas para las que se ha agrupado debe permanecer en el ámbito de lo puramente privado. Si el hecho de llevar un pañuelo en la cabeza, o un crucifijo en el pecho, no afectan a la capacidad de una clase para aprender matemáticas, no es competencia de nadie ayudar a quien porta el pañuelo o el crucifijo a integrarse mejor en una cosmovisión social predeterminada: eso es un asunto puramente privado.</w:t>
      </w:r>
    </w:p>
    <w:p w:rsidR="00A51545" w:rsidRDefault="00A51545" w:rsidP="00550638">
      <w:pPr>
        <w:pStyle w:val="NormalWeb"/>
        <w:jc w:val="both"/>
      </w:pPr>
      <w:r>
        <w:t>Las diferentes formas de agrupación presentan diferentes niveles para el establecimiento de las fronteras personales. Si la portadora de un pañuelo en la cabeza se enamora de alguien que no acepta la exhibición de signos religiosos encontrará serias dificultades para mantener la relación o mantener intacta su frontera particular. Pero ello sigue sin ser asunto del profesor de matemáticas, ni de la clase de matemáticas. Tampoco de la escuela.</w:t>
      </w:r>
    </w:p>
    <w:p w:rsidR="00A51545" w:rsidRDefault="00A51545" w:rsidP="00550638">
      <w:pPr>
        <w:pStyle w:val="NormalWeb"/>
        <w:jc w:val="both"/>
      </w:pPr>
      <w:r>
        <w:t xml:space="preserve">En nuestra sociedad las cosas son diferentes. Dado que hemos derribado las fronteras de lo particular nos convertimos cada uno de nosotros en entes públicos frente a cualquiera </w:t>
      </w:r>
      <w:r>
        <w:lastRenderedPageBreak/>
        <w:t xml:space="preserve">de los otros. Ya no hay nada secreto o personal. Cualquiera puede exigir que no se lleven pañuelos en la cabeza o crucifijos en el pecho... y si la mayoría está de acuerdo (bendita democracia y sus </w:t>
      </w:r>
      <w:r w:rsidR="00BB5AAA">
        <w:t>mal usos</w:t>
      </w:r>
      <w:r>
        <w:t xml:space="preserve">), lo privado pasa a ser de interés social, público. A cambio, cada individuo recibe la atención de la sociedad, no de forma personal, de forma anónima mediante ayudas estatales y las estructuras del estado. Quien tiene problemas de subsistencia no recibe ayuda del vecino, pero tal vez tenga derecho a recibirla de la burocracia. </w:t>
      </w:r>
    </w:p>
    <w:p w:rsidR="00A51545" w:rsidRDefault="00A51545" w:rsidP="00550638">
      <w:pPr>
        <w:pStyle w:val="NormalWeb"/>
        <w:jc w:val="both"/>
      </w:pPr>
      <w:r>
        <w:t>La diferencia entre las dos formas de solidaridad, de comprensión de lo social, es muy significativa:</w:t>
      </w:r>
    </w:p>
    <w:p w:rsidR="00A51545" w:rsidRDefault="00A51545" w:rsidP="00550638">
      <w:pPr>
        <w:pStyle w:val="NormalWeb"/>
        <w:jc w:val="both"/>
      </w:pPr>
      <w:r>
        <w:t>-La ayuda de los vecinos es un contacto directo, personal. El ayudador conoce el caso, la persona, valora en qué medida puede ayudar y lo hace renunciando a algo suyo. El ayudado percibe agradecimiento y valora el gesto del vecino. El ámbito de la relación es privado.</w:t>
      </w:r>
    </w:p>
    <w:p w:rsidR="00A51545" w:rsidRPr="00A13856" w:rsidRDefault="00A51545" w:rsidP="00550638">
      <w:pPr>
        <w:pStyle w:val="NormalWeb"/>
        <w:jc w:val="both"/>
        <w:rPr>
          <w:u w:val="single"/>
        </w:rPr>
      </w:pPr>
      <w:r>
        <w:t>-</w:t>
      </w:r>
      <w:r w:rsidRPr="00A13856">
        <w:rPr>
          <w:u w:val="single"/>
        </w:rPr>
        <w:t xml:space="preserve">La ayuda burocrática, por el contrario, es algo a lo que “se tiene derecho”, y se basa en criterios abstractos válidos para grandes grupos de personas, lejos del caso particular. Quien mejor sepa manejar la situación legal recibirá más y mejores ayudas. Ya no es necesario atender al vecino, pues lo hacemos vía impuestos y no es necesario prever reciprocidad (tal vez algún día nosotros necesitemos ayuda): tenemos derecho a que nos ayude el estado. Nos convertimos en un poco más egoístas, nos centramos más en nuestra “realización personal” y no sentimos necesidad de vernos como responsables directos de lo común. </w:t>
      </w:r>
    </w:p>
    <w:p w:rsidR="00A51545" w:rsidRPr="00A13856" w:rsidRDefault="00A51545" w:rsidP="00550638">
      <w:pPr>
        <w:pStyle w:val="NormalWeb"/>
        <w:jc w:val="both"/>
        <w:rPr>
          <w:u w:val="single"/>
        </w:rPr>
      </w:pPr>
      <w:r w:rsidRPr="00A13856">
        <w:rPr>
          <w:u w:val="single"/>
        </w:rPr>
        <w:t xml:space="preserve">Les dirán que la culpa de todo esto es la progresiva individualización y el abandono de los verdaderos valores sociales. ¡Que nos hacemos egoístas! ¡Avariciosos! ¡Descreídos! ... ¡Insolidarios! Que hemos de regresar a los verdaderos valores que nos hacen humanos... si es necesario mediante las leyes, obligando a todos a vivir según esos valores que “creemos” (o “sabemos”... ¿quiénes?) mejores. Esta receta conservadora de enajenación y superprotectorado es compartida por los conservadores de izquierdas y de derechas, aunque varíen los temas: para los conservadores de derechas será necesario volver a recuperar los valores de la familia tradicional (por ejemplo), para los conservadores de izquierdas se trata de perpetuar y mejorar los “logros sociales” (por ejemplo). </w:t>
      </w:r>
    </w:p>
    <w:p w:rsidR="00A51545" w:rsidRPr="00A13856" w:rsidRDefault="00A51545" w:rsidP="00550638">
      <w:pPr>
        <w:pStyle w:val="NormalWeb"/>
        <w:jc w:val="both"/>
        <w:rPr>
          <w:color w:val="FF0000"/>
          <w:u w:val="single"/>
        </w:rPr>
      </w:pPr>
      <w:r w:rsidRPr="00A13856">
        <w:rPr>
          <w:color w:val="FF0000"/>
          <w:u w:val="single"/>
        </w:rPr>
        <w:t>Defino nuestra sociedad como la “sociedad del consumo pasivo”. Las personas, en una sociedad estatalizada, no tienen ni la posibilidad de generar por ellas mismas las bases de su “realización personal”, ni deben enfrentarse a las consecuencias de sus acciones. Al final, pierden la voluntad de hacerlo. No estamos ante un problema de “individualización”. Lo que realmente caracteriza nuestra sociedad es la asunción por parte del Estado de los riesgos (es decir, de la responsabilidad). Liberados de “la vida en serio” y sus consecuencias, la individualidad apenas es más que consumo pasivo, conformidad generalizada.</w:t>
      </w:r>
    </w:p>
    <w:p w:rsidR="00A51545" w:rsidRPr="00A13856" w:rsidRDefault="00A51545" w:rsidP="00550638">
      <w:pPr>
        <w:pStyle w:val="NormalWeb"/>
        <w:jc w:val="both"/>
        <w:rPr>
          <w:u w:val="single"/>
        </w:rPr>
      </w:pPr>
      <w:r w:rsidRPr="00A13856">
        <w:rPr>
          <w:u w:val="single"/>
        </w:rPr>
        <w:t>Estructura social de la sociedad estatalizada. La sociedad responde a los intereses de los individuos: su seguridad material, pero la absolutización de esa meta agrede la esfera privada de los individuos y sus otros intereses. En lugar de una estructura represiva aparece un</w:t>
      </w:r>
      <w:r w:rsidR="00A13856" w:rsidRPr="00A13856">
        <w:rPr>
          <w:u w:val="single"/>
        </w:rPr>
        <w:t>a</w:t>
      </w:r>
      <w:r w:rsidRPr="00A13856">
        <w:rPr>
          <w:u w:val="single"/>
        </w:rPr>
        <w:t xml:space="preserve"> red de instancias burocráticas respondiendo al deseo de reducir riesgos mediante una mejor organización. La diferencia entre formas legales privadas y públicas </w:t>
      </w:r>
      <w:r w:rsidRPr="00A13856">
        <w:rPr>
          <w:u w:val="single"/>
        </w:rPr>
        <w:lastRenderedPageBreak/>
        <w:t>de estas instancias desaparece. Se genera una red burocrática incontrolable por la política (por lo tanto por los votantes) o por el mercado. Como las personas, gracias a la red de instancias burocráticas “sociales” no necesitan responder individualmente de sus actos, aparecen continuamente nuevas y más numerosas “víctimas”: parados de larga duración, receptores vitalicios de asistencia social… La red del estado se fortalece para atender a los nuevos necesitados.</w:t>
      </w:r>
    </w:p>
    <w:p w:rsidR="00A51545" w:rsidRPr="00A13856" w:rsidRDefault="00A51545" w:rsidP="00550638">
      <w:pPr>
        <w:pStyle w:val="NormalWeb"/>
        <w:jc w:val="both"/>
        <w:rPr>
          <w:u w:val="single"/>
        </w:rPr>
      </w:pPr>
      <w:r w:rsidRPr="00A13856">
        <w:rPr>
          <w:u w:val="single"/>
        </w:rPr>
        <w:t>Estructura psicológica de la sociedad estatalizada. Como a las personas todo se les presenta “precocinado” y “válido para todos”, es imposible que lo que se les oferta atienda exactamente a sus necesidades particulares (y solamente éstas permiten, mediante la acción individual, una verdadera satisfacción) Siempre queda algo atrás, algo que no es exactamente como nos gustaría que fuese. Algo que no podemos conseguir. Pero ya no existe un enemigo represivo ante el que rebelarse. Somos una democracia social y de derecho…. ¿ante quién rebelarse? La consecuencia es la resignación o, en casos aislados, la violencia.</w:t>
      </w:r>
    </w:p>
    <w:p w:rsidR="00A51545" w:rsidRDefault="00A51545" w:rsidP="00550638">
      <w:pPr>
        <w:pStyle w:val="NormalWeb"/>
        <w:jc w:val="both"/>
      </w:pPr>
      <w:r>
        <w:t xml:space="preserve">A modo de resumen, </w:t>
      </w:r>
      <w:r w:rsidRPr="00A13856">
        <w:rPr>
          <w:u w:val="single"/>
        </w:rPr>
        <w:t>desde un punto liberal podemos hacer la siguiente crítica social</w:t>
      </w:r>
      <w:r>
        <w:t>:</w:t>
      </w:r>
    </w:p>
    <w:p w:rsidR="00A51545" w:rsidRPr="00A13856" w:rsidRDefault="00A51545" w:rsidP="00550638">
      <w:pPr>
        <w:pStyle w:val="NormalWeb"/>
        <w:jc w:val="both"/>
        <w:rPr>
          <w:color w:val="FF0000"/>
          <w:u w:val="single"/>
        </w:rPr>
      </w:pPr>
      <w:r>
        <w:t xml:space="preserve">1. </w:t>
      </w:r>
      <w:r w:rsidRPr="00A13856">
        <w:rPr>
          <w:color w:val="FF0000"/>
          <w:u w:val="single"/>
        </w:rPr>
        <w:t>Cuando la red social estatal asume la responsabilidad de los errores particulares, el individuo carece de toda posibilidad estructural-social para recuperar su responsabilidad. Desde el punto de vista psicológico carece de toda motivación para hacerlo.</w:t>
      </w:r>
    </w:p>
    <w:p w:rsidR="00A51545" w:rsidRPr="00A13856" w:rsidRDefault="00A51545" w:rsidP="00550638">
      <w:pPr>
        <w:pStyle w:val="NormalWeb"/>
        <w:jc w:val="both"/>
        <w:rPr>
          <w:color w:val="FF0000"/>
          <w:u w:val="single"/>
        </w:rPr>
      </w:pPr>
      <w:r>
        <w:t xml:space="preserve">2. </w:t>
      </w:r>
      <w:r w:rsidRPr="00A13856">
        <w:rPr>
          <w:color w:val="FF0000"/>
          <w:u w:val="single"/>
        </w:rPr>
        <w:t xml:space="preserve">Cuando la solución a los problemas vitales particulares ya no es la propia acción, nos dedicamos en exclusiva a “solucionar” las necesidades menos vitales: diversión y </w:t>
      </w:r>
      <w:r w:rsidR="00D121C5" w:rsidRPr="00A13856">
        <w:rPr>
          <w:color w:val="FF0000"/>
          <w:u w:val="single"/>
        </w:rPr>
        <w:t>entretenimiento</w:t>
      </w:r>
      <w:r w:rsidRPr="00A13856">
        <w:rPr>
          <w:color w:val="FF0000"/>
          <w:u w:val="single"/>
        </w:rPr>
        <w:t>.</w:t>
      </w:r>
    </w:p>
    <w:p w:rsidR="00A51545" w:rsidRPr="00A13856" w:rsidRDefault="00A51545" w:rsidP="00550638">
      <w:pPr>
        <w:pStyle w:val="NormalWeb"/>
        <w:jc w:val="both"/>
        <w:rPr>
          <w:color w:val="FF0000"/>
          <w:u w:val="single"/>
        </w:rPr>
      </w:pPr>
      <w:r>
        <w:t xml:space="preserve">3. </w:t>
      </w:r>
      <w:r w:rsidRPr="00A13856">
        <w:rPr>
          <w:color w:val="FF0000"/>
          <w:u w:val="single"/>
        </w:rPr>
        <w:t>Cuando la red social estatal cubre las necesidades de los otros, desaparece la solidaridad. Dado que los individuos productivos pagan esa red social mediante cargas impositivas enormes (bajo amenaza de uso de violencia si no pagan), la motivación a la generosidad disminuye… o desaparece.</w:t>
      </w:r>
    </w:p>
    <w:p w:rsidR="00A51545" w:rsidRPr="00A13856" w:rsidRDefault="00A51545" w:rsidP="00550638">
      <w:pPr>
        <w:pStyle w:val="NormalWeb"/>
        <w:jc w:val="both"/>
        <w:rPr>
          <w:color w:val="FF0000"/>
          <w:u w:val="single"/>
        </w:rPr>
      </w:pPr>
      <w:r>
        <w:t xml:space="preserve">4. </w:t>
      </w:r>
      <w:r w:rsidRPr="00A13856">
        <w:rPr>
          <w:color w:val="FF0000"/>
          <w:u w:val="single"/>
        </w:rPr>
        <w:t>Cuando la responsabilidad última está en manos de la red social, el individuo no puede ser dueño único de sus actos. El abandono de la responsabilidad favorece la aparición de violencia.</w:t>
      </w:r>
    </w:p>
    <w:p w:rsidR="00A51545" w:rsidRPr="00A13856" w:rsidRDefault="00A51545" w:rsidP="00550638">
      <w:pPr>
        <w:pStyle w:val="NormalWeb"/>
        <w:jc w:val="both"/>
        <w:rPr>
          <w:color w:val="FF0000"/>
          <w:u w:val="single"/>
        </w:rPr>
      </w:pPr>
      <w:r>
        <w:t xml:space="preserve">5. </w:t>
      </w:r>
      <w:r w:rsidRPr="00A13856">
        <w:rPr>
          <w:color w:val="FF0000"/>
          <w:u w:val="single"/>
        </w:rPr>
        <w:t>Mayor presión laboral, mayor paro. Los costes de la red social estatal acarrean sobre todo un aumento del coste salarial. Los exorbitantes costes laborales fuerzan al empleador a buscar trabajadores de alto nivel, que justifiquen el pago de las altas tasas impuestas por el Estado. Los otros individuos caen en el desempleo, lo que aumenta el coste de la red social y, por consiguiente, los laborales.</w:t>
      </w:r>
    </w:p>
    <w:p w:rsidR="00A51545" w:rsidRPr="00A13856" w:rsidRDefault="00A51545" w:rsidP="00550638">
      <w:pPr>
        <w:pStyle w:val="NormalWeb"/>
        <w:jc w:val="both"/>
        <w:rPr>
          <w:color w:val="FF0000"/>
          <w:u w:val="single"/>
        </w:rPr>
      </w:pPr>
      <w:r>
        <w:t xml:space="preserve">Cualquier solución debe alejarse del debate tradicional derecha-izquierda, de las posturas neo-conservadoras, neoliberales o romántico-socialistas. </w:t>
      </w:r>
      <w:r w:rsidRPr="00A13856">
        <w:rPr>
          <w:color w:val="FF0000"/>
          <w:u w:val="single"/>
        </w:rPr>
        <w:t xml:space="preserve">La solución debería tener como meta la devolución al individuo de sus fronteras privadas, de su capacidad para tomar decisiones vitales y, por consiguiente, recuperar la responsabilidad perdida. </w:t>
      </w:r>
    </w:p>
    <w:p w:rsidR="00A51545" w:rsidRDefault="00A51545" w:rsidP="00550638">
      <w:pPr>
        <w:pStyle w:val="NormalWeb"/>
        <w:jc w:val="both"/>
      </w:pPr>
      <w:r>
        <w:t xml:space="preserve">- </w:t>
      </w:r>
      <w:r w:rsidRPr="00517C54">
        <w:rPr>
          <w:u w:val="single"/>
        </w:rPr>
        <w:t>La reforma que viene</w:t>
      </w:r>
      <w:r>
        <w:t xml:space="preserve"> (Libertad Digital - </w:t>
      </w:r>
      <w:r w:rsidRPr="00517C54">
        <w:rPr>
          <w:b/>
        </w:rPr>
        <w:t>16/2/11</w:t>
      </w:r>
      <w:r>
        <w:t>)</w:t>
      </w:r>
    </w:p>
    <w:p w:rsidR="00A51545" w:rsidRDefault="00A51545" w:rsidP="00550638">
      <w:pPr>
        <w:pStyle w:val="NormalWeb"/>
        <w:jc w:val="both"/>
      </w:pPr>
      <w:r>
        <w:t>(Por GEES)</w:t>
      </w:r>
    </w:p>
    <w:p w:rsidR="00A51545" w:rsidRDefault="00A51545" w:rsidP="00550638">
      <w:pPr>
        <w:pStyle w:val="NormalWeb"/>
        <w:jc w:val="both"/>
      </w:pPr>
      <w:r>
        <w:lastRenderedPageBreak/>
        <w:t>El plan franco-alemán tiene mucho de bueno, pero no se dedica al crecimiento ni a la competitividad, como lo hacía la fracasada agenda de Lisboa propuesta por Aznar y Blair hace diez años, ni tampoco a la inevitable transformación del Estado del Bienestar</w:t>
      </w:r>
    </w:p>
    <w:p w:rsidR="00A51545" w:rsidRPr="00557030" w:rsidRDefault="00A51545" w:rsidP="00550638">
      <w:pPr>
        <w:pStyle w:val="NormalWeb"/>
        <w:jc w:val="both"/>
        <w:rPr>
          <w:color w:val="FF0000"/>
          <w:u w:val="single"/>
        </w:rPr>
      </w:pPr>
      <w:r w:rsidRPr="00557030">
        <w:rPr>
          <w:color w:val="FF0000"/>
          <w:u w:val="single"/>
        </w:rPr>
        <w:t>El rey está desnudo. Es decir, el Estado del Bienestar es inviable.</w:t>
      </w:r>
    </w:p>
    <w:p w:rsidR="00A51545" w:rsidRPr="00557030" w:rsidRDefault="00A51545" w:rsidP="00550638">
      <w:pPr>
        <w:pStyle w:val="NormalWeb"/>
        <w:jc w:val="both"/>
        <w:rPr>
          <w:u w:val="single"/>
        </w:rPr>
      </w:pPr>
      <w:r w:rsidRPr="00557030">
        <w:rPr>
          <w:u w:val="single"/>
        </w:rPr>
        <w:t>La UE ha entrado en la hora de la verdad. Para finales de marzo deberá haber logrado el acuerdo sobre la propuesta germano-francesa llamada de competitividad, en realidad un mensaje de que esta vez sí hay que cumplir el pacto de estabilidad. A cambio, el mecanismo oficial de rescate que se establecerá por reforma de los tratados contará con 500.000 millones de euros. En cuanto al mecanismo existente, de momento se ha quedado sin incremento, con el sabio argumento de que si hay estabilidad no hará falta más para lograr la confianza del mercado.</w:t>
      </w:r>
    </w:p>
    <w:p w:rsidR="00A51545" w:rsidRPr="00557030" w:rsidRDefault="00A51545" w:rsidP="00550638">
      <w:pPr>
        <w:pStyle w:val="NormalWeb"/>
        <w:jc w:val="both"/>
        <w:rPr>
          <w:color w:val="FF0000"/>
          <w:u w:val="single"/>
        </w:rPr>
      </w:pPr>
      <w:r w:rsidRPr="00557030">
        <w:rPr>
          <w:color w:val="FF0000"/>
          <w:u w:val="single"/>
        </w:rPr>
        <w:t>Dice Standard &amp; Poor's, hablando sólo de pensiones, que en ausencia de reformas, la deuda germana alcanzará en 2050 el 400% de su PIB, la francesa, el 403%, la italiana el 245%, y la española el 544%. Habrá que hacer algo.</w:t>
      </w:r>
    </w:p>
    <w:p w:rsidR="00A51545" w:rsidRDefault="00A51545" w:rsidP="00550638">
      <w:pPr>
        <w:pStyle w:val="NormalWeb"/>
        <w:jc w:val="both"/>
      </w:pPr>
      <w:r w:rsidRPr="00557030">
        <w:rPr>
          <w:u w:val="single"/>
        </w:rPr>
        <w:t>Sin embargo la gran reforma que propone Alemania con el respaldo de Francia, y lograrla s</w:t>
      </w:r>
      <w:r w:rsidR="00811537">
        <w:rPr>
          <w:u w:val="single"/>
        </w:rPr>
        <w:t>ería ya un éxito notable, pasa “sólo”</w:t>
      </w:r>
      <w:r w:rsidRPr="00557030">
        <w:rPr>
          <w:u w:val="single"/>
        </w:rPr>
        <w:t xml:space="preserve"> por: fijar límites al déficit anual en la Constitución, aplicar sanciones a los incumplidores de los criterios de estabilidad llegando a la supresión de los derechos de voto, desligar salarios de inflación, elevar las edades de jubilación, y equiparar la imposición sobre sociedades.</w:t>
      </w:r>
      <w:r>
        <w:t xml:space="preserve"> Esto último, por ejemplo, es más bien nocivo. Así lo demuestra una investigación publicada por la OCDE dedicado al impacto de los cambios en los tipos impositivos en 21 países en las últimas tres décadas. Resulta que los impuestos sobre sociedades deberían reducirse para incrementar la competitividad. No hacía falta tanto estudio.</w:t>
      </w:r>
      <w:r w:rsidR="00811537">
        <w:t xml:space="preserve"> Reagan lo explicaba muy bien: “</w:t>
      </w:r>
      <w:r>
        <w:t>Las empresas no pagan im</w:t>
      </w:r>
      <w:r w:rsidR="00811537">
        <w:t>puestos; los pagan sus clientes”</w:t>
      </w:r>
      <w:r>
        <w:t>.</w:t>
      </w:r>
    </w:p>
    <w:p w:rsidR="00A51545" w:rsidRPr="00557030" w:rsidRDefault="00A51545" w:rsidP="00550638">
      <w:pPr>
        <w:pStyle w:val="NormalWeb"/>
        <w:jc w:val="both"/>
        <w:rPr>
          <w:u w:val="single"/>
        </w:rPr>
      </w:pPr>
      <w:r w:rsidRPr="00557030">
        <w:rPr>
          <w:u w:val="single"/>
        </w:rPr>
        <w:t>El plan franco-alemán tiene mucho de bueno, pero no se dedica al crecimiento ni a la competitividad, como lo hacía la fracasada agenda de Lisboa propuesta por Aznar y Blair hace diez años, ni tampoco a la inevitable transformación del Estado del Bienestar.</w:t>
      </w:r>
    </w:p>
    <w:p w:rsidR="00A51545" w:rsidRPr="00557030" w:rsidRDefault="00A51545" w:rsidP="00550638">
      <w:pPr>
        <w:pStyle w:val="NormalWeb"/>
        <w:jc w:val="both"/>
        <w:rPr>
          <w:u w:val="single"/>
        </w:rPr>
      </w:pPr>
      <w:r w:rsidRPr="00557030">
        <w:rPr>
          <w:u w:val="single"/>
        </w:rPr>
        <w:t>Esta implicará dos tendencias, ya ensayadas en parte de Europa. Una, la compatibilidad con sistemas privados. Y otra, la financiación individual en lugar de la de reparto; es decir la limitación de su carácter redistributivo.</w:t>
      </w:r>
    </w:p>
    <w:p w:rsidR="00A51545" w:rsidRDefault="00A51545" w:rsidP="00550638">
      <w:pPr>
        <w:pStyle w:val="NormalWeb"/>
        <w:jc w:val="both"/>
      </w:pPr>
      <w:r>
        <w:t xml:space="preserve">En cuanto al crecimiento, exigirá la redefinición de las esperanzas de los europeos en sus actividades laborales o de creación de empresas. En este sentido la agenda de Lisboa decía que había que observar el resto de la economía global. Antes de mirar hacia China, convendría fijarse en la América de hace unos años, aquella cuyo paro no era equiparable al de Francia, o en los países europeos con desempleo bajo, que premian a los emprendedores e incentivan el capital. </w:t>
      </w:r>
      <w:r w:rsidRPr="00557030">
        <w:rPr>
          <w:u w:val="single"/>
        </w:rPr>
        <w:t>Por último, la política monetaria, últimamente un mundillo revuelto por la decisión del esperado Axel Weber de retirarse de la carrera por el BCE, debe</w:t>
      </w:r>
      <w:r w:rsidR="00811537">
        <w:rPr>
          <w:u w:val="single"/>
        </w:rPr>
        <w:t xml:space="preserve"> seguir el modelo propio de la “obsesión”</w:t>
      </w:r>
      <w:r w:rsidRPr="00557030">
        <w:rPr>
          <w:u w:val="single"/>
        </w:rPr>
        <w:t xml:space="preserve"> alemana por controlar la inf</w:t>
      </w:r>
      <w:r w:rsidR="00811537">
        <w:rPr>
          <w:u w:val="single"/>
        </w:rPr>
        <w:t>lación, en detrimento de la “obsesión”</w:t>
      </w:r>
      <w:r w:rsidRPr="00557030">
        <w:rPr>
          <w:u w:val="single"/>
        </w:rPr>
        <w:t xml:space="preserve"> bernankista por la deflación, a la que nadie, en vida, ha visto pasearse nunca por las calles</w:t>
      </w:r>
      <w:r>
        <w:t>.</w:t>
      </w:r>
    </w:p>
    <w:p w:rsidR="00A51545" w:rsidRDefault="00A51545" w:rsidP="00550638">
      <w:pPr>
        <w:pStyle w:val="NormalWeb"/>
        <w:jc w:val="both"/>
      </w:pPr>
      <w:r w:rsidRPr="00557030">
        <w:rPr>
          <w:color w:val="FF0000"/>
          <w:u w:val="single"/>
        </w:rPr>
        <w:lastRenderedPageBreak/>
        <w:t>El momento está maduro para hacer los cambios estructurales imprescindibles. Esperar más es locura.</w:t>
      </w:r>
      <w:r>
        <w:t xml:space="preserve"> El plan franco alemán es un buen principio, pero sólo es un principio. Más, por favor, y más deprisa.</w:t>
      </w:r>
    </w:p>
    <w:p w:rsidR="00A51545" w:rsidRDefault="00A51545" w:rsidP="00550638">
      <w:pPr>
        <w:pStyle w:val="NormalWeb"/>
        <w:jc w:val="both"/>
      </w:pPr>
      <w:r>
        <w:t>(GEES, Grupo de Estudios Estratégicos)</w:t>
      </w:r>
    </w:p>
    <w:p w:rsidR="00A51545" w:rsidRPr="001171D8" w:rsidRDefault="00A51545" w:rsidP="00550638">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0F7359">
        <w:rPr>
          <w:rFonts w:ascii="Times New Roman" w:eastAsia="Times New Roman" w:hAnsi="Times New Roman"/>
          <w:sz w:val="24"/>
          <w:szCs w:val="24"/>
          <w:u w:val="single"/>
          <w:lang w:eastAsia="es-ES"/>
        </w:rPr>
        <w:t>¿Reforma del Estado de bienestar? No, cierre total</w:t>
      </w:r>
      <w:r>
        <w:rPr>
          <w:rFonts w:ascii="Times New Roman" w:eastAsia="Times New Roman" w:hAnsi="Times New Roman"/>
          <w:sz w:val="24"/>
          <w:szCs w:val="24"/>
          <w:lang w:eastAsia="es-ES"/>
        </w:rPr>
        <w:t xml:space="preserve"> (El Confidencial - </w:t>
      </w:r>
      <w:r w:rsidRPr="000F7359">
        <w:rPr>
          <w:rFonts w:ascii="Times New Roman" w:eastAsia="Times New Roman" w:hAnsi="Times New Roman"/>
          <w:b/>
          <w:sz w:val="24"/>
          <w:szCs w:val="24"/>
          <w:lang w:eastAsia="es-ES"/>
        </w:rPr>
        <w:t>12/6/11</w:t>
      </w:r>
      <w:r>
        <w:rPr>
          <w:rFonts w:ascii="Times New Roman" w:eastAsia="Times New Roman" w:hAnsi="Times New Roman"/>
          <w:sz w:val="24"/>
          <w:szCs w:val="24"/>
          <w:lang w:eastAsia="es-ES"/>
        </w:rPr>
        <w:t>)</w:t>
      </w:r>
    </w:p>
    <w:p w:rsidR="00A51545" w:rsidRDefault="00A51545" w:rsidP="00550638">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(Por Esteban Hernández)</w:t>
      </w:r>
    </w:p>
    <w:p w:rsidR="00A51545" w:rsidRPr="000F7359" w:rsidRDefault="00A51545" w:rsidP="00550638">
      <w:pPr>
        <w:spacing w:line="240" w:lineRule="auto"/>
        <w:jc w:val="both"/>
        <w:rPr>
          <w:rFonts w:ascii="Times New Roman" w:eastAsia="Times New Roman" w:hAnsi="Times New Roman"/>
          <w:sz w:val="24"/>
          <w:szCs w:val="24"/>
          <w:lang w:eastAsia="es-ES"/>
        </w:rPr>
      </w:pPr>
      <w:r w:rsidRPr="00463A3F">
        <w:rPr>
          <w:rFonts w:ascii="Times New Roman" w:eastAsia="Times New Roman" w:hAnsi="Times New Roman"/>
          <w:sz w:val="24"/>
          <w:szCs w:val="24"/>
          <w:u w:val="single"/>
          <w:lang w:eastAsia="es-ES"/>
        </w:rPr>
        <w:t>“¿Quiere conservar el Estado del Bienestar? Pues dígame usted cómo lo hacemos”. Con esta frase resume el economista Pedro Schwartz la inevitabilidad de hacer recortes en un sistema de protección que, afirma, resulta demasiado caro</w:t>
      </w:r>
      <w:r w:rsidRPr="000F7359">
        <w:rPr>
          <w:rFonts w:ascii="Times New Roman" w:eastAsia="Times New Roman" w:hAnsi="Times New Roman"/>
          <w:sz w:val="24"/>
          <w:szCs w:val="24"/>
          <w:lang w:eastAsia="es-ES"/>
        </w:rPr>
        <w:t>. Pero su intención va más allá de cuestionar que haya o no dinero para conservar los actuales niveles de prestación, apuntando hacia el cambio en la  misma concepción del Estado. “</w:t>
      </w:r>
      <w:r w:rsidRPr="00463A3F">
        <w:rPr>
          <w:rFonts w:ascii="Times New Roman" w:eastAsia="Times New Roman" w:hAnsi="Times New Roman"/>
          <w:sz w:val="24"/>
          <w:szCs w:val="24"/>
          <w:u w:val="single"/>
          <w:lang w:eastAsia="es-ES"/>
        </w:rPr>
        <w:t>Nos hemos acostumbrado a que nos den todo hecho y a que todo sea gratis</w:t>
      </w:r>
      <w:r w:rsidRPr="000F7359">
        <w:rPr>
          <w:rFonts w:ascii="Times New Roman" w:eastAsia="Times New Roman" w:hAnsi="Times New Roman"/>
          <w:sz w:val="24"/>
          <w:szCs w:val="24"/>
          <w:lang w:eastAsia="es-ES"/>
        </w:rPr>
        <w:t xml:space="preserve">. No queremos pagar por la comida que nos sirven cuando estamos en el hospital pero sí por la comida que nos dan cuando estamos de vacaciones en Alicante. Pues ese sistema de incentivos no funciona. Está claro que tendremos que tener menos vacaciones y pagar más </w:t>
      </w:r>
      <w:r>
        <w:rPr>
          <w:rFonts w:ascii="Times New Roman" w:eastAsia="Times New Roman" w:hAnsi="Times New Roman"/>
          <w:sz w:val="24"/>
          <w:szCs w:val="24"/>
          <w:lang w:eastAsia="es-ES"/>
        </w:rPr>
        <w:t>por la salud”.</w:t>
      </w:r>
    </w:p>
    <w:p w:rsidR="00A51545" w:rsidRPr="00463A3F" w:rsidRDefault="00A51545" w:rsidP="00550638">
      <w:pPr>
        <w:spacing w:line="240" w:lineRule="auto"/>
        <w:jc w:val="both"/>
        <w:rPr>
          <w:rFonts w:ascii="Times New Roman" w:eastAsia="Times New Roman" w:hAnsi="Times New Roman"/>
          <w:sz w:val="24"/>
          <w:szCs w:val="24"/>
          <w:u w:val="single"/>
          <w:lang w:eastAsia="es-ES"/>
        </w:rPr>
      </w:pPr>
      <w:r w:rsidRPr="00463A3F">
        <w:rPr>
          <w:rFonts w:ascii="Times New Roman" w:eastAsia="Times New Roman" w:hAnsi="Times New Roman"/>
          <w:color w:val="FF0000"/>
          <w:sz w:val="24"/>
          <w:szCs w:val="24"/>
          <w:u w:val="single"/>
          <w:lang w:eastAsia="es-ES"/>
        </w:rPr>
        <w:t>Así las cosas, y aunque todas las instancias políticas aseguren que el Estado del bienestar no peligra, lo cierto es que para cuando se terminen de realizar los recortes que se propugnan, lo que quede va a parecerse muy poco al tipo de Estado social que se implantó en España y menos aún al que conoció en Europa en las décadas centrales del siglo XX.</w:t>
      </w:r>
      <w:r w:rsidRPr="000F7359">
        <w:rPr>
          <w:rFonts w:ascii="Times New Roman" w:eastAsia="Times New Roman" w:hAnsi="Times New Roman"/>
          <w:sz w:val="24"/>
          <w:szCs w:val="24"/>
          <w:lang w:eastAsia="es-ES"/>
        </w:rPr>
        <w:t xml:space="preserve">  Pero es algo totalmente necesario, señala Schwartz, “porque </w:t>
      </w:r>
      <w:r w:rsidRPr="00463A3F">
        <w:rPr>
          <w:rFonts w:ascii="Times New Roman" w:eastAsia="Times New Roman" w:hAnsi="Times New Roman"/>
          <w:sz w:val="24"/>
          <w:szCs w:val="24"/>
          <w:u w:val="single"/>
          <w:lang w:eastAsia="es-ES"/>
        </w:rPr>
        <w:t>la sanidad está quebrada</w:t>
      </w:r>
      <w:r w:rsidRPr="000F7359">
        <w:rPr>
          <w:rFonts w:ascii="Times New Roman" w:eastAsia="Times New Roman" w:hAnsi="Times New Roman"/>
          <w:sz w:val="24"/>
          <w:szCs w:val="24"/>
          <w:lang w:eastAsia="es-ES"/>
        </w:rPr>
        <w:t xml:space="preserve"> (incluso lo ha afirmado públicamente el portavoz de CIU en el congreso, Josep Antoni Durán i Lleida) </w:t>
      </w:r>
      <w:r w:rsidRPr="00463A3F">
        <w:rPr>
          <w:rFonts w:ascii="Times New Roman" w:eastAsia="Times New Roman" w:hAnsi="Times New Roman"/>
          <w:sz w:val="24"/>
          <w:szCs w:val="24"/>
          <w:u w:val="single"/>
          <w:lang w:eastAsia="es-ES"/>
        </w:rPr>
        <w:t>y aunque funcione muy bien y su calidad sea muy alta, no se puede pagar; a las pensiones se les ha tenido que poner un parche para poder sostenerlas, pero sólo es un parche; la ley de dependencia, que es lo primero de lo que debería ocuparse el Estado del bienestar, de atender a los enfermos de larga duración y a los mayores, no se ha podido poner en marcha porque no hay dinero;  y la educación es gratuita pero nos cuesta mucho y no está dando buenos resultados, como se nota en la grandísima tasa de abandono escolar y en la gran cantidad de analfabetos funcionales existentes”.</w:t>
      </w:r>
    </w:p>
    <w:p w:rsidR="00A51545" w:rsidRPr="00463A3F" w:rsidRDefault="00A51545" w:rsidP="00550638">
      <w:pPr>
        <w:spacing w:line="240" w:lineRule="auto"/>
        <w:jc w:val="both"/>
        <w:rPr>
          <w:rFonts w:ascii="Times New Roman" w:eastAsia="Times New Roman" w:hAnsi="Times New Roman"/>
          <w:sz w:val="24"/>
          <w:szCs w:val="24"/>
          <w:u w:val="single"/>
          <w:lang w:eastAsia="es-ES"/>
        </w:rPr>
      </w:pPr>
      <w:r w:rsidRPr="000F7359">
        <w:rPr>
          <w:rFonts w:ascii="Times New Roman" w:eastAsia="Times New Roman" w:hAnsi="Times New Roman"/>
          <w:sz w:val="24"/>
          <w:szCs w:val="24"/>
          <w:lang w:eastAsia="es-ES"/>
        </w:rPr>
        <w:t xml:space="preserve">Y eso sin entrar, asegura </w:t>
      </w:r>
      <w:r w:rsidRPr="00463A3F">
        <w:rPr>
          <w:rFonts w:ascii="Times New Roman" w:eastAsia="Times New Roman" w:hAnsi="Times New Roman"/>
          <w:sz w:val="24"/>
          <w:szCs w:val="24"/>
          <w:u w:val="single"/>
          <w:lang w:eastAsia="es-ES"/>
        </w:rPr>
        <w:t>Rafael Pampillón</w:t>
      </w:r>
      <w:r w:rsidRPr="000F7359">
        <w:rPr>
          <w:rFonts w:ascii="Times New Roman" w:eastAsia="Times New Roman" w:hAnsi="Times New Roman"/>
          <w:sz w:val="24"/>
          <w:szCs w:val="24"/>
          <w:lang w:eastAsia="es-ES"/>
        </w:rPr>
        <w:t xml:space="preserve">, Director de Análisis Económico de IE Business School, en las disfunciones de gasto que nuestra arquitectura institucional está generando. </w:t>
      </w:r>
      <w:r w:rsidRPr="00463A3F">
        <w:rPr>
          <w:rFonts w:ascii="Times New Roman" w:eastAsia="Times New Roman" w:hAnsi="Times New Roman"/>
          <w:sz w:val="24"/>
          <w:szCs w:val="24"/>
          <w:u w:val="single"/>
          <w:lang w:eastAsia="es-ES"/>
        </w:rPr>
        <w:t xml:space="preserve">“Hay que recortar gasto público suntuario e innecesario, empezando por las embajadas de las Comunidades Autónomas y siguiendo por ese montón de observatorios que han puesto en marcha (el de la mujer trabajadora, el de la mujer maltratada, </w:t>
      </w:r>
      <w:r w:rsidR="00A92207" w:rsidRPr="00463A3F">
        <w:rPr>
          <w:rFonts w:ascii="Times New Roman" w:eastAsia="Times New Roman" w:hAnsi="Times New Roman"/>
          <w:sz w:val="24"/>
          <w:szCs w:val="24"/>
          <w:u w:val="single"/>
          <w:lang w:eastAsia="es-ES"/>
        </w:rPr>
        <w:t>etc.</w:t>
      </w:r>
      <w:r w:rsidRPr="00463A3F">
        <w:rPr>
          <w:rFonts w:ascii="Times New Roman" w:eastAsia="Times New Roman" w:hAnsi="Times New Roman"/>
          <w:sz w:val="24"/>
          <w:szCs w:val="24"/>
          <w:u w:val="single"/>
          <w:lang w:eastAsia="es-ES"/>
        </w:rPr>
        <w:t>) o por esos tribunales de la competencia que han creado en las CCAA. Además tenemos 3000 empresas públicas en los ayuntamientos y unas 1000 en las CCAA. Ahí hay un campo importante para meter el hacha”.</w:t>
      </w:r>
    </w:p>
    <w:p w:rsidR="00A51545" w:rsidRPr="000F7359" w:rsidRDefault="00A51545" w:rsidP="00550638">
      <w:pPr>
        <w:spacing w:line="240" w:lineRule="auto"/>
        <w:jc w:val="both"/>
        <w:rPr>
          <w:rFonts w:ascii="Times New Roman" w:eastAsia="Times New Roman" w:hAnsi="Times New Roman"/>
          <w:sz w:val="24"/>
          <w:szCs w:val="24"/>
          <w:lang w:eastAsia="es-ES"/>
        </w:rPr>
      </w:pPr>
      <w:r w:rsidRPr="00463A3F">
        <w:rPr>
          <w:rFonts w:ascii="Times New Roman" w:eastAsia="Times New Roman" w:hAnsi="Times New Roman"/>
          <w:color w:val="FF0000"/>
          <w:sz w:val="24"/>
          <w:szCs w:val="24"/>
          <w:u w:val="single"/>
          <w:lang w:eastAsia="es-ES"/>
        </w:rPr>
        <w:t>Pero eso no bastaría, afirma Pampillón, ya que las reformas deberían dirigirse, como apuntaba Schwartz, al núcleo de las prestaciones del Estado social, las pensiones, la sanidad y la educación</w:t>
      </w:r>
      <w:r w:rsidRPr="000F7359">
        <w:rPr>
          <w:rFonts w:ascii="Times New Roman" w:eastAsia="Times New Roman" w:hAnsi="Times New Roman"/>
          <w:sz w:val="24"/>
          <w:szCs w:val="24"/>
          <w:lang w:eastAsia="es-ES"/>
        </w:rPr>
        <w:t xml:space="preserve">. “Hemos de hacer muchas cosas en ese campo, porque ¿qué sentido tiene que un peruano que está trabajando de cajero en un hipermercado tenga que pagar con sus impuestos la educación de los ricos? ¿Por qué tiene ese hombre que financiar la matrícula universitaria del nieto de Botín, por poner un caso?”. Por supuesto, señala Pampillón, en asuntos como la sanidad hemos de ir hacia el copago. </w:t>
      </w:r>
      <w:r w:rsidRPr="000F7359">
        <w:rPr>
          <w:rFonts w:ascii="Times New Roman" w:eastAsia="Times New Roman" w:hAnsi="Times New Roman"/>
          <w:sz w:val="24"/>
          <w:szCs w:val="24"/>
          <w:lang w:eastAsia="es-ES"/>
        </w:rPr>
        <w:lastRenderedPageBreak/>
        <w:t xml:space="preserve">“La hora de médico de la sanidad pública es muy cara, y si pones incentivos para que la gente sólo vaya cuando tiene que ir, se reducirá el número de horas por médico y con ello el coste de la sanidad”. Schwartz coincide en la necesidad de la medida, subrayando que “en Alemania se pagan diez euros todos los trimestres para ir al médico general y los franceses pagan cuando van al médico, aunque luego se lo devuelvan. Así evitas abusos”. </w:t>
      </w:r>
    </w:p>
    <w:p w:rsidR="00A51545" w:rsidRPr="000F7359" w:rsidRDefault="00A51545" w:rsidP="00550638">
      <w:pPr>
        <w:spacing w:line="240" w:lineRule="auto"/>
        <w:jc w:val="both"/>
        <w:rPr>
          <w:rFonts w:ascii="Times New Roman" w:eastAsia="Times New Roman" w:hAnsi="Times New Roman"/>
          <w:sz w:val="24"/>
          <w:szCs w:val="24"/>
          <w:lang w:eastAsia="es-ES"/>
        </w:rPr>
      </w:pPr>
      <w:r w:rsidRPr="000F7359">
        <w:rPr>
          <w:rFonts w:ascii="Times New Roman" w:eastAsia="Times New Roman" w:hAnsi="Times New Roman"/>
          <w:sz w:val="24"/>
          <w:szCs w:val="24"/>
          <w:lang w:eastAsia="es-ES"/>
        </w:rPr>
        <w:t>Pero el asunto no debería agotarse en las reformas para abaratar costes. “</w:t>
      </w:r>
      <w:r w:rsidRPr="00463A3F">
        <w:rPr>
          <w:rFonts w:ascii="Times New Roman" w:eastAsia="Times New Roman" w:hAnsi="Times New Roman"/>
          <w:color w:val="FF0000"/>
          <w:sz w:val="24"/>
          <w:szCs w:val="24"/>
          <w:lang w:eastAsia="es-ES"/>
        </w:rPr>
        <w:t>Tiene que darse en la sociedad un cambio cultural que nos haga ser conscientes</w:t>
      </w:r>
      <w:r w:rsidRPr="000F7359">
        <w:rPr>
          <w:rFonts w:ascii="Times New Roman" w:eastAsia="Times New Roman" w:hAnsi="Times New Roman"/>
          <w:sz w:val="24"/>
          <w:szCs w:val="24"/>
          <w:lang w:eastAsia="es-ES"/>
        </w:rPr>
        <w:t>”, asegura Schwartz, “</w:t>
      </w:r>
      <w:r w:rsidRPr="00463A3F">
        <w:rPr>
          <w:rFonts w:ascii="Times New Roman" w:eastAsia="Times New Roman" w:hAnsi="Times New Roman"/>
          <w:color w:val="FF0000"/>
          <w:sz w:val="24"/>
          <w:szCs w:val="24"/>
          <w:lang w:eastAsia="es-ES"/>
        </w:rPr>
        <w:t>de que debemos responsabilizarnos de nosotros mismos en lugar de esperar que el Estado venga a resolvernos los problemas</w:t>
      </w:r>
      <w:r w:rsidRPr="000F7359">
        <w:rPr>
          <w:rFonts w:ascii="Times New Roman" w:eastAsia="Times New Roman" w:hAnsi="Times New Roman"/>
          <w:sz w:val="24"/>
          <w:szCs w:val="24"/>
          <w:lang w:eastAsia="es-ES"/>
        </w:rPr>
        <w:t>”. Como afirma Pampillón, “</w:t>
      </w:r>
      <w:r w:rsidRPr="00463A3F">
        <w:rPr>
          <w:rFonts w:ascii="Times New Roman" w:eastAsia="Times New Roman" w:hAnsi="Times New Roman"/>
          <w:sz w:val="24"/>
          <w:szCs w:val="24"/>
          <w:u w:val="single"/>
          <w:lang w:eastAsia="es-ES"/>
        </w:rPr>
        <w:t>cada vez hay más gente que entiende que debe pagarse su sanidad, su educación y la de sus hijos y sus fondos de pensiones. Lo cual es muy positivo, además, porque la intervención del Estado para resolver estos problemas tiene un coste de intermediación tremendo”.</w:t>
      </w:r>
      <w:r>
        <w:rPr>
          <w:rFonts w:ascii="Times New Roman" w:eastAsia="Times New Roman" w:hAnsi="Times New Roman"/>
          <w:sz w:val="24"/>
          <w:szCs w:val="24"/>
          <w:lang w:eastAsia="es-ES"/>
        </w:rPr>
        <w:t xml:space="preserve"> </w:t>
      </w:r>
    </w:p>
    <w:p w:rsidR="00A51545" w:rsidRPr="000F7359" w:rsidRDefault="00A51545" w:rsidP="00550638">
      <w:pPr>
        <w:spacing w:line="240" w:lineRule="auto"/>
        <w:jc w:val="both"/>
        <w:rPr>
          <w:rFonts w:ascii="Times New Roman" w:eastAsia="Times New Roman" w:hAnsi="Times New Roman"/>
          <w:sz w:val="24"/>
          <w:szCs w:val="24"/>
          <w:lang w:eastAsia="es-ES"/>
        </w:rPr>
      </w:pPr>
      <w:r w:rsidRPr="000F7359">
        <w:rPr>
          <w:rFonts w:ascii="Times New Roman" w:eastAsia="Times New Roman" w:hAnsi="Times New Roman"/>
          <w:sz w:val="24"/>
          <w:szCs w:val="24"/>
          <w:lang w:eastAsia="es-ES"/>
        </w:rPr>
        <w:t xml:space="preserve">Pero si todos estos cambios se llevan a efecto, como ya está ocurriendo en países como Holanda o Gran Bretaña, donde los gobiernos están acometiendo reformas severas, nos encontraremos también con un nuevo panorama político. Entre otras cosas, asegura Francisco Herrero, Científico titular en el Instituto de Políticas y Bienes Públicos (CSIC) y autor de La ideología y la práctica. La diferencia de valores entre izquierda y derecha (Libros de la Catarata), porque estaremos tocando la más importante de las bases ideológicas de la izquierda parlamentaria, el Estado de bienestar. “Hablamos de la construcción de un modelo de estado que fue creado gracias a la izquierda y que está en el núcleo de su ideología. El Estado social garantiza a través de la redistribución los valores de igualdad comunidad y libertad que la izquierda defiende”, por lo que se trata también de una exigencia a la que difícilmente van a renunciar las formaciones socialdemócratas. </w:t>
      </w:r>
    </w:p>
    <w:p w:rsidR="00A51545" w:rsidRPr="000F7359" w:rsidRDefault="00A51545" w:rsidP="00550638">
      <w:pPr>
        <w:spacing w:line="240" w:lineRule="auto"/>
        <w:jc w:val="both"/>
        <w:rPr>
          <w:rFonts w:ascii="Times New Roman" w:eastAsia="Times New Roman" w:hAnsi="Times New Roman"/>
          <w:sz w:val="24"/>
          <w:szCs w:val="24"/>
          <w:lang w:eastAsia="es-ES"/>
        </w:rPr>
      </w:pPr>
      <w:r w:rsidRPr="000F7359">
        <w:rPr>
          <w:rFonts w:ascii="Times New Roman" w:eastAsia="Times New Roman" w:hAnsi="Times New Roman"/>
          <w:sz w:val="24"/>
          <w:szCs w:val="24"/>
          <w:lang w:eastAsia="es-ES"/>
        </w:rPr>
        <w:t>Pero además de la defensa ideológica, también está la electoral. “Si la izquierda parlamentaria favorece los recortes, es más que posible que parte de sus bases se alejen de ellos. Máxime cuando los recursos que proporciona el Estado del bienestar suelen ir destinados a sus electores, esto es, a esas clases populares que suelen resultar favorecidas en respecto de las prestaciones sanitarias, educativas, etc. Si hay reformas profundas, es lógico pensar que ese apoyo popular a la izquierda puede deteriorarse, salvo que logren convencer a sus electores de que, aun siendo necesarios  los recortes, van a defender un núcleo en pensiones, educación, y sanidad, y que están haciendo las reformas ju</w:t>
      </w:r>
      <w:r>
        <w:rPr>
          <w:rFonts w:ascii="Times New Roman" w:eastAsia="Times New Roman" w:hAnsi="Times New Roman"/>
          <w:sz w:val="24"/>
          <w:szCs w:val="24"/>
          <w:lang w:eastAsia="es-ES"/>
        </w:rPr>
        <w:t>sto para preservar ese núcleo”.</w:t>
      </w:r>
    </w:p>
    <w:p w:rsidR="00A51545" w:rsidRPr="00D81544" w:rsidRDefault="00A51545" w:rsidP="00550638">
      <w:pPr>
        <w:spacing w:line="240" w:lineRule="auto"/>
        <w:jc w:val="both"/>
        <w:rPr>
          <w:rFonts w:ascii="Times New Roman" w:eastAsia="Times New Roman" w:hAnsi="Times New Roman"/>
          <w:sz w:val="24"/>
          <w:szCs w:val="24"/>
          <w:u w:val="single"/>
          <w:lang w:eastAsia="es-ES"/>
        </w:rPr>
      </w:pPr>
      <w:r w:rsidRPr="000F7359">
        <w:rPr>
          <w:rFonts w:ascii="Times New Roman" w:eastAsia="Times New Roman" w:hAnsi="Times New Roman"/>
          <w:sz w:val="24"/>
          <w:szCs w:val="24"/>
          <w:lang w:eastAsia="es-ES"/>
        </w:rPr>
        <w:t xml:space="preserve">En otro caso, lo más probable es que las tensiones políticas vayan en aumento. Cuando la derecha ha hecho las reformas, como parece que será el caso a partir de las próximas elecciones generales,  suele encontrarse con mayor oposición social que cuando las hicieron los partidos socialdemócratas. Y a esa probable contestación social se le va a sumar el desafecto de una población, que como se ha visto en las movilizaciones del 15-M comienza a no creer en el sistema, por lo que el aumento de la tensión política parece inevitable, asegura Juan Carlos Monedero, profesor de Ciencia Política de la Universidad Complutense. Si bien Herrero cree que, “a pesar de todos los recortes que se han dado en el Estado del bienestar, las desigualdades no están aumentando demasiado (hay países con Gran Bretaña donde sí ha ocurrido, pero en otros países se ha dado en grado menor, como en Francia o Alemania) y está por verse que aumenten los próximos años”, para Monedero es claro que </w:t>
      </w:r>
      <w:r w:rsidRPr="00D81544">
        <w:rPr>
          <w:rFonts w:ascii="Times New Roman" w:eastAsia="Times New Roman" w:hAnsi="Times New Roman"/>
          <w:sz w:val="24"/>
          <w:szCs w:val="24"/>
          <w:u w:val="single"/>
          <w:lang w:eastAsia="es-ES"/>
        </w:rPr>
        <w:t xml:space="preserve">el choque social va a existir y  va a ser de notable intensidad. “Estamos en un instante en que el capitalismo, que está en crisis, ha </w:t>
      </w:r>
      <w:r w:rsidRPr="00D81544">
        <w:rPr>
          <w:rFonts w:ascii="Times New Roman" w:eastAsia="Times New Roman" w:hAnsi="Times New Roman"/>
          <w:sz w:val="24"/>
          <w:szCs w:val="24"/>
          <w:u w:val="single"/>
          <w:lang w:eastAsia="es-ES"/>
        </w:rPr>
        <w:lastRenderedPageBreak/>
        <w:t xml:space="preserve">de decidir el camino que va a seguir, optando por reinventar el modelo, o por recuperar la tasa de ganancia empresarial sobre las espaldas de la gente. </w:t>
      </w:r>
    </w:p>
    <w:p w:rsidR="00D121C5" w:rsidRPr="00981E45" w:rsidRDefault="00A51545" w:rsidP="00550638">
      <w:pPr>
        <w:spacing w:line="240" w:lineRule="auto"/>
        <w:jc w:val="both"/>
        <w:rPr>
          <w:rFonts w:ascii="Times New Roman" w:eastAsia="Times New Roman" w:hAnsi="Times New Roman"/>
          <w:color w:val="FF0000"/>
          <w:sz w:val="24"/>
          <w:szCs w:val="24"/>
          <w:lang w:eastAsia="es-ES"/>
        </w:rPr>
      </w:pPr>
      <w:r w:rsidRPr="00D81544">
        <w:rPr>
          <w:rFonts w:ascii="Times New Roman" w:eastAsia="Times New Roman" w:hAnsi="Times New Roman"/>
          <w:sz w:val="24"/>
          <w:szCs w:val="24"/>
          <w:u w:val="single"/>
          <w:lang w:eastAsia="es-ES"/>
        </w:rPr>
        <w:t>La élite económica puede entender el salario como un ingreso social, manteniendo así los elementos del estado social, o puede optar por mantener la tasa de beneficios reduciendo los salarios al máximo y desmantelando las prestaciones sociales, ahorrando así costes a las empresas en manos de obra y de impuestos</w:t>
      </w:r>
      <w:r w:rsidRPr="000F7359">
        <w:rPr>
          <w:rFonts w:ascii="Times New Roman" w:eastAsia="Times New Roman" w:hAnsi="Times New Roman"/>
          <w:sz w:val="24"/>
          <w:szCs w:val="24"/>
          <w:lang w:eastAsia="es-ES"/>
        </w:rPr>
        <w:t xml:space="preserve">”. Para Monedero, </w:t>
      </w:r>
      <w:r w:rsidRPr="00D81544">
        <w:rPr>
          <w:rFonts w:ascii="Times New Roman" w:eastAsia="Times New Roman" w:hAnsi="Times New Roman"/>
          <w:color w:val="FF0000"/>
          <w:sz w:val="24"/>
          <w:szCs w:val="24"/>
          <w:u w:val="single"/>
          <w:lang w:eastAsia="es-ES"/>
        </w:rPr>
        <w:t>esta segunda posibilidad, que es la más probable, “nos llevaría a una situación de dualización, forjando una sociedad tipo China que no es acorde con lo que han sido los estándares y patrones europeos” e implicaría cambios políticos de notables dimensiones.</w:t>
      </w:r>
      <w:r w:rsidRPr="000F7359">
        <w:rPr>
          <w:rFonts w:ascii="Times New Roman" w:eastAsia="Times New Roman" w:hAnsi="Times New Roman"/>
          <w:sz w:val="24"/>
          <w:szCs w:val="24"/>
          <w:lang w:eastAsia="es-ES"/>
        </w:rPr>
        <w:t xml:space="preserve"> En ese caso, los partidos de la izquierda socialdemócrata perderían el apoyo social que poseen, “y dado que hablamos de formaciones que están paralizadas por su propia lógica institucional, la gente saldría a la calle, como está haciendo ya, a decir, que si los partidos no les entienden, tendrán que buscarse alguien que les entienda”. Es decir, que acabaríamos por vivir dos legalidades, la institucional y la de la calle. </w:t>
      </w:r>
      <w:r w:rsidRPr="00D81544">
        <w:rPr>
          <w:rFonts w:ascii="Times New Roman" w:eastAsia="Times New Roman" w:hAnsi="Times New Roman"/>
          <w:color w:val="FF0000"/>
          <w:sz w:val="24"/>
          <w:szCs w:val="24"/>
          <w:u w:val="single"/>
          <w:lang w:eastAsia="es-ES"/>
        </w:rPr>
        <w:t>La gente está cansada de esta retórica económica que se ha convertido en un arcano ininteligible. No entiende lo que se les dice, pero saben que se están quedando sin trabajo y sin casa. Por eso, concluyen Monedero, “esto no ha hecho más que empezar”.</w:t>
      </w:r>
      <w:r w:rsidRPr="000F7359">
        <w:rPr>
          <w:rFonts w:ascii="Times New Roman" w:eastAsia="Times New Roman" w:hAnsi="Times New Roman"/>
          <w:sz w:val="24"/>
          <w:szCs w:val="24"/>
          <w:lang w:eastAsia="es-ES"/>
        </w:rPr>
        <w:t xml:space="preserve"> Un buen ejemplo está en Madrid, pero también en Atenas. “Allí tienen que privatizar medio país para pagar el rescate. ¿Y qué van a hacer? ¿Le van a vender el Panteón a </w:t>
      </w:r>
      <w:r w:rsidR="00A92207" w:rsidRPr="000F7359">
        <w:rPr>
          <w:rFonts w:ascii="Times New Roman" w:eastAsia="Times New Roman" w:hAnsi="Times New Roman"/>
          <w:sz w:val="24"/>
          <w:szCs w:val="24"/>
          <w:lang w:eastAsia="es-ES"/>
        </w:rPr>
        <w:t>McDonald’s</w:t>
      </w:r>
      <w:r w:rsidRPr="000F7359">
        <w:rPr>
          <w:rFonts w:ascii="Times New Roman" w:eastAsia="Times New Roman" w:hAnsi="Times New Roman"/>
          <w:sz w:val="24"/>
          <w:szCs w:val="24"/>
          <w:lang w:eastAsia="es-ES"/>
        </w:rPr>
        <w:t xml:space="preserve">? Para Monedero, </w:t>
      </w:r>
      <w:r w:rsidRPr="00981E45">
        <w:rPr>
          <w:rFonts w:ascii="Times New Roman" w:eastAsia="Times New Roman" w:hAnsi="Times New Roman"/>
          <w:color w:val="FF0000"/>
          <w:sz w:val="24"/>
          <w:szCs w:val="24"/>
          <w:lang w:eastAsia="es-ES"/>
        </w:rPr>
        <w:t>“</w:t>
      </w:r>
      <w:r w:rsidRPr="00D81544">
        <w:rPr>
          <w:rFonts w:ascii="Times New Roman" w:eastAsia="Times New Roman" w:hAnsi="Times New Roman"/>
          <w:color w:val="FF0000"/>
          <w:sz w:val="24"/>
          <w:szCs w:val="24"/>
          <w:u w:val="single"/>
          <w:lang w:eastAsia="es-ES"/>
        </w:rPr>
        <w:t>esta divergencia entre política institucional y realidad nos está dirigiendo a un contexto muy similar al que vivió la Europa de entreguerras</w:t>
      </w:r>
      <w:r w:rsidRPr="00981E45">
        <w:rPr>
          <w:rFonts w:ascii="Times New Roman" w:eastAsia="Times New Roman" w:hAnsi="Times New Roman"/>
          <w:color w:val="FF0000"/>
          <w:sz w:val="24"/>
          <w:szCs w:val="24"/>
          <w:lang w:eastAsia="es-ES"/>
        </w:rPr>
        <w:t>”.</w:t>
      </w:r>
    </w:p>
    <w:p w:rsidR="00A51545" w:rsidRPr="00CC4F65" w:rsidRDefault="00A51545" w:rsidP="00550638">
      <w:pPr>
        <w:spacing w:after="0" w:line="240" w:lineRule="auto"/>
        <w:jc w:val="both"/>
        <w:rPr>
          <w:rFonts w:ascii="Times New Roman" w:hAnsi="Times New Roman"/>
          <w:sz w:val="24"/>
          <w:szCs w:val="24"/>
        </w:rPr>
      </w:pPr>
      <w:r>
        <w:rPr>
          <w:rFonts w:ascii="Times New Roman" w:hAnsi="Times New Roman"/>
          <w:sz w:val="24"/>
          <w:szCs w:val="24"/>
        </w:rPr>
        <w:t xml:space="preserve">- </w:t>
      </w:r>
      <w:r w:rsidRPr="00B10CBE">
        <w:rPr>
          <w:rFonts w:ascii="Times New Roman" w:hAnsi="Times New Roman"/>
          <w:sz w:val="24"/>
          <w:szCs w:val="24"/>
          <w:u w:val="single"/>
        </w:rPr>
        <w:t>Nos morimos por encima de nuestras posibilidades</w:t>
      </w:r>
      <w:r>
        <w:rPr>
          <w:rFonts w:ascii="Times New Roman" w:hAnsi="Times New Roman"/>
          <w:sz w:val="24"/>
          <w:szCs w:val="24"/>
        </w:rPr>
        <w:t xml:space="preserve"> (Libertad Digital - </w:t>
      </w:r>
      <w:r w:rsidRPr="00B10CBE">
        <w:rPr>
          <w:rFonts w:ascii="Times New Roman" w:hAnsi="Times New Roman"/>
          <w:b/>
          <w:sz w:val="24"/>
          <w:szCs w:val="24"/>
        </w:rPr>
        <w:t>26/9/11</w:t>
      </w:r>
      <w:r>
        <w:rPr>
          <w:rFonts w:ascii="Times New Roman" w:hAnsi="Times New Roman"/>
          <w:sz w:val="24"/>
          <w:szCs w:val="24"/>
        </w:rPr>
        <w:t>)</w:t>
      </w:r>
    </w:p>
    <w:p w:rsidR="00A51545" w:rsidRDefault="00A51545" w:rsidP="00550638">
      <w:pPr>
        <w:spacing w:after="0" w:line="240" w:lineRule="auto"/>
        <w:jc w:val="both"/>
        <w:rPr>
          <w:rFonts w:ascii="Times New Roman" w:hAnsi="Times New Roman"/>
          <w:sz w:val="24"/>
          <w:szCs w:val="24"/>
        </w:rPr>
      </w:pPr>
    </w:p>
    <w:p w:rsidR="00A51545" w:rsidRDefault="00A51545" w:rsidP="00550638">
      <w:pPr>
        <w:spacing w:after="0" w:line="240" w:lineRule="auto"/>
        <w:jc w:val="both"/>
        <w:rPr>
          <w:rFonts w:ascii="Times New Roman" w:hAnsi="Times New Roman"/>
          <w:sz w:val="24"/>
          <w:szCs w:val="24"/>
        </w:rPr>
      </w:pPr>
      <w:r>
        <w:rPr>
          <w:rFonts w:ascii="Times New Roman" w:hAnsi="Times New Roman"/>
          <w:sz w:val="24"/>
          <w:szCs w:val="24"/>
        </w:rPr>
        <w:t xml:space="preserve">(Por </w:t>
      </w:r>
      <w:r w:rsidRPr="00CC4F65">
        <w:rPr>
          <w:rFonts w:ascii="Times New Roman" w:hAnsi="Times New Roman"/>
          <w:sz w:val="24"/>
          <w:szCs w:val="24"/>
        </w:rPr>
        <w:t>Ignacio Moncada</w:t>
      </w:r>
      <w:r>
        <w:rPr>
          <w:rFonts w:ascii="Times New Roman" w:hAnsi="Times New Roman"/>
          <w:sz w:val="24"/>
          <w:szCs w:val="24"/>
        </w:rPr>
        <w:t>)</w:t>
      </w:r>
    </w:p>
    <w:p w:rsidR="00A51545" w:rsidRPr="00CC4F65" w:rsidRDefault="00A51545" w:rsidP="00550638">
      <w:pPr>
        <w:spacing w:after="0" w:line="240" w:lineRule="auto"/>
        <w:jc w:val="both"/>
        <w:rPr>
          <w:rFonts w:ascii="Times New Roman" w:hAnsi="Times New Roman"/>
          <w:sz w:val="24"/>
          <w:szCs w:val="24"/>
        </w:rPr>
      </w:pPr>
    </w:p>
    <w:p w:rsidR="00A51545" w:rsidRPr="00FA3085" w:rsidRDefault="00A51545" w:rsidP="00550638">
      <w:pPr>
        <w:spacing w:after="0" w:line="240" w:lineRule="auto"/>
        <w:jc w:val="both"/>
        <w:rPr>
          <w:rFonts w:ascii="Times New Roman" w:hAnsi="Times New Roman"/>
          <w:color w:val="FF0000"/>
          <w:sz w:val="24"/>
          <w:szCs w:val="24"/>
          <w:u w:val="single"/>
        </w:rPr>
      </w:pPr>
      <w:r w:rsidRPr="00FA3085">
        <w:rPr>
          <w:rFonts w:ascii="Times New Roman" w:hAnsi="Times New Roman"/>
          <w:color w:val="FF0000"/>
          <w:sz w:val="24"/>
          <w:szCs w:val="24"/>
          <w:u w:val="single"/>
        </w:rPr>
        <w:t xml:space="preserve">Oscar Wilde vivió entregado al dispendio como modo de vida. Y cuando llegó la factura de su última botella de champán, postrado en París por la enfermedad y la insolvencia, acertó a decir: “Dios mío, me muero por encima de mis posibilidades”. </w:t>
      </w:r>
    </w:p>
    <w:p w:rsidR="00A51545" w:rsidRPr="00FA3085" w:rsidRDefault="00A51545" w:rsidP="00550638">
      <w:pPr>
        <w:spacing w:after="0" w:line="240" w:lineRule="auto"/>
        <w:jc w:val="both"/>
        <w:rPr>
          <w:rFonts w:ascii="Times New Roman" w:hAnsi="Times New Roman"/>
          <w:color w:val="FF0000"/>
          <w:sz w:val="24"/>
          <w:szCs w:val="24"/>
          <w:u w:val="single"/>
        </w:rPr>
      </w:pPr>
    </w:p>
    <w:p w:rsidR="00A51545" w:rsidRPr="00CC4F65" w:rsidRDefault="00A51545" w:rsidP="00550638">
      <w:pPr>
        <w:spacing w:after="0" w:line="240" w:lineRule="auto"/>
        <w:jc w:val="both"/>
        <w:rPr>
          <w:rFonts w:ascii="Times New Roman" w:hAnsi="Times New Roman"/>
          <w:sz w:val="24"/>
          <w:szCs w:val="24"/>
        </w:rPr>
      </w:pPr>
      <w:r w:rsidRPr="00CC4F65">
        <w:rPr>
          <w:rFonts w:ascii="Times New Roman" w:hAnsi="Times New Roman"/>
          <w:sz w:val="24"/>
          <w:szCs w:val="24"/>
        </w:rPr>
        <w:t>El otro día escuché una curiosa anécdota. Cuentan que Oscar Wilde, cuando estaba en su lecho de muerte, pidió una botella del mejor champán francés. El polémico escritor irlandés, pese a que llegó a ganar mucho dinero durante su vida, siempre estaba arruinado. Vivió entregado al derroche en lujos y placeres, al dispendio como modo de vida. Y cuando llegó la factura de su última botella de champán, postrado en París por la enfermedad y la in</w:t>
      </w:r>
      <w:r w:rsidR="00805443">
        <w:rPr>
          <w:rFonts w:ascii="Times New Roman" w:hAnsi="Times New Roman"/>
          <w:sz w:val="24"/>
          <w:szCs w:val="24"/>
        </w:rPr>
        <w:t>solvencia, acertó a decir: “</w:t>
      </w:r>
      <w:r w:rsidRPr="00CC4F65">
        <w:rPr>
          <w:rFonts w:ascii="Times New Roman" w:hAnsi="Times New Roman"/>
          <w:sz w:val="24"/>
          <w:szCs w:val="24"/>
        </w:rPr>
        <w:t xml:space="preserve">Dios mío, me muero </w:t>
      </w:r>
      <w:r w:rsidR="00805443">
        <w:rPr>
          <w:rFonts w:ascii="Times New Roman" w:hAnsi="Times New Roman"/>
          <w:sz w:val="24"/>
          <w:szCs w:val="24"/>
        </w:rPr>
        <w:t>por encima de mis posibilidades”</w:t>
      </w:r>
      <w:r w:rsidRPr="00CC4F65">
        <w:rPr>
          <w:rFonts w:ascii="Times New Roman" w:hAnsi="Times New Roman"/>
          <w:sz w:val="24"/>
          <w:szCs w:val="24"/>
        </w:rPr>
        <w:t>.</w:t>
      </w:r>
    </w:p>
    <w:p w:rsidR="00A51545" w:rsidRPr="00CC4F65" w:rsidRDefault="00A51545" w:rsidP="00550638">
      <w:pPr>
        <w:spacing w:after="0" w:line="240" w:lineRule="auto"/>
        <w:jc w:val="both"/>
        <w:rPr>
          <w:rFonts w:ascii="Times New Roman" w:hAnsi="Times New Roman"/>
          <w:sz w:val="24"/>
          <w:szCs w:val="24"/>
        </w:rPr>
      </w:pPr>
    </w:p>
    <w:p w:rsidR="00A51545" w:rsidRPr="00CC4F65" w:rsidRDefault="00A51545" w:rsidP="00550638">
      <w:pPr>
        <w:spacing w:after="0" w:line="240" w:lineRule="auto"/>
        <w:jc w:val="both"/>
        <w:rPr>
          <w:rFonts w:ascii="Times New Roman" w:hAnsi="Times New Roman"/>
          <w:sz w:val="24"/>
          <w:szCs w:val="24"/>
        </w:rPr>
      </w:pPr>
      <w:r w:rsidRPr="00FA3085">
        <w:rPr>
          <w:rFonts w:ascii="Times New Roman" w:hAnsi="Times New Roman"/>
          <w:sz w:val="24"/>
          <w:szCs w:val="24"/>
          <w:u w:val="single"/>
        </w:rPr>
        <w:t>Pocas frases pueden resumir mejor el estado actual de las economías occidentales</w:t>
      </w:r>
      <w:r w:rsidRPr="00FA3085">
        <w:rPr>
          <w:rFonts w:ascii="Times New Roman" w:hAnsi="Times New Roman"/>
          <w:sz w:val="24"/>
          <w:szCs w:val="24"/>
        </w:rPr>
        <w:t xml:space="preserve">. Y es que, como le sucedió a Oscar Wilde, economías como la española han estado viviendo muchos años por encima de sus posibilidades. </w:t>
      </w:r>
      <w:r w:rsidRPr="00FA3085">
        <w:rPr>
          <w:rFonts w:ascii="Times New Roman" w:hAnsi="Times New Roman"/>
          <w:sz w:val="24"/>
          <w:szCs w:val="24"/>
          <w:u w:val="single"/>
        </w:rPr>
        <w:t>El mantenimiento de tipos de interés artificialmente bajos durante los años de la burbuja generaron la falsa señal económica de que los recursos no tenían coste. Los bancos centrales iniciaron una alocada carrera de inyección de dinero que fue a parar, por supuesto, a manos de quienes los controlan: los políticos</w:t>
      </w:r>
      <w:r w:rsidRPr="00FA3085">
        <w:rPr>
          <w:rFonts w:ascii="Times New Roman" w:hAnsi="Times New Roman"/>
          <w:sz w:val="24"/>
          <w:szCs w:val="24"/>
        </w:rPr>
        <w:t xml:space="preserve">. </w:t>
      </w:r>
      <w:r w:rsidRPr="00FA3085">
        <w:rPr>
          <w:rFonts w:ascii="Times New Roman" w:hAnsi="Times New Roman"/>
          <w:sz w:val="24"/>
          <w:szCs w:val="24"/>
          <w:u w:val="single"/>
        </w:rPr>
        <w:t>Y éstos creyeron que podían gastar cuanto quisieran</w:t>
      </w:r>
      <w:r w:rsidRPr="00FA3085">
        <w:rPr>
          <w:rFonts w:ascii="Times New Roman" w:hAnsi="Times New Roman"/>
          <w:sz w:val="24"/>
          <w:szCs w:val="24"/>
        </w:rPr>
        <w:t xml:space="preserve">. Eran tiempos en los que un alcalde creía que podía cambiar todas las infraestructuras de una ciudad en una legislatura, tiempos en los que toda subvención o pago político caía en una balsa presupuestaria que nadie controlaba, pues sobraba el dinero. </w:t>
      </w:r>
      <w:r w:rsidRPr="00FA3085">
        <w:rPr>
          <w:rFonts w:ascii="Times New Roman" w:hAnsi="Times New Roman"/>
          <w:sz w:val="24"/>
          <w:szCs w:val="24"/>
          <w:u w:val="single"/>
        </w:rPr>
        <w:t>Sin embargo esa sensación era irreal.</w:t>
      </w:r>
      <w:r w:rsidRPr="00FA3085">
        <w:rPr>
          <w:rFonts w:ascii="Times New Roman" w:hAnsi="Times New Roman"/>
          <w:sz w:val="24"/>
          <w:szCs w:val="24"/>
        </w:rPr>
        <w:t xml:space="preserve"> </w:t>
      </w:r>
      <w:r w:rsidRPr="00FA3085">
        <w:rPr>
          <w:rFonts w:ascii="Times New Roman" w:hAnsi="Times New Roman"/>
          <w:sz w:val="24"/>
          <w:szCs w:val="24"/>
          <w:u w:val="single"/>
        </w:rPr>
        <w:t xml:space="preserve">Pese a que la manipulación de la moneda alteraba el coste inmediato de los recursos, a medio plazo se puso de manifiesto que éstos no eran gratis. De alguna </w:t>
      </w:r>
      <w:r w:rsidRPr="00FA3085">
        <w:rPr>
          <w:rFonts w:ascii="Times New Roman" w:hAnsi="Times New Roman"/>
          <w:sz w:val="24"/>
          <w:szCs w:val="24"/>
          <w:u w:val="single"/>
        </w:rPr>
        <w:lastRenderedPageBreak/>
        <w:t>manera había que pagarlos. Por ese motivo entramos en la crisis</w:t>
      </w:r>
      <w:r w:rsidRPr="00FA3085">
        <w:rPr>
          <w:rFonts w:ascii="Times New Roman" w:hAnsi="Times New Roman"/>
          <w:sz w:val="24"/>
          <w:szCs w:val="24"/>
        </w:rPr>
        <w:t>. Había miles de empresas e inversiones que no eran sostenibles con los costes reales, y millones de trabajadores tenían sus puestos de trabajo en actividades que quedaron abocadas a la quiebra</w:t>
      </w:r>
      <w:r w:rsidRPr="00CC4F65">
        <w:rPr>
          <w:rFonts w:ascii="Times New Roman" w:hAnsi="Times New Roman"/>
          <w:sz w:val="24"/>
          <w:szCs w:val="24"/>
        </w:rPr>
        <w:t>.</w:t>
      </w:r>
    </w:p>
    <w:p w:rsidR="00A51545" w:rsidRPr="00CC4F65" w:rsidRDefault="00A51545" w:rsidP="00550638">
      <w:pPr>
        <w:spacing w:after="0" w:line="240" w:lineRule="auto"/>
        <w:jc w:val="both"/>
        <w:rPr>
          <w:rFonts w:ascii="Times New Roman" w:hAnsi="Times New Roman"/>
          <w:sz w:val="24"/>
          <w:szCs w:val="24"/>
        </w:rPr>
      </w:pPr>
    </w:p>
    <w:p w:rsidR="00A51545" w:rsidRPr="00FA3085" w:rsidRDefault="00A51545" w:rsidP="00550638">
      <w:pPr>
        <w:spacing w:after="0" w:line="240" w:lineRule="auto"/>
        <w:jc w:val="both"/>
        <w:rPr>
          <w:rFonts w:ascii="Times New Roman" w:hAnsi="Times New Roman"/>
          <w:sz w:val="24"/>
          <w:szCs w:val="24"/>
          <w:u w:val="single"/>
        </w:rPr>
      </w:pPr>
      <w:r w:rsidRPr="00FA3085">
        <w:rPr>
          <w:rFonts w:ascii="Times New Roman" w:hAnsi="Times New Roman"/>
          <w:sz w:val="24"/>
          <w:szCs w:val="24"/>
          <w:u w:val="single"/>
        </w:rPr>
        <w:t>Todas las crisis económicas siguen patrones muy similares. Pueden cambiar los sectores más afectados, pero todas se deben, en esencia, a que la estructura productiva se ha distorsionado respecto a las necesidades reales de los consumidores. Salir de una crisis supone reconocer que los despilfarros de la burbuja no sólo eran insostenibles y hay que corregirlos, sino que además debemos dinero</w:t>
      </w:r>
      <w:r w:rsidR="00805443">
        <w:rPr>
          <w:rFonts w:ascii="Times New Roman" w:hAnsi="Times New Roman"/>
          <w:sz w:val="24"/>
          <w:szCs w:val="24"/>
        </w:rPr>
        <w:t>. Y aquí vuelve ese “efecto Oscar Wilde”</w:t>
      </w:r>
      <w:r w:rsidRPr="00CC4F65">
        <w:rPr>
          <w:rFonts w:ascii="Times New Roman" w:hAnsi="Times New Roman"/>
          <w:sz w:val="24"/>
          <w:szCs w:val="24"/>
        </w:rPr>
        <w:t xml:space="preserve"> del gobernante actual, que consiste en creer que podemos seguir permitiéndonos el nivel de despilfarro de tiempos de la burbuja. </w:t>
      </w:r>
      <w:r w:rsidRPr="00FA3085">
        <w:rPr>
          <w:rFonts w:ascii="Times New Roman" w:hAnsi="Times New Roman"/>
          <w:b/>
          <w:color w:val="FF0000"/>
          <w:sz w:val="24"/>
          <w:szCs w:val="24"/>
          <w:u w:val="single"/>
        </w:rPr>
        <w:t>Los keynesianos, yendo más allá, incluso afirman que el problema se soluciona... ¡gastando más!</w:t>
      </w:r>
      <w:r w:rsidRPr="00CC4F65">
        <w:rPr>
          <w:rFonts w:ascii="Times New Roman" w:hAnsi="Times New Roman"/>
          <w:sz w:val="24"/>
          <w:szCs w:val="24"/>
        </w:rPr>
        <w:t xml:space="preserve"> De esa manera, muchos estados europeos, entre ellos España, siguen desafiando al precipicio de la bancarrota negándose a recortar drásticamente el gasto público. </w:t>
      </w:r>
      <w:r w:rsidRPr="00FA3085">
        <w:rPr>
          <w:rFonts w:ascii="Times New Roman" w:hAnsi="Times New Roman"/>
          <w:sz w:val="24"/>
          <w:szCs w:val="24"/>
          <w:u w:val="single"/>
        </w:rPr>
        <w:t>Mientras países como España ya no podrían afrontar sus pagos si no fuera por las inyecciones del BCE y la garantía de Alemania, sus políticos siguen gastando como si el dinero siguiera siendo gratis. Y es que, como le sucedió Oscar Wilde, nos morimos por encima de nuestras posibilidades.</w:t>
      </w:r>
    </w:p>
    <w:p w:rsidR="00A51545" w:rsidRPr="00CC4F65" w:rsidRDefault="00A51545" w:rsidP="00550638">
      <w:pPr>
        <w:spacing w:after="0" w:line="240" w:lineRule="auto"/>
        <w:jc w:val="both"/>
        <w:rPr>
          <w:rFonts w:ascii="Times New Roman" w:hAnsi="Times New Roman"/>
          <w:sz w:val="24"/>
          <w:szCs w:val="24"/>
        </w:rPr>
      </w:pPr>
    </w:p>
    <w:p w:rsidR="00A51545" w:rsidRDefault="00A51545" w:rsidP="00550638">
      <w:pPr>
        <w:spacing w:after="0" w:line="240" w:lineRule="auto"/>
        <w:jc w:val="both"/>
        <w:rPr>
          <w:rFonts w:ascii="Times New Roman" w:hAnsi="Times New Roman"/>
          <w:sz w:val="24"/>
          <w:szCs w:val="24"/>
        </w:rPr>
      </w:pPr>
      <w:r>
        <w:rPr>
          <w:rFonts w:ascii="Times New Roman" w:hAnsi="Times New Roman"/>
          <w:sz w:val="24"/>
          <w:szCs w:val="24"/>
        </w:rPr>
        <w:t>(</w:t>
      </w:r>
      <w:r w:rsidRPr="00CC4F65">
        <w:rPr>
          <w:rFonts w:ascii="Times New Roman" w:hAnsi="Times New Roman"/>
          <w:sz w:val="24"/>
          <w:szCs w:val="24"/>
        </w:rPr>
        <w:t>Ignacio Moncada es ingeniero industrial por ICAI y trabaja como analista financie</w:t>
      </w:r>
      <w:r>
        <w:rPr>
          <w:rFonts w:ascii="Times New Roman" w:hAnsi="Times New Roman"/>
          <w:sz w:val="24"/>
          <w:szCs w:val="24"/>
        </w:rPr>
        <w:t>ro de inversiones en Nueva York)</w:t>
      </w:r>
    </w:p>
    <w:p w:rsidR="00A51545" w:rsidRDefault="00A51545" w:rsidP="00550638">
      <w:pPr>
        <w:spacing w:after="0" w:line="240" w:lineRule="auto"/>
        <w:jc w:val="both"/>
        <w:rPr>
          <w:rFonts w:ascii="Times New Roman" w:hAnsi="Times New Roman" w:cs="Times New Roman"/>
          <w:sz w:val="24"/>
          <w:szCs w:val="24"/>
        </w:rPr>
      </w:pP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r w:rsidR="00D121C5">
        <w:rPr>
          <w:rStyle w:val="nfasis"/>
          <w:rFonts w:ascii="Times New Roman" w:hAnsi="Times New Roman"/>
          <w:i w:val="0"/>
          <w:sz w:val="24"/>
          <w:szCs w:val="24"/>
          <w:u w:val="single"/>
        </w:rPr>
        <w:t>Las tres falacias sobre la “</w:t>
      </w:r>
      <w:r w:rsidRPr="001E45DA">
        <w:rPr>
          <w:rStyle w:val="nfasis"/>
          <w:rFonts w:ascii="Times New Roman" w:hAnsi="Times New Roman"/>
          <w:i w:val="0"/>
          <w:sz w:val="24"/>
          <w:szCs w:val="24"/>
          <w:u w:val="single"/>
        </w:rPr>
        <w:t>p</w:t>
      </w:r>
      <w:r w:rsidR="00D121C5">
        <w:rPr>
          <w:rStyle w:val="nfasis"/>
          <w:rFonts w:ascii="Times New Roman" w:hAnsi="Times New Roman"/>
          <w:i w:val="0"/>
          <w:sz w:val="24"/>
          <w:szCs w:val="24"/>
          <w:u w:val="single"/>
        </w:rPr>
        <w:t>obreza”</w:t>
      </w:r>
      <w:r w:rsidRPr="001E45DA">
        <w:rPr>
          <w:rStyle w:val="nfasis"/>
          <w:rFonts w:ascii="Times New Roman" w:hAnsi="Times New Roman"/>
          <w:i w:val="0"/>
          <w:sz w:val="24"/>
          <w:szCs w:val="24"/>
          <w:u w:val="single"/>
        </w:rPr>
        <w:t xml:space="preserve"> en EEUU</w:t>
      </w:r>
      <w:r w:rsidRPr="001E45DA">
        <w:rPr>
          <w:rStyle w:val="nfasis"/>
          <w:rFonts w:ascii="Times New Roman" w:hAnsi="Times New Roman"/>
          <w:i w:val="0"/>
          <w:sz w:val="24"/>
          <w:szCs w:val="24"/>
        </w:rPr>
        <w:t xml:space="preserve"> (Libertad Digital - </w:t>
      </w:r>
      <w:r w:rsidRPr="001E45DA">
        <w:rPr>
          <w:rStyle w:val="nfasis"/>
          <w:rFonts w:ascii="Times New Roman" w:hAnsi="Times New Roman"/>
          <w:b/>
          <w:i w:val="0"/>
          <w:sz w:val="24"/>
          <w:szCs w:val="24"/>
        </w:rPr>
        <w:t>16/10/11</w:t>
      </w:r>
      <w:r w:rsidRPr="001E45DA">
        <w:rPr>
          <w:rStyle w:val="nfasis"/>
          <w:rFonts w:ascii="Times New Roman" w:hAnsi="Times New Roman"/>
          <w:i w:val="0"/>
          <w:sz w:val="24"/>
          <w:szCs w:val="24"/>
        </w:rPr>
        <w:t>)</w:t>
      </w:r>
    </w:p>
    <w:p w:rsidR="00A51545" w:rsidRPr="001E45DA" w:rsidRDefault="00A51545" w:rsidP="00550638">
      <w:pPr>
        <w:spacing w:after="15" w:line="240" w:lineRule="auto"/>
        <w:jc w:val="both"/>
        <w:rPr>
          <w:rStyle w:val="nfasis"/>
          <w:rFonts w:ascii="Times New Roman" w:hAnsi="Times New Roman"/>
          <w:i w:val="0"/>
          <w:sz w:val="24"/>
          <w:szCs w:val="24"/>
        </w:rPr>
      </w:pPr>
    </w:p>
    <w:p w:rsidR="00A51545" w:rsidRPr="001E45DA" w:rsidRDefault="00A51545" w:rsidP="00550638">
      <w:pPr>
        <w:spacing w:after="15" w:line="240" w:lineRule="auto"/>
        <w:jc w:val="both"/>
        <w:rPr>
          <w:rStyle w:val="nfasis"/>
          <w:rFonts w:ascii="Times New Roman" w:hAnsi="Times New Roman"/>
          <w:i w:val="0"/>
          <w:color w:val="FF0000"/>
          <w:sz w:val="24"/>
          <w:szCs w:val="24"/>
          <w:u w:val="single"/>
        </w:rPr>
      </w:pPr>
      <w:r w:rsidRPr="001E45DA">
        <w:rPr>
          <w:rStyle w:val="nfasis"/>
          <w:rFonts w:ascii="Times New Roman" w:hAnsi="Times New Roman"/>
          <w:i w:val="0"/>
          <w:color w:val="FF0000"/>
          <w:sz w:val="24"/>
          <w:szCs w:val="24"/>
          <w:u w:val="single"/>
        </w:rPr>
        <w:t>La pobreza en EEUU registra máximos desde la Gran Depresión, pero este término es relativo. Un mileurista español sería pobre al otro lado del charco.</w:t>
      </w:r>
    </w:p>
    <w:p w:rsidR="00A51545" w:rsidRPr="001E45DA" w:rsidRDefault="00A51545" w:rsidP="00550638">
      <w:pPr>
        <w:spacing w:after="15" w:line="240" w:lineRule="auto"/>
        <w:jc w:val="both"/>
        <w:rPr>
          <w:rStyle w:val="nfasis"/>
          <w:rFonts w:ascii="Times New Roman" w:hAnsi="Times New Roman"/>
          <w:i w:val="0"/>
          <w:sz w:val="24"/>
          <w:szCs w:val="24"/>
        </w:rPr>
      </w:pP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(Por Ángel Martín)</w:t>
      </w:r>
    </w:p>
    <w:p w:rsidR="00A51545" w:rsidRPr="001E45DA" w:rsidRDefault="00A51545" w:rsidP="00550638">
      <w:pPr>
        <w:spacing w:after="15" w:line="240" w:lineRule="auto"/>
        <w:jc w:val="both"/>
        <w:rPr>
          <w:rStyle w:val="nfasis"/>
          <w:rFonts w:ascii="Times New Roman" w:hAnsi="Times New Roman"/>
          <w:i w:val="0"/>
          <w:sz w:val="24"/>
          <w:szCs w:val="24"/>
        </w:rPr>
      </w:pPr>
    </w:p>
    <w:p w:rsidR="00A51545" w:rsidRPr="001E45DA" w:rsidRDefault="00A51545" w:rsidP="00550638">
      <w:pPr>
        <w:spacing w:after="15" w:line="240" w:lineRule="auto"/>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La tasa de pobreza en Estados Unidos parece haberse disparado en los últimos años</w:t>
      </w:r>
      <w:r w:rsidRPr="001E45DA">
        <w:rPr>
          <w:rStyle w:val="nfasis"/>
          <w:rFonts w:ascii="Times New Roman" w:hAnsi="Times New Roman"/>
          <w:i w:val="0"/>
          <w:sz w:val="24"/>
          <w:szCs w:val="24"/>
        </w:rPr>
        <w:t xml:space="preserve">. Los datos publicados recientemente por la Oficina del Censo (Census Bureau) arrojan varios titulares realmente nefastos, reflejo de las grandes dificultades económicas que atraviesa el país. </w:t>
      </w:r>
      <w:r w:rsidRPr="001E45DA">
        <w:rPr>
          <w:rStyle w:val="nfasis"/>
          <w:rFonts w:ascii="Times New Roman" w:hAnsi="Times New Roman"/>
          <w:i w:val="0"/>
          <w:sz w:val="24"/>
          <w:szCs w:val="24"/>
          <w:u w:val="single"/>
        </w:rPr>
        <w:t>El porcentaje de ciudadanos estadounidenses pobres escala hasta niveles no vistos desde 1993, señalaba The New York Times, o Casi uno de cada seis vive en la pobreza en EEUU, según The Washington Post.</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color w:val="FF0000"/>
          <w:sz w:val="24"/>
          <w:szCs w:val="24"/>
          <w:u w:val="single"/>
        </w:rPr>
      </w:pPr>
      <w:r w:rsidRPr="001E45DA">
        <w:rPr>
          <w:rStyle w:val="nfasis"/>
          <w:rFonts w:ascii="Times New Roman" w:hAnsi="Times New Roman"/>
          <w:i w:val="0"/>
          <w:color w:val="FF0000"/>
          <w:sz w:val="24"/>
          <w:szCs w:val="24"/>
          <w:u w:val="single"/>
        </w:rPr>
        <w:t>Según el Censo, la tasa oficial nacional de pobreza en 2010 fue del 15,1%, comparado al 14,3% en el año anterior -siendo el tercer incremento anual consecutivo-. El número absoluto de personas viviendo en la pobreza en 2010 se estima en 46,2 millones, comparado con los 43,6 millones en 2009 -cuarto incremento anual consecutivo-, el volumen más alto en los 52 años de este índice.</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u w:val="single"/>
        </w:rPr>
        <w:t>Sin lugar a dudas, la Gran Recesión ha tenido un impacto significativo sobre los ingresos de los norteamericanos y, por tanto, también sobre las tasas de pobreza, principalmente por el deficiente comportamiento del mercado laboral</w:t>
      </w:r>
      <w:r w:rsidRPr="001E45DA">
        <w:rPr>
          <w:rStyle w:val="nfasis"/>
          <w:rFonts w:ascii="Times New Roman" w:hAnsi="Times New Roman"/>
          <w:i w:val="0"/>
          <w:sz w:val="24"/>
          <w:szCs w:val="24"/>
        </w:rPr>
        <w:t>. Asimismo, tal y como avanzó Libre Mercado, la dependencia de las familias de las transferencias públicas se sitúa en máximos históricos desde la Gran Depresión.</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 xml:space="preserve">Estos pésimos datos suelen utilizarse por parte de analistas y políticos socialdemócratas (tanto en Estados Unidos como en Europa) como manifestación de que el sistema </w:t>
      </w:r>
      <w:r w:rsidRPr="001E45DA">
        <w:rPr>
          <w:rStyle w:val="nfasis"/>
          <w:rFonts w:ascii="Times New Roman" w:hAnsi="Times New Roman"/>
          <w:i w:val="0"/>
          <w:sz w:val="24"/>
          <w:szCs w:val="24"/>
          <w:u w:val="single"/>
        </w:rPr>
        <w:lastRenderedPageBreak/>
        <w:t>americano de baja protección y escasa Seguridad Social no funciona, ya que genera grandes bolsas de pobreza y crecientes desigualdades sociales. Sin embargo, esta tesis contiene importantes puntos débiles.</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color w:val="FF0000"/>
          <w:sz w:val="24"/>
          <w:szCs w:val="24"/>
          <w:u w:val="single"/>
        </w:rPr>
      </w:pPr>
      <w:r w:rsidRPr="001E45DA">
        <w:rPr>
          <w:rStyle w:val="nfasis"/>
          <w:rFonts w:ascii="Times New Roman" w:hAnsi="Times New Roman"/>
          <w:i w:val="0"/>
          <w:sz w:val="24"/>
          <w:szCs w:val="24"/>
          <w:u w:val="single"/>
        </w:rPr>
        <w:t>En primer lugar, se suele pensar que Estados Unidos es un país ultraliberal en donde el Estado del Bienestar brilla por su ausencia</w:t>
      </w:r>
      <w:r w:rsidRPr="001E45DA">
        <w:rPr>
          <w:rStyle w:val="nfasis"/>
          <w:rFonts w:ascii="Times New Roman" w:hAnsi="Times New Roman"/>
          <w:i w:val="0"/>
          <w:sz w:val="24"/>
          <w:szCs w:val="24"/>
        </w:rPr>
        <w:t xml:space="preserve">. Sin embargo, como se ha puesto de manifiesto en diversas ocasiones, esta idea dista mucho de la verdad. </w:t>
      </w:r>
      <w:r w:rsidRPr="001E45DA">
        <w:rPr>
          <w:rStyle w:val="nfasis"/>
          <w:rFonts w:ascii="Times New Roman" w:hAnsi="Times New Roman"/>
          <w:i w:val="0"/>
          <w:color w:val="FF0000"/>
          <w:sz w:val="24"/>
          <w:szCs w:val="24"/>
          <w:u w:val="single"/>
        </w:rPr>
        <w:t>La Seguridad Social americana consume más del 20% del presupuesto federal; buena parte de los niños son escolarizados en colegios públicos y la universidad a menudo está subsidiada; la sanidad privada, aunque más extendida que en Europa, se encuentra regulada e intervenida; masivos programas públicos (Medicaid y Medicare) cubren a las familias de clase baja y a la gente mayor; asimismo, las Food Stamps o el programa Aid to Families with Dependent Children asisten a las familias más pobres.</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El llamado gasto social en Estados Unidos -que incluye ayudas públicas para los pobres, incapacitados, desempleados y ancianos, además de asistencia sanitaria-, sobre el total de la economía no es considerablemente más bajo que en la mayoría de países desarrollados -con algunas excepciones-. Según datos de la OCDE, este indicador en EEUU fue del 16,2% en 2007 frente al 19,2% del promedio de países desarrollados.</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Conviene tener en cuenta, además, que el gasto social privado (caridad y filantropía) realizado voluntariamente en EEUU es sustancialmente más elevado que en otros países. Así, mientras que los norteamericanos dedican un 10,2% del PIB a estas partidas, el segundo país que le sigue dentro de la OCDE es Canadá, con el 5,3%; los españoles apenas dedican el 0,5%.</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noProof/>
          <w:lang w:eastAsia="es-ES"/>
        </w:rPr>
        <w:drawing>
          <wp:inline distT="0" distB="0" distL="0" distR="0" wp14:anchorId="7A18A915" wp14:editId="1F1B782D">
            <wp:extent cx="5464175" cy="3181985"/>
            <wp:effectExtent l="0" t="0" r="3175" b="0"/>
            <wp:docPr id="510" name="Imagen 510" descr="pobree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obreeu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464175" cy="3181985"/>
                    </a:xfrm>
                    <a:prstGeom prst="rect">
                      <a:avLst/>
                    </a:prstGeom>
                    <a:noFill/>
                    <a:ln>
                      <a:noFill/>
                    </a:ln>
                  </pic:spPr>
                </pic:pic>
              </a:graphicData>
            </a:graphic>
          </wp:inline>
        </w:drawing>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u w:val="single"/>
        </w:rPr>
      </w:pPr>
      <w:r w:rsidRPr="001E45DA">
        <w:rPr>
          <w:rStyle w:val="nfasis"/>
          <w:rFonts w:ascii="Times New Roman" w:hAnsi="Times New Roman"/>
          <w:i w:val="0"/>
          <w:sz w:val="24"/>
          <w:szCs w:val="24"/>
        </w:rPr>
        <w:t xml:space="preserve">Pero aún hay más. Y es que, según analizaba el historiador económico </w:t>
      </w:r>
      <w:r w:rsidRPr="001E45DA">
        <w:rPr>
          <w:rStyle w:val="nfasis"/>
          <w:rFonts w:ascii="Times New Roman" w:hAnsi="Times New Roman"/>
          <w:i w:val="0"/>
          <w:color w:val="FF0000"/>
          <w:sz w:val="24"/>
          <w:szCs w:val="24"/>
        </w:rPr>
        <w:t xml:space="preserve">Price Fishback en el popular blog </w:t>
      </w:r>
      <w:r w:rsidRPr="00BB5AAA">
        <w:rPr>
          <w:rStyle w:val="nfasis"/>
          <w:rFonts w:ascii="Times New Roman" w:hAnsi="Times New Roman"/>
          <w:color w:val="FF0000"/>
          <w:sz w:val="24"/>
          <w:szCs w:val="24"/>
        </w:rPr>
        <w:t>Freakonomics</w:t>
      </w:r>
      <w:r w:rsidRPr="001E45DA">
        <w:rPr>
          <w:rStyle w:val="nfasis"/>
          <w:rFonts w:ascii="Times New Roman" w:hAnsi="Times New Roman"/>
          <w:i w:val="0"/>
          <w:sz w:val="24"/>
          <w:szCs w:val="24"/>
        </w:rPr>
        <w:t xml:space="preserve">, la cuestión de qué país gasta más en asistencia social, si los países nórdicos o Estados Unidos, no es tan obvia como pudiera parecer a primera vista. </w:t>
      </w:r>
      <w:r w:rsidRPr="001E45DA">
        <w:rPr>
          <w:rStyle w:val="nfasis"/>
          <w:rFonts w:ascii="Times New Roman" w:hAnsi="Times New Roman"/>
          <w:i w:val="0"/>
          <w:sz w:val="24"/>
          <w:szCs w:val="24"/>
          <w:u w:val="single"/>
        </w:rPr>
        <w:t xml:space="preserve">Los indicadores al uso señalan cómo el sistema escandinavo es mucho más generoso que el estadounidense. Sin embargo, un análisis más cuidadoso, teniendo en </w:t>
      </w:r>
      <w:r w:rsidRPr="001E45DA">
        <w:rPr>
          <w:rStyle w:val="nfasis"/>
          <w:rFonts w:ascii="Times New Roman" w:hAnsi="Times New Roman"/>
          <w:i w:val="0"/>
          <w:sz w:val="24"/>
          <w:szCs w:val="24"/>
          <w:u w:val="single"/>
        </w:rPr>
        <w:lastRenderedPageBreak/>
        <w:t>cuenta las notables diferencias en los sistemas fiscales o midiendo el gasto en términos per cápita -no sobre el PIB-, revela que las diferencias no son notables.</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Asimismo, señala que ambos sistemas de bienestar tienen un enfoque distinto, por lo que las comparaciones simples pueden llevar a engaño. </w:t>
      </w:r>
      <w:r w:rsidRPr="001E45DA">
        <w:rPr>
          <w:rStyle w:val="nfasis"/>
          <w:rFonts w:ascii="Times New Roman" w:hAnsi="Times New Roman"/>
          <w:i w:val="0"/>
          <w:sz w:val="24"/>
          <w:szCs w:val="24"/>
          <w:u w:val="single"/>
        </w:rPr>
        <w:t>Mientras que el am</w:t>
      </w:r>
      <w:r w:rsidR="004108D7">
        <w:rPr>
          <w:rStyle w:val="nfasis"/>
          <w:rFonts w:ascii="Times New Roman" w:hAnsi="Times New Roman"/>
          <w:i w:val="0"/>
          <w:sz w:val="24"/>
          <w:szCs w:val="24"/>
          <w:u w:val="single"/>
        </w:rPr>
        <w:t>ericano presenta un enfoque de “red de protección social”</w:t>
      </w:r>
      <w:r w:rsidRPr="001E45DA">
        <w:rPr>
          <w:rStyle w:val="nfasis"/>
          <w:rFonts w:ascii="Times New Roman" w:hAnsi="Times New Roman"/>
          <w:i w:val="0"/>
          <w:sz w:val="24"/>
          <w:szCs w:val="24"/>
          <w:u w:val="single"/>
        </w:rPr>
        <w:t xml:space="preserve"> para aquéllos que sufren condiciones menos ventajosas,</w:t>
      </w:r>
      <w:r w:rsidR="004108D7">
        <w:rPr>
          <w:rStyle w:val="nfasis"/>
          <w:rFonts w:ascii="Times New Roman" w:hAnsi="Times New Roman"/>
          <w:i w:val="0"/>
          <w:sz w:val="24"/>
          <w:szCs w:val="24"/>
          <w:u w:val="single"/>
        </w:rPr>
        <w:t xml:space="preserve"> el nórdico es de carácter más “universal”</w:t>
      </w:r>
      <w:r w:rsidRPr="001E45DA">
        <w:rPr>
          <w:rStyle w:val="nfasis"/>
          <w:rFonts w:ascii="Times New Roman" w:hAnsi="Times New Roman"/>
          <w:i w:val="0"/>
          <w:sz w:val="24"/>
          <w:szCs w:val="24"/>
          <w:u w:val="single"/>
        </w:rPr>
        <w:t>.</w:t>
      </w:r>
      <w:r w:rsidR="004108D7">
        <w:rPr>
          <w:rStyle w:val="nfasis"/>
          <w:rFonts w:ascii="Times New Roman" w:hAnsi="Times New Roman"/>
          <w:i w:val="0"/>
          <w:sz w:val="24"/>
          <w:szCs w:val="24"/>
        </w:rPr>
        <w:t xml:space="preserve"> Así, “</w:t>
      </w:r>
      <w:r w:rsidRPr="001E45DA">
        <w:rPr>
          <w:rStyle w:val="nfasis"/>
          <w:rFonts w:ascii="Times New Roman" w:hAnsi="Times New Roman"/>
          <w:i w:val="0"/>
          <w:sz w:val="24"/>
          <w:szCs w:val="24"/>
        </w:rPr>
        <w:t xml:space="preserve">atendiendo a estas diferencias de estilo, </w:t>
      </w:r>
      <w:r w:rsidRPr="001E45DA">
        <w:rPr>
          <w:rStyle w:val="nfasis"/>
          <w:rFonts w:ascii="Times New Roman" w:hAnsi="Times New Roman"/>
          <w:i w:val="0"/>
          <w:color w:val="FF0000"/>
          <w:sz w:val="24"/>
          <w:szCs w:val="24"/>
          <w:u w:val="single"/>
        </w:rPr>
        <w:t>la medida apropiada es el gasto per cápita en asistencia social, tanto público como privado</w:t>
      </w:r>
      <w:r w:rsidRPr="001E45DA">
        <w:rPr>
          <w:rStyle w:val="nfasis"/>
          <w:rFonts w:ascii="Times New Roman" w:hAnsi="Times New Roman"/>
          <w:i w:val="0"/>
          <w:sz w:val="24"/>
          <w:szCs w:val="24"/>
        </w:rPr>
        <w:t>. Según este indicador, EEUU lidera esta partida con 7.800 dólares, seguidos de Suecia (6.700), Dinamarca (5.800) y Finlandi</w:t>
      </w:r>
      <w:r w:rsidR="00A13856">
        <w:rPr>
          <w:rStyle w:val="nfasis"/>
          <w:rFonts w:ascii="Times New Roman" w:hAnsi="Times New Roman"/>
          <w:i w:val="0"/>
          <w:sz w:val="24"/>
          <w:szCs w:val="24"/>
        </w:rPr>
        <w:t xml:space="preserve">a (4.900). </w:t>
      </w:r>
      <w:r w:rsidRPr="001E45DA">
        <w:rPr>
          <w:rStyle w:val="nfasis"/>
          <w:rFonts w:ascii="Times New Roman" w:hAnsi="Times New Roman"/>
          <w:i w:val="0"/>
          <w:sz w:val="24"/>
          <w:szCs w:val="24"/>
        </w:rPr>
        <w:t>El resultado sorprendente es que las cantidades gastadas por persona no</w:t>
      </w:r>
      <w:r w:rsidR="004108D7">
        <w:rPr>
          <w:rStyle w:val="nfasis"/>
          <w:rFonts w:ascii="Times New Roman" w:hAnsi="Times New Roman"/>
          <w:i w:val="0"/>
          <w:sz w:val="24"/>
          <w:szCs w:val="24"/>
        </w:rPr>
        <w:t xml:space="preserve"> son en realidad tan diferentes”</w:t>
      </w:r>
      <w:r w:rsidRPr="001E45DA">
        <w:rPr>
          <w:rStyle w:val="nfasis"/>
          <w:rFonts w:ascii="Times New Roman" w:hAnsi="Times New Roman"/>
          <w:i w:val="0"/>
          <w:sz w:val="24"/>
          <w:szCs w:val="24"/>
        </w:rPr>
        <w:t xml:space="preserve">, concluye Fishback. </w:t>
      </w:r>
    </w:p>
    <w:p w:rsidR="00A51545" w:rsidRPr="001E45DA" w:rsidRDefault="00A51545" w:rsidP="00550638">
      <w:pPr>
        <w:spacing w:after="15" w:line="240" w:lineRule="auto"/>
        <w:jc w:val="both"/>
        <w:rPr>
          <w:rStyle w:val="nfasis"/>
          <w:rFonts w:ascii="Times New Roman" w:hAnsi="Times New Roman"/>
          <w:i w:val="0"/>
          <w:sz w:val="24"/>
          <w:szCs w:val="24"/>
        </w:rPr>
      </w:pPr>
    </w:p>
    <w:p w:rsidR="00A51545" w:rsidRPr="001E45DA" w:rsidRDefault="00A51545" w:rsidP="00550638">
      <w:pPr>
        <w:spacing w:after="15" w:line="240" w:lineRule="auto"/>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La segunda gran falacia del argumento socialdemócrata es suponer a priori que los programas redistribucionistas aseguran una reducción de la pobreza sustancial y sostenida en el tiempo. Las cosas, sin embargo, son más complicadas, dado que este tipo de programas suelen tener un efecto perverso sobre los incentivos al trabajo de los pobres. Si el Gobierno asegura programas de ayuda social para las personas que no alcanzan un determinado nivel de ingresos, existe un fuerte incentivo a no trabajar duro para tratar de superar tal umbral.</w:t>
      </w:r>
    </w:p>
    <w:p w:rsidR="00A51545" w:rsidRPr="001E45DA" w:rsidRDefault="00A51545" w:rsidP="00550638">
      <w:pPr>
        <w:spacing w:after="15" w:line="240" w:lineRule="auto"/>
        <w:jc w:val="both"/>
        <w:rPr>
          <w:rStyle w:val="nfasis"/>
          <w:rFonts w:ascii="Times New Roman" w:hAnsi="Times New Roman"/>
          <w:i w:val="0"/>
          <w:sz w:val="24"/>
          <w:szCs w:val="24"/>
        </w:rPr>
      </w:pPr>
    </w:p>
    <w:p w:rsidR="00A51545" w:rsidRPr="001E45DA" w:rsidRDefault="00A51545" w:rsidP="00550638">
      <w:pPr>
        <w:spacing w:after="15" w:line="240" w:lineRule="auto"/>
        <w:jc w:val="both"/>
        <w:rPr>
          <w:rStyle w:val="nfasis"/>
          <w:rFonts w:ascii="Times New Roman" w:hAnsi="Times New Roman"/>
          <w:i w:val="0"/>
          <w:sz w:val="24"/>
          <w:szCs w:val="24"/>
          <w:u w:val="single"/>
        </w:rPr>
      </w:pPr>
      <w:r w:rsidRPr="001E45DA">
        <w:rPr>
          <w:rStyle w:val="nfasis"/>
          <w:rFonts w:ascii="Times New Roman" w:hAnsi="Times New Roman"/>
          <w:i w:val="0"/>
          <w:sz w:val="24"/>
          <w:szCs w:val="24"/>
        </w:rPr>
        <w:t xml:space="preserve">Este efecto se ha observado a lo largo de la historia reciente de Estados Unidos, en particular, tras las medidas del presidente Lyndon Johnson a mediados de los 60, en lo que se conoce como la Guerra contra la Pobreza. Como señala el economista Lowell Gallaway, </w:t>
      </w:r>
      <w:r w:rsidRPr="001E45DA">
        <w:rPr>
          <w:rStyle w:val="nfasis"/>
          <w:rFonts w:ascii="Times New Roman" w:hAnsi="Times New Roman"/>
          <w:i w:val="0"/>
          <w:sz w:val="24"/>
          <w:szCs w:val="24"/>
          <w:u w:val="single"/>
        </w:rPr>
        <w:t>a medida que el volumen de fondos destinados a gasto social aumentó tras 1966 la tasa de pobreza comenzó a desacelerar su reducción, luego se paró, y más tarde empezó a incrementarse, tal y como muestra este gráfico.</w:t>
      </w:r>
    </w:p>
    <w:p w:rsidR="00A51545" w:rsidRPr="001E45DA" w:rsidRDefault="00A51545" w:rsidP="00550638">
      <w:pPr>
        <w:spacing w:after="15" w:line="240" w:lineRule="auto"/>
        <w:jc w:val="both"/>
        <w:rPr>
          <w:rStyle w:val="nfasis"/>
          <w:rFonts w:ascii="Times New Roman" w:hAnsi="Times New Roman"/>
          <w:i w:val="0"/>
          <w:sz w:val="24"/>
          <w:szCs w:val="24"/>
          <w:u w:val="single"/>
        </w:rPr>
      </w:pP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noProof/>
          <w:lang w:eastAsia="es-ES"/>
        </w:rPr>
        <w:drawing>
          <wp:inline distT="0" distB="0" distL="0" distR="0" wp14:anchorId="7BDE2ACA" wp14:editId="151C7C6C">
            <wp:extent cx="5676900" cy="3335655"/>
            <wp:effectExtent l="0" t="0" r="0" b="0"/>
            <wp:docPr id="511" name="Imagen 511" descr="pobreeu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pobreeu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76900" cy="3335655"/>
                    </a:xfrm>
                    <a:prstGeom prst="rect">
                      <a:avLst/>
                    </a:prstGeom>
                    <a:noFill/>
                    <a:ln>
                      <a:noFill/>
                    </a:ln>
                  </pic:spPr>
                </pic:pic>
              </a:graphicData>
            </a:graphic>
          </wp:inline>
        </w:drawing>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 xml:space="preserve">El tercer punto que suele pasar desapercibido tiene que ver con la medición de la tasa de pobreza. Es decir, el umbral de renta por debajo del cual las personas son consideradas </w:t>
      </w:r>
      <w:r w:rsidRPr="001E45DA">
        <w:rPr>
          <w:rStyle w:val="nfasis"/>
          <w:rFonts w:ascii="Times New Roman" w:hAnsi="Times New Roman"/>
          <w:i w:val="0"/>
          <w:sz w:val="24"/>
          <w:szCs w:val="24"/>
          <w:u w:val="single"/>
        </w:rPr>
        <w:lastRenderedPageBreak/>
        <w:t>pobres. Como se suele decir en inglés, the devil is in the details (el diablo está en los detalles), lo cual es totalmente aplicable a la interpretación de datos y estadísticas.</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u w:val="single"/>
        </w:rPr>
        <w:t>Tal y como se señaló al principio, el número de personas que viven por debajo de la línea de pobreza en 2010 es el más alto en los 52 años de historia de este tipo de estimaciones en EEUU</w:t>
      </w:r>
      <w:r w:rsidRPr="001E45DA">
        <w:rPr>
          <w:rStyle w:val="nfasis"/>
          <w:rFonts w:ascii="Times New Roman" w:hAnsi="Times New Roman"/>
          <w:i w:val="0"/>
          <w:sz w:val="24"/>
          <w:szCs w:val="24"/>
        </w:rPr>
        <w:t>. Pero este dato tiene truco. Por un lado, la línea de pobreza aumenta conforme crece la renta media, con lo que un pobre en el año 2000 podría seguir siéndolo aunque su renta hubiera aumentado considerablemente -al mismo ritmo que el de la renta media-. Así, la pobreza se mide como un concepto relativo y, por ello, hay que tener cuidado con las interpretaciones.</w:t>
      </w:r>
    </w:p>
    <w:p w:rsidR="00A51545" w:rsidRPr="001E45DA" w:rsidRDefault="00A51545" w:rsidP="00550638">
      <w:pPr>
        <w:spacing w:after="15" w:line="240" w:lineRule="auto"/>
        <w:jc w:val="both"/>
        <w:rPr>
          <w:rStyle w:val="nfasis"/>
          <w:rFonts w:ascii="Times New Roman" w:hAnsi="Times New Roman"/>
          <w:i w:val="0"/>
          <w:sz w:val="24"/>
          <w:szCs w:val="24"/>
        </w:rPr>
      </w:pP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La Oficina del Censo norteamericano tiene 48 líneas de pobreza distintas que se aplican dependiendo del tamaño de la familia o el número de hijos menores de 18 años. En el siguiente gráfico mostramos la evolución de una de estas líneas de pobreza para una familia de 4 personas. Así, toda familia que reciba ingresos por debajo</w:t>
      </w:r>
      <w:r w:rsidR="0099218F">
        <w:rPr>
          <w:rStyle w:val="nfasis"/>
          <w:rFonts w:ascii="Times New Roman" w:hAnsi="Times New Roman"/>
          <w:i w:val="0"/>
          <w:sz w:val="24"/>
          <w:szCs w:val="24"/>
        </w:rPr>
        <w:t xml:space="preserve"> de esa línea será considerada “pobre”</w:t>
      </w:r>
      <w:r w:rsidRPr="001E45DA">
        <w:rPr>
          <w:rStyle w:val="nfasis"/>
          <w:rFonts w:ascii="Times New Roman" w:hAnsi="Times New Roman"/>
          <w:i w:val="0"/>
          <w:sz w:val="24"/>
          <w:szCs w:val="24"/>
        </w:rPr>
        <w:t>. Pero, como es obvio, una familia pobre (en términos oficiales) en 2010 puede vivir realmente mucho mejor de lo que vivía una familia igualmente pobre en 1960 -estos ingresos están ajustados a términos reales, descontando la inflación-.</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noProof/>
          <w:lang w:eastAsia="es-ES"/>
        </w:rPr>
        <w:drawing>
          <wp:inline distT="0" distB="0" distL="0" distR="0" wp14:anchorId="00DE0A96" wp14:editId="6148DDAE">
            <wp:extent cx="5683885" cy="3116580"/>
            <wp:effectExtent l="0" t="0" r="0" b="7620"/>
            <wp:docPr id="75" name="Imagen 75" descr="pobreeu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pobreeu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83885" cy="3116580"/>
                    </a:xfrm>
                    <a:prstGeom prst="rect">
                      <a:avLst/>
                    </a:prstGeom>
                    <a:noFill/>
                    <a:ln>
                      <a:noFill/>
                    </a:ln>
                  </pic:spPr>
                </pic:pic>
              </a:graphicData>
            </a:graphic>
          </wp:inline>
        </w:drawing>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u w:val="single"/>
        </w:rPr>
      </w:pPr>
      <w:r w:rsidRPr="001E45DA">
        <w:rPr>
          <w:rStyle w:val="nfasis"/>
          <w:rFonts w:ascii="Times New Roman" w:hAnsi="Times New Roman"/>
          <w:i w:val="0"/>
          <w:sz w:val="24"/>
          <w:szCs w:val="24"/>
          <w:u w:val="single"/>
        </w:rPr>
        <w:t xml:space="preserve">Hay otro elemento que distorsiona el concepto de pobreza en Estados Unidos, y es el hecho de que al medir los ingresos de las familias no se incluyen las prestaciones sociales no monetarias, como los cupones para alimentos, la vivienda pública o el programa gubernamental de asistencia sanitaria para los pobres (Medicaid). Si tales ayudas (ingresos) se tuvieran en cuenta la tasa oficial de pobreza disminuiría sensiblemente. Como se afirma en una columna de </w:t>
      </w:r>
      <w:r w:rsidRPr="00FE0B5E">
        <w:rPr>
          <w:rStyle w:val="nfasis"/>
          <w:rFonts w:ascii="Times New Roman" w:hAnsi="Times New Roman"/>
          <w:sz w:val="24"/>
          <w:szCs w:val="24"/>
          <w:u w:val="single"/>
        </w:rPr>
        <w:t>Fo</w:t>
      </w:r>
      <w:r w:rsidR="00981E45" w:rsidRPr="00FE0B5E">
        <w:rPr>
          <w:rStyle w:val="nfasis"/>
          <w:rFonts w:ascii="Times New Roman" w:hAnsi="Times New Roman"/>
          <w:sz w:val="24"/>
          <w:szCs w:val="24"/>
          <w:u w:val="single"/>
        </w:rPr>
        <w:t>rbes</w:t>
      </w:r>
      <w:r w:rsidR="00981E45">
        <w:rPr>
          <w:rStyle w:val="nfasis"/>
          <w:rFonts w:ascii="Times New Roman" w:hAnsi="Times New Roman"/>
          <w:i w:val="0"/>
          <w:sz w:val="24"/>
          <w:szCs w:val="24"/>
          <w:u w:val="single"/>
        </w:rPr>
        <w:t>, en la definición oficial “</w:t>
      </w:r>
      <w:r w:rsidRPr="001E45DA">
        <w:rPr>
          <w:rStyle w:val="nfasis"/>
          <w:rFonts w:ascii="Times New Roman" w:hAnsi="Times New Roman"/>
          <w:i w:val="0"/>
          <w:sz w:val="24"/>
          <w:szCs w:val="24"/>
          <w:u w:val="single"/>
        </w:rPr>
        <w:t>no se cuentan aquéllos que viven en condiciones de pobreza después de haber sido ayudados; sólo se contabilizan los pobr</w:t>
      </w:r>
      <w:r w:rsidR="00981E45">
        <w:rPr>
          <w:rStyle w:val="nfasis"/>
          <w:rFonts w:ascii="Times New Roman" w:hAnsi="Times New Roman"/>
          <w:i w:val="0"/>
          <w:sz w:val="24"/>
          <w:szCs w:val="24"/>
          <w:u w:val="single"/>
        </w:rPr>
        <w:t>es antes de haber sido ayudados”</w:t>
      </w:r>
      <w:r w:rsidRPr="001E45DA">
        <w:rPr>
          <w:rStyle w:val="nfasis"/>
          <w:rFonts w:ascii="Times New Roman" w:hAnsi="Times New Roman"/>
          <w:i w:val="0"/>
          <w:sz w:val="24"/>
          <w:szCs w:val="24"/>
          <w:u w:val="single"/>
        </w:rPr>
        <w:t>.</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 xml:space="preserve"> </w:t>
      </w:r>
    </w:p>
    <w:p w:rsidR="00A51545" w:rsidRPr="001E45DA" w:rsidRDefault="00A51545" w:rsidP="00550638">
      <w:pPr>
        <w:spacing w:after="15" w:line="240" w:lineRule="auto"/>
        <w:jc w:val="both"/>
        <w:rPr>
          <w:rStyle w:val="nfasis"/>
          <w:rFonts w:ascii="Times New Roman" w:hAnsi="Times New Roman"/>
          <w:i w:val="0"/>
          <w:sz w:val="24"/>
          <w:szCs w:val="24"/>
        </w:rPr>
      </w:pPr>
      <w:r w:rsidRPr="001E45DA">
        <w:rPr>
          <w:rStyle w:val="nfasis"/>
          <w:rFonts w:ascii="Times New Roman" w:hAnsi="Times New Roman"/>
          <w:i w:val="0"/>
          <w:sz w:val="24"/>
          <w:szCs w:val="24"/>
        </w:rPr>
        <w:t>Por último, dado que el concepto de pobreza se mide en términos relativos, un pobre en Estados Unidos tiene poco que ver con un pobre en un país menos rico como, por ejemplo, España. Así, tal y como sostenía</w:t>
      </w:r>
      <w:r w:rsidR="004108D7">
        <w:rPr>
          <w:rStyle w:val="nfasis"/>
          <w:rFonts w:ascii="Times New Roman" w:hAnsi="Times New Roman"/>
          <w:i w:val="0"/>
          <w:sz w:val="24"/>
          <w:szCs w:val="24"/>
        </w:rPr>
        <w:t xml:space="preserve"> José Carlos Rodríguez, “</w:t>
      </w:r>
      <w:r w:rsidRPr="001E45DA">
        <w:rPr>
          <w:rStyle w:val="nfasis"/>
          <w:rFonts w:ascii="Times New Roman" w:hAnsi="Times New Roman"/>
          <w:i w:val="0"/>
          <w:sz w:val="24"/>
          <w:szCs w:val="24"/>
        </w:rPr>
        <w:t>un mileurista español entraría e</w:t>
      </w:r>
      <w:r w:rsidR="004108D7">
        <w:rPr>
          <w:rStyle w:val="nfasis"/>
          <w:rFonts w:ascii="Times New Roman" w:hAnsi="Times New Roman"/>
          <w:i w:val="0"/>
          <w:sz w:val="24"/>
          <w:szCs w:val="24"/>
        </w:rPr>
        <w:t>n la categoría de pobre en EEUU”</w:t>
      </w:r>
      <w:r w:rsidRPr="001E45DA">
        <w:rPr>
          <w:rStyle w:val="nfasis"/>
          <w:rFonts w:ascii="Times New Roman" w:hAnsi="Times New Roman"/>
          <w:i w:val="0"/>
          <w:sz w:val="24"/>
          <w:szCs w:val="24"/>
        </w:rPr>
        <w:t>.</w:t>
      </w:r>
    </w:p>
    <w:p w:rsidR="00A51545" w:rsidRPr="001E45DA" w:rsidRDefault="00A51545" w:rsidP="00550638">
      <w:pPr>
        <w:spacing w:after="15" w:line="240" w:lineRule="auto"/>
        <w:jc w:val="both"/>
        <w:rPr>
          <w:rStyle w:val="nfasis"/>
          <w:rFonts w:ascii="Times New Roman" w:hAnsi="Times New Roman"/>
          <w:i w:val="0"/>
          <w:sz w:val="24"/>
          <w:szCs w:val="24"/>
        </w:rPr>
      </w:pPr>
    </w:p>
    <w:p w:rsidR="00A51545" w:rsidRDefault="004108D7" w:rsidP="00550638">
      <w:pPr>
        <w:spacing w:after="15" w:line="240" w:lineRule="auto"/>
        <w:jc w:val="both"/>
        <w:rPr>
          <w:rStyle w:val="nfasis"/>
          <w:rFonts w:ascii="Times New Roman" w:hAnsi="Times New Roman"/>
          <w:i w:val="0"/>
          <w:sz w:val="24"/>
          <w:szCs w:val="24"/>
          <w:u w:val="single"/>
        </w:rPr>
      </w:pPr>
      <w:r>
        <w:rPr>
          <w:rStyle w:val="nfasis"/>
          <w:rFonts w:ascii="Times New Roman" w:hAnsi="Times New Roman"/>
          <w:i w:val="0"/>
          <w:sz w:val="24"/>
          <w:szCs w:val="24"/>
        </w:rPr>
        <w:t>Y es que, las familias “pobres”</w:t>
      </w:r>
      <w:r w:rsidR="00A51545" w:rsidRPr="001E45DA">
        <w:rPr>
          <w:rStyle w:val="nfasis"/>
          <w:rFonts w:ascii="Times New Roman" w:hAnsi="Times New Roman"/>
          <w:i w:val="0"/>
          <w:sz w:val="24"/>
          <w:szCs w:val="24"/>
        </w:rPr>
        <w:t xml:space="preserve"> de EEUU pueden adquirir bienes que en otros países tan sólo están al alcance de la clase media. </w:t>
      </w:r>
      <w:r w:rsidR="00A51545" w:rsidRPr="001E45DA">
        <w:rPr>
          <w:rStyle w:val="nfasis"/>
          <w:rFonts w:ascii="Times New Roman" w:hAnsi="Times New Roman"/>
          <w:i w:val="0"/>
          <w:sz w:val="24"/>
          <w:szCs w:val="24"/>
          <w:u w:val="single"/>
        </w:rPr>
        <w:t xml:space="preserve">En un reciente </w:t>
      </w:r>
      <w:r w:rsidR="00A51545" w:rsidRPr="001E45DA">
        <w:rPr>
          <w:rStyle w:val="nfasis"/>
          <w:rFonts w:ascii="Times New Roman" w:hAnsi="Times New Roman"/>
          <w:i w:val="0"/>
          <w:color w:val="FF0000"/>
          <w:sz w:val="24"/>
          <w:szCs w:val="24"/>
          <w:u w:val="single"/>
        </w:rPr>
        <w:t>informe de la Fundación Heritage</w:t>
      </w:r>
      <w:r w:rsidR="00A51545" w:rsidRPr="001E45DA">
        <w:rPr>
          <w:rStyle w:val="nfasis"/>
          <w:rFonts w:ascii="Times New Roman" w:hAnsi="Times New Roman"/>
          <w:i w:val="0"/>
          <w:sz w:val="24"/>
          <w:szCs w:val="24"/>
          <w:u w:val="single"/>
        </w:rPr>
        <w:t xml:space="preserve"> se apuntaban algunas características al respecto: una familia pobre en EEUU suele tener de media un coche, aire acondicionado, dos televisiones a color, todo el material imprescindible para la cocina, una casa en buen estado con más espacio que la típica europea, no sufren hambre, pueden acceder a asistencia médica cuando es necesario y suelen tener suficientes fondos para cubrir las necesidades esenciales.</w:t>
      </w:r>
    </w:p>
    <w:p w:rsidR="004108D7" w:rsidRPr="001E45DA" w:rsidRDefault="004108D7" w:rsidP="00550638">
      <w:pPr>
        <w:spacing w:after="15" w:line="240" w:lineRule="auto"/>
        <w:jc w:val="both"/>
        <w:rPr>
          <w:rStyle w:val="nfasis"/>
          <w:rFonts w:ascii="Times New Roman" w:hAnsi="Times New Roman"/>
          <w:i w:val="0"/>
          <w:sz w:val="24"/>
          <w:szCs w:val="24"/>
          <w:u w:val="single"/>
        </w:rPr>
      </w:pPr>
    </w:p>
    <w:p w:rsidR="00A51545" w:rsidRDefault="00A51545" w:rsidP="00550638">
      <w:pPr>
        <w:pStyle w:val="figcaption"/>
        <w:jc w:val="both"/>
      </w:pPr>
      <w:r>
        <w:t xml:space="preserve">- </w:t>
      </w:r>
      <w:r w:rsidRPr="00234976">
        <w:rPr>
          <w:u w:val="single"/>
        </w:rPr>
        <w:t>¿Quién es el culpable del exceso de deuda privada?</w:t>
      </w:r>
      <w:r>
        <w:t xml:space="preserve"> (Libertad Digital - </w:t>
      </w:r>
      <w:r w:rsidRPr="005F075A">
        <w:rPr>
          <w:b/>
        </w:rPr>
        <w:t>18/11/11</w:t>
      </w:r>
      <w:r>
        <w:t>)</w:t>
      </w:r>
    </w:p>
    <w:p w:rsidR="00A51545" w:rsidRDefault="00A51545" w:rsidP="00550638">
      <w:pPr>
        <w:pStyle w:val="figcaption"/>
        <w:jc w:val="both"/>
      </w:pPr>
    </w:p>
    <w:p w:rsidR="00A51545" w:rsidRDefault="00A51545" w:rsidP="00550638">
      <w:pPr>
        <w:pStyle w:val="figcaption"/>
        <w:jc w:val="both"/>
      </w:pPr>
      <w:r>
        <w:t>(Por Juan Ramón Rallo)</w:t>
      </w:r>
    </w:p>
    <w:p w:rsidR="00A51545" w:rsidRDefault="00A51545" w:rsidP="00550638">
      <w:pPr>
        <w:pStyle w:val="figcaption"/>
        <w:jc w:val="both"/>
      </w:pPr>
    </w:p>
    <w:p w:rsidR="00A51545" w:rsidRPr="00A437B5" w:rsidRDefault="00A51545" w:rsidP="00550638">
      <w:pPr>
        <w:pStyle w:val="figcaption"/>
        <w:jc w:val="both"/>
        <w:rPr>
          <w:color w:val="FF0000"/>
          <w:u w:val="single"/>
        </w:rPr>
      </w:pPr>
      <w:r w:rsidRPr="00A437B5">
        <w:rPr>
          <w:color w:val="FF0000"/>
          <w:u w:val="single"/>
        </w:rPr>
        <w:t>¿Quién es, en suma, el culpable del perverso sistema en qué vivimos? Desde luego, el intervencionismo monetario y financiero del Estado.</w:t>
      </w:r>
    </w:p>
    <w:p w:rsidR="00A51545" w:rsidRDefault="00A51545" w:rsidP="00550638">
      <w:pPr>
        <w:pStyle w:val="figcaption"/>
        <w:jc w:val="both"/>
      </w:pPr>
    </w:p>
    <w:p w:rsidR="00A51545" w:rsidRPr="00A437B5" w:rsidRDefault="00A51545" w:rsidP="00550638">
      <w:pPr>
        <w:pStyle w:val="figcaption"/>
        <w:jc w:val="both"/>
        <w:rPr>
          <w:u w:val="single"/>
        </w:rPr>
      </w:pPr>
      <w:r w:rsidRPr="00A437B5">
        <w:rPr>
          <w:u w:val="single"/>
        </w:rPr>
        <w:t>Cuando los liberales afirmamos que la actual crisis es consecuencia del intervencionismo estatal se nos suele replicar que</w:t>
      </w:r>
      <w:r>
        <w:t xml:space="preserve"> en algunos países como España el problema no viene tanto por el </w:t>
      </w:r>
      <w:r w:rsidR="00811537">
        <w:t>volumen de deuda pública -</w:t>
      </w:r>
      <w:r>
        <w:t>relativamente bajo para</w:t>
      </w:r>
      <w:r w:rsidR="00811537">
        <w:t xml:space="preserve"> los estándares internacionales-</w:t>
      </w:r>
      <w:r>
        <w:t xml:space="preserve"> sino por el de deuda privada, es decir, por la deuda que libremente han contraído familias, empresas y bancos en un mercado desregulado. Por consiguiente, se concluye, </w:t>
      </w:r>
      <w:r w:rsidRPr="00A437B5">
        <w:rPr>
          <w:u w:val="single"/>
        </w:rPr>
        <w:t>no ha sido el sector público quien ha ocasionado los desbarajustes actuales, sino el privado: el neoliberalismo salvaje desbocado que no hizo sino multiplicar las deudas por el afán especulador y la visión extremadamente cortoplacista de los seres humanos.</w:t>
      </w:r>
    </w:p>
    <w:p w:rsidR="00A51545" w:rsidRPr="00A437B5" w:rsidRDefault="00A51545" w:rsidP="00550638">
      <w:pPr>
        <w:pStyle w:val="figcaption"/>
        <w:jc w:val="both"/>
        <w:rPr>
          <w:u w:val="single"/>
        </w:rPr>
      </w:pPr>
    </w:p>
    <w:p w:rsidR="00A51545" w:rsidRPr="00A437B5" w:rsidRDefault="00A51545" w:rsidP="00550638">
      <w:pPr>
        <w:pStyle w:val="figcaption"/>
        <w:jc w:val="both"/>
        <w:rPr>
          <w:color w:val="FF0000"/>
          <w:u w:val="single"/>
        </w:rPr>
      </w:pPr>
      <w:r w:rsidRPr="00A437B5">
        <w:rPr>
          <w:u w:val="single"/>
        </w:rPr>
        <w:t>No es momento de analizar aquí si la austeridad que presuntamente practicaron muchos Estados como el español durante la época del boom fue real o más bien un mero espejismo contable derivado de que sus ingresos crecieron muchísimo al socaire de la burbuja crediticia</w:t>
      </w:r>
      <w:r>
        <w:t xml:space="preserve">. </w:t>
      </w:r>
      <w:r w:rsidRPr="00A437B5">
        <w:rPr>
          <w:color w:val="FF0000"/>
          <w:u w:val="single"/>
        </w:rPr>
        <w:t>Mi objetivo es más limitado: explicar por qué el sector privado no habría sido capaz de endeudarse de una manera tan desorbitada sin el concurso imprescindible del Estado.</w:t>
      </w:r>
    </w:p>
    <w:p w:rsidR="00A51545" w:rsidRDefault="00A51545" w:rsidP="00550638">
      <w:pPr>
        <w:pStyle w:val="figcaption"/>
        <w:jc w:val="both"/>
      </w:pPr>
    </w:p>
    <w:p w:rsidR="00A51545" w:rsidRPr="00A437B5" w:rsidRDefault="00A51545" w:rsidP="00550638">
      <w:pPr>
        <w:pStyle w:val="figcaption"/>
        <w:jc w:val="both"/>
        <w:rPr>
          <w:u w:val="single"/>
        </w:rPr>
      </w:pPr>
      <w:r>
        <w:t xml:space="preserve"> El volumen de deuda de toda sociedad depende de dos factores: la oferta y la demanda de crédito. A su vez, la oferta depende fundamentalmente del volumen de ahorros disponible en una parte de esa sociedad (de cuánto tiempo está dispuesta a esperar cada persona para consumir) y la demanda de cuánto desea gastar por encima de su renta la sociedad. </w:t>
      </w:r>
      <w:r w:rsidRPr="00A437B5">
        <w:rPr>
          <w:u w:val="single"/>
        </w:rPr>
        <w:t>Es decir, los ahorradores difieren la satisfacción de sus necesidades para que otros puedan adelantarla: unos gastan de menos para que otros gasten de más.</w:t>
      </w:r>
    </w:p>
    <w:p w:rsidR="00A51545" w:rsidRPr="00A437B5" w:rsidRDefault="00A51545" w:rsidP="00550638">
      <w:pPr>
        <w:pStyle w:val="figcaption"/>
        <w:jc w:val="both"/>
        <w:rPr>
          <w:u w:val="single"/>
        </w:rPr>
      </w:pPr>
    </w:p>
    <w:p w:rsidR="00A51545" w:rsidRPr="00A437B5" w:rsidRDefault="00A51545" w:rsidP="00550638">
      <w:pPr>
        <w:pStyle w:val="figcaption"/>
        <w:jc w:val="both"/>
        <w:rPr>
          <w:u w:val="single"/>
        </w:rPr>
      </w:pPr>
      <w:r w:rsidRPr="00A437B5">
        <w:rPr>
          <w:u w:val="single"/>
        </w:rPr>
        <w:t xml:space="preserve"> ¿Y cómo se coordina la demanda y la oferta de crédito? Fundamentalmente a través de los tipos de interés: a saber, el precio que deben pagar los demandantes de crédito por adelantar su gasto y el que reciben los oferentes para compensarles por el retraso</w:t>
      </w:r>
      <w:r>
        <w:t xml:space="preserve">. Por un lado, si el ahorro aumenta, esto es, si hay más gente dispuesta a diferir sus necesidades durante más tiempo, la oferta de crédito crecerá y los tipos de interés bajarán (y lo contrario si el ahorro se reduce). Por otro, </w:t>
      </w:r>
      <w:r w:rsidRPr="00A437B5">
        <w:rPr>
          <w:u w:val="single"/>
        </w:rPr>
        <w:t>si la demanda de crédito aumenta, como habrá más gente compitiendo por un volumen dado de ahorros, los tipos de interés se incrementarán, y aquellos que valoren en menor medida anticipar su gasto futuro, se quedarán sin crédito.</w:t>
      </w:r>
    </w:p>
    <w:p w:rsidR="00A51545" w:rsidRDefault="00A51545" w:rsidP="00550638">
      <w:pPr>
        <w:pStyle w:val="figcaption"/>
        <w:jc w:val="both"/>
      </w:pPr>
      <w:r>
        <w:t xml:space="preserve"> </w:t>
      </w:r>
    </w:p>
    <w:p w:rsidR="00A51545" w:rsidRPr="00A437B5" w:rsidRDefault="00A51545" w:rsidP="00550638">
      <w:pPr>
        <w:pStyle w:val="figcaption"/>
        <w:jc w:val="both"/>
        <w:rPr>
          <w:color w:val="FF0000"/>
          <w:u w:val="single"/>
        </w:rPr>
      </w:pPr>
      <w:r w:rsidRPr="00A437B5">
        <w:rPr>
          <w:u w:val="single"/>
        </w:rPr>
        <w:lastRenderedPageBreak/>
        <w:t>Los tipos de interés son un elemento fundamental en nuestras economías, en tanto en cuanto permiten la coordinación de las personas a lo largo del tiempo: si uno gasta más de lo que ha producido o va a producir durante un período de tiempo es porque otro gasta menos de lo que ha producido o va a producir.</w:t>
      </w:r>
      <w:r>
        <w:t xml:space="preserve"> </w:t>
      </w:r>
      <w:r w:rsidRPr="00A437B5">
        <w:rPr>
          <w:u w:val="single"/>
        </w:rPr>
        <w:t>Pero los tipos de interés libremente establecidos no sólo facilitan la coordinación entre los agentes, sino que imponen un límite muy severo al endeudamiento: sólo se puede conceder como crédito aquello que se haya previamente ahorrado.</w:t>
      </w:r>
      <w:r>
        <w:t xml:space="preserve"> </w:t>
      </w:r>
      <w:r w:rsidRPr="00A437B5">
        <w:rPr>
          <w:color w:val="FF0000"/>
          <w:u w:val="single"/>
        </w:rPr>
        <w:t>Ya vimos que los aumentos de la demanda de crédito son en gran parte esterilizados por subidas del tipo de interés, por lo que resulta harto complicado que las burbujas financieras basadas en el aumento continuado del crédito puedan mantenerse por mucho tiempo: si la demanda de deuda se incrementa exponencialmente, los tipos de interés también lo harán, lo que secará la demanda.</w:t>
      </w:r>
    </w:p>
    <w:p w:rsidR="00A51545" w:rsidRDefault="00A51545" w:rsidP="00550638">
      <w:pPr>
        <w:pStyle w:val="figcaption"/>
        <w:jc w:val="both"/>
      </w:pPr>
      <w:r>
        <w:t xml:space="preserve"> </w:t>
      </w:r>
    </w:p>
    <w:p w:rsidR="00A51545" w:rsidRDefault="00A51545" w:rsidP="00550638">
      <w:pPr>
        <w:pStyle w:val="figcaption"/>
        <w:jc w:val="both"/>
      </w:pPr>
      <w:r w:rsidRPr="00A437B5">
        <w:rPr>
          <w:color w:val="FF0000"/>
          <w:u w:val="single"/>
        </w:rPr>
        <w:t>Pero, ¿qué sucede en nuestros sistemas financieros modernos? Pues que los bancos gozan de una serie de privilegios concedidos por el sector público por los que son capaces de incrementar la oferta de crédito muy por encima del nivel de ahorro disponible</w:t>
      </w:r>
      <w:r>
        <w:t xml:space="preserve">. </w:t>
      </w:r>
      <w:r w:rsidRPr="00A437B5">
        <w:rPr>
          <w:color w:val="FF0000"/>
          <w:u w:val="single"/>
        </w:rPr>
        <w:t>Básicamente: los bancos pueden asumir nuevas deudas y refinanciarlas continuamente en el banco central a los tipos de interés artificialmente bajos que éste establezca; y, a su vez, este banco central no tiene límite alguno a la hora de refinanciar las deudas de la banca porque no ha de convertir sus propias deudas en oro (o en otro dinero líquido que no genere él mismo).</w:t>
      </w:r>
      <w:r>
        <w:t xml:space="preserve"> </w:t>
      </w:r>
      <w:r w:rsidRPr="00A437B5">
        <w:rPr>
          <w:color w:val="FF0000"/>
          <w:u w:val="single"/>
        </w:rPr>
        <w:t>Es decir, el sistema financiero se construye sobre una pirámide de apalancamiento: con tal de aumentar la oferta de crédito a los particulares, los bancos privados asumen nuevas deudas que no pueden pagar y el banco central refinancia esas deudas asumiendo, a su vez, nuevas deudas que no tiene la obligación de pagar de ninguna manera (de hecho, las deudas del banco central es lo que se utili</w:t>
      </w:r>
      <w:r w:rsidR="00805443">
        <w:rPr>
          <w:color w:val="FF0000"/>
          <w:u w:val="single"/>
        </w:rPr>
        <w:t>za en nuestras sociedades como “dinero de curso legal”</w:t>
      </w:r>
      <w:r w:rsidRPr="00A437B5">
        <w:rPr>
          <w:color w:val="FF0000"/>
          <w:u w:val="single"/>
        </w:rPr>
        <w:t>).</w:t>
      </w:r>
    </w:p>
    <w:p w:rsidR="00A51545" w:rsidRDefault="00A51545" w:rsidP="00550638">
      <w:pPr>
        <w:pStyle w:val="figcaption"/>
        <w:jc w:val="both"/>
      </w:pPr>
      <w:r>
        <w:t xml:space="preserve"> </w:t>
      </w:r>
    </w:p>
    <w:p w:rsidR="00A51545" w:rsidRPr="00A437B5" w:rsidRDefault="00A51545" w:rsidP="00550638">
      <w:pPr>
        <w:pStyle w:val="figcaption"/>
        <w:jc w:val="both"/>
        <w:rPr>
          <w:u w:val="single"/>
        </w:rPr>
      </w:pPr>
      <w:r>
        <w:t xml:space="preserve">Parece claro que, dentro de este marco financiero, si la demanda de crédito se incrementa, </w:t>
      </w:r>
      <w:r w:rsidRPr="00A437B5">
        <w:rPr>
          <w:u w:val="single"/>
        </w:rPr>
        <w:t>los bancos privados lo tienen muy sencillo para atenderla mediante la concesión de una barra libre de financiación que evite los aumentos en los tipos de interés y el consiguiente aborto de la demanda crediticia.</w:t>
      </w:r>
      <w:r>
        <w:t xml:space="preserve"> Los bancos no necesitan ni mucho menos captar más ahorro para conceder más crédito y tampoco tienen por qué cargar tipos de interés más altos ante una mayor propensión al endeudamiento de la sociedad: </w:t>
      </w:r>
      <w:r w:rsidRPr="00A437B5">
        <w:rPr>
          <w:u w:val="single"/>
        </w:rPr>
        <w:t>pueden prestar hoy un ahorro que se supone que la sociedad generará mañana.</w:t>
      </w:r>
    </w:p>
    <w:p w:rsidR="00A51545" w:rsidRPr="00A437B5" w:rsidRDefault="00A51545" w:rsidP="00550638">
      <w:pPr>
        <w:pStyle w:val="figcaption"/>
        <w:jc w:val="both"/>
        <w:rPr>
          <w:u w:val="single"/>
        </w:rPr>
      </w:pPr>
      <w:r w:rsidRPr="00A437B5">
        <w:rPr>
          <w:u w:val="single"/>
        </w:rPr>
        <w:t xml:space="preserve"> </w:t>
      </w:r>
    </w:p>
    <w:p w:rsidR="00A51545" w:rsidRDefault="00A51545" w:rsidP="00550638">
      <w:pPr>
        <w:pStyle w:val="figcaption"/>
        <w:jc w:val="both"/>
      </w:pPr>
      <w:r w:rsidRPr="00A437B5">
        <w:rPr>
          <w:u w:val="single"/>
        </w:rPr>
        <w:t>En España, por ejemplo, el crédito hipotecario creció entre 2003 y 2007 a una tasa media del 18% anual y en EEUU al 10% anual, pero los tipos de interés no sólo no subieron sino que bajaron entre tanto</w:t>
      </w:r>
      <w:r>
        <w:t xml:space="preserve">. ¿Acaso fue que el ahorro español y estadounidense creció a tasas similares o superiores al de la demanda de crédito? Obviamente no: fue que </w:t>
      </w:r>
      <w:r w:rsidRPr="00A437B5">
        <w:rPr>
          <w:u w:val="single"/>
        </w:rPr>
        <w:t>los bancos concedieron créditos con cargo al ahorro futuro. Algunos economistas afirman que durante esos años nos estuvimos financiando con cargo al ahorro alemán y chino, pero, de nuevo, la financiación extranjera que entraba en nuestro país no era ahorro, sino crédito alemán y chino que superaba en mucho el ahorro interno de esos países.</w:t>
      </w:r>
      <w:r>
        <w:t xml:space="preserve"> Sólo es necesario acercarse al balance de cualquier banco alemán para comprobar que el plazo de los créditos que concedieron esos bancos era muy superior al de las deudas que creaban para sufragarlos; es decir, los alemanes no estuvieron dispuestos a ahorrar durante todo el tiempo como el que se nos permitió a los españoles gastar en exceso a cuenta de esos alemanes.</w:t>
      </w:r>
    </w:p>
    <w:p w:rsidR="00A51545" w:rsidRDefault="00A51545" w:rsidP="00550638">
      <w:pPr>
        <w:pStyle w:val="figcaption"/>
        <w:jc w:val="both"/>
      </w:pPr>
      <w:r>
        <w:t xml:space="preserve"> </w:t>
      </w:r>
    </w:p>
    <w:p w:rsidR="00A51545" w:rsidRPr="00A437B5" w:rsidRDefault="00A51545" w:rsidP="00550638">
      <w:pPr>
        <w:pStyle w:val="figcaption"/>
        <w:jc w:val="both"/>
        <w:rPr>
          <w:color w:val="FF0000"/>
          <w:u w:val="single"/>
        </w:rPr>
      </w:pPr>
      <w:r w:rsidRPr="00A437B5">
        <w:rPr>
          <w:color w:val="FF0000"/>
          <w:u w:val="single"/>
        </w:rPr>
        <w:t xml:space="preserve">Por consiguiente, ¿quién provocó el actual problema de exceso de endeudamiento privado? ¿El sector privado por demandar crédito o el sector público por forzar a que se </w:t>
      </w:r>
      <w:r w:rsidRPr="00A437B5">
        <w:rPr>
          <w:color w:val="FF0000"/>
          <w:u w:val="single"/>
        </w:rPr>
        <w:lastRenderedPageBreak/>
        <w:t>diera ese crédito? Desde luego, sin una fuerte demanda de crédito, el volumen de deudas no puede aumentar; pero tampoco es capaz de hacerlo sin una elástica oferta de crédito. La cuestión, por tanto, debe replantearse: ¿quién es el responsable de haberse las instituciones que en el pasado permitieron frenar a tiempo estas borracheras de endeudamiento?</w:t>
      </w:r>
    </w:p>
    <w:p w:rsidR="00A51545" w:rsidRPr="00A437B5" w:rsidRDefault="00A51545" w:rsidP="00550638">
      <w:pPr>
        <w:pStyle w:val="figcaption"/>
        <w:jc w:val="both"/>
        <w:rPr>
          <w:color w:val="FF0000"/>
          <w:u w:val="single"/>
        </w:rPr>
      </w:pPr>
      <w:r w:rsidRPr="00A437B5">
        <w:rPr>
          <w:color w:val="FF0000"/>
          <w:u w:val="single"/>
        </w:rPr>
        <w:t xml:space="preserve"> </w:t>
      </w:r>
    </w:p>
    <w:p w:rsidR="00A51545" w:rsidRPr="00A437B5" w:rsidRDefault="00A51545" w:rsidP="00550638">
      <w:pPr>
        <w:pStyle w:val="figcaption"/>
        <w:jc w:val="both"/>
        <w:rPr>
          <w:color w:val="FF0000"/>
          <w:u w:val="single"/>
        </w:rPr>
      </w:pPr>
      <w:r w:rsidRPr="00A437B5">
        <w:rPr>
          <w:u w:val="single"/>
        </w:rPr>
        <w:t>Y aquí la respuesta es clara: el intervencionismo estatal en materia monetaria y financiera. Fueron los Estados quienes, primero, abandonaron el patrón oro para que los bancos centrales pudieran refinanciar indefinidamente a la banca privada cuando concediera crédito y quienes, después, instrumentaron a esos bancos centrales para que en 2002 rebajaran los tipos de interés a niveles artificialmente bajos, reanimando así una demanda de crédito que en aquel momento estaba decayendo en medio de la recesión internacional.</w:t>
      </w:r>
      <w:r>
        <w:t xml:space="preserve"> </w:t>
      </w:r>
      <w:r w:rsidRPr="00A437B5">
        <w:rPr>
          <w:color w:val="FF0000"/>
          <w:u w:val="single"/>
        </w:rPr>
        <w:t>Se quiso salir de la crisis de 2002 con nuevas dosis de endeudamiento y, desde luego, el objetivo se logró, pero sólo a costa de acrecentar los desajustes económicos y de alcanzar unos niveles de deuda privada totalmente insostenibles.</w:t>
      </w:r>
    </w:p>
    <w:p w:rsidR="00A51545" w:rsidRDefault="00A51545" w:rsidP="00550638">
      <w:pPr>
        <w:pStyle w:val="figcaption"/>
        <w:jc w:val="both"/>
      </w:pPr>
      <w:r>
        <w:t xml:space="preserve"> </w:t>
      </w:r>
    </w:p>
    <w:p w:rsidR="004108D7" w:rsidRDefault="00A51545" w:rsidP="00981E45">
      <w:pPr>
        <w:pStyle w:val="figcaption"/>
        <w:jc w:val="both"/>
        <w:rPr>
          <w:u w:val="single"/>
        </w:rPr>
      </w:pPr>
      <w:r w:rsidRPr="00A437B5">
        <w:rPr>
          <w:color w:val="FF0000"/>
          <w:u w:val="single"/>
        </w:rPr>
        <w:t>¿Quién es, en suma, el culpable del perverso sistema en qué vivimos? Desde luego, el intervencionismo monetario y financiero del Estado</w:t>
      </w:r>
      <w:r w:rsidR="0031101C">
        <w:t>. En su ausencia -</w:t>
      </w:r>
      <w:r>
        <w:t xml:space="preserve">es decir, con patrón oro y una banca sin acceso </w:t>
      </w:r>
      <w:r w:rsidR="0031101C">
        <w:t>casi ilimitado al banco central-</w:t>
      </w:r>
      <w:r>
        <w:t xml:space="preserve"> podría haber habido una intensísima demanda de crédito, pero ésta hubiese sido aplastada por una oferta inelástica y por unos tipos de interés al alza. Pero no, </w:t>
      </w:r>
      <w:r w:rsidRPr="00A437B5">
        <w:rPr>
          <w:u w:val="single"/>
        </w:rPr>
        <w:t>quisimos fiesta... y la tuvimos.</w:t>
      </w:r>
    </w:p>
    <w:p w:rsidR="00981E45" w:rsidRPr="00981E45" w:rsidRDefault="00981E45" w:rsidP="00981E45">
      <w:pPr>
        <w:pStyle w:val="figcaption"/>
        <w:jc w:val="both"/>
        <w:rPr>
          <w:u w:val="single"/>
        </w:rPr>
      </w:pPr>
    </w:p>
    <w:p w:rsidR="00A51545" w:rsidRDefault="004108D7" w:rsidP="00550638">
      <w:pPr>
        <w:spacing w:line="240" w:lineRule="auto"/>
        <w:jc w:val="both"/>
        <w:rPr>
          <w:rFonts w:ascii="Times New Roman" w:hAnsi="Times New Roman" w:cs="Times New Roman"/>
          <w:b/>
          <w:sz w:val="24"/>
          <w:szCs w:val="24"/>
        </w:rPr>
      </w:pPr>
      <w:r w:rsidRPr="004108D7">
        <w:rPr>
          <w:rFonts w:ascii="Times New Roman" w:hAnsi="Times New Roman" w:cs="Times New Roman"/>
          <w:b/>
          <w:sz w:val="24"/>
          <w:szCs w:val="24"/>
        </w:rPr>
        <w:t>1.5 -</w:t>
      </w:r>
      <w:r>
        <w:rPr>
          <w:rFonts w:ascii="Times New Roman" w:hAnsi="Times New Roman" w:cs="Times New Roman"/>
          <w:sz w:val="24"/>
          <w:szCs w:val="24"/>
        </w:rPr>
        <w:t xml:space="preserve"> </w:t>
      </w:r>
      <w:r w:rsidR="00A51545" w:rsidRPr="001E45DA">
        <w:rPr>
          <w:rFonts w:ascii="Times New Roman" w:hAnsi="Times New Roman" w:cs="Times New Roman"/>
          <w:b/>
          <w:sz w:val="24"/>
          <w:szCs w:val="24"/>
        </w:rPr>
        <w:t xml:space="preserve">La </w:t>
      </w:r>
      <w:r w:rsidR="00A13856">
        <w:rPr>
          <w:rFonts w:ascii="Times New Roman" w:hAnsi="Times New Roman" w:cs="Times New Roman"/>
          <w:b/>
          <w:sz w:val="24"/>
          <w:szCs w:val="24"/>
        </w:rPr>
        <w:t>‘</w:t>
      </w:r>
      <w:r w:rsidR="00A51545" w:rsidRPr="001E45DA">
        <w:rPr>
          <w:rFonts w:ascii="Times New Roman" w:hAnsi="Times New Roman" w:cs="Times New Roman"/>
          <w:b/>
          <w:sz w:val="24"/>
          <w:szCs w:val="24"/>
        </w:rPr>
        <w:t>acción</w:t>
      </w:r>
      <w:r w:rsidR="00A13856">
        <w:rPr>
          <w:rFonts w:ascii="Times New Roman" w:hAnsi="Times New Roman" w:cs="Times New Roman"/>
          <w:b/>
          <w:sz w:val="24"/>
          <w:szCs w:val="24"/>
        </w:rPr>
        <w:t>’</w:t>
      </w:r>
      <w:r w:rsidR="00A51545" w:rsidRPr="001E45DA">
        <w:rPr>
          <w:rFonts w:ascii="Times New Roman" w:hAnsi="Times New Roman" w:cs="Times New Roman"/>
          <w:b/>
          <w:sz w:val="24"/>
          <w:szCs w:val="24"/>
        </w:rPr>
        <w:t xml:space="preserve"> de los políticos</w:t>
      </w:r>
      <w:r w:rsidR="00A51545">
        <w:rPr>
          <w:rFonts w:ascii="Times New Roman" w:hAnsi="Times New Roman" w:cs="Times New Roman"/>
          <w:b/>
          <w:sz w:val="24"/>
          <w:szCs w:val="24"/>
        </w:rPr>
        <w:t>: apretarse el cinturón (ajeno) para salir de la crisis</w:t>
      </w:r>
    </w:p>
    <w:p w:rsidR="00A51545" w:rsidRPr="004108D7" w:rsidRDefault="004108D7" w:rsidP="00550638">
      <w:pPr>
        <w:pStyle w:val="NormalWeb"/>
        <w:jc w:val="both"/>
      </w:pPr>
      <w:r w:rsidRPr="004108D7">
        <w:rPr>
          <w:i/>
        </w:rPr>
        <w:t>“</w:t>
      </w:r>
      <w:r w:rsidR="00A51545" w:rsidRPr="004108D7">
        <w:rPr>
          <w:i/>
        </w:rPr>
        <w:t>El primer ministro británico, David Cameron, quiere que todos los servicios públicos del país puedan ser gestionados en el futuro por compañías privadas, con el objetiv</w:t>
      </w:r>
      <w:r w:rsidRPr="004108D7">
        <w:rPr>
          <w:i/>
        </w:rPr>
        <w:t>o de terminar con lo que llama “el monopolio del Estado””..</w:t>
      </w:r>
      <w:r w:rsidR="00A51545" w:rsidRPr="004108D7">
        <w:rPr>
          <w:i/>
        </w:rPr>
        <w:t>.</w:t>
      </w:r>
      <w:r>
        <w:rPr>
          <w:i/>
        </w:rPr>
        <w:t xml:space="preserve">  </w:t>
      </w:r>
      <w:r w:rsidRPr="00054ED3">
        <w:rPr>
          <w:u w:val="single"/>
        </w:rPr>
        <w:t>Reino Unido: Cameron abre el camino para la privatización del sector público</w:t>
      </w:r>
      <w:r>
        <w:t xml:space="preserve"> (El Economista - </w:t>
      </w:r>
      <w:r w:rsidRPr="00054ED3">
        <w:rPr>
          <w:b/>
        </w:rPr>
        <w:t>21/2/11</w:t>
      </w:r>
      <w:r>
        <w:t>)</w:t>
      </w:r>
    </w:p>
    <w:p w:rsidR="00A51545" w:rsidRPr="004108D7" w:rsidRDefault="00A51545" w:rsidP="00550638">
      <w:pPr>
        <w:pStyle w:val="NormalWeb"/>
        <w:jc w:val="both"/>
      </w:pPr>
      <w:r w:rsidRPr="004108D7">
        <w:t>Los cambios, adelantados hoy por el líder conservador en un artículo en el diario The Daily Telegraph y que se detallarán oficialmente en las próximas semanas, permitirían a entidades privadas gestionar escuelas, hospitales o servicios municipales como el mantenimiento de parques y carreteras y el cuidado de ancianos.</w:t>
      </w:r>
    </w:p>
    <w:p w:rsidR="00A51545" w:rsidRPr="004108D7" w:rsidRDefault="00A51545" w:rsidP="00550638">
      <w:pPr>
        <w:pStyle w:val="NormalWeb"/>
        <w:jc w:val="both"/>
      </w:pPr>
      <w:r w:rsidRPr="004108D7">
        <w:t>En el artículo en el Telegraph, Ca</w:t>
      </w:r>
      <w:r w:rsidR="004108D7" w:rsidRPr="004108D7">
        <w:t>meron defiende la necesidad de “un cambio completo”</w:t>
      </w:r>
      <w:r w:rsidRPr="004108D7">
        <w:t xml:space="preserve"> en el sector público para mejorar el servicio que se presta a los ciudadanos, y abre la puerta también a la participació</w:t>
      </w:r>
      <w:r w:rsidR="00A13856">
        <w:t>n de grupos de voluntarios y ONG</w:t>
      </w:r>
      <w:r w:rsidRPr="004108D7">
        <w:t>.</w:t>
      </w:r>
    </w:p>
    <w:p w:rsidR="00A51545" w:rsidRPr="004108D7" w:rsidRDefault="00A51545" w:rsidP="00550638">
      <w:pPr>
        <w:pStyle w:val="NormalWeb"/>
        <w:jc w:val="both"/>
      </w:pPr>
      <w:r w:rsidRPr="004108D7">
        <w:t>La idea del primer ministro es transformar los servicios públicos en el largo plazo sin tener que legislar cada vez que se quiera permitir a una empresa pri</w:t>
      </w:r>
      <w:r w:rsidR="004108D7">
        <w:t xml:space="preserve">vada involucrarse en el sector. </w:t>
      </w:r>
      <w:r w:rsidRPr="004108D7">
        <w:t>A las empresas proveedoras se les ofrecerían contratos con una retribución en función de los resultados y con la garantía de un incremento de los ingresos a medida que aumente la calidad el servicio.</w:t>
      </w:r>
    </w:p>
    <w:p w:rsidR="00A51545" w:rsidRPr="004108D7" w:rsidRDefault="004108D7" w:rsidP="00550638">
      <w:pPr>
        <w:pStyle w:val="NormalWeb"/>
        <w:jc w:val="both"/>
      </w:pPr>
      <w:r w:rsidRPr="004108D7">
        <w:t>“</w:t>
      </w:r>
      <w:r w:rsidR="00A51545" w:rsidRPr="004108D7">
        <w:t>Crearemos una nuevo concepto, respaldado por nuevos derechos para los usuarios de los servicios públicos y por un nuevo sistema de adjudicación independiente, de que los servicios públicos deberían estar abiertos a una serie de proveedores que compita</w:t>
      </w:r>
      <w:r w:rsidRPr="004108D7">
        <w:t>n por ofrecer un servicio mejor”</w:t>
      </w:r>
      <w:r w:rsidR="00A51545" w:rsidRPr="004108D7">
        <w:t>, argumenta el primer ministro.</w:t>
      </w:r>
    </w:p>
    <w:p w:rsidR="00A51545" w:rsidRPr="004108D7" w:rsidRDefault="00A51545" w:rsidP="00550638">
      <w:pPr>
        <w:pStyle w:val="NormalWeb"/>
        <w:jc w:val="both"/>
      </w:pPr>
      <w:r w:rsidRPr="004108D7">
        <w:lastRenderedPageBreak/>
        <w:t>Cameron excluye del plan a la segur</w:t>
      </w:r>
      <w:r w:rsidR="004108D7" w:rsidRPr="004108D7">
        <w:t xml:space="preserve">idad nacional y la judicatura </w:t>
      </w:r>
      <w:r w:rsidR="004108D7">
        <w:t>-</w:t>
      </w:r>
      <w:r w:rsidR="004108D7" w:rsidRPr="004108D7">
        <w:t>“donde esto no tendría sentido”-, pero defiende que “</w:t>
      </w:r>
      <w:r w:rsidRPr="004108D7">
        <w:t>el resto de sectores pueda esta</w:t>
      </w:r>
      <w:r w:rsidR="004108D7" w:rsidRPr="004108D7">
        <w:t>r abierto a una diversidad real”</w:t>
      </w:r>
      <w:r w:rsidRPr="004108D7">
        <w:t>.</w:t>
      </w:r>
    </w:p>
    <w:p w:rsidR="00A51545" w:rsidRPr="004108D7" w:rsidRDefault="00A51545" w:rsidP="00550638">
      <w:pPr>
        <w:pStyle w:val="NormalWeb"/>
        <w:jc w:val="both"/>
      </w:pPr>
      <w:r w:rsidRPr="004108D7">
        <w:t>Los cambios, asegur</w:t>
      </w:r>
      <w:r w:rsidR="004108D7" w:rsidRPr="004108D7">
        <w:t>a, liberarán al sector público “</w:t>
      </w:r>
      <w:r w:rsidRPr="004108D7">
        <w:t>de las</w:t>
      </w:r>
      <w:r w:rsidR="004108D7" w:rsidRPr="004108D7">
        <w:t xml:space="preserve"> riendas del control del Estado”</w:t>
      </w:r>
      <w:r w:rsidRPr="004108D7">
        <w:t>, reducirán la burocracia, generarán ahorro y permitirán ter</w:t>
      </w:r>
      <w:r w:rsidR="004108D7" w:rsidRPr="004108D7">
        <w:t>minar con una era de servicios “</w:t>
      </w:r>
      <w:r w:rsidRPr="004108D7">
        <w:t>anticuados, verticales y en lo que hay que co</w:t>
      </w:r>
      <w:r w:rsidR="004108D7" w:rsidRPr="004108D7">
        <w:t>nformarse con lo que uno recibe”</w:t>
      </w:r>
      <w:r w:rsidRPr="004108D7">
        <w:t>.</w:t>
      </w:r>
    </w:p>
    <w:p w:rsidR="00A51545" w:rsidRPr="004108D7" w:rsidRDefault="00A51545" w:rsidP="00550638">
      <w:pPr>
        <w:pStyle w:val="NormalWeb"/>
        <w:jc w:val="both"/>
      </w:pPr>
      <w:r w:rsidRPr="004108D7">
        <w:t>Cameron argumenta que la calidad de los servicios en el Reino Unido ha descendido en los últimos años s</w:t>
      </w:r>
      <w:r w:rsidR="004108D7" w:rsidRPr="004108D7">
        <w:t>i se toman como referencia “países similares”</w:t>
      </w:r>
      <w:r w:rsidRPr="004108D7">
        <w:t>, y que eso se está notando en áreas como los índices de supervivencia del cáncer y los resultados escolares.</w:t>
      </w:r>
    </w:p>
    <w:p w:rsidR="00A51545" w:rsidRPr="004108D7" w:rsidRDefault="004108D7" w:rsidP="00550638">
      <w:pPr>
        <w:pStyle w:val="NormalWeb"/>
        <w:jc w:val="both"/>
      </w:pPr>
      <w:r w:rsidRPr="004108D7">
        <w:t>“</w:t>
      </w:r>
      <w:r w:rsidR="00A51545" w:rsidRPr="004108D7">
        <w:t>Se pondrá el poder en manos de la gente. Los profesionales recuperarán su responsabilidad. Habrá más libertad, más posibilidade</w:t>
      </w:r>
      <w:r w:rsidRPr="004108D7">
        <w:t>s de elegir y más control local”</w:t>
      </w:r>
      <w:r w:rsidR="00A51545" w:rsidRPr="004108D7">
        <w:t>, explica el gobernante, que aclara que</w:t>
      </w:r>
      <w:r w:rsidRPr="004108D7">
        <w:t xml:space="preserve"> el Estado seguirá teniendo un “papel crucial”</w:t>
      </w:r>
      <w:r w:rsidR="00A51545" w:rsidRPr="004108D7">
        <w:t>.</w:t>
      </w:r>
    </w:p>
    <w:p w:rsidR="00A51545" w:rsidRPr="004108D7" w:rsidRDefault="004108D7" w:rsidP="00550638">
      <w:pPr>
        <w:pStyle w:val="NormalWeb"/>
        <w:jc w:val="both"/>
      </w:pPr>
      <w:r w:rsidRPr="004108D7">
        <w:t>El papel será “</w:t>
      </w:r>
      <w:r w:rsidR="00A51545" w:rsidRPr="004108D7">
        <w:t xml:space="preserve">garantizar que la financiación y la competencia sean justas, y garantizar que todo el mundo, sin tener en cuenta su capacidad económica, tengan </w:t>
      </w:r>
      <w:r w:rsidRPr="004108D7">
        <w:t>un acceso justo a los servicios”.</w:t>
      </w:r>
    </w:p>
    <w:p w:rsidR="00A51545" w:rsidRPr="004108D7" w:rsidRDefault="00A51545" w:rsidP="00550638">
      <w:pPr>
        <w:pStyle w:val="NormalWeb"/>
        <w:jc w:val="both"/>
      </w:pPr>
      <w:r w:rsidRPr="004108D7">
        <w:t>El</w:t>
      </w:r>
      <w:r w:rsidR="004108D7" w:rsidRPr="004108D7">
        <w:t xml:space="preserve"> proyecto se ha bautizado como “</w:t>
      </w:r>
      <w:r w:rsidRPr="004108D7">
        <w:t>Servicios Públicos Abiertos</w:t>
      </w:r>
      <w:r w:rsidR="004108D7" w:rsidRPr="004108D7">
        <w:t>” y su objetivo principal será “</w:t>
      </w:r>
      <w:r w:rsidRPr="004108D7">
        <w:t>imposibilitar que el Estado vuelva a los viejos malos t</w:t>
      </w:r>
      <w:r w:rsidR="004108D7" w:rsidRPr="004108D7">
        <w:t>iempos del monopolio del Estado”. “</w:t>
      </w:r>
      <w:r w:rsidRPr="004108D7">
        <w:t>Esta es una parte vital de nuestra visión de desmantelar el Gran Gobierno y construir en su lugar una Gran Sociedad</w:t>
      </w:r>
      <w:r w:rsidR="004108D7" w:rsidRPr="004108D7">
        <w:t>”</w:t>
      </w:r>
      <w:r w:rsidRPr="004108D7">
        <w:t>, agrega.</w:t>
      </w:r>
    </w:p>
    <w:p w:rsidR="00A51545" w:rsidRPr="004108D7" w:rsidRDefault="00A51545" w:rsidP="00550638">
      <w:pPr>
        <w:pStyle w:val="NormalWeb"/>
        <w:jc w:val="both"/>
      </w:pPr>
      <w:r w:rsidRPr="004108D7">
        <w:t>El concepto de la Gran Sociedad es uno de los elementos centrales de la política de Cameron, un concepto con el que quiere dar una mayor participación y responsabilidad social en la gestión del país.</w:t>
      </w:r>
    </w:p>
    <w:p w:rsidR="00A51545" w:rsidRPr="004108D7" w:rsidRDefault="00A51545" w:rsidP="00550638">
      <w:pPr>
        <w:pStyle w:val="NormalWeb"/>
        <w:jc w:val="both"/>
      </w:pPr>
      <w:r w:rsidRPr="004108D7">
        <w:t>La oposición laborista y los sindicatos dicen que lo que esconde realmente esta política es una gran privatización encubierta de servicios públicos hasta ahora intocables en este país como el NHS, el sistema de Seguridad Social creado tras la II Guerra Mundial.</w:t>
      </w:r>
    </w:p>
    <w:p w:rsidR="00A51545" w:rsidRDefault="00A51545" w:rsidP="00550638">
      <w:pPr>
        <w:pStyle w:val="NormalWeb"/>
        <w:jc w:val="both"/>
      </w:pPr>
      <w:r>
        <w:t xml:space="preserve">- </w:t>
      </w:r>
      <w:r w:rsidRPr="00F312C3">
        <w:rPr>
          <w:u w:val="single"/>
        </w:rPr>
        <w:t>Votantes vs. estado benefactor</w:t>
      </w:r>
      <w:r>
        <w:t xml:space="preserve"> (Project Syndicate - </w:t>
      </w:r>
      <w:r w:rsidRPr="00F312C3">
        <w:rPr>
          <w:b/>
        </w:rPr>
        <w:t>24/5/11</w:t>
      </w:r>
      <w:r>
        <w:t>)</w:t>
      </w:r>
      <w:r w:rsidR="004108D7">
        <w:t xml:space="preserve">        Lectura recomendada</w:t>
      </w:r>
    </w:p>
    <w:p w:rsidR="00A51545" w:rsidRDefault="00A51545" w:rsidP="00550638">
      <w:pPr>
        <w:pStyle w:val="NormalWeb"/>
        <w:jc w:val="both"/>
      </w:pPr>
      <w:r>
        <w:t>(Por Michael Boskin)</w:t>
      </w:r>
    </w:p>
    <w:p w:rsidR="00A51545" w:rsidRDefault="00A51545" w:rsidP="00550638">
      <w:pPr>
        <w:pStyle w:val="NormalWeb"/>
        <w:jc w:val="both"/>
      </w:pPr>
      <w:r>
        <w:t>S</w:t>
      </w:r>
      <w:r w:rsidR="004108D7">
        <w:t xml:space="preserve">tanford.- </w:t>
      </w:r>
      <w:r>
        <w:t xml:space="preserve">El primer ministro de Canadá, Stephen Harper, al ganar una mayoría categórica de bancas en el parlamento de su país por primera vez desde que asumió el cargo, perpetúa una considerable serie de victorias electorales nacionales, respaldado por votantes que exigen al menos una pausa, y tal vez cierta revocación, del crecimiento del estado benefactor. </w:t>
      </w:r>
    </w:p>
    <w:p w:rsidR="00A51545" w:rsidRDefault="00A51545" w:rsidP="00550638">
      <w:pPr>
        <w:pStyle w:val="NormalWeb"/>
        <w:jc w:val="both"/>
      </w:pPr>
      <w:r>
        <w:t xml:space="preserve">Es más, la victoria de Harper se produce después del resonante triunfo del Partido Republicano de 2010 en la elección de mitad de mandato de Estados Unidos, una campaña que esencialmente se libró alrededor del tamaño y el alcance del gobierno, tras la sólida expansión del gasto público después de la crisis financiera y la recesión. El primer ministro británico, David Cameron (que lidera, como lo hizo Harper hasta hace </w:t>
      </w:r>
      <w:r>
        <w:lastRenderedPageBreak/>
        <w:t xml:space="preserve">poco, un gobierno de coalición de centroderecha), también ganó en base a una plataforma para reducir los excesos del estado benefactor. </w:t>
      </w:r>
    </w:p>
    <w:p w:rsidR="00A51545" w:rsidRDefault="00A51545" w:rsidP="00550638">
      <w:pPr>
        <w:pStyle w:val="NormalWeb"/>
        <w:jc w:val="both"/>
      </w:pPr>
      <w:r>
        <w:t>También está el caso de la candidatura a la reelección anticipada del presidente francés, Nicolas Sarkozy. Francia tiene impuestos más altos y un estado benefactor más desarrollado que el Reino Unido, Canadá o Estados Unidos. Sarkozy, a pesar de los intentos iniciales por recortar algunos derechos franceses, hasta ahora no produjo tanta reforma como Cameron o Harper, mucho menos como Ronald Reagan o Margaret Thatcher en los años 1980.</w:t>
      </w:r>
    </w:p>
    <w:p w:rsidR="00A51545" w:rsidRDefault="00A51545" w:rsidP="00550638">
      <w:pPr>
        <w:pStyle w:val="NormalWeb"/>
        <w:jc w:val="both"/>
      </w:pPr>
      <w:r>
        <w:t xml:space="preserve">Algunos podrían decir que los problemas económicos que enfrentan los gobiernos son tan graves que el solo hecho de estar en el poder invita a la destitución, más allá de la ideología. Pero la reelección de Harper sugiere lo contrario. Harper redujo los impuestos corporativos y a las ventas de Canadá (ahora muy por debajo de los de Estados Unidos) y, al igual que Cameron, quiere una consolidación fiscal más rápida que el presidente estadounidense, Barack Obama. </w:t>
      </w:r>
    </w:p>
    <w:p w:rsidR="00A51545" w:rsidRDefault="00A51545" w:rsidP="00550638">
      <w:pPr>
        <w:pStyle w:val="NormalWeb"/>
        <w:jc w:val="both"/>
      </w:pPr>
      <w:r>
        <w:t xml:space="preserve">El potencial significado de estas elecciones debe entenderse en el contexto no sólo de la recesión y la crisis financiera, y las intervenciones gubernamentales destinadas a enfrentarlas, sino también en el alcance más amplio de la evolución histórica de los estados benefactores de estos países. </w:t>
      </w:r>
    </w:p>
    <w:p w:rsidR="00A51545" w:rsidRDefault="00A51545" w:rsidP="00550638">
      <w:pPr>
        <w:pStyle w:val="NormalWeb"/>
        <w:jc w:val="both"/>
      </w:pPr>
      <w:r>
        <w:t>Se destacan las siguientes tendencias:</w:t>
      </w:r>
    </w:p>
    <w:p w:rsidR="00A51545" w:rsidRDefault="00A51545" w:rsidP="00550638">
      <w:pPr>
        <w:pStyle w:val="NormalWeb"/>
        <w:jc w:val="both"/>
      </w:pPr>
      <w:r>
        <w:t>·        En los cuatro países, hubo una tendencia alcista considerable en los desembolsos del gobierno como un porcentaje del PBI;</w:t>
      </w:r>
    </w:p>
    <w:p w:rsidR="00A51545" w:rsidRDefault="00A51545" w:rsidP="00550638">
      <w:pPr>
        <w:pStyle w:val="NormalWeb"/>
        <w:jc w:val="both"/>
      </w:pPr>
      <w:r>
        <w:t>·        En cada país, hubo un incremento considerable del gasto público en los últimos años, particularmente en Estados Unidos y el Reino Unido;</w:t>
      </w:r>
    </w:p>
    <w:p w:rsidR="00A51545" w:rsidRDefault="00A51545" w:rsidP="00550638">
      <w:pPr>
        <w:pStyle w:val="NormalWeb"/>
        <w:jc w:val="both"/>
      </w:pPr>
      <w:r>
        <w:t>·        Francia tiene el gasto gubernamental más alto como porcentaje del PBI -muy por encima del 50%, según la OCDE- y éste ha aumentado continuamente, década tras década;</w:t>
      </w:r>
    </w:p>
    <w:p w:rsidR="00A51545" w:rsidRDefault="00A51545" w:rsidP="00550638">
      <w:pPr>
        <w:pStyle w:val="NormalWeb"/>
        <w:jc w:val="both"/>
      </w:pPr>
      <w:r>
        <w:t>·        Estados Unidos actualmente tiene el menor gasto gubernamental como porcentaje del PBI, aunque se acercó sustancialmente a Canadá debido a la explosión del gasto desde 2000 -el gasto militar del presidente George W. Bush y el gasto social de Obama;</w:t>
      </w:r>
    </w:p>
    <w:p w:rsidR="00A51545" w:rsidRDefault="00A51545" w:rsidP="00550638">
      <w:pPr>
        <w:pStyle w:val="NormalWeb"/>
        <w:jc w:val="both"/>
      </w:pPr>
      <w:r>
        <w:t>·        El aumento del gasto público de Canadá como porcentaje del PBI desde 2000 ha sido el menor de los cuatro países;</w:t>
      </w:r>
    </w:p>
    <w:p w:rsidR="00A51545" w:rsidRDefault="00A51545" w:rsidP="00550638">
      <w:pPr>
        <w:pStyle w:val="NormalWeb"/>
        <w:jc w:val="both"/>
      </w:pPr>
      <w:r>
        <w:t>·        Canadá y el Reino Unido han tenido períodos de reducciones importantes del porcentaje de gasto gubernamental. En el Reino Unido, el porcentaje cayó cuatro puntos porcentuales en 1980-1990 (la revolución de Margaret Thatcher), y siguió cayendo hasta 2000. En los años anteriores a la crisis financiera, la participación de Canadá cayó del 45% aproximadamente a alrededor del 40%;</w:t>
      </w:r>
    </w:p>
    <w:p w:rsidR="00A51545" w:rsidRDefault="00A51545" w:rsidP="00550638">
      <w:pPr>
        <w:pStyle w:val="NormalWeb"/>
        <w:jc w:val="both"/>
      </w:pPr>
      <w:r>
        <w:t>·        De la misma manera, la Revolución Reagan en Estados Unidos frenó la tendencia alcista en el gasto no vinculado a la defensa.</w:t>
      </w:r>
    </w:p>
    <w:p w:rsidR="00A51545" w:rsidRDefault="00A51545" w:rsidP="00550638">
      <w:pPr>
        <w:pStyle w:val="NormalWeb"/>
        <w:jc w:val="both"/>
      </w:pPr>
      <w:r>
        <w:lastRenderedPageBreak/>
        <w:t xml:space="preserve">¿Qué hay con respecto al desempeño económico, medido por el PBI per </w:t>
      </w:r>
      <w:r w:rsidR="00A92207">
        <w:t>cápita</w:t>
      </w:r>
      <w:r>
        <w:t xml:space="preserve"> real? Los cuatro países se posicionan exactamente en orden inverso de sus porcentajes de gasto gubernamental (según datos de 2009 y previos a la crisis de 2007), siendo el de Estados Unidos el más alto, seguido por Canadá, el Reino Unido y Francia. El coeficiente de correlación simple es de aproximadamente -0,9.</w:t>
      </w:r>
    </w:p>
    <w:p w:rsidR="00A51545" w:rsidRPr="00D6419E" w:rsidRDefault="00A51545" w:rsidP="00550638">
      <w:pPr>
        <w:pStyle w:val="NormalWeb"/>
        <w:jc w:val="both"/>
        <w:rPr>
          <w:u w:val="single"/>
        </w:rPr>
      </w:pPr>
      <w:r>
        <w:t xml:space="preserve">Los votantes parecen haberse dado cuenta de algo importante. Por supuesto, la correlación no es prueba de causalidad; hay millares de otros factores que afectan el desempeño económico además del tamaño, la composición y la naturaleza del gasto del estado benefactor (y claramente los impuestos y la deuda relacionados). Es más, </w:t>
      </w:r>
      <w:r w:rsidRPr="00D6419E">
        <w:rPr>
          <w:u w:val="single"/>
        </w:rPr>
        <w:t xml:space="preserve">los gobiernos ofrecen servicios, desde defensa y aplicación de la ley hasta una red de seguridad humana, que son esenciales para una economía y una sociedad exitosas. Pero el tamaño del estado benefactor -y la erosión de los incentivos para trabajar, ahorrar e invertir, debido a los elevados impuestos y a los pagos abultados de transferencias- es un impedimento importante para un crecimiento más rápido de los ingresos. </w:t>
      </w:r>
    </w:p>
    <w:p w:rsidR="00A51545" w:rsidRDefault="00A51545" w:rsidP="00550638">
      <w:pPr>
        <w:pStyle w:val="NormalWeb"/>
        <w:jc w:val="both"/>
      </w:pPr>
      <w:r>
        <w:t xml:space="preserve">Este simple análisis debería izar una bandera roja respecto de qué pensamos sobre las compensaciones entre dinamismo y seguridad, o crecimiento y redistribución. Después de todo, el ingreso real per </w:t>
      </w:r>
      <w:r w:rsidR="00A92207">
        <w:t>cápita</w:t>
      </w:r>
      <w:r>
        <w:t xml:space="preserve"> en Estados Unidos es aproximadamente 40% más alto que en Francia, 22% más alto que en Canadá y 31% más alto que en Gran Bretaña. </w:t>
      </w:r>
    </w:p>
    <w:p w:rsidR="00A51545" w:rsidRDefault="00A51545" w:rsidP="00550638">
      <w:pPr>
        <w:pStyle w:val="NormalWeb"/>
        <w:jc w:val="both"/>
      </w:pPr>
      <w:r>
        <w:t xml:space="preserve">Las historias relativas han seguido una tendencia similar (nuevamente, están involucrados otros factores, no sólo los impuestos y el gasto). Por ejemplo, la ventaja de Estados Unidos sobre Francia se amplió del 25% al 40% desde 1980, un período en el que el porcentaje de gasto gubernamental en el PBI se estabilizó en Estados Unidos (hasta hace poco), mientras que creció sustancialmente en Francia. De la misma manera, el PBI real per </w:t>
      </w:r>
      <w:r w:rsidR="00664F02">
        <w:t>cápita</w:t>
      </w:r>
      <w:r>
        <w:t xml:space="preserve"> de Francia excedió el nivel del Reino Unido en 1980, pero fue superado en 2000 y, para 2007, estaba rezagado en un 10% con respecto al Reino Unido. Estas diferencias son el equivalente de una generación entera de progreso económico. </w:t>
      </w:r>
    </w:p>
    <w:p w:rsidR="00A51545" w:rsidRDefault="00A51545" w:rsidP="00550638">
      <w:pPr>
        <w:pStyle w:val="NormalWeb"/>
        <w:jc w:val="both"/>
      </w:pPr>
      <w:r>
        <w:t xml:space="preserve">Quienes quieren controlar, reformar y reducir el gasto del gobierno parecen tener bien claro cuál es el panorama general. Es un prerrequisito para un progreso económico sustancial. Esa es la gran lección de la historia -desde las revoluciones de Reagan y Thatcher en Estados Unidos y el Reino Unido, pasando por la experiencia más reciente de Stephen Harper, hasta la repetición que David Cameron y los republicanos en el Congreso de Estados Unidos hoy intentan fraguar. </w:t>
      </w:r>
    </w:p>
    <w:p w:rsidR="00A51545" w:rsidRPr="00D6419E" w:rsidRDefault="00A51545" w:rsidP="00550638">
      <w:pPr>
        <w:pStyle w:val="NormalWeb"/>
        <w:jc w:val="both"/>
        <w:rPr>
          <w:u w:val="single"/>
        </w:rPr>
      </w:pPr>
      <w:r w:rsidRPr="00D6419E">
        <w:rPr>
          <w:u w:val="single"/>
        </w:rPr>
        <w:t xml:space="preserve">Sólo el tiempo dirá si las recientes elecciones en el Reino Unido, Estados Unidos y Canadá indican un retroceso del crecimiento del estado benefactor o simplemente una tregua temporaria. Pero una comparación entre Estados Unidos, Canadá, el Reino Unido y Francia revela que lo que está en juego es inmenso. </w:t>
      </w:r>
    </w:p>
    <w:p w:rsidR="00A51545" w:rsidRDefault="00A51545" w:rsidP="00550638">
      <w:pPr>
        <w:pStyle w:val="NormalWeb"/>
        <w:jc w:val="both"/>
      </w:pPr>
      <w:r>
        <w:t>(Michael Boskin, actualmente profesor de Economía en la Universidad de Stanford y miembro sénior de la Hoover Institution, fue presidente del Consejo de Asesores Económicos del presidente George H. W. Bush, 1989-1993. Copyright: Project Syndicate, 2011)</w:t>
      </w:r>
    </w:p>
    <w:p w:rsidR="00A51545" w:rsidRDefault="00664F02" w:rsidP="00550638">
      <w:pPr>
        <w:pStyle w:val="NormalWeb"/>
        <w:jc w:val="both"/>
      </w:pPr>
      <w:r>
        <w:rPr>
          <w:i/>
        </w:rPr>
        <w:t>“</w:t>
      </w:r>
      <w:r w:rsidR="00A51545" w:rsidRPr="00664F02">
        <w:rPr>
          <w:i/>
        </w:rPr>
        <w:t xml:space="preserve">El control del déficit y la reducción de la deuda han sido los ejes que han marcado una política económica en la que los ajustes se extendieron a todos los países de la </w:t>
      </w:r>
      <w:r w:rsidR="00A51545" w:rsidRPr="00664F02">
        <w:rPr>
          <w:i/>
        </w:rPr>
        <w:lastRenderedPageBreak/>
        <w:t>eurozona, con España, Italia y Portugal a la cabeza</w:t>
      </w:r>
      <w:r>
        <w:rPr>
          <w:i/>
        </w:rPr>
        <w:t xml:space="preserve">”… </w:t>
      </w:r>
      <w:r w:rsidRPr="00CF2786">
        <w:rPr>
          <w:u w:val="single"/>
        </w:rPr>
        <w:t>Apretarse el cinturón, la receta de Europa para salir de la crisis</w:t>
      </w:r>
      <w:r>
        <w:t xml:space="preserve"> (Cinco Días - </w:t>
      </w:r>
      <w:r>
        <w:rPr>
          <w:b/>
        </w:rPr>
        <w:t>31</w:t>
      </w:r>
      <w:r w:rsidRPr="00563341">
        <w:rPr>
          <w:b/>
        </w:rPr>
        <w:t>/12/11</w:t>
      </w:r>
      <w:r>
        <w:t>)</w:t>
      </w:r>
    </w:p>
    <w:p w:rsidR="00A51545" w:rsidRPr="00664F02" w:rsidRDefault="00A51545" w:rsidP="00550638">
      <w:pPr>
        <w:pStyle w:val="NormalWeb"/>
        <w:jc w:val="both"/>
      </w:pPr>
      <w:r w:rsidRPr="00664F02">
        <w:t>Los recortes han sido los p</w:t>
      </w:r>
      <w:r w:rsidR="00664F02" w:rsidRPr="00664F02">
        <w:t>rotagonistas del año 2011</w:t>
      </w:r>
      <w:r w:rsidRPr="00664F02">
        <w:t xml:space="preserve"> en la zona euro. La receta para aliviar la crisis de deuda ha sido unánime: apretarse el cinturón. Y lejos de decir adiós a esta corriente, lo que queda por venir será más de lo mismo, a tenor de las últimas medidas anunciadas en España y del resultado de la tan esperada cumbre de Bruselas del pasado diciembre para refundar el euro, donde se apostó sin paños calientes por la austeridad y la disciplina fiscal, aun a pesar del riesgo colectivo de recaída en la recesión económica.</w:t>
      </w:r>
    </w:p>
    <w:p w:rsidR="00A51545" w:rsidRPr="00664F02" w:rsidRDefault="00A51545" w:rsidP="00550638">
      <w:pPr>
        <w:pStyle w:val="NormalWeb"/>
        <w:jc w:val="both"/>
      </w:pPr>
      <w:r w:rsidRPr="00664F02">
        <w:t>Si Grecia, Irlanda y Portugal eran a comienzos de 2011 los países en el ojo del huracán, pronto se sumaron España e Italia, que por su tamaño y volumen de deuda ponían en jaque al conjunto de la zona euro. La presión se trasladó incluso a Francia, hasta el mismo corazón de Europa, y desató una corriente de reformas, centradas en el recorte de gasto, para contener el ataque a la deuda pública.</w:t>
      </w:r>
    </w:p>
    <w:p w:rsidR="00A51545" w:rsidRPr="00664F02" w:rsidRDefault="00A51545" w:rsidP="00550638">
      <w:pPr>
        <w:pStyle w:val="NormalWeb"/>
        <w:jc w:val="both"/>
      </w:pPr>
      <w:r w:rsidRPr="00664F02">
        <w:t xml:space="preserve">Siguiendo la tesis de Angela Merkel, es decir, mano dura y disciplina fiscal, la última cita europea del 9 de diciembre lo dejó claro: habrá sanciones para quienes no cumplan con la regla de oro del equilibrio presupuestario. </w:t>
      </w:r>
    </w:p>
    <w:p w:rsidR="00A51545" w:rsidRPr="00664F02" w:rsidRDefault="00A51545" w:rsidP="00550638">
      <w:pPr>
        <w:pStyle w:val="NormalWeb"/>
        <w:jc w:val="both"/>
      </w:pPr>
      <w:r w:rsidRPr="00664F02">
        <w:t xml:space="preserve">España. Recortes de 8.900 millones para un déficit del 8% </w:t>
      </w:r>
    </w:p>
    <w:p w:rsidR="00A51545" w:rsidRPr="00664F02" w:rsidRDefault="00A51545" w:rsidP="00550638">
      <w:pPr>
        <w:pStyle w:val="NormalWeb"/>
        <w:jc w:val="both"/>
      </w:pPr>
      <w:r w:rsidRPr="00664F02">
        <w:t>El panorama que se presenta para España en los próximos meses es cuanto menos desolador. Acosado por cinco millones de parados y con la recesión a la vuelta de la esquina, el nuevo Ejecutivo de Mariano Rajoy afronta el objetivo de reducir el déficit hasta el 4,4% para 2012. Pero conseguirlo no será una tarea fácil y más tras conocerse el viernes que 2011 cerrará con una previsión de déficit del 8%, casi dos puntos más de lo estimado por el Gobierno anterior.</w:t>
      </w:r>
    </w:p>
    <w:p w:rsidR="00A51545" w:rsidRPr="00664F02" w:rsidRDefault="00A51545" w:rsidP="00550638">
      <w:pPr>
        <w:pStyle w:val="NormalWeb"/>
        <w:jc w:val="both"/>
      </w:pPr>
      <w:r w:rsidRPr="00664F02">
        <w:t xml:space="preserve"> Los primeros pasos comenzaron a darse esta semana después de que el Consejo de Ministros anunciara un conjunto de recortes por valor de 8.900 millones de euros. Entre las iniciativas más importantes se encuentra además la subida del IRPF en las rentas del trabajo y del capital y del impuesto sobre bienes inmuebles, que dará ingresos de 6.200 millones de euros.</w:t>
      </w:r>
    </w:p>
    <w:p w:rsidR="00A51545" w:rsidRPr="00664F02" w:rsidRDefault="00A51545" w:rsidP="00550638">
      <w:pPr>
        <w:pStyle w:val="NormalWeb"/>
        <w:jc w:val="both"/>
      </w:pPr>
      <w:r w:rsidRPr="00664F02">
        <w:t xml:space="preserve">Estas medidas contradicen las palabras de Rajoy de hace menos de una semana cuando afirmaba que no subiría los impuestos. Como complemento a la política impositiva figuran la congelación de los sueldos a los funcionarios y del salario mínimo interprofesional y la tasa de reposición cero para los funcionarios. Aun así, el Gobierno recupera el poder adquisitivo de las pensiones y prolonga la ayuda de 400 euros a los parados que agotaron la prestación. </w:t>
      </w:r>
    </w:p>
    <w:p w:rsidR="00A51545" w:rsidRPr="00664F02" w:rsidRDefault="00A51545" w:rsidP="00550638">
      <w:pPr>
        <w:pStyle w:val="NormalWeb"/>
        <w:jc w:val="both"/>
      </w:pPr>
      <w:r w:rsidRPr="00664F02">
        <w:t>Pero el recorte de gasto anunciado el viernes -centrado en la Administración-, junto con la subida de impuestos, suma recursos para combatir el déficit por 15.100 millones de euros, una cuantía que se presenta como insuficiente para cumplir con el objetivo de déficit del 4,4% al cierre de 2012. Pasar del 8% actual a esa otra cifra exigiría grosso modo un recorte adicional de más de 20.000 millones de euros, teniendo en cuenta que cada décima de déficit público supone alrededor de 1.000 millones de euros.</w:t>
      </w:r>
    </w:p>
    <w:p w:rsidR="00A51545" w:rsidRPr="00664F02" w:rsidRDefault="00A51545" w:rsidP="00550638">
      <w:pPr>
        <w:pStyle w:val="NormalWeb"/>
        <w:jc w:val="both"/>
      </w:pPr>
      <w:r w:rsidRPr="00664F02">
        <w:lastRenderedPageBreak/>
        <w:t xml:space="preserve">Portugal. Privatizaciones para liquidar el agujero presupuestario </w:t>
      </w:r>
    </w:p>
    <w:p w:rsidR="00A51545" w:rsidRPr="00664F02" w:rsidRDefault="00664F02" w:rsidP="00550638">
      <w:pPr>
        <w:pStyle w:val="NormalWeb"/>
        <w:jc w:val="both"/>
      </w:pPr>
      <w:r w:rsidRPr="00664F02">
        <w:t>“Emergencia nacional”</w:t>
      </w:r>
      <w:r w:rsidR="00A51545" w:rsidRPr="00664F02">
        <w:t>, esa es la expresión con la que el primer ministro de Portugal, Pedro Passos Coelho, definió el futuro de la economía lusa. Según las previsiones de la Comisión Europea, en 2012 se espera una contracción económica del 3% para el país vecino. Las reformas puestas en marcha por José Sócrates, que dimitió tras la imposibilidad de sacar adelante su programa de ajustes de 80.000 millones de euros, y Coelho no han sido suficientes.</w:t>
      </w:r>
    </w:p>
    <w:p w:rsidR="00A51545" w:rsidRPr="00664F02" w:rsidRDefault="00A51545" w:rsidP="00550638">
      <w:pPr>
        <w:pStyle w:val="NormalWeb"/>
        <w:jc w:val="both"/>
      </w:pPr>
      <w:r w:rsidRPr="00664F02">
        <w:t xml:space="preserve">El pasado mes de noviembre un nuevo problema volvió a salir a flote y no ha hecho más que agravar la situación: un agujero presupuestario de 3.000 millones de euros. La consecuencia más inmediata fue un endurecimiento del programa de reformas. </w:t>
      </w:r>
    </w:p>
    <w:p w:rsidR="00A51545" w:rsidRPr="00664F02" w:rsidRDefault="00A51545" w:rsidP="00550638">
      <w:pPr>
        <w:pStyle w:val="NormalWeb"/>
        <w:jc w:val="both"/>
      </w:pPr>
      <w:r w:rsidRPr="00664F02">
        <w:t xml:space="preserve">El aumento del copago sanitario, la subida del IVA hasta el 23%, la eliminación de la paga extra a los funcionarios que cobren más de 1.000 euros, el recorte del salario de los empleados del sector público en un 5%, así como el aumento de la jornada laboral en el sector privado y el abaratamiento del despido son las últimas actuaciones del Ejecutivo para intentar remediar la coyuntura. </w:t>
      </w:r>
    </w:p>
    <w:p w:rsidR="00A51545" w:rsidRPr="00664F02" w:rsidRDefault="00A51545" w:rsidP="00550638">
      <w:pPr>
        <w:pStyle w:val="NormalWeb"/>
        <w:jc w:val="both"/>
      </w:pPr>
      <w:r w:rsidRPr="00664F02">
        <w:t>Una de las peticiones de la UE, el BCE y el FMI fue el desarrollo de un plan de privatizaciones en el que se incluían las eléctricas EDP y REN. Hace una semana el Estado luso y la china Three Gorges llegaron a un acuerdo que le permitirá a Portugal conseguir 2.690 millones de euros por la venta de su participación.</w:t>
      </w:r>
    </w:p>
    <w:p w:rsidR="00A51545" w:rsidRPr="00664F02" w:rsidRDefault="00A51545" w:rsidP="00550638">
      <w:pPr>
        <w:pStyle w:val="NormalWeb"/>
        <w:jc w:val="both"/>
      </w:pPr>
      <w:r w:rsidRPr="00664F02">
        <w:t xml:space="preserve">Italia. Acosada por una deuda equivalente al 120% del PIB </w:t>
      </w:r>
    </w:p>
    <w:p w:rsidR="00A51545" w:rsidRPr="00664F02" w:rsidRDefault="00A51545" w:rsidP="00550638">
      <w:pPr>
        <w:pStyle w:val="NormalWeb"/>
        <w:jc w:val="both"/>
      </w:pPr>
      <w:r w:rsidRPr="00664F02">
        <w:t>El pasado 22 de diciembre el Senado italiano dio luz verde al plan de ajuste presentado por Mario Monti. Días antes la Cámara de los Diputados había dicho sí a un programa que pretende ahorrar 30.000 millones de euros hasta 2014, 12.000 de ellos procederán de la reducción del gasto público y 18.000 millones, de la recaudación.</w:t>
      </w:r>
    </w:p>
    <w:p w:rsidR="00A51545" w:rsidRPr="00664F02" w:rsidRDefault="00A51545" w:rsidP="00550638">
      <w:pPr>
        <w:pStyle w:val="NormalWeb"/>
        <w:jc w:val="both"/>
      </w:pPr>
      <w:r w:rsidRPr="00664F02">
        <w:t xml:space="preserve">Dos meses antes la mala gestión económica desarrollada por el ex primer ministro, Silvio Berlusconi, y la presión insoportable sobre la prima de riesgo explotó hasta acabar forzando la dimisión de Il Cavaliere. A partir de entonces, el Ejecutivo tecnócrata de Monti pasó a ser el encargado de reconducir la situación de un país que acumula una deuda equivalente al 120% del PIB y que se ha asomado </w:t>
      </w:r>
      <w:r w:rsidR="00664F02" w:rsidRPr="00664F02">
        <w:t>peligrosamente</w:t>
      </w:r>
      <w:r w:rsidRPr="00664F02">
        <w:t xml:space="preserve"> al abismo del impago. Pero las expectativas levantadas por el cambio de Gobierno no han servido para calmar la situación de un país que en 2012 tendrá que hacer frente a unos vencimientos de deuda pública de 202.000 millones de euros, 53.000 millones solo en el primer trimestre. Reflejo de este desafío es el nivel de la prima de riego italiana, que cierra el año por encima de los 500 puntos básicos, y del bono a 10 años, en el 7%. </w:t>
      </w:r>
    </w:p>
    <w:p w:rsidR="00A51545" w:rsidRDefault="00A51545" w:rsidP="00550638">
      <w:pPr>
        <w:pStyle w:val="NormalWeb"/>
        <w:jc w:val="both"/>
      </w:pPr>
      <w:r w:rsidRPr="00664F02">
        <w:t>La solución pasa de momento por un retraso de la edad de jubilación, la reintroducción del impuesto de bienes inmuebles sobre la primera vivienda, la subida del IVA, la congelación de las pensiones y una tasa del 0,4% para los capitales evadidos. El primer ministro italiano ha lamentado el incremento</w:t>
      </w:r>
      <w:r w:rsidR="00664F02" w:rsidRPr="00664F02">
        <w:t xml:space="preserve"> impositivo, pero reconoce que “</w:t>
      </w:r>
      <w:r w:rsidRPr="00664F02">
        <w:t>sin discipli</w:t>
      </w:r>
      <w:r w:rsidR="00664F02" w:rsidRPr="00664F02">
        <w:t>na fiscal no hay crecimiento”</w:t>
      </w:r>
      <w:r w:rsidRPr="00664F02">
        <w:t xml:space="preserve">. </w:t>
      </w:r>
    </w:p>
    <w:p w:rsidR="00CC51D7" w:rsidRPr="00664F02" w:rsidRDefault="00CC51D7" w:rsidP="00550638">
      <w:pPr>
        <w:pStyle w:val="NormalWeb"/>
        <w:jc w:val="both"/>
      </w:pPr>
    </w:p>
    <w:p w:rsidR="00A51545" w:rsidRPr="00664F02" w:rsidRDefault="00A51545" w:rsidP="00550638">
      <w:pPr>
        <w:pStyle w:val="NormalWeb"/>
        <w:jc w:val="both"/>
      </w:pPr>
      <w:r w:rsidRPr="00664F02">
        <w:lastRenderedPageBreak/>
        <w:t xml:space="preserve">Irlanda. Las ventajas de una economía abierta </w:t>
      </w:r>
    </w:p>
    <w:p w:rsidR="00A51545" w:rsidRPr="00664F02" w:rsidRDefault="00A51545" w:rsidP="00550638">
      <w:pPr>
        <w:pStyle w:val="NormalWeb"/>
        <w:jc w:val="both"/>
      </w:pPr>
      <w:r w:rsidRPr="00664F02">
        <w:t>Irlanda es la excepción dentro del mapa de los países rescatados. Un año después de ser intervenida ha conseguido distanciarse del camino abierto por Grecia y retorna a la senda del crecimiento. Se espera que cierre el año con un aumento del PIB del 1% gracias a la apertura al exterior y el atractivo que representa para muchas empresas su exiguo impuesto de sociedades.</w:t>
      </w:r>
    </w:p>
    <w:p w:rsidR="00A51545" w:rsidRPr="00664F02" w:rsidRDefault="00A51545" w:rsidP="00550638">
      <w:pPr>
        <w:pStyle w:val="NormalWeb"/>
        <w:jc w:val="both"/>
      </w:pPr>
      <w:r w:rsidRPr="00664F02">
        <w:t xml:space="preserve">Pero este progreso no ha eximido ni mucho menos al Ejecutivo de aprobar nuevos recortes. Además del exigido por la UE y el FMI para la recepción de una ayuda por 85.000 millones de euros, a comienzos de diciembre Irlanda anunció un nuevo plan de austeridad para recaudar 1.400 millones el próximo año. </w:t>
      </w:r>
    </w:p>
    <w:p w:rsidR="00A51545" w:rsidRPr="00664F02" w:rsidRDefault="00A51545" w:rsidP="00550638">
      <w:pPr>
        <w:pStyle w:val="NormalWeb"/>
        <w:jc w:val="both"/>
      </w:pPr>
      <w:r w:rsidRPr="00664F02">
        <w:t xml:space="preserve">La fórmula elegida pasa a ser la misma que las emprendidas en otros casos, es decir, recortes sociales que se añaden a la rebaja del gasto en infraestructuras. </w:t>
      </w:r>
    </w:p>
    <w:p w:rsidR="00A51545" w:rsidRPr="00664F02" w:rsidRDefault="00A51545" w:rsidP="00550638">
      <w:pPr>
        <w:pStyle w:val="NormalWeb"/>
        <w:jc w:val="both"/>
      </w:pPr>
      <w:r w:rsidRPr="00664F02">
        <w:t>En noviembre de 2010 la difícil situación que vivía la banca por el elevado endeudamiento que trajo consigo el estallido de la burbuja inmobiliaria fue la chispa que encendió la mecha. El país que dirigía Brian Cowen pasaba a ser el segundo intervenido y tendría que afrontar un duro plan de ajuste. Ese programa de reformas incluía el despido de 24.750 funcionarios, el endurecimiento del sistema impositivo y el retorno del IVA a niveles de 2006.</w:t>
      </w:r>
    </w:p>
    <w:p w:rsidR="00A51545" w:rsidRPr="00664F02" w:rsidRDefault="00A51545" w:rsidP="00550638">
      <w:pPr>
        <w:pStyle w:val="NormalWeb"/>
        <w:jc w:val="both"/>
      </w:pPr>
      <w:r w:rsidRPr="00664F02">
        <w:t xml:space="preserve">El impuesto de sociedades que tantos beneficios reporta a Irlanda permaneció inalterado a pesar de las constantes presiones de Bruselas y el recelo de algunos países como Francia que lo tachan de competencia desleal. A día de hoy permanece en el 12,5%, pero se verá amenazado por el proyecto de convergencia fiscal por el que aboga Angela Merkel. </w:t>
      </w:r>
    </w:p>
    <w:p w:rsidR="00A51545" w:rsidRPr="00664F02" w:rsidRDefault="00A51545" w:rsidP="00550638">
      <w:pPr>
        <w:pStyle w:val="NormalWeb"/>
        <w:jc w:val="both"/>
      </w:pPr>
      <w:r w:rsidRPr="00664F02">
        <w:t>Francia. Austeridad presupuestaria para conservar la triple A</w:t>
      </w:r>
    </w:p>
    <w:p w:rsidR="00A51545" w:rsidRPr="00664F02" w:rsidRDefault="00A51545" w:rsidP="00550638">
      <w:pPr>
        <w:pStyle w:val="NormalWeb"/>
        <w:jc w:val="both"/>
      </w:pPr>
      <w:r w:rsidRPr="00664F02">
        <w:t>Los problemas económicos y la elevada exposición a la deuda italiana y griega pasan factura a la economía francesa. La prueba más fehaciente son las sucesivas advertencias recibidas por las agencias de calificación. La última de ellas, Fitch, que advirtió del peligro cada vez más inminente de la pérdida de la triple A.</w:t>
      </w:r>
    </w:p>
    <w:p w:rsidR="00A51545" w:rsidRPr="00664F02" w:rsidRDefault="00A51545" w:rsidP="00550638">
      <w:pPr>
        <w:pStyle w:val="NormalWeb"/>
        <w:jc w:val="both"/>
      </w:pPr>
      <w:r w:rsidRPr="00664F02">
        <w:t>Pero Nicolas Sarkozy no se da por vencido. Tras anunciar un plan de ajuste en agosto con el que recaudar 12.000 millones de euros en dos años, en noviembre, el ministro de Finanzas, François Fillon, anunció una segunda oleada de recortes. Esta vez el gasto se reduciría en 8.000 millones gracias a la subida del IVA, el impuesto de sociedades y el paso de la tijera por el sistema de la seguridad social. El próximo año 2012 parece que seguirá la misma tendencia, pues, según lo señalado por Fillon, los presupuestos serán uno de los más austeros desde el final de la Segunda Guerra Mundial. Y Bruselas estima un crecimiento inferior al 1%.</w:t>
      </w:r>
    </w:p>
    <w:p w:rsidR="00E87CC8" w:rsidRPr="007D1C98" w:rsidRDefault="001C1A8B" w:rsidP="00550638">
      <w:pPr>
        <w:pStyle w:val="NormalWeb"/>
        <w:jc w:val="both"/>
        <w:rPr>
          <w:b/>
        </w:rPr>
      </w:pPr>
      <w:r>
        <w:rPr>
          <w:b/>
        </w:rPr>
        <w:t xml:space="preserve">1.6 - </w:t>
      </w:r>
      <w:r w:rsidR="00E87CC8">
        <w:rPr>
          <w:b/>
        </w:rPr>
        <w:t>El</w:t>
      </w:r>
      <w:r>
        <w:rPr>
          <w:b/>
        </w:rPr>
        <w:t xml:space="preserve"> eclipse de la razón</w:t>
      </w:r>
      <w:r w:rsidR="007D1C98">
        <w:rPr>
          <w:b/>
        </w:rPr>
        <w:t xml:space="preserve"> (</w:t>
      </w:r>
      <w:r w:rsidR="007D1C98" w:rsidRPr="007D1C98">
        <w:rPr>
          <w:b/>
        </w:rPr>
        <w:t>…y la ignorancia obstinada es ideología)</w:t>
      </w:r>
    </w:p>
    <w:p w:rsidR="001C1A8B" w:rsidRPr="001C1A8B" w:rsidRDefault="001C1A8B" w:rsidP="00550638">
      <w:pPr>
        <w:spacing w:line="240" w:lineRule="auto"/>
        <w:jc w:val="both"/>
        <w:rPr>
          <w:rFonts w:ascii="Times New Roman" w:eastAsia="Times New Roman" w:hAnsi="Times New Roman"/>
          <w:sz w:val="24"/>
          <w:szCs w:val="24"/>
          <w:lang w:eastAsia="es-ES"/>
        </w:rPr>
      </w:pPr>
      <w:r w:rsidRPr="001C1A8B">
        <w:rPr>
          <w:rFonts w:ascii="Times New Roman" w:eastAsia="Times New Roman" w:hAnsi="Times New Roman"/>
          <w:i/>
          <w:sz w:val="24"/>
          <w:szCs w:val="24"/>
          <w:lang w:eastAsia="es-ES"/>
        </w:rPr>
        <w:t xml:space="preserve">“Sin duda, la Segunda Gran Recesión -el nombre que damos a la crisis financiera que a finales de la década pasada se propagó prácticamente por todo el mundo- tendrá un profundo efecto sobre la economía, en particular sobre el estudio de las relaciones </w:t>
      </w:r>
      <w:r w:rsidRPr="001C1A8B">
        <w:rPr>
          <w:rFonts w:ascii="Times New Roman" w:eastAsia="Times New Roman" w:hAnsi="Times New Roman"/>
          <w:i/>
          <w:sz w:val="24"/>
          <w:szCs w:val="24"/>
          <w:lang w:eastAsia="es-ES"/>
        </w:rPr>
        <w:lastRenderedPageBreak/>
        <w:t>entre mercados financieros y economía real”...</w:t>
      </w:r>
      <w:r w:rsidRPr="001C1A8B">
        <w:rPr>
          <w:rFonts w:ascii="Times New Roman" w:eastAsia="Times New Roman" w:hAnsi="Times New Roman"/>
          <w:sz w:val="24"/>
          <w:szCs w:val="24"/>
          <w:lang w:eastAsia="es-ES"/>
        </w:rPr>
        <w:t xml:space="preserve"> (</w:t>
      </w:r>
      <w:r w:rsidR="00E04057" w:rsidRPr="001C1A8B">
        <w:rPr>
          <w:rFonts w:ascii="Times New Roman" w:eastAsia="Times New Roman" w:hAnsi="Times New Roman"/>
          <w:sz w:val="24"/>
          <w:szCs w:val="24"/>
          <w:lang w:eastAsia="es-ES"/>
        </w:rPr>
        <w:t xml:space="preserve">Carmen Reinhart </w:t>
      </w:r>
      <w:r w:rsidRPr="001C1A8B">
        <w:rPr>
          <w:rFonts w:ascii="Times New Roman" w:eastAsia="Times New Roman" w:hAnsi="Times New Roman"/>
          <w:sz w:val="24"/>
          <w:szCs w:val="24"/>
          <w:lang w:eastAsia="es-ES"/>
        </w:rPr>
        <w:t xml:space="preserve">y Kenneth Rogoff, autores del libro “Esta vez es distinto” </w:t>
      </w:r>
      <w:r>
        <w:rPr>
          <w:rFonts w:ascii="Times New Roman" w:eastAsia="Times New Roman" w:hAnsi="Times New Roman"/>
          <w:sz w:val="24"/>
          <w:szCs w:val="24"/>
          <w:lang w:eastAsia="es-ES"/>
        </w:rPr>
        <w:t>-</w:t>
      </w:r>
      <w:r w:rsidRPr="001C1A8B">
        <w:rPr>
          <w:rFonts w:ascii="Times New Roman" w:eastAsia="Times New Roman" w:hAnsi="Times New Roman"/>
          <w:sz w:val="24"/>
          <w:szCs w:val="24"/>
          <w:lang w:eastAsia="es-ES"/>
        </w:rPr>
        <w:t xml:space="preserve"> El País </w:t>
      </w:r>
      <w:r>
        <w:rPr>
          <w:rFonts w:ascii="Times New Roman" w:eastAsia="Times New Roman" w:hAnsi="Times New Roman"/>
          <w:sz w:val="24"/>
          <w:szCs w:val="24"/>
          <w:lang w:eastAsia="es-ES"/>
        </w:rPr>
        <w:t>-</w:t>
      </w:r>
      <w:r w:rsidRPr="001C1A8B">
        <w:rPr>
          <w:rFonts w:ascii="Times New Roman" w:eastAsia="Times New Roman" w:hAnsi="Times New Roman"/>
          <w:sz w:val="24"/>
          <w:szCs w:val="24"/>
          <w:lang w:eastAsia="es-ES"/>
        </w:rPr>
        <w:t xml:space="preserve"> </w:t>
      </w:r>
      <w:r w:rsidRPr="001C1A8B">
        <w:rPr>
          <w:rFonts w:ascii="Times New Roman" w:eastAsia="Times New Roman" w:hAnsi="Times New Roman"/>
          <w:b/>
          <w:sz w:val="24"/>
          <w:szCs w:val="24"/>
          <w:lang w:eastAsia="es-ES"/>
        </w:rPr>
        <w:t>5/6/11</w:t>
      </w:r>
      <w:r w:rsidRPr="001C1A8B">
        <w:rPr>
          <w:rFonts w:ascii="Times New Roman" w:eastAsia="Times New Roman" w:hAnsi="Times New Roman"/>
          <w:sz w:val="24"/>
          <w:szCs w:val="24"/>
          <w:lang w:eastAsia="es-ES"/>
        </w:rPr>
        <w:t>)</w:t>
      </w:r>
    </w:p>
    <w:p w:rsidR="00E04057" w:rsidRPr="006E0FB4" w:rsidRDefault="006E0FB4" w:rsidP="00550638">
      <w:pPr>
        <w:spacing w:after="0" w:line="240" w:lineRule="auto"/>
        <w:jc w:val="both"/>
        <w:rPr>
          <w:rFonts w:ascii="Times New Roman" w:hAnsi="Times New Roman"/>
          <w:i/>
          <w:sz w:val="24"/>
          <w:szCs w:val="24"/>
        </w:rPr>
      </w:pPr>
      <w:r>
        <w:rPr>
          <w:rFonts w:ascii="Times New Roman" w:hAnsi="Times New Roman"/>
          <w:i/>
          <w:sz w:val="24"/>
          <w:szCs w:val="24"/>
        </w:rPr>
        <w:t>“</w:t>
      </w:r>
      <w:r w:rsidR="00E04057" w:rsidRPr="006E0FB4">
        <w:rPr>
          <w:rFonts w:ascii="Times New Roman" w:hAnsi="Times New Roman"/>
          <w:i/>
          <w:sz w:val="24"/>
          <w:szCs w:val="24"/>
        </w:rPr>
        <w:t>Toda sociedad se aferra a un mito y vive por él. El nuestro es el del crecimiento económico. Las últimas cinco décadas la persecución del crecimiento ha sido el más importante de los objetivos políticos en el mundo. La economía global tiene cinco veces el tamaño de hace medio siglo. Si continúa creciendo al mismo ritmo</w:t>
      </w:r>
      <w:r w:rsidR="00C17D47" w:rsidRPr="006E0FB4">
        <w:rPr>
          <w:rFonts w:ascii="Times New Roman" w:hAnsi="Times New Roman"/>
          <w:i/>
          <w:sz w:val="24"/>
          <w:szCs w:val="24"/>
        </w:rPr>
        <w:t xml:space="preserve">, será 80 veces en el año 2100. </w:t>
      </w:r>
      <w:r w:rsidR="00E04057" w:rsidRPr="006E0FB4">
        <w:rPr>
          <w:rFonts w:ascii="Times New Roman" w:hAnsi="Times New Roman"/>
          <w:i/>
          <w:sz w:val="24"/>
          <w:szCs w:val="24"/>
        </w:rPr>
        <w:t>Este extraordinario salto de la actividad económica global no tiene precedentes en la historia. Y es algo que no puede estar más en desacuerdo con la base de recursos finitos y frágil equilibrio ecológico del que depende para su supervivencia. Y ya ha venido acompañado de una degradación estimada de un 60% de los ecosistemas del mundo.</w:t>
      </w:r>
    </w:p>
    <w:p w:rsidR="00E04057" w:rsidRPr="006E0FB4" w:rsidRDefault="00E04057" w:rsidP="00550638">
      <w:pPr>
        <w:spacing w:after="0" w:line="240" w:lineRule="auto"/>
        <w:jc w:val="both"/>
        <w:rPr>
          <w:rFonts w:ascii="Times New Roman" w:hAnsi="Times New Roman"/>
          <w:i/>
          <w:sz w:val="24"/>
          <w:szCs w:val="24"/>
        </w:rPr>
      </w:pPr>
    </w:p>
    <w:p w:rsidR="00E04057" w:rsidRPr="006E0FB4" w:rsidRDefault="00E04057" w:rsidP="00550638">
      <w:pPr>
        <w:spacing w:after="0" w:line="240" w:lineRule="auto"/>
        <w:jc w:val="both"/>
        <w:rPr>
          <w:rFonts w:ascii="Times New Roman" w:hAnsi="Times New Roman"/>
          <w:i/>
          <w:sz w:val="24"/>
          <w:szCs w:val="24"/>
        </w:rPr>
      </w:pPr>
      <w:r w:rsidRPr="006E0FB4">
        <w:rPr>
          <w:rFonts w:ascii="Times New Roman" w:hAnsi="Times New Roman"/>
          <w:i/>
          <w:sz w:val="24"/>
          <w:szCs w:val="24"/>
        </w:rPr>
        <w:t>La mayor parte del tiempo, evitamos la realidad de estos números. El crecimien</w:t>
      </w:r>
      <w:r w:rsidR="00F430DC">
        <w:rPr>
          <w:rFonts w:ascii="Times New Roman" w:hAnsi="Times New Roman"/>
          <w:i/>
          <w:sz w:val="24"/>
          <w:szCs w:val="24"/>
        </w:rPr>
        <w:t>to debe continuar, insistimos. “</w:t>
      </w:r>
      <w:r w:rsidRPr="006E0FB4">
        <w:rPr>
          <w:rFonts w:ascii="Times New Roman" w:hAnsi="Times New Roman"/>
          <w:i/>
          <w:sz w:val="24"/>
          <w:szCs w:val="24"/>
        </w:rPr>
        <w:t>¡Acumulad!, ¡acumulad!, es lo que di</w:t>
      </w:r>
      <w:r w:rsidR="00F430DC">
        <w:rPr>
          <w:rFonts w:ascii="Times New Roman" w:hAnsi="Times New Roman"/>
          <w:i/>
          <w:sz w:val="24"/>
          <w:szCs w:val="24"/>
        </w:rPr>
        <w:t>cen Moisés y todos los profetas”</w:t>
      </w:r>
      <w:r w:rsidRPr="006E0FB4">
        <w:rPr>
          <w:rFonts w:ascii="Times New Roman" w:hAnsi="Times New Roman"/>
          <w:i/>
          <w:sz w:val="24"/>
          <w:szCs w:val="24"/>
        </w:rPr>
        <w:t>, como dijo Karl Marx</w:t>
      </w:r>
      <w:r w:rsidR="00C17D47" w:rsidRPr="006E0FB4">
        <w:rPr>
          <w:rFonts w:ascii="Times New Roman" w:hAnsi="Times New Roman"/>
          <w:i/>
          <w:sz w:val="24"/>
          <w:szCs w:val="24"/>
        </w:rPr>
        <w:t>…</w:t>
      </w:r>
      <w:r w:rsidR="006E0FB4" w:rsidRPr="006E0FB4">
        <w:rPr>
          <w:rFonts w:ascii="Times New Roman" w:hAnsi="Times New Roman"/>
          <w:i/>
          <w:sz w:val="24"/>
          <w:szCs w:val="24"/>
        </w:rPr>
        <w:t xml:space="preserve"> </w:t>
      </w:r>
      <w:r w:rsidRPr="006E0FB4">
        <w:rPr>
          <w:rFonts w:ascii="Times New Roman" w:hAnsi="Times New Roman"/>
          <w:i/>
          <w:sz w:val="24"/>
          <w:szCs w:val="24"/>
        </w:rPr>
        <w:t xml:space="preserve">Las razones por esta ceguera colectiva son fáciles de encontrar. El capitalismo occidental se basa de forma estructural en el crecimiento para su estabilidad. Cuando la expansión se tambalea, como ha pasado recientemente, </w:t>
      </w:r>
      <w:r w:rsidR="006E0FB4" w:rsidRPr="006E0FB4">
        <w:rPr>
          <w:rFonts w:ascii="Times New Roman" w:hAnsi="Times New Roman"/>
          <w:i/>
          <w:sz w:val="24"/>
          <w:szCs w:val="24"/>
        </w:rPr>
        <w:t xml:space="preserve">los políticos entran en pánico. </w:t>
      </w:r>
      <w:r w:rsidRPr="006E0FB4">
        <w:rPr>
          <w:rFonts w:ascii="Times New Roman" w:hAnsi="Times New Roman"/>
          <w:i/>
          <w:sz w:val="24"/>
          <w:szCs w:val="24"/>
        </w:rPr>
        <w:t>Los negocios batallan por sobrevivir. La gente pierde sus trabajos y en ocasiones sus viviendas. La espiral de la recesión es una amenaza. Cuestionar el crecimiento se toma como un acto de lunáticos, idealistas y revolucionarios.</w:t>
      </w:r>
    </w:p>
    <w:p w:rsidR="00E04057" w:rsidRPr="006E0FB4" w:rsidRDefault="00E04057" w:rsidP="00550638">
      <w:pPr>
        <w:spacing w:after="0" w:line="240" w:lineRule="auto"/>
        <w:jc w:val="both"/>
        <w:rPr>
          <w:rFonts w:ascii="Times New Roman" w:hAnsi="Times New Roman"/>
          <w:i/>
          <w:sz w:val="24"/>
          <w:szCs w:val="24"/>
        </w:rPr>
      </w:pPr>
    </w:p>
    <w:p w:rsidR="006E0FB4" w:rsidRPr="00EA3637" w:rsidRDefault="00E04057" w:rsidP="00550638">
      <w:pPr>
        <w:spacing w:after="0" w:line="240" w:lineRule="auto"/>
        <w:jc w:val="both"/>
        <w:rPr>
          <w:rFonts w:ascii="Times New Roman" w:hAnsi="Times New Roman"/>
          <w:sz w:val="24"/>
          <w:szCs w:val="24"/>
        </w:rPr>
      </w:pPr>
      <w:r w:rsidRPr="006E0FB4">
        <w:rPr>
          <w:rFonts w:ascii="Times New Roman" w:hAnsi="Times New Roman"/>
          <w:i/>
          <w:sz w:val="24"/>
          <w:szCs w:val="24"/>
        </w:rPr>
        <w:t>Ahora, cuestionarlo es un deber. El mito del crecimiento infinito ha fracasado, ha fracasado para 2.000 millones de personas que viven con menos de US$</w:t>
      </w:r>
      <w:r w:rsidR="0099218F">
        <w:rPr>
          <w:rFonts w:ascii="Times New Roman" w:hAnsi="Times New Roman"/>
          <w:i/>
          <w:sz w:val="24"/>
          <w:szCs w:val="24"/>
        </w:rPr>
        <w:t xml:space="preserve"> </w:t>
      </w:r>
      <w:r w:rsidRPr="006E0FB4">
        <w:rPr>
          <w:rFonts w:ascii="Times New Roman" w:hAnsi="Times New Roman"/>
          <w:i/>
          <w:sz w:val="24"/>
          <w:szCs w:val="24"/>
        </w:rPr>
        <w:t>2 al día. Ha fracasado para el frágil sistema ecológico de cuya supervivencia depende. Ha fracasado, espectacularmente, en sus propios términos, para proveer estabilidad económica y asegurar la vida de las personas. La prosperidad para unos pocos, basada en la destrucción medioambiental y la persistente injusticia social, no es fundamento para una sociedad civilizada</w:t>
      </w:r>
      <w:r w:rsidR="006E0FB4" w:rsidRPr="006E0FB4">
        <w:rPr>
          <w:rFonts w:ascii="Times New Roman" w:hAnsi="Times New Roman"/>
          <w:i/>
          <w:sz w:val="24"/>
          <w:szCs w:val="24"/>
        </w:rPr>
        <w:t xml:space="preserve">”… </w:t>
      </w:r>
      <w:r w:rsidR="006E0FB4">
        <w:rPr>
          <w:rFonts w:ascii="Times New Roman" w:hAnsi="Times New Roman"/>
          <w:sz w:val="24"/>
          <w:szCs w:val="24"/>
        </w:rPr>
        <w:t>“</w:t>
      </w:r>
      <w:r w:rsidR="006E0FB4" w:rsidRPr="00EA3637">
        <w:rPr>
          <w:rFonts w:ascii="Times New Roman" w:hAnsi="Times New Roman"/>
          <w:sz w:val="24"/>
          <w:szCs w:val="24"/>
          <w:u w:val="single"/>
        </w:rPr>
        <w:t>El mito del crecimiento e</w:t>
      </w:r>
      <w:r w:rsidR="006E0FB4">
        <w:rPr>
          <w:rFonts w:ascii="Times New Roman" w:hAnsi="Times New Roman"/>
          <w:sz w:val="24"/>
          <w:szCs w:val="24"/>
          <w:u w:val="single"/>
        </w:rPr>
        <w:t>conómico infinito es un fracaso”</w:t>
      </w:r>
      <w:r w:rsidR="006E0FB4">
        <w:rPr>
          <w:rFonts w:ascii="Times New Roman" w:hAnsi="Times New Roman"/>
          <w:sz w:val="24"/>
          <w:szCs w:val="24"/>
        </w:rPr>
        <w:t xml:space="preserve"> (Tim Jackson - Universidad de Surrey - BBCMundo - </w:t>
      </w:r>
      <w:r w:rsidR="006E0FB4" w:rsidRPr="00EA3637">
        <w:rPr>
          <w:rFonts w:ascii="Times New Roman" w:hAnsi="Times New Roman"/>
          <w:b/>
          <w:sz w:val="24"/>
          <w:szCs w:val="24"/>
        </w:rPr>
        <w:t>29/9/11</w:t>
      </w:r>
      <w:r w:rsidR="006E0FB4">
        <w:rPr>
          <w:rFonts w:ascii="Times New Roman" w:hAnsi="Times New Roman"/>
          <w:sz w:val="24"/>
          <w:szCs w:val="24"/>
        </w:rPr>
        <w:t>)</w:t>
      </w:r>
    </w:p>
    <w:p w:rsidR="00AA7240" w:rsidRPr="00F430DC" w:rsidRDefault="00F430DC" w:rsidP="00550638">
      <w:pPr>
        <w:pStyle w:val="NormalWeb"/>
        <w:jc w:val="both"/>
        <w:rPr>
          <w:i/>
        </w:rPr>
      </w:pPr>
      <w:r>
        <w:rPr>
          <w:i/>
        </w:rPr>
        <w:t>“</w:t>
      </w:r>
      <w:r w:rsidR="00AA7240" w:rsidRPr="00F430DC">
        <w:rPr>
          <w:i/>
        </w:rPr>
        <w:t>Pensar es aprender de nuevo a ver, dirigir la propia conciencia, hacer de cada imagen un lugar privilegiado. No queremos ver más allá de nuestra necesidad inmediata, como solucionarla, sin meditar las consecuencias. Consecuencias a menudo desconocidas porque nos hemos negado a aprender, a asimilar conocimientos existentes, experiencias vividas, a sacar lógicas conclusione</w:t>
      </w:r>
      <w:r w:rsidR="006E0FB4" w:rsidRPr="00F430DC">
        <w:rPr>
          <w:i/>
        </w:rPr>
        <w:t xml:space="preserve">s y a actuar al calor de ellas. </w:t>
      </w:r>
      <w:r w:rsidR="00AA7240" w:rsidRPr="00F430DC">
        <w:rPr>
          <w:i/>
        </w:rPr>
        <w:t xml:space="preserve">Es significativo que el pensamiento de nuestra época sea a la vez uno de los más impregnados de una filosofía de la no significación del mundo y uno de los más desgarrados en sus conclusiones. Desgarro producido por esa incapacidad de la sociedad en encontrar su camino. </w:t>
      </w:r>
    </w:p>
    <w:p w:rsidR="00AA7240" w:rsidRPr="00F430DC" w:rsidRDefault="00AA7240" w:rsidP="00550638">
      <w:pPr>
        <w:pStyle w:val="NormalWeb"/>
        <w:jc w:val="both"/>
        <w:rPr>
          <w:i/>
        </w:rPr>
      </w:pPr>
      <w:r w:rsidRPr="00F430DC">
        <w:rPr>
          <w:i/>
        </w:rPr>
        <w:t xml:space="preserve">Es de nuevo el mito de Sísifo. El legendario rey condenado a subir la empinada ladera del monte, empujando cuesta arriba con sudor y sufrimiento permanente el pesado pedrusco, el cual acababa rodando de vuelta hasta el llano antes de alcanzar la cumbre. No tenía </w:t>
      </w:r>
      <w:r w:rsidR="006E0FB4" w:rsidRPr="00F430DC">
        <w:rPr>
          <w:i/>
        </w:rPr>
        <w:t>más</w:t>
      </w:r>
      <w:r w:rsidRPr="00F430DC">
        <w:rPr>
          <w:i/>
        </w:rPr>
        <w:t xml:space="preserve"> remedio que hacerlo remontar una y otra vez, para volverse a despeñar siempre, una vez tras otra, hasta el fin de los tiempos. Tiempos finales a los que nos vamos aproximando cada vez más rápidamente con cada escalada. </w:t>
      </w:r>
    </w:p>
    <w:p w:rsidR="00AA7240" w:rsidRPr="00F430DC" w:rsidRDefault="00AA7240" w:rsidP="00550638">
      <w:pPr>
        <w:pStyle w:val="NormalWeb"/>
        <w:jc w:val="both"/>
        <w:rPr>
          <w:i/>
        </w:rPr>
      </w:pPr>
      <w:r w:rsidRPr="00F430DC">
        <w:rPr>
          <w:i/>
        </w:rPr>
        <w:lastRenderedPageBreak/>
        <w:t>No hay castigo más terrible que el trabajo inútil y sin esperanza. Una parábola de esta sociedad absurda donde vivimos para trabajar, incapaces de trabajar para vivir, y menos para gozar. Donde el objetivo es producir más, a menudo no mejor, acumular más bienes absurdos y consumir absurdamente cultura basura, tanto o más que comida basura u ocio basura, sin más placer que la mera engullición y el disfrute basura.</w:t>
      </w:r>
    </w:p>
    <w:p w:rsidR="00F430DC" w:rsidRDefault="00AA7240" w:rsidP="00550638">
      <w:pPr>
        <w:pStyle w:val="NormalWeb"/>
        <w:jc w:val="both"/>
      </w:pPr>
      <w:r w:rsidRPr="00F430DC">
        <w:rPr>
          <w:i/>
        </w:rPr>
        <w:t>Tengo, pues, mis motivos para decir que el sentimiento de lo absurdo no nace del simple examen de un hecho o de una impresión, sino que brota de la comparación entre un estado de hecho y cierta realidad, entre una acción y el mundo que la supera. Lo absurdo es esencialmente un divorcio entre nuestros actos y sus consecuencias, entre lo que nos gustaría y lo que nos ocurre, entre el pensamiento económico que parece y no es, y el que debería ser</w:t>
      </w:r>
      <w:r w:rsidR="00F430DC">
        <w:rPr>
          <w:i/>
        </w:rPr>
        <w:t>”..</w:t>
      </w:r>
      <w:r w:rsidRPr="00F430DC">
        <w:rPr>
          <w:i/>
        </w:rPr>
        <w:t>.</w:t>
      </w:r>
      <w:r w:rsidR="00F430DC">
        <w:rPr>
          <w:i/>
        </w:rPr>
        <w:t xml:space="preserve"> </w:t>
      </w:r>
      <w:r w:rsidR="00F430DC" w:rsidRPr="00C44236">
        <w:rPr>
          <w:u w:val="single"/>
        </w:rPr>
        <w:t>El suicidio filosófico de la economía según Camus</w:t>
      </w:r>
      <w:r w:rsidR="00F430DC">
        <w:t xml:space="preserve"> (</w:t>
      </w:r>
      <w:r w:rsidR="00F430DC">
        <w:rPr>
          <w:rStyle w:val="firma-negra-grande-sin"/>
        </w:rPr>
        <w:t>José M. de la Viña</w:t>
      </w:r>
      <w:r w:rsidR="00F430DC">
        <w:t xml:space="preserve"> - El Confidencial - </w:t>
      </w:r>
      <w:r w:rsidR="00F430DC" w:rsidRPr="00C44236">
        <w:rPr>
          <w:b/>
        </w:rPr>
        <w:t>10/11/11</w:t>
      </w:r>
      <w:r w:rsidR="00F430DC">
        <w:t>)</w:t>
      </w:r>
    </w:p>
    <w:p w:rsidR="00266DCE" w:rsidRDefault="00266DCE" w:rsidP="00550638">
      <w:pPr>
        <w:pStyle w:val="NormalWeb"/>
        <w:jc w:val="both"/>
      </w:pPr>
      <w:r>
        <w:rPr>
          <w:rFonts w:ascii="Arial" w:hAnsi="Arial" w:cs="Arial"/>
          <w:noProof/>
          <w:color w:val="242424"/>
          <w:sz w:val="18"/>
          <w:szCs w:val="18"/>
        </w:rPr>
        <w:drawing>
          <wp:inline distT="0" distB="0" distL="0" distR="0" wp14:anchorId="436D371A" wp14:editId="4FE7AC0C">
            <wp:extent cx="5391302" cy="2735884"/>
            <wp:effectExtent l="0" t="0" r="0" b="7620"/>
            <wp:docPr id="459" name="Imagen 459" descr="http://www.ecestaticos.com/imagestatic/clipping/852/0f4/bbb/8520f4bbb4ab29939d77615ebc5fc8b1.jpg?mtime=138090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static/clipping/852/0f4/bbb/8520f4bbb4ab29939d77615ebc5fc8b1.jpg?mtime=13809079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00040" cy="2740318"/>
                    </a:xfrm>
                    <a:prstGeom prst="rect">
                      <a:avLst/>
                    </a:prstGeom>
                    <a:noFill/>
                    <a:ln>
                      <a:noFill/>
                    </a:ln>
                  </pic:spPr>
                </pic:pic>
              </a:graphicData>
            </a:graphic>
          </wp:inline>
        </w:drawing>
      </w:r>
    </w:p>
    <w:p w:rsidR="00C506AE" w:rsidRDefault="00C506AE" w:rsidP="00550638">
      <w:pPr>
        <w:pStyle w:val="NormalWeb"/>
        <w:jc w:val="both"/>
        <w:rPr>
          <w:b/>
        </w:rPr>
      </w:pPr>
      <w:r>
        <w:rPr>
          <w:b/>
        </w:rPr>
        <w:t>Recordando a Pablo Neruda podría decirles que: “puedo</w:t>
      </w:r>
      <w:r w:rsidRPr="00C506AE">
        <w:rPr>
          <w:b/>
        </w:rPr>
        <w:t xml:space="preserve"> escribir los versos más tristes esta noche</w:t>
      </w:r>
      <w:r>
        <w:rPr>
          <w:b/>
        </w:rPr>
        <w:t>”</w:t>
      </w:r>
      <w:r w:rsidRPr="00C506AE">
        <w:rPr>
          <w:b/>
        </w:rPr>
        <w:t>.</w:t>
      </w:r>
    </w:p>
    <w:p w:rsidR="00C506AE" w:rsidRDefault="00C506AE" w:rsidP="00550638">
      <w:pPr>
        <w:pStyle w:val="NormalWeb"/>
        <w:jc w:val="both"/>
        <w:rPr>
          <w:b/>
        </w:rPr>
      </w:pPr>
      <w:r>
        <w:rPr>
          <w:b/>
        </w:rPr>
        <w:t>Si algo “envidiaba” de Europa, hace</w:t>
      </w:r>
      <w:r w:rsidR="003E1B2E">
        <w:rPr>
          <w:b/>
        </w:rPr>
        <w:t>,</w:t>
      </w:r>
      <w:r>
        <w:rPr>
          <w:b/>
        </w:rPr>
        <w:t xml:space="preserve"> tal vez, cuarenta años (cuando aún vivía en la lejana, remota, falaz y fugaz Argentina, era su “socialdemocracia”, su “estad</w:t>
      </w:r>
      <w:r w:rsidR="003E1B2E">
        <w:rPr>
          <w:b/>
        </w:rPr>
        <w:t>o del bienestar”, su justa</w:t>
      </w:r>
      <w:r>
        <w:rPr>
          <w:b/>
        </w:rPr>
        <w:t xml:space="preserve"> y razonable </w:t>
      </w:r>
      <w:r w:rsidR="003E1B2E">
        <w:rPr>
          <w:b/>
        </w:rPr>
        <w:t>“</w:t>
      </w:r>
      <w:r>
        <w:rPr>
          <w:b/>
        </w:rPr>
        <w:t>distribución de las riquezas</w:t>
      </w:r>
      <w:r w:rsidR="003E1B2E">
        <w:rPr>
          <w:b/>
        </w:rPr>
        <w:t>”</w:t>
      </w:r>
      <w:r>
        <w:rPr>
          <w:b/>
        </w:rPr>
        <w:t>,</w:t>
      </w:r>
      <w:r w:rsidR="003E1B2E">
        <w:rPr>
          <w:b/>
        </w:rPr>
        <w:t xml:space="preserve"> su “equilibrio social”,</w:t>
      </w:r>
      <w:r>
        <w:rPr>
          <w:b/>
        </w:rPr>
        <w:t xml:space="preserve"> su </w:t>
      </w:r>
      <w:r w:rsidR="0052729D">
        <w:rPr>
          <w:b/>
        </w:rPr>
        <w:t>“</w:t>
      </w:r>
      <w:r>
        <w:rPr>
          <w:b/>
        </w:rPr>
        <w:t>igualdad de oportunidades</w:t>
      </w:r>
      <w:r w:rsidR="0052729D">
        <w:rPr>
          <w:b/>
        </w:rPr>
        <w:t>”</w:t>
      </w:r>
      <w:r>
        <w:rPr>
          <w:b/>
        </w:rPr>
        <w:t xml:space="preserve">, su </w:t>
      </w:r>
      <w:r w:rsidR="0052729D">
        <w:rPr>
          <w:b/>
        </w:rPr>
        <w:t>“</w:t>
      </w:r>
      <w:r>
        <w:rPr>
          <w:b/>
        </w:rPr>
        <w:t>paz social</w:t>
      </w:r>
      <w:r w:rsidR="0052729D">
        <w:rPr>
          <w:b/>
        </w:rPr>
        <w:t>”</w:t>
      </w:r>
      <w:r>
        <w:rPr>
          <w:b/>
        </w:rPr>
        <w:t>…</w:t>
      </w:r>
    </w:p>
    <w:p w:rsidR="0052729D" w:rsidRDefault="00C506AE" w:rsidP="00550638">
      <w:pPr>
        <w:pStyle w:val="NormalWeb"/>
        <w:jc w:val="both"/>
        <w:rPr>
          <w:b/>
        </w:rPr>
      </w:pPr>
      <w:r>
        <w:rPr>
          <w:b/>
        </w:rPr>
        <w:t xml:space="preserve">Si algo me </w:t>
      </w:r>
      <w:r w:rsidR="0052729D">
        <w:rPr>
          <w:b/>
        </w:rPr>
        <w:t>“</w:t>
      </w:r>
      <w:r>
        <w:rPr>
          <w:b/>
        </w:rPr>
        <w:t>inspiró a emigrar</w:t>
      </w:r>
      <w:r w:rsidR="0052729D">
        <w:rPr>
          <w:b/>
        </w:rPr>
        <w:t xml:space="preserve">” </w:t>
      </w:r>
      <w:r>
        <w:rPr>
          <w:b/>
        </w:rPr>
        <w:t>a Europa</w:t>
      </w:r>
      <w:r w:rsidR="0052729D">
        <w:rPr>
          <w:b/>
        </w:rPr>
        <w:t xml:space="preserve"> (exilio voluntario)</w:t>
      </w:r>
      <w:r>
        <w:rPr>
          <w:b/>
        </w:rPr>
        <w:t>, hace ya veinticinco años, fue ese modelo de socialdemocracia, comunitario,</w:t>
      </w:r>
      <w:r w:rsidR="003E1B2E">
        <w:rPr>
          <w:b/>
        </w:rPr>
        <w:t xml:space="preserve"> responsable, participativo,  amplio, generoso, solidario, equilibrado,</w:t>
      </w:r>
      <w:r w:rsidR="00B2783A">
        <w:rPr>
          <w:b/>
        </w:rPr>
        <w:t xml:space="preserve"> incluyente, redistributivo, </w:t>
      </w:r>
      <w:r w:rsidR="003E1B2E">
        <w:rPr>
          <w:b/>
        </w:rPr>
        <w:t>ético, justo… donde deseaba ver crecer a mis hijas y ver nacer a mis nietos</w:t>
      </w:r>
      <w:r w:rsidR="0052729D">
        <w:rPr>
          <w:b/>
        </w:rPr>
        <w:t>,</w:t>
      </w:r>
      <w:r w:rsidR="003E1B2E">
        <w:rPr>
          <w:b/>
        </w:rPr>
        <w:t xml:space="preserve"> en</w:t>
      </w:r>
      <w:r w:rsidR="0052729D">
        <w:rPr>
          <w:b/>
        </w:rPr>
        <w:t xml:space="preserve"> un espacio de unión económica con un desarrollo armónico</w:t>
      </w:r>
      <w:r w:rsidR="003D4FEA">
        <w:rPr>
          <w:b/>
        </w:rPr>
        <w:t>, previsible</w:t>
      </w:r>
      <w:r w:rsidR="0052729D">
        <w:rPr>
          <w:b/>
        </w:rPr>
        <w:t xml:space="preserve"> y sostenible…</w:t>
      </w:r>
    </w:p>
    <w:p w:rsidR="00B2783A" w:rsidRDefault="00B2783A" w:rsidP="00550638">
      <w:pPr>
        <w:pStyle w:val="NormalWeb"/>
        <w:jc w:val="both"/>
        <w:rPr>
          <w:b/>
        </w:rPr>
      </w:pPr>
      <w:r>
        <w:rPr>
          <w:b/>
        </w:rPr>
        <w:t>Creía haber visto el futuro, y que funcionaba. Estaba en el corazón de la vieja Europa.</w:t>
      </w:r>
    </w:p>
    <w:p w:rsidR="00B2783A" w:rsidRDefault="00B2783A" w:rsidP="00550638">
      <w:pPr>
        <w:pStyle w:val="NormalWeb"/>
        <w:jc w:val="both"/>
        <w:rPr>
          <w:b/>
        </w:rPr>
      </w:pPr>
      <w:r>
        <w:rPr>
          <w:b/>
        </w:rPr>
        <w:t>Que equívoco más grande. Hoy (octubre 2013) el sueño europeo se ha transformado en una pesadilla (desastre económico) y el despertar</w:t>
      </w:r>
      <w:r w:rsidR="006B3C15">
        <w:rPr>
          <w:b/>
        </w:rPr>
        <w:t>,</w:t>
      </w:r>
      <w:r>
        <w:rPr>
          <w:b/>
        </w:rPr>
        <w:t xml:space="preserve"> en un infierno </w:t>
      </w:r>
      <w:r>
        <w:rPr>
          <w:b/>
        </w:rPr>
        <w:lastRenderedPageBreak/>
        <w:t>(catástrofe social). El sufrimiento humano derivado de la crisis es tanto o mayor que en los Estados Unidos</w:t>
      </w:r>
      <w:r w:rsidR="00E1021F">
        <w:rPr>
          <w:b/>
        </w:rPr>
        <w:t>, donde nunca existió (ni se le espera) un estado del bienestar equivalente. Hoy al riesgo de colapso</w:t>
      </w:r>
      <w:r w:rsidR="006B3C15">
        <w:rPr>
          <w:b/>
        </w:rPr>
        <w:t>,</w:t>
      </w:r>
      <w:r w:rsidR="00E1021F">
        <w:rPr>
          <w:b/>
        </w:rPr>
        <w:t xml:space="preserve"> podemos agregar un desastre impecable. Más que un proyecto acabado de Unión, podemos decir (con gran dolor)</w:t>
      </w:r>
      <w:r w:rsidR="006B3C15">
        <w:rPr>
          <w:b/>
        </w:rPr>
        <w:t>, que estamos presenciando</w:t>
      </w:r>
      <w:r w:rsidR="00E1021F">
        <w:rPr>
          <w:b/>
        </w:rPr>
        <w:t xml:space="preserve"> el final</w:t>
      </w:r>
      <w:r w:rsidR="006B3C15">
        <w:rPr>
          <w:b/>
        </w:rPr>
        <w:t xml:space="preserve"> anunciado</w:t>
      </w:r>
      <w:r w:rsidR="00E1021F">
        <w:rPr>
          <w:b/>
        </w:rPr>
        <w:t xml:space="preserve"> de un proyecto comunitario.</w:t>
      </w:r>
      <w:r>
        <w:rPr>
          <w:b/>
        </w:rPr>
        <w:t xml:space="preserve">  </w:t>
      </w:r>
    </w:p>
    <w:p w:rsidR="0052729D" w:rsidRDefault="0052729D" w:rsidP="00550638">
      <w:pPr>
        <w:pStyle w:val="NormalWeb"/>
        <w:jc w:val="both"/>
        <w:rPr>
          <w:b/>
        </w:rPr>
      </w:pPr>
      <w:r>
        <w:rPr>
          <w:b/>
        </w:rPr>
        <w:t>Todo eso ha quedado barrido por el tsunami de la mayor crisis económico-financiera vivida por EEUU, con réplica en Europa, desde los años 30. Ah</w:t>
      </w:r>
      <w:r w:rsidR="00314F20">
        <w:rPr>
          <w:b/>
        </w:rPr>
        <w:t xml:space="preserve">ora (seis años después del inicio de la depresión) </w:t>
      </w:r>
      <w:r w:rsidR="00E1021F">
        <w:rPr>
          <w:b/>
        </w:rPr>
        <w:t>estamos viviendo la</w:t>
      </w:r>
      <w:r w:rsidR="00314F20">
        <w:rPr>
          <w:b/>
        </w:rPr>
        <w:t xml:space="preserve"> post guerra de una guerra librada con armas financieras de destrucción masiva, disparadas desde frentes instalados en lujosos despachos de bancos, agencias bursátiles, fondos de inversión</w:t>
      </w:r>
      <w:r w:rsidR="00E1021F">
        <w:rPr>
          <w:b/>
        </w:rPr>
        <w:t>, fondos de cobertura</w:t>
      </w:r>
      <w:r w:rsidR="006B3C15">
        <w:rPr>
          <w:b/>
        </w:rPr>
        <w:t xml:space="preserve">,… </w:t>
      </w:r>
      <w:r w:rsidR="00314F20">
        <w:rPr>
          <w:b/>
        </w:rPr>
        <w:t>por audaces aventureros especulativos, que han utilizado el capital de los ahorristas desprevenidos</w:t>
      </w:r>
      <w:r w:rsidR="00E1021F">
        <w:rPr>
          <w:b/>
        </w:rPr>
        <w:t xml:space="preserve"> e incautos</w:t>
      </w:r>
      <w:r w:rsidR="00314F20">
        <w:rPr>
          <w:b/>
        </w:rPr>
        <w:t>, para abatirlos con su propio fuego.</w:t>
      </w:r>
    </w:p>
    <w:p w:rsidR="00266DCE" w:rsidRPr="003D4FEA" w:rsidRDefault="00266DCE" w:rsidP="00550638">
      <w:pPr>
        <w:pStyle w:val="NormalWeb"/>
        <w:jc w:val="both"/>
        <w:rPr>
          <w:b/>
        </w:rPr>
      </w:pPr>
      <w:r w:rsidRPr="003D4FEA">
        <w:rPr>
          <w:b/>
        </w:rPr>
        <w:t xml:space="preserve">La Real Academia define el término </w:t>
      </w:r>
      <w:r w:rsidR="003D4FEA">
        <w:rPr>
          <w:b/>
          <w:bCs/>
        </w:rPr>
        <w:t>“recuperación”</w:t>
      </w:r>
      <w:r w:rsidRPr="003D4FEA">
        <w:rPr>
          <w:b/>
        </w:rPr>
        <w:t xml:space="preserve"> como la acción y efecto de recuperar o recuperarse. Obvio. Pero precisa en una segunda entrada que algo se recupera cuando vuelve a tomar o adquirir “lo que antes tenía”. Sería absurdo pensar que la recu</w:t>
      </w:r>
      <w:r w:rsidR="00314F20" w:rsidRPr="003D4FEA">
        <w:rPr>
          <w:b/>
        </w:rPr>
        <w:t>peración de la economía europea va a devolver a los países miembros</w:t>
      </w:r>
      <w:r w:rsidRPr="003D4FEA">
        <w:rPr>
          <w:b/>
        </w:rPr>
        <w:t xml:space="preserve"> a los niveles previos a la crisis.</w:t>
      </w:r>
    </w:p>
    <w:p w:rsidR="00266DCE" w:rsidRPr="003D4FEA" w:rsidRDefault="00314F20" w:rsidP="00550638">
      <w:pPr>
        <w:spacing w:before="100" w:beforeAutospacing="1" w:after="100" w:afterAutospacing="1" w:line="240" w:lineRule="auto"/>
        <w:jc w:val="both"/>
        <w:rPr>
          <w:rFonts w:ascii="Times New Roman" w:eastAsia="Times New Roman" w:hAnsi="Times New Roman" w:cs="Times New Roman"/>
          <w:b/>
          <w:sz w:val="24"/>
          <w:szCs w:val="24"/>
        </w:rPr>
      </w:pPr>
      <w:r w:rsidRPr="003D4FEA">
        <w:rPr>
          <w:rFonts w:ascii="Times New Roman" w:eastAsia="Times New Roman" w:hAnsi="Times New Roman" w:cs="Times New Roman"/>
          <w:b/>
          <w:sz w:val="24"/>
          <w:szCs w:val="24"/>
        </w:rPr>
        <w:t>En el mejor de los casos, Europa</w:t>
      </w:r>
      <w:r w:rsidR="00266DCE" w:rsidRPr="003D4FEA">
        <w:rPr>
          <w:rFonts w:ascii="Times New Roman" w:eastAsia="Times New Roman" w:hAnsi="Times New Roman" w:cs="Times New Roman"/>
          <w:b/>
          <w:sz w:val="24"/>
          <w:szCs w:val="24"/>
        </w:rPr>
        <w:t xml:space="preserve"> saneará su economía, ajustará sus </w:t>
      </w:r>
      <w:r w:rsidR="00266DCE" w:rsidRPr="003D4FEA">
        <w:rPr>
          <w:rFonts w:ascii="Times New Roman" w:eastAsia="Times New Roman" w:hAnsi="Times New Roman" w:cs="Times New Roman"/>
          <w:b/>
          <w:bCs/>
          <w:sz w:val="24"/>
          <w:szCs w:val="24"/>
        </w:rPr>
        <w:t xml:space="preserve">grandes desequilibrios </w:t>
      </w:r>
      <w:r w:rsidR="00266DCE" w:rsidRPr="003D4FEA">
        <w:rPr>
          <w:rFonts w:ascii="Times New Roman" w:eastAsia="Times New Roman" w:hAnsi="Times New Roman" w:cs="Times New Roman"/>
          <w:b/>
          <w:sz w:val="24"/>
          <w:szCs w:val="24"/>
        </w:rPr>
        <w:t>y volverá al crecimiento, incluso de una manera robusta. Hasta la devastada Europa de 1945 sa</w:t>
      </w:r>
      <w:r w:rsidRPr="003D4FEA">
        <w:rPr>
          <w:rFonts w:ascii="Times New Roman" w:eastAsia="Times New Roman" w:hAnsi="Times New Roman" w:cs="Times New Roman"/>
          <w:b/>
          <w:sz w:val="24"/>
          <w:szCs w:val="24"/>
        </w:rPr>
        <w:t>lió de la tragedia. Pero los países</w:t>
      </w:r>
      <w:r w:rsidR="00266DCE" w:rsidRPr="003D4FEA">
        <w:rPr>
          <w:rFonts w:ascii="Times New Roman" w:eastAsia="Times New Roman" w:hAnsi="Times New Roman" w:cs="Times New Roman"/>
          <w:b/>
          <w:sz w:val="24"/>
          <w:szCs w:val="24"/>
        </w:rPr>
        <w:t xml:space="preserve"> que salga</w:t>
      </w:r>
      <w:r w:rsidRPr="003D4FEA">
        <w:rPr>
          <w:rFonts w:ascii="Times New Roman" w:eastAsia="Times New Roman" w:hAnsi="Times New Roman" w:cs="Times New Roman"/>
          <w:b/>
          <w:sz w:val="24"/>
          <w:szCs w:val="24"/>
        </w:rPr>
        <w:t>n</w:t>
      </w:r>
      <w:r w:rsidR="00266DCE" w:rsidRPr="003D4FEA">
        <w:rPr>
          <w:rFonts w:ascii="Times New Roman" w:eastAsia="Times New Roman" w:hAnsi="Times New Roman" w:cs="Times New Roman"/>
          <w:b/>
          <w:sz w:val="24"/>
          <w:szCs w:val="24"/>
        </w:rPr>
        <w:t xml:space="preserve"> de esta crisis será</w:t>
      </w:r>
      <w:r w:rsidRPr="003D4FEA">
        <w:rPr>
          <w:rFonts w:ascii="Times New Roman" w:eastAsia="Times New Roman" w:hAnsi="Times New Roman" w:cs="Times New Roman"/>
          <w:b/>
          <w:sz w:val="24"/>
          <w:szCs w:val="24"/>
        </w:rPr>
        <w:t>n</w:t>
      </w:r>
      <w:r w:rsidR="00266DCE" w:rsidRPr="003D4FEA">
        <w:rPr>
          <w:rFonts w:ascii="Times New Roman" w:eastAsia="Times New Roman" w:hAnsi="Times New Roman" w:cs="Times New Roman"/>
          <w:b/>
          <w:sz w:val="24"/>
          <w:szCs w:val="24"/>
        </w:rPr>
        <w:t xml:space="preserve"> muy distinto</w:t>
      </w:r>
      <w:r w:rsidRPr="003D4FEA">
        <w:rPr>
          <w:rFonts w:ascii="Times New Roman" w:eastAsia="Times New Roman" w:hAnsi="Times New Roman" w:cs="Times New Roman"/>
          <w:b/>
          <w:sz w:val="24"/>
          <w:szCs w:val="24"/>
        </w:rPr>
        <w:t>s</w:t>
      </w:r>
      <w:r w:rsidR="00266DCE" w:rsidRPr="003D4FEA">
        <w:rPr>
          <w:rFonts w:ascii="Times New Roman" w:eastAsia="Times New Roman" w:hAnsi="Times New Roman" w:cs="Times New Roman"/>
          <w:b/>
          <w:sz w:val="24"/>
          <w:szCs w:val="24"/>
        </w:rPr>
        <w:t xml:space="preserve">. Muy parecido a lo que </w:t>
      </w:r>
      <w:r w:rsidR="00266DCE" w:rsidRPr="003D4FEA">
        <w:rPr>
          <w:rFonts w:ascii="Times New Roman" w:eastAsia="Times New Roman" w:hAnsi="Times New Roman" w:cs="Times New Roman"/>
          <w:b/>
          <w:bCs/>
          <w:sz w:val="24"/>
          <w:szCs w:val="24"/>
        </w:rPr>
        <w:t>Ulrich Beck</w:t>
      </w:r>
      <w:r w:rsidR="00266DCE" w:rsidRPr="003D4FEA">
        <w:rPr>
          <w:rFonts w:ascii="Times New Roman" w:eastAsia="Times New Roman" w:hAnsi="Times New Roman" w:cs="Times New Roman"/>
          <w:b/>
          <w:sz w:val="24"/>
          <w:szCs w:val="24"/>
        </w:rPr>
        <w:t xml:space="preserve"> denominó -ya en 1986- la sociedad del riesgo. Y todavía el muro no había caído.</w:t>
      </w:r>
    </w:p>
    <w:p w:rsidR="00266DCE" w:rsidRPr="003D4FEA" w:rsidRDefault="00266DCE" w:rsidP="00550638">
      <w:pPr>
        <w:spacing w:before="100" w:beforeAutospacing="1" w:after="100" w:afterAutospacing="1" w:line="240" w:lineRule="auto"/>
        <w:jc w:val="both"/>
        <w:rPr>
          <w:rFonts w:ascii="Times New Roman" w:eastAsia="Times New Roman" w:hAnsi="Times New Roman" w:cs="Times New Roman"/>
          <w:b/>
          <w:sz w:val="24"/>
          <w:szCs w:val="24"/>
        </w:rPr>
      </w:pPr>
      <w:r w:rsidRPr="003D4FEA">
        <w:rPr>
          <w:rFonts w:ascii="Times New Roman" w:eastAsia="Times New Roman" w:hAnsi="Times New Roman" w:cs="Times New Roman"/>
          <w:b/>
          <w:sz w:val="24"/>
          <w:szCs w:val="24"/>
        </w:rPr>
        <w:t xml:space="preserve">¿Y qué es la sociedad del riesgo? Pues aquella en la que lo relevante ya no es la </w:t>
      </w:r>
      <w:r w:rsidRPr="003D4FEA">
        <w:rPr>
          <w:rFonts w:ascii="Times New Roman" w:eastAsia="Times New Roman" w:hAnsi="Times New Roman" w:cs="Times New Roman"/>
          <w:b/>
          <w:bCs/>
          <w:sz w:val="24"/>
          <w:szCs w:val="24"/>
        </w:rPr>
        <w:t>distribución de la riqueza</w:t>
      </w:r>
      <w:r w:rsidRPr="003D4FEA">
        <w:rPr>
          <w:rFonts w:ascii="Times New Roman" w:eastAsia="Times New Roman" w:hAnsi="Times New Roman" w:cs="Times New Roman"/>
          <w:b/>
          <w:sz w:val="24"/>
          <w:szCs w:val="24"/>
        </w:rPr>
        <w:t xml:space="preserve">, sino la </w:t>
      </w:r>
      <w:r w:rsidRPr="003D4FEA">
        <w:rPr>
          <w:rFonts w:ascii="Times New Roman" w:eastAsia="Times New Roman" w:hAnsi="Times New Roman" w:cs="Times New Roman"/>
          <w:b/>
          <w:bCs/>
          <w:sz w:val="24"/>
          <w:szCs w:val="24"/>
        </w:rPr>
        <w:t>producción</w:t>
      </w:r>
      <w:r w:rsidRPr="003D4FEA">
        <w:rPr>
          <w:rFonts w:ascii="Times New Roman" w:eastAsia="Times New Roman" w:hAnsi="Times New Roman" w:cs="Times New Roman"/>
          <w:b/>
          <w:sz w:val="24"/>
          <w:szCs w:val="24"/>
        </w:rPr>
        <w:t xml:space="preserve"> de bienes y servicios de forma suficiente para financiar un determinado nivel de vida. Algo que, en última instancia, dependerá de su capacidad de adaptación en una economía globalizada.</w:t>
      </w:r>
    </w:p>
    <w:p w:rsidR="00266DCE" w:rsidRPr="003D4FEA" w:rsidRDefault="003D4FEA" w:rsidP="00550638">
      <w:pPr>
        <w:spacing w:before="100" w:beforeAutospacing="1" w:after="100" w:afterAutospacing="1" w:line="240" w:lineRule="auto"/>
        <w:jc w:val="both"/>
        <w:rPr>
          <w:rFonts w:ascii="Times New Roman" w:eastAsia="Times New Roman" w:hAnsi="Times New Roman" w:cs="Times New Roman"/>
          <w:b/>
          <w:sz w:val="24"/>
          <w:szCs w:val="24"/>
        </w:rPr>
      </w:pPr>
      <w:r w:rsidRPr="003D4FEA">
        <w:rPr>
          <w:rFonts w:ascii="Times New Roman" w:eastAsia="Times New Roman" w:hAnsi="Times New Roman" w:cs="Times New Roman"/>
          <w:b/>
          <w:sz w:val="24"/>
          <w:szCs w:val="24"/>
        </w:rPr>
        <w:t>Lo que se ha</w:t>
      </w:r>
      <w:r w:rsidR="00266DCE" w:rsidRPr="003D4FEA">
        <w:rPr>
          <w:rFonts w:ascii="Times New Roman" w:eastAsia="Times New Roman" w:hAnsi="Times New Roman" w:cs="Times New Roman"/>
          <w:b/>
          <w:sz w:val="24"/>
          <w:szCs w:val="24"/>
        </w:rPr>
        <w:t xml:space="preserve"> roto son las certezas y el mundo previsible. El mundo de la seguridad, del que hablaba </w:t>
      </w:r>
      <w:r w:rsidR="00266DCE" w:rsidRPr="003D4FEA">
        <w:rPr>
          <w:rFonts w:ascii="Times New Roman" w:eastAsia="Times New Roman" w:hAnsi="Times New Roman" w:cs="Times New Roman"/>
          <w:b/>
          <w:bCs/>
          <w:sz w:val="24"/>
          <w:szCs w:val="24"/>
        </w:rPr>
        <w:t>Stefan Zweig</w:t>
      </w:r>
      <w:r w:rsidR="00266DCE" w:rsidRPr="003D4FEA">
        <w:rPr>
          <w:rFonts w:ascii="Times New Roman" w:eastAsia="Times New Roman" w:hAnsi="Times New Roman" w:cs="Times New Roman"/>
          <w:b/>
          <w:sz w:val="24"/>
          <w:szCs w:val="24"/>
        </w:rPr>
        <w:t xml:space="preserve">. Hasta hace bien poco, se pensaba que los avances técnicos -y su corolario en términos de productividad- serían suficientes para lograr el </w:t>
      </w:r>
      <w:r w:rsidR="00266DCE" w:rsidRPr="003D4FEA">
        <w:rPr>
          <w:rFonts w:ascii="Times New Roman" w:eastAsia="Times New Roman" w:hAnsi="Times New Roman" w:cs="Times New Roman"/>
          <w:b/>
          <w:bCs/>
          <w:sz w:val="24"/>
          <w:szCs w:val="24"/>
        </w:rPr>
        <w:t>progreso social</w:t>
      </w:r>
      <w:r w:rsidR="00266DCE" w:rsidRPr="003D4FEA">
        <w:rPr>
          <w:rFonts w:ascii="Times New Roman" w:eastAsia="Times New Roman" w:hAnsi="Times New Roman" w:cs="Times New Roman"/>
          <w:b/>
          <w:sz w:val="24"/>
          <w:szCs w:val="24"/>
        </w:rPr>
        <w:t>. Hoy ya no es así.</w:t>
      </w:r>
    </w:p>
    <w:p w:rsidR="00266DCE" w:rsidRDefault="00266DCE" w:rsidP="00550638">
      <w:pPr>
        <w:spacing w:before="100" w:beforeAutospacing="1" w:after="100" w:afterAutospacing="1" w:line="240" w:lineRule="auto"/>
        <w:jc w:val="both"/>
        <w:rPr>
          <w:rFonts w:ascii="Times New Roman" w:eastAsia="Times New Roman" w:hAnsi="Times New Roman" w:cs="Times New Roman"/>
          <w:b/>
          <w:sz w:val="24"/>
          <w:szCs w:val="24"/>
        </w:rPr>
      </w:pPr>
      <w:r w:rsidRPr="003D4FEA">
        <w:rPr>
          <w:rFonts w:ascii="Times New Roman" w:eastAsia="Times New Roman" w:hAnsi="Times New Roman" w:cs="Times New Roman"/>
          <w:b/>
          <w:sz w:val="24"/>
          <w:szCs w:val="24"/>
        </w:rPr>
        <w:t xml:space="preserve">Mientras que en la sociedad industrial o de clases la cuestión social giraba en torno a cómo repartir la riqueza producida de forma colectiva (y la historia del siglo XX refleja hasta qué punto la lucha entre los diferentes agentes económicos fue encarnizada), en la nueva sociedad del riesgo se seguirá produciendo de una manera </w:t>
      </w:r>
      <w:r w:rsidRPr="003D4FEA">
        <w:rPr>
          <w:rFonts w:ascii="Times New Roman" w:eastAsia="Times New Roman" w:hAnsi="Times New Roman" w:cs="Times New Roman"/>
          <w:b/>
          <w:bCs/>
          <w:sz w:val="24"/>
          <w:szCs w:val="24"/>
        </w:rPr>
        <w:t>desigual,</w:t>
      </w:r>
      <w:r w:rsidRPr="003D4FEA">
        <w:rPr>
          <w:rFonts w:ascii="Times New Roman" w:eastAsia="Times New Roman" w:hAnsi="Times New Roman" w:cs="Times New Roman"/>
          <w:b/>
          <w:sz w:val="24"/>
          <w:szCs w:val="24"/>
        </w:rPr>
        <w:t xml:space="preserve"> pero su volumen ya no estará garantizado. Y es aquí cuando surge lo que ha ven</w:t>
      </w:r>
      <w:r w:rsidR="003D4FEA">
        <w:rPr>
          <w:rFonts w:ascii="Times New Roman" w:eastAsia="Times New Roman" w:hAnsi="Times New Roman" w:cs="Times New Roman"/>
          <w:b/>
          <w:sz w:val="24"/>
          <w:szCs w:val="24"/>
        </w:rPr>
        <w:t>ido a</w:t>
      </w:r>
      <w:r w:rsidRPr="003D4FEA">
        <w:rPr>
          <w:rFonts w:ascii="Times New Roman" w:eastAsia="Times New Roman" w:hAnsi="Times New Roman" w:cs="Times New Roman"/>
          <w:b/>
          <w:sz w:val="24"/>
          <w:szCs w:val="24"/>
        </w:rPr>
        <w:t xml:space="preserve"> definirse como los </w:t>
      </w:r>
      <w:r w:rsidR="003D4FEA" w:rsidRPr="003D4FEA">
        <w:rPr>
          <w:rFonts w:ascii="Times New Roman" w:eastAsia="Times New Roman" w:hAnsi="Times New Roman" w:cs="Times New Roman"/>
          <w:b/>
          <w:bCs/>
          <w:sz w:val="24"/>
          <w:szCs w:val="24"/>
        </w:rPr>
        <w:t>“nuevos pobres”</w:t>
      </w:r>
      <w:r w:rsidRPr="003D4FEA">
        <w:rPr>
          <w:rFonts w:ascii="Times New Roman" w:eastAsia="Times New Roman" w:hAnsi="Times New Roman" w:cs="Times New Roman"/>
          <w:b/>
          <w:sz w:val="24"/>
          <w:szCs w:val="24"/>
        </w:rPr>
        <w:t xml:space="preserve">. O la nueva pobreza, como se prefiera. Un fenómeno en el que se ven envueltos nuevos colectivos que antes se consideraban </w:t>
      </w:r>
      <w:r w:rsidRPr="003D4FEA">
        <w:rPr>
          <w:rFonts w:ascii="Times New Roman" w:eastAsia="Times New Roman" w:hAnsi="Times New Roman" w:cs="Times New Roman"/>
          <w:b/>
          <w:bCs/>
          <w:sz w:val="24"/>
          <w:szCs w:val="24"/>
        </w:rPr>
        <w:t>protegidos</w:t>
      </w:r>
      <w:r w:rsidRPr="003D4FEA">
        <w:rPr>
          <w:rFonts w:ascii="Times New Roman" w:eastAsia="Times New Roman" w:hAnsi="Times New Roman" w:cs="Times New Roman"/>
          <w:b/>
          <w:sz w:val="24"/>
          <w:szCs w:val="24"/>
        </w:rPr>
        <w:t xml:space="preserve"> contra las inclemencias económicas: profesionales, empleados públicos, pensionistas, parados de larga duración o estudiantes con dificultades para su inserción laboral.</w:t>
      </w:r>
    </w:p>
    <w:p w:rsidR="00E1021F" w:rsidRDefault="00E1021F" w:rsidP="00550638">
      <w:pPr>
        <w:spacing w:before="100" w:beforeAutospacing="1" w:after="100" w:afterAutospacing="1"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Antes el trabajador era necesario para que algunos ganaran, ahora hay gente que gana sin necesidad de que nadie trabaje para ellos. El resultado de esta situación es </w:t>
      </w:r>
      <w:r>
        <w:rPr>
          <w:rFonts w:ascii="Times New Roman" w:eastAsia="Times New Roman" w:hAnsi="Times New Roman" w:cs="Times New Roman"/>
          <w:b/>
          <w:sz w:val="24"/>
          <w:szCs w:val="24"/>
        </w:rPr>
        <w:lastRenderedPageBreak/>
        <w:t xml:space="preserve">una profunda desigualdad. Que no solo alcanza a los parados, sino también a una gran parte de los trabajadores asalariados. </w:t>
      </w:r>
    </w:p>
    <w:p w:rsidR="003D4FEA" w:rsidRPr="0043228C" w:rsidRDefault="0043228C" w:rsidP="00550638">
      <w:pPr>
        <w:pStyle w:val="NormalWeb"/>
        <w:jc w:val="both"/>
        <w:rPr>
          <w:i/>
        </w:rPr>
      </w:pPr>
      <w:r>
        <w:rPr>
          <w:i/>
        </w:rPr>
        <w:t>“</w:t>
      </w:r>
      <w:r w:rsidR="003D4FEA" w:rsidRPr="0043228C">
        <w:rPr>
          <w:i/>
        </w:rPr>
        <w:t xml:space="preserve">Aparentemente, cuando el banco de inversión estadounidense Lehman Brothers colapsó en 2008 y detonó la peor crisis financiera desde la Gran Depresión, se formó un amplio consenso sobre la causa de la crisis. Un sistema financiero inflado y disfuncional había asignado incorrectamente el capital y, en vez de gestionar el riesgo, lo creó. La </w:t>
      </w:r>
      <w:r w:rsidRPr="0043228C">
        <w:rPr>
          <w:i/>
        </w:rPr>
        <w:t>desregulación financiera -junto con el dinero barato-</w:t>
      </w:r>
      <w:r w:rsidR="003D4FEA" w:rsidRPr="0043228C">
        <w:rPr>
          <w:i/>
        </w:rPr>
        <w:t xml:space="preserve"> contribuyó a una excesiva toma de riesgos. </w:t>
      </w:r>
    </w:p>
    <w:p w:rsidR="003D4FEA" w:rsidRPr="0043228C" w:rsidRDefault="003D4FEA" w:rsidP="00550638">
      <w:pPr>
        <w:pStyle w:val="NormalWeb"/>
        <w:jc w:val="both"/>
        <w:rPr>
          <w:i/>
        </w:rPr>
      </w:pPr>
      <w:r w:rsidRPr="0043228C">
        <w:rPr>
          <w:i/>
        </w:rPr>
        <w:t>Cinco años más tarde, mientras algunos se felicitan a sí mismos por evitar otra depresión, nadie en Europa o Estados Unidos puede afirmar que la prosperidad ha regresado. La Unión Europea recién está emergiendo de la recaída en la recesión (y, en algunos casos, de una doble recaída), mientras que algunos estados miembros están en depresión. En muchos países de la UE, el PBI se mantiene por debajo, o insignificantemente por encima, de los niveles previos a la recesión. Casi 27 millones de europeos están desempleados.</w:t>
      </w:r>
    </w:p>
    <w:p w:rsidR="003D4FEA" w:rsidRPr="0043228C" w:rsidRDefault="003D4FEA" w:rsidP="00550638">
      <w:pPr>
        <w:pStyle w:val="NormalWeb"/>
        <w:jc w:val="both"/>
        <w:rPr>
          <w:i/>
        </w:rPr>
      </w:pPr>
      <w:r w:rsidRPr="0043228C">
        <w:rPr>
          <w:i/>
        </w:rPr>
        <w:t>Algo similar ocurre en Estados Unidos: 22 millones de personas que desean un empleo a tiempo completo no logran encontrarlo. La tasa de actividad en la fuerza de trabajo estadounidense ha caído a niveles que no se veían desde que las mujeres comenzaron a ingresar al mercado laboral en forma masiva. El ingreso y la riqueza de la mayoría de los estadounidenses se encuentran por debajo de niveles que habían registrado mucho antes de la crisis. De hecho, el ingreso típico de un trabajador masculino a tiempo completo es menor que hace más de cuatro décadas</w:t>
      </w:r>
      <w:r w:rsidR="0043228C">
        <w:rPr>
          <w:i/>
        </w:rPr>
        <w:t>…</w:t>
      </w:r>
    </w:p>
    <w:p w:rsidR="003D4FEA" w:rsidRPr="0043228C" w:rsidRDefault="003D4FEA" w:rsidP="00550638">
      <w:pPr>
        <w:pStyle w:val="NormalWeb"/>
        <w:jc w:val="both"/>
        <w:rPr>
          <w:i/>
        </w:rPr>
      </w:pPr>
      <w:r w:rsidRPr="0043228C">
        <w:rPr>
          <w:i/>
        </w:rPr>
        <w:t>Otros problemas continúan sin ser tratados y algunos han empeorado. El mercado hipotecario estadounidense aún sigue conectado a un respirador: el gobierno ahora asegura más del 90% de las hipotecas y la administración del presidente Barack Obama ni siquiera ha propuesto un nuevo sistema que garantizaría préstamos responsables con términos competitivos. El sistema financiero se ha concentrado aún más, algo que exacerbó el problema de los bancos que no solo son demasiado grandes y están demasiado interconectados y correlacionados para caer, sino que también son demasiado grandes para ser gestionados y responsabilizados. A pesar de un escándalo tras otro, desde lavado de dinero y manipulación del mercado hasta discriminación racial en los créditos y ejecuciones ilegales de hipotecas, ningún funcionario de alto nivel ha sido responsabilizado; cuando se impusieron sanciones financieras, fueron mucho menores de lo necesario, no fuera a ser que las instituciones sistémicamente importantes pudieran verse en peligro.</w:t>
      </w:r>
    </w:p>
    <w:p w:rsidR="003D4FEA" w:rsidRPr="0043228C" w:rsidRDefault="003D4FEA" w:rsidP="00550638">
      <w:pPr>
        <w:pStyle w:val="NormalWeb"/>
        <w:jc w:val="both"/>
        <w:rPr>
          <w:i/>
        </w:rPr>
      </w:pPr>
      <w:r w:rsidRPr="0043228C">
        <w:rPr>
          <w:i/>
        </w:rPr>
        <w:t>Las agencias de calificación de crédito han sido declaradas responsables en dos juicios privados. Pero también en este caso lo que pagaron fue una fracción de las pérdidas que causaron sus acciones. Algo más importan</w:t>
      </w:r>
      <w:r w:rsidR="00872E51">
        <w:rPr>
          <w:i/>
        </w:rPr>
        <w:t>te aún, el problema subyacente -</w:t>
      </w:r>
      <w:r w:rsidRPr="0043228C">
        <w:rPr>
          <w:i/>
        </w:rPr>
        <w:t>un sistema de incentivos perversos en el que reciben dinero de las empresas a las que califi</w:t>
      </w:r>
      <w:r w:rsidR="00872E51">
        <w:rPr>
          <w:i/>
        </w:rPr>
        <w:t>can-</w:t>
      </w:r>
      <w:r w:rsidRPr="0043228C">
        <w:rPr>
          <w:i/>
        </w:rPr>
        <w:t xml:space="preserve"> aún debe cambiar.</w:t>
      </w:r>
    </w:p>
    <w:p w:rsidR="003D4FEA" w:rsidRPr="0043228C" w:rsidRDefault="003D4FEA" w:rsidP="00550638">
      <w:pPr>
        <w:pStyle w:val="NormalWeb"/>
        <w:jc w:val="both"/>
        <w:rPr>
          <w:i/>
        </w:rPr>
      </w:pPr>
      <w:r w:rsidRPr="0043228C">
        <w:rPr>
          <w:i/>
        </w:rPr>
        <w:t xml:space="preserve">Los banqueros presumen de haber pagado totalmente los fondos de rescate del gobierno que recibieron cuando comenzó la crisis. Pero nunca parecen mencionar que cualquiera que hubiera recibido enormes créditos gubernamentales a tasas de interés cercanas a cero podría haber ganado miles de millones con el mero hecho de prestar </w:t>
      </w:r>
      <w:r w:rsidRPr="0043228C">
        <w:rPr>
          <w:i/>
        </w:rPr>
        <w:lastRenderedPageBreak/>
        <w:t>nuevamente ese dinero al gobierno. Tampoco mencionan los costos imp</w:t>
      </w:r>
      <w:r w:rsidR="0043228C">
        <w:rPr>
          <w:i/>
        </w:rPr>
        <w:t>uestos al resto de la economía -</w:t>
      </w:r>
      <w:r w:rsidRPr="0043228C">
        <w:rPr>
          <w:i/>
        </w:rPr>
        <w:t>una pérdida acumula</w:t>
      </w:r>
      <w:r w:rsidR="0043228C">
        <w:rPr>
          <w:i/>
        </w:rPr>
        <w:t>da del producto en Europa y EEUU</w:t>
      </w:r>
      <w:r w:rsidRPr="0043228C">
        <w:rPr>
          <w:i/>
        </w:rPr>
        <w:t xml:space="preserve"> que supera largamente los $</w:t>
      </w:r>
      <w:r w:rsidR="0043228C">
        <w:rPr>
          <w:i/>
        </w:rPr>
        <w:t xml:space="preserve"> </w:t>
      </w:r>
      <w:r w:rsidRPr="0043228C">
        <w:rPr>
          <w:i/>
        </w:rPr>
        <w:t>5 billones.</w:t>
      </w:r>
    </w:p>
    <w:p w:rsidR="003D4FEA" w:rsidRPr="0043228C" w:rsidRDefault="003D4FEA" w:rsidP="00550638">
      <w:pPr>
        <w:pStyle w:val="NormalWeb"/>
        <w:jc w:val="both"/>
        <w:rPr>
          <w:i/>
        </w:rPr>
      </w:pPr>
      <w:r w:rsidRPr="0043228C">
        <w:rPr>
          <w:i/>
        </w:rPr>
        <w:t>Mientras tanto, resultó que quienes sostuvieron que la política monetaria no sería suficiente estaban en lo cierto. Sí, todos fuimos keynesianas, pero por demasiado poco tiempo. El estímulo fiscal fue reemplazado por la austeridad, co</w:t>
      </w:r>
      <w:r w:rsidR="0043228C">
        <w:rPr>
          <w:i/>
        </w:rPr>
        <w:t>n efectos adversos predecibles -y predichos-</w:t>
      </w:r>
      <w:r w:rsidRPr="0043228C">
        <w:rPr>
          <w:i/>
        </w:rPr>
        <w:t xml:space="preserve"> sobre el desempeño de la economía.</w:t>
      </w:r>
    </w:p>
    <w:p w:rsidR="003D4FEA" w:rsidRPr="0043228C" w:rsidRDefault="003D4FEA" w:rsidP="00550638">
      <w:pPr>
        <w:pStyle w:val="NormalWeb"/>
        <w:jc w:val="both"/>
        <w:rPr>
          <w:i/>
        </w:rPr>
      </w:pPr>
      <w:r w:rsidRPr="0043228C">
        <w:rPr>
          <w:i/>
        </w:rPr>
        <w:t>Hay en Europa quienes están contentos porque la economía puede haber tocado fondo. Con el regreso del crecimi</w:t>
      </w:r>
      <w:r w:rsidR="0043228C">
        <w:rPr>
          <w:i/>
        </w:rPr>
        <w:t>ento del producto, la recesión -</w:t>
      </w:r>
      <w:r w:rsidRPr="0043228C">
        <w:rPr>
          <w:i/>
        </w:rPr>
        <w:t>definida como dos trimestres consec</w:t>
      </w:r>
      <w:r w:rsidR="0043228C">
        <w:rPr>
          <w:i/>
        </w:rPr>
        <w:t>utivos de contracción económica-</w:t>
      </w:r>
      <w:r w:rsidRPr="0043228C">
        <w:rPr>
          <w:i/>
        </w:rPr>
        <w:t xml:space="preserve"> oficialmente ha terminado. Pero, sin importar cómo se la mire en busca de resultados significativos, una economía en la cual los ingresos de la mayoría de la gente se encuentran por debajo de sus niveles previos a 2008, aún está en recesión. Y una economía en la cual el 25 % de los trabajadores (y el 50 % de l</w:t>
      </w:r>
      <w:r w:rsidR="0043228C">
        <w:rPr>
          <w:i/>
        </w:rPr>
        <w:t>os jóvenes) están desempleados -como ocurre en Grecia y España-</w:t>
      </w:r>
      <w:r w:rsidRPr="0043228C">
        <w:rPr>
          <w:i/>
        </w:rPr>
        <w:t xml:space="preserve"> continúa deprimida. La austeridad ha fracasado y no hay perspectivas de un pronto regreso al pleno empleo (no sorprende que las perspectivas para Estados Unidos, con su versión más limitada de la austeridad, sean mejores).</w:t>
      </w:r>
    </w:p>
    <w:p w:rsidR="003D4FEA" w:rsidRDefault="003D4FEA" w:rsidP="00550638">
      <w:pPr>
        <w:pStyle w:val="NormalWeb"/>
        <w:jc w:val="both"/>
      </w:pPr>
      <w:r w:rsidRPr="0043228C">
        <w:rPr>
          <w:i/>
        </w:rPr>
        <w:t xml:space="preserve">El sistema financiero puede ser más estable que hace cinco años, pero eso implica un bajo listón: en ese momento, se tambaleaba al borde del precipicio. Quienes se felicitan a sí mismos en el gobierno y el sector financiero por el regreso de los bancos </w:t>
      </w:r>
      <w:r w:rsidR="0043228C">
        <w:rPr>
          <w:i/>
        </w:rPr>
        <w:t>a la rentabilidad y las tibias -aunque difíciles de conseguir-</w:t>
      </w:r>
      <w:r w:rsidRPr="0043228C">
        <w:rPr>
          <w:i/>
        </w:rPr>
        <w:t xml:space="preserve"> mejoras regulatorias, deben centrarse en lo que todavía resta por hacer. Solo un cuarto del vaso está, como mucho, lleno; para la mayor parte de la gente, las tres cuartas partes están vacías</w:t>
      </w:r>
      <w:r w:rsidR="0043228C">
        <w:rPr>
          <w:i/>
        </w:rPr>
        <w:t>”</w:t>
      </w:r>
      <w:r w:rsidRPr="0043228C">
        <w:rPr>
          <w:i/>
        </w:rPr>
        <w:t>.</w:t>
      </w:r>
      <w:r w:rsidR="0043228C">
        <w:rPr>
          <w:i/>
        </w:rPr>
        <w:t xml:space="preserve"> </w:t>
      </w:r>
      <w:r w:rsidR="0043228C" w:rsidRPr="00441637">
        <w:rPr>
          <w:u w:val="single"/>
        </w:rPr>
        <w:t>Cinco años en el limbo</w:t>
      </w:r>
      <w:r w:rsidR="0043228C">
        <w:t xml:space="preserve"> (</w:t>
      </w:r>
      <w:r w:rsidR="0043228C" w:rsidRPr="00AD064B">
        <w:t>Joseph E. Stiglitz</w:t>
      </w:r>
      <w:r w:rsidR="0043228C">
        <w:t xml:space="preserve"> - Project Syndicate - </w:t>
      </w:r>
      <w:r w:rsidR="0043228C" w:rsidRPr="00441637">
        <w:rPr>
          <w:b/>
        </w:rPr>
        <w:t>8/10/13</w:t>
      </w:r>
      <w:r w:rsidR="0043228C">
        <w:t>)</w:t>
      </w:r>
    </w:p>
    <w:p w:rsidR="00274B06" w:rsidRDefault="006845A0" w:rsidP="00550638">
      <w:pPr>
        <w:pStyle w:val="NormalWeb"/>
        <w:jc w:val="both"/>
        <w:rPr>
          <w:b/>
        </w:rPr>
      </w:pPr>
      <w:r>
        <w:rPr>
          <w:b/>
        </w:rPr>
        <w:t>En nombre de una austeridad unilateral (</w:t>
      </w:r>
      <w:r w:rsidR="00DB05A5">
        <w:rPr>
          <w:b/>
        </w:rPr>
        <w:t xml:space="preserve">aplicada </w:t>
      </w:r>
      <w:r>
        <w:rPr>
          <w:b/>
        </w:rPr>
        <w:t>sobre los sectores más débiles de la sociedad), proclamada y no practicada por la casta política</w:t>
      </w:r>
      <w:r w:rsidR="00DB05A5">
        <w:rPr>
          <w:b/>
        </w:rPr>
        <w:t xml:space="preserve"> (amoral y corrupta)</w:t>
      </w:r>
      <w:r>
        <w:rPr>
          <w:b/>
        </w:rPr>
        <w:t>, las grandes corporaciones (subvencionadas y protegidas por el estado), los bancos</w:t>
      </w:r>
      <w:r w:rsidR="00DB05A5">
        <w:rPr>
          <w:b/>
        </w:rPr>
        <w:t xml:space="preserve"> quebrados</w:t>
      </w:r>
      <w:r>
        <w:rPr>
          <w:b/>
        </w:rPr>
        <w:t xml:space="preserve"> (rescatados con dinero público) y sectores ricos de la sociedad (que han salido beneficiados con la crisis),</w:t>
      </w:r>
      <w:r w:rsidR="00DB05A5">
        <w:rPr>
          <w:b/>
        </w:rPr>
        <w:t xml:space="preserve"> han “denunciado” el contrato social, con total frialdad, indiferencia, arrogancia, </w:t>
      </w:r>
      <w:r w:rsidR="00274B06">
        <w:rPr>
          <w:b/>
        </w:rPr>
        <w:t>ignominia, imprudencia, insensibilidad y osadía.</w:t>
      </w:r>
    </w:p>
    <w:p w:rsidR="00274B06" w:rsidRDefault="00274B06" w:rsidP="00550638">
      <w:pPr>
        <w:pStyle w:val="NormalWeb"/>
        <w:jc w:val="both"/>
        <w:rPr>
          <w:b/>
        </w:rPr>
      </w:pPr>
      <w:r>
        <w:rPr>
          <w:b/>
        </w:rPr>
        <w:t>El pago de la deuda soberana se ha garantizado con la expropiación de los fondos necesarios para atender la deuda social, bajo la bendición de los acreedores, previamente rescatados de la quiebra con dinero de los contribuyentes, que vuelven a  ser expoliados (reiterativamente), para “salvar” la crisis de la deuda.</w:t>
      </w:r>
    </w:p>
    <w:p w:rsidR="00966E33" w:rsidRDefault="008E70E4" w:rsidP="00550638">
      <w:pPr>
        <w:pStyle w:val="NormalWeb"/>
        <w:jc w:val="both"/>
        <w:rPr>
          <w:b/>
        </w:rPr>
      </w:pPr>
      <w:r>
        <w:rPr>
          <w:b/>
        </w:rPr>
        <w:t>Para preservar</w:t>
      </w:r>
      <w:r w:rsidR="00966E33">
        <w:rPr>
          <w:b/>
        </w:rPr>
        <w:t xml:space="preserve"> el “cielo” de la deuda han condenado al “infierno” a los grupos más vulnerables de la sociedad. </w:t>
      </w:r>
      <w:r w:rsidR="00274B06">
        <w:rPr>
          <w:b/>
        </w:rPr>
        <w:t>Se ha asegurado la “</w:t>
      </w:r>
      <w:r w:rsidR="00046FE6">
        <w:rPr>
          <w:b/>
        </w:rPr>
        <w:t>tranquilidad</w:t>
      </w:r>
      <w:r w:rsidR="00274B06">
        <w:rPr>
          <w:b/>
        </w:rPr>
        <w:t>” de los mercados, con la “paz”</w:t>
      </w:r>
      <w:r w:rsidR="00046FE6">
        <w:rPr>
          <w:b/>
        </w:rPr>
        <w:t xml:space="preserve"> de los cementerios (donde ha sido enterrado el Estado del Bienestar). Sin haber celebrado su funeral, siquiera.</w:t>
      </w:r>
      <w:r>
        <w:rPr>
          <w:b/>
        </w:rPr>
        <w:t xml:space="preserve"> </w:t>
      </w:r>
      <w:r w:rsidR="009A27A4">
        <w:rPr>
          <w:b/>
        </w:rPr>
        <w:t>Eso es lo</w:t>
      </w:r>
      <w:r w:rsidR="009A27A4" w:rsidRPr="009A27A4">
        <w:rPr>
          <w:b/>
        </w:rPr>
        <w:t xml:space="preserve"> que sucede cuando se desprecia el pensamiento</w:t>
      </w:r>
      <w:r w:rsidR="009A27A4">
        <w:rPr>
          <w:b/>
        </w:rPr>
        <w:t>.</w:t>
      </w:r>
      <w:r>
        <w:rPr>
          <w:b/>
        </w:rPr>
        <w:t xml:space="preserve"> Eso es hacer un pan como unas hostias.</w:t>
      </w:r>
    </w:p>
    <w:p w:rsidR="00966E33" w:rsidRDefault="00966E33" w:rsidP="00550638">
      <w:pPr>
        <w:pStyle w:val="NormalWeb"/>
        <w:jc w:val="both"/>
        <w:rPr>
          <w:b/>
        </w:rPr>
      </w:pPr>
      <w:r>
        <w:rPr>
          <w:b/>
        </w:rPr>
        <w:t>Europa (y ya no digamos</w:t>
      </w:r>
      <w:r w:rsidR="00094275">
        <w:rPr>
          <w:b/>
        </w:rPr>
        <w:t xml:space="preserve"> los</w:t>
      </w:r>
      <w:r>
        <w:rPr>
          <w:b/>
        </w:rPr>
        <w:t xml:space="preserve"> EEUU) ha dejado de ser una “comunidad” autogobernada y responsable frente a lo</w:t>
      </w:r>
      <w:r w:rsidR="00094275">
        <w:rPr>
          <w:b/>
        </w:rPr>
        <w:t>s deseos de sus ciudadanos, para transformarse en</w:t>
      </w:r>
      <w:r>
        <w:rPr>
          <w:b/>
        </w:rPr>
        <w:t xml:space="preserve"> un imperio incontrolable dominado por banqueros y corporaciones, y los políticos que les pertenecen. Los ciudadanos (contribuyentes) </w:t>
      </w:r>
      <w:r>
        <w:rPr>
          <w:b/>
        </w:rPr>
        <w:lastRenderedPageBreak/>
        <w:t>están siendo tratados</w:t>
      </w:r>
      <w:r w:rsidR="00094275">
        <w:rPr>
          <w:b/>
        </w:rPr>
        <w:t xml:space="preserve"> como</w:t>
      </w:r>
      <w:r>
        <w:rPr>
          <w:b/>
        </w:rPr>
        <w:t xml:space="preserve"> meros siervos de la gleba </w:t>
      </w:r>
      <w:r w:rsidR="00094275">
        <w:rPr>
          <w:b/>
        </w:rPr>
        <w:t>y los gobiernos se han convertido en simples sirvientes del poder económico.</w:t>
      </w:r>
    </w:p>
    <w:p w:rsidR="00094275" w:rsidRDefault="00094275" w:rsidP="00550638">
      <w:pPr>
        <w:pStyle w:val="NormalWeb"/>
        <w:jc w:val="both"/>
        <w:rPr>
          <w:b/>
        </w:rPr>
      </w:pPr>
      <w:r>
        <w:rPr>
          <w:b/>
        </w:rPr>
        <w:t>La deuda excesiva de los gobiernos ha sido causada por el rescate de los bancos quebrados (pretendidamente sistémicos), y no por políticas de gasto público para sostener un sistema de bienesta</w:t>
      </w:r>
      <w:r w:rsidR="009A27A4">
        <w:rPr>
          <w:b/>
        </w:rPr>
        <w:t>r social exagerado o</w:t>
      </w:r>
      <w:r w:rsidR="00C22C99">
        <w:rPr>
          <w:b/>
        </w:rPr>
        <w:t xml:space="preserve"> demagógico. Y</w:t>
      </w:r>
      <w:r>
        <w:rPr>
          <w:b/>
        </w:rPr>
        <w:t xml:space="preserve"> ahora se quiere resolver (garantizar) su pago (sin juzgar y condenar, al menos, a los culpables de la quiebra privada y pública</w:t>
      </w:r>
      <w:r w:rsidR="00C22C99">
        <w:rPr>
          <w:b/>
        </w:rPr>
        <w:t>, ni</w:t>
      </w:r>
      <w:r>
        <w:rPr>
          <w:b/>
        </w:rPr>
        <w:t xml:space="preserve"> crear los mecan</w:t>
      </w:r>
      <w:r w:rsidR="009A27A4">
        <w:rPr>
          <w:b/>
        </w:rPr>
        <w:t xml:space="preserve">ismos necesarios para evitar la </w:t>
      </w:r>
      <w:r w:rsidR="004A3A58">
        <w:rPr>
          <w:b/>
        </w:rPr>
        <w:t>repetición de la crisis</w:t>
      </w:r>
      <w:r>
        <w:rPr>
          <w:b/>
        </w:rPr>
        <w:t>)</w:t>
      </w:r>
      <w:r w:rsidR="00C22C99">
        <w:rPr>
          <w:b/>
        </w:rPr>
        <w:t>, desarmando un estado de bienestar (justo y necesario) que ha costado más de medio siglo de</w:t>
      </w:r>
      <w:r w:rsidR="009A27A4">
        <w:rPr>
          <w:b/>
        </w:rPr>
        <w:t xml:space="preserve"> luchas sociales y sacrificios a</w:t>
      </w:r>
      <w:r w:rsidR="00C22C99">
        <w:rPr>
          <w:b/>
        </w:rPr>
        <w:t xml:space="preserve"> los trabajadores.</w:t>
      </w:r>
    </w:p>
    <w:p w:rsidR="00C22C99" w:rsidRDefault="00C22C99" w:rsidP="00550638">
      <w:pPr>
        <w:pStyle w:val="NormalWeb"/>
        <w:jc w:val="both"/>
        <w:rPr>
          <w:b/>
        </w:rPr>
      </w:pPr>
      <w:r>
        <w:rPr>
          <w:b/>
        </w:rPr>
        <w:t>De la “socialización” (estatatización) de las perdidas privadas (bancos y otros especuladores financieros quebrados), pasamos a la “mutualización” de la amortización de la deuda pública (devenida del resc</w:t>
      </w:r>
      <w:r w:rsidR="009A27A4">
        <w:rPr>
          <w:b/>
        </w:rPr>
        <w:t>ate) por la vía del “expolio</w:t>
      </w:r>
      <w:r>
        <w:rPr>
          <w:b/>
        </w:rPr>
        <w:t>” de los sistemas de pensiones, salud y educación pública.</w:t>
      </w:r>
      <w:r w:rsidR="009A27A4">
        <w:rPr>
          <w:b/>
        </w:rPr>
        <w:t xml:space="preserve"> </w:t>
      </w:r>
    </w:p>
    <w:p w:rsidR="005E551E" w:rsidRDefault="00C22C99" w:rsidP="00550638">
      <w:pPr>
        <w:pStyle w:val="NormalWeb"/>
        <w:jc w:val="both"/>
        <w:rPr>
          <w:b/>
        </w:rPr>
      </w:pPr>
      <w:r>
        <w:rPr>
          <w:b/>
        </w:rPr>
        <w:t>A los líderes políticos que “padecemos” podría llamarles inmorales,</w:t>
      </w:r>
      <w:r w:rsidR="00A36907">
        <w:rPr>
          <w:b/>
        </w:rPr>
        <w:t xml:space="preserve"> deshonestos, corruptos, arrogantes, irresponsables, vanidosos</w:t>
      </w:r>
      <w:r>
        <w:rPr>
          <w:b/>
        </w:rPr>
        <w:t>,</w:t>
      </w:r>
      <w:r w:rsidR="00A36907">
        <w:rPr>
          <w:b/>
        </w:rPr>
        <w:t xml:space="preserve"> frívolos, sectarios… pero vamos a dejarlo en “imprudentes” (porque son incapaces de intentar -al menos- salvar su propia supervivencia de casta). Están tratando a los ciudadanos como súbditos, y eso es muy grave, y puede tener consecuencias catastróficas imprevisibles (animosidad en aumento, conflictividad social y rebelión cívica). Sin descartar el paso previo (y merecido) de una rebelión fiscal</w:t>
      </w:r>
      <w:r w:rsidR="005E551E">
        <w:rPr>
          <w:b/>
        </w:rPr>
        <w:t xml:space="preserve"> en toda regla</w:t>
      </w:r>
      <w:r w:rsidR="00A36907">
        <w:rPr>
          <w:b/>
        </w:rPr>
        <w:t>, que vaciaría las arcas</w:t>
      </w:r>
      <w:r w:rsidR="005E551E">
        <w:rPr>
          <w:b/>
        </w:rPr>
        <w:t xml:space="preserve"> del estado</w:t>
      </w:r>
      <w:r w:rsidR="006E78A3">
        <w:rPr>
          <w:b/>
        </w:rPr>
        <w:t xml:space="preserve"> plutocrático, prebenda</w:t>
      </w:r>
      <w:r w:rsidR="00DA1B8F">
        <w:rPr>
          <w:b/>
        </w:rPr>
        <w:t>rio y venal</w:t>
      </w:r>
      <w:r w:rsidR="005E551E">
        <w:rPr>
          <w:b/>
        </w:rPr>
        <w:t xml:space="preserve">. Fin del juego.  </w:t>
      </w:r>
    </w:p>
    <w:p w:rsidR="00DA1B8F" w:rsidRDefault="00DA1B8F" w:rsidP="00550638">
      <w:pPr>
        <w:pStyle w:val="NormalWeb"/>
        <w:jc w:val="both"/>
        <w:rPr>
          <w:b/>
        </w:rPr>
      </w:pPr>
      <w:r>
        <w:rPr>
          <w:b/>
        </w:rPr>
        <w:t>Por ahora, ya llevan cosechado el fruto más perverso de una</w:t>
      </w:r>
      <w:r w:rsidR="004A3A58">
        <w:rPr>
          <w:b/>
        </w:rPr>
        <w:t xml:space="preserve"> democracia:</w:t>
      </w:r>
      <w:r>
        <w:rPr>
          <w:b/>
        </w:rPr>
        <w:t xml:space="preserve"> la fractura social</w:t>
      </w:r>
      <w:r w:rsidR="004A3A58">
        <w:rPr>
          <w:b/>
        </w:rPr>
        <w:t>. Y me extraña</w:t>
      </w:r>
      <w:r>
        <w:rPr>
          <w:b/>
        </w:rPr>
        <w:t xml:space="preserve"> que tenga que ser un “invitado”</w:t>
      </w:r>
      <w:r w:rsidR="004A3A58">
        <w:rPr>
          <w:b/>
        </w:rPr>
        <w:t xml:space="preserve"> </w:t>
      </w:r>
      <w:r>
        <w:rPr>
          <w:b/>
        </w:rPr>
        <w:t>extranjero</w:t>
      </w:r>
      <w:r w:rsidR="004A3A58">
        <w:rPr>
          <w:b/>
        </w:rPr>
        <w:t xml:space="preserve"> (</w:t>
      </w:r>
      <w:r>
        <w:rPr>
          <w:b/>
        </w:rPr>
        <w:t>con 25 a</w:t>
      </w:r>
      <w:r w:rsidR="007105F3">
        <w:rPr>
          <w:b/>
        </w:rPr>
        <w:t>ños de residencia en Europa) quien</w:t>
      </w:r>
      <w:r>
        <w:rPr>
          <w:b/>
        </w:rPr>
        <w:t xml:space="preserve"> les tenga que recordar los peligros</w:t>
      </w:r>
      <w:r w:rsidR="007105F3">
        <w:rPr>
          <w:b/>
        </w:rPr>
        <w:t xml:space="preserve"> de dividir a la sociedad. Se está jugando con </w:t>
      </w:r>
      <w:r w:rsidR="000206F4">
        <w:rPr>
          <w:b/>
        </w:rPr>
        <w:t>la familia, con la seguridad</w:t>
      </w:r>
      <w:r w:rsidR="007105F3">
        <w:rPr>
          <w:b/>
        </w:rPr>
        <w:t xml:space="preserve">, con el futuro, y </w:t>
      </w:r>
      <w:r w:rsidR="004A2450">
        <w:rPr>
          <w:b/>
        </w:rPr>
        <w:t>eso es peligrosísimo, porque esos</w:t>
      </w:r>
      <w:r w:rsidR="007105F3">
        <w:rPr>
          <w:b/>
        </w:rPr>
        <w:t xml:space="preserve"> sentimientos son muy sensibles al radicalismo.</w:t>
      </w:r>
      <w:r>
        <w:rPr>
          <w:b/>
        </w:rPr>
        <w:t xml:space="preserve"> </w:t>
      </w:r>
    </w:p>
    <w:p w:rsidR="00A646ED" w:rsidRPr="00673CCA" w:rsidRDefault="00A646ED" w:rsidP="00550638">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673CCA">
        <w:rPr>
          <w:rFonts w:ascii="Times New Roman" w:eastAsia="Times New Roman" w:hAnsi="Times New Roman" w:cs="Times New Roman"/>
          <w:b/>
          <w:sz w:val="24"/>
          <w:szCs w:val="24"/>
          <w:lang w:eastAsia="es-ES"/>
        </w:rPr>
        <w:t>No h</w:t>
      </w:r>
      <w:r w:rsidR="004A2450">
        <w:rPr>
          <w:rFonts w:ascii="Times New Roman" w:eastAsia="Times New Roman" w:hAnsi="Times New Roman" w:cs="Times New Roman"/>
          <w:b/>
          <w:sz w:val="24"/>
          <w:szCs w:val="24"/>
          <w:lang w:eastAsia="es-ES"/>
        </w:rPr>
        <w:t>ay otra salida para Europa</w:t>
      </w:r>
      <w:r w:rsidRPr="00673CCA">
        <w:rPr>
          <w:rFonts w:ascii="Times New Roman" w:eastAsia="Times New Roman" w:hAnsi="Times New Roman" w:cs="Times New Roman"/>
          <w:b/>
          <w:sz w:val="24"/>
          <w:szCs w:val="24"/>
          <w:lang w:eastAsia="es-ES"/>
        </w:rPr>
        <w:t xml:space="preserve"> que</w:t>
      </w:r>
      <w:r w:rsidR="004A2450">
        <w:rPr>
          <w:rFonts w:ascii="Times New Roman" w:eastAsia="Times New Roman" w:hAnsi="Times New Roman" w:cs="Times New Roman"/>
          <w:b/>
          <w:sz w:val="24"/>
          <w:szCs w:val="24"/>
          <w:lang w:eastAsia="es-ES"/>
        </w:rPr>
        <w:t xml:space="preserve"> volver a</w:t>
      </w:r>
      <w:r w:rsidRPr="00673CCA">
        <w:rPr>
          <w:rFonts w:ascii="Times New Roman" w:eastAsia="Times New Roman" w:hAnsi="Times New Roman" w:cs="Times New Roman"/>
          <w:b/>
          <w:sz w:val="24"/>
          <w:szCs w:val="24"/>
          <w:lang w:eastAsia="es-ES"/>
        </w:rPr>
        <w:t xml:space="preserve"> establecer un consenso en torno al cumplimiento de los Derechos Humanos contenidos en el Preámbulo y los 30 artículos de la solemne Declaración de 1948 y demás documentos que los desarrollan. Esa opción exige hacer de los planteamientos económicos puros conceptos instrumentales sometidos al desarrollo de la gran opción descrita. </w:t>
      </w:r>
    </w:p>
    <w:p w:rsidR="00A646ED" w:rsidRPr="00673CCA" w:rsidRDefault="00A646ED" w:rsidP="00550638">
      <w:pPr>
        <w:spacing w:before="100" w:beforeAutospacing="1" w:after="100" w:afterAutospacing="1" w:line="240" w:lineRule="auto"/>
        <w:jc w:val="both"/>
        <w:rPr>
          <w:rFonts w:ascii="Times New Roman" w:eastAsia="Times New Roman" w:hAnsi="Times New Roman" w:cs="Times New Roman"/>
          <w:b/>
          <w:sz w:val="24"/>
          <w:szCs w:val="24"/>
          <w:lang w:eastAsia="es-ES"/>
        </w:rPr>
      </w:pPr>
      <w:r w:rsidRPr="00673CCA">
        <w:rPr>
          <w:rFonts w:ascii="Times New Roman" w:eastAsia="Times New Roman" w:hAnsi="Times New Roman" w:cs="Times New Roman"/>
          <w:b/>
          <w:sz w:val="24"/>
          <w:szCs w:val="24"/>
          <w:lang w:eastAsia="es-ES"/>
        </w:rPr>
        <w:t xml:space="preserve">Ni que decir tiene que </w:t>
      </w:r>
      <w:r w:rsidRPr="00673CCA">
        <w:rPr>
          <w:rFonts w:ascii="Times New Roman" w:eastAsia="Times New Roman" w:hAnsi="Times New Roman" w:cs="Times New Roman"/>
          <w:b/>
          <w:bCs/>
          <w:sz w:val="24"/>
          <w:szCs w:val="24"/>
          <w:lang w:eastAsia="es-ES"/>
        </w:rPr>
        <w:t>la lógica de los mercados supuestamente independientes debe dejar paso a la centralidad de la política como impulso</w:t>
      </w:r>
      <w:r w:rsidRPr="00673CCA">
        <w:rPr>
          <w:rFonts w:ascii="Times New Roman" w:eastAsia="Times New Roman" w:hAnsi="Times New Roman" w:cs="Times New Roman"/>
          <w:b/>
          <w:sz w:val="24"/>
          <w:szCs w:val="24"/>
          <w:lang w:eastAsia="es-ES"/>
        </w:rPr>
        <w:t xml:space="preserve"> y evaluación de los procesos puestos en marcha para el fin acordado. La democracia, entendida como convenio entre seres libres e iguales para seguir conviniendo sobre el estado de su contrato social, exige de por sí el control sobre la macroeconomía dejando en todo caso partes de la microeconomía al juego de la oferta y la demanda. </w:t>
      </w:r>
    </w:p>
    <w:p w:rsidR="004A3A58" w:rsidRDefault="00673CCA" w:rsidP="00550638">
      <w:pPr>
        <w:pStyle w:val="NormalWeb"/>
        <w:jc w:val="both"/>
        <w:rPr>
          <w:b/>
        </w:rPr>
      </w:pPr>
      <w:r>
        <w:rPr>
          <w:b/>
        </w:rPr>
        <w:t>A</w:t>
      </w:r>
      <w:r w:rsidR="00A646ED" w:rsidRPr="00673CCA">
        <w:rPr>
          <w:b/>
        </w:rPr>
        <w:t xml:space="preserve"> los que no miran más allá </w:t>
      </w:r>
      <w:r>
        <w:rPr>
          <w:b/>
        </w:rPr>
        <w:t>del PIB, el déficit fiscal, la sostenibilidad de la deuda o la competi</w:t>
      </w:r>
      <w:r w:rsidR="009A27A4">
        <w:rPr>
          <w:b/>
        </w:rPr>
        <w:t>ti</w:t>
      </w:r>
      <w:r>
        <w:rPr>
          <w:b/>
        </w:rPr>
        <w:t>vidad</w:t>
      </w:r>
      <w:r w:rsidR="00A646ED" w:rsidRPr="00673CCA">
        <w:rPr>
          <w:b/>
        </w:rPr>
        <w:t xml:space="preserve"> de las empresas, les propongo (humildemente) que </w:t>
      </w:r>
      <w:r>
        <w:rPr>
          <w:b/>
        </w:rPr>
        <w:t>sustituyan alguna (o tal vez</w:t>
      </w:r>
      <w:r w:rsidR="00E90AF4">
        <w:rPr>
          <w:b/>
        </w:rPr>
        <w:t>,</w:t>
      </w:r>
      <w:r>
        <w:rPr>
          <w:b/>
        </w:rPr>
        <w:t xml:space="preserve"> </w:t>
      </w:r>
      <w:r w:rsidR="00A646ED" w:rsidRPr="00673CCA">
        <w:rPr>
          <w:b/>
        </w:rPr>
        <w:t>todas)</w:t>
      </w:r>
      <w:r>
        <w:rPr>
          <w:b/>
        </w:rPr>
        <w:t xml:space="preserve"> de</w:t>
      </w:r>
      <w:r w:rsidR="00A646ED" w:rsidRPr="00673CCA">
        <w:rPr>
          <w:b/>
        </w:rPr>
        <w:t xml:space="preserve"> </w:t>
      </w:r>
      <w:r w:rsidR="00E90AF4">
        <w:rPr>
          <w:b/>
        </w:rPr>
        <w:t>esas</w:t>
      </w:r>
      <w:r w:rsidR="00A646ED" w:rsidRPr="00673CCA">
        <w:rPr>
          <w:b/>
        </w:rPr>
        <w:t xml:space="preserve"> grandes magnitudes que son usadas para calibrar la eficacia económica por el Índice de Desarrollo Humano, aunque ello les implique un inmenso</w:t>
      </w:r>
      <w:r>
        <w:rPr>
          <w:b/>
        </w:rPr>
        <w:t xml:space="preserve"> dolor y esfuerzo de parto que, </w:t>
      </w:r>
      <w:r w:rsidR="00A646ED" w:rsidRPr="00673CCA">
        <w:rPr>
          <w:b/>
        </w:rPr>
        <w:t>sin duda</w:t>
      </w:r>
      <w:r w:rsidRPr="00673CCA">
        <w:rPr>
          <w:b/>
        </w:rPr>
        <w:t>, será</w:t>
      </w:r>
      <w:r w:rsidR="00A646ED" w:rsidRPr="00673CCA">
        <w:rPr>
          <w:b/>
        </w:rPr>
        <w:t xml:space="preserve"> mucho menor que el de la agonía del actual sistema que com</w:t>
      </w:r>
      <w:r>
        <w:rPr>
          <w:b/>
        </w:rPr>
        <w:t>o decía Schumpeter se muere de éxito</w:t>
      </w:r>
      <w:r w:rsidR="004A3A58">
        <w:rPr>
          <w:b/>
        </w:rPr>
        <w:t>.</w:t>
      </w:r>
    </w:p>
    <w:p w:rsidR="004A3A58" w:rsidRDefault="005C41DA" w:rsidP="00550638">
      <w:pPr>
        <w:pStyle w:val="NormalWeb"/>
        <w:jc w:val="both"/>
        <w:rPr>
          <w:b/>
        </w:rPr>
      </w:pPr>
      <w:r>
        <w:rPr>
          <w:b/>
        </w:rPr>
        <w:lastRenderedPageBreak/>
        <w:t>Cuando el pragmatismo se convierte en cinismo</w:t>
      </w:r>
    </w:p>
    <w:p w:rsidR="00AA5D5F" w:rsidRDefault="004A3A58" w:rsidP="00550638">
      <w:pPr>
        <w:pStyle w:val="NormalWeb"/>
        <w:jc w:val="both"/>
        <w:rPr>
          <w:b/>
        </w:rPr>
      </w:pPr>
      <w:r>
        <w:rPr>
          <w:b/>
        </w:rPr>
        <w:t>De ser cierta la propuesta de la “sociedad participativa”</w:t>
      </w:r>
      <w:r w:rsidR="00AA5D5F">
        <w:rPr>
          <w:b/>
        </w:rPr>
        <w:t xml:space="preserve"> (a la holandesa)</w:t>
      </w:r>
      <w:r>
        <w:rPr>
          <w:b/>
        </w:rPr>
        <w:t>, o de la “big society”</w:t>
      </w:r>
      <w:r w:rsidR="00AA5D5F">
        <w:rPr>
          <w:b/>
        </w:rPr>
        <w:t xml:space="preserve"> (al british style), </w:t>
      </w:r>
      <w:r>
        <w:rPr>
          <w:b/>
        </w:rPr>
        <w:t>o de la “reinvención del Estado del bienestar”</w:t>
      </w:r>
      <w:r w:rsidR="00AA5D5F">
        <w:rPr>
          <w:b/>
        </w:rPr>
        <w:t xml:space="preserve"> (según el modelo sueco), para “acostumbrar” a la gente a no ver al Estado como una “maquinita de la felicidad”, en un alarde de pragmatismo, tal vez, se</w:t>
      </w:r>
      <w:r w:rsidR="00BF7C4C">
        <w:rPr>
          <w:b/>
        </w:rPr>
        <w:t>ría bueno empezar por limitar la “hipocresía</w:t>
      </w:r>
      <w:r w:rsidR="00AA5D5F">
        <w:rPr>
          <w:b/>
        </w:rPr>
        <w:t>” de esas propuestas o similares</w:t>
      </w:r>
      <w:r w:rsidR="00BF7C4C">
        <w:rPr>
          <w:b/>
        </w:rPr>
        <w:t>,</w:t>
      </w:r>
      <w:r w:rsidR="00AA5D5F">
        <w:rPr>
          <w:b/>
        </w:rPr>
        <w:t xml:space="preserve"> dejando de cobrar tan altos impuestos y cargas sociales al contribuyente para financiar unos servicios menguantes y dejar “que cada santo aguante su vela” (empezando por la administración del estado y todos los que “maman” del presupuesto). </w:t>
      </w:r>
    </w:p>
    <w:p w:rsidR="006F04F1" w:rsidRDefault="006F04F1" w:rsidP="00550638">
      <w:pPr>
        <w:pStyle w:val="NormalWeb"/>
        <w:jc w:val="both"/>
        <w:rPr>
          <w:b/>
        </w:rPr>
      </w:pPr>
      <w:r>
        <w:rPr>
          <w:b/>
        </w:rPr>
        <w:t>Fue</w:t>
      </w:r>
      <w:r w:rsidR="00BF7C4C">
        <w:rPr>
          <w:b/>
        </w:rPr>
        <w:t>ra máscaras, basta de cinismo</w:t>
      </w:r>
      <w:r w:rsidR="00C26470">
        <w:rPr>
          <w:b/>
        </w:rPr>
        <w:t>, y si vamos a imponer</w:t>
      </w:r>
      <w:r>
        <w:rPr>
          <w:b/>
        </w:rPr>
        <w:t xml:space="preserve"> el “darwinismo social”, que sea en toda regla, y se apliquen la misma receta los miembros de la casta política, sus patrocinadores y beneficiarios, dejando de disparar con pólvora del contribuyente.</w:t>
      </w:r>
      <w:r w:rsidR="003E456D">
        <w:rPr>
          <w:b/>
        </w:rPr>
        <w:t xml:space="preserve"> </w:t>
      </w:r>
      <w:r>
        <w:rPr>
          <w:b/>
        </w:rPr>
        <w:t>Podrían hacer suyo aquello de “</w:t>
      </w:r>
      <w:r w:rsidR="003E456D">
        <w:rPr>
          <w:b/>
        </w:rPr>
        <w:t>La bien pagá</w:t>
      </w:r>
      <w:r>
        <w:rPr>
          <w:b/>
        </w:rPr>
        <w:t>”: na</w:t>
      </w:r>
      <w:r w:rsidR="003E456D">
        <w:rPr>
          <w:b/>
        </w:rPr>
        <w:t xml:space="preserve"> te debo na te pido</w:t>
      </w:r>
      <w:r>
        <w:rPr>
          <w:b/>
        </w:rPr>
        <w:t>… Aunque me sospecho</w:t>
      </w:r>
      <w:r w:rsidR="009A2030">
        <w:rPr>
          <w:b/>
        </w:rPr>
        <w:t xml:space="preserve"> que esas “economías”… no llegará</w:t>
      </w:r>
      <w:r>
        <w:rPr>
          <w:b/>
        </w:rPr>
        <w:t>n al río.</w:t>
      </w:r>
    </w:p>
    <w:p w:rsidR="009A2030" w:rsidRDefault="00BF7C4C" w:rsidP="00550638">
      <w:pPr>
        <w:pStyle w:val="NormalWeb"/>
        <w:jc w:val="both"/>
        <w:rPr>
          <w:b/>
        </w:rPr>
      </w:pPr>
      <w:r>
        <w:rPr>
          <w:b/>
        </w:rPr>
        <w:t>Por si quieren ir “haciendo</w:t>
      </w:r>
      <w:r w:rsidR="00202257">
        <w:rPr>
          <w:b/>
        </w:rPr>
        <w:t>” cuentas</w:t>
      </w:r>
      <w:r w:rsidR="00CC51D7">
        <w:rPr>
          <w:b/>
        </w:rPr>
        <w:t>:</w:t>
      </w:r>
    </w:p>
    <w:p w:rsidR="009A2030" w:rsidRDefault="009A2030" w:rsidP="00550638">
      <w:pPr>
        <w:pStyle w:val="NormalWeb"/>
        <w:jc w:val="both"/>
        <w:rPr>
          <w:b/>
        </w:rPr>
      </w:pPr>
      <w:r>
        <w:rPr>
          <w:noProof/>
          <w:color w:val="0000FF"/>
        </w:rPr>
        <w:drawing>
          <wp:inline distT="0" distB="0" distL="0" distR="0" wp14:anchorId="05C02CC4" wp14:editId="38821DF7">
            <wp:extent cx="5391302" cy="5471770"/>
            <wp:effectExtent l="0" t="0" r="0" b="0"/>
            <wp:docPr id="462" name="Imagen 462" descr="http://s.libertaddigital.com/fotos/noticias/futuro_empresas_2.jpg">
              <a:hlinkClick xmlns:a="http://schemas.openxmlformats.org/drawingml/2006/main" r:id="rId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futuro_empresas_2.jpg">
                      <a:hlinkClick r:id="rId41"/>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00040" cy="5480638"/>
                    </a:xfrm>
                    <a:prstGeom prst="rect">
                      <a:avLst/>
                    </a:prstGeom>
                    <a:noFill/>
                    <a:ln>
                      <a:noFill/>
                    </a:ln>
                  </pic:spPr>
                </pic:pic>
              </a:graphicData>
            </a:graphic>
          </wp:inline>
        </w:drawing>
      </w:r>
    </w:p>
    <w:p w:rsidR="009A2030" w:rsidRDefault="009A2030" w:rsidP="00550638">
      <w:pPr>
        <w:pStyle w:val="NormalWeb"/>
        <w:jc w:val="both"/>
        <w:rPr>
          <w:b/>
        </w:rPr>
      </w:pPr>
    </w:p>
    <w:p w:rsidR="00CC51D7" w:rsidRDefault="00CC51D7" w:rsidP="00550638">
      <w:pPr>
        <w:pStyle w:val="NormalWeb"/>
        <w:jc w:val="both"/>
        <w:rPr>
          <w:b/>
        </w:rPr>
      </w:pPr>
    </w:p>
    <w:p w:rsidR="004A3A58" w:rsidRDefault="006F04F1" w:rsidP="00550638">
      <w:pPr>
        <w:pStyle w:val="NormalWeb"/>
        <w:jc w:val="both"/>
        <w:rPr>
          <w:b/>
        </w:rPr>
      </w:pPr>
      <w:r>
        <w:rPr>
          <w:b/>
          <w:bCs/>
          <w:noProof/>
          <w:color w:val="0000FF"/>
        </w:rPr>
        <w:drawing>
          <wp:inline distT="0" distB="0" distL="0" distR="0" wp14:anchorId="72C4607F" wp14:editId="72B6EB2F">
            <wp:extent cx="5149747" cy="7366407"/>
            <wp:effectExtent l="0" t="0" r="0" b="6350"/>
            <wp:docPr id="460" name="Imagen 460" descr="http://s.libertaddigital.com/fotos/noticias/CONTR01.jpg">
              <a:hlinkClick xmlns:a="http://schemas.openxmlformats.org/drawingml/2006/main" r:id="rId4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libertaddigital.com/fotos/noticias/CONTR01.jpg">
                      <a:hlinkClick r:id="rId43" tgtFrame="&quot;_blank&quot;"/>
                    </pic:cNvPr>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149850" cy="7366555"/>
                    </a:xfrm>
                    <a:prstGeom prst="rect">
                      <a:avLst/>
                    </a:prstGeom>
                    <a:noFill/>
                    <a:ln>
                      <a:noFill/>
                    </a:ln>
                  </pic:spPr>
                </pic:pic>
              </a:graphicData>
            </a:graphic>
          </wp:inline>
        </w:drawing>
      </w:r>
      <w:r>
        <w:rPr>
          <w:b/>
        </w:rPr>
        <w:t xml:space="preserve">  </w:t>
      </w:r>
    </w:p>
    <w:p w:rsidR="006F04F1" w:rsidRDefault="006F04F1" w:rsidP="00550638">
      <w:pPr>
        <w:pStyle w:val="NormalWeb"/>
        <w:jc w:val="both"/>
        <w:rPr>
          <w:b/>
        </w:rPr>
      </w:pPr>
    </w:p>
    <w:p w:rsidR="006F04F1" w:rsidRDefault="006F04F1" w:rsidP="00550638">
      <w:pPr>
        <w:pStyle w:val="NormalWeb"/>
        <w:jc w:val="both"/>
        <w:rPr>
          <w:b/>
        </w:rPr>
      </w:pPr>
    </w:p>
    <w:p w:rsidR="006F04F1" w:rsidRDefault="006F04F1" w:rsidP="00550638">
      <w:pPr>
        <w:pStyle w:val="NormalWeb"/>
        <w:jc w:val="both"/>
        <w:rPr>
          <w:b/>
        </w:rPr>
      </w:pPr>
      <w:r>
        <w:rPr>
          <w:noProof/>
          <w:color w:val="0000FF"/>
        </w:rPr>
        <w:lastRenderedPageBreak/>
        <w:drawing>
          <wp:inline distT="0" distB="0" distL="0" distR="0" wp14:anchorId="6E695E6F" wp14:editId="5B58CBF9">
            <wp:extent cx="5400040" cy="6648389"/>
            <wp:effectExtent l="0" t="0" r="0" b="635"/>
            <wp:docPr id="461" name="Imagen 461" descr="http://s.libertaddigital.com/fotos/noticias/CONTR03.jpg">
              <a:hlinkClick xmlns:a="http://schemas.openxmlformats.org/drawingml/2006/main" r:id="rId4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ibertaddigital.com/fotos/noticias/CONTR03.jpg">
                      <a:hlinkClick r:id="rId45" tgtFrame="&quot;_blank&quot;"/>
                    </pic:cNvPr>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00040" cy="6648389"/>
                    </a:xfrm>
                    <a:prstGeom prst="rect">
                      <a:avLst/>
                    </a:prstGeom>
                    <a:noFill/>
                    <a:ln>
                      <a:noFill/>
                    </a:ln>
                  </pic:spPr>
                </pic:pic>
              </a:graphicData>
            </a:graphic>
          </wp:inline>
        </w:drawing>
      </w:r>
    </w:p>
    <w:p w:rsidR="000D33BF" w:rsidRDefault="003E456D" w:rsidP="00550638">
      <w:pPr>
        <w:pStyle w:val="NormalWeb"/>
        <w:jc w:val="both"/>
        <w:rPr>
          <w:b/>
        </w:rPr>
      </w:pPr>
      <w:r>
        <w:rPr>
          <w:b/>
        </w:rPr>
        <w:t>Mientras “la gente quiere cuidar por sí misma, organizar su vi</w:t>
      </w:r>
      <w:r w:rsidR="00BF7C4C">
        <w:rPr>
          <w:b/>
        </w:rPr>
        <w:t>da y cuidar unos de otros” (sic</w:t>
      </w:r>
      <w:r w:rsidR="00202257">
        <w:rPr>
          <w:b/>
        </w:rPr>
        <w:t xml:space="preserve"> </w:t>
      </w:r>
      <w:r w:rsidR="00202257" w:rsidRPr="00202257">
        <w:t>-</w:t>
      </w:r>
      <w:r w:rsidR="00BF7C4C">
        <w:rPr>
          <w:b/>
        </w:rPr>
        <w:t xml:space="preserve"> Koning Willem Alexander</w:t>
      </w:r>
      <w:r>
        <w:rPr>
          <w:b/>
        </w:rPr>
        <w:t xml:space="preserve">), el Fondo Monetario Internacional </w:t>
      </w:r>
      <w:r w:rsidR="000D33BF">
        <w:rPr>
          <w:b/>
        </w:rPr>
        <w:t>“</w:t>
      </w:r>
      <w:r>
        <w:rPr>
          <w:b/>
        </w:rPr>
        <w:t>cuid</w:t>
      </w:r>
      <w:r w:rsidR="000D33BF">
        <w:rPr>
          <w:b/>
        </w:rPr>
        <w:t xml:space="preserve">a de </w:t>
      </w:r>
      <w:r>
        <w:rPr>
          <w:b/>
        </w:rPr>
        <w:t>los acreedore</w:t>
      </w:r>
      <w:r w:rsidR="00BF7C4C">
        <w:rPr>
          <w:b/>
        </w:rPr>
        <w:t>s, y organiza</w:t>
      </w:r>
      <w:r w:rsidR="000D33BF">
        <w:rPr>
          <w:b/>
        </w:rPr>
        <w:t xml:space="preserve"> el pago de la deuda” (un regreso a la Edad Media).</w:t>
      </w:r>
    </w:p>
    <w:p w:rsidR="00BF7C4C" w:rsidRDefault="0016680F" w:rsidP="00550638">
      <w:pPr>
        <w:pStyle w:val="NormalWeb"/>
        <w:jc w:val="both"/>
        <w:rPr>
          <w:b/>
        </w:rPr>
      </w:pPr>
      <w:r>
        <w:rPr>
          <w:b/>
        </w:rPr>
        <w:t>E</w:t>
      </w:r>
      <w:r w:rsidR="00BF7C4C">
        <w:rPr>
          <w:b/>
        </w:rPr>
        <w:t xml:space="preserve">l contribuyente europeo (cautivo y desvalido) trabaja más de la mitad del año para mantener el </w:t>
      </w:r>
      <w:r w:rsidR="007E58BB">
        <w:rPr>
          <w:b/>
        </w:rPr>
        <w:t>“</w:t>
      </w:r>
      <w:r w:rsidR="00BF7C4C">
        <w:rPr>
          <w:b/>
        </w:rPr>
        <w:t>leviatán gubernamental</w:t>
      </w:r>
      <w:r w:rsidR="007E58BB">
        <w:rPr>
          <w:b/>
        </w:rPr>
        <w:t>”,</w:t>
      </w:r>
      <w:r w:rsidR="00BF7C4C">
        <w:rPr>
          <w:b/>
        </w:rPr>
        <w:t xml:space="preserve"> recibiendo</w:t>
      </w:r>
      <w:r w:rsidR="007E58BB">
        <w:rPr>
          <w:b/>
        </w:rPr>
        <w:t xml:space="preserve"> poco o nada a cambio. Los políticos han duplicado el déficit público (en muchos casos)  y aumentado la deuda pública en un 50% (en muchos casos), en los últimos dos o tres años (hipotecando a varias generaciones) para rescatar a los bancos quebrados, y no conformes con incrementar la presión fiscal hasta límit</w:t>
      </w:r>
      <w:r>
        <w:rPr>
          <w:b/>
        </w:rPr>
        <w:t>es insoportables, disminuyen la prestación de los</w:t>
      </w:r>
      <w:r w:rsidR="007E58BB">
        <w:rPr>
          <w:b/>
        </w:rPr>
        <w:t xml:space="preserve"> servicios públicos y sociales hasta </w:t>
      </w:r>
      <w:r>
        <w:rPr>
          <w:b/>
        </w:rPr>
        <w:t>niveles tercermundistas. N</w:t>
      </w:r>
      <w:r w:rsidR="007E58BB">
        <w:rPr>
          <w:b/>
        </w:rPr>
        <w:t xml:space="preserve">o satisfechos </w:t>
      </w:r>
      <w:r w:rsidR="007E58BB">
        <w:rPr>
          <w:b/>
        </w:rPr>
        <w:lastRenderedPageBreak/>
        <w:t xml:space="preserve">con </w:t>
      </w:r>
      <w:r>
        <w:rPr>
          <w:b/>
        </w:rPr>
        <w:t>tamaño expolio fiscal e incumplimiento</w:t>
      </w:r>
      <w:r w:rsidR="007E58BB">
        <w:rPr>
          <w:b/>
        </w:rPr>
        <w:t xml:space="preserve"> del contrato social, ahora viene el FMI y “propone”</w:t>
      </w:r>
      <w:r>
        <w:rPr>
          <w:b/>
        </w:rPr>
        <w:t xml:space="preserve"> una exa</w:t>
      </w:r>
      <w:r w:rsidR="007E58BB">
        <w:rPr>
          <w:b/>
        </w:rPr>
        <w:t>cción adicional del 10% del</w:t>
      </w:r>
      <w:r>
        <w:rPr>
          <w:b/>
        </w:rPr>
        <w:t xml:space="preserve"> patrimonio de los agotados impositores. Lo dicho, un regreso a la Edad Media, en toda regla. </w:t>
      </w:r>
    </w:p>
    <w:p w:rsidR="004A3A58" w:rsidRDefault="000D33BF" w:rsidP="00550638">
      <w:pPr>
        <w:pStyle w:val="NormalWeb"/>
        <w:jc w:val="both"/>
        <w:rPr>
          <w:b/>
        </w:rPr>
      </w:pPr>
      <w:r>
        <w:rPr>
          <w:b/>
        </w:rPr>
        <w:t>¿Un juicio exagerado</w:t>
      </w:r>
      <w:r w:rsidR="004A3A58">
        <w:rPr>
          <w:b/>
        </w:rPr>
        <w:t xml:space="preserve">? </w:t>
      </w:r>
    </w:p>
    <w:p w:rsidR="004D6FDD" w:rsidRDefault="000D33BF" w:rsidP="00550638">
      <w:pPr>
        <w:pStyle w:val="NormalWeb"/>
        <w:jc w:val="both"/>
        <w:rPr>
          <w:b/>
        </w:rPr>
      </w:pPr>
      <w:r>
        <w:rPr>
          <w:b/>
        </w:rPr>
        <w:t>Por favor, pasen y lean:</w:t>
      </w:r>
    </w:p>
    <w:p w:rsidR="003E456D" w:rsidRPr="004D6FDD" w:rsidRDefault="003E456D" w:rsidP="00550638">
      <w:pPr>
        <w:pStyle w:val="NormalWeb"/>
        <w:jc w:val="both"/>
        <w:rPr>
          <w:b/>
        </w:rPr>
      </w:pPr>
      <w:r>
        <w:t xml:space="preserve">- </w:t>
      </w:r>
      <w:r w:rsidRPr="003165B0">
        <w:rPr>
          <w:u w:val="single"/>
        </w:rPr>
        <w:t>El FMI sugiere expropiar el 10% de la riqueza de las familias para reducir deuda pública</w:t>
      </w:r>
      <w:r>
        <w:t xml:space="preserve"> (Libertad Digital - </w:t>
      </w:r>
      <w:r w:rsidRPr="003165B0">
        <w:rPr>
          <w:b/>
        </w:rPr>
        <w:t>13/10/13</w:t>
      </w:r>
      <w:r>
        <w:t>)</w:t>
      </w:r>
    </w:p>
    <w:p w:rsidR="003E456D" w:rsidRPr="00AD4F56" w:rsidRDefault="003E456D" w:rsidP="00550638">
      <w:pPr>
        <w:spacing w:before="100" w:beforeAutospacing="1" w:after="100" w:afterAutospacing="1" w:line="240" w:lineRule="auto"/>
        <w:jc w:val="both"/>
        <w:rPr>
          <w:rFonts w:ascii="Times New Roman" w:eastAsia="Times New Roman" w:hAnsi="Times New Roman" w:cs="Times New Roman"/>
          <w:color w:val="FF0000"/>
          <w:sz w:val="24"/>
          <w:szCs w:val="24"/>
        </w:rPr>
      </w:pPr>
      <w:r w:rsidRPr="00AD4F56">
        <w:rPr>
          <w:rFonts w:ascii="Times New Roman" w:eastAsia="Times New Roman" w:hAnsi="Times New Roman" w:cs="Times New Roman"/>
          <w:color w:val="FF0000"/>
          <w:sz w:val="24"/>
          <w:szCs w:val="24"/>
        </w:rPr>
        <w:t>Su último informe recoge la posibilidad de aplicar una quita al patrimonio de los hogares para reducir la deuda pública a niveles de 2007.</w:t>
      </w:r>
    </w:p>
    <w:p w:rsidR="003E456D" w:rsidRDefault="003E456D"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Manuel Llamas)</w:t>
      </w:r>
    </w:p>
    <w:p w:rsidR="003E456D" w:rsidRPr="00AD4F56" w:rsidRDefault="003E456D" w:rsidP="00550638">
      <w:pPr>
        <w:pStyle w:val="NormalWeb"/>
        <w:jc w:val="both"/>
        <w:rPr>
          <w:u w:val="single"/>
        </w:rPr>
      </w:pPr>
      <w:r w:rsidRPr="00AD4F56">
        <w:rPr>
          <w:u w:val="single"/>
        </w:rPr>
        <w:t xml:space="preserve">Durante la presente crisis, los países desarrollados han disparado su </w:t>
      </w:r>
      <w:r w:rsidRPr="00CC51D7">
        <w:rPr>
          <w:rStyle w:val="Textoennegrita"/>
          <w:rFonts w:eastAsiaTheme="majorEastAsia"/>
          <w:b w:val="0"/>
          <w:u w:val="single"/>
        </w:rPr>
        <w:t>deuda pública</w:t>
      </w:r>
      <w:r w:rsidRPr="00AD4F56">
        <w:rPr>
          <w:rStyle w:val="Textoennegrita"/>
          <w:rFonts w:eastAsiaTheme="majorEastAsia"/>
          <w:u w:val="single"/>
        </w:rPr>
        <w:t xml:space="preserve"> </w:t>
      </w:r>
      <w:r w:rsidRPr="00AD4F56">
        <w:rPr>
          <w:u w:val="single"/>
        </w:rPr>
        <w:t xml:space="preserve">hasta alcanzar un </w:t>
      </w:r>
      <w:r w:rsidRPr="00CC51D7">
        <w:rPr>
          <w:rStyle w:val="Textoennegrita"/>
          <w:rFonts w:eastAsiaTheme="majorEastAsia"/>
          <w:b w:val="0"/>
          <w:u w:val="single"/>
        </w:rPr>
        <w:t>nuevo récord histórico</w:t>
      </w:r>
      <w:r w:rsidRPr="00AD4F56">
        <w:rPr>
          <w:u w:val="single"/>
        </w:rPr>
        <w:t xml:space="preserve"> en tiempos de paz. Buena muestra de ello es la grave crisis de deuda soberana que ha estallado en el seno de la zona euro y que, por el momento, se ha saldado con el </w:t>
      </w:r>
      <w:r w:rsidRPr="00CC51D7">
        <w:rPr>
          <w:rStyle w:val="Textoennegrita"/>
          <w:rFonts w:eastAsiaTheme="majorEastAsia"/>
          <w:b w:val="0"/>
          <w:u w:val="single"/>
        </w:rPr>
        <w:t>rescate internacional</w:t>
      </w:r>
      <w:r w:rsidRPr="00AD4F56">
        <w:rPr>
          <w:u w:val="single"/>
        </w:rPr>
        <w:t xml:space="preserve"> de cuatro estados miembros (Grecia, Irlanda, Portugal y Chipre), la asistencia financiera a España y un inédito programa especial para comprar bonos periféricos por parte del Banco Central Europeo (BCE), del que también se ha beneficiado Italia, entre otras medidas excepcionales.</w:t>
      </w:r>
    </w:p>
    <w:p w:rsidR="003E456D" w:rsidRPr="00AD4F56" w:rsidRDefault="003E456D" w:rsidP="00550638">
      <w:pPr>
        <w:pStyle w:val="NormalWeb"/>
        <w:jc w:val="both"/>
        <w:rPr>
          <w:u w:val="single"/>
        </w:rPr>
      </w:pPr>
      <w:r w:rsidRPr="00AD4F56">
        <w:rPr>
          <w:u w:val="single"/>
        </w:rPr>
        <w:t xml:space="preserve">La deuda de la zona euro supera ya el 92% del PIB, y especialmente alarmante es la situación de Grecia (160%), Italia (130%), Portugal (127%), Irlanda (125%) y Bélgica (105%). De hecho, España no se queda muy atrás, con </w:t>
      </w:r>
      <w:r w:rsidRPr="000D33BF">
        <w:rPr>
          <w:u w:val="single"/>
        </w:rPr>
        <w:t xml:space="preserve">un </w:t>
      </w:r>
      <w:hyperlink r:id="rId47" w:tgtFrame="_blank" w:history="1">
        <w:r w:rsidRPr="000D33BF">
          <w:rPr>
            <w:rStyle w:val="Hipervnculo"/>
            <w:rFonts w:eastAsiaTheme="majorEastAsia"/>
            <w:color w:val="auto"/>
          </w:rPr>
          <w:t>92,2% del PIB</w:t>
        </w:r>
      </w:hyperlink>
      <w:r w:rsidRPr="000D33BF">
        <w:rPr>
          <w:u w:val="single"/>
        </w:rPr>
        <w:t xml:space="preserve">, el mayor nivel registrado en el último siglo, y que amenaza con rondar el </w:t>
      </w:r>
      <w:hyperlink r:id="rId48" w:tgtFrame="_blank" w:history="1">
        <w:r w:rsidRPr="000D33BF">
          <w:rPr>
            <w:rStyle w:val="Hipervnculo"/>
            <w:rFonts w:eastAsiaTheme="majorEastAsia"/>
            <w:color w:val="auto"/>
          </w:rPr>
          <w:t>100% el próximo año</w:t>
        </w:r>
      </w:hyperlink>
      <w:r w:rsidRPr="000D33BF">
        <w:rPr>
          <w:u w:val="single"/>
        </w:rPr>
        <w:t xml:space="preserve">. </w:t>
      </w:r>
      <w:r w:rsidRPr="00AD4F56">
        <w:rPr>
          <w:u w:val="single"/>
        </w:rPr>
        <w:t>No es la primera vez que la deuda estatal alcanza volúmenes semejantes, ni mucho menos, pero tal crecimiento es excepcional en tiempos de paz. La cuestión que se plantean ahora analistas y gobernantes es</w:t>
      </w:r>
      <w:r w:rsidRPr="00AD4F56">
        <w:rPr>
          <w:rStyle w:val="Textoennegrita"/>
          <w:rFonts w:eastAsiaTheme="majorEastAsia"/>
          <w:u w:val="single"/>
        </w:rPr>
        <w:t xml:space="preserve"> </w:t>
      </w:r>
      <w:r w:rsidRPr="00CC51D7">
        <w:rPr>
          <w:rStyle w:val="Textoennegrita"/>
          <w:rFonts w:eastAsiaTheme="majorEastAsia"/>
          <w:b w:val="0"/>
          <w:u w:val="single"/>
        </w:rPr>
        <w:t>cómo revertir tal dinámica.</w:t>
      </w:r>
    </w:p>
    <w:p w:rsidR="003E456D" w:rsidRDefault="003E456D" w:rsidP="00550638">
      <w:pPr>
        <w:pStyle w:val="NormalWeb"/>
        <w:jc w:val="both"/>
      </w:pPr>
      <w:r w:rsidRPr="00AD4F56">
        <w:rPr>
          <w:color w:val="FF0000"/>
          <w:u w:val="single"/>
        </w:rPr>
        <w:t xml:space="preserve">Lo lógico y, sin duda, más saludable es que el estado en cuestión empiece a generar </w:t>
      </w:r>
      <w:r w:rsidRPr="00CC51D7">
        <w:rPr>
          <w:rStyle w:val="Textoennegrita"/>
          <w:rFonts w:eastAsiaTheme="majorEastAsia"/>
          <w:b w:val="0"/>
          <w:color w:val="FF0000"/>
          <w:u w:val="single"/>
        </w:rPr>
        <w:t>superávit fiscal primario</w:t>
      </w:r>
      <w:r w:rsidRPr="00AD4F56">
        <w:rPr>
          <w:color w:val="FF0000"/>
          <w:u w:val="single"/>
        </w:rPr>
        <w:t xml:space="preserve"> (descontando el pago de intereses) año a año para, de este modo, no sólo frenar el aumento de la deuda sino reducir su tamaño destinando esos excedentes presupuestarios a amortizar bonos</w:t>
      </w:r>
      <w:r>
        <w:t xml:space="preserve">. El problema es que ello implica mantener en el tiempo una </w:t>
      </w:r>
      <w:r w:rsidRPr="00CC51D7">
        <w:rPr>
          <w:rStyle w:val="Textoennegrita"/>
          <w:rFonts w:eastAsiaTheme="majorEastAsia"/>
          <w:b w:val="0"/>
        </w:rPr>
        <w:t>drástica senda de ajustes</w:t>
      </w:r>
      <w:r>
        <w:t>, sobre todo mediante recortes de gasto público, que no suelen tener muy buena acogida en los países afectados, tal y como está demostrando la actual crisis del euro.</w:t>
      </w:r>
    </w:p>
    <w:p w:rsidR="003E456D" w:rsidRPr="00202257" w:rsidRDefault="003E456D" w:rsidP="00550638">
      <w:pPr>
        <w:pStyle w:val="Ttulo3"/>
        <w:spacing w:line="240" w:lineRule="auto"/>
        <w:jc w:val="both"/>
        <w:rPr>
          <w:rFonts w:ascii="Times New Roman" w:hAnsi="Times New Roman" w:cs="Times New Roman"/>
          <w:b w:val="0"/>
          <w:color w:val="auto"/>
          <w:sz w:val="24"/>
          <w:szCs w:val="24"/>
        </w:rPr>
      </w:pPr>
      <w:r w:rsidRPr="00202257">
        <w:rPr>
          <w:rFonts w:ascii="Times New Roman" w:hAnsi="Times New Roman" w:cs="Times New Roman"/>
          <w:b w:val="0"/>
          <w:color w:val="auto"/>
          <w:sz w:val="24"/>
          <w:szCs w:val="24"/>
        </w:rPr>
        <w:t>Las vías para reducir deuda</w:t>
      </w:r>
    </w:p>
    <w:p w:rsidR="003E456D" w:rsidRPr="00AD4F56" w:rsidRDefault="003E456D" w:rsidP="00550638">
      <w:pPr>
        <w:pStyle w:val="NormalWeb"/>
        <w:jc w:val="both"/>
        <w:rPr>
          <w:u w:val="single"/>
        </w:rPr>
      </w:pPr>
      <w:r w:rsidRPr="00AD4F56">
        <w:rPr>
          <w:u w:val="single"/>
        </w:rPr>
        <w:t xml:space="preserve">La </w:t>
      </w:r>
      <w:r w:rsidRPr="00CC51D7">
        <w:rPr>
          <w:rStyle w:val="Textoennegrita"/>
          <w:rFonts w:eastAsiaTheme="majorEastAsia"/>
          <w:b w:val="0"/>
          <w:u w:val="single"/>
        </w:rPr>
        <w:t>historia de las crisis soberanas</w:t>
      </w:r>
      <w:r w:rsidRPr="00AD4F56">
        <w:rPr>
          <w:rStyle w:val="Textoennegrita"/>
          <w:rFonts w:eastAsiaTheme="majorEastAsia"/>
          <w:u w:val="single"/>
        </w:rPr>
        <w:t xml:space="preserve"> </w:t>
      </w:r>
      <w:r w:rsidRPr="00AD4F56">
        <w:rPr>
          <w:u w:val="single"/>
        </w:rPr>
        <w:t>demuestra que los políticos no son muy dados a aplicar estrictos programas de austeridad pública. De ahí, precisamente, que este tipo de fenómenos se haya resuelto habitualmente acudiendo a otro tipo de mecanismos extraordinarios:</w:t>
      </w:r>
    </w:p>
    <w:p w:rsidR="003E456D" w:rsidRPr="003165B0" w:rsidRDefault="003E456D" w:rsidP="00550638">
      <w:pPr>
        <w:numPr>
          <w:ilvl w:val="0"/>
          <w:numId w:val="32"/>
        </w:numPr>
        <w:spacing w:before="100" w:beforeAutospacing="1" w:after="100" w:afterAutospacing="1" w:line="240" w:lineRule="auto"/>
        <w:jc w:val="both"/>
        <w:rPr>
          <w:rFonts w:ascii="Times New Roman" w:hAnsi="Times New Roman" w:cs="Times New Roman"/>
          <w:sz w:val="24"/>
          <w:szCs w:val="24"/>
        </w:rPr>
      </w:pPr>
      <w:r w:rsidRPr="00AD4F56">
        <w:rPr>
          <w:rStyle w:val="Textoennegrita"/>
          <w:rFonts w:ascii="Times New Roman" w:hAnsi="Times New Roman" w:cs="Times New Roman"/>
          <w:color w:val="FF0000"/>
          <w:sz w:val="24"/>
          <w:szCs w:val="24"/>
        </w:rPr>
        <w:t>Inflación</w:t>
      </w:r>
      <w:r w:rsidRPr="003165B0">
        <w:rPr>
          <w:rStyle w:val="Textoennegrita"/>
          <w:rFonts w:ascii="Times New Roman" w:hAnsi="Times New Roman" w:cs="Times New Roman"/>
          <w:sz w:val="24"/>
          <w:szCs w:val="24"/>
        </w:rPr>
        <w:t>:</w:t>
      </w:r>
      <w:r w:rsidRPr="003165B0">
        <w:rPr>
          <w:rFonts w:ascii="Times New Roman" w:hAnsi="Times New Roman" w:cs="Times New Roman"/>
          <w:sz w:val="24"/>
          <w:szCs w:val="24"/>
        </w:rPr>
        <w:t xml:space="preserve"> muchos países acuden a esta vía para impagar parte de la deuda contraída. </w:t>
      </w:r>
      <w:r w:rsidRPr="00CC51D7">
        <w:rPr>
          <w:rStyle w:val="Textoennegrita"/>
          <w:rFonts w:ascii="Times New Roman" w:hAnsi="Times New Roman" w:cs="Times New Roman"/>
          <w:b w:val="0"/>
          <w:color w:val="FF0000"/>
          <w:sz w:val="24"/>
          <w:szCs w:val="24"/>
        </w:rPr>
        <w:t>Devaluar la moneda</w:t>
      </w:r>
      <w:r w:rsidRPr="00AD4F56">
        <w:rPr>
          <w:rFonts w:ascii="Times New Roman" w:hAnsi="Times New Roman" w:cs="Times New Roman"/>
          <w:color w:val="FF0000"/>
          <w:sz w:val="24"/>
          <w:szCs w:val="24"/>
        </w:rPr>
        <w:t xml:space="preserve"> </w:t>
      </w:r>
      <w:r w:rsidRPr="003165B0">
        <w:rPr>
          <w:rFonts w:ascii="Times New Roman" w:hAnsi="Times New Roman" w:cs="Times New Roman"/>
          <w:sz w:val="24"/>
          <w:szCs w:val="24"/>
        </w:rPr>
        <w:t xml:space="preserve">suele ser el recurso fácil como, por ejemplo, ha sucedido recientemente en Islandia. Aunque también existen experimentos más </w:t>
      </w:r>
      <w:r w:rsidRPr="003165B0">
        <w:rPr>
          <w:rFonts w:ascii="Times New Roman" w:hAnsi="Times New Roman" w:cs="Times New Roman"/>
          <w:sz w:val="24"/>
          <w:szCs w:val="24"/>
        </w:rPr>
        <w:lastRenderedPageBreak/>
        <w:t>radicales, como el acontecido en Alemania y Austria en los años 20, mediante la impresión masiva de billetes y una histórica hiperinflación.</w:t>
      </w:r>
    </w:p>
    <w:p w:rsidR="003E456D" w:rsidRPr="003165B0" w:rsidRDefault="003E456D" w:rsidP="00550638">
      <w:pPr>
        <w:numPr>
          <w:ilvl w:val="0"/>
          <w:numId w:val="32"/>
        </w:numPr>
        <w:spacing w:before="100" w:beforeAutospacing="1" w:after="100" w:afterAutospacing="1" w:line="240" w:lineRule="auto"/>
        <w:jc w:val="both"/>
        <w:rPr>
          <w:rFonts w:ascii="Times New Roman" w:hAnsi="Times New Roman" w:cs="Times New Roman"/>
          <w:sz w:val="24"/>
          <w:szCs w:val="24"/>
        </w:rPr>
      </w:pPr>
      <w:r w:rsidRPr="000D33BF">
        <w:rPr>
          <w:rStyle w:val="nfasis"/>
          <w:rFonts w:ascii="Times New Roman" w:hAnsi="Times New Roman" w:cs="Times New Roman"/>
          <w:b/>
          <w:bCs/>
          <w:i w:val="0"/>
          <w:color w:val="FF0000"/>
          <w:sz w:val="24"/>
          <w:szCs w:val="24"/>
        </w:rPr>
        <w:t>Default</w:t>
      </w:r>
      <w:r w:rsidRPr="00202257">
        <w:rPr>
          <w:rStyle w:val="Textoennegrita"/>
          <w:rFonts w:ascii="Times New Roman" w:hAnsi="Times New Roman" w:cs="Times New Roman"/>
          <w:sz w:val="24"/>
          <w:szCs w:val="24"/>
        </w:rPr>
        <w:t>:</w:t>
      </w:r>
      <w:r w:rsidRPr="003165B0">
        <w:rPr>
          <w:rFonts w:ascii="Times New Roman" w:hAnsi="Times New Roman" w:cs="Times New Roman"/>
          <w:sz w:val="24"/>
          <w:szCs w:val="24"/>
        </w:rPr>
        <w:t xml:space="preserve"> suspender pagos es otra de las vías escogida por multitud de gobiernos. Impagar mediante una quita y/o espera ha sucedido recientemente en Grecia y, de hecho, no se descarta que vuelva a acontecer.</w:t>
      </w:r>
    </w:p>
    <w:p w:rsidR="003E456D" w:rsidRPr="003165B0" w:rsidRDefault="003E456D" w:rsidP="00550638">
      <w:pPr>
        <w:pStyle w:val="NormalWeb"/>
        <w:numPr>
          <w:ilvl w:val="0"/>
          <w:numId w:val="32"/>
        </w:numPr>
        <w:jc w:val="both"/>
      </w:pPr>
      <w:r w:rsidRPr="00AD4F56">
        <w:rPr>
          <w:rStyle w:val="Textoennegrita"/>
          <w:rFonts w:eastAsiaTheme="majorEastAsia"/>
          <w:color w:val="FF0000"/>
        </w:rPr>
        <w:t>Impuestos especiales</w:t>
      </w:r>
      <w:r w:rsidRPr="003165B0">
        <w:rPr>
          <w:rStyle w:val="Textoennegrita"/>
          <w:rFonts w:eastAsiaTheme="majorEastAsia"/>
        </w:rPr>
        <w:t>:</w:t>
      </w:r>
      <w:r w:rsidRPr="003165B0">
        <w:t xml:space="preserve"> otro de los mecanismos recurrentes, aunque menos conocido, consiste en la aplicación de un impuesto especial sobre el patrimonio de los hogares, que se paga de una vez. Es decir, </w:t>
      </w:r>
      <w:r w:rsidRPr="00CC51D7">
        <w:rPr>
          <w:rStyle w:val="Textoennegrita"/>
          <w:rFonts w:eastAsiaTheme="majorEastAsia"/>
          <w:b w:val="0"/>
        </w:rPr>
        <w:t>una especie de quita</w:t>
      </w:r>
      <w:r w:rsidRPr="003165B0">
        <w:t xml:space="preserve"> sobre el capital o </w:t>
      </w:r>
      <w:r w:rsidRPr="00CC51D7">
        <w:rPr>
          <w:rStyle w:val="Textoennegrita"/>
          <w:rFonts w:eastAsiaTheme="majorEastAsia"/>
          <w:b w:val="0"/>
        </w:rPr>
        <w:t>riqueza de las familias</w:t>
      </w:r>
      <w:r w:rsidRPr="003165B0">
        <w:t xml:space="preserve"> para conseguir ingresos extra con el fin de amortizar y, por tanto, reducir deuda pública.</w:t>
      </w:r>
    </w:p>
    <w:p w:rsidR="003E456D" w:rsidRPr="00202257" w:rsidRDefault="000D33BF" w:rsidP="00550638">
      <w:pPr>
        <w:pStyle w:val="Ttulo3"/>
        <w:spacing w:line="240" w:lineRule="auto"/>
        <w:jc w:val="both"/>
        <w:rPr>
          <w:rFonts w:ascii="Times New Roman" w:hAnsi="Times New Roman" w:cs="Times New Roman"/>
          <w:b w:val="0"/>
          <w:color w:val="auto"/>
          <w:sz w:val="24"/>
          <w:szCs w:val="24"/>
        </w:rPr>
      </w:pPr>
      <w:r w:rsidRPr="00202257">
        <w:rPr>
          <w:rFonts w:ascii="Times New Roman" w:hAnsi="Times New Roman" w:cs="Times New Roman"/>
          <w:b w:val="0"/>
          <w:color w:val="auto"/>
          <w:sz w:val="24"/>
          <w:szCs w:val="24"/>
        </w:rPr>
        <w:t>Un nuevo “impuesto sobre el capital”</w:t>
      </w:r>
    </w:p>
    <w:p w:rsidR="003E456D" w:rsidRDefault="003E456D" w:rsidP="00550638">
      <w:pPr>
        <w:pStyle w:val="NormalWeb"/>
        <w:jc w:val="both"/>
      </w:pPr>
      <w:r>
        <w:t xml:space="preserve">Ésta es, precisamente, la idea que recoge el Fondo Monetario Internacional (FMI) en su </w:t>
      </w:r>
      <w:hyperlink r:id="rId49" w:tgtFrame="_blank" w:history="1">
        <w:r w:rsidRPr="000D33BF">
          <w:rPr>
            <w:rStyle w:val="Hipervnculo"/>
            <w:rFonts w:eastAsiaTheme="majorEastAsia"/>
            <w:color w:val="auto"/>
          </w:rPr>
          <w:t>último informe sobre</w:t>
        </w:r>
        <w:r w:rsidRPr="00CC51D7">
          <w:rPr>
            <w:rStyle w:val="Hipervnculo"/>
            <w:rFonts w:eastAsiaTheme="majorEastAsia"/>
            <w:color w:val="auto"/>
            <w:u w:val="none"/>
          </w:rPr>
          <w:t xml:space="preserve"> </w:t>
        </w:r>
        <w:r w:rsidRPr="00CC51D7">
          <w:rPr>
            <w:rStyle w:val="nfasis"/>
            <w:bCs/>
            <w:i w:val="0"/>
          </w:rPr>
          <w:t>Vigilancia Fiscal</w:t>
        </w:r>
      </w:hyperlink>
      <w:r w:rsidRPr="000D33BF">
        <w:t xml:space="preserve"> (Fiscal Monitor), publicado el pasado miércoles. Más allá de ampliar las bases fiscales y elevar la </w:t>
      </w:r>
      <w:hyperlink r:id="rId50" w:tgtFrame="_blank" w:history="1">
        <w:r w:rsidRPr="000D33BF">
          <w:rPr>
            <w:rStyle w:val="Hipervnculo"/>
            <w:rFonts w:eastAsiaTheme="majorEastAsia"/>
            <w:color w:val="auto"/>
          </w:rPr>
          <w:t>tributación indirecta</w:t>
        </w:r>
      </w:hyperlink>
      <w:r w:rsidRPr="000D33BF">
        <w:t xml:space="preserve"> para </w:t>
      </w:r>
      <w:r>
        <w:t>aumentar la recaudación con el objetivo de ir reduciendo progresivamente el déficit, el organismo reconoce que reducir los actuales niveles de deuda pública que presentan varios países, sobre todo europeos, será una tarea ardua y compleja que llevará tiempo y no estará exenta de sacrificios.</w:t>
      </w:r>
    </w:p>
    <w:p w:rsidR="003E456D" w:rsidRPr="00CC51D7" w:rsidRDefault="003E456D" w:rsidP="00550638">
      <w:pPr>
        <w:pStyle w:val="NormalWeb"/>
        <w:jc w:val="both"/>
        <w:rPr>
          <w:b/>
          <w:color w:val="FF0000"/>
          <w:u w:val="single"/>
        </w:rPr>
      </w:pPr>
      <w:r w:rsidRPr="00AD4F56">
        <w:rPr>
          <w:color w:val="FF0000"/>
          <w:u w:val="single"/>
        </w:rPr>
        <w:t>Por ello, una de las propuestas que sugiere es imponer un</w:t>
      </w:r>
      <w:r w:rsidR="000D33BF">
        <w:rPr>
          <w:rStyle w:val="Textoennegrita"/>
          <w:rFonts w:eastAsiaTheme="majorEastAsia"/>
          <w:color w:val="FF0000"/>
          <w:u w:val="single"/>
        </w:rPr>
        <w:t xml:space="preserve"> </w:t>
      </w:r>
      <w:r w:rsidR="000D33BF" w:rsidRPr="00CC51D7">
        <w:rPr>
          <w:rStyle w:val="Textoennegrita"/>
          <w:rFonts w:eastAsiaTheme="majorEastAsia"/>
          <w:b w:val="0"/>
          <w:color w:val="FF0000"/>
          <w:u w:val="single"/>
        </w:rPr>
        <w:t>tributo especial “sobre el capital”</w:t>
      </w:r>
      <w:r w:rsidRPr="00AD4F56">
        <w:rPr>
          <w:color w:val="FF0000"/>
          <w:u w:val="single"/>
        </w:rPr>
        <w:t>. Es decir, una especie de</w:t>
      </w:r>
      <w:r w:rsidR="000D33BF">
        <w:rPr>
          <w:rStyle w:val="Textoennegrita"/>
          <w:rFonts w:eastAsiaTheme="majorEastAsia"/>
          <w:color w:val="FF0000"/>
          <w:u w:val="single"/>
        </w:rPr>
        <w:t xml:space="preserve"> </w:t>
      </w:r>
      <w:r w:rsidR="000D33BF" w:rsidRPr="00CC51D7">
        <w:rPr>
          <w:rStyle w:val="Textoennegrita"/>
          <w:rFonts w:eastAsiaTheme="majorEastAsia"/>
          <w:b w:val="0"/>
          <w:color w:val="FF0000"/>
          <w:u w:val="single"/>
        </w:rPr>
        <w:t>quita “excepcional”</w:t>
      </w:r>
      <w:r w:rsidRPr="00AD4F56">
        <w:rPr>
          <w:color w:val="FF0000"/>
          <w:u w:val="single"/>
        </w:rPr>
        <w:t xml:space="preserve"> sobre la riqueza de las familias que se tendría que aplicar de una sola vez, garantizando, además, que no se va a volver repetir para no desincentivar la inversión y provocar una intensa fuga de capitales. La medida consistiría en </w:t>
      </w:r>
      <w:r w:rsidRPr="00CC51D7">
        <w:rPr>
          <w:rStyle w:val="Textoennegrita"/>
          <w:rFonts w:eastAsiaTheme="majorEastAsia"/>
          <w:b w:val="0"/>
          <w:color w:val="FF0000"/>
          <w:u w:val="single"/>
        </w:rPr>
        <w:t>gravar la riqueza neta de las familias</w:t>
      </w:r>
      <w:r w:rsidRPr="00CC51D7">
        <w:rPr>
          <w:color w:val="FF0000"/>
          <w:u w:val="single"/>
        </w:rPr>
        <w:t xml:space="preserve"> y</w:t>
      </w:r>
      <w:r w:rsidRPr="00AD4F56">
        <w:rPr>
          <w:color w:val="FF0000"/>
          <w:u w:val="single"/>
        </w:rPr>
        <w:t xml:space="preserve"> destinar el dinero recaudado a</w:t>
      </w:r>
      <w:r w:rsidRPr="00AD4F56">
        <w:rPr>
          <w:rStyle w:val="Textoennegrita"/>
          <w:rFonts w:eastAsiaTheme="majorEastAsia"/>
          <w:color w:val="FF0000"/>
          <w:u w:val="single"/>
        </w:rPr>
        <w:t xml:space="preserve"> </w:t>
      </w:r>
      <w:r w:rsidRPr="00CC51D7">
        <w:rPr>
          <w:rStyle w:val="Textoennegrita"/>
          <w:rFonts w:eastAsiaTheme="majorEastAsia"/>
          <w:b w:val="0"/>
          <w:color w:val="FF0000"/>
          <w:u w:val="single"/>
        </w:rPr>
        <w:t>amortizar deuda estatal</w:t>
      </w:r>
      <w:r w:rsidRPr="00CC51D7">
        <w:rPr>
          <w:b/>
          <w:color w:val="FF0000"/>
          <w:u w:val="single"/>
        </w:rPr>
        <w:t>.</w:t>
      </w:r>
    </w:p>
    <w:p w:rsidR="003E456D" w:rsidRPr="00AD4F56" w:rsidRDefault="003E456D" w:rsidP="00550638">
      <w:pPr>
        <w:pStyle w:val="NormalWeb"/>
        <w:jc w:val="both"/>
        <w:rPr>
          <w:color w:val="FF0000"/>
          <w:u w:val="single"/>
        </w:rPr>
      </w:pPr>
      <w:r w:rsidRPr="00AD4F56">
        <w:rPr>
          <w:color w:val="FF0000"/>
          <w:u w:val="single"/>
        </w:rPr>
        <w:t xml:space="preserve">El FMI reconoce que el fuerte deterioro de las finanzas públicas que sufren muchos </w:t>
      </w:r>
      <w:r w:rsidR="000D33BF">
        <w:rPr>
          <w:color w:val="FF0000"/>
          <w:u w:val="single"/>
        </w:rPr>
        <w:t>países “ha reavivado el interés”</w:t>
      </w:r>
      <w:r w:rsidRPr="00AD4F56">
        <w:rPr>
          <w:color w:val="FF0000"/>
          <w:u w:val="single"/>
        </w:rPr>
        <w:t xml:space="preserve"> sobre la posible aplicación de este tipo de gravámenes especiales y, de hecho, admite </w:t>
      </w:r>
      <w:r w:rsidR="000D33BF">
        <w:rPr>
          <w:color w:val="FF0000"/>
          <w:u w:val="single"/>
        </w:rPr>
        <w:t>que su aplicación podría tener “éxito”</w:t>
      </w:r>
      <w:r w:rsidRPr="00AD4F56">
        <w:rPr>
          <w:color w:val="FF0000"/>
          <w:u w:val="single"/>
        </w:rPr>
        <w:t xml:space="preserve"> frente a otras alternativas indeseadas, como la suspensión de pagos. En concreto, el informe señala que el tipo impositivo necesario para reducir la deuda a los n</w:t>
      </w:r>
      <w:r w:rsidR="00C749B7">
        <w:rPr>
          <w:color w:val="FF0000"/>
          <w:u w:val="single"/>
        </w:rPr>
        <w:t>iveles previos a la crisis son “considerables”</w:t>
      </w:r>
      <w:r w:rsidRPr="00AD4F56">
        <w:rPr>
          <w:color w:val="FF0000"/>
          <w:u w:val="single"/>
        </w:rPr>
        <w:t xml:space="preserve">: reducir la deuda pública de una muestra de 15 países de la zona euro a los niveles de finales de 2007 requeriría aplicar a las familias una </w:t>
      </w:r>
      <w:r w:rsidRPr="00CC51D7">
        <w:rPr>
          <w:rStyle w:val="Textoennegrita"/>
          <w:rFonts w:eastAsiaTheme="majorEastAsia"/>
          <w:b w:val="0"/>
          <w:color w:val="FF0000"/>
          <w:u w:val="single"/>
        </w:rPr>
        <w:t>quita del 10% sobre su patrimonio neto</w:t>
      </w:r>
      <w:r w:rsidRPr="00AD4F56">
        <w:rPr>
          <w:color w:val="FF0000"/>
          <w:u w:val="single"/>
        </w:rPr>
        <w:t xml:space="preserve"> (activos menos pasivos), según el FMI.</w:t>
      </w:r>
    </w:p>
    <w:p w:rsidR="003E456D" w:rsidRDefault="003E456D" w:rsidP="00550638">
      <w:pPr>
        <w:pStyle w:val="NormalWeb"/>
        <w:jc w:val="both"/>
      </w:pPr>
      <w:r w:rsidRPr="00AD4F56">
        <w:rPr>
          <w:u w:val="single"/>
        </w:rPr>
        <w:t>El organismo no hace distinciones de ningún tipo, tan sólo alude a la posibilidad de gravar la riqueza neta de las familias, aplicando así este particular impuesto a todo tipo de hogares, siempre y cuando el valor de sus activos (vivienda, acciones, ahorros, etc.) sea superior al de sus deudas</w:t>
      </w:r>
      <w:r>
        <w:t>. Además, el organismo hace referencia a otros casos similares acontecidos en el pasado, ya que este tipo de gravámenes fueron ampliamente adoptados en Europa después de la Primera Guerra Mundial, y en Alemania y Japón tras la Segunda Guerra Mundial.</w:t>
      </w:r>
    </w:p>
    <w:p w:rsidR="003E456D" w:rsidRDefault="003E456D" w:rsidP="00550638">
      <w:pPr>
        <w:pStyle w:val="NormalWeb"/>
        <w:jc w:val="both"/>
      </w:pPr>
      <w:r>
        <w:t xml:space="preserve">Efectivamente, tal y como </w:t>
      </w:r>
      <w:r w:rsidRPr="000D33BF">
        <w:t xml:space="preserve">recogen </w:t>
      </w:r>
      <w:hyperlink r:id="rId51" w:tgtFrame="_blank" w:history="1">
        <w:r w:rsidRPr="000D33BF">
          <w:rPr>
            <w:rStyle w:val="Hipervnculo"/>
            <w:rFonts w:eastAsiaTheme="majorEastAsia"/>
            <w:color w:val="auto"/>
          </w:rPr>
          <w:t>algunos destacados estudios</w:t>
        </w:r>
      </w:hyperlink>
      <w:r w:rsidRPr="000D33BF">
        <w:t xml:space="preserve"> sobre la materia -uno de ellos elaborado en 2008 por el </w:t>
      </w:r>
      <w:hyperlink r:id="rId52" w:tgtFrame="_blank" w:history="1">
        <w:r w:rsidRPr="000D33BF">
          <w:rPr>
            <w:rStyle w:val="Hipervnculo"/>
            <w:rFonts w:eastAsiaTheme="majorEastAsia"/>
            <w:color w:val="auto"/>
          </w:rPr>
          <w:t>hoy presidente del BCE, Mario Draghi</w:t>
        </w:r>
      </w:hyperlink>
      <w:r w:rsidRPr="000D33BF">
        <w:t xml:space="preserve">-, </w:t>
      </w:r>
      <w:r w:rsidRPr="00CC51D7">
        <w:rPr>
          <w:rStyle w:val="Textoennegrita"/>
          <w:rFonts w:eastAsiaTheme="majorEastAsia"/>
          <w:b w:val="0"/>
        </w:rPr>
        <w:t>Italia</w:t>
      </w:r>
      <w:r w:rsidRPr="000D33BF">
        <w:t xml:space="preserve"> aplicó un impuesto sobre el capital en 1920, con tipos que oscilaban entre el 4</w:t>
      </w:r>
      <w:r>
        <w:t>,5% y el 50%, aunque el pago podía extenderse durante un total de 20 años;</w:t>
      </w:r>
      <w:r>
        <w:rPr>
          <w:rStyle w:val="Textoennegrita"/>
          <w:rFonts w:eastAsiaTheme="majorEastAsia"/>
        </w:rPr>
        <w:t xml:space="preserve"> </w:t>
      </w:r>
      <w:r w:rsidRPr="00CC51D7">
        <w:rPr>
          <w:rStyle w:val="Textoennegrita"/>
          <w:rFonts w:eastAsiaTheme="majorEastAsia"/>
          <w:b w:val="0"/>
        </w:rPr>
        <w:t xml:space="preserve">Checoslovaquia </w:t>
      </w:r>
      <w:r>
        <w:t xml:space="preserve">también aprobó una tasa progresiva especial sobre todo el patrimonio de las familias que iba del </w:t>
      </w:r>
      <w:r>
        <w:lastRenderedPageBreak/>
        <w:t xml:space="preserve">3% al 30%, aunque recayó, principalmente, sobre una minoría de origen alemán; otros países como </w:t>
      </w:r>
      <w:r w:rsidRPr="00CC51D7">
        <w:rPr>
          <w:rStyle w:val="Textoennegrita"/>
          <w:rFonts w:eastAsiaTheme="majorEastAsia"/>
          <w:b w:val="0"/>
        </w:rPr>
        <w:t>Austria o Reino Unido</w:t>
      </w:r>
      <w:r>
        <w:t xml:space="preserve"> intentaron imitar estas medidas, pero fracasaron al retrasar su aplicación, disparando la fuga de capitales; en </w:t>
      </w:r>
      <w:r w:rsidRPr="00CC51D7">
        <w:rPr>
          <w:rStyle w:val="Textoennegrita"/>
          <w:rFonts w:eastAsiaTheme="majorEastAsia"/>
          <w:b w:val="0"/>
        </w:rPr>
        <w:t>Japón</w:t>
      </w:r>
      <w:r>
        <w:t>, las fuerzas de ocupación impusieron dicho impuesto tras la Segunda Guerra Mundial, aunque se limitaba a castigar a quienes se hubieran enriquecido con la guerra.</w:t>
      </w:r>
    </w:p>
    <w:p w:rsidR="003E456D" w:rsidRPr="00202257" w:rsidRDefault="003E456D" w:rsidP="00550638">
      <w:pPr>
        <w:pStyle w:val="Ttulo3"/>
        <w:spacing w:line="240" w:lineRule="auto"/>
        <w:jc w:val="both"/>
        <w:rPr>
          <w:rFonts w:ascii="Times New Roman" w:hAnsi="Times New Roman" w:cs="Times New Roman"/>
          <w:b w:val="0"/>
          <w:color w:val="auto"/>
          <w:sz w:val="24"/>
          <w:szCs w:val="24"/>
        </w:rPr>
      </w:pPr>
      <w:r w:rsidRPr="00202257">
        <w:rPr>
          <w:rFonts w:ascii="Times New Roman" w:hAnsi="Times New Roman" w:cs="Times New Roman"/>
          <w:b w:val="0"/>
          <w:color w:val="auto"/>
          <w:sz w:val="24"/>
          <w:szCs w:val="24"/>
        </w:rPr>
        <w:t>Chipre y la propuesta alemana</w:t>
      </w:r>
    </w:p>
    <w:p w:rsidR="003E456D" w:rsidRPr="00AD4F56" w:rsidRDefault="003E456D" w:rsidP="00550638">
      <w:pPr>
        <w:pStyle w:val="NormalWeb"/>
        <w:jc w:val="both"/>
        <w:rPr>
          <w:u w:val="single"/>
        </w:rPr>
      </w:pPr>
      <w:r w:rsidRPr="00AD4F56">
        <w:rPr>
          <w:u w:val="single"/>
        </w:rPr>
        <w:t xml:space="preserve">El ejemplo más cercano es el de Chipre, en donde se aprobó una </w:t>
      </w:r>
      <w:r w:rsidRPr="00CC51D7">
        <w:rPr>
          <w:rStyle w:val="Textoennegrita"/>
          <w:rFonts w:eastAsiaTheme="majorEastAsia"/>
          <w:b w:val="0"/>
          <w:u w:val="single"/>
        </w:rPr>
        <w:t>quita sobre los grandes depósitos</w:t>
      </w:r>
      <w:r w:rsidRPr="00AD4F56">
        <w:rPr>
          <w:rStyle w:val="Textoennegrita"/>
          <w:rFonts w:eastAsiaTheme="majorEastAsia"/>
          <w:u w:val="single"/>
        </w:rPr>
        <w:t xml:space="preserve"> </w:t>
      </w:r>
      <w:r w:rsidRPr="00AD4F56">
        <w:rPr>
          <w:u w:val="single"/>
        </w:rPr>
        <w:t xml:space="preserve">(de más de 100.000 euros) para reducir la deuda, no del Estado, sino de sus grandes bancos insolventes, aunque a cambio de acciones de dichas entidades. Casualmente, la troika y el </w:t>
      </w:r>
      <w:r w:rsidR="000D33BF">
        <w:rPr>
          <w:u w:val="single"/>
        </w:rPr>
        <w:t>Gobierno chipriota tildaron de “impuesto”</w:t>
      </w:r>
      <w:r w:rsidRPr="00AD4F56">
        <w:rPr>
          <w:u w:val="single"/>
        </w:rPr>
        <w:t xml:space="preserve"> esta quita especial sobre los ahorradores.</w:t>
      </w:r>
    </w:p>
    <w:p w:rsidR="003E456D" w:rsidRPr="00AD4F56" w:rsidRDefault="003E456D" w:rsidP="00550638">
      <w:pPr>
        <w:pStyle w:val="NormalWeb"/>
        <w:jc w:val="both"/>
        <w:rPr>
          <w:u w:val="single"/>
        </w:rPr>
      </w:pPr>
      <w:r w:rsidRPr="00AD4F56">
        <w:rPr>
          <w:u w:val="single"/>
        </w:rPr>
        <w:t xml:space="preserve">Además, hace poco más de un año, </w:t>
      </w:r>
      <w:hyperlink r:id="rId53" w:tgtFrame="_blank" w:history="1">
        <w:r w:rsidRPr="000D33BF">
          <w:rPr>
            <w:rStyle w:val="Hipervnculo"/>
            <w:rFonts w:eastAsiaTheme="majorEastAsia"/>
            <w:color w:val="auto"/>
          </w:rPr>
          <w:t>destacados analistas alemanes</w:t>
        </w:r>
      </w:hyperlink>
      <w:r w:rsidRPr="000D33BF">
        <w:rPr>
          <w:u w:val="single"/>
        </w:rPr>
        <w:t xml:space="preserve"> </w:t>
      </w:r>
      <w:r w:rsidRPr="00AD4F56">
        <w:rPr>
          <w:u w:val="single"/>
        </w:rPr>
        <w:t>propusieron un impuesto similar con el fin de reducir la deuda pública de los países en problemas, pero</w:t>
      </w:r>
      <w:r w:rsidRPr="00AD4F56">
        <w:rPr>
          <w:rStyle w:val="Textoennegrita"/>
          <w:rFonts w:eastAsiaTheme="majorEastAsia"/>
          <w:u w:val="single"/>
        </w:rPr>
        <w:t xml:space="preserve"> </w:t>
      </w:r>
      <w:r w:rsidRPr="00CC51D7">
        <w:rPr>
          <w:rStyle w:val="Textoennegrita"/>
          <w:rFonts w:eastAsiaTheme="majorEastAsia"/>
          <w:b w:val="0"/>
          <w:u w:val="single"/>
        </w:rPr>
        <w:t>restringida a las grandes fortunas</w:t>
      </w:r>
      <w:r w:rsidR="000D33BF">
        <w:rPr>
          <w:u w:val="single"/>
        </w:rPr>
        <w:t>. “</w:t>
      </w:r>
      <w:r w:rsidRPr="00AD4F56">
        <w:rPr>
          <w:u w:val="single"/>
        </w:rPr>
        <w:t>Los gobiernos deberían considerar la imposición de un impuesto sobre el capital de los ricos con el fin de refinanc</w:t>
      </w:r>
      <w:r w:rsidR="000D33BF">
        <w:rPr>
          <w:u w:val="single"/>
        </w:rPr>
        <w:t>iar y reducir la deuda nacional”</w:t>
      </w:r>
      <w:r w:rsidRPr="00AD4F56">
        <w:rPr>
          <w:u w:val="single"/>
        </w:rPr>
        <w:t>. ¿Su idea? Un</w:t>
      </w:r>
      <w:r w:rsidRPr="00AD4F56">
        <w:rPr>
          <w:rStyle w:val="Textoennegrita"/>
          <w:rFonts w:eastAsiaTheme="majorEastAsia"/>
          <w:u w:val="single"/>
        </w:rPr>
        <w:t xml:space="preserve"> </w:t>
      </w:r>
      <w:r w:rsidRPr="00CC51D7">
        <w:rPr>
          <w:rStyle w:val="Textoennegrita"/>
          <w:rFonts w:eastAsiaTheme="majorEastAsia"/>
          <w:b w:val="0"/>
          <w:u w:val="single"/>
        </w:rPr>
        <w:t>impuesto sobre el capital del 10%</w:t>
      </w:r>
      <w:r w:rsidRPr="00AD4F56">
        <w:rPr>
          <w:u w:val="single"/>
        </w:rPr>
        <w:t xml:space="preserve"> sobre el patrimonio personal neto superior a 250.000 euros por contribuyente (500.000 para parejas) e incluso un tipo más elevado sobre los patrimonios superiores a 500.000 y un 1 millón de euros, respectivamente. Para los gobiernos de la periferia del euro, estas particulares quitas podrían suponer una</w:t>
      </w:r>
      <w:r w:rsidR="000D33BF">
        <w:rPr>
          <w:rStyle w:val="Textoennegrita"/>
          <w:rFonts w:eastAsiaTheme="majorEastAsia"/>
          <w:u w:val="single"/>
        </w:rPr>
        <w:t xml:space="preserve"> </w:t>
      </w:r>
      <w:r w:rsidR="000D33BF" w:rsidRPr="00CC51D7">
        <w:rPr>
          <w:rStyle w:val="Textoennegrita"/>
          <w:rFonts w:eastAsiaTheme="majorEastAsia"/>
          <w:b w:val="0"/>
          <w:u w:val="single"/>
        </w:rPr>
        <w:t>“fuente adicional”</w:t>
      </w:r>
      <w:r w:rsidRPr="00CC51D7">
        <w:rPr>
          <w:rStyle w:val="Textoennegrita"/>
          <w:rFonts w:eastAsiaTheme="majorEastAsia"/>
          <w:b w:val="0"/>
          <w:u w:val="single"/>
        </w:rPr>
        <w:t xml:space="preserve"> de ingresos</w:t>
      </w:r>
      <w:r w:rsidRPr="00AD4F56">
        <w:rPr>
          <w:u w:val="single"/>
        </w:rPr>
        <w:t xml:space="preserve"> para asegurar la refin</w:t>
      </w:r>
      <w:r w:rsidR="000D33BF">
        <w:rPr>
          <w:u w:val="single"/>
        </w:rPr>
        <w:t>anciación de su deuda pública, “</w:t>
      </w:r>
      <w:r w:rsidRPr="00AD4F56">
        <w:rPr>
          <w:u w:val="single"/>
        </w:rPr>
        <w:t>sin tener q</w:t>
      </w:r>
      <w:r w:rsidR="004D6FDD">
        <w:rPr>
          <w:u w:val="single"/>
        </w:rPr>
        <w:t>ue depender de la ayuda externa”</w:t>
      </w:r>
      <w:r w:rsidRPr="00AD4F56">
        <w:rPr>
          <w:u w:val="single"/>
        </w:rPr>
        <w:t>, añadían.</w:t>
      </w:r>
    </w:p>
    <w:p w:rsidR="003E456D" w:rsidRDefault="003E456D" w:rsidP="00550638">
      <w:pPr>
        <w:pStyle w:val="NormalWeb"/>
        <w:jc w:val="both"/>
      </w:pPr>
      <w:r>
        <w:t>Sin emb</w:t>
      </w:r>
      <w:r w:rsidR="004D6FDD">
        <w:t>argo, también advertían de que “</w:t>
      </w:r>
      <w:r>
        <w:t>la imposición de tales gravámenes es compleja, ya que implica la valoración de los activos y prevenir la evasión fiscal. Si la élite rica espera que tales gravámenes se repitan, esto podría desalentar la inversión y</w:t>
      </w:r>
      <w:r w:rsidR="004D6FDD">
        <w:t xml:space="preserve"> estimular la fuga de capitales”</w:t>
      </w:r>
      <w:r>
        <w:t xml:space="preserve">. En este sentido, </w:t>
      </w:r>
      <w:hyperlink r:id="rId54" w:tgtFrame="_blank" w:history="1">
        <w:r w:rsidRPr="004D6FDD">
          <w:rPr>
            <w:rStyle w:val="Hipervnculo"/>
            <w:rFonts w:eastAsiaTheme="majorEastAsia"/>
            <w:color w:val="auto"/>
          </w:rPr>
          <w:t>Peter Bofinger y Lars Feld</w:t>
        </w:r>
      </w:hyperlink>
      <w:r>
        <w:t>, dos de los principales asesores económicos de la canciller alemana, Angela Merkel, recomendaron</w:t>
      </w:r>
      <w:r>
        <w:rPr>
          <w:rStyle w:val="Textoennegrita"/>
          <w:rFonts w:eastAsiaTheme="majorEastAsia"/>
        </w:rPr>
        <w:t xml:space="preserve"> </w:t>
      </w:r>
      <w:r w:rsidRPr="00CC51D7">
        <w:rPr>
          <w:rStyle w:val="Textoennegrita"/>
          <w:rFonts w:eastAsiaTheme="majorEastAsia"/>
          <w:b w:val="0"/>
        </w:rPr>
        <w:t>gravar específicamente la riqueza inmobiliaria</w:t>
      </w:r>
      <w:r>
        <w:t xml:space="preserve"> de las familias del Sur de Europa en caso de precisar un rescate soberano, por ser activos fijos, sin la movilidad propia de los productos financieros, evitando así los nefastos efectos de la fuga de capitales que, sin duda, conllevaría una medida similar.</w:t>
      </w:r>
    </w:p>
    <w:p w:rsidR="003E456D" w:rsidRPr="004D6FDD" w:rsidRDefault="004D6FDD" w:rsidP="00550638">
      <w:pPr>
        <w:pStyle w:val="NormalWeb"/>
        <w:jc w:val="both"/>
        <w:rPr>
          <w:b/>
        </w:rPr>
      </w:pPr>
      <w:r w:rsidRPr="004D6FDD">
        <w:rPr>
          <w:b/>
        </w:rPr>
        <w:t>En definitiva e</w:t>
      </w:r>
      <w:r w:rsidR="003E456D" w:rsidRPr="004D6FDD">
        <w:rPr>
          <w:b/>
        </w:rPr>
        <w:t>l Fondo Monetario Internacional (FMI) no esconde una nueva vuelta de tuerca a los bolsillos de los contribuyentes europeos. El organismo que preside Christine Lagarde plantea, en su informe Fiscal Monitor de octubre, una eventual quita a la riqueza de las familias europeas para que la deuda pública de 15 estados europeos recupere sus niveles de 2007. En el citado informe, la institución económica llega a concretar una cifra: el 10% de los ahorros familiares.</w:t>
      </w:r>
    </w:p>
    <w:p w:rsidR="003E456D" w:rsidRPr="004D6FDD" w:rsidRDefault="003E456D" w:rsidP="00550638">
      <w:pPr>
        <w:pStyle w:val="NormalWeb"/>
        <w:jc w:val="both"/>
        <w:rPr>
          <w:b/>
        </w:rPr>
      </w:pPr>
      <w:r w:rsidRPr="004D6FDD">
        <w:rPr>
          <w:b/>
        </w:rPr>
        <w:t xml:space="preserve">Se define como capital levy o impuesto sobre el capital. Y sería un one-off. Es decir, la posible reducción </w:t>
      </w:r>
      <w:r w:rsidR="004D6FDD" w:rsidRPr="004D6FDD">
        <w:rPr>
          <w:b/>
        </w:rPr>
        <w:t>se efectuaría de una sola vez. “</w:t>
      </w:r>
      <w:r w:rsidRPr="004D6FDD">
        <w:rPr>
          <w:b/>
        </w:rPr>
        <w:t>Sería una medida excepcional para restaurar la sos</w:t>
      </w:r>
      <w:r w:rsidR="004D6FDD" w:rsidRPr="004D6FDD">
        <w:rPr>
          <w:b/>
        </w:rPr>
        <w:t>tenibilidad de la deuda pública”</w:t>
      </w:r>
      <w:r w:rsidRPr="004D6FDD">
        <w:rPr>
          <w:b/>
        </w:rPr>
        <w:t>, explica el FMI en su informe. Para justificar esta posible decisión, el FMI cita que es una medida defendida por destacados e históricos economistas como Pigou, Ricardo, Schumpeter o Keynes.</w:t>
      </w:r>
    </w:p>
    <w:p w:rsidR="003E456D" w:rsidRPr="004D6FDD" w:rsidRDefault="003E456D" w:rsidP="00550638">
      <w:pPr>
        <w:pStyle w:val="NormalWeb"/>
        <w:jc w:val="both"/>
        <w:rPr>
          <w:b/>
        </w:rPr>
      </w:pPr>
      <w:r w:rsidRPr="004D6FDD">
        <w:rPr>
          <w:b/>
        </w:rPr>
        <w:lastRenderedPageBreak/>
        <w:t>En el conjunto de países de la OCDE, la deuda pública media se situará el año próximo en un 113,1% sobre el PIB, cuando en 2007 el promedio apenas superaba el 74%. El mayor nivel de deuda pública bruta corresponderá a Japón, con una cifra del 233,1% sobre el PIB en 2014. Además de España, otros nueve países de la OCDE estarán por encima del 100%. Grecia registrará un 189,2%, figurando a continuación Portugal e Italia con niveles superiores al 140%. Irlanda (126,4%), Islandia (124,4%) y Francia (116,3%) también se situarán por encima del promedio de la OCDE. El Reino Unido alcanzará un 113%, mientras que los Estados Unidos llegarán al 110,4% y Bélgica al 104,5%. Austria, los Países Bajos y Alemania superarán el 85%, mientras que Finlandia rozará un 70%.</w:t>
      </w:r>
    </w:p>
    <w:p w:rsidR="003E456D" w:rsidRDefault="003E456D" w:rsidP="00550638">
      <w:pPr>
        <w:pStyle w:val="NormalWeb"/>
        <w:jc w:val="both"/>
        <w:rPr>
          <w:b/>
        </w:rPr>
      </w:pPr>
      <w:r w:rsidRPr="004D6FDD">
        <w:rPr>
          <w:b/>
        </w:rPr>
        <w:t>Entre los países de la OCDE que pertenecen a la Unión Europea destacan los niveles relativamente bajos de endeudamiento de Dinamarca (58,4%), Suecia (52,7%) y, sobre todo, Luxemburgo (32%). Estas tres naciones son la excepción en el conjunto de países de la OCDE, donde la deuda pública media se situará el año próximo en un 113,1% sobre el PIB, cuando en 2007 el promedio apenas superaba el 74%.</w:t>
      </w:r>
    </w:p>
    <w:p w:rsidR="004D6FDD" w:rsidRPr="004D6FDD" w:rsidRDefault="00BF5E8B" w:rsidP="00550638">
      <w:pPr>
        <w:pStyle w:val="NormalWeb"/>
        <w:jc w:val="both"/>
        <w:rPr>
          <w:b/>
        </w:rPr>
      </w:pPr>
      <w:r>
        <w:rPr>
          <w:b/>
        </w:rPr>
        <w:t xml:space="preserve">Estos “illuminatis” no solo nos “laminan” las prestaciones sociales hasta la extenuación, sino que nos “expropian” de un plumazo, un 10% adicional de nuestro menguado patrimonio. </w:t>
      </w:r>
      <w:r w:rsidR="004D6FDD">
        <w:rPr>
          <w:b/>
        </w:rPr>
        <w:t xml:space="preserve">Me queda una sola duda: ¿para cuándo el </w:t>
      </w:r>
      <w:r w:rsidR="0016680F">
        <w:rPr>
          <w:b/>
        </w:rPr>
        <w:t>“</w:t>
      </w:r>
      <w:r w:rsidR="004D6FDD">
        <w:rPr>
          <w:b/>
        </w:rPr>
        <w:t>derecho de pernada</w:t>
      </w:r>
      <w:r w:rsidR="0016680F">
        <w:rPr>
          <w:b/>
        </w:rPr>
        <w:t>”</w:t>
      </w:r>
      <w:r w:rsidR="004D6FDD">
        <w:rPr>
          <w:b/>
        </w:rPr>
        <w:t>? (no sé si le apetecerá a Ms. Lagarde, pero es</w:t>
      </w:r>
      <w:r w:rsidR="0016680F">
        <w:rPr>
          <w:b/>
        </w:rPr>
        <w:t>toy seguro que a Mr. Strauss Kah</w:t>
      </w:r>
      <w:r w:rsidR="004D6FDD">
        <w:rPr>
          <w:b/>
        </w:rPr>
        <w:t>n le hubiera gustado “muchísimo”. A verlas venir</w:t>
      </w:r>
      <w:r>
        <w:rPr>
          <w:b/>
        </w:rPr>
        <w:t>... entonces.</w:t>
      </w:r>
      <w:r w:rsidR="004D6FDD">
        <w:rPr>
          <w:b/>
        </w:rPr>
        <w:t xml:space="preserve"> </w:t>
      </w:r>
    </w:p>
    <w:p w:rsidR="001C0F65" w:rsidRPr="001C0F65" w:rsidRDefault="00F24911" w:rsidP="00550638">
      <w:pPr>
        <w:pStyle w:val="NormalWeb"/>
        <w:jc w:val="both"/>
        <w:rPr>
          <w:b/>
        </w:rPr>
      </w:pPr>
      <w:r>
        <w:rPr>
          <w:b/>
        </w:rPr>
        <w:t>Lo auténticamente “insostenible” es e</w:t>
      </w:r>
      <w:r w:rsidR="0028633D" w:rsidRPr="001C0F65">
        <w:rPr>
          <w:b/>
        </w:rPr>
        <w:t>l círculo vicioso entre</w:t>
      </w:r>
      <w:r>
        <w:rPr>
          <w:b/>
        </w:rPr>
        <w:t xml:space="preserve"> estados y bancos </w:t>
      </w:r>
      <w:r w:rsidR="0028633D" w:rsidRPr="001C0F65">
        <w:rPr>
          <w:b/>
        </w:rPr>
        <w:t xml:space="preserve"> </w:t>
      </w:r>
    </w:p>
    <w:p w:rsidR="0028633D" w:rsidRPr="001C0F65" w:rsidRDefault="0028633D" w:rsidP="00550638">
      <w:pPr>
        <w:pStyle w:val="NormalWeb"/>
        <w:jc w:val="both"/>
        <w:rPr>
          <w:b/>
        </w:rPr>
      </w:pPr>
      <w:r w:rsidRPr="001C0F65">
        <w:rPr>
          <w:b/>
        </w:rPr>
        <w:t>No se entiende el peso excesivo del sector financiero en el PIB. Nunca antes fue tan elevado. Las finanzas se han divorciado del comercio y la economía real, su razón de ser primigenia.</w:t>
      </w:r>
    </w:p>
    <w:p w:rsidR="0028633D" w:rsidRPr="001C0F65" w:rsidRDefault="0028633D" w:rsidP="00550638">
      <w:pPr>
        <w:pStyle w:val="NormalWeb"/>
        <w:jc w:val="both"/>
        <w:rPr>
          <w:b/>
        </w:rPr>
      </w:pPr>
      <w:r w:rsidRPr="001C0F65">
        <w:rPr>
          <w:rStyle w:val="Textoennegrita"/>
          <w:rFonts w:eastAsiaTheme="majorEastAsia"/>
        </w:rPr>
        <w:t>Es necesario volver a encarrilar el sistema financiero</w:t>
      </w:r>
      <w:r w:rsidRPr="001C0F65">
        <w:rPr>
          <w:b/>
        </w:rPr>
        <w:t>. Rediseñarlo introduciendo mecanismos que impidan tropelías como las que todavía seguimos padeciendo. Prohibiendo los instrumentos financieros absurdos que exacerban el riesgo a cambio de nada, cuya letra pequeña nadie entiende, empezando por aquellos que los adquieren y contratan.</w:t>
      </w:r>
    </w:p>
    <w:p w:rsidR="0028633D" w:rsidRPr="001C0F65" w:rsidRDefault="0028633D" w:rsidP="00550638">
      <w:pPr>
        <w:pStyle w:val="NormalWeb"/>
        <w:jc w:val="both"/>
        <w:rPr>
          <w:b/>
        </w:rPr>
      </w:pPr>
      <w:r w:rsidRPr="001C0F65">
        <w:rPr>
          <w:b/>
        </w:rPr>
        <w:t>Es necesario reducir abruptamente la concentración financiera promovida como consecuencia de la crisis financiera en vigor. Poniendo al mando de las entidades resultantes a gente decente y honrada. Reconvirtiendo el contubernio manipulado en que se ha convertido el sistema financiero mundial obligándolo a retornar a sus esencias mercantiles y comerciales.</w:t>
      </w:r>
    </w:p>
    <w:p w:rsidR="0028633D" w:rsidRPr="001C0F65" w:rsidRDefault="0028633D" w:rsidP="00550638">
      <w:pPr>
        <w:pStyle w:val="NormalWeb"/>
        <w:jc w:val="both"/>
        <w:rPr>
          <w:b/>
        </w:rPr>
      </w:pPr>
      <w:r w:rsidRPr="001C0F65">
        <w:rPr>
          <w:b/>
        </w:rPr>
        <w:t>La banca nació con el fin de servir como simple intermediario entre comprador y vendedor. Se dedicaba a facilitar las transacciones económicas. Apadrinaba de manera rápida, segura y fiable nuevas aventuras mercantiles otorgando crédito de manera sensata.  </w:t>
      </w:r>
    </w:p>
    <w:p w:rsidR="0028633D" w:rsidRPr="001C0F65" w:rsidRDefault="0028633D" w:rsidP="00550638">
      <w:pPr>
        <w:pStyle w:val="NormalWeb"/>
        <w:jc w:val="both"/>
        <w:rPr>
          <w:b/>
        </w:rPr>
      </w:pPr>
      <w:r w:rsidRPr="001C0F65">
        <w:rPr>
          <w:b/>
        </w:rPr>
        <w:t xml:space="preserve">Desgraciadamente, </w:t>
      </w:r>
      <w:r w:rsidRPr="001C0F65">
        <w:rPr>
          <w:rStyle w:val="Textoennegrita"/>
          <w:rFonts w:eastAsiaTheme="majorEastAsia"/>
        </w:rPr>
        <w:t>las finanzas han dejado de ser un medio capaz de propulsar el bienestar y el comercio para convertirse en un fin en sí mismo</w:t>
      </w:r>
      <w:r w:rsidRPr="001C0F65">
        <w:rPr>
          <w:b/>
        </w:rPr>
        <w:t xml:space="preserve">. En un lastre y en una bomba de relojería recurrente generadora de burbujas diversas destinadas a </w:t>
      </w:r>
      <w:r w:rsidRPr="001C0F65">
        <w:rPr>
          <w:b/>
        </w:rPr>
        <w:lastRenderedPageBreak/>
        <w:t>explotar cada cierto tiempo una vez los gurús han vuelto a hacer caja con sus prédicas absurdas. Cambio conceptual que tomó carta de naturaleza desacerbada durante los años 80 del siglo pasado.</w:t>
      </w:r>
    </w:p>
    <w:p w:rsidR="0028633D" w:rsidRPr="001C0F65" w:rsidRDefault="0028633D" w:rsidP="00550638">
      <w:pPr>
        <w:pStyle w:val="NormalWeb"/>
        <w:jc w:val="both"/>
        <w:rPr>
          <w:b/>
        </w:rPr>
      </w:pPr>
      <w:r w:rsidRPr="001C0F65">
        <w:rPr>
          <w:b/>
        </w:rPr>
        <w:t>La economía financiera, el simple intermediario de antaño, se ha convertido en protagonista absoluto del presente económico, pervirtiendo el sistema y empobreciendo a la mayoría de la población.</w:t>
      </w:r>
    </w:p>
    <w:p w:rsidR="0028633D" w:rsidRPr="001C0F65" w:rsidRDefault="0028633D" w:rsidP="00550638">
      <w:pPr>
        <w:pStyle w:val="NormalWeb"/>
        <w:jc w:val="both"/>
        <w:rPr>
          <w:b/>
        </w:rPr>
      </w:pPr>
      <w:r w:rsidRPr="001C0F65">
        <w:rPr>
          <w:rStyle w:val="Textoennegrita"/>
          <w:rFonts w:eastAsiaTheme="majorEastAsia"/>
        </w:rPr>
        <w:t>El crédito sigue sin fluir hacia particulares y empresas, su razón de ser primigenia</w:t>
      </w:r>
      <w:r w:rsidRPr="001C0F65">
        <w:rPr>
          <w:b/>
        </w:rPr>
        <w:t xml:space="preserve">. Su único destino actual es financiar a reyes metafóricos y tiranos. La burbuja de deuda pública se incrementa, aquí o acullá, hasta que acabe por reventar. Los sistemas financieros, por el contrario, han dejado de funcionar con aquello para lo cual fueron creados. Se vuelve al trueque, se llamen </w:t>
      </w:r>
      <w:r w:rsidR="00F24911">
        <w:rPr>
          <w:b/>
        </w:rPr>
        <w:t>“</w:t>
      </w:r>
      <w:r w:rsidRPr="00F24911">
        <w:rPr>
          <w:rStyle w:val="nfasis"/>
          <w:b/>
          <w:i w:val="0"/>
        </w:rPr>
        <w:t>bitcoins</w:t>
      </w:r>
      <w:r w:rsidR="00F24911">
        <w:rPr>
          <w:rStyle w:val="nfasis"/>
          <w:b/>
          <w:i w:val="0"/>
        </w:rPr>
        <w:t>”</w:t>
      </w:r>
      <w:r w:rsidRPr="001C0F65">
        <w:rPr>
          <w:b/>
        </w:rPr>
        <w:t xml:space="preserve"> u otras iniciativas que están surgiendo fuera del sistema. Brutal paradoja.</w:t>
      </w:r>
    </w:p>
    <w:p w:rsidR="0028633D" w:rsidRPr="001C0F65" w:rsidRDefault="0028633D" w:rsidP="00550638">
      <w:pPr>
        <w:pStyle w:val="NormalWeb"/>
        <w:jc w:val="both"/>
        <w:rPr>
          <w:b/>
        </w:rPr>
      </w:pPr>
      <w:r w:rsidRPr="001C0F65">
        <w:rPr>
          <w:b/>
        </w:rPr>
        <w:t>En vez de analizar con profundidad los hechos y actuar con sensatez, desde que comenzó la crisis se han reforzado los mecanismos financieros que nos han llevado al desastre. La banca mundial se concentra cada vez en menos actores alejándola del objetivo tradicional: la mera intermediación que promueva el crédito, proporcionar facilidades a los empresarios y agilizar el comercio. El crédito ya apenas se otorga a particulares y empresas más que para especular. Su objetivo primigenio raramente se cumple ya.</w:t>
      </w:r>
    </w:p>
    <w:p w:rsidR="0028633D" w:rsidRPr="001C0F65" w:rsidRDefault="0028633D" w:rsidP="00550638">
      <w:pPr>
        <w:pStyle w:val="NormalWeb"/>
        <w:jc w:val="both"/>
        <w:rPr>
          <w:b/>
        </w:rPr>
      </w:pPr>
      <w:r w:rsidRPr="001C0F65">
        <w:rPr>
          <w:b/>
        </w:rPr>
        <w:t xml:space="preserve">El motor económico no podrá arrancar mientras no vuelva a haber un entramado financiero diverso y disperso con objetivos claros, con activos más reducidos respaldados con algo más que aire. Con entidades sanas y profesionales. </w:t>
      </w:r>
      <w:r w:rsidRPr="001C0F65">
        <w:rPr>
          <w:rStyle w:val="Textoennegrita"/>
          <w:rFonts w:eastAsiaTheme="majorEastAsia"/>
        </w:rPr>
        <w:t>El poder financiero debe dejar de seguir concentrado en manos de unos pocos desalmados</w:t>
      </w:r>
      <w:r w:rsidRPr="001C0F65">
        <w:rPr>
          <w:b/>
        </w:rPr>
        <w:t>.</w:t>
      </w:r>
    </w:p>
    <w:p w:rsidR="00F430DC" w:rsidRDefault="00C749B7" w:rsidP="00550638">
      <w:pPr>
        <w:pStyle w:val="NormalWeb"/>
        <w:jc w:val="both"/>
        <w:rPr>
          <w:b/>
        </w:rPr>
      </w:pPr>
      <w:r>
        <w:rPr>
          <w:b/>
        </w:rPr>
        <w:t>“</w:t>
      </w:r>
      <w:r w:rsidR="00F24911" w:rsidRPr="00F24911">
        <w:rPr>
          <w:b/>
        </w:rPr>
        <w:t>Las cenizas de Ángela</w:t>
      </w:r>
      <w:r>
        <w:rPr>
          <w:b/>
        </w:rPr>
        <w:t>”</w:t>
      </w:r>
    </w:p>
    <w:p w:rsidR="00F24911" w:rsidRDefault="00F24911" w:rsidP="00550638">
      <w:pPr>
        <w:pStyle w:val="NormalWeb"/>
        <w:jc w:val="both"/>
        <w:rPr>
          <w:b/>
        </w:rPr>
      </w:pPr>
      <w:r>
        <w:rPr>
          <w:b/>
        </w:rPr>
        <w:t>E</w:t>
      </w:r>
      <w:r w:rsidRPr="00F24911">
        <w:rPr>
          <w:b/>
        </w:rPr>
        <w:t>s un libro de memorias escrito por el autor irlandés estadounidense Frank McCourt. Fue publicado en 1996 y obtuvo el Premio Pulitzer</w:t>
      </w:r>
      <w:r>
        <w:rPr>
          <w:b/>
        </w:rPr>
        <w:t>.</w:t>
      </w:r>
    </w:p>
    <w:p w:rsidR="00F24911" w:rsidRDefault="008F2076" w:rsidP="00550638">
      <w:pPr>
        <w:pStyle w:val="NormalWeb"/>
        <w:jc w:val="both"/>
        <w:rPr>
          <w:b/>
        </w:rPr>
      </w:pPr>
      <w:r w:rsidRPr="008F2076">
        <w:rPr>
          <w:b/>
        </w:rPr>
        <w:t>La vida en Irlanda, y especialmente en Limerick, no era fácil en aquella época (años 30 y 40), y el libro la recoge con crudeza. La familia McCourt vive en una casucha minúscula en una callejuela sucia, con una sola bombilla y conviviendo con las pulgas y los chinches, y comparten una única letrina con sus demás vecinos. El padre, vago y alcohólico, apenas logra mantener ningún trabajo, y cuando lo hace es sólo para poder comprar más bebida. Así, la familia se ve obligada a vivir de la caridad, subsistiendo principalmente a base de té y pan</w:t>
      </w:r>
      <w:r>
        <w:rPr>
          <w:b/>
        </w:rPr>
        <w:t>…</w:t>
      </w:r>
    </w:p>
    <w:p w:rsidR="00CC51D7" w:rsidRDefault="008F2076" w:rsidP="00550638">
      <w:pPr>
        <w:pStyle w:val="NormalWeb"/>
        <w:jc w:val="both"/>
        <w:rPr>
          <w:b/>
        </w:rPr>
      </w:pPr>
      <w:r>
        <w:rPr>
          <w:b/>
        </w:rPr>
        <w:t>Cuando leo que los “illuminatis” europeos (y no digamos los “partys” americanos), sostiene</w:t>
      </w:r>
      <w:r w:rsidR="00570A91">
        <w:rPr>
          <w:b/>
        </w:rPr>
        <w:t>n</w:t>
      </w:r>
      <w:r>
        <w:rPr>
          <w:b/>
        </w:rPr>
        <w:t xml:space="preserve"> que hay que pasar de la “solidaridad indirecta”</w:t>
      </w:r>
      <w:r w:rsidR="00570A91">
        <w:rPr>
          <w:b/>
        </w:rPr>
        <w:t xml:space="preserve"> </w:t>
      </w:r>
      <w:r>
        <w:rPr>
          <w:b/>
        </w:rPr>
        <w:t xml:space="preserve">(estado del bienestar) a la “solidaridad directa” (caridad privada), porque al estar todo cubierto ha subido el estándar de vida y la sensación de felicidad, generando a su vez individualismo, </w:t>
      </w:r>
      <w:r w:rsidR="00570A91">
        <w:rPr>
          <w:b/>
        </w:rPr>
        <w:t>y erosionando en papel de los ciudadanos en la sociedad, mientras que la solidaridad directa, la del apoyo mutuo, tiene un fuerte componente emocional, no  puedo dejar de pensar en la “emoción” que sentía</w:t>
      </w:r>
      <w:r w:rsidR="00DE34C3">
        <w:rPr>
          <w:b/>
        </w:rPr>
        <w:t>n</w:t>
      </w:r>
      <w:r w:rsidR="00570A91">
        <w:rPr>
          <w:b/>
        </w:rPr>
        <w:t xml:space="preserve"> Ángela y sus hijos cuando mendigaban caridad, dormían todos en la misma cama, o lamían el papel de diario en el que había sido envuelto el </w:t>
      </w:r>
      <w:r w:rsidR="00DE34C3">
        <w:rPr>
          <w:b/>
        </w:rPr>
        <w:t>misericordioso alimento. Una “gozada”, vamos.</w:t>
      </w:r>
      <w:r w:rsidR="00570A91">
        <w:rPr>
          <w:b/>
        </w:rPr>
        <w:t xml:space="preserve"> </w:t>
      </w:r>
    </w:p>
    <w:p w:rsidR="00FF3B17" w:rsidRDefault="00FF3B17" w:rsidP="00550638">
      <w:pPr>
        <w:pStyle w:val="NormalWeb"/>
        <w:jc w:val="both"/>
        <w:rPr>
          <w:b/>
        </w:rPr>
      </w:pPr>
      <w:r>
        <w:rPr>
          <w:b/>
        </w:rPr>
        <w:lastRenderedPageBreak/>
        <w:t xml:space="preserve">2 </w:t>
      </w:r>
      <w:r w:rsidR="000D1D5C">
        <w:rPr>
          <w:b/>
        </w:rPr>
        <w:t>-</w:t>
      </w:r>
      <w:r>
        <w:rPr>
          <w:b/>
        </w:rPr>
        <w:t xml:space="preserve"> </w:t>
      </w:r>
      <w:r w:rsidR="000D1D5C">
        <w:rPr>
          <w:b/>
        </w:rPr>
        <w:t>La mala e</w:t>
      </w:r>
      <w:r>
        <w:rPr>
          <w:b/>
        </w:rPr>
        <w:t>ducación</w:t>
      </w:r>
    </w:p>
    <w:p w:rsidR="00FF3B17" w:rsidRDefault="00FF3B17" w:rsidP="00550638">
      <w:pPr>
        <w:pStyle w:val="NormalWeb"/>
        <w:jc w:val="both"/>
        <w:rPr>
          <w:b/>
        </w:rPr>
      </w:pPr>
      <w:r>
        <w:rPr>
          <w:noProof/>
          <w:color w:val="0000FF"/>
        </w:rPr>
        <w:drawing>
          <wp:inline distT="0" distB="0" distL="0" distR="0" wp14:anchorId="7895EED6" wp14:editId="2AF890B6">
            <wp:extent cx="5400040" cy="2369103"/>
            <wp:effectExtent l="0" t="0" r="0" b="0"/>
            <wp:docPr id="158" name="Imagen 158" descr="Miles de policías «escoltan» la manifestación estudiantil en la City">
              <a:hlinkClick xmlns:a="http://schemas.openxmlformats.org/drawingml/2006/main" r:id=""/>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Miles de policías «escoltan» la manifestación estudiantil en la City"/>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00040" cy="2369103"/>
                    </a:xfrm>
                    <a:prstGeom prst="rect">
                      <a:avLst/>
                    </a:prstGeom>
                    <a:noFill/>
                    <a:ln>
                      <a:noFill/>
                    </a:ln>
                  </pic:spPr>
                </pic:pic>
              </a:graphicData>
            </a:graphic>
          </wp:inline>
        </w:drawing>
      </w:r>
    </w:p>
    <w:p w:rsidR="00C26470" w:rsidRDefault="000D1D5C" w:rsidP="00550638">
      <w:pPr>
        <w:spacing w:before="100" w:beforeAutospacing="1" w:after="100" w:afterAutospacing="1" w:line="240" w:lineRule="auto"/>
        <w:jc w:val="both"/>
        <w:outlineLvl w:val="0"/>
        <w:rPr>
          <w:rFonts w:ascii="Times New Roman" w:eastAsia="Times New Roman" w:hAnsi="Times New Roman"/>
          <w:b/>
          <w:bCs/>
          <w:kern w:val="36"/>
          <w:sz w:val="24"/>
          <w:szCs w:val="24"/>
          <w:lang w:eastAsia="es-ES"/>
        </w:rPr>
      </w:pPr>
      <w:r>
        <w:rPr>
          <w:rFonts w:ascii="Times New Roman" w:eastAsia="Times New Roman" w:hAnsi="Times New Roman"/>
          <w:b/>
          <w:bCs/>
          <w:kern w:val="36"/>
          <w:sz w:val="24"/>
          <w:szCs w:val="24"/>
          <w:lang w:eastAsia="es-ES"/>
        </w:rPr>
        <w:t>De los tres próximos temas a tratar (educación, salud y pensiones), los asuntos</w:t>
      </w:r>
      <w:r w:rsidR="002B0F8C">
        <w:rPr>
          <w:rFonts w:ascii="Times New Roman" w:eastAsia="Times New Roman" w:hAnsi="Times New Roman"/>
          <w:b/>
          <w:bCs/>
          <w:kern w:val="36"/>
          <w:sz w:val="24"/>
          <w:szCs w:val="24"/>
          <w:lang w:eastAsia="es-ES"/>
        </w:rPr>
        <w:t xml:space="preserve"> vinculados con</w:t>
      </w:r>
      <w:r w:rsidR="003F59D2">
        <w:rPr>
          <w:rFonts w:ascii="Times New Roman" w:eastAsia="Times New Roman" w:hAnsi="Times New Roman"/>
          <w:b/>
          <w:bCs/>
          <w:kern w:val="36"/>
          <w:sz w:val="24"/>
          <w:szCs w:val="24"/>
          <w:lang w:eastAsia="es-ES"/>
        </w:rPr>
        <w:t xml:space="preserve"> la</w:t>
      </w:r>
      <w:r>
        <w:rPr>
          <w:rFonts w:ascii="Times New Roman" w:eastAsia="Times New Roman" w:hAnsi="Times New Roman"/>
          <w:b/>
          <w:bCs/>
          <w:kern w:val="36"/>
          <w:sz w:val="24"/>
          <w:szCs w:val="24"/>
          <w:lang w:eastAsia="es-ES"/>
        </w:rPr>
        <w:t xml:space="preserve"> enseñanza (instrucción, formación, cultura, orientación, </w:t>
      </w:r>
      <w:r w:rsidR="003F59D2">
        <w:rPr>
          <w:rFonts w:ascii="Times New Roman" w:eastAsia="Times New Roman" w:hAnsi="Times New Roman"/>
          <w:b/>
          <w:bCs/>
          <w:kern w:val="36"/>
          <w:sz w:val="24"/>
          <w:szCs w:val="24"/>
          <w:lang w:eastAsia="es-ES"/>
        </w:rPr>
        <w:t xml:space="preserve">ilustración, adiestramiento), </w:t>
      </w:r>
      <w:r w:rsidR="00A03E7A">
        <w:rPr>
          <w:rFonts w:ascii="Times New Roman" w:eastAsia="Times New Roman" w:hAnsi="Times New Roman"/>
          <w:b/>
          <w:bCs/>
          <w:kern w:val="36"/>
          <w:sz w:val="24"/>
          <w:szCs w:val="24"/>
          <w:lang w:eastAsia="es-ES"/>
        </w:rPr>
        <w:t>son los que me resu</w:t>
      </w:r>
      <w:r w:rsidR="00673728">
        <w:rPr>
          <w:rFonts w:ascii="Times New Roman" w:eastAsia="Times New Roman" w:hAnsi="Times New Roman"/>
          <w:b/>
          <w:bCs/>
          <w:kern w:val="36"/>
          <w:sz w:val="24"/>
          <w:szCs w:val="24"/>
          <w:lang w:eastAsia="es-ES"/>
        </w:rPr>
        <w:t>ltan más cercanos y trascenden</w:t>
      </w:r>
      <w:r w:rsidR="006E78A3">
        <w:rPr>
          <w:rFonts w:ascii="Times New Roman" w:eastAsia="Times New Roman" w:hAnsi="Times New Roman"/>
          <w:b/>
          <w:bCs/>
          <w:kern w:val="36"/>
          <w:sz w:val="24"/>
          <w:szCs w:val="24"/>
          <w:lang w:eastAsia="es-ES"/>
        </w:rPr>
        <w:t>t</w:t>
      </w:r>
      <w:r w:rsidR="00673728">
        <w:rPr>
          <w:rFonts w:ascii="Times New Roman" w:eastAsia="Times New Roman" w:hAnsi="Times New Roman"/>
          <w:b/>
          <w:bCs/>
          <w:kern w:val="36"/>
          <w:sz w:val="24"/>
          <w:szCs w:val="24"/>
          <w:lang w:eastAsia="es-ES"/>
        </w:rPr>
        <w:t>es</w:t>
      </w:r>
      <w:r w:rsidR="003F59D2">
        <w:rPr>
          <w:rFonts w:ascii="Times New Roman" w:eastAsia="Times New Roman" w:hAnsi="Times New Roman"/>
          <w:b/>
          <w:bCs/>
          <w:kern w:val="36"/>
          <w:sz w:val="24"/>
          <w:szCs w:val="24"/>
          <w:lang w:eastAsia="es-ES"/>
        </w:rPr>
        <w:t>.</w:t>
      </w:r>
    </w:p>
    <w:p w:rsidR="003F59D2" w:rsidRPr="00D65398" w:rsidRDefault="003F59D2" w:rsidP="00550638">
      <w:pPr>
        <w:spacing w:before="100" w:beforeAutospacing="1" w:after="100" w:afterAutospacing="1" w:line="240" w:lineRule="auto"/>
        <w:jc w:val="both"/>
        <w:outlineLvl w:val="0"/>
        <w:rPr>
          <w:rFonts w:ascii="Times New Roman" w:eastAsia="Times New Roman" w:hAnsi="Times New Roman"/>
          <w:b/>
          <w:bCs/>
          <w:kern w:val="36"/>
          <w:sz w:val="24"/>
          <w:szCs w:val="24"/>
          <w:lang w:eastAsia="es-ES"/>
        </w:rPr>
      </w:pPr>
      <w:r w:rsidRPr="003F59D2">
        <w:rPr>
          <w:rFonts w:ascii="Times New Roman" w:eastAsia="Times New Roman" w:hAnsi="Times New Roman"/>
          <w:bCs/>
          <w:kern w:val="36"/>
          <w:sz w:val="24"/>
          <w:szCs w:val="24"/>
          <w:lang w:eastAsia="es-ES"/>
        </w:rPr>
        <w:t>En Febrero, de 2010</w:t>
      </w:r>
      <w:r>
        <w:rPr>
          <w:rFonts w:ascii="Times New Roman" w:eastAsia="Times New Roman" w:hAnsi="Times New Roman"/>
          <w:bCs/>
          <w:kern w:val="36"/>
          <w:sz w:val="24"/>
          <w:szCs w:val="24"/>
          <w:lang w:eastAsia="es-ES"/>
        </w:rPr>
        <w:t xml:space="preserve">, publiqué </w:t>
      </w:r>
      <w:r w:rsidRPr="003F59D2">
        <w:rPr>
          <w:rFonts w:ascii="Times New Roman" w:eastAsia="Times New Roman" w:hAnsi="Times New Roman"/>
          <w:bCs/>
          <w:kern w:val="36"/>
          <w:sz w:val="24"/>
          <w:szCs w:val="24"/>
          <w:lang w:eastAsia="es-ES"/>
        </w:rPr>
        <w:t>el Ensayo titulado:</w:t>
      </w:r>
      <w:r>
        <w:rPr>
          <w:rFonts w:ascii="Times New Roman" w:eastAsia="Times New Roman" w:hAnsi="Times New Roman"/>
          <w:bCs/>
          <w:kern w:val="36"/>
          <w:sz w:val="24"/>
          <w:szCs w:val="24"/>
          <w:lang w:eastAsia="es-ES"/>
        </w:rPr>
        <w:t xml:space="preserve"> </w:t>
      </w:r>
      <w:r w:rsidRPr="00D65398">
        <w:rPr>
          <w:rFonts w:ascii="Times New Roman" w:eastAsia="Times New Roman" w:hAnsi="Times New Roman"/>
          <w:b/>
          <w:bCs/>
          <w:kern w:val="36"/>
          <w:sz w:val="24"/>
          <w:szCs w:val="24"/>
          <w:lang w:eastAsia="es-ES"/>
        </w:rPr>
        <w:t>Esperando la rebelión de los “ni-ni”</w:t>
      </w:r>
      <w:r w:rsidR="00A03E7A" w:rsidRPr="00D65398">
        <w:rPr>
          <w:rFonts w:ascii="Times New Roman" w:eastAsia="Times New Roman" w:hAnsi="Times New Roman"/>
          <w:b/>
          <w:bCs/>
          <w:kern w:val="36"/>
          <w:sz w:val="24"/>
          <w:szCs w:val="24"/>
          <w:lang w:eastAsia="es-ES"/>
        </w:rPr>
        <w:t xml:space="preserve"> </w:t>
      </w:r>
      <w:r w:rsidRPr="00D65398">
        <w:rPr>
          <w:rFonts w:ascii="Times New Roman" w:eastAsia="Times New Roman" w:hAnsi="Times New Roman"/>
          <w:b/>
          <w:bCs/>
          <w:kern w:val="36"/>
          <w:sz w:val="24"/>
          <w:szCs w:val="24"/>
          <w:lang w:eastAsia="es-ES"/>
        </w:rPr>
        <w:t>(ni estudian ni trabajan): Los “babylosers”</w:t>
      </w:r>
      <w:r w:rsidR="00A03E7A" w:rsidRPr="00D65398">
        <w:rPr>
          <w:rFonts w:ascii="Times New Roman" w:eastAsia="Times New Roman" w:hAnsi="Times New Roman"/>
          <w:b/>
          <w:bCs/>
          <w:kern w:val="36"/>
          <w:sz w:val="24"/>
          <w:szCs w:val="24"/>
          <w:lang w:eastAsia="es-ES"/>
        </w:rPr>
        <w:t xml:space="preserve"> - </w:t>
      </w:r>
      <w:r w:rsidRPr="00D65398">
        <w:rPr>
          <w:rFonts w:ascii="Times New Roman" w:eastAsia="Times New Roman" w:hAnsi="Times New Roman"/>
          <w:b/>
          <w:bCs/>
          <w:kern w:val="36"/>
          <w:sz w:val="24"/>
          <w:szCs w:val="24"/>
          <w:lang w:eastAsia="es-ES"/>
        </w:rPr>
        <w:t>De la “Generación Peter Pan”</w:t>
      </w:r>
      <w:r w:rsidR="00A03E7A" w:rsidRPr="00D65398">
        <w:rPr>
          <w:rFonts w:ascii="Times New Roman" w:eastAsia="Times New Roman" w:hAnsi="Times New Roman"/>
          <w:b/>
          <w:bCs/>
          <w:kern w:val="36"/>
          <w:sz w:val="24"/>
          <w:szCs w:val="24"/>
          <w:lang w:eastAsia="es-ES"/>
        </w:rPr>
        <w:t xml:space="preserve"> a la “Generación Cero”</w:t>
      </w:r>
      <w:r w:rsidRPr="00D65398">
        <w:rPr>
          <w:rFonts w:ascii="Times New Roman" w:eastAsia="Times New Roman" w:hAnsi="Times New Roman"/>
          <w:b/>
          <w:bCs/>
          <w:kern w:val="36"/>
          <w:sz w:val="24"/>
          <w:szCs w:val="24"/>
          <w:lang w:eastAsia="es-ES"/>
        </w:rPr>
        <w:t>: el becarismo rampante</w:t>
      </w:r>
    </w:p>
    <w:p w:rsidR="003F59D2" w:rsidRPr="003F59D2" w:rsidRDefault="00AF6425" w:rsidP="00550638">
      <w:pPr>
        <w:spacing w:line="240" w:lineRule="auto"/>
        <w:jc w:val="both"/>
        <w:rPr>
          <w:rFonts w:ascii="Times New Roman" w:hAnsi="Times New Roman"/>
          <w:sz w:val="24"/>
          <w:szCs w:val="24"/>
        </w:rPr>
      </w:pPr>
      <w:r>
        <w:rPr>
          <w:rFonts w:ascii="Times New Roman" w:hAnsi="Times New Roman"/>
          <w:sz w:val="24"/>
          <w:szCs w:val="24"/>
        </w:rPr>
        <w:t xml:space="preserve">En el </w:t>
      </w:r>
      <w:r w:rsidRPr="00AF6425">
        <w:rPr>
          <w:rFonts w:ascii="Times New Roman" w:hAnsi="Times New Roman"/>
          <w:sz w:val="24"/>
          <w:szCs w:val="24"/>
          <w:u w:val="single"/>
        </w:rPr>
        <w:t>A</w:t>
      </w:r>
      <w:r w:rsidR="00A03E7A" w:rsidRPr="00AF6425">
        <w:rPr>
          <w:rFonts w:ascii="Times New Roman" w:hAnsi="Times New Roman"/>
          <w:sz w:val="24"/>
          <w:szCs w:val="24"/>
          <w:u w:val="single"/>
        </w:rPr>
        <w:t>partado</w:t>
      </w:r>
      <w:r w:rsidR="00A03E7A">
        <w:rPr>
          <w:rFonts w:ascii="Times New Roman" w:hAnsi="Times New Roman"/>
          <w:sz w:val="24"/>
          <w:szCs w:val="24"/>
        </w:rPr>
        <w:t xml:space="preserve">: </w:t>
      </w:r>
      <w:r w:rsidR="003F59D2" w:rsidRPr="003F59D2">
        <w:rPr>
          <w:rFonts w:ascii="Times New Roman" w:hAnsi="Times New Roman"/>
          <w:sz w:val="24"/>
          <w:szCs w:val="24"/>
        </w:rPr>
        <w:t xml:space="preserve">- </w:t>
      </w:r>
      <w:r w:rsidR="003F59D2" w:rsidRPr="00D65398">
        <w:rPr>
          <w:rFonts w:ascii="Times New Roman" w:hAnsi="Times New Roman"/>
          <w:sz w:val="24"/>
          <w:szCs w:val="24"/>
          <w:u w:val="single"/>
        </w:rPr>
        <w:t>Ya sé; no me digás, tenés razón: la vida es una herida absurda…</w:t>
      </w:r>
      <w:r w:rsidR="003F59D2" w:rsidRPr="003F59D2">
        <w:rPr>
          <w:rFonts w:ascii="Times New Roman" w:hAnsi="Times New Roman"/>
          <w:sz w:val="24"/>
          <w:szCs w:val="24"/>
        </w:rPr>
        <w:t xml:space="preserve"> (*)</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  (De la letra del Tango “La última curda” de Cátulo Castillo y Aníbal Troilo)</w:t>
      </w:r>
    </w:p>
    <w:p w:rsidR="00A03E7A" w:rsidRDefault="00A03E7A" w:rsidP="00550638">
      <w:pPr>
        <w:spacing w:line="240" w:lineRule="auto"/>
        <w:jc w:val="both"/>
        <w:rPr>
          <w:rFonts w:ascii="Times New Roman" w:hAnsi="Times New Roman"/>
          <w:sz w:val="24"/>
          <w:szCs w:val="24"/>
        </w:rPr>
      </w:pPr>
      <w:r>
        <w:rPr>
          <w:rFonts w:ascii="Times New Roman" w:hAnsi="Times New Roman"/>
          <w:sz w:val="24"/>
          <w:szCs w:val="24"/>
        </w:rPr>
        <w:t>Decía:</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r>
      <w:r>
        <w:rPr>
          <w:rFonts w:ascii="Times New Roman" w:hAnsi="Times New Roman"/>
          <w:sz w:val="24"/>
          <w:szCs w:val="24"/>
        </w:rPr>
        <w:tab/>
        <w:t xml:space="preserve">   “Me resulta tan odioso seguir como conducir”. Nietzsche</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Estimado joven amigo: No tengo la menor autoridad para sermonear a nadie (apenas soy, un millonario en fracasos) y aunque la tuviera, no la desearía utilizar (intento ser liberal hasta el renunciamiento personal). Por otra parte, tampoco puedo dirigirme a mis contemporáneos (los que no se han dado por “vencidos”, disfrutan del hedonismo pasivo de última instancia, mientras duren las migajas). Por supuesto, poco interesan mis pensamientos a nivel académico, por incómodos y fuera de contexto (fui expulsado de las Escuelas de Negocios, por antiglobalizador, desde antes que ese término trascendiera al gran público, o por intentar enseñar ética, a los que sólo se preparaban para matar).</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Así y todo, por el mérito de haber trabajado para ti (sí, al menos para los que aún leen, por supuesto) desde el año 1998, estudiando, documentando y escribiendo sobre  temas de economía para facilitar la difusión, el entendimiento y el debate de ideas desde una óptica “políticamente incorrecta”, además de dejar un amplio archivo de Informes y Hemeroteca para que “no se olvide lo inolvidable”, permíteme compartir contigo esta “confesión”.</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 xml:space="preserve">El 54% de los miembros de tu generación (“de los ciudadanos de 18 a 34 años”, según los analistas, que no ahorran en sarcasmos, al llamarlos ciudadanos), no tiene proyectos </w:t>
      </w:r>
      <w:r>
        <w:rPr>
          <w:rFonts w:ascii="Times New Roman" w:hAnsi="Times New Roman"/>
          <w:sz w:val="24"/>
          <w:szCs w:val="24"/>
        </w:rPr>
        <w:lastRenderedPageBreak/>
        <w:t>ni ilusión. No aciertan a vislumbrar una salida airosa, ni combatir este estado de cosas. No tienen prisa para hacerse mayores.</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El virus del desánimo está minando la naturaleza vitalista y combativa de la gente joven. Mientras tanto, el discurso consumista ha resultado una trampa para tantos jóvenes audaces que creyeron en el maná crediticio y el crecimiento económico sin fin.</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 xml:space="preserve">Vivir peor que sus padres… Podemos estar asistiendo al primer proceso masivo de descenso social desde los tiempos de la Revolución francesa. </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¿Ha surgido una generación apática, desvitalizada, indolente, mecida en el confort familiar? Aplican la estrategia de flexibilizar los deseos (individuos de plastilina) y de restar compromisos (seres invisibles, presentistas). Aprovechar el momento “aquí y ahora”.</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 xml:space="preserve">Esclavos libres… Jóvenes rotos… Presa fácil de la devastación laboral, corren el riesgo (casi la certeza) de un nivel de vida peor que el de sus padres. Nuestra sociedad excluye aquellos que representan el futuro, transformándolos en extranjeros de sí misma. </w:t>
      </w:r>
      <w:r w:rsidR="00AF6425">
        <w:rPr>
          <w:rFonts w:ascii="Times New Roman" w:hAnsi="Times New Roman"/>
          <w:sz w:val="24"/>
          <w:szCs w:val="24"/>
        </w:rPr>
        <w:t>Excluidos</w:t>
      </w:r>
      <w:r>
        <w:rPr>
          <w:rFonts w:ascii="Times New Roman" w:hAnsi="Times New Roman"/>
          <w:sz w:val="24"/>
          <w:szCs w:val="24"/>
        </w:rPr>
        <w:t xml:space="preserve"> del futuro, desarrollan una actitud nihilista porque no les exige estar motivados, ni asumir responsabilidades.</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¿Será posible que esta juventud supuestamente acomodaticia y refractaria a la utopía sea la llamada a abrir nuevos caminos? Vivimos un tiempo sin ideologías. Vivimos en una sociedad “anestesiada”. Una sociedad en la que todo vale. Es mejor no aspirar a mucho y “pillar” lo que se pueda.</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Generación decepción… La apatía destructiva que se deriva de la ausencia de valores, de la relatividad moral, de la indiferencia ante quienes nos rodean.</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El riesgo de la eterna adolescencia (síndrome de Peter Pan)… alcohol… beber hasta la embriaguez… drogas… problemas en las aulas… abandono y fracaso escolar… indisciplina y violencia…</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Crisis de identidad… desconfianza y ausencia de valores… conformismo irreversible… Los jóvenes se han instalado en una “impotencia confortable”…</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Seguramente algunos padres (ojalá que muchos, entre los que me incluyo) se estén preguntando: ¿Y qué hemos hecho nosotros para merecer esto? Mi respuesta sería: “todo mal” (asumo mi parte del fracaso).</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 xml:space="preserve">Hemos criado niños eternos; les hemos dado objetos y no afectos; hemos estado demasiado ausentes demasiado tiempo; no le hemos enseñado el valor del esfuerzo, del trabajo, de la responsabilidad; nunca nos hemos sentado con ellos a escucharlos; nunca les hemos dicho que no; hemos desvalorizado el papel de los maestros; hemos sido permisivos, relativistas, consumistas, hedonistas, egoístas, indiferentes, individualistas, insolidarios… y todo ello se ha trasmitido a los hijos. </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 xml:space="preserve">Hemos deseado que no sufrieran lo que habíamos sufrido nosotros, que tuvieran todo aquello que no habíamos podido tener nosotros, que lograran (sin mirar cómo, ni para qué) el título universitario que no habíamos podido lograr nosotros. Hemos transformado a nuestros hijos en un “trofeo” para demostrar nuestro éxito en la vida. </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Y ahora, tarde y mal, nos damos cuenta que el “trofeo” es un fiasco, que hemos malogrado nuestros objetivos y lo que peor aún, hemos estropeado a nuestros hijos.</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lastRenderedPageBreak/>
        <w:t>Estamos cosechando lo que hemos sembrado. Los jóvenes no tienen culpa. La culpa es nuestra. La generación que dirige (simula) el mundo es la nuestra, la generación que dirige (especula) los negocios es la nuestra, la generación que educa (por decir…), cura (en fin…) y da de comer (según…), es la nuestra. La generación que trasmite (muy poco) los valores es la nuestra. Somos los “titulares” de todos los descalabros. Nuestros hijos son el resultado de ellos. La prueba final de la insensatez total.</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Después de este “acto de contrición”, volvamos a ti, joven amigo:</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 xml:space="preserve">¿Con todos estos “agravantes” y tantos “atenuantes” que piensas hacer tú? ¿Seguir en el vacío total? ¿Continuar </w:t>
      </w:r>
      <w:r w:rsidR="00AF6425">
        <w:rPr>
          <w:rFonts w:ascii="Times New Roman" w:hAnsi="Times New Roman"/>
          <w:sz w:val="24"/>
          <w:szCs w:val="24"/>
        </w:rPr>
        <w:t>excluido</w:t>
      </w:r>
      <w:r>
        <w:rPr>
          <w:rFonts w:ascii="Times New Roman" w:hAnsi="Times New Roman"/>
          <w:sz w:val="24"/>
          <w:szCs w:val="24"/>
        </w:rPr>
        <w:t xml:space="preserve"> del futuro? ¿Esperando heredar la nada?</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Las opciones (visto lo visto) son: idiota o ilota… Tú eliges (aunque no es mucho). Los “ni-ni” no dan para más (y tampoco lo desean los amos del universo). Te mearán en la cabeza y te dirán que es lluvia… ¿Y tú te dejas?</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Por mucho menos que esto, estalló la Revolución Francesa, por mucho menos que esto se asaltó el Palacio de Invierno, por mucho menos que esto se produjo el mayo del 68.</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Y tú ahí, impotente confortable, sentado en el salón viendo la tele (fútbol + reality shows), llenándote de mierda el “gruyere” cerebral que te dejó el sistema, la droga y el alcohol, esperando la sopa boba que tu anciana madre te pone de limosna…  sin aspirar a mucho, pillando lo que puedes…</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Levántate y anda. Apaga la tele. Desconecta el MP3. Date de baja en Facebook. Abandona el Twitter. Deja de enviar SMS. No recargues el móvil…   Patea algún culo, aunque sea el equivocado. Revélate. Toma la calle. Manifiéstate. Tira piedras… Toma la Bastilla, asalta el Palacio de Invierno, revive el espíritu de mayo del 68…</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 xml:space="preserve">Mientras te lo piensas, intenta contestar alguna de las siguientes preguntas, trata de reflexionar sobre alguna de las siguientes frases y actúa en consecuencia (ojalá). Te guste o no, tú heredaras el mundo. Que sea igual, peor o mejor, está en tu mano. </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Nuestra generación fracasó (a las pruebas me remito), intenta que tus hijos no piensen lo mismo de la vuestra. De no ser así, sólo les quedará esperar el final del final…</w:t>
      </w:r>
    </w:p>
    <w:p w:rsidR="003F59D2" w:rsidRPr="00216CFF" w:rsidRDefault="003F59D2" w:rsidP="00550638">
      <w:pPr>
        <w:spacing w:line="240" w:lineRule="auto"/>
        <w:jc w:val="both"/>
        <w:rPr>
          <w:rFonts w:ascii="Times New Roman" w:hAnsi="Times New Roman"/>
          <w:sz w:val="24"/>
          <w:szCs w:val="24"/>
        </w:rPr>
      </w:pPr>
      <w:r>
        <w:rPr>
          <w:rFonts w:ascii="Times New Roman" w:hAnsi="Times New Roman"/>
          <w:sz w:val="24"/>
          <w:szCs w:val="24"/>
        </w:rPr>
        <w:t>¿</w:t>
      </w:r>
      <w:r w:rsidRPr="00216CFF">
        <w:rPr>
          <w:rFonts w:ascii="Times New Roman" w:hAnsi="Times New Roman"/>
          <w:sz w:val="24"/>
          <w:szCs w:val="24"/>
        </w:rPr>
        <w:t>Qué tan lejos puede llegar la desigualdad antes de que el sistema se derrumbe?</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¿Es imaginable otro escenario posible?</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¿Existen algunas m</w:t>
      </w:r>
      <w:r>
        <w:rPr>
          <w:rFonts w:ascii="Times New Roman" w:hAnsi="Times New Roman"/>
          <w:sz w:val="24"/>
          <w:szCs w:val="24"/>
        </w:rPr>
        <w:t>edidas de prevención económica?...</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Antes que sea demasiado tarde.</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Tal vez haya que elegir caminos de heterodoxia.</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Tal vez haya llegado el fin de la era de los simulacros cosméticos, máscaras y prótesis.</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Tal vez estemos ante el fin de la economía de las siliconas.</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Un ciclo que toca a su fin.</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El fin de las promesas ficticias.</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El fin del reino de lo homogéneo y simultáneo.</w:t>
      </w:r>
    </w:p>
    <w:p w:rsidR="003F59D2" w:rsidRPr="00216CFF" w:rsidRDefault="003F59D2" w:rsidP="00550638">
      <w:pPr>
        <w:spacing w:line="240" w:lineRule="auto"/>
        <w:jc w:val="both"/>
        <w:rPr>
          <w:rFonts w:ascii="Times New Roman" w:hAnsi="Times New Roman"/>
          <w:sz w:val="24"/>
          <w:szCs w:val="24"/>
        </w:rPr>
      </w:pPr>
      <w:r>
        <w:rPr>
          <w:rFonts w:ascii="Times New Roman" w:hAnsi="Times New Roman"/>
          <w:sz w:val="24"/>
          <w:szCs w:val="24"/>
        </w:rPr>
        <w:lastRenderedPageBreak/>
        <w:t>El fin de los “teoremas asesinos”</w:t>
      </w:r>
      <w:r w:rsidRPr="00216CFF">
        <w:rPr>
          <w:rFonts w:ascii="Times New Roman" w:hAnsi="Times New Roman"/>
          <w:sz w:val="24"/>
          <w:szCs w:val="24"/>
        </w:rPr>
        <w:t xml:space="preserve"> de los Organismos Financieros Internacionales.</w:t>
      </w:r>
    </w:p>
    <w:p w:rsidR="003F59D2" w:rsidRPr="00216CFF" w:rsidRDefault="003F59D2" w:rsidP="00550638">
      <w:pPr>
        <w:spacing w:line="240" w:lineRule="auto"/>
        <w:jc w:val="both"/>
        <w:rPr>
          <w:rFonts w:ascii="Times New Roman" w:hAnsi="Times New Roman"/>
          <w:sz w:val="24"/>
          <w:szCs w:val="24"/>
        </w:rPr>
      </w:pPr>
      <w:r>
        <w:rPr>
          <w:rFonts w:ascii="Times New Roman" w:hAnsi="Times New Roman"/>
          <w:sz w:val="24"/>
          <w:szCs w:val="24"/>
        </w:rPr>
        <w:t>El espectáculo debe terminar.</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Es imposible negar la miseria que crece en medio de la abundancia.</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Es imposible no sent</w:t>
      </w:r>
      <w:r>
        <w:rPr>
          <w:rFonts w:ascii="Times New Roman" w:hAnsi="Times New Roman"/>
          <w:sz w:val="24"/>
          <w:szCs w:val="24"/>
        </w:rPr>
        <w:t>ir el silencio de las víctimas.</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¿Puede existir la liberación con exclusión?</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Habrá que optar entre el hombre y el instrumento, entre la innovación y la tradición, entre lo nuevo y lo perdurable.</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Habrá que optar por reconducir al capitalismo antes que muera de sobredosis…</w:t>
      </w:r>
      <w:r>
        <w:rPr>
          <w:rFonts w:ascii="Times New Roman" w:hAnsi="Times New Roman"/>
          <w:sz w:val="24"/>
          <w:szCs w:val="24"/>
        </w:rPr>
        <w:t xml:space="preserve"> </w:t>
      </w:r>
      <w:r w:rsidRPr="00216CFF">
        <w:rPr>
          <w:rFonts w:ascii="Times New Roman" w:hAnsi="Times New Roman"/>
          <w:sz w:val="24"/>
          <w:szCs w:val="24"/>
        </w:rPr>
        <w:t>Si aún es posible.</w:t>
      </w:r>
    </w:p>
    <w:p w:rsidR="003F59D2" w:rsidRPr="00216CFF"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Ni Wall Street, ni Silicon Valley, ni Hollywood, son los personajes de la Historia, es el hombre, y a él se debe responder…</w:t>
      </w:r>
    </w:p>
    <w:p w:rsidR="003F59D2" w:rsidRDefault="003F59D2" w:rsidP="00550638">
      <w:pPr>
        <w:spacing w:line="240" w:lineRule="auto"/>
        <w:jc w:val="both"/>
        <w:rPr>
          <w:rFonts w:ascii="Times New Roman" w:hAnsi="Times New Roman"/>
          <w:sz w:val="24"/>
          <w:szCs w:val="24"/>
        </w:rPr>
      </w:pPr>
      <w:r w:rsidRPr="00216CFF">
        <w:rPr>
          <w:rFonts w:ascii="Times New Roman" w:hAnsi="Times New Roman"/>
          <w:sz w:val="24"/>
          <w:szCs w:val="24"/>
        </w:rPr>
        <w:t>Tal vez todo sea cuestión de cambiar una economía de cabotaje por una economía de altura…</w:t>
      </w:r>
      <w:r>
        <w:rPr>
          <w:rFonts w:ascii="Times New Roman" w:hAnsi="Times New Roman"/>
          <w:sz w:val="24"/>
          <w:szCs w:val="24"/>
        </w:rPr>
        <w:t xml:space="preserve"> </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 xml:space="preserve">Por mucho que la escenografía quiera tapar la realidad, cuando el móvil deje de ser el corazón de la información, cuando la vida cotidiana sea algo más que un SMS, cuando tus pensamientos puedan ir más allá del Twitter (140 caracteres), no heredarás el viento (humo). </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Desde tu insignificancia (la levedad del ser), pero también desde tu grandeza (la fuerza del sujeto activo) podrás ayudar a evitar la “cadena de errores” (las alarmas no saltan hasta que ya es demasiado tarde). La derrota del pensamiento no es generalizada, y el triunfo de la barbarie todavía no es efectivo.</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También los enemigos persisten y siguen siendo los mismos: los promotores del orden tal cual es. El objetivo sigue siendo indefectiblemente nietzscheano: “Castigar la estupidez”. De otro modo, ésta triunfará en forma absoluta, hasta el punto que los autoritarismos de antaño parecerán opacos y pálidos en comparación con los que habrán logrado sojuzgar los cuerpos, pero también, y sobre todo, las almas.</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Hay que hacer una revolución copernicana, terminar con el sometimiento de los hombres a la economía liberal y a su locura generalizada, para someter a la economía a un proyecto de vida en común. No ya servir al capital, sino poner este a disposición de los hombres. El triunfo del capitalismo determinó la muerte de lo político y de la política a favor de un elogio simple y llano de la técnica de la administración de los hombres como bienes.</w:t>
      </w:r>
    </w:p>
    <w:p w:rsidR="003F59D2" w:rsidRDefault="003F59D2" w:rsidP="00550638">
      <w:pPr>
        <w:spacing w:line="240" w:lineRule="auto"/>
        <w:jc w:val="both"/>
        <w:rPr>
          <w:rFonts w:ascii="Times New Roman" w:hAnsi="Times New Roman"/>
          <w:sz w:val="24"/>
          <w:szCs w:val="24"/>
        </w:rPr>
      </w:pPr>
      <w:r>
        <w:rPr>
          <w:rFonts w:ascii="Times New Roman" w:hAnsi="Times New Roman"/>
          <w:sz w:val="24"/>
          <w:szCs w:val="24"/>
        </w:rPr>
        <w:t>Todo prolegómeno al reencanto del mundo pasa por esta revolución copernicana: terminar con esa religión de la economía que hace del capital su Dios, y de los hombres vulgares fieles moldeados a su voluntad. De modo que hay que promover un ateísmo en esta materia, al menos un confinamiento de la economía al único registro de los medios, y no de los fines. Debe estar al servicio y no exigir que se la sirva. Para que esto ocurra, debe someterse a lo político; desde hace demasiado tiempo, la política actúa como sirvienta de la economía.</w:t>
      </w:r>
    </w:p>
    <w:p w:rsidR="00A03E7A" w:rsidRDefault="003F59D2" w:rsidP="00550638">
      <w:pPr>
        <w:spacing w:line="240" w:lineRule="auto"/>
        <w:jc w:val="both"/>
        <w:rPr>
          <w:rFonts w:ascii="Times New Roman" w:hAnsi="Times New Roman"/>
          <w:sz w:val="24"/>
          <w:szCs w:val="24"/>
        </w:rPr>
      </w:pPr>
      <w:r>
        <w:rPr>
          <w:rFonts w:ascii="Times New Roman" w:hAnsi="Times New Roman"/>
          <w:sz w:val="24"/>
          <w:szCs w:val="24"/>
        </w:rPr>
        <w:lastRenderedPageBreak/>
        <w:t xml:space="preserve">Y tú joven amigo (mientras) inmóvil, paralizado, clavado como un insecto a un corcho, estás al completo servicio de un orden en el cual no tienes opción. Busca el sentido…  </w:t>
      </w:r>
    </w:p>
    <w:p w:rsidR="00AF6425" w:rsidRDefault="003F59D2"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00AF6425">
        <w:rPr>
          <w:rFonts w:ascii="Times New Roman" w:hAnsi="Times New Roman"/>
          <w:sz w:val="24"/>
          <w:szCs w:val="24"/>
        </w:rPr>
        <w:t xml:space="preserve">Antes, en la </w:t>
      </w:r>
      <w:r w:rsidR="00AF6425" w:rsidRPr="00AF6425">
        <w:rPr>
          <w:rFonts w:ascii="Times New Roman" w:hAnsi="Times New Roman"/>
          <w:sz w:val="24"/>
          <w:szCs w:val="24"/>
          <w:u w:val="single"/>
        </w:rPr>
        <w:t>Introducción</w:t>
      </w:r>
      <w:r w:rsidR="00AF6425">
        <w:rPr>
          <w:rFonts w:ascii="Times New Roman" w:hAnsi="Times New Roman"/>
          <w:sz w:val="24"/>
          <w:szCs w:val="24"/>
        </w:rPr>
        <w:t xml:space="preserve"> del Ensayo les había dejado el siguiente mensaje:</w:t>
      </w:r>
    </w:p>
    <w:p w:rsidR="00AF6425" w:rsidRDefault="00AF6425" w:rsidP="00550638">
      <w:pPr>
        <w:spacing w:line="240" w:lineRule="auto"/>
        <w:jc w:val="both"/>
        <w:rPr>
          <w:rFonts w:ascii="Times New Roman" w:hAnsi="Times New Roman"/>
          <w:sz w:val="24"/>
          <w:szCs w:val="24"/>
        </w:rPr>
      </w:pPr>
      <w:r>
        <w:rPr>
          <w:rFonts w:ascii="Times New Roman" w:hAnsi="Times New Roman"/>
          <w:sz w:val="24"/>
          <w:szCs w:val="24"/>
        </w:rPr>
        <w:t>Mientras tú, joven amigo, flotas en la idiocia (trastorno caracterizado por una deficiencia muy profunda de las facultades mentales, congénita o adquirida en las primeras edades de la vida) otros resuelven por ti. Te “mean en la cabeza” mientras te dicen que no te preocupes, “que es lluvia”… Lo único que esperan de ti, es que seas un “idiota feliz”, un “adicto al consumismo” (y a otras drogas), un “zombi abducido”, un “esclavo libre”, un “extranjero” en tu propia sociedad, una “presa fácil” de la devastación laboral, un “excluido” del futuro…</w:t>
      </w:r>
    </w:p>
    <w:p w:rsidR="00AF6425" w:rsidRDefault="00AF6425" w:rsidP="00550638">
      <w:pPr>
        <w:spacing w:line="240" w:lineRule="auto"/>
        <w:jc w:val="both"/>
        <w:rPr>
          <w:rFonts w:ascii="Times New Roman" w:hAnsi="Times New Roman"/>
          <w:sz w:val="24"/>
          <w:szCs w:val="24"/>
        </w:rPr>
      </w:pPr>
      <w:r>
        <w:rPr>
          <w:rFonts w:ascii="Times New Roman" w:hAnsi="Times New Roman"/>
          <w:sz w:val="24"/>
          <w:szCs w:val="24"/>
        </w:rPr>
        <w:t>En las próximas páginas, si me acompañas, intentaremos aclarar si ¿ha surgido una generación apática, desvitalizadora, indolente, mecida en el confort familiar?,  buscaremos las razones por las que el virus del desánimo está minando la naturaleza vitalista y combativa de la gente joven, procuraremos demostrar que el discurso consumista ha resultado una trampa para tantos jóvenes audaces que creyeron en el maná crediticio y el crecimiento económico sin fin…</w:t>
      </w:r>
    </w:p>
    <w:p w:rsidR="00AF6425" w:rsidRDefault="00AF6425" w:rsidP="00550638">
      <w:pPr>
        <w:spacing w:line="240" w:lineRule="auto"/>
        <w:jc w:val="both"/>
        <w:rPr>
          <w:rFonts w:ascii="Times New Roman" w:hAnsi="Times New Roman"/>
          <w:sz w:val="24"/>
          <w:szCs w:val="24"/>
        </w:rPr>
      </w:pPr>
      <w:r>
        <w:rPr>
          <w:rFonts w:ascii="Times New Roman" w:hAnsi="Times New Roman"/>
          <w:sz w:val="24"/>
          <w:szCs w:val="24"/>
        </w:rPr>
        <w:t>¿Será posible que esta juventud supuestamente acomodaticia y refractaria a la utopía sea la llamada a abrir nuevos caminos?</w:t>
      </w:r>
    </w:p>
    <w:p w:rsidR="00AF6425" w:rsidRDefault="00AF6425" w:rsidP="00550638">
      <w:pPr>
        <w:spacing w:line="240" w:lineRule="auto"/>
        <w:jc w:val="both"/>
        <w:rPr>
          <w:rFonts w:ascii="Times New Roman" w:hAnsi="Times New Roman"/>
          <w:sz w:val="24"/>
          <w:szCs w:val="24"/>
        </w:rPr>
      </w:pPr>
      <w:r>
        <w:rPr>
          <w:rFonts w:ascii="Times New Roman" w:hAnsi="Times New Roman"/>
          <w:sz w:val="24"/>
          <w:szCs w:val="24"/>
        </w:rPr>
        <w:t>El asunto no es baladí: podemos estar asistiendo al primer proceso masivo de descenso social desde los tiempos de la Revolución Francesa.</w:t>
      </w:r>
    </w:p>
    <w:p w:rsidR="00AF6425" w:rsidRDefault="00AF6425" w:rsidP="00550638">
      <w:pPr>
        <w:spacing w:line="240" w:lineRule="auto"/>
        <w:jc w:val="both"/>
        <w:rPr>
          <w:rFonts w:ascii="Times New Roman" w:hAnsi="Times New Roman"/>
          <w:sz w:val="24"/>
          <w:szCs w:val="24"/>
        </w:rPr>
      </w:pPr>
      <w:r>
        <w:rPr>
          <w:rFonts w:ascii="Times New Roman" w:hAnsi="Times New Roman"/>
          <w:sz w:val="24"/>
          <w:szCs w:val="24"/>
        </w:rPr>
        <w:t>Vivimos en una “sociedad anestesiada”. Una sociedad en que “todo vale”, y en ella los jóvenes se han instalado en una “impotencia confortable”, en una “apatía destructiva” que se deriva de la ausencia de valores, de la relatividad moral, de la indiferencia ante quienes nos rodean.</w:t>
      </w:r>
    </w:p>
    <w:p w:rsidR="00AF6425" w:rsidRDefault="00AF6425" w:rsidP="00550638">
      <w:pPr>
        <w:spacing w:line="240" w:lineRule="auto"/>
        <w:jc w:val="both"/>
        <w:rPr>
          <w:rFonts w:ascii="Times New Roman" w:hAnsi="Times New Roman"/>
          <w:sz w:val="24"/>
          <w:szCs w:val="24"/>
        </w:rPr>
      </w:pPr>
      <w:r>
        <w:rPr>
          <w:rFonts w:ascii="Times New Roman" w:hAnsi="Times New Roman"/>
          <w:sz w:val="24"/>
          <w:szCs w:val="24"/>
        </w:rPr>
        <w:t>Entre la melancolía de la izquierda y el cinismo de la derecha los líderes políticos están expropiando los años venideros. Resultan ser (por acción u omisión) los enemigos del futuro.</w:t>
      </w:r>
    </w:p>
    <w:p w:rsidR="00AF6425" w:rsidRDefault="00AF6425" w:rsidP="00550638">
      <w:pPr>
        <w:spacing w:line="240" w:lineRule="auto"/>
        <w:jc w:val="both"/>
        <w:rPr>
          <w:rFonts w:ascii="Times New Roman" w:hAnsi="Times New Roman"/>
          <w:sz w:val="24"/>
          <w:szCs w:val="24"/>
        </w:rPr>
      </w:pPr>
      <w:r>
        <w:rPr>
          <w:rFonts w:ascii="Times New Roman" w:hAnsi="Times New Roman"/>
          <w:sz w:val="24"/>
          <w:szCs w:val="24"/>
        </w:rPr>
        <w:t>En medio de este escándalo, muchos de los bancos acusados de pirómanos -y que se salvaron de la quema con montañas de dinero público- vuelven a pagar bonus millonarios a sus ejecutivos. Vuelven a realizar sus actividades inútiles… si no destructivas, desde el punto de vista social.</w:t>
      </w:r>
    </w:p>
    <w:p w:rsidR="00AF6425" w:rsidRPr="00A00C9D" w:rsidRDefault="00AF6425" w:rsidP="00550638">
      <w:pPr>
        <w:spacing w:line="240" w:lineRule="auto"/>
        <w:jc w:val="both"/>
        <w:rPr>
          <w:rFonts w:ascii="Times New Roman" w:hAnsi="Times New Roman"/>
          <w:sz w:val="24"/>
          <w:szCs w:val="24"/>
        </w:rPr>
      </w:pPr>
      <w:r w:rsidRPr="00A00C9D">
        <w:rPr>
          <w:rFonts w:ascii="Times New Roman" w:hAnsi="Times New Roman"/>
          <w:sz w:val="24"/>
          <w:szCs w:val="24"/>
        </w:rPr>
        <w:t>- ¿Y después?</w:t>
      </w:r>
    </w:p>
    <w:p w:rsidR="00AF6425" w:rsidRDefault="00AF6425" w:rsidP="00550638">
      <w:pPr>
        <w:spacing w:line="240" w:lineRule="auto"/>
        <w:jc w:val="both"/>
        <w:rPr>
          <w:rFonts w:ascii="Times New Roman" w:hAnsi="Times New Roman"/>
          <w:sz w:val="24"/>
          <w:szCs w:val="24"/>
        </w:rPr>
      </w:pPr>
      <w:r w:rsidRPr="00A00C9D">
        <w:rPr>
          <w:rFonts w:ascii="Times New Roman" w:hAnsi="Times New Roman"/>
          <w:sz w:val="24"/>
          <w:szCs w:val="24"/>
        </w:rPr>
        <w:t xml:space="preserve">Günter Grass nos ayuda a contestar la pregunta, en </w:t>
      </w:r>
      <w:r>
        <w:rPr>
          <w:rFonts w:ascii="Times New Roman" w:hAnsi="Times New Roman"/>
          <w:sz w:val="24"/>
          <w:szCs w:val="24"/>
        </w:rPr>
        <w:t>“</w:t>
      </w:r>
      <w:r w:rsidRPr="00787787">
        <w:rPr>
          <w:rFonts w:ascii="Times New Roman" w:hAnsi="Times New Roman"/>
          <w:i/>
          <w:sz w:val="24"/>
          <w:szCs w:val="24"/>
        </w:rPr>
        <w:t>Mi Siglo</w:t>
      </w:r>
      <w:r>
        <w:rPr>
          <w:rFonts w:ascii="Times New Roman" w:hAnsi="Times New Roman"/>
          <w:sz w:val="24"/>
          <w:szCs w:val="24"/>
        </w:rPr>
        <w:t>”</w:t>
      </w:r>
      <w:r w:rsidRPr="00A00C9D">
        <w:rPr>
          <w:rFonts w:ascii="Times New Roman" w:hAnsi="Times New Roman"/>
          <w:sz w:val="24"/>
          <w:szCs w:val="24"/>
        </w:rPr>
        <w:t>, citando el último párrafo del breve poema “A los que han de nacer”:</w:t>
      </w:r>
    </w:p>
    <w:p w:rsidR="00AF6425" w:rsidRPr="00A00C9D" w:rsidRDefault="00AF6425" w:rsidP="00550638">
      <w:pPr>
        <w:spacing w:line="240" w:lineRule="auto"/>
        <w:ind w:firstLine="708"/>
        <w:jc w:val="both"/>
        <w:rPr>
          <w:rFonts w:ascii="Times New Roman" w:hAnsi="Times New Roman"/>
          <w:sz w:val="24"/>
          <w:szCs w:val="24"/>
        </w:rPr>
      </w:pPr>
      <w:r w:rsidRPr="00A00C9D">
        <w:rPr>
          <w:rFonts w:ascii="Times New Roman" w:hAnsi="Times New Roman"/>
          <w:sz w:val="24"/>
          <w:szCs w:val="24"/>
        </w:rPr>
        <w:t>Cuando se hayan agotado los errores</w:t>
      </w:r>
    </w:p>
    <w:p w:rsidR="00AF6425" w:rsidRPr="00A00C9D" w:rsidRDefault="00AF6425" w:rsidP="00550638">
      <w:pPr>
        <w:spacing w:line="240" w:lineRule="auto"/>
        <w:jc w:val="both"/>
        <w:rPr>
          <w:rFonts w:ascii="Times New Roman" w:hAnsi="Times New Roman"/>
          <w:sz w:val="24"/>
          <w:szCs w:val="24"/>
        </w:rPr>
      </w:pPr>
      <w:r w:rsidRPr="00A00C9D">
        <w:rPr>
          <w:rFonts w:ascii="Times New Roman" w:hAnsi="Times New Roman"/>
          <w:sz w:val="24"/>
          <w:szCs w:val="24"/>
        </w:rPr>
        <w:tab/>
        <w:t>tendremos como último acompañante</w:t>
      </w:r>
    </w:p>
    <w:p w:rsidR="00AF6425" w:rsidRDefault="00AF6425" w:rsidP="00550638">
      <w:pPr>
        <w:spacing w:line="240" w:lineRule="auto"/>
        <w:jc w:val="both"/>
        <w:rPr>
          <w:rFonts w:ascii="Times New Roman" w:hAnsi="Times New Roman"/>
          <w:sz w:val="24"/>
          <w:szCs w:val="24"/>
        </w:rPr>
      </w:pPr>
      <w:r w:rsidRPr="00A00C9D">
        <w:rPr>
          <w:rFonts w:ascii="Times New Roman" w:hAnsi="Times New Roman"/>
          <w:sz w:val="24"/>
          <w:szCs w:val="24"/>
        </w:rPr>
        <w:tab/>
        <w:t xml:space="preserve">la Nada en frente. </w:t>
      </w:r>
    </w:p>
    <w:p w:rsidR="00AF6425" w:rsidRPr="00A00C9D" w:rsidRDefault="00AF6425" w:rsidP="00550638">
      <w:pPr>
        <w:spacing w:line="240" w:lineRule="auto"/>
        <w:jc w:val="both"/>
        <w:rPr>
          <w:rFonts w:ascii="Times New Roman" w:hAnsi="Times New Roman"/>
          <w:sz w:val="24"/>
          <w:szCs w:val="24"/>
        </w:rPr>
      </w:pPr>
      <w:r w:rsidRPr="00A00C9D">
        <w:rPr>
          <w:rFonts w:ascii="Times New Roman" w:hAnsi="Times New Roman"/>
          <w:sz w:val="24"/>
          <w:szCs w:val="24"/>
        </w:rPr>
        <w:t>Primero la desesperación, luego la cólera y finalmente…</w:t>
      </w:r>
      <w:r>
        <w:rPr>
          <w:rFonts w:ascii="Times New Roman" w:hAnsi="Times New Roman"/>
          <w:sz w:val="24"/>
          <w:szCs w:val="24"/>
        </w:rPr>
        <w:t xml:space="preserve"> </w:t>
      </w:r>
      <w:r w:rsidRPr="00A00C9D">
        <w:rPr>
          <w:rFonts w:ascii="Times New Roman" w:hAnsi="Times New Roman"/>
          <w:sz w:val="24"/>
          <w:szCs w:val="24"/>
        </w:rPr>
        <w:t>la violencia.</w:t>
      </w:r>
    </w:p>
    <w:p w:rsidR="00AF6425" w:rsidRPr="00A00C9D" w:rsidRDefault="00AF6425" w:rsidP="00550638">
      <w:pPr>
        <w:spacing w:line="240" w:lineRule="auto"/>
        <w:jc w:val="both"/>
        <w:rPr>
          <w:rFonts w:ascii="Times New Roman" w:hAnsi="Times New Roman"/>
          <w:sz w:val="24"/>
          <w:szCs w:val="24"/>
        </w:rPr>
      </w:pPr>
      <w:r w:rsidRPr="00A00C9D">
        <w:rPr>
          <w:rFonts w:ascii="Times New Roman" w:hAnsi="Times New Roman"/>
          <w:sz w:val="24"/>
          <w:szCs w:val="24"/>
        </w:rPr>
        <w:lastRenderedPageBreak/>
        <w:t xml:space="preserve">Lo explica muy bien Albert Camus en </w:t>
      </w:r>
      <w:r>
        <w:rPr>
          <w:rFonts w:ascii="Times New Roman" w:hAnsi="Times New Roman"/>
          <w:sz w:val="24"/>
          <w:szCs w:val="24"/>
        </w:rPr>
        <w:t>“</w:t>
      </w:r>
      <w:r w:rsidRPr="00787787">
        <w:rPr>
          <w:rFonts w:ascii="Times New Roman" w:hAnsi="Times New Roman"/>
          <w:i/>
          <w:sz w:val="24"/>
          <w:szCs w:val="24"/>
        </w:rPr>
        <w:t>El Hombre Rebelde</w:t>
      </w:r>
      <w:r>
        <w:rPr>
          <w:rFonts w:ascii="Times New Roman" w:hAnsi="Times New Roman"/>
          <w:sz w:val="24"/>
          <w:szCs w:val="24"/>
        </w:rPr>
        <w:t>”:</w:t>
      </w:r>
      <w:r w:rsidRPr="00A00C9D">
        <w:rPr>
          <w:rFonts w:ascii="Times New Roman" w:hAnsi="Times New Roman"/>
          <w:sz w:val="24"/>
          <w:szCs w:val="24"/>
        </w:rPr>
        <w:t xml:space="preserve"> ¿Qué es un hombre rebelde? Es un hombre que dice no. Y se niega, no renuncia: es un hombre que dice sí.</w:t>
      </w:r>
    </w:p>
    <w:p w:rsidR="00AF6425" w:rsidRPr="00A00C9D" w:rsidRDefault="00AF6425" w:rsidP="00550638">
      <w:pPr>
        <w:spacing w:line="240" w:lineRule="auto"/>
        <w:jc w:val="both"/>
        <w:rPr>
          <w:rFonts w:ascii="Times New Roman" w:hAnsi="Times New Roman"/>
          <w:sz w:val="24"/>
          <w:szCs w:val="24"/>
        </w:rPr>
      </w:pPr>
      <w:r w:rsidRPr="00A00C9D">
        <w:rPr>
          <w:rFonts w:ascii="Times New Roman" w:hAnsi="Times New Roman"/>
          <w:sz w:val="24"/>
          <w:szCs w:val="24"/>
        </w:rPr>
        <w:t>Un esclavo que ha recibido órdenes toda su vida -sigue razonando Albert Camus- de pronto juzga inaceptable un nuevo mandato ¿Cuál es el contenido de este no?</w:t>
      </w:r>
    </w:p>
    <w:p w:rsidR="00AF6425" w:rsidRDefault="00AF6425" w:rsidP="00550638">
      <w:pPr>
        <w:spacing w:line="240" w:lineRule="auto"/>
        <w:jc w:val="both"/>
        <w:rPr>
          <w:rFonts w:ascii="Times New Roman" w:hAnsi="Times New Roman"/>
          <w:sz w:val="24"/>
          <w:szCs w:val="24"/>
        </w:rPr>
      </w:pPr>
      <w:r w:rsidRPr="00A00C9D">
        <w:rPr>
          <w:rFonts w:ascii="Times New Roman" w:hAnsi="Times New Roman"/>
          <w:sz w:val="24"/>
          <w:szCs w:val="24"/>
        </w:rPr>
        <w:t>Habrá que</w:t>
      </w:r>
      <w:r>
        <w:rPr>
          <w:rFonts w:ascii="Times New Roman" w:hAnsi="Times New Roman"/>
          <w:sz w:val="24"/>
          <w:szCs w:val="24"/>
        </w:rPr>
        <w:t xml:space="preserve"> saber escuchar para saberlo…</w:t>
      </w:r>
    </w:p>
    <w:p w:rsidR="00AF6425" w:rsidRPr="00D65398" w:rsidRDefault="00AF6425" w:rsidP="00550638">
      <w:pPr>
        <w:pStyle w:val="NormalWeb"/>
        <w:shd w:val="clear" w:color="auto" w:fill="FFFFFF"/>
        <w:jc w:val="both"/>
        <w:rPr>
          <w:u w:val="single"/>
        </w:rPr>
      </w:pPr>
      <w:r>
        <w:t xml:space="preserve">Luego, en el </w:t>
      </w:r>
      <w:r w:rsidRPr="00AF6425">
        <w:rPr>
          <w:u w:val="single"/>
        </w:rPr>
        <w:t>Apartado</w:t>
      </w:r>
      <w:r w:rsidRPr="00D65398">
        <w:t>:</w:t>
      </w:r>
      <w:r>
        <w:t xml:space="preserve"> </w:t>
      </w:r>
      <w:r w:rsidR="00D65398">
        <w:t xml:space="preserve">- </w:t>
      </w:r>
      <w:r w:rsidRPr="00D65398">
        <w:rPr>
          <w:u w:val="single"/>
        </w:rPr>
        <w:t>Mar de fondo (no hay camino, no hay derecha, izquierda, adelante, detrás)</w:t>
      </w:r>
    </w:p>
    <w:p w:rsidR="00AF6425" w:rsidRDefault="00AF6425" w:rsidP="00550638">
      <w:pPr>
        <w:spacing w:line="240" w:lineRule="auto"/>
        <w:jc w:val="both"/>
        <w:rPr>
          <w:rFonts w:ascii="Times New Roman" w:hAnsi="Times New Roman"/>
          <w:sz w:val="24"/>
          <w:szCs w:val="24"/>
        </w:rPr>
      </w:pPr>
      <w:r w:rsidRPr="00AF6425">
        <w:rPr>
          <w:rFonts w:ascii="Times New Roman" w:hAnsi="Times New Roman"/>
          <w:sz w:val="24"/>
          <w:szCs w:val="24"/>
        </w:rPr>
        <w:t xml:space="preserve">- </w:t>
      </w:r>
      <w:r w:rsidRPr="003F05F9">
        <w:rPr>
          <w:rFonts w:ascii="Times New Roman" w:hAnsi="Times New Roman"/>
          <w:sz w:val="24"/>
          <w:szCs w:val="24"/>
          <w:u w:val="single"/>
        </w:rPr>
        <w:t>Chau… no va más!</w:t>
      </w:r>
      <w:r w:rsidRPr="003F05F9">
        <w:rPr>
          <w:rFonts w:ascii="Times New Roman" w:hAnsi="Times New Roman"/>
          <w:b/>
          <w:sz w:val="24"/>
          <w:szCs w:val="24"/>
          <w:u w:val="single"/>
        </w:rPr>
        <w:t xml:space="preserve"> </w:t>
      </w:r>
      <w:r w:rsidRPr="003F05F9">
        <w:rPr>
          <w:rFonts w:ascii="Times New Roman" w:hAnsi="Times New Roman"/>
          <w:sz w:val="24"/>
          <w:szCs w:val="24"/>
          <w:u w:val="single"/>
        </w:rPr>
        <w:t>(para continuar con los tangos)</w:t>
      </w:r>
      <w:r>
        <w:rPr>
          <w:rFonts w:ascii="Times New Roman" w:hAnsi="Times New Roman"/>
          <w:sz w:val="24"/>
          <w:szCs w:val="24"/>
        </w:rPr>
        <w:t xml:space="preserve"> (*)</w:t>
      </w:r>
    </w:p>
    <w:p w:rsidR="00AF6425" w:rsidRDefault="00AF6425" w:rsidP="00550638">
      <w:pPr>
        <w:spacing w:line="240" w:lineRule="auto"/>
        <w:jc w:val="both"/>
        <w:rPr>
          <w:rFonts w:ascii="Times New Roman" w:hAnsi="Times New Roman"/>
          <w:sz w:val="24"/>
          <w:szCs w:val="24"/>
        </w:rPr>
      </w:pPr>
      <w:r>
        <w:rPr>
          <w:rFonts w:ascii="Times New Roman" w:hAnsi="Times New Roman"/>
          <w:sz w:val="24"/>
          <w:szCs w:val="24"/>
        </w:rPr>
        <w:t>(*)  (Tango de Virgilio Expósito y Homero Expósito)</w:t>
      </w:r>
    </w:p>
    <w:p w:rsidR="00AF6425" w:rsidRDefault="00AF6425" w:rsidP="00550638">
      <w:pPr>
        <w:spacing w:line="240" w:lineRule="auto"/>
        <w:jc w:val="both"/>
        <w:rPr>
          <w:rFonts w:ascii="Times New Roman" w:hAnsi="Times New Roman"/>
          <w:sz w:val="24"/>
          <w:szCs w:val="24"/>
        </w:rPr>
      </w:pPr>
      <w:r>
        <w:rPr>
          <w:rFonts w:ascii="Times New Roman" w:hAnsi="Times New Roman"/>
          <w:sz w:val="24"/>
          <w:szCs w:val="24"/>
        </w:rPr>
        <w:t>Escribía:</w:t>
      </w:r>
    </w:p>
    <w:p w:rsidR="007755AA" w:rsidRDefault="00AF6425" w:rsidP="00550638">
      <w:pPr>
        <w:spacing w:line="240" w:lineRule="auto"/>
        <w:jc w:val="both"/>
        <w:rPr>
          <w:rFonts w:ascii="Times New Roman" w:hAnsi="Times New Roman"/>
          <w:sz w:val="24"/>
          <w:szCs w:val="24"/>
        </w:rPr>
      </w:pPr>
      <w:r>
        <w:rPr>
          <w:rFonts w:ascii="Times New Roman" w:hAnsi="Times New Roman"/>
          <w:sz w:val="24"/>
          <w:szCs w:val="24"/>
        </w:rPr>
        <w:t>Estimado joven amigo: Te voy a contar una historia. Una historia de “ganadores” y “perdedores”. Luego, al final, tú me dices de qué lado de las vías del tren has quedado (si del lado bueno o del lado malo)… Perdona que necesite algo</w:t>
      </w:r>
      <w:r w:rsidR="00927C4B">
        <w:rPr>
          <w:rFonts w:ascii="Times New Roman" w:hAnsi="Times New Roman"/>
          <w:sz w:val="24"/>
          <w:szCs w:val="24"/>
        </w:rPr>
        <w:t xml:space="preserve"> más que un Twitter.</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La desvalorización del “capital humano”</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 xml:space="preserve">La crisis económica alcanza ahora, incluso en Occidente, a amplias capas sociales, que hasta entonces se habían librado. Por eso la cuestión social vuelve en el discurso intelectual. Pero las interpretaciones continúan adoleciendo de una notoria ligereza y parecen francamente anacrónicas. La polarización entre pobres y ricos, exacerbada de forma irresistible, no encuentra todavía un nuevo concepto. Si el concepto marxista tradicional de “clase” tiene una súbita coyuntura favorable, eso es ante todo una señal de desamparo. En la comprensión tradicional, la “clase obrera”, que producía la plusvalía, era explotada por la “clase de los capitalistas” por medio de la “propiedad privada de los medios de producción”. </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Ninguno de estos conceptos puede explicar con exactitud los problemas actuales. La nueva pobreza no surge por cuenta de la explotación en la producción, sino por la exclusión de la producción. Quien todavía está empleado en la producción capitalista regular figura ya entre los relativamente privilegiados. La masa problemática y “peligrosa” de la sociedad ya no se define por su posición en el “proceso de producción”, sino por su posición en los ámbitos secundarios, derivados de la circulación y de la distribución. Se trata de desempleados permanentes, de receptores de operaciones estatales de transferencia o de agentes de servicios en los campos de la terciarización, hasta llegar a los empresarios de la miseria, los vendedores ambulantes y los rebuscadores de basura. Esas formas de reproducción son, según criterios jurídicos, cada vez más irregulares, inseguras y a menudo, ilegales; la ocupación es irregular, y las ganancias transitan en el límite del mínimo necesario para la existencia o inc</w:t>
      </w:r>
      <w:r>
        <w:rPr>
          <w:rFonts w:ascii="Times New Roman" w:hAnsi="Times New Roman"/>
          <w:sz w:val="24"/>
          <w:szCs w:val="24"/>
        </w:rPr>
        <w:t xml:space="preserve">luso, caen por debajo de esto. </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 xml:space="preserve">Inversamente, tampoco la “clase de los capitalistas” puede aún ser definida en el viejo sentido, según los parámetros de la clásica “propiedad privada de los medios de producción”. En el cuerpo del aparato estatal y de las infraestructuras así como en el cuerpo de las grandes sociedades accionistas (hoy transnacionales) el capital aparece en cierto modo como socializado y anonimizado; se volvió abstracto, dejando la forma personalizable de toda la sociedad. “El capital” ya no es un grupo de propietarios </w:t>
      </w:r>
      <w:r w:rsidRPr="000B3CA7">
        <w:rPr>
          <w:rFonts w:ascii="Times New Roman" w:hAnsi="Times New Roman"/>
          <w:sz w:val="24"/>
          <w:szCs w:val="24"/>
        </w:rPr>
        <w:lastRenderedPageBreak/>
        <w:t>legales, sino el principio común que determina la vida y la acción de todos los miembros de la sociedad, no solo exteriormente sino también en su propia subjetividad.</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En la crisis y a través de la crisis, se efectúa una vez más una mutación estructural de la sociedad capitalista, disolviendo las situaciones sociales antiguas, aparentemente claras. El meollo de la crisis consiste justamente en que las nuevas fuerzas productivas de la microelectrónica funden el trabajo y, con él, la sustancia del propio capital. Dada la reducción cada vez mayor de la clase obrera industrial, se crea cada vez menos plusvalía. El capital monetario huye rumbo a los mercados financieros especulativos, visto que las inversiones en nuevas fábricas se vuelven no-rentables. Mientras partes crecientes de la sociedad fuera de la producción se pauperizan o incluso caen en la miseria, por otro lado se realiza tan sólo una acumulación simuladora del capital por medio de burbujas financieras. Por lógica, eso no es nada nuevo, pues ese desarrollo ya marca al capitalismo global hace dos décadas. Pero lo que es nuevo es que ahora la clase media en los países occiden</w:t>
      </w:r>
      <w:r>
        <w:rPr>
          <w:rFonts w:ascii="Times New Roman" w:hAnsi="Times New Roman"/>
          <w:sz w:val="24"/>
          <w:szCs w:val="24"/>
        </w:rPr>
        <w:t xml:space="preserve">tales también sea atropellada. </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Barbara Ehrenreich (ensayista norteamericana) había publicado ya en 1989 un libro sobre la “angustia de la clase media ante la quiebra”. Sin embargo el problema fue aplazado enseguida por una década entera, ya que la coyuntura basada en burbujas financieras de los años 90, junto con el impulso de la tecnología de la información y de la comercialización de Internet, despertó una vez más nuevos sueños de florescencia. El colapso de la nueva economía y la explosión de l</w:t>
      </w:r>
      <w:r>
        <w:rPr>
          <w:rFonts w:ascii="Times New Roman" w:hAnsi="Times New Roman"/>
          <w:sz w:val="24"/>
          <w:szCs w:val="24"/>
        </w:rPr>
        <w:t xml:space="preserve">as burbujas financieras </w:t>
      </w:r>
      <w:r w:rsidRPr="000B3CA7">
        <w:rPr>
          <w:rFonts w:ascii="Times New Roman" w:hAnsi="Times New Roman"/>
          <w:sz w:val="24"/>
          <w:szCs w:val="24"/>
        </w:rPr>
        <w:t>en los Estados Unidos,</w:t>
      </w:r>
      <w:r>
        <w:rPr>
          <w:rFonts w:ascii="Times New Roman" w:hAnsi="Times New Roman"/>
          <w:sz w:val="24"/>
          <w:szCs w:val="24"/>
        </w:rPr>
        <w:t xml:space="preserve"> en Europa y, en parte, en Asia, comienzan ahora (</w:t>
      </w:r>
      <w:r w:rsidRPr="000B3CA7">
        <w:rPr>
          <w:rFonts w:ascii="Times New Roman" w:hAnsi="Times New Roman"/>
          <w:sz w:val="24"/>
          <w:szCs w:val="24"/>
        </w:rPr>
        <w:t>desde el año 2000</w:t>
      </w:r>
      <w:r>
        <w:rPr>
          <w:rFonts w:ascii="Times New Roman" w:hAnsi="Times New Roman"/>
          <w:sz w:val="24"/>
          <w:szCs w:val="24"/>
        </w:rPr>
        <w:t xml:space="preserve"> en adelante)</w:t>
      </w:r>
      <w:r w:rsidRPr="000B3CA7">
        <w:rPr>
          <w:rFonts w:ascii="Times New Roman" w:hAnsi="Times New Roman"/>
          <w:sz w:val="24"/>
          <w:szCs w:val="24"/>
        </w:rPr>
        <w:t xml:space="preserve">, a hacer efectiva de manera brutal la quiebra de la clase media, ya temida anteriormente. </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Se propagó el concepto del “Estado antisocial”; las asignaciones para formación y cultura, para el sistema de salud y numerosas otras instituciones públicas fueron cortadas; se iniciaba la demolición del Estado social. También en las grandes empresas sectores enteros de actividad calificada fueron víctimas de la racionalización. Dado el desmoronamiento de la nueva economía, hasta las mismas calificaciones de muchos especialistas “high-tech” se vieron desvalorizadas. Hoy ya no se puede ignorar que la ascensión de la nueva clase media no tenía una base capitalista autónoma; por el contrario, dependía de la redistribución social de la plusvalía proveniente de los sectores industriales. De la misma manera que la producción social real de plusvalía entra en una crisis estructural debido a la tercera revolución industrial, los sectores secundarios de la nueva clase media van siendo sucesivamente privados de su suelo fértil. El resultado no es solamente un dese</w:t>
      </w:r>
      <w:r>
        <w:rPr>
          <w:rFonts w:ascii="Times New Roman" w:hAnsi="Times New Roman"/>
          <w:sz w:val="24"/>
          <w:szCs w:val="24"/>
        </w:rPr>
        <w:t xml:space="preserve">mpleo creciente de académicos. </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 xml:space="preserve">La privatización y la terciarización desvalorizan el “capital humano” de las calificaciones incluso en el interior de la parcela empleada y degradada en su estatus. Jornaleros intelectuales, trabajadores baratos y empresarios de miseria como los free-lance en los medios de comunicación, universidades privadas, despachos de abogados o clínicas privadas no son ya excepciones, sino la regla. A pesar de esto, a fin de cuentas tampoco Kautsky tuvo razón. Pues la nueva clase media decayó, es verdad, pero no para convertirse en el proletariado industrial clásico de los productores directos, convertidos en una minoría que va desapareciendo pausadamente. De forma paradójica, la “proletarización” de las capas calificadas está ligada a una “desproletarización” de la producción. </w:t>
      </w:r>
    </w:p>
    <w:p w:rsidR="007755AA"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 xml:space="preserve">Por otra parte la desvalorización de las calificaciones corre pareja con una expansión objetiva del concepto de “capital humano”. Al revés de la decadencia de la nueva clase </w:t>
      </w:r>
      <w:r w:rsidRPr="000B3CA7">
        <w:rPr>
          <w:rFonts w:ascii="Times New Roman" w:hAnsi="Times New Roman"/>
          <w:sz w:val="24"/>
          <w:szCs w:val="24"/>
        </w:rPr>
        <w:lastRenderedPageBreak/>
        <w:t xml:space="preserve">media, se realiza en cierto modo un inédito “pequeño-aburguesamiento” general de la sociedad, cuando los recursos industriales e infra-estructurales aparecen más como megaestructuras anónimas. El “medio de producción independiente” se deteriora hasta llegar a la piel de los individuos: todos se convierten en su propio “capital humano”, aunque sea simplemente el cuerpo desnudo. Surge una relación inmediata entre las personas atomizadas y la economía del valor, que se limita a reproducirse de manera simulada, por medio de déficits y burbujas financieras. </w:t>
      </w:r>
      <w:r w:rsidR="00537944" w:rsidRPr="000B3CA7">
        <w:rPr>
          <w:rFonts w:ascii="Times New Roman" w:hAnsi="Times New Roman"/>
          <w:sz w:val="24"/>
          <w:szCs w:val="24"/>
        </w:rPr>
        <w:t>Cuanto mayor</w:t>
      </w:r>
      <w:r w:rsidRPr="000B3CA7">
        <w:rPr>
          <w:rFonts w:ascii="Times New Roman" w:hAnsi="Times New Roman"/>
          <w:sz w:val="24"/>
          <w:szCs w:val="24"/>
        </w:rPr>
        <w:t xml:space="preserve"> se vuelven las diferencias entre el pobre y el rico, más desaparecen las diferencias estructurales de las clases en la estructuración del capitalismo.</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Ruegos y preguntas</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Es muy probable que a los “ideólogos” del mercado les convenga más una sociedad “religiosamente” controlada como la india o una sociedad “políticamente” controlada como la china para desarrollar nuevos consumidores que sustituyan a las clases medias de los países desarrollados. Es la creación de una sociedad de consumidores “sin pasado” (</w:t>
      </w:r>
      <w:r>
        <w:rPr>
          <w:rFonts w:ascii="Times New Roman" w:hAnsi="Times New Roman"/>
          <w:sz w:val="24"/>
          <w:szCs w:val="24"/>
        </w:rPr>
        <w:t>sin las conquistas del pasado).</w:t>
      </w:r>
    </w:p>
    <w:p w:rsidR="007755AA"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Ha llegado el fin del matrimonio perfecto: el consumidor de “última necesidad” y la “estructura industrial” (antigua forma de producción). La “eutanasia” (más o menos lenta) del consumidor burgués. El desmantelamiento de la clase media, columna vertebral de la revolución industrial, custodio de la defensa de los derechos de propiedad, consumidores pasivos y… estúpidos perfectos.  Ya no se los necesita más.</w:t>
      </w:r>
      <w:r>
        <w:rPr>
          <w:rFonts w:ascii="Times New Roman" w:hAnsi="Times New Roman"/>
          <w:sz w:val="24"/>
          <w:szCs w:val="24"/>
        </w:rPr>
        <w:t xml:space="preserve"> </w:t>
      </w:r>
      <w:r w:rsidRPr="000B3CA7">
        <w:rPr>
          <w:rFonts w:ascii="Times New Roman" w:hAnsi="Times New Roman"/>
          <w:sz w:val="24"/>
          <w:szCs w:val="24"/>
        </w:rPr>
        <w:t>¿De quién van a defender los derechos de propiedad?</w:t>
      </w:r>
    </w:p>
    <w:p w:rsidR="007755AA" w:rsidRDefault="007755AA" w:rsidP="00550638">
      <w:pPr>
        <w:spacing w:line="240" w:lineRule="auto"/>
        <w:jc w:val="both"/>
        <w:rPr>
          <w:rFonts w:ascii="Times New Roman" w:hAnsi="Times New Roman"/>
          <w:sz w:val="24"/>
          <w:szCs w:val="24"/>
        </w:rPr>
      </w:pPr>
      <w:r w:rsidRPr="003F1244">
        <w:rPr>
          <w:rFonts w:ascii="Times New Roman" w:hAnsi="Times New Roman"/>
          <w:sz w:val="24"/>
          <w:szCs w:val="24"/>
        </w:rPr>
        <w:t>La pauperización de la clase media es quizás la desmentida más cruda de la promesa originaria de progreso colectivo…</w:t>
      </w:r>
    </w:p>
    <w:p w:rsidR="007755AA" w:rsidRPr="003F1244" w:rsidRDefault="007755AA" w:rsidP="00550638">
      <w:pPr>
        <w:spacing w:line="240" w:lineRule="auto"/>
        <w:jc w:val="both"/>
        <w:rPr>
          <w:rFonts w:ascii="Times New Roman" w:hAnsi="Times New Roman"/>
          <w:sz w:val="24"/>
          <w:szCs w:val="24"/>
        </w:rPr>
      </w:pPr>
      <w:r w:rsidRPr="003F1244">
        <w:rPr>
          <w:rFonts w:ascii="Times New Roman" w:hAnsi="Times New Roman"/>
          <w:sz w:val="24"/>
          <w:szCs w:val="24"/>
        </w:rPr>
        <w:t>Empobrecimiento individual o familiar, empobrecimiento como ciudadano y como trabajador son las facetas de una caída colectiva comenzada hace más de dos décadas y que hoy continúa…</w:t>
      </w:r>
    </w:p>
    <w:p w:rsidR="007755AA" w:rsidRPr="000B3CA7" w:rsidRDefault="007755AA" w:rsidP="00550638">
      <w:pPr>
        <w:spacing w:line="240" w:lineRule="auto"/>
        <w:jc w:val="both"/>
        <w:rPr>
          <w:rFonts w:ascii="Times New Roman" w:hAnsi="Times New Roman"/>
          <w:sz w:val="24"/>
          <w:szCs w:val="24"/>
        </w:rPr>
      </w:pPr>
      <w:r w:rsidRPr="003F1244">
        <w:rPr>
          <w:rFonts w:ascii="Times New Roman" w:hAnsi="Times New Roman"/>
          <w:sz w:val="24"/>
          <w:szCs w:val="24"/>
        </w:rPr>
        <w:t>Con la caída económica cae un valor central de nuestro imaginario: la creencia en el progreso ¿Qué lugar queda entonces para la esper</w:t>
      </w:r>
      <w:r>
        <w:rPr>
          <w:rFonts w:ascii="Times New Roman" w:hAnsi="Times New Roman"/>
          <w:sz w:val="24"/>
          <w:szCs w:val="24"/>
        </w:rPr>
        <w:t>anza? ¿Qué futuros nos esperan?</w:t>
      </w:r>
    </w:p>
    <w:p w:rsidR="007755AA" w:rsidRDefault="007755AA" w:rsidP="00550638">
      <w:pPr>
        <w:spacing w:line="240" w:lineRule="auto"/>
        <w:jc w:val="both"/>
        <w:rPr>
          <w:rFonts w:ascii="Times New Roman" w:hAnsi="Times New Roman"/>
          <w:sz w:val="24"/>
          <w:szCs w:val="24"/>
        </w:rPr>
      </w:pPr>
      <w:r>
        <w:rPr>
          <w:rFonts w:ascii="Times New Roman" w:hAnsi="Times New Roman"/>
          <w:sz w:val="24"/>
          <w:szCs w:val="24"/>
        </w:rPr>
        <w:t>Estimado joven amigo: si has llegado hasta aquí (venciendo la analfabetismo funcional imperante), te ruego que sigas un poco más, e intentes contestar las siguientes preguntas:</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 xml:space="preserve">¿Habrá llegado la hora final de </w:t>
      </w:r>
      <w:r>
        <w:rPr>
          <w:rFonts w:ascii="Times New Roman" w:hAnsi="Times New Roman"/>
          <w:sz w:val="24"/>
          <w:szCs w:val="24"/>
        </w:rPr>
        <w:t>la ambigüedad pequeño-burguesa?</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¿Se convencerá la clase media (o lo que queda de ella) que debe dejar de ser la clase “contrarrevolucionaria”?</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¿Será capaz de exigir la firma de un nuevo Contrato S</w:t>
      </w:r>
      <w:r>
        <w:rPr>
          <w:rFonts w:ascii="Times New Roman" w:hAnsi="Times New Roman"/>
          <w:sz w:val="24"/>
          <w:szCs w:val="24"/>
        </w:rPr>
        <w:t>ocial?</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¿Tendrá voluntad y fuerzas para oponerse a la “voladura” del Estado del Bienestar?</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¿Podrá alcanzarse la alianza de la clase media (o lo que qued</w:t>
      </w:r>
      <w:r>
        <w:rPr>
          <w:rFonts w:ascii="Times New Roman" w:hAnsi="Times New Roman"/>
          <w:sz w:val="24"/>
          <w:szCs w:val="24"/>
        </w:rPr>
        <w:t>a de ella) con la clase obrera?</w:t>
      </w:r>
    </w:p>
    <w:p w:rsidR="007755AA" w:rsidRPr="000B3CA7"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De la traición a la promoción del cambio…</w:t>
      </w:r>
    </w:p>
    <w:p w:rsidR="00927C4B" w:rsidRDefault="007755AA" w:rsidP="00550638">
      <w:pPr>
        <w:spacing w:line="240" w:lineRule="auto"/>
        <w:jc w:val="both"/>
        <w:rPr>
          <w:rFonts w:ascii="Times New Roman" w:hAnsi="Times New Roman"/>
          <w:sz w:val="24"/>
          <w:szCs w:val="24"/>
        </w:rPr>
      </w:pPr>
      <w:r w:rsidRPr="000B3CA7">
        <w:rPr>
          <w:rFonts w:ascii="Times New Roman" w:hAnsi="Times New Roman"/>
          <w:sz w:val="24"/>
          <w:szCs w:val="24"/>
        </w:rPr>
        <w:t>Del servilismo a la revolución…</w:t>
      </w:r>
    </w:p>
    <w:p w:rsidR="00D65398" w:rsidRPr="00927C4B" w:rsidRDefault="00D65398" w:rsidP="00550638">
      <w:pPr>
        <w:spacing w:line="240" w:lineRule="auto"/>
        <w:jc w:val="both"/>
        <w:rPr>
          <w:rFonts w:ascii="Times New Roman" w:hAnsi="Times New Roman"/>
          <w:sz w:val="24"/>
          <w:szCs w:val="24"/>
        </w:rPr>
      </w:pPr>
      <w:r w:rsidRPr="00D65398">
        <w:rPr>
          <w:rFonts w:ascii="Times New Roman" w:hAnsi="Times New Roman"/>
          <w:sz w:val="24"/>
          <w:szCs w:val="24"/>
        </w:rPr>
        <w:lastRenderedPageBreak/>
        <w:t xml:space="preserve">Más adelante, en el </w:t>
      </w:r>
      <w:r w:rsidRPr="00D65398">
        <w:rPr>
          <w:rFonts w:ascii="Times New Roman" w:hAnsi="Times New Roman"/>
          <w:sz w:val="24"/>
          <w:szCs w:val="24"/>
          <w:u w:val="single"/>
        </w:rPr>
        <w:t>Apartado</w:t>
      </w:r>
      <w:r w:rsidRPr="00D65398">
        <w:rPr>
          <w:rFonts w:ascii="Times New Roman" w:hAnsi="Times New Roman"/>
          <w:sz w:val="24"/>
          <w:szCs w:val="24"/>
        </w:rPr>
        <w:t>:</w:t>
      </w:r>
      <w:r>
        <w:rPr>
          <w:rFonts w:ascii="Times New Roman" w:hAnsi="Times New Roman"/>
          <w:b/>
          <w:sz w:val="24"/>
          <w:szCs w:val="24"/>
        </w:rPr>
        <w:t xml:space="preserve"> - </w:t>
      </w:r>
      <w:r w:rsidRPr="003F05F9">
        <w:rPr>
          <w:rFonts w:ascii="Times New Roman" w:hAnsi="Times New Roman"/>
          <w:sz w:val="24"/>
          <w:szCs w:val="24"/>
          <w:u w:val="single"/>
        </w:rPr>
        <w:t>Conductas bastardas (buscando el futurible perdido)</w:t>
      </w:r>
    </w:p>
    <w:p w:rsidR="00D65398" w:rsidRDefault="00D65398" w:rsidP="00550638">
      <w:pPr>
        <w:spacing w:line="240" w:lineRule="auto"/>
        <w:jc w:val="both"/>
        <w:rPr>
          <w:rFonts w:ascii="Times New Roman" w:hAnsi="Times New Roman"/>
          <w:sz w:val="24"/>
          <w:szCs w:val="24"/>
          <w:u w:val="single"/>
        </w:rPr>
      </w:pPr>
      <w:r>
        <w:rPr>
          <w:rFonts w:ascii="Times New Roman" w:hAnsi="Times New Roman"/>
          <w:sz w:val="24"/>
          <w:szCs w:val="24"/>
        </w:rPr>
        <w:t xml:space="preserve">- </w:t>
      </w:r>
      <w:r w:rsidRPr="003F05F9">
        <w:rPr>
          <w:rFonts w:ascii="Times New Roman" w:hAnsi="Times New Roman"/>
          <w:sz w:val="24"/>
          <w:szCs w:val="24"/>
          <w:u w:val="single"/>
        </w:rPr>
        <w:t>Lo que dejó la crisis (con la ayuda del árbitro)</w:t>
      </w:r>
    </w:p>
    <w:p w:rsidR="003F05F9" w:rsidRPr="002B0F8C" w:rsidRDefault="003F05F9" w:rsidP="00550638">
      <w:pPr>
        <w:spacing w:line="240" w:lineRule="auto"/>
        <w:jc w:val="both"/>
        <w:rPr>
          <w:rFonts w:ascii="Times New Roman" w:hAnsi="Times New Roman"/>
          <w:sz w:val="24"/>
          <w:szCs w:val="24"/>
        </w:rPr>
      </w:pPr>
      <w:r w:rsidRPr="002B0F8C">
        <w:rPr>
          <w:rFonts w:ascii="Times New Roman" w:hAnsi="Times New Roman"/>
          <w:sz w:val="24"/>
          <w:szCs w:val="24"/>
        </w:rPr>
        <w:t>Proponía:</w:t>
      </w:r>
    </w:p>
    <w:p w:rsidR="00D65398" w:rsidRDefault="00D65398" w:rsidP="00550638">
      <w:pPr>
        <w:spacing w:line="240" w:lineRule="auto"/>
        <w:jc w:val="both"/>
        <w:rPr>
          <w:rFonts w:ascii="Times New Roman" w:hAnsi="Times New Roman"/>
          <w:sz w:val="24"/>
          <w:szCs w:val="24"/>
        </w:rPr>
      </w:pPr>
      <w:r>
        <w:rPr>
          <w:rFonts w:ascii="Times New Roman" w:hAnsi="Times New Roman"/>
          <w:sz w:val="24"/>
          <w:szCs w:val="24"/>
        </w:rPr>
        <w:t>Estimado joven amigo: Al momento de escribir este apartado (10/8/09) se cumple el segundo aniversario de la “crisis de las  hipotecas  subprime” y creo que puede resultarte de interés “repasar” algunos aspectos de la misma (el incendio y las vísperas):</w:t>
      </w:r>
    </w:p>
    <w:p w:rsidR="00D65398" w:rsidRPr="00C871E9" w:rsidRDefault="00D65398" w:rsidP="00550638">
      <w:pPr>
        <w:spacing w:line="240" w:lineRule="auto"/>
        <w:jc w:val="both"/>
        <w:rPr>
          <w:rFonts w:ascii="Times New Roman" w:hAnsi="Times New Roman"/>
          <w:sz w:val="24"/>
          <w:szCs w:val="24"/>
        </w:rPr>
      </w:pPr>
      <w:r w:rsidRPr="00C871E9">
        <w:rPr>
          <w:rFonts w:ascii="Times New Roman" w:hAnsi="Times New Roman"/>
          <w:sz w:val="24"/>
          <w:szCs w:val="24"/>
        </w:rPr>
        <w:t>El 9 de agosto de 2007 marcó el inicio de la mayor crisis económica y financiera global de la historia moderna. Ni siquiera el “crack del 29” y la Gran Depresión posterior pueden compararse con el caos vivido en los últimos dos años. Las quiebras de algunas de las empresas más grandes del mundo se han ido sucediendo a lo largo  de estos meses y las economías de las principales potencias se han  deteriorado hasta extremos inimaginables hace apenas 24 meses. A  pesar de las ingentes inyecciones de capital acometidas por los  gobiernos y bancos centrales, la recuperación se prevé aún lejana y,  en estos momentos, volver a ver los índices de crecimiento anteriores a la crisis es una utopía.</w:t>
      </w:r>
    </w:p>
    <w:p w:rsidR="00D65398" w:rsidRPr="00C871E9" w:rsidRDefault="00D65398" w:rsidP="00550638">
      <w:pPr>
        <w:spacing w:line="240" w:lineRule="auto"/>
        <w:jc w:val="both"/>
        <w:rPr>
          <w:rFonts w:ascii="Times New Roman" w:hAnsi="Times New Roman"/>
          <w:sz w:val="24"/>
          <w:szCs w:val="24"/>
        </w:rPr>
      </w:pPr>
      <w:r w:rsidRPr="00C871E9">
        <w:rPr>
          <w:rFonts w:ascii="Times New Roman" w:hAnsi="Times New Roman"/>
          <w:sz w:val="24"/>
          <w:szCs w:val="24"/>
        </w:rPr>
        <w:t>El sector financiero fue, sin duda, el detonador de esta crisis y a pesar de que los problemas financieros de la banca se iniciaron en Estados Unidos, el efecto dominó no se hizo esperar y los bancos europeos también se vieron -aún hoy lo hacen- salpicados por la crisis. Las quiebras de algunos de los principales bancos, aseguradoras, cajas de ahorros o entidades hipotecarias han protagonizado muchas de las portadas de los últimos meses.</w:t>
      </w:r>
    </w:p>
    <w:p w:rsidR="00D65398" w:rsidRPr="00F92F02" w:rsidRDefault="00D65398" w:rsidP="00550638">
      <w:pPr>
        <w:spacing w:line="240" w:lineRule="auto"/>
        <w:jc w:val="both"/>
        <w:rPr>
          <w:rFonts w:ascii="Times New Roman" w:hAnsi="Times New Roman"/>
          <w:sz w:val="24"/>
          <w:szCs w:val="24"/>
        </w:rPr>
      </w:pPr>
      <w:r w:rsidRPr="00F92F02">
        <w:rPr>
          <w:rFonts w:ascii="Times New Roman" w:hAnsi="Times New Roman"/>
          <w:sz w:val="24"/>
          <w:szCs w:val="24"/>
        </w:rPr>
        <w:t>El origen de las turbulencias es muy concreto: un número limitado de entidades financieras estadounidenses especializadas en las hipotecas más arriesgadas, las tristemente conocidas subprime, empezaron a pagar la explosión de la burbuja. El contagio fue inmediato. La primera crisis financiera de la globalización se extendió con una virulencia formidable. Al cabo, la dilatada fase de expansión se había cimentado sobre bases muy débiles, alimentada por bajos tipos de interés, sobreendeudamiento y persistentes desequilibrios globales. Aunque eso sólo se publicó después: apenas nadie vio venir el incendio.</w:t>
      </w:r>
    </w:p>
    <w:p w:rsidR="00D65398" w:rsidRPr="00F92F02" w:rsidRDefault="00D65398" w:rsidP="00550638">
      <w:pPr>
        <w:spacing w:line="240" w:lineRule="auto"/>
        <w:jc w:val="both"/>
        <w:rPr>
          <w:rFonts w:ascii="Times New Roman" w:hAnsi="Times New Roman"/>
          <w:sz w:val="24"/>
          <w:szCs w:val="24"/>
        </w:rPr>
      </w:pPr>
      <w:r w:rsidRPr="00F92F02">
        <w:rPr>
          <w:rFonts w:ascii="Times New Roman" w:hAnsi="Times New Roman"/>
          <w:sz w:val="24"/>
          <w:szCs w:val="24"/>
        </w:rPr>
        <w:t>El fuego, iniciado en el mundo desarrollado, se propagó por todo el sector financiero y con el tiempo acabó abrasando la economía real, pese a que los principales bancos centrales, ese mismo 9 de agosto, inundaron de liquidez los mercados a modo de cortafuegos. Y así siguen dos años después, sin poder evitar que el incendio siga activo en tres cuartas partes del mundo: desempleo, pobreza, pérdidas, sequía crediticia, problemas en prácticamente todos los sectores y un lacerante etcétera sin un final claro a la vista. Y alguna paradoja. A veces el capitalismo parece reírse de nosotros: muchos de los bancos acusados de pirómanos -y que se salvaron de la quema con montañas de dinero público- vuelven a pagar bonus millonarios a sus ejecutivos.</w:t>
      </w:r>
    </w:p>
    <w:p w:rsidR="00D65398" w:rsidRPr="00F92F02" w:rsidRDefault="00D65398" w:rsidP="00550638">
      <w:pPr>
        <w:spacing w:line="240" w:lineRule="auto"/>
        <w:jc w:val="both"/>
        <w:rPr>
          <w:rFonts w:ascii="Times New Roman" w:hAnsi="Times New Roman"/>
          <w:sz w:val="24"/>
          <w:szCs w:val="24"/>
        </w:rPr>
      </w:pPr>
      <w:r>
        <w:rPr>
          <w:rFonts w:ascii="Times New Roman" w:hAnsi="Times New Roman"/>
          <w:sz w:val="24"/>
          <w:szCs w:val="24"/>
        </w:rPr>
        <w:t>“</w:t>
      </w:r>
      <w:r w:rsidRPr="007B1360">
        <w:rPr>
          <w:rFonts w:ascii="Times New Roman" w:hAnsi="Times New Roman"/>
          <w:sz w:val="24"/>
          <w:szCs w:val="24"/>
        </w:rPr>
        <w:t>O</w:t>
      </w:r>
      <w:r>
        <w:rPr>
          <w:rFonts w:ascii="Times New Roman" w:hAnsi="Times New Roman"/>
          <w:sz w:val="24"/>
          <w:szCs w:val="24"/>
        </w:rPr>
        <w:t>jalá vivas tiempos interesantes”</w:t>
      </w:r>
      <w:r w:rsidRPr="007B1360">
        <w:rPr>
          <w:rFonts w:ascii="Times New Roman" w:hAnsi="Times New Roman"/>
          <w:sz w:val="24"/>
          <w:szCs w:val="24"/>
        </w:rPr>
        <w:t xml:space="preserve">, reza una vieja y ambigua maldición china. Así es esta crisis: no hay un único culpable, no hay una sola causa sino una serie de historias entrelazadas que explican la Gran Recesión con el vibrante ritmo de un thriller difícil de encasillar. </w:t>
      </w:r>
      <w:r w:rsidRPr="00F92F02">
        <w:rPr>
          <w:rFonts w:ascii="Times New Roman" w:hAnsi="Times New Roman"/>
          <w:sz w:val="24"/>
          <w:szCs w:val="24"/>
        </w:rPr>
        <w:t>Porque la verdadera naturaleza de la crisis todavía es incierta</w:t>
      </w:r>
      <w:r>
        <w:rPr>
          <w:rFonts w:ascii="Times New Roman" w:hAnsi="Times New Roman"/>
          <w:sz w:val="24"/>
          <w:szCs w:val="24"/>
        </w:rPr>
        <w:t xml:space="preserve">. El economista </w:t>
      </w:r>
      <w:r w:rsidRPr="00F92F02">
        <w:rPr>
          <w:rFonts w:ascii="Times New Roman" w:hAnsi="Times New Roman"/>
          <w:sz w:val="24"/>
          <w:szCs w:val="24"/>
        </w:rPr>
        <w:t xml:space="preserve">la resume como la combinación “de una política monetaria demasiado laxa -esto es, bajos tipos de interés-, de mala regulación financiera, de la formación de burbujas </w:t>
      </w:r>
      <w:r w:rsidRPr="00F92F02">
        <w:rPr>
          <w:rFonts w:ascii="Times New Roman" w:hAnsi="Times New Roman"/>
          <w:sz w:val="24"/>
          <w:szCs w:val="24"/>
        </w:rPr>
        <w:lastRenderedPageBreak/>
        <w:t>mientras los bancos centrales miraban hacia otro lado y de la avidez de los banqu</w:t>
      </w:r>
      <w:r>
        <w:rPr>
          <w:rFonts w:ascii="Times New Roman" w:hAnsi="Times New Roman"/>
          <w:sz w:val="24"/>
          <w:szCs w:val="24"/>
        </w:rPr>
        <w:t xml:space="preserve">eros, entre otras cosas”. </w:t>
      </w:r>
      <w:r w:rsidRPr="00F92F02">
        <w:rPr>
          <w:rFonts w:ascii="Times New Roman" w:hAnsi="Times New Roman"/>
          <w:sz w:val="24"/>
          <w:szCs w:val="24"/>
        </w:rPr>
        <w:t>Efectos secundar</w:t>
      </w:r>
      <w:r>
        <w:rPr>
          <w:rFonts w:ascii="Times New Roman" w:hAnsi="Times New Roman"/>
          <w:sz w:val="24"/>
          <w:szCs w:val="24"/>
        </w:rPr>
        <w:t>ios de un capitalismo mal hecho</w:t>
      </w:r>
      <w:r w:rsidRPr="00F92F02">
        <w:rPr>
          <w:rFonts w:ascii="Times New Roman" w:hAnsi="Times New Roman"/>
          <w:sz w:val="24"/>
          <w:szCs w:val="24"/>
        </w:rPr>
        <w:t>.</w:t>
      </w:r>
    </w:p>
    <w:p w:rsidR="00D65398" w:rsidRPr="00F92F02" w:rsidRDefault="00D65398" w:rsidP="00550638">
      <w:pPr>
        <w:spacing w:line="240" w:lineRule="auto"/>
        <w:jc w:val="both"/>
        <w:rPr>
          <w:rFonts w:ascii="Times New Roman" w:hAnsi="Times New Roman"/>
          <w:sz w:val="24"/>
          <w:szCs w:val="24"/>
        </w:rPr>
      </w:pPr>
      <w:r w:rsidRPr="00F92F02">
        <w:rPr>
          <w:rFonts w:ascii="Times New Roman" w:hAnsi="Times New Roman"/>
          <w:sz w:val="24"/>
          <w:szCs w:val="24"/>
        </w:rPr>
        <w:t>El desenlace del thriller tampoco está claro. Los políticos insisten desde hace meses con los brotes verdes, una fórmula tramposa: lo único cierto es que ha bajado el ritmo de desplome. La economía sigue cayendo; eso sí, a menor velocidad. Los Gobiernos observan ese cambio con agrado, pero en el fondo se trata de una satisfacción ruinosa: queda crisis para rato. “La resaca va a ser dura. Mientras no se revitalice el crédito y no</w:t>
      </w:r>
      <w:r w:rsidRPr="00437C2A">
        <w:rPr>
          <w:rFonts w:ascii="Times New Roman" w:hAnsi="Times New Roman"/>
          <w:sz w:val="24"/>
          <w:szCs w:val="24"/>
          <w:u w:val="single"/>
        </w:rPr>
        <w:t xml:space="preserve"> </w:t>
      </w:r>
      <w:r w:rsidRPr="00F92F02">
        <w:rPr>
          <w:rFonts w:ascii="Times New Roman" w:hAnsi="Times New Roman"/>
          <w:sz w:val="24"/>
          <w:szCs w:val="24"/>
        </w:rPr>
        <w:t>se constate una reactivación duradera en los mercados, se seguirán viendo efectos del shock, sobre todo el paro”, vaticinan algunos analistas, pese a la reciente mejoría del desempleo en EEUU. Tan sólo se dan las precondiciones para que la economía empiece a moverse en la dirección correcta. Lo peor tal vez haya pasado, pero no hay atisbos de tranquilidad.</w:t>
      </w:r>
    </w:p>
    <w:p w:rsidR="00D65398" w:rsidRPr="00F92F02" w:rsidRDefault="00D65398" w:rsidP="00550638">
      <w:pPr>
        <w:spacing w:line="240" w:lineRule="auto"/>
        <w:jc w:val="both"/>
        <w:rPr>
          <w:rFonts w:ascii="Times New Roman" w:hAnsi="Times New Roman"/>
          <w:sz w:val="24"/>
          <w:szCs w:val="24"/>
        </w:rPr>
      </w:pPr>
      <w:r w:rsidRPr="00F92F02">
        <w:rPr>
          <w:rFonts w:ascii="Times New Roman" w:hAnsi="Times New Roman"/>
          <w:sz w:val="24"/>
          <w:szCs w:val="24"/>
        </w:rPr>
        <w:t>De hecho, los p</w:t>
      </w:r>
      <w:r>
        <w:rPr>
          <w:rFonts w:ascii="Times New Roman" w:hAnsi="Times New Roman"/>
          <w:sz w:val="24"/>
          <w:szCs w:val="24"/>
        </w:rPr>
        <w:t>roblemas económicos -paro inclui</w:t>
      </w:r>
      <w:r w:rsidRPr="00F92F02">
        <w:rPr>
          <w:rFonts w:ascii="Times New Roman" w:hAnsi="Times New Roman"/>
          <w:sz w:val="24"/>
          <w:szCs w:val="24"/>
        </w:rPr>
        <w:t xml:space="preserve">do- se han convertido en la primera preocupación de los ciudadanos de los países desarrollados, por encima del terrorismo, la guerra, el acceso a una vivienda o la inmigración. Pero la crisis también afecta, por supuesto, a los más pobres. El incesante incremento del desempleo está causando estragos en las familias y la Organización Internacional del Trabajo (OIT) calcula que 50 millones de personas se sumarán a las listas de parados en 2009, con lo que la cifra total se situará entre 210 y 239 millones. </w:t>
      </w:r>
    </w:p>
    <w:p w:rsidR="00D65398" w:rsidRDefault="00D65398" w:rsidP="00550638">
      <w:pPr>
        <w:spacing w:line="240" w:lineRule="auto"/>
        <w:jc w:val="both"/>
        <w:rPr>
          <w:rFonts w:ascii="Times New Roman" w:hAnsi="Times New Roman"/>
          <w:sz w:val="24"/>
          <w:szCs w:val="24"/>
        </w:rPr>
      </w:pPr>
      <w:r w:rsidRPr="00F92F02">
        <w:rPr>
          <w:rFonts w:ascii="Times New Roman" w:hAnsi="Times New Roman"/>
          <w:sz w:val="24"/>
          <w:szCs w:val="24"/>
        </w:rPr>
        <w:t>En esta coyuntura, la pobreza mundial se está disparando. Según las previsiones de la OIT, a finales de este año habrá alrededor de 1.422 millones de pobres, lo que representa casi la cuarta parte de la población mundial. El empleo tampoco es garantía de estabilidad en muchos países porque un alto porcentaje de los nuevos pobres tienen un puesto de trabajo, pero ganan menos de dos dólares.</w:t>
      </w:r>
    </w:p>
    <w:p w:rsidR="00D65398" w:rsidRPr="00071712" w:rsidRDefault="00D65398" w:rsidP="00550638">
      <w:pPr>
        <w:spacing w:line="240" w:lineRule="auto"/>
        <w:jc w:val="both"/>
        <w:rPr>
          <w:rFonts w:ascii="Times New Roman" w:hAnsi="Times New Roman"/>
          <w:sz w:val="24"/>
          <w:szCs w:val="24"/>
        </w:rPr>
      </w:pPr>
      <w:r>
        <w:rPr>
          <w:rFonts w:ascii="Times New Roman" w:hAnsi="Times New Roman"/>
          <w:sz w:val="24"/>
          <w:szCs w:val="24"/>
        </w:rPr>
        <w:t xml:space="preserve">Pero estos asuntos, estimado joven amigo, forman parte de las “crisis invisibles”, aquellas de la que casi nadie se acuerda o quiere acordar. Para que te enteres, en </w:t>
      </w:r>
      <w:r w:rsidRPr="00071712">
        <w:rPr>
          <w:rFonts w:ascii="Times New Roman" w:hAnsi="Times New Roman"/>
          <w:sz w:val="24"/>
          <w:szCs w:val="24"/>
        </w:rPr>
        <w:t xml:space="preserve">el mundo hay crisis visibles e invisibles. </w:t>
      </w:r>
    </w:p>
    <w:p w:rsidR="00D65398" w:rsidRPr="00071712" w:rsidRDefault="00D65398" w:rsidP="00550638">
      <w:pPr>
        <w:spacing w:line="240" w:lineRule="auto"/>
        <w:jc w:val="both"/>
        <w:rPr>
          <w:rFonts w:ascii="Times New Roman" w:hAnsi="Times New Roman"/>
          <w:sz w:val="24"/>
          <w:szCs w:val="24"/>
        </w:rPr>
      </w:pPr>
      <w:r w:rsidRPr="00071712">
        <w:rPr>
          <w:rFonts w:ascii="Times New Roman" w:hAnsi="Times New Roman"/>
          <w:sz w:val="24"/>
          <w:szCs w:val="24"/>
        </w:rPr>
        <w:t>La crisis financiera está en los radares de los medios y en la atención permanente de los gobiernos. La de la pobreza o el desempleo sólo aparece en las páginas de temas sociales.</w:t>
      </w:r>
    </w:p>
    <w:p w:rsidR="00D65398" w:rsidRPr="007636A2" w:rsidRDefault="00D65398" w:rsidP="00550638">
      <w:pPr>
        <w:spacing w:line="240" w:lineRule="auto"/>
        <w:jc w:val="both"/>
        <w:rPr>
          <w:rFonts w:ascii="Times New Roman" w:hAnsi="Times New Roman"/>
          <w:sz w:val="24"/>
          <w:szCs w:val="24"/>
        </w:rPr>
      </w:pPr>
      <w:r w:rsidRPr="007636A2">
        <w:rPr>
          <w:rFonts w:ascii="Times New Roman" w:hAnsi="Times New Roman"/>
          <w:sz w:val="24"/>
          <w:szCs w:val="24"/>
        </w:rPr>
        <w:t>En algunos casos la vis</w:t>
      </w:r>
      <w:r>
        <w:rPr>
          <w:rFonts w:ascii="Times New Roman" w:hAnsi="Times New Roman"/>
          <w:sz w:val="24"/>
          <w:szCs w:val="24"/>
        </w:rPr>
        <w:t>ibilidad de una noticia -</w:t>
      </w:r>
      <w:r w:rsidRPr="007636A2">
        <w:rPr>
          <w:rFonts w:ascii="Times New Roman" w:hAnsi="Times New Roman"/>
          <w:sz w:val="24"/>
          <w:szCs w:val="24"/>
        </w:rPr>
        <w:t>para</w:t>
      </w:r>
      <w:r>
        <w:rPr>
          <w:rFonts w:ascii="Times New Roman" w:hAnsi="Times New Roman"/>
          <w:sz w:val="24"/>
          <w:szCs w:val="24"/>
        </w:rPr>
        <w:t>ísos fiscales o activos tóxicos</w:t>
      </w:r>
      <w:r w:rsidRPr="007636A2">
        <w:rPr>
          <w:rFonts w:ascii="Times New Roman" w:hAnsi="Times New Roman"/>
          <w:sz w:val="24"/>
          <w:szCs w:val="24"/>
        </w:rPr>
        <w:t xml:space="preserve">- esconde una esencial invisibilidad con una técnica similar a la que usó Edgar </w:t>
      </w:r>
      <w:r>
        <w:rPr>
          <w:rFonts w:ascii="Times New Roman" w:hAnsi="Times New Roman"/>
          <w:sz w:val="24"/>
          <w:szCs w:val="24"/>
        </w:rPr>
        <w:t>Allan Poe en su célebre cuento “</w:t>
      </w:r>
      <w:r w:rsidRPr="00787787">
        <w:rPr>
          <w:rFonts w:ascii="Times New Roman" w:hAnsi="Times New Roman"/>
          <w:i/>
          <w:sz w:val="24"/>
          <w:szCs w:val="24"/>
        </w:rPr>
        <w:t>La carta robada</w:t>
      </w:r>
      <w:r>
        <w:rPr>
          <w:rFonts w:ascii="Times New Roman" w:hAnsi="Times New Roman"/>
          <w:sz w:val="24"/>
          <w:szCs w:val="24"/>
        </w:rPr>
        <w:t>”</w:t>
      </w:r>
      <w:r w:rsidRPr="007636A2">
        <w:rPr>
          <w:rFonts w:ascii="Times New Roman" w:hAnsi="Times New Roman"/>
          <w:sz w:val="24"/>
          <w:szCs w:val="24"/>
        </w:rPr>
        <w:t>: la mejor manera de esconder una carta compro</w:t>
      </w:r>
      <w:r>
        <w:rPr>
          <w:rFonts w:ascii="Times New Roman" w:hAnsi="Times New Roman"/>
          <w:sz w:val="24"/>
          <w:szCs w:val="24"/>
        </w:rPr>
        <w:t>metedora es dejarla a la vista</w:t>
      </w:r>
      <w:r w:rsidR="00537944">
        <w:rPr>
          <w:rFonts w:ascii="Times New Roman" w:hAnsi="Times New Roman"/>
          <w:sz w:val="24"/>
          <w:szCs w:val="24"/>
        </w:rPr>
        <w:t>…</w:t>
      </w:r>
    </w:p>
    <w:p w:rsidR="00537944" w:rsidRPr="009518C4" w:rsidRDefault="009518C4" w:rsidP="00550638">
      <w:pPr>
        <w:shd w:val="clear" w:color="auto" w:fill="FFFFFF"/>
        <w:spacing w:after="150" w:line="240" w:lineRule="auto"/>
        <w:jc w:val="both"/>
        <w:rPr>
          <w:rFonts w:ascii="Times New Roman" w:eastAsia="Times New Roman" w:hAnsi="Times New Roman"/>
          <w:sz w:val="24"/>
          <w:szCs w:val="24"/>
          <w:u w:val="single"/>
          <w:lang w:eastAsia="es-ES"/>
        </w:rPr>
      </w:pPr>
      <w:r w:rsidRPr="009518C4">
        <w:rPr>
          <w:rFonts w:ascii="Times New Roman" w:eastAsia="Times New Roman" w:hAnsi="Times New Roman"/>
          <w:sz w:val="24"/>
          <w:szCs w:val="24"/>
          <w:lang w:eastAsia="es-ES"/>
        </w:rPr>
        <w:t xml:space="preserve">Luego, en el </w:t>
      </w:r>
      <w:r w:rsidRPr="009518C4">
        <w:rPr>
          <w:rFonts w:ascii="Times New Roman" w:eastAsia="Times New Roman" w:hAnsi="Times New Roman"/>
          <w:sz w:val="24"/>
          <w:szCs w:val="24"/>
          <w:u w:val="single"/>
          <w:lang w:eastAsia="es-ES"/>
        </w:rPr>
        <w:t>Apartado</w:t>
      </w:r>
      <w:r w:rsidRPr="009518C4">
        <w:rPr>
          <w:rFonts w:ascii="Times New Roman" w:eastAsia="Times New Roman" w:hAnsi="Times New Roman"/>
          <w:sz w:val="24"/>
          <w:szCs w:val="24"/>
          <w:lang w:eastAsia="es-ES"/>
        </w:rPr>
        <w:t xml:space="preserve">: </w:t>
      </w:r>
      <w:r w:rsidR="00537944" w:rsidRPr="009518C4">
        <w:rPr>
          <w:rFonts w:ascii="Times New Roman" w:eastAsia="Times New Roman" w:hAnsi="Times New Roman"/>
          <w:sz w:val="24"/>
          <w:szCs w:val="24"/>
          <w:u w:val="single"/>
          <w:lang w:eastAsia="es-ES"/>
        </w:rPr>
        <w:t>Esperando el estallido social (la hora de los “justos”)</w:t>
      </w:r>
    </w:p>
    <w:p w:rsidR="00537944" w:rsidRPr="009518C4" w:rsidRDefault="00537944" w:rsidP="00550638">
      <w:pPr>
        <w:shd w:val="clear" w:color="auto" w:fill="FFFFFF"/>
        <w:spacing w:after="150" w:line="240" w:lineRule="auto"/>
        <w:jc w:val="both"/>
        <w:rPr>
          <w:rFonts w:ascii="Times New Roman" w:eastAsia="Times New Roman" w:hAnsi="Times New Roman"/>
          <w:sz w:val="24"/>
          <w:szCs w:val="24"/>
          <w:lang w:eastAsia="es-ES"/>
        </w:rPr>
      </w:pPr>
      <w:r w:rsidRPr="009518C4">
        <w:rPr>
          <w:rFonts w:ascii="Times New Roman" w:eastAsia="Times New Roman" w:hAnsi="Times New Roman"/>
          <w:sz w:val="24"/>
          <w:szCs w:val="24"/>
          <w:lang w:eastAsia="es-ES"/>
        </w:rPr>
        <w:t xml:space="preserve">- </w:t>
      </w:r>
      <w:r w:rsidRPr="009518C4">
        <w:rPr>
          <w:rFonts w:ascii="Times New Roman" w:eastAsia="Times New Roman" w:hAnsi="Times New Roman"/>
          <w:sz w:val="24"/>
          <w:szCs w:val="24"/>
          <w:u w:val="single"/>
          <w:lang w:eastAsia="es-ES"/>
        </w:rPr>
        <w:t>Cuando estén secas las pilas de todos los timbres que vos apretás…</w:t>
      </w:r>
      <w:r w:rsidRPr="009518C4">
        <w:rPr>
          <w:rFonts w:ascii="Times New Roman" w:eastAsia="Times New Roman" w:hAnsi="Times New Roman"/>
          <w:sz w:val="24"/>
          <w:szCs w:val="24"/>
          <w:lang w:eastAsia="es-ES"/>
        </w:rPr>
        <w:t xml:space="preserve"> (*) </w:t>
      </w:r>
    </w:p>
    <w:p w:rsidR="00537944" w:rsidRDefault="00537944" w:rsidP="00550638">
      <w:pPr>
        <w:spacing w:line="240" w:lineRule="auto"/>
        <w:jc w:val="both"/>
        <w:rPr>
          <w:rFonts w:ascii="Times New Roman" w:hAnsi="Times New Roman"/>
          <w:sz w:val="24"/>
          <w:szCs w:val="24"/>
        </w:rPr>
      </w:pPr>
      <w:r>
        <w:rPr>
          <w:rFonts w:ascii="Times New Roman" w:hAnsi="Times New Roman"/>
          <w:sz w:val="24"/>
          <w:szCs w:val="24"/>
        </w:rPr>
        <w:t xml:space="preserve"> (*) (De la letra del Tango “Yira, yira” de Enrique Santos Discépolo)</w:t>
      </w:r>
    </w:p>
    <w:p w:rsidR="001E3151" w:rsidRPr="00537944" w:rsidRDefault="001E3151" w:rsidP="00550638">
      <w:pPr>
        <w:spacing w:line="240" w:lineRule="auto"/>
        <w:jc w:val="both"/>
        <w:rPr>
          <w:rFonts w:ascii="Times New Roman" w:hAnsi="Times New Roman"/>
          <w:sz w:val="24"/>
          <w:szCs w:val="24"/>
        </w:rPr>
      </w:pPr>
      <w:r>
        <w:rPr>
          <w:rFonts w:ascii="Times New Roman" w:hAnsi="Times New Roman"/>
          <w:sz w:val="24"/>
          <w:szCs w:val="24"/>
        </w:rPr>
        <w:t>Recordaba:</w:t>
      </w:r>
    </w:p>
    <w:p w:rsidR="00537944" w:rsidRPr="00836714" w:rsidRDefault="00537944" w:rsidP="00550638">
      <w:pPr>
        <w:spacing w:line="240" w:lineRule="auto"/>
        <w:jc w:val="both"/>
        <w:rPr>
          <w:rFonts w:ascii="Times New Roman" w:hAnsi="Times New Roman"/>
          <w:sz w:val="24"/>
          <w:szCs w:val="24"/>
        </w:rPr>
      </w:pPr>
      <w:r>
        <w:rPr>
          <w:rFonts w:ascii="Times New Roman" w:hAnsi="Times New Roman"/>
          <w:sz w:val="24"/>
          <w:szCs w:val="24"/>
        </w:rPr>
        <w:t>Estimado joven amigo: Según dicen los libros de Historia (es que a los viejos nos gusta la Historia)... y</w:t>
      </w:r>
      <w:r w:rsidRPr="00836714">
        <w:rPr>
          <w:rFonts w:ascii="Times New Roman" w:hAnsi="Times New Roman"/>
          <w:sz w:val="24"/>
          <w:szCs w:val="24"/>
        </w:rPr>
        <w:t xml:space="preserve">a en proceso de desatarse la </w:t>
      </w:r>
      <w:r>
        <w:rPr>
          <w:rFonts w:ascii="Times New Roman" w:hAnsi="Times New Roman"/>
          <w:sz w:val="24"/>
          <w:szCs w:val="24"/>
        </w:rPr>
        <w:t>revolución francesa,</w:t>
      </w:r>
      <w:r w:rsidRPr="00836714">
        <w:rPr>
          <w:rFonts w:ascii="Times New Roman" w:hAnsi="Times New Roman"/>
          <w:sz w:val="24"/>
          <w:szCs w:val="24"/>
        </w:rPr>
        <w:t xml:space="preserve"> cuando la gente del pueblo, a falta de harina y trigo, fue directamente a Versalles a enca</w:t>
      </w:r>
      <w:r>
        <w:rPr>
          <w:rFonts w:ascii="Times New Roman" w:hAnsi="Times New Roman"/>
          <w:sz w:val="24"/>
          <w:szCs w:val="24"/>
        </w:rPr>
        <w:t>rar a la Reina,</w:t>
      </w:r>
      <w:r w:rsidRPr="00836714">
        <w:rPr>
          <w:rFonts w:ascii="Times New Roman" w:hAnsi="Times New Roman"/>
          <w:sz w:val="24"/>
          <w:szCs w:val="24"/>
        </w:rPr>
        <w:t xml:space="preserve"> ésta habría respondido con la frase: “Que coman pasteles” (Qu’ils mang</w:t>
      </w:r>
      <w:r>
        <w:rPr>
          <w:rFonts w:ascii="Times New Roman" w:hAnsi="Times New Roman"/>
          <w:sz w:val="24"/>
          <w:szCs w:val="24"/>
        </w:rPr>
        <w:t xml:space="preserve">ent de la brioche), lo </w:t>
      </w:r>
      <w:r>
        <w:rPr>
          <w:rFonts w:ascii="Times New Roman" w:hAnsi="Times New Roman"/>
          <w:sz w:val="24"/>
          <w:szCs w:val="24"/>
        </w:rPr>
        <w:lastRenderedPageBreak/>
        <w:t>que causó</w:t>
      </w:r>
      <w:r w:rsidRPr="00836714">
        <w:rPr>
          <w:rFonts w:ascii="Times New Roman" w:hAnsi="Times New Roman"/>
          <w:sz w:val="24"/>
          <w:szCs w:val="24"/>
        </w:rPr>
        <w:t xml:space="preserve"> un gran enojo en el pueblo, algo que sólo ayudó</w:t>
      </w:r>
      <w:r>
        <w:rPr>
          <w:rFonts w:ascii="Times New Roman" w:hAnsi="Times New Roman"/>
          <w:sz w:val="24"/>
          <w:szCs w:val="24"/>
        </w:rPr>
        <w:t xml:space="preserve"> a odiar más a María Antonieta.</w:t>
      </w:r>
    </w:p>
    <w:p w:rsidR="00537944" w:rsidRDefault="00537944" w:rsidP="00550638">
      <w:pPr>
        <w:spacing w:line="240" w:lineRule="auto"/>
        <w:jc w:val="both"/>
        <w:rPr>
          <w:rFonts w:ascii="Times New Roman" w:hAnsi="Times New Roman"/>
          <w:sz w:val="24"/>
          <w:szCs w:val="24"/>
        </w:rPr>
      </w:pPr>
      <w:r w:rsidRPr="00836714">
        <w:rPr>
          <w:rFonts w:ascii="Times New Roman" w:hAnsi="Times New Roman"/>
          <w:sz w:val="24"/>
          <w:szCs w:val="24"/>
        </w:rPr>
        <w:t>Hay muchas versi</w:t>
      </w:r>
      <w:r>
        <w:rPr>
          <w:rFonts w:ascii="Times New Roman" w:hAnsi="Times New Roman"/>
          <w:sz w:val="24"/>
          <w:szCs w:val="24"/>
        </w:rPr>
        <w:t xml:space="preserve">ones que señalan </w:t>
      </w:r>
      <w:r w:rsidR="009518C4">
        <w:rPr>
          <w:rFonts w:ascii="Times New Roman" w:hAnsi="Times New Roman"/>
          <w:sz w:val="24"/>
          <w:szCs w:val="24"/>
        </w:rPr>
        <w:t>por qué</w:t>
      </w:r>
      <w:r>
        <w:rPr>
          <w:rFonts w:ascii="Times New Roman" w:hAnsi="Times New Roman"/>
          <w:sz w:val="24"/>
          <w:szCs w:val="24"/>
        </w:rPr>
        <w:t xml:space="preserve"> Marí</w:t>
      </w:r>
      <w:r w:rsidRPr="00836714">
        <w:rPr>
          <w:rFonts w:ascii="Times New Roman" w:hAnsi="Times New Roman"/>
          <w:sz w:val="24"/>
          <w:szCs w:val="24"/>
        </w:rPr>
        <w:t xml:space="preserve">a Antonieta habría dicho aquello. Sin embargo, el filósofo Jean-Jacques Rousseau dice que la frase no provino de ella, sino de otra reina María Teresa de Austria (esposa de Luis XIV); la frase original era </w:t>
      </w:r>
      <w:r>
        <w:rPr>
          <w:rFonts w:ascii="Times New Roman" w:hAnsi="Times New Roman"/>
          <w:sz w:val="24"/>
          <w:szCs w:val="24"/>
        </w:rPr>
        <w:t>“</w:t>
      </w:r>
      <w:r w:rsidRPr="00836714">
        <w:rPr>
          <w:rFonts w:ascii="Times New Roman" w:hAnsi="Times New Roman"/>
          <w:sz w:val="24"/>
          <w:szCs w:val="24"/>
        </w:rPr>
        <w:t>S'il ait aucun pain, donnez-leur la croûte au loin du pâté</w:t>
      </w:r>
      <w:r>
        <w:rPr>
          <w:rFonts w:ascii="Times New Roman" w:hAnsi="Times New Roman"/>
          <w:sz w:val="24"/>
          <w:szCs w:val="24"/>
        </w:rPr>
        <w:t>”</w:t>
      </w:r>
      <w:r w:rsidRPr="00836714">
        <w:rPr>
          <w:rFonts w:ascii="Times New Roman" w:hAnsi="Times New Roman"/>
          <w:sz w:val="24"/>
          <w:szCs w:val="24"/>
        </w:rPr>
        <w:t xml:space="preserve"> (Si no tienen pan, que les den </w:t>
      </w:r>
      <w:r>
        <w:rPr>
          <w:rFonts w:ascii="Times New Roman" w:hAnsi="Times New Roman"/>
          <w:sz w:val="24"/>
          <w:szCs w:val="24"/>
        </w:rPr>
        <w:t>el hojaldre en lugar del paté. “Pâtè en croûte”</w:t>
      </w:r>
      <w:r w:rsidRPr="00836714">
        <w:rPr>
          <w:rFonts w:ascii="Times New Roman" w:hAnsi="Times New Roman"/>
          <w:sz w:val="24"/>
          <w:szCs w:val="24"/>
        </w:rPr>
        <w:t>), pero para muchas personas María Antonieta fue la que dijo esa frase, que en cierto sentido ha sido analizada y reconocida por todo el mundo</w:t>
      </w:r>
      <w:r>
        <w:rPr>
          <w:rFonts w:ascii="Times New Roman" w:hAnsi="Times New Roman"/>
          <w:sz w:val="24"/>
          <w:szCs w:val="24"/>
        </w:rPr>
        <w:t>…</w:t>
      </w:r>
    </w:p>
    <w:p w:rsidR="00537944" w:rsidRDefault="00537944" w:rsidP="00550638">
      <w:pPr>
        <w:spacing w:line="240" w:lineRule="auto"/>
        <w:jc w:val="both"/>
        <w:rPr>
          <w:rFonts w:ascii="Times New Roman" w:hAnsi="Times New Roman"/>
          <w:sz w:val="24"/>
          <w:szCs w:val="24"/>
        </w:rPr>
      </w:pPr>
      <w:r w:rsidRPr="00C82267">
        <w:rPr>
          <w:rFonts w:ascii="Times New Roman" w:hAnsi="Times New Roman"/>
          <w:sz w:val="24"/>
          <w:szCs w:val="24"/>
        </w:rPr>
        <w:t>El 10 de agosto</w:t>
      </w:r>
      <w:r>
        <w:rPr>
          <w:rFonts w:ascii="Times New Roman" w:hAnsi="Times New Roman"/>
          <w:sz w:val="24"/>
          <w:szCs w:val="24"/>
        </w:rPr>
        <w:t xml:space="preserve"> (1792)</w:t>
      </w:r>
      <w:r w:rsidRPr="00C82267">
        <w:rPr>
          <w:rFonts w:ascii="Times New Roman" w:hAnsi="Times New Roman"/>
          <w:sz w:val="24"/>
          <w:szCs w:val="24"/>
        </w:rPr>
        <w:t xml:space="preserve"> se produce la insurrección. Las Tullerías son asaltadas, el Rey se refugia en la Convención, que vota su suspensión provisional, y ambos son internados en el convento de los Feuillants. Al día siguiente, la familia real es transferida a la prisión del Temple. Allí moriría, casi dos años más tarde, su segundo hijo varón, a los 10 años de edad, conocido como Luis XVII, aunque por supuesto nunca reinó. Durante las matanzas de septiembre, la princesa de Lamballe, víctima simbólica, es salvajemente asesinada y su cabeza se exhibe en la punta de una pica, paseándola por delante de las ventanas tras las que se halla</w:t>
      </w:r>
      <w:r>
        <w:rPr>
          <w:rFonts w:ascii="Times New Roman" w:hAnsi="Times New Roman"/>
          <w:sz w:val="24"/>
          <w:szCs w:val="24"/>
        </w:rPr>
        <w:t>ba</w:t>
      </w:r>
      <w:r w:rsidRPr="00C82267">
        <w:rPr>
          <w:rFonts w:ascii="Times New Roman" w:hAnsi="Times New Roman"/>
          <w:sz w:val="24"/>
          <w:szCs w:val="24"/>
        </w:rPr>
        <w:t xml:space="preserve"> María Antonieta. Poco después, cuando ya la guerra ha empezado, la familia real queda retenida por la Convención. A principios</w:t>
      </w:r>
      <w:r>
        <w:rPr>
          <w:rFonts w:ascii="Times New Roman" w:hAnsi="Times New Roman"/>
          <w:sz w:val="24"/>
          <w:szCs w:val="24"/>
        </w:rPr>
        <w:t xml:space="preserve"> de diciembre, se descubre el “armario de hierro”</w:t>
      </w:r>
      <w:r w:rsidRPr="00C82267">
        <w:rPr>
          <w:rFonts w:ascii="Times New Roman" w:hAnsi="Times New Roman"/>
          <w:sz w:val="24"/>
          <w:szCs w:val="24"/>
        </w:rPr>
        <w:t xml:space="preserve"> en el que Luis XVI guarda sus papeles secretos. El proceso, a partir de ese momento, es inevitable.</w:t>
      </w:r>
    </w:p>
    <w:p w:rsidR="00537944" w:rsidRPr="00C82267" w:rsidRDefault="00537944" w:rsidP="00550638">
      <w:pPr>
        <w:spacing w:line="240" w:lineRule="auto"/>
        <w:jc w:val="both"/>
        <w:rPr>
          <w:rFonts w:ascii="Times New Roman" w:hAnsi="Times New Roman"/>
          <w:sz w:val="24"/>
          <w:szCs w:val="24"/>
        </w:rPr>
      </w:pPr>
      <w:r w:rsidRPr="00CA0475">
        <w:rPr>
          <w:rFonts w:ascii="Times New Roman" w:hAnsi="Times New Roman"/>
          <w:sz w:val="24"/>
          <w:szCs w:val="24"/>
        </w:rPr>
        <w:t>El 14 de agosto de 1793, María Antonieta es puesta a disposición judicial ante el Tribunal revolucionario, presentá</w:t>
      </w:r>
      <w:r>
        <w:rPr>
          <w:rFonts w:ascii="Times New Roman" w:hAnsi="Times New Roman"/>
          <w:sz w:val="24"/>
          <w:szCs w:val="24"/>
        </w:rPr>
        <w:t>ndose como acusador público Fou</w:t>
      </w:r>
      <w:r w:rsidRPr="00CA0475">
        <w:rPr>
          <w:rFonts w:ascii="Times New Roman" w:hAnsi="Times New Roman"/>
          <w:sz w:val="24"/>
          <w:szCs w:val="24"/>
        </w:rPr>
        <w:t>quier-Tinville. Si en el juicio de Luis XVI se había intentado guardar las apariencias de una cierta equidad, no se hizo así con el proceso a María Antonieta. El dossier se prepara a toda prisa; es, a todas luces, incompleto, Fouquier-Tinville no logra encontrar todos los documentos de Luis XVI.</w:t>
      </w:r>
    </w:p>
    <w:p w:rsidR="00537944" w:rsidRPr="00CA0475" w:rsidRDefault="00537944" w:rsidP="00550638">
      <w:pPr>
        <w:spacing w:line="240" w:lineRule="auto"/>
        <w:jc w:val="both"/>
        <w:rPr>
          <w:rFonts w:ascii="Times New Roman" w:hAnsi="Times New Roman"/>
          <w:sz w:val="24"/>
          <w:szCs w:val="24"/>
        </w:rPr>
      </w:pPr>
      <w:r w:rsidRPr="00CA0475">
        <w:rPr>
          <w:rFonts w:ascii="Times New Roman" w:hAnsi="Times New Roman"/>
          <w:sz w:val="24"/>
          <w:szCs w:val="24"/>
        </w:rPr>
        <w:t xml:space="preserve">María Antonieta es condenada a la pena capital el 16 de octubre, dos días después del inicio del juicio, acusada de alta traición. De madrugada escribe una carta a Madame Isabel, la hermana de Luis XVI: </w:t>
      </w:r>
    </w:p>
    <w:p w:rsidR="00537944" w:rsidRPr="00CA0475" w:rsidRDefault="00537944" w:rsidP="00550638">
      <w:pPr>
        <w:spacing w:line="240" w:lineRule="auto"/>
        <w:jc w:val="both"/>
        <w:rPr>
          <w:rFonts w:ascii="Times New Roman" w:hAnsi="Times New Roman"/>
          <w:sz w:val="24"/>
          <w:szCs w:val="24"/>
        </w:rPr>
      </w:pPr>
      <w:r>
        <w:rPr>
          <w:rFonts w:ascii="Times New Roman" w:hAnsi="Times New Roman"/>
          <w:sz w:val="24"/>
          <w:szCs w:val="24"/>
        </w:rPr>
        <w:t>“</w:t>
      </w:r>
      <w:r w:rsidRPr="00CA0475">
        <w:rPr>
          <w:rFonts w:ascii="Times New Roman" w:hAnsi="Times New Roman"/>
          <w:sz w:val="24"/>
          <w:szCs w:val="24"/>
        </w:rPr>
        <w:t xml:space="preserve">Acabo de ser condenada, no a una muerte honrosa, que se reserva para los criminales, pero voy </w:t>
      </w:r>
      <w:r>
        <w:rPr>
          <w:rFonts w:ascii="Times New Roman" w:hAnsi="Times New Roman"/>
          <w:sz w:val="24"/>
          <w:szCs w:val="24"/>
        </w:rPr>
        <w:t>a reunirme con vuestro hermano”.</w:t>
      </w:r>
    </w:p>
    <w:p w:rsidR="00537944" w:rsidRDefault="00537944" w:rsidP="00550638">
      <w:pPr>
        <w:spacing w:line="240" w:lineRule="auto"/>
        <w:jc w:val="both"/>
        <w:rPr>
          <w:rFonts w:ascii="Times New Roman" w:hAnsi="Times New Roman"/>
          <w:sz w:val="24"/>
          <w:szCs w:val="24"/>
        </w:rPr>
      </w:pPr>
      <w:r w:rsidRPr="00CA0475">
        <w:rPr>
          <w:rFonts w:ascii="Times New Roman" w:hAnsi="Times New Roman"/>
          <w:sz w:val="24"/>
          <w:szCs w:val="24"/>
        </w:rPr>
        <w:t>Al mediodía del día siguiente María Antonieta es guillotinada, sin haber querido confesarse con el sacerdote constitucional que le habían propuesto. Fue enterrada en el cementerio de la Madeleine, calle de Anjou-Saint-Honoré, con la cabeza entre las piernas. Su cuerpo fue exhumado posteriormente el 18 de enero de 1815 y transportado el 21 a Saint-Denis.</w:t>
      </w:r>
    </w:p>
    <w:p w:rsidR="00537944" w:rsidRPr="00CA0475" w:rsidRDefault="00537944" w:rsidP="00550638">
      <w:pPr>
        <w:spacing w:line="240" w:lineRule="auto"/>
        <w:jc w:val="both"/>
        <w:rPr>
          <w:rFonts w:ascii="Times New Roman" w:hAnsi="Times New Roman"/>
          <w:sz w:val="24"/>
          <w:szCs w:val="24"/>
        </w:rPr>
      </w:pPr>
      <w:r w:rsidRPr="00CA0475">
        <w:rPr>
          <w:rFonts w:ascii="Times New Roman" w:hAnsi="Times New Roman"/>
          <w:sz w:val="24"/>
          <w:szCs w:val="24"/>
        </w:rPr>
        <w:t>Frases rel</w:t>
      </w:r>
      <w:r>
        <w:rPr>
          <w:rFonts w:ascii="Times New Roman" w:hAnsi="Times New Roman"/>
          <w:sz w:val="24"/>
          <w:szCs w:val="24"/>
        </w:rPr>
        <w:t>evantes en sus últimos momentos</w:t>
      </w:r>
    </w:p>
    <w:p w:rsidR="00537944" w:rsidRPr="00CA0475" w:rsidRDefault="00537944" w:rsidP="00550638">
      <w:pPr>
        <w:spacing w:line="240" w:lineRule="auto"/>
        <w:jc w:val="both"/>
        <w:rPr>
          <w:rFonts w:ascii="Times New Roman" w:hAnsi="Times New Roman"/>
          <w:sz w:val="24"/>
          <w:szCs w:val="24"/>
        </w:rPr>
      </w:pPr>
      <w:r w:rsidRPr="00CA0475">
        <w:rPr>
          <w:rFonts w:ascii="Times New Roman" w:hAnsi="Times New Roman"/>
          <w:sz w:val="24"/>
          <w:szCs w:val="24"/>
        </w:rPr>
        <w:t>•</w:t>
      </w:r>
      <w:r>
        <w:rPr>
          <w:rFonts w:ascii="Times New Roman" w:hAnsi="Times New Roman"/>
          <w:sz w:val="24"/>
          <w:szCs w:val="24"/>
        </w:rPr>
        <w:t xml:space="preserve"> </w:t>
      </w:r>
      <w:r w:rsidRPr="00CA0475">
        <w:rPr>
          <w:rFonts w:ascii="Times New Roman" w:hAnsi="Times New Roman"/>
          <w:sz w:val="24"/>
          <w:szCs w:val="24"/>
        </w:rPr>
        <w:t>Días antes de su muerte, después de que su marido fuera ejecutado, sus hijos arrancados de su lado, el Delfín manipulado para acusarla de estupro, y completamente sola, en su prisión María Antonieta se golpeó la cabeza contra una viga del techo haciéndose una herida que no paraba de sangrar. La todavía reina no se quejó. Ante la pr</w:t>
      </w:r>
      <w:r>
        <w:rPr>
          <w:rFonts w:ascii="Times New Roman" w:hAnsi="Times New Roman"/>
          <w:sz w:val="24"/>
          <w:szCs w:val="24"/>
        </w:rPr>
        <w:t>egunta de uno de los guardias: “¿Os habéis hecho daño?”, María Antonieta contestó: “</w:t>
      </w:r>
      <w:r w:rsidRPr="00CA0475">
        <w:rPr>
          <w:rFonts w:ascii="Times New Roman" w:hAnsi="Times New Roman"/>
          <w:sz w:val="24"/>
          <w:szCs w:val="24"/>
        </w:rPr>
        <w:t>No, ahora ya n</w:t>
      </w:r>
      <w:r>
        <w:rPr>
          <w:rFonts w:ascii="Times New Roman" w:hAnsi="Times New Roman"/>
          <w:sz w:val="24"/>
          <w:szCs w:val="24"/>
        </w:rPr>
        <w:t>o hay nada que pueda hacérmelo”.</w:t>
      </w:r>
    </w:p>
    <w:p w:rsidR="00537944" w:rsidRPr="00CA0475" w:rsidRDefault="00537944" w:rsidP="00550638">
      <w:pPr>
        <w:spacing w:line="240" w:lineRule="auto"/>
        <w:jc w:val="both"/>
        <w:rPr>
          <w:rFonts w:ascii="Times New Roman" w:hAnsi="Times New Roman"/>
          <w:sz w:val="24"/>
          <w:szCs w:val="24"/>
        </w:rPr>
      </w:pPr>
      <w:r w:rsidRPr="00CA0475">
        <w:rPr>
          <w:rFonts w:ascii="Times New Roman" w:hAnsi="Times New Roman"/>
          <w:sz w:val="24"/>
          <w:szCs w:val="24"/>
        </w:rPr>
        <w:lastRenderedPageBreak/>
        <w:t>•</w:t>
      </w:r>
      <w:r>
        <w:rPr>
          <w:rFonts w:ascii="Times New Roman" w:hAnsi="Times New Roman"/>
          <w:sz w:val="24"/>
          <w:szCs w:val="24"/>
        </w:rPr>
        <w:t xml:space="preserve"> </w:t>
      </w:r>
      <w:r w:rsidRPr="00CA0475">
        <w:rPr>
          <w:rFonts w:ascii="Times New Roman" w:hAnsi="Times New Roman"/>
          <w:sz w:val="24"/>
          <w:szCs w:val="24"/>
        </w:rPr>
        <w:t>Vale la pena recordar uno de sus momentos más estremecedores cuando supo el descuartizamiento cruel y sangriento de su leal amiga María Luisa de Saboya-Carignan, princesa de Lamballe, quien fuera salvajemente asesinada en la prisión de la Force, el 3 de septiembre de 1792, y su cabeza peinada y empalada fue desfilada por las calles entre risas y gritos salvajes.</w:t>
      </w:r>
    </w:p>
    <w:p w:rsidR="00537944" w:rsidRDefault="00537944" w:rsidP="00550638">
      <w:pPr>
        <w:spacing w:line="240" w:lineRule="auto"/>
        <w:jc w:val="both"/>
        <w:rPr>
          <w:rFonts w:ascii="Times New Roman" w:hAnsi="Times New Roman"/>
          <w:sz w:val="24"/>
          <w:szCs w:val="24"/>
        </w:rPr>
      </w:pPr>
      <w:r w:rsidRPr="00CA0475">
        <w:rPr>
          <w:rFonts w:ascii="Times New Roman" w:hAnsi="Times New Roman"/>
          <w:sz w:val="24"/>
          <w:szCs w:val="24"/>
        </w:rPr>
        <w:t>•</w:t>
      </w:r>
      <w:r>
        <w:rPr>
          <w:rFonts w:ascii="Times New Roman" w:hAnsi="Times New Roman"/>
          <w:sz w:val="24"/>
          <w:szCs w:val="24"/>
        </w:rPr>
        <w:t xml:space="preserve"> </w:t>
      </w:r>
      <w:r w:rsidRPr="00CA0475">
        <w:rPr>
          <w:rFonts w:ascii="Times New Roman" w:hAnsi="Times New Roman"/>
          <w:sz w:val="24"/>
          <w:szCs w:val="24"/>
        </w:rPr>
        <w:t>El día de su ejecución, mientras el pueblo entero la abucheaba e insultaba, María Antonieta se tropezó subiendo al cadalso y pisó al verdugo que estaba a punto de gu</w:t>
      </w:r>
      <w:r>
        <w:rPr>
          <w:rFonts w:ascii="Times New Roman" w:hAnsi="Times New Roman"/>
          <w:sz w:val="24"/>
          <w:szCs w:val="24"/>
        </w:rPr>
        <w:t>illotinarla. La reina le dijo: “</w:t>
      </w:r>
      <w:r w:rsidRPr="00CA0475">
        <w:rPr>
          <w:rFonts w:ascii="Times New Roman" w:hAnsi="Times New Roman"/>
          <w:sz w:val="24"/>
          <w:szCs w:val="24"/>
        </w:rPr>
        <w:t>Disculpe</w:t>
      </w:r>
      <w:r>
        <w:rPr>
          <w:rFonts w:ascii="Times New Roman" w:hAnsi="Times New Roman"/>
          <w:sz w:val="24"/>
          <w:szCs w:val="24"/>
        </w:rPr>
        <w:t xml:space="preserve"> </w:t>
      </w:r>
      <w:r w:rsidR="009518C4">
        <w:rPr>
          <w:rFonts w:ascii="Times New Roman" w:hAnsi="Times New Roman"/>
          <w:sz w:val="24"/>
          <w:szCs w:val="24"/>
        </w:rPr>
        <w:t>señor, no lo hice a propósito”.</w:t>
      </w:r>
    </w:p>
    <w:p w:rsidR="001E3151" w:rsidRDefault="003F05F9" w:rsidP="00550638">
      <w:pPr>
        <w:spacing w:line="240" w:lineRule="auto"/>
        <w:jc w:val="both"/>
        <w:rPr>
          <w:rFonts w:ascii="Times New Roman" w:hAnsi="Times New Roman"/>
          <w:sz w:val="24"/>
          <w:szCs w:val="24"/>
        </w:rPr>
      </w:pPr>
      <w:r>
        <w:rPr>
          <w:rFonts w:ascii="Times New Roman" w:hAnsi="Times New Roman"/>
          <w:sz w:val="24"/>
          <w:szCs w:val="24"/>
        </w:rPr>
        <w:t>(En el mismo Pape</w:t>
      </w:r>
      <w:r w:rsidR="001E3151">
        <w:rPr>
          <w:rFonts w:ascii="Times New Roman" w:hAnsi="Times New Roman"/>
          <w:sz w:val="24"/>
          <w:szCs w:val="24"/>
        </w:rPr>
        <w:t>r</w:t>
      </w:r>
      <w:r>
        <w:rPr>
          <w:rFonts w:ascii="Times New Roman" w:hAnsi="Times New Roman"/>
          <w:sz w:val="24"/>
          <w:szCs w:val="24"/>
        </w:rPr>
        <w:t xml:space="preserve"> (de febrero de 2010)</w:t>
      </w:r>
      <w:r w:rsidR="001E3151">
        <w:rPr>
          <w:rFonts w:ascii="Times New Roman" w:hAnsi="Times New Roman"/>
          <w:sz w:val="24"/>
          <w:szCs w:val="24"/>
        </w:rPr>
        <w:t xml:space="preserve"> se citaban</w:t>
      </w:r>
      <w:r>
        <w:rPr>
          <w:rFonts w:ascii="Times New Roman" w:hAnsi="Times New Roman"/>
          <w:sz w:val="24"/>
          <w:szCs w:val="24"/>
        </w:rPr>
        <w:t xml:space="preserve"> algunos escritos anteriores)</w:t>
      </w:r>
    </w:p>
    <w:p w:rsidR="00537944" w:rsidRDefault="00537944" w:rsidP="00550638">
      <w:pPr>
        <w:spacing w:line="240" w:lineRule="auto"/>
        <w:jc w:val="both"/>
        <w:rPr>
          <w:rFonts w:ascii="Times New Roman" w:hAnsi="Times New Roman"/>
          <w:sz w:val="24"/>
          <w:szCs w:val="24"/>
        </w:rPr>
      </w:pPr>
      <w:r>
        <w:rPr>
          <w:rFonts w:ascii="Times New Roman" w:hAnsi="Times New Roman"/>
          <w:sz w:val="24"/>
          <w:szCs w:val="24"/>
        </w:rPr>
        <w:t>Decía en  “</w:t>
      </w:r>
      <w:r w:rsidRPr="00B77C0D">
        <w:rPr>
          <w:rFonts w:ascii="Times New Roman" w:hAnsi="Times New Roman"/>
          <w:sz w:val="24"/>
          <w:szCs w:val="24"/>
          <w:u w:val="single"/>
        </w:rPr>
        <w:t>Los “animales” modelo</w:t>
      </w:r>
      <w:r w:rsidRPr="00B77C0D">
        <w:rPr>
          <w:rFonts w:ascii="Times New Roman" w:hAnsi="Times New Roman"/>
          <w:sz w:val="24"/>
          <w:szCs w:val="24"/>
        </w:rPr>
        <w:t>”</w:t>
      </w:r>
      <w:r>
        <w:rPr>
          <w:rFonts w:ascii="Times New Roman" w:hAnsi="Times New Roman"/>
          <w:sz w:val="24"/>
          <w:szCs w:val="24"/>
        </w:rPr>
        <w:t xml:space="preserve"> - (Paper publicado el </w:t>
      </w:r>
      <w:r w:rsidRPr="00A00C9D">
        <w:rPr>
          <w:rFonts w:ascii="Times New Roman" w:hAnsi="Times New Roman"/>
          <w:b/>
          <w:sz w:val="24"/>
          <w:szCs w:val="24"/>
        </w:rPr>
        <w:t>5/2/06</w:t>
      </w:r>
      <w:r>
        <w:rPr>
          <w:rFonts w:ascii="Times New Roman" w:hAnsi="Times New Roman"/>
          <w:sz w:val="24"/>
          <w:szCs w:val="24"/>
        </w:rPr>
        <w:t>):</w:t>
      </w:r>
    </w:p>
    <w:p w:rsidR="00537944" w:rsidRPr="00722469" w:rsidRDefault="00537944"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9518C4">
        <w:rPr>
          <w:rFonts w:ascii="Times New Roman" w:hAnsi="Times New Roman"/>
          <w:sz w:val="24"/>
          <w:szCs w:val="24"/>
          <w:u w:val="single"/>
        </w:rPr>
        <w:t>Cuando la violencia es el mensaje</w:t>
      </w:r>
    </w:p>
    <w:p w:rsidR="00537944" w:rsidRPr="00722469" w:rsidRDefault="00537944" w:rsidP="00550638">
      <w:pPr>
        <w:spacing w:line="240" w:lineRule="auto"/>
        <w:jc w:val="both"/>
        <w:rPr>
          <w:rFonts w:ascii="Times New Roman" w:hAnsi="Times New Roman"/>
          <w:sz w:val="24"/>
          <w:szCs w:val="24"/>
        </w:rPr>
      </w:pPr>
      <w:r>
        <w:rPr>
          <w:rFonts w:ascii="Times New Roman" w:hAnsi="Times New Roman"/>
          <w:sz w:val="24"/>
          <w:szCs w:val="24"/>
        </w:rPr>
        <w:t>“</w:t>
      </w:r>
      <w:r w:rsidRPr="00722469">
        <w:rPr>
          <w:rFonts w:ascii="Times New Roman" w:hAnsi="Times New Roman"/>
          <w:sz w:val="24"/>
          <w:szCs w:val="24"/>
        </w:rPr>
        <w:t>Hace alrededor de cuarenta años, los jóvenes bullían por el mundo -hoy aquí, mañana allá- pugnando por romper el cemento que cuajó tras el horror de la Segunda Guerra Mundial y el miedo a la Guerra Fría. La década de los 60, aquella década prodigiosa, trajo las protestas estudiantiles, la lucha por los derechos civiles y el rechazo de la guerra de Vietnam en los campus y en las contagiosas calles de los Estados Unidos. Los jóvenes disidentes pugnaban por quebrar en Praga y en más sitios el granito de las dictaduras comunistas. Fueron los años de la contracultura en la Costa Oeste y de los adoquines de mayo en París. La música trajo el pacifismo, la ilusión de las drogas y del amor libre. Florecieron las comunas, las formas de vida y de organización alternativas, y se alzó la canción, y el cine, y el teatro de protesta y de denuncia.</w:t>
      </w:r>
    </w:p>
    <w:p w:rsidR="00537944" w:rsidRPr="00722469" w:rsidRDefault="00537944" w:rsidP="00550638">
      <w:pPr>
        <w:spacing w:line="240" w:lineRule="auto"/>
        <w:jc w:val="both"/>
        <w:rPr>
          <w:rFonts w:ascii="Times New Roman" w:hAnsi="Times New Roman"/>
          <w:sz w:val="24"/>
          <w:szCs w:val="24"/>
        </w:rPr>
      </w:pPr>
      <w:r w:rsidRPr="00722469">
        <w:rPr>
          <w:rFonts w:ascii="Times New Roman" w:hAnsi="Times New Roman"/>
          <w:sz w:val="24"/>
          <w:szCs w:val="24"/>
        </w:rPr>
        <w:t xml:space="preserve">¿Qué queda de todo aquello? Queda bastante, porque las corrientes de cambio impregnaron la vida cotidiana de la gente. El cambio tuvo la paradoja de integrarse tanto en los nuevos usos que desapareció como fuerza distinguible. “El sida y las calaveras del caballo y de los narcos fueron imprevistas resacas dolorosas de las noches de vino y flores” (dice Manuel Hidalgo - El Mundo - 9/12/05). El sistema decidió que ya había habido un reparto suficiente de libertades personales y de conquistas colectivas. Hoy hay más democracia que entonces, es verdad, pero el triunfo del mercado y del consumo, unidos diabólicamente a la inseguridad económica y al pánico al desempleo, han echado el cerrojo al espíritu del cambio. Sobran nuevos motivos para el surgimiento de otra generación revoltosa, pero, de momento, prima el instinto de conservación frente al afán de </w:t>
      </w:r>
      <w:r>
        <w:rPr>
          <w:rFonts w:ascii="Times New Roman" w:hAnsi="Times New Roman"/>
          <w:sz w:val="24"/>
          <w:szCs w:val="24"/>
        </w:rPr>
        <w:t>ruptura. Por poco tiempo, creo…</w:t>
      </w:r>
    </w:p>
    <w:p w:rsidR="00537944" w:rsidRPr="00722469" w:rsidRDefault="00537944" w:rsidP="00550638">
      <w:pPr>
        <w:spacing w:line="240" w:lineRule="auto"/>
        <w:jc w:val="both"/>
        <w:rPr>
          <w:rFonts w:ascii="Times New Roman" w:hAnsi="Times New Roman"/>
          <w:sz w:val="24"/>
          <w:szCs w:val="24"/>
        </w:rPr>
      </w:pPr>
      <w:r w:rsidRPr="00722469">
        <w:rPr>
          <w:rFonts w:ascii="Times New Roman" w:hAnsi="Times New Roman"/>
          <w:sz w:val="24"/>
          <w:szCs w:val="24"/>
        </w:rPr>
        <w:t>Todos tuvimos siempre una impresión maravillosa de Francia, una admiración por su cultura y su democracia, aún antes de visitar París y de conocer algunos de sus barrios no digo que deprimidos pero sí populares. Supe entonces que no</w:t>
      </w:r>
      <w:r>
        <w:rPr>
          <w:rFonts w:ascii="Times New Roman" w:hAnsi="Times New Roman"/>
          <w:sz w:val="24"/>
          <w:szCs w:val="24"/>
        </w:rPr>
        <w:t xml:space="preserve"> todo París son los Champs Élysé</w:t>
      </w:r>
      <w:r w:rsidRPr="00722469">
        <w:rPr>
          <w:rFonts w:ascii="Times New Roman" w:hAnsi="Times New Roman"/>
          <w:sz w:val="24"/>
          <w:szCs w:val="24"/>
        </w:rPr>
        <w:t>es, y eso se ha hecho hoy notorio gracias a la asonada de las zonas pobladas por inmigrantes (aunque pertenezcan a inmigrantes ya con muchos años en Francia), en las que la discriminación social y racial han finalmente eclosionado en disturbios en los que predominan la cólera y el descontento. No era, ya lo suponíamos, oro todo lo que relucía. Francia va a tener que aprender de verdad, o de nuevo, la tolerancia y la igualdad, la libertad y la fraternidad que parecía que sus habitantes habían dejado sólo para el himno nacional. Nada justifica los desmanes, pero son en definitiva una campanada, una voz de alerta para este país maravilloso. Los marroquíes, los moros, los negros, los latinos, los pobres en definitiva, deberán ocupar el lugar que se merecen como seres humanos.</w:t>
      </w:r>
    </w:p>
    <w:p w:rsidR="00537944" w:rsidRPr="00722469" w:rsidRDefault="00537944" w:rsidP="00550638">
      <w:pPr>
        <w:spacing w:line="240" w:lineRule="auto"/>
        <w:jc w:val="both"/>
        <w:rPr>
          <w:rFonts w:ascii="Times New Roman" w:hAnsi="Times New Roman"/>
          <w:sz w:val="24"/>
          <w:szCs w:val="24"/>
        </w:rPr>
      </w:pPr>
      <w:r w:rsidRPr="00722469">
        <w:rPr>
          <w:rFonts w:ascii="Times New Roman" w:hAnsi="Times New Roman"/>
          <w:sz w:val="24"/>
          <w:szCs w:val="24"/>
        </w:rPr>
        <w:lastRenderedPageBreak/>
        <w:t>Si no es así, y rápido, los coches seguirán ardie</w:t>
      </w:r>
      <w:r>
        <w:rPr>
          <w:rFonts w:ascii="Times New Roman" w:hAnsi="Times New Roman"/>
          <w:sz w:val="24"/>
          <w:szCs w:val="24"/>
        </w:rPr>
        <w:t>ndo. Y luego sabe Dios que más…</w:t>
      </w:r>
    </w:p>
    <w:p w:rsidR="00FD5C93" w:rsidRPr="00722469" w:rsidRDefault="00537944" w:rsidP="00550638">
      <w:pPr>
        <w:spacing w:line="240" w:lineRule="auto"/>
        <w:jc w:val="both"/>
        <w:rPr>
          <w:rFonts w:ascii="Times New Roman" w:hAnsi="Times New Roman"/>
          <w:sz w:val="24"/>
          <w:szCs w:val="24"/>
        </w:rPr>
      </w:pPr>
      <w:r w:rsidRPr="00722469">
        <w:rPr>
          <w:rFonts w:ascii="Times New Roman" w:hAnsi="Times New Roman"/>
          <w:sz w:val="24"/>
          <w:szCs w:val="24"/>
        </w:rPr>
        <w:t>Las huelgas generales, las letales olas de calor, los juicios a colaboradores nazis…, les parecen legítimos y suficientes motivos a un inglés para dar rienda suelta a su regocijo en su fuero interno…por la sencilla razón de que no resulta probable que sucedan en su propio suelo.  A propósito de los recientes disturbios acaecidos en Francia, las chanzas y burlas sobre las barriadas en llamas son omnipresentes y, por las conversaciones de algunos, cabría pensar que tal cosa resulta efectivamente inimaginable en suelo inglés. Pero ha ocurrido: hace tan sólo cuatro años, tres localidades del norte de Inglaterra -en especial Bradford- presenciaron disturbios a gran escala. Las tensiones entre británicos blancos y de color -que representan uno de cada ocho residentes en Gran Bretaña- siguen siendo potencialmente explosivas. Como para dar fe de tal afirmación basta señalar la reciente apertura del juicio a dos hombres acusados del asesinato, en el año 2004, del estudiante de bachillerato Anthony Walter, de 18 años, en Huyton, Merseyside, que falleció porque el miembro de una banda le hundió el filo de un hacha en la sien. El muchacho estaba esperando el autobús en una parada en Huyton cuando un grupo de jóvenes blancos los acosaron a él, a su novia y a su primo. Los tres, para evitar complicaciones, se desplazaron a una parada cercana, pero sus acosadores los siguieron y atacaron bárbaramente a Anthony. Paul Taylor ya se ha declarado culpable de su asesinato. El fiscal sostiene que él y su amigo Michael Barton decidieron perseguir y dar alcance a Anthony Walter y a su primo “por ninguna otra razón que el color de su piel”.</w:t>
      </w:r>
    </w:p>
    <w:p w:rsidR="00537944" w:rsidRPr="00722469" w:rsidRDefault="00537944" w:rsidP="00550638">
      <w:pPr>
        <w:spacing w:line="240" w:lineRule="auto"/>
        <w:jc w:val="both"/>
        <w:rPr>
          <w:rFonts w:ascii="Times New Roman" w:hAnsi="Times New Roman"/>
          <w:sz w:val="24"/>
          <w:szCs w:val="24"/>
        </w:rPr>
      </w:pPr>
      <w:r>
        <w:rPr>
          <w:rFonts w:ascii="Times New Roman" w:hAnsi="Times New Roman"/>
          <w:sz w:val="24"/>
          <w:szCs w:val="24"/>
        </w:rPr>
        <w:t>¿Hasta qué</w:t>
      </w:r>
      <w:r w:rsidRPr="00722469">
        <w:rPr>
          <w:rFonts w:ascii="Times New Roman" w:hAnsi="Times New Roman"/>
          <w:sz w:val="24"/>
          <w:szCs w:val="24"/>
        </w:rPr>
        <w:t xml:space="preserve"> punto se halla extendida la violencia de carácter racial en Gran Bretaña?</w:t>
      </w:r>
    </w:p>
    <w:p w:rsidR="00537944" w:rsidRPr="00722469" w:rsidRDefault="00537944" w:rsidP="00550638">
      <w:pPr>
        <w:spacing w:line="240" w:lineRule="auto"/>
        <w:jc w:val="both"/>
        <w:rPr>
          <w:rFonts w:ascii="Times New Roman" w:hAnsi="Times New Roman"/>
          <w:sz w:val="24"/>
          <w:szCs w:val="24"/>
        </w:rPr>
      </w:pPr>
      <w:r w:rsidRPr="00722469">
        <w:rPr>
          <w:rFonts w:ascii="Times New Roman" w:hAnsi="Times New Roman"/>
          <w:sz w:val="24"/>
          <w:szCs w:val="24"/>
        </w:rPr>
        <w:t>Según el Crown Prosecution Service -departamento gubernamental que entiende de delitos penales y actúa bajo la supervisión de la fiscalía general-, la cifra de delitos debidos a odio racial en Inglaterra y Gales  ha aumentado notablemente en el año 2005. El CPS ha denunciado a 4.600 personas por tales delitos de carácter penal entre marzo del 2004 y marzo del 2005, cifra que representa un aumento de un 29% sobre el año anterior. Pero la violencia no es el único problema. Al igual que en Francia, existen indicios de que las comunidades de color instaladas desde hace mucho tiempo en Gran Bretaña se hallan sometidas a una segregación no oficial, así como a la discriminación en el mercado de trabajo y al acoso policial. Trevor Phillips, responsable de la Comisión por la Igualdad Racial, advirtió que “ciertos distritos de ciudades inglesas van de cabeza hacia su pronta conversión en guetos”…</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“Estamos contentos… ¡Qué bien se vive en el suelo!”</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¿Cuántas personas podrían decir lo mismo?</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La bomba atómica lanzada sobre Hiroshima destruyó 62.000 hogares. Las inundaciones provocadas por la rotura de los diques que separan la ciudad  del lago Pontchartrain han desplazado o dañado irreversiblemente más de 200.000 viviendas del área metropolitana de Nueva Orleáns. Han sido arrasados por el agua los barrios marginales donde se concentran los afroamericanos más pobres: San Bernardo, Lafitte o Seventh Ward, pero también los barrios de los negros de clase media, Pontchartrain Park o City Park. Tampoco se han librado las mansiones de la alta burguesía blanca, expulsada de sus confortables casas de Lakeview o Lake Shore -tan sólo el 28% de la población de Nueva Orleáns es de raza blanca, frente a un 67% de ciudadanos afroamericanos-.</w:t>
      </w:r>
    </w:p>
    <w:p w:rsidR="00537944"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lastRenderedPageBreak/>
        <w:t xml:space="preserve">El paso del “Katrina” fue demoledor. Los muertos “oficiales” dejaron de contarse el 1 de octubre, cuando el Departamento de Salud declaró 1.067 fallecidos. Pero sigue habiendo decenas de personas buscando a familiares desaparecidos, 6.000 en total. Lo cierto es que el desbordamiento de las aguas del lago Pontchartrain y la destrucción de los barrios del este de la ciudad ha sido la causa del mayor éxodo producido en el interior de los EEUU. De los más de 1.300.000 habitantes de la gran Nueva Orleáns metropolitana, un 80% de almas tuvo que abandonar su hogar. Aunque el drenaje ha </w:t>
      </w:r>
      <w:r w:rsidR="00A92207" w:rsidRPr="00A00C9D">
        <w:rPr>
          <w:rFonts w:ascii="Times New Roman" w:hAnsi="Times New Roman"/>
          <w:sz w:val="24"/>
          <w:szCs w:val="24"/>
        </w:rPr>
        <w:t>concluido</w:t>
      </w:r>
      <w:r w:rsidRPr="00A00C9D">
        <w:rPr>
          <w:rFonts w:ascii="Times New Roman" w:hAnsi="Times New Roman"/>
          <w:sz w:val="24"/>
          <w:szCs w:val="24"/>
        </w:rPr>
        <w:t>, gran parte de esos residentes sigue sin regresar tres meses después, porque el agua, la electricidad y el gas no han sido aún restablecidos…</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“Se diría que el ser humano puede soportarlo todo”, escribió William Faulkner. “Incluso somos capaces de sobreponernos a la idea de que ya no nos será posible soportar más dolor”…</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El edificio donde Faulkner escribió “</w:t>
      </w:r>
      <w:r w:rsidRPr="00787787">
        <w:rPr>
          <w:rFonts w:ascii="Times New Roman" w:hAnsi="Times New Roman"/>
          <w:i/>
          <w:sz w:val="24"/>
          <w:szCs w:val="24"/>
        </w:rPr>
        <w:t>La paga del soldado</w:t>
      </w:r>
      <w:r w:rsidRPr="00A00C9D">
        <w:rPr>
          <w:rFonts w:ascii="Times New Roman" w:hAnsi="Times New Roman"/>
          <w:sz w:val="24"/>
          <w:szCs w:val="24"/>
        </w:rPr>
        <w:t>” es hoy una mítica librería cerrada por los destrozos del “Katrina”. Algún muchacho guatemalteco o mexicano, transportado al Mississippi en busca de un sueño, arreglará el tejado de la casa en la que un día vivió el gran e</w:t>
      </w:r>
      <w:r>
        <w:rPr>
          <w:rFonts w:ascii="Times New Roman" w:hAnsi="Times New Roman"/>
          <w:sz w:val="24"/>
          <w:szCs w:val="24"/>
        </w:rPr>
        <w:t>scritor del sur norteamericano.</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Creamos nuestro Godot, que nunca va a venir. Le tenemos miedo, le veneramos, no queremos que nos abandone, nos humillamos, doblamos hasta renunciar a nuestra esencia sólo para apaciguar nuestro miedo por el futuro y no sentirnos abandonados en un vacío existencial.</w:t>
      </w:r>
    </w:p>
    <w:p w:rsidR="00537944" w:rsidRPr="00A00C9D" w:rsidRDefault="00537944" w:rsidP="00550638">
      <w:pPr>
        <w:spacing w:line="240" w:lineRule="auto"/>
        <w:jc w:val="both"/>
        <w:rPr>
          <w:rFonts w:ascii="Times New Roman" w:hAnsi="Times New Roman"/>
          <w:sz w:val="24"/>
          <w:szCs w:val="24"/>
        </w:rPr>
      </w:pPr>
      <w:r>
        <w:rPr>
          <w:rFonts w:ascii="Times New Roman" w:hAnsi="Times New Roman"/>
          <w:sz w:val="24"/>
          <w:szCs w:val="24"/>
        </w:rPr>
        <w:t>Lo malo es despertar…</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 xml:space="preserve">Así y todo, el único modo de orientarse en el porvenir es hacerse cargo de lo que ha sido el pasado cuyo entorno es inequívoco, fijo e inmutable.  </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 xml:space="preserve">Parafraseando a Henry George, podríamos acercarnos a la certeza de que “la pobreza que, en medio de la abundancia oprime y embrutece a los hombres y todos los males que de ella se derivan, nacen </w:t>
      </w:r>
      <w:r>
        <w:rPr>
          <w:rFonts w:ascii="Times New Roman" w:hAnsi="Times New Roman"/>
          <w:sz w:val="24"/>
          <w:szCs w:val="24"/>
        </w:rPr>
        <w:t>de la negación de la justicia”.</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Los acontecimientos de Londres, Nueva Orleáns y París, ocurridos durante el año 2005, puede que, para ciertos analistas y más aún para el público general,  no tuvieran ninguna relación “aparente” y menos aspectos vinculantes.</w:t>
      </w:r>
    </w:p>
    <w:p w:rsidR="00537944"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Con toda humildad, intentaré establecer algunas afinidades, cierta correspondencia, encadenamiento, connotación, y por sobre todo una clara “igualdad” entre quienes los han provocado y/o padecido. A lo peor, puede servir como “alerta previa” ante próximos sucesos violentos</w:t>
      </w:r>
      <w:r>
        <w:rPr>
          <w:rFonts w:ascii="Times New Roman" w:hAnsi="Times New Roman"/>
          <w:sz w:val="24"/>
          <w:szCs w:val="24"/>
        </w:rPr>
        <w:t>”..</w:t>
      </w:r>
      <w:r w:rsidRPr="00A00C9D">
        <w:rPr>
          <w:rFonts w:ascii="Times New Roman" w:hAnsi="Times New Roman"/>
          <w:sz w:val="24"/>
          <w:szCs w:val="24"/>
        </w:rPr>
        <w:t>.</w:t>
      </w:r>
    </w:p>
    <w:p w:rsidR="00537944" w:rsidRPr="009518C4" w:rsidRDefault="00537944" w:rsidP="00550638">
      <w:pPr>
        <w:spacing w:line="240" w:lineRule="auto"/>
        <w:jc w:val="both"/>
        <w:rPr>
          <w:rFonts w:ascii="Times New Roman" w:hAnsi="Times New Roman"/>
          <w:sz w:val="24"/>
          <w:szCs w:val="24"/>
          <w:u w:val="single"/>
        </w:rPr>
      </w:pPr>
      <w:r>
        <w:rPr>
          <w:rFonts w:ascii="Times New Roman" w:hAnsi="Times New Roman"/>
          <w:sz w:val="24"/>
          <w:szCs w:val="24"/>
        </w:rPr>
        <w:t xml:space="preserve">- </w:t>
      </w:r>
      <w:r w:rsidRPr="009518C4">
        <w:rPr>
          <w:rFonts w:ascii="Times New Roman" w:hAnsi="Times New Roman"/>
          <w:sz w:val="24"/>
          <w:szCs w:val="24"/>
          <w:u w:val="single"/>
        </w:rPr>
        <w:t>“Low cost” (De los bolsones de “pobreza “a los bolsones de “odio”)</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Lo más sorprendente de estos sucesos es que hayan sorprendido tanto.</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 xml:space="preserve">Lo único novedoso es la “ferocidad, que irá a más, si nadie </w:t>
      </w:r>
      <w:r>
        <w:rPr>
          <w:rFonts w:ascii="Times New Roman" w:hAnsi="Times New Roman"/>
          <w:sz w:val="24"/>
          <w:szCs w:val="24"/>
        </w:rPr>
        <w:t>se ocupa de reparar las causas.</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Dos Inglaterras (la rica y el resto), dos Estados Unidos (el rico y el resto), dos Francias (la rica y el resto)…sólo pueden engendrar la “rebelión de los miserables”.</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Si desean pueden modificar la frase anterior sustituyendo la “rica” por la “blanca”, el resto sigue igual, y l</w:t>
      </w:r>
      <w:r>
        <w:rPr>
          <w:rFonts w:ascii="Times New Roman" w:hAnsi="Times New Roman"/>
          <w:sz w:val="24"/>
          <w:szCs w:val="24"/>
        </w:rPr>
        <w:t>os resultados serán los mismos…</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lastRenderedPageBreak/>
        <w:t>En todos estos países (puede extenderse a la Unión Europea) existe segregación económica, territorial y étnica.</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La “integración” (francesa) falló, la “multiculturidad” y el “comunitarismo” (inglés, norteamericano u holandés) falló. Los inmigrantes de segunda o tercera generación (en Inglaterra, Francia, Holanda, Alemania, Bélgica…) siguen siendo siempre “los otros” y los negros de “enésima” generación (en Estados Unidos) siguen siendo siempre “esclavos”</w:t>
      </w:r>
      <w:r>
        <w:rPr>
          <w:rFonts w:ascii="Times New Roman" w:hAnsi="Times New Roman"/>
          <w:sz w:val="24"/>
          <w:szCs w:val="24"/>
        </w:rPr>
        <w:t>.</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Ni Bush (el texano tóxico), ni Chirac (el megalómano), ni Blair (el chambelán), ni Villepin (el aristocrático), ni Sarkozy (el converso), supieron (</w:t>
      </w:r>
      <w:r w:rsidR="009518C4">
        <w:rPr>
          <w:rFonts w:ascii="Times New Roman" w:hAnsi="Times New Roman"/>
          <w:sz w:val="24"/>
          <w:szCs w:val="24"/>
        </w:rPr>
        <w:t>¿</w:t>
      </w:r>
      <w:r w:rsidRPr="00A00C9D">
        <w:rPr>
          <w:rFonts w:ascii="Times New Roman" w:hAnsi="Times New Roman"/>
          <w:sz w:val="24"/>
          <w:szCs w:val="24"/>
        </w:rPr>
        <w:t>quisieron?) escuchar “los gritos del silencio”.</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Ninguno de ellos supo (</w:t>
      </w:r>
      <w:r w:rsidR="009518C4">
        <w:rPr>
          <w:rFonts w:ascii="Times New Roman" w:hAnsi="Times New Roman"/>
          <w:sz w:val="24"/>
          <w:szCs w:val="24"/>
        </w:rPr>
        <w:t>¿</w:t>
      </w:r>
      <w:r w:rsidRPr="00A00C9D">
        <w:rPr>
          <w:rFonts w:ascii="Times New Roman" w:hAnsi="Times New Roman"/>
          <w:sz w:val="24"/>
          <w:szCs w:val="24"/>
        </w:rPr>
        <w:t>quiso?) ver los almacenes consentidos de la miseria, donde la</w:t>
      </w:r>
      <w:r>
        <w:rPr>
          <w:rFonts w:ascii="Times New Roman" w:hAnsi="Times New Roman"/>
          <w:sz w:val="24"/>
          <w:szCs w:val="24"/>
        </w:rPr>
        <w:t xml:space="preserve"> gente de “bajo precio” habita.</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Le Monde ha recordado en un editorial una frase de François Mitterrand, pronunciada en 1990, que retrataba ya la situación: ¿Qué puede esperar un ser joven que nace en un barrio sin alma, que vive en un edificio feo, rodeado de otras fealdades, de muros grises sobre un paisaje gris para una vida gris, con toda una sociedad a su alrededor que prefiere girar la mirada y que sólo interviene cuando hay que enfadarse, prohibir?</w:t>
      </w:r>
    </w:p>
    <w:p w:rsidR="00537944" w:rsidRPr="00A00C9D" w:rsidRDefault="00537944" w:rsidP="00550638">
      <w:pPr>
        <w:spacing w:line="240" w:lineRule="auto"/>
        <w:jc w:val="both"/>
        <w:rPr>
          <w:rFonts w:ascii="Times New Roman" w:hAnsi="Times New Roman"/>
          <w:sz w:val="24"/>
          <w:szCs w:val="24"/>
        </w:rPr>
      </w:pPr>
      <w:r>
        <w:rPr>
          <w:rFonts w:ascii="Times New Roman" w:hAnsi="Times New Roman"/>
          <w:sz w:val="24"/>
          <w:szCs w:val="24"/>
        </w:rPr>
        <w:t>Éste es ahora el caso…</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Las distintas “fórmulas” de explosión social espontánea utilizadas resultan una advertencia de los peligros que se ciernen sobre todos nosotros.</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 xml:space="preserve">En las sociedades complejas, interdependientes, globalizadas, todos los ciudadanos sin excepción están a merced de fuerzas económicas que no pueden controlar y necesitan </w:t>
      </w:r>
      <w:r>
        <w:rPr>
          <w:rFonts w:ascii="Times New Roman" w:hAnsi="Times New Roman"/>
          <w:sz w:val="24"/>
          <w:szCs w:val="24"/>
        </w:rPr>
        <w:t>y exigen protección del Estado.</w:t>
      </w:r>
    </w:p>
    <w:p w:rsidR="00537944" w:rsidRPr="00A00C9D"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No es un problema de integración, sino de promoción.</w:t>
      </w:r>
    </w:p>
    <w:p w:rsidR="00537944" w:rsidRDefault="00537944" w:rsidP="00550638">
      <w:pPr>
        <w:spacing w:line="240" w:lineRule="auto"/>
        <w:jc w:val="both"/>
        <w:rPr>
          <w:rFonts w:ascii="Times New Roman" w:hAnsi="Times New Roman"/>
          <w:sz w:val="24"/>
          <w:szCs w:val="24"/>
        </w:rPr>
      </w:pPr>
      <w:r w:rsidRPr="00A00C9D">
        <w:rPr>
          <w:rFonts w:ascii="Times New Roman" w:hAnsi="Times New Roman"/>
          <w:sz w:val="24"/>
          <w:szCs w:val="24"/>
        </w:rPr>
        <w:t>El hedonismo desalmado, la práctica de la deslocalización industrial, la competitividad y el librecambio, provocan la escasez de empleos de media y baja cualificación, que contribuyen a crear famil</w:t>
      </w:r>
      <w:r>
        <w:rPr>
          <w:rFonts w:ascii="Times New Roman" w:hAnsi="Times New Roman"/>
          <w:sz w:val="24"/>
          <w:szCs w:val="24"/>
        </w:rPr>
        <w:t>ias y grupos sociales estables</w:t>
      </w:r>
      <w:r w:rsidR="009518C4">
        <w:rPr>
          <w:rFonts w:ascii="Times New Roman" w:hAnsi="Times New Roman"/>
          <w:sz w:val="24"/>
          <w:szCs w:val="24"/>
        </w:rPr>
        <w:t>…</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La lección que puede sacarse es que a menudo los débiles y los vulnerables tienen cosas útiles que enseñar a los fuertes.</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 xml:space="preserve">Avanzando un poco más, Günter Grass en </w:t>
      </w:r>
      <w:r w:rsidRPr="00787787">
        <w:rPr>
          <w:rFonts w:ascii="Times New Roman" w:hAnsi="Times New Roman"/>
          <w:i/>
          <w:sz w:val="24"/>
          <w:szCs w:val="24"/>
        </w:rPr>
        <w:t>Mi Siglo</w:t>
      </w:r>
      <w:r w:rsidRPr="00A00C9D">
        <w:rPr>
          <w:rFonts w:ascii="Times New Roman" w:hAnsi="Times New Roman"/>
          <w:sz w:val="24"/>
          <w:szCs w:val="24"/>
        </w:rPr>
        <w:t>, nos dice: “A veces, aunque con retraso de decenios, inclus</w:t>
      </w:r>
      <w:r>
        <w:rPr>
          <w:rFonts w:ascii="Times New Roman" w:hAnsi="Times New Roman"/>
          <w:sz w:val="24"/>
          <w:szCs w:val="24"/>
        </w:rPr>
        <w:t>o ganan los que tiran piedras”…</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“Despertares abruptos” producto de la falta de esperanza, dignidad y justicia.</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El ascensor social  no funciona. “Out of order”.</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Ante la fractura social, los líderes (apócrifos) de turno (rapacidad y ambición: pura ansia de poder) sólo atinan a proclamar la “tolerancia cero”. Aunque -tal vez-, estos indocumentados conservadores compasivos, sea</w:t>
      </w:r>
      <w:r>
        <w:rPr>
          <w:rFonts w:ascii="Times New Roman" w:hAnsi="Times New Roman"/>
          <w:sz w:val="24"/>
          <w:szCs w:val="24"/>
        </w:rPr>
        <w:t>n los “auténticos” terroristas.</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¿Declararán la rebelión de los miserables como el eje del mal?</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¿Revelarán que las manifestaciones violentas son un arma de destrucción masiva?</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lastRenderedPageBreak/>
        <w:t>¿Invadirán las zonas de la revuelta?</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¿Lanzarán bombas con uranio empobrecido a los pobres sublevados?</w:t>
      </w:r>
    </w:p>
    <w:p w:rsidR="002B0F8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¿Les arrojarán explosivos con fósforo blanco</w:t>
      </w:r>
      <w:r>
        <w:rPr>
          <w:rFonts w:ascii="Times New Roman" w:hAnsi="Times New Roman"/>
          <w:sz w:val="24"/>
          <w:szCs w:val="24"/>
        </w:rPr>
        <w:t xml:space="preserve"> a los invisibles de la Tierra?</w:t>
      </w:r>
    </w:p>
    <w:p w:rsidR="000B7CEC" w:rsidRPr="002B0F8C" w:rsidRDefault="000B7CEC" w:rsidP="00550638">
      <w:pPr>
        <w:spacing w:line="240" w:lineRule="auto"/>
        <w:jc w:val="both"/>
        <w:rPr>
          <w:rFonts w:ascii="Times New Roman" w:hAnsi="Times New Roman"/>
          <w:sz w:val="24"/>
          <w:szCs w:val="24"/>
          <w:u w:val="single"/>
        </w:rPr>
      </w:pPr>
      <w:r w:rsidRPr="00A00C9D">
        <w:rPr>
          <w:rFonts w:ascii="Times New Roman" w:hAnsi="Times New Roman"/>
          <w:sz w:val="24"/>
          <w:szCs w:val="24"/>
        </w:rPr>
        <w:t xml:space="preserve">- </w:t>
      </w:r>
      <w:r w:rsidRPr="002B0F8C">
        <w:rPr>
          <w:rFonts w:ascii="Times New Roman" w:hAnsi="Times New Roman"/>
          <w:sz w:val="24"/>
          <w:szCs w:val="24"/>
          <w:u w:val="single"/>
        </w:rPr>
        <w:t>¿Y después?</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Un fracaso de todos</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Mucho me temo que el “después”, sólo sea una repetición de lo dicho por María Antonieta (esta vez en cabeza de la “Reina Madre” Barbara Bush, o si ustedes prefieren de la “Papisa Negra” Condi Rice), cuando pregunta</w:t>
      </w:r>
      <w:r>
        <w:rPr>
          <w:rFonts w:ascii="Times New Roman" w:hAnsi="Times New Roman"/>
          <w:sz w:val="24"/>
          <w:szCs w:val="24"/>
        </w:rPr>
        <w:t>ba:</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 xml:space="preserve">“¿Por qué chillan?” </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Y le contestaban: “Porque</w:t>
      </w:r>
      <w:r>
        <w:rPr>
          <w:rFonts w:ascii="Times New Roman" w:hAnsi="Times New Roman"/>
          <w:sz w:val="24"/>
          <w:szCs w:val="24"/>
        </w:rPr>
        <w:t xml:space="preserve"> tienen hambre, no tienen pan”.</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Y ella replicaba con toda la “buena intención” (?) del mundo:</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“Pues que les den brioche” (bollo de leche - pâtisserie).</w:t>
      </w:r>
    </w:p>
    <w:p w:rsidR="000B7CEC" w:rsidRPr="00A00C9D"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Para concluir, desearía recurrir a una magnífica frase de Charles Maurice de Talleyrand:</w:t>
      </w:r>
    </w:p>
    <w:p w:rsidR="000B7CEC" w:rsidRDefault="000B7CEC" w:rsidP="00550638">
      <w:pPr>
        <w:spacing w:line="240" w:lineRule="auto"/>
        <w:jc w:val="both"/>
        <w:rPr>
          <w:rFonts w:ascii="Times New Roman" w:hAnsi="Times New Roman"/>
          <w:sz w:val="24"/>
          <w:szCs w:val="24"/>
        </w:rPr>
      </w:pPr>
      <w:r w:rsidRPr="00A00C9D">
        <w:rPr>
          <w:rFonts w:ascii="Times New Roman" w:hAnsi="Times New Roman"/>
          <w:sz w:val="24"/>
          <w:szCs w:val="24"/>
        </w:rPr>
        <w:t>“Un descontento es un pobre que piensa”</w:t>
      </w:r>
      <w:r>
        <w:rPr>
          <w:rFonts w:ascii="Times New Roman" w:hAnsi="Times New Roman"/>
          <w:sz w:val="24"/>
          <w:szCs w:val="24"/>
        </w:rPr>
        <w:t>…</w:t>
      </w:r>
    </w:p>
    <w:p w:rsidR="000B7CEC" w:rsidRPr="001D642E" w:rsidRDefault="000B7CEC" w:rsidP="00550638">
      <w:pPr>
        <w:spacing w:line="240" w:lineRule="auto"/>
        <w:jc w:val="both"/>
        <w:rPr>
          <w:rFonts w:ascii="Times New Roman" w:hAnsi="Times New Roman"/>
          <w:sz w:val="24"/>
          <w:szCs w:val="24"/>
        </w:rPr>
      </w:pPr>
      <w:r>
        <w:rPr>
          <w:rFonts w:ascii="Times New Roman" w:hAnsi="Times New Roman"/>
          <w:sz w:val="24"/>
          <w:szCs w:val="24"/>
        </w:rPr>
        <w:t>Decía en “</w:t>
      </w:r>
      <w:r w:rsidRPr="00B77C0D">
        <w:rPr>
          <w:rFonts w:ascii="Times New Roman" w:hAnsi="Times New Roman"/>
          <w:sz w:val="24"/>
          <w:szCs w:val="24"/>
          <w:u w:val="single"/>
        </w:rPr>
        <w:t>Egalité, fraternité y… “globalité</w:t>
      </w:r>
      <w:r w:rsidRPr="001D642E">
        <w:rPr>
          <w:rFonts w:ascii="Times New Roman" w:hAnsi="Times New Roman"/>
          <w:sz w:val="24"/>
          <w:szCs w:val="24"/>
        </w:rPr>
        <w:t>”</w:t>
      </w:r>
      <w:r>
        <w:rPr>
          <w:rFonts w:ascii="Times New Roman" w:hAnsi="Times New Roman"/>
          <w:sz w:val="24"/>
          <w:szCs w:val="24"/>
        </w:rPr>
        <w:t xml:space="preserve"> - (Paper publicado el </w:t>
      </w:r>
      <w:r w:rsidRPr="00327231">
        <w:rPr>
          <w:rFonts w:ascii="Times New Roman" w:hAnsi="Times New Roman"/>
          <w:b/>
          <w:sz w:val="24"/>
          <w:szCs w:val="24"/>
        </w:rPr>
        <w:t>17/4/06</w:t>
      </w:r>
      <w:r>
        <w:rPr>
          <w:rFonts w:ascii="Times New Roman" w:hAnsi="Times New Roman"/>
          <w:sz w:val="24"/>
          <w:szCs w:val="24"/>
        </w:rPr>
        <w:t>)</w:t>
      </w:r>
    </w:p>
    <w:p w:rsidR="000B7CEC" w:rsidRPr="003F05F9" w:rsidRDefault="000B7CEC" w:rsidP="00550638">
      <w:pPr>
        <w:spacing w:line="240" w:lineRule="auto"/>
        <w:jc w:val="both"/>
        <w:rPr>
          <w:rFonts w:ascii="Times New Roman" w:hAnsi="Times New Roman"/>
          <w:sz w:val="24"/>
          <w:szCs w:val="24"/>
          <w:u w:val="single"/>
        </w:rPr>
      </w:pPr>
      <w:r>
        <w:rPr>
          <w:rFonts w:ascii="Times New Roman" w:hAnsi="Times New Roman"/>
          <w:sz w:val="24"/>
          <w:szCs w:val="24"/>
        </w:rPr>
        <w:t xml:space="preserve">- </w:t>
      </w:r>
      <w:r w:rsidRPr="003F05F9">
        <w:rPr>
          <w:rFonts w:ascii="Times New Roman" w:hAnsi="Times New Roman"/>
          <w:sz w:val="24"/>
          <w:szCs w:val="24"/>
          <w:u w:val="single"/>
        </w:rPr>
        <w:t>Contrato de Precariedad Eterna - La teoría de la “flexiseguridad”</w:t>
      </w:r>
    </w:p>
    <w:p w:rsidR="000B7CEC" w:rsidRPr="00327231" w:rsidRDefault="000B7CEC"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327231">
        <w:rPr>
          <w:rFonts w:ascii="Times New Roman" w:hAnsi="Times New Roman"/>
          <w:sz w:val="24"/>
          <w:szCs w:val="24"/>
        </w:rPr>
        <w:t xml:space="preserve">Éste es un “Paper de barricada”. Sin anestesia, pero con preaviso. Ese que no se quiere dar a los jóvenes. </w:t>
      </w:r>
    </w:p>
    <w:p w:rsidR="000B7CEC" w:rsidRPr="00327231" w:rsidRDefault="000B7CEC" w:rsidP="00550638">
      <w:pPr>
        <w:spacing w:line="240" w:lineRule="auto"/>
        <w:jc w:val="both"/>
        <w:rPr>
          <w:rFonts w:ascii="Times New Roman" w:hAnsi="Times New Roman"/>
          <w:sz w:val="24"/>
          <w:szCs w:val="24"/>
        </w:rPr>
      </w:pPr>
      <w:r w:rsidRPr="00327231">
        <w:rPr>
          <w:rFonts w:ascii="Times New Roman" w:hAnsi="Times New Roman"/>
          <w:sz w:val="24"/>
          <w:szCs w:val="24"/>
        </w:rPr>
        <w:t>Con espíritu “sesenta y ochista”. Aunque dé pena recordar que entonces se gritaba: “la imaginación al poder” y ahora -apenas- se mendiga: “un puesto de  trabajo”.</w:t>
      </w:r>
    </w:p>
    <w:p w:rsidR="000B7CEC" w:rsidRPr="00327231" w:rsidRDefault="000B7CEC" w:rsidP="00550638">
      <w:pPr>
        <w:spacing w:line="240" w:lineRule="auto"/>
        <w:jc w:val="both"/>
        <w:rPr>
          <w:rFonts w:ascii="Times New Roman" w:hAnsi="Times New Roman"/>
          <w:sz w:val="24"/>
          <w:szCs w:val="24"/>
        </w:rPr>
      </w:pPr>
      <w:r w:rsidRPr="00327231">
        <w:rPr>
          <w:rFonts w:ascii="Times New Roman" w:hAnsi="Times New Roman"/>
          <w:sz w:val="24"/>
          <w:szCs w:val="24"/>
        </w:rPr>
        <w:t>La riqueza no alcanza para todos. Prosperidad y pobreza de fondo.</w:t>
      </w:r>
    </w:p>
    <w:p w:rsidR="000B7CEC" w:rsidRPr="00327231" w:rsidRDefault="000B7CEC" w:rsidP="00550638">
      <w:pPr>
        <w:spacing w:line="240" w:lineRule="auto"/>
        <w:jc w:val="both"/>
        <w:rPr>
          <w:rFonts w:ascii="Times New Roman" w:hAnsi="Times New Roman"/>
          <w:sz w:val="24"/>
          <w:szCs w:val="24"/>
        </w:rPr>
      </w:pPr>
      <w:r w:rsidRPr="00327231">
        <w:rPr>
          <w:rFonts w:ascii="Times New Roman" w:hAnsi="Times New Roman"/>
          <w:sz w:val="24"/>
          <w:szCs w:val="24"/>
        </w:rPr>
        <w:t>La generación de la precariedad. La “cláusula” del país más precario.</w:t>
      </w:r>
    </w:p>
    <w:p w:rsidR="000B7CEC" w:rsidRPr="00327231" w:rsidRDefault="000B7CEC" w:rsidP="00550638">
      <w:pPr>
        <w:spacing w:line="240" w:lineRule="auto"/>
        <w:jc w:val="both"/>
        <w:rPr>
          <w:rFonts w:ascii="Times New Roman" w:hAnsi="Times New Roman"/>
          <w:sz w:val="24"/>
          <w:szCs w:val="24"/>
        </w:rPr>
      </w:pPr>
      <w:r w:rsidRPr="00327231">
        <w:rPr>
          <w:rFonts w:ascii="Times New Roman" w:hAnsi="Times New Roman"/>
          <w:sz w:val="24"/>
          <w:szCs w:val="24"/>
        </w:rPr>
        <w:t>De la banlieue a la Sorbona. De la indignación a la</w:t>
      </w:r>
      <w:r>
        <w:rPr>
          <w:rFonts w:ascii="Times New Roman" w:hAnsi="Times New Roman"/>
          <w:sz w:val="24"/>
          <w:szCs w:val="24"/>
        </w:rPr>
        <w:t xml:space="preserve"> rebelión. Que de eso se trata.</w:t>
      </w:r>
    </w:p>
    <w:p w:rsidR="000B7CEC" w:rsidRPr="00A00C9D" w:rsidRDefault="000B7CEC" w:rsidP="00550638">
      <w:pPr>
        <w:spacing w:line="240" w:lineRule="auto"/>
        <w:jc w:val="both"/>
        <w:rPr>
          <w:rFonts w:ascii="Times New Roman" w:hAnsi="Times New Roman"/>
          <w:sz w:val="24"/>
          <w:szCs w:val="24"/>
        </w:rPr>
      </w:pPr>
      <w:r w:rsidRPr="00327231">
        <w:rPr>
          <w:rFonts w:ascii="Times New Roman" w:hAnsi="Times New Roman"/>
          <w:sz w:val="24"/>
          <w:szCs w:val="24"/>
        </w:rPr>
        <w:t>Los males se veían venir. Un prolongado “vía crucis” hacia el precipicio social…</w:t>
      </w:r>
    </w:p>
    <w:p w:rsidR="001E3151" w:rsidRPr="0032723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El 21 de septiembre de 2005 el Gobierno de Dominique de Villepin proponía retirar el subsidio de desempleo a los parados que rechacen tres veces un empleo. Los parados que rechacen el primer trabajo que se les ofrezca podrán ser penalizados con una rebaja del 20% del subsidio de desempleo y perder definitivamente el 100% de la prestación</w:t>
      </w:r>
      <w:r>
        <w:rPr>
          <w:rFonts w:ascii="Times New Roman" w:hAnsi="Times New Roman"/>
          <w:sz w:val="24"/>
          <w:szCs w:val="24"/>
        </w:rPr>
        <w:t xml:space="preserve"> al tercer rechazo consecutivo…</w:t>
      </w:r>
    </w:p>
    <w:p w:rsidR="001E315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 xml:space="preserve"> El 20 de diciembre de 2005 tomaba “estado público” una movilización sin precedentes, cuyo nombre escogido como bandera lo decía todo: “Generación Precaria”. En apenas tres meses, y a partir de Internet, habían logrado organizar una movilización sin precedentes de los becarios franceses, un colectivo atomizado y al margen de la lógica sindical que nunca hasta entonces había levantado la voz. Su objetivo, acabar con la </w:t>
      </w:r>
      <w:r w:rsidRPr="00327231">
        <w:rPr>
          <w:rFonts w:ascii="Times New Roman" w:hAnsi="Times New Roman"/>
          <w:sz w:val="24"/>
          <w:szCs w:val="24"/>
        </w:rPr>
        <w:lastRenderedPageBreak/>
        <w:t>situación de explotación laboral a la que se enfrentan muchos de los 800.000 estudiantes franceses que realizan prácticas en empresas</w:t>
      </w:r>
      <w:r>
        <w:rPr>
          <w:rFonts w:ascii="Times New Roman" w:hAnsi="Times New Roman"/>
          <w:sz w:val="24"/>
          <w:szCs w:val="24"/>
        </w:rPr>
        <w:t>…</w:t>
      </w:r>
    </w:p>
    <w:p w:rsidR="001E3151" w:rsidRPr="0032723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Paro, deslocalizaciones, precariedad laboral, pérdida de poder adquisitivo…, el panorama tiene sumidos en un profundo desánimo a los franceses, haciéndoles perder el gusto por el porvenir.</w:t>
      </w:r>
    </w:p>
    <w:p w:rsidR="001E315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El problema del día a día que más temen los franceses es que el dinero no llegue a fin de mes (92%), mientras de cara al futuro les preocupa tener garantizada una buena protección de salud, poder pagar la educación de los hijos, la jubilación, disponer de ahorros, la vivienda…</w:t>
      </w:r>
    </w:p>
    <w:p w:rsidR="001E3151" w:rsidRPr="0032723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Si el ascensor  social no funciona entre generaciones, tampoco lo hace entre clases sociales. La violenta crisis de las “banlieues”, que el pasado noviembre conmocionó a todo el país, puso dramáticamente en evidencia el grave problema de la exclusión social en las periferias urbanas, del que son víctimas los hijos de la inmigración, tratados en la prác</w:t>
      </w:r>
      <w:r>
        <w:rPr>
          <w:rFonts w:ascii="Times New Roman" w:hAnsi="Times New Roman"/>
          <w:sz w:val="24"/>
          <w:szCs w:val="24"/>
        </w:rPr>
        <w:t>tica como franceses de segunda.</w:t>
      </w:r>
    </w:p>
    <w:p w:rsidR="001E315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El sistema se ha quedado sin aliento. Hay un conjunto de problemas que son comunes a otros países europeos, como los vinculados a la globalización. Además en Francia hay una cultura del Estado muy acusada. Y la clase política no tiene un discurso movilizador. Se está ante el caso de un país que no tiene confianza en sus líderes, unos líderes que no muestran el camino. El declive acaba pesando en los espíritus… (males de Francia, males de Europa)…</w:t>
      </w:r>
    </w:p>
    <w:p w:rsidR="001E3151" w:rsidRPr="0032723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El mal de esta Europa tranquila y modélica es no darse cuenta de que todo el éxito alcanzado puede dilapidarse si no se tienen en cuenta cuestiones tan básicas como el esfuerzo, el conocimiento, la iniciativa y el imprescindible reparto de la riqueza entre los que tienen mucho y los que no tienen casi nada, ni siquiera la esperanza de un futuro con cierta esperanza.</w:t>
      </w:r>
    </w:p>
    <w:p w:rsidR="001E3151" w:rsidRPr="0032723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El fin del comunismo y el emerger de un mercado amplísimo supusieron barra libre para la economía neoliberal. La gran receta. Es más: la norma única sin alternativa posible. Y las sociedades del Estado del bienestar occidental zozobran. Fallan todos los resortes y la brecha se hace cada vez más ancha y honda. Estados Unidos, campeón de la libertad de mercado, desmontó el andamiaje del New Deal roos</w:t>
      </w:r>
      <w:r>
        <w:rPr>
          <w:rFonts w:ascii="Times New Roman" w:hAnsi="Times New Roman"/>
          <w:sz w:val="24"/>
          <w:szCs w:val="24"/>
        </w:rPr>
        <w:t>e</w:t>
      </w:r>
      <w:r w:rsidRPr="00327231">
        <w:rPr>
          <w:rFonts w:ascii="Times New Roman" w:hAnsi="Times New Roman"/>
          <w:sz w:val="24"/>
          <w:szCs w:val="24"/>
        </w:rPr>
        <w:t>veltiano. Margaret Thatcher y Tony Blair han seguido con decisión el cambio de rumbo. Pero los estados continentales europeos, los gobiernos europeos, los políticos europeos, se mueven con un estrecho margen de maniobra. Desfloran el Estado protector hoja a hoja, pétalo a pétalo, ante la gran pregunta: ¿no hay alternativa?, ¿es obligado agachar la cabeza y aceptar que hemos entrado en el ú</w:t>
      </w:r>
      <w:r>
        <w:rPr>
          <w:rFonts w:ascii="Times New Roman" w:hAnsi="Times New Roman"/>
          <w:sz w:val="24"/>
          <w:szCs w:val="24"/>
        </w:rPr>
        <w:t>nico, angosto, camino andadero?</w:t>
      </w:r>
    </w:p>
    <w:p w:rsidR="001E3151" w:rsidRPr="0032723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La cuestión es cómo quemar las naves sin provocar tremendas convulsiones. Que no aparezca, visible de un golpe, la descripción del futuro que el analista francés François Khan expone: “Precariedad laboral de larga duración, tribalismo generalizado, búsqueda compulsiva de la ganancia a cualquier precio, exasperación de las relaciones intersociales, egoísmo institucionalizado, encierro en el comunitarismo, exasperación de las relaciones de dominación y violencia, relegación, amoralidad, fracturación de la sociedad”.</w:t>
      </w:r>
    </w:p>
    <w:p w:rsidR="001E3151" w:rsidRPr="0032723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 xml:space="preserve">¿Negras tintas, predicciones excesivamente tenebrosas? Basta mirar en torno: lentamente, en una pendiente más o menos graduable, los síntomas van aflorando pese a </w:t>
      </w:r>
      <w:r w:rsidRPr="00327231">
        <w:rPr>
          <w:rFonts w:ascii="Times New Roman" w:hAnsi="Times New Roman"/>
          <w:sz w:val="24"/>
          <w:szCs w:val="24"/>
        </w:rPr>
        <w:lastRenderedPageBreak/>
        <w:t>la fuerza de la inercia, a las muchas aportaciones que concurren en el trabajo de anestesiar la conciencia colectiva, el sentido crítico,</w:t>
      </w:r>
      <w:r>
        <w:rPr>
          <w:rFonts w:ascii="Times New Roman" w:hAnsi="Times New Roman"/>
          <w:sz w:val="24"/>
          <w:szCs w:val="24"/>
        </w:rPr>
        <w:t xml:space="preserve"> la exigencia de transparencia.</w:t>
      </w:r>
    </w:p>
    <w:p w:rsidR="001E3151" w:rsidRPr="0032723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Hay países, colectividades, que todavía no perciben que el agua les llega a la cintura.</w:t>
      </w:r>
    </w:p>
    <w:p w:rsidR="001E3151" w:rsidRDefault="001E3151" w:rsidP="00550638">
      <w:pPr>
        <w:spacing w:line="240" w:lineRule="auto"/>
        <w:jc w:val="both"/>
        <w:rPr>
          <w:rFonts w:ascii="Times New Roman" w:hAnsi="Times New Roman"/>
          <w:sz w:val="24"/>
          <w:szCs w:val="24"/>
        </w:rPr>
      </w:pPr>
      <w:r w:rsidRPr="00327231">
        <w:rPr>
          <w:rFonts w:ascii="Times New Roman" w:hAnsi="Times New Roman"/>
          <w:sz w:val="24"/>
          <w:szCs w:val="24"/>
        </w:rPr>
        <w:t>Sigue dando vueltas el carrusel del consumo, sirviéndose del endeudamiento de por vida, del trabajo a salto de mata y las previsiones personales en plazos cada vez más breves</w:t>
      </w:r>
      <w:r>
        <w:rPr>
          <w:rFonts w:ascii="Times New Roman" w:hAnsi="Times New Roman"/>
          <w:sz w:val="24"/>
          <w:szCs w:val="24"/>
        </w:rPr>
        <w:t>…</w:t>
      </w:r>
    </w:p>
    <w:p w:rsidR="00F77509" w:rsidRDefault="00F77509" w:rsidP="00550638">
      <w:pPr>
        <w:spacing w:line="240" w:lineRule="auto"/>
        <w:jc w:val="both"/>
        <w:rPr>
          <w:rFonts w:ascii="Times New Roman" w:hAnsi="Times New Roman"/>
          <w:sz w:val="24"/>
          <w:szCs w:val="24"/>
        </w:rPr>
      </w:pPr>
      <w:r>
        <w:rPr>
          <w:rFonts w:ascii="Times New Roman" w:hAnsi="Times New Roman"/>
          <w:sz w:val="24"/>
          <w:szCs w:val="24"/>
        </w:rPr>
        <w:t xml:space="preserve">Casi al </w:t>
      </w:r>
      <w:r w:rsidRPr="00F77509">
        <w:rPr>
          <w:rFonts w:ascii="Times New Roman" w:hAnsi="Times New Roman"/>
          <w:sz w:val="24"/>
          <w:szCs w:val="24"/>
          <w:u w:val="single"/>
        </w:rPr>
        <w:t>final del Ensayo</w:t>
      </w:r>
      <w:r>
        <w:rPr>
          <w:rFonts w:ascii="Times New Roman" w:hAnsi="Times New Roman"/>
          <w:sz w:val="24"/>
          <w:szCs w:val="24"/>
        </w:rPr>
        <w:t xml:space="preserve"> (Esperando la rebelión de los “ni-ni”…), enviaba el siguiente mensaje:</w:t>
      </w:r>
    </w:p>
    <w:p w:rsidR="00F77509" w:rsidRDefault="00F77509" w:rsidP="00550638">
      <w:pPr>
        <w:pStyle w:val="NormalWeb"/>
        <w:shd w:val="clear" w:color="auto" w:fill="FFFFFF"/>
        <w:jc w:val="both"/>
        <w:rPr>
          <w:b/>
        </w:rPr>
      </w:pPr>
      <w:r>
        <w:rPr>
          <w:b/>
        </w:rPr>
        <w:t xml:space="preserve">- </w:t>
      </w:r>
      <w:r w:rsidRPr="00F77509">
        <w:rPr>
          <w:u w:val="single"/>
        </w:rPr>
        <w:t>Post data: La brújula (claves económicas)</w:t>
      </w:r>
      <w:r>
        <w:rPr>
          <w:b/>
        </w:rPr>
        <w:t xml:space="preserve"> </w:t>
      </w:r>
    </w:p>
    <w:p w:rsidR="00F77509" w:rsidRDefault="00F77509" w:rsidP="00550638">
      <w:pPr>
        <w:pStyle w:val="NormalWeb"/>
        <w:shd w:val="clear" w:color="auto" w:fill="FFFFFF"/>
        <w:jc w:val="both"/>
      </w:pPr>
      <w:r>
        <w:t>Días antes de finalizar la redacción de este Ensayo (</w:t>
      </w:r>
      <w:r>
        <w:rPr>
          <w:b/>
        </w:rPr>
        <w:t>20</w:t>
      </w:r>
      <w:r w:rsidRPr="00FD3752">
        <w:rPr>
          <w:b/>
        </w:rPr>
        <w:t>/8/09</w:t>
      </w:r>
      <w:r>
        <w:t>), se cumplía el segundo aniversario del estallido de la crisis de las hipotecas subprime. Casi simultáneamente, comenzaron a publicarse algunos datos y análisis que anticipaban el fin de la recesión…</w:t>
      </w:r>
    </w:p>
    <w:p w:rsidR="00F77509" w:rsidRDefault="00F77509" w:rsidP="00550638">
      <w:pPr>
        <w:pStyle w:val="NormalWeb"/>
        <w:shd w:val="clear" w:color="auto" w:fill="FFFFFF"/>
        <w:jc w:val="both"/>
      </w:pPr>
      <w:r>
        <w:t>Querido Twitter, he roto aguas… (ahora estoy midiendo las contracciones con una aplicación para el iPhone)…</w:t>
      </w:r>
    </w:p>
    <w:p w:rsidR="00F77509" w:rsidRDefault="00F77509" w:rsidP="00550638">
      <w:pPr>
        <w:pStyle w:val="NormalWeb"/>
        <w:shd w:val="clear" w:color="auto" w:fill="FFFFFF"/>
        <w:jc w:val="both"/>
      </w:pPr>
      <w:r>
        <w:t>Jóvenes amigos, por favor, antes que sea demasiado tarde, guarden estos antecedentes para que jamás se pueda borrar la memoria. No olviden lo inolvidable. Conserven el “huevo de la serpiente”, para tener claro quiénes son los culpables y cuáles sus efectos.</w:t>
      </w:r>
    </w:p>
    <w:p w:rsidR="00F77509" w:rsidRDefault="00F77509" w:rsidP="00550638">
      <w:pPr>
        <w:pStyle w:val="NormalWeb"/>
        <w:shd w:val="clear" w:color="auto" w:fill="FFFFFF"/>
        <w:jc w:val="both"/>
      </w:pPr>
      <w:r>
        <w:t xml:space="preserve">Nada de lo ocurrido ha sido casual (hechos de la naturaleza), el desempleo no es un daño colateral (efecto no deseado) y los jóvenes no han sido “vaciados” de todo pensamiento accidentalmente (cadena de errores). Es una estrategia de ingeniería social, a largo plazo, para crear ejércitos de consumidores “anestesiados” que no vean, no escuchen y no hablen… sólo consuman (cadena de favores). Generar una juventud idiota feliz… (NINJA: no income, no job, no assets). Y lo están logrando.  </w:t>
      </w:r>
    </w:p>
    <w:p w:rsidR="00F77509" w:rsidRDefault="00F77509" w:rsidP="00550638">
      <w:pPr>
        <w:pStyle w:val="NormalWeb"/>
        <w:shd w:val="clear" w:color="auto" w:fill="FFFFFF"/>
        <w:jc w:val="both"/>
      </w:pPr>
      <w:r>
        <w:t>Entre la melancolía de la izquierda y el cinismo de la derecha los líderes políticos están expropiando los años venideros. Son los enemigos del futuro.</w:t>
      </w:r>
    </w:p>
    <w:p w:rsidR="00F77509" w:rsidRDefault="00F77509" w:rsidP="00550638">
      <w:pPr>
        <w:pStyle w:val="NormalWeb"/>
        <w:shd w:val="clear" w:color="auto" w:fill="FFFFFF"/>
        <w:jc w:val="both"/>
      </w:pPr>
      <w:r>
        <w:t xml:space="preserve">En vuestras manos, jóvenes amigos, está no permitirlo. Primero, tomando conciencia (para lo que hay que estudiar), segundo, llevando a la calle el reclamo social (para lo que hay que pasar a la acción) y finalmente, de ser necesario, levantando nuevamente las guillotinas (para lo que hay que tener hambre y sed de justicia). No se dejen arrear como sus padres (me incluyo). Al menos, expresen la bronca de saber que les roban un futuro que no han pedido… </w:t>
      </w:r>
    </w:p>
    <w:p w:rsidR="00F77509" w:rsidRDefault="00F77509" w:rsidP="00550638">
      <w:pPr>
        <w:pStyle w:val="NormalWeb"/>
        <w:shd w:val="clear" w:color="auto" w:fill="FFFFFF"/>
        <w:jc w:val="both"/>
      </w:pPr>
      <w:r>
        <w:t xml:space="preserve">Para que no se les olvide, o por si los “borradores de cabeza” vuelven a intentarlo, les dejo algunos de los artículos publicados sobre el “segundo aniversario de la crisis”. Nos encontramos en la historia… </w:t>
      </w:r>
    </w:p>
    <w:p w:rsidR="00F77509" w:rsidRDefault="00F77509" w:rsidP="00550638">
      <w:pPr>
        <w:pStyle w:val="NormalWeb"/>
        <w:shd w:val="clear" w:color="auto" w:fill="FFFFFF"/>
        <w:jc w:val="both"/>
      </w:pPr>
      <w:r>
        <w:t xml:space="preserve">También les adjunto los primeros análisis que anticipan “el fin de la recesión”, producidos -muchos de ellos- por los “socios del silencio” (presuntos implicados), que les sugiero tomar con mucha cautela. Cuidado con los cantos de sirena. Puede que hayamos tocado fondo, pero podemos arrastrarnos por el fondo durante bastante tiempo. </w:t>
      </w:r>
      <w:r>
        <w:lastRenderedPageBreak/>
        <w:t>Hay crisis para rato, y para los trabajadores, para más rato. Recomiendo continuar velando las armas. El tiempo dará o quitará razones. Nos encontramos en la historia…</w:t>
      </w:r>
    </w:p>
    <w:p w:rsidR="00F77509" w:rsidRDefault="00F77509" w:rsidP="00550638">
      <w:pPr>
        <w:pStyle w:val="NormalWeb"/>
        <w:shd w:val="clear" w:color="auto" w:fill="FFFFFF"/>
        <w:jc w:val="both"/>
      </w:pPr>
      <w:r>
        <w:t>Estimados jóvenes amigos, no les pido un juramento contra la codicia (que también), sino que con vuestra actitud (no consumista, no crédito dependiente, de recuperación de la ideología, de reclamación social permanente…) le cierren los espacios operativos (las fuentes de ambición) a los codiciosos. Si por lo menos no pueden dejar de ser “los de abajo”, que no sigan siendo “los de afuera”. Nos encontramos en la historia…</w:t>
      </w:r>
    </w:p>
    <w:p w:rsidR="00F77509" w:rsidRPr="009E7753" w:rsidRDefault="00F77509" w:rsidP="00550638">
      <w:pPr>
        <w:pStyle w:val="NormalWeb"/>
        <w:shd w:val="clear" w:color="auto" w:fill="FFFFFF"/>
        <w:jc w:val="both"/>
      </w:pPr>
      <w:r w:rsidRPr="009E7753">
        <w:t>“Había seres humanos y cerdos pero cuando volvió la mirada no sabía diferenciar entre unos y otros”, escribió George Orwell en “</w:t>
      </w:r>
      <w:r w:rsidRPr="00787787">
        <w:rPr>
          <w:i/>
        </w:rPr>
        <w:t>Rebelión en la granja</w:t>
      </w:r>
      <w:r w:rsidRPr="009E7753">
        <w:t xml:space="preserve">”. </w:t>
      </w:r>
    </w:p>
    <w:p w:rsidR="00F77509" w:rsidRDefault="00F77509" w:rsidP="00550638">
      <w:pPr>
        <w:pStyle w:val="NormalWeb"/>
        <w:shd w:val="clear" w:color="auto" w:fill="FFFFFF"/>
        <w:jc w:val="both"/>
        <w:rPr>
          <w:b/>
        </w:rPr>
      </w:pPr>
      <w:r>
        <w:rPr>
          <w:b/>
        </w:rPr>
        <w:t xml:space="preserve">Este largo recorrido por </w:t>
      </w:r>
      <w:r w:rsidR="000A06CD">
        <w:rPr>
          <w:b/>
        </w:rPr>
        <w:t xml:space="preserve">mis antiguos </w:t>
      </w:r>
      <w:r w:rsidR="008560AA">
        <w:rPr>
          <w:b/>
        </w:rPr>
        <w:t>escritos, no ha sido un bucle melancólico</w:t>
      </w:r>
      <w:r w:rsidR="000A06CD">
        <w:rPr>
          <w:b/>
        </w:rPr>
        <w:t>, tampoco</w:t>
      </w:r>
      <w:r w:rsidR="00CC4320">
        <w:rPr>
          <w:b/>
        </w:rPr>
        <w:t xml:space="preserve"> una conversación sobre</w:t>
      </w:r>
      <w:r w:rsidR="000A06CD">
        <w:rPr>
          <w:b/>
        </w:rPr>
        <w:t xml:space="preserve"> viejas y queridas causas perdidas o la amargura de la victoria</w:t>
      </w:r>
      <w:r w:rsidR="009E7753">
        <w:rPr>
          <w:b/>
        </w:rPr>
        <w:t>, aunque, tal vez,</w:t>
      </w:r>
      <w:r w:rsidR="008560AA">
        <w:rPr>
          <w:b/>
        </w:rPr>
        <w:t xml:space="preserve"> tenga la</w:t>
      </w:r>
      <w:r w:rsidR="009E7753">
        <w:rPr>
          <w:b/>
        </w:rPr>
        <w:t xml:space="preserve"> intención de </w:t>
      </w:r>
      <w:r w:rsidR="000A06CD">
        <w:rPr>
          <w:b/>
        </w:rPr>
        <w:t xml:space="preserve"> res</w:t>
      </w:r>
      <w:r w:rsidR="009E7753">
        <w:rPr>
          <w:b/>
        </w:rPr>
        <w:t xml:space="preserve">altar ciertas </w:t>
      </w:r>
      <w:r w:rsidR="000A06CD">
        <w:rPr>
          <w:b/>
        </w:rPr>
        <w:t>dramaturgias y evitar</w:t>
      </w:r>
      <w:r w:rsidR="009E7753">
        <w:rPr>
          <w:b/>
        </w:rPr>
        <w:t xml:space="preserve"> algunos</w:t>
      </w:r>
      <w:r w:rsidR="000A06CD">
        <w:rPr>
          <w:b/>
        </w:rPr>
        <w:t xml:space="preserve"> olvidos</w:t>
      </w:r>
      <w:r w:rsidR="009E7753">
        <w:rPr>
          <w:b/>
        </w:rPr>
        <w:t>.</w:t>
      </w:r>
    </w:p>
    <w:p w:rsidR="009E7753" w:rsidRDefault="009E7753" w:rsidP="00550638">
      <w:pPr>
        <w:pStyle w:val="NormalWeb"/>
        <w:shd w:val="clear" w:color="auto" w:fill="FFFFFF"/>
        <w:jc w:val="both"/>
        <w:rPr>
          <w:b/>
        </w:rPr>
      </w:pPr>
      <w:r>
        <w:rPr>
          <w:b/>
        </w:rPr>
        <w:t>Como antes, me siguen sacando de las casillas la injusticia, la estupidez, la mentira, la mediocridad moral intelectual, la traición, la corrupción, la hipocresía y la cobardía.</w:t>
      </w:r>
    </w:p>
    <w:p w:rsidR="00CC4320" w:rsidRDefault="00CC4320" w:rsidP="00550638">
      <w:pPr>
        <w:pStyle w:val="NormalWeb"/>
        <w:shd w:val="clear" w:color="auto" w:fill="FFFFFF"/>
        <w:jc w:val="both"/>
        <w:rPr>
          <w:b/>
        </w:rPr>
      </w:pPr>
      <w:r>
        <w:rPr>
          <w:b/>
        </w:rPr>
        <w:t>Como antes, me siguen enardeciendo unos líderes que castigan, que no abrazan ni comprenden. Que son unos integristas del predominio de la aristocracia del poder, de la liturgia amurallada del dinero y de la intransigencia dogmática del mercado.</w:t>
      </w:r>
    </w:p>
    <w:p w:rsidR="00CC4320" w:rsidRDefault="00CC4320" w:rsidP="00550638">
      <w:pPr>
        <w:pStyle w:val="NormalWeb"/>
        <w:shd w:val="clear" w:color="auto" w:fill="FFFFFF"/>
        <w:jc w:val="both"/>
        <w:rPr>
          <w:b/>
        </w:rPr>
      </w:pPr>
      <w:r>
        <w:rPr>
          <w:b/>
        </w:rPr>
        <w:t>Como antes, me sigue resultando difícil no perder la confianza en las “instituciones” en un mundo donde los que trabajan ven menguados sus salarios mientras los más pudientes aumentan obscenamente sus beneficios, en unos países asolados por una crisis cuyos responsables quedan impunes mientras sus víctimas no reciben justicia, donde la tarea bien hecha</w:t>
      </w:r>
      <w:r w:rsidR="00FD5C93">
        <w:rPr>
          <w:b/>
        </w:rPr>
        <w:t xml:space="preserve"> tantas veces cuenta menos que la trampa o la conexión clientelar.</w:t>
      </w:r>
      <w:r>
        <w:rPr>
          <w:b/>
        </w:rPr>
        <w:t xml:space="preserve"> </w:t>
      </w:r>
    </w:p>
    <w:p w:rsidR="00FD5C93" w:rsidRDefault="00FD5C93" w:rsidP="00550638">
      <w:pPr>
        <w:pStyle w:val="NormalWeb"/>
        <w:shd w:val="clear" w:color="auto" w:fill="FFFFFF"/>
        <w:jc w:val="both"/>
        <w:rPr>
          <w:b/>
        </w:rPr>
      </w:pPr>
      <w:r>
        <w:rPr>
          <w:b/>
        </w:rPr>
        <w:t>Como antes, me sigue alarmando la indecisión y la cobardía política de unos gobernantes mediocres que</w:t>
      </w:r>
      <w:r w:rsidR="00EF0AB9">
        <w:rPr>
          <w:b/>
        </w:rPr>
        <w:t xml:space="preserve"> han perpetrado</w:t>
      </w:r>
      <w:r>
        <w:rPr>
          <w:b/>
        </w:rPr>
        <w:t xml:space="preserve"> la </w:t>
      </w:r>
      <w:r w:rsidR="00EF0AB9">
        <w:rPr>
          <w:b/>
        </w:rPr>
        <w:t>“</w:t>
      </w:r>
      <w:r>
        <w:rPr>
          <w:b/>
        </w:rPr>
        <w:t>dejación</w:t>
      </w:r>
      <w:r w:rsidR="00EF0AB9">
        <w:rPr>
          <w:b/>
        </w:rPr>
        <w:t>”</w:t>
      </w:r>
      <w:r>
        <w:rPr>
          <w:b/>
        </w:rPr>
        <w:t xml:space="preserve"> de E</w:t>
      </w:r>
      <w:r w:rsidR="00EF0AB9">
        <w:rPr>
          <w:b/>
        </w:rPr>
        <w:t>uropa. La globalización (internacionalización)</w:t>
      </w:r>
      <w:r>
        <w:rPr>
          <w:b/>
        </w:rPr>
        <w:t xml:space="preserve"> de los bancos y empresas ha llevado a la Unión Europea a una situación de baratura y proletarización “tercermundista”</w:t>
      </w:r>
      <w:r w:rsidR="00EF0AB9">
        <w:rPr>
          <w:b/>
        </w:rPr>
        <w:t xml:space="preserve">, </w:t>
      </w:r>
      <w:r>
        <w:rPr>
          <w:b/>
        </w:rPr>
        <w:t>por la enorme devaluación de sus activos y de las rentas de sus ciudadanos</w:t>
      </w:r>
      <w:r w:rsidR="00EF0AB9">
        <w:rPr>
          <w:b/>
        </w:rPr>
        <w:t>, que está totalmente fuera de lugar en una Europa tradicional (previsible).</w:t>
      </w:r>
    </w:p>
    <w:p w:rsidR="00EF0AB9" w:rsidRDefault="00EF0AB9" w:rsidP="00550638">
      <w:pPr>
        <w:pStyle w:val="NormalWeb"/>
        <w:shd w:val="clear" w:color="auto" w:fill="FFFFFF"/>
        <w:jc w:val="both"/>
        <w:rPr>
          <w:b/>
        </w:rPr>
      </w:pPr>
      <w:r>
        <w:rPr>
          <w:b/>
        </w:rPr>
        <w:t>C</w:t>
      </w:r>
      <w:r w:rsidR="0032475F">
        <w:rPr>
          <w:b/>
        </w:rPr>
        <w:t>omo antes, sigo echando en falta a ciertos “estadistas” que según Churchill, son la transformación de los políticos que se convierten en tales “cuando comienzan a pensar en las próximas generaciones y no en las próximas elecciones”.</w:t>
      </w:r>
    </w:p>
    <w:p w:rsidR="00E249E8" w:rsidRDefault="00E249E8" w:rsidP="00550638">
      <w:pPr>
        <w:pStyle w:val="NormalWeb"/>
        <w:shd w:val="clear" w:color="auto" w:fill="FFFFFF"/>
        <w:jc w:val="both"/>
        <w:rPr>
          <w:b/>
        </w:rPr>
      </w:pPr>
      <w:r>
        <w:rPr>
          <w:b/>
        </w:rPr>
        <w:t xml:space="preserve">Y </w:t>
      </w:r>
      <w:r w:rsidR="0032475F">
        <w:rPr>
          <w:b/>
        </w:rPr>
        <w:t>eso</w:t>
      </w:r>
      <w:r>
        <w:rPr>
          <w:b/>
        </w:rPr>
        <w:t xml:space="preserve"> es de lo que</w:t>
      </w:r>
      <w:r w:rsidR="0032475F">
        <w:rPr>
          <w:b/>
        </w:rPr>
        <w:t xml:space="preserve"> se trata (volviendo al tema de la educación), de “pensar en las próximas generaciones”… </w:t>
      </w:r>
    </w:p>
    <w:p w:rsidR="00E249E8" w:rsidRDefault="0032475F" w:rsidP="00550638">
      <w:pPr>
        <w:pStyle w:val="NormalWeb"/>
        <w:shd w:val="clear" w:color="auto" w:fill="FFFFFF"/>
        <w:jc w:val="both"/>
        <w:rPr>
          <w:b/>
        </w:rPr>
      </w:pPr>
      <w:r>
        <w:rPr>
          <w:b/>
        </w:rPr>
        <w:t>En medio de una crisis que está dejando a Europa a un precio de saldo en lo político, en lo social, en lo económico y, ahora también, en lo ético y moral ¿</w:t>
      </w:r>
      <w:r w:rsidR="00775C80">
        <w:rPr>
          <w:b/>
        </w:rPr>
        <w:t>hay alguien lo esté</w:t>
      </w:r>
      <w:r>
        <w:rPr>
          <w:b/>
        </w:rPr>
        <w:t xml:space="preserve"> haciendo? </w:t>
      </w:r>
      <w:r w:rsidR="00E249E8">
        <w:rPr>
          <w:b/>
        </w:rPr>
        <w:t>¿h</w:t>
      </w:r>
      <w:r w:rsidR="00775C80">
        <w:rPr>
          <w:b/>
        </w:rPr>
        <w:t>ay alguien que esté</w:t>
      </w:r>
      <w:r>
        <w:rPr>
          <w:b/>
        </w:rPr>
        <w:t xml:space="preserve"> pensando más allá de su bolsillo?</w:t>
      </w:r>
      <w:r w:rsidR="00E249E8">
        <w:rPr>
          <w:b/>
        </w:rPr>
        <w:t xml:space="preserve"> Algo que ni saben, ni pueden, ni quieren abordar. El des-valor de los valores.</w:t>
      </w:r>
    </w:p>
    <w:p w:rsidR="00775C80" w:rsidRDefault="00775C80" w:rsidP="00550638">
      <w:pPr>
        <w:pStyle w:val="NormalWeb"/>
        <w:shd w:val="clear" w:color="auto" w:fill="FFFFFF"/>
        <w:jc w:val="both"/>
        <w:rPr>
          <w:b/>
        </w:rPr>
      </w:pPr>
      <w:r>
        <w:rPr>
          <w:b/>
        </w:rPr>
        <w:lastRenderedPageBreak/>
        <w:t xml:space="preserve">La educación en algunos países europeos (tal vez, demasiados) está sufriendo una “colisión” contra sí misma. En muchos casos (tal vez, demasiados) no se está haciendo una evaluación “seria”, del costo y la eficiencia del sistema público de educación. La extrema ideologización lleva a algunos gobiernos (tal vez, demasiados) a obviar las evaluaciones </w:t>
      </w:r>
      <w:r w:rsidR="008560AA">
        <w:rPr>
          <w:b/>
        </w:rPr>
        <w:t xml:space="preserve">de calidad / precio. </w:t>
      </w:r>
    </w:p>
    <w:p w:rsidR="00775C80" w:rsidRDefault="00775C80" w:rsidP="00550638">
      <w:pPr>
        <w:pStyle w:val="NormalWeb"/>
        <w:shd w:val="clear" w:color="auto" w:fill="FFFFFF"/>
        <w:jc w:val="both"/>
        <w:rPr>
          <w:b/>
        </w:rPr>
      </w:pPr>
      <w:r>
        <w:rPr>
          <w:b/>
        </w:rPr>
        <w:t>Igualdad de oportunidades no quiere decir “igualar haca abajo”.  Masif</w:t>
      </w:r>
      <w:r w:rsidR="008560AA">
        <w:rPr>
          <w:b/>
        </w:rPr>
        <w:t>icación estudiantil, relajamiento</w:t>
      </w:r>
      <w:r w:rsidR="006A3CBB">
        <w:rPr>
          <w:b/>
        </w:rPr>
        <w:t xml:space="preserve"> del nivel de exigencia y endogamia académica, no son garantía de talento, sino pruebas de vulgaridad y analfabetismo funcional.</w:t>
      </w:r>
      <w:r>
        <w:rPr>
          <w:b/>
        </w:rPr>
        <w:t xml:space="preserve"> </w:t>
      </w:r>
    </w:p>
    <w:p w:rsidR="006A3CBB" w:rsidRDefault="006A3CBB" w:rsidP="00550638">
      <w:pPr>
        <w:pStyle w:val="NormalWeb"/>
        <w:shd w:val="clear" w:color="auto" w:fill="FFFFFF"/>
        <w:jc w:val="both"/>
        <w:rPr>
          <w:b/>
        </w:rPr>
      </w:pPr>
      <w:r>
        <w:rPr>
          <w:b/>
        </w:rPr>
        <w:t>Las falacias argumentales de la izquierda, que en muchos países (tal vez, demasiados) mantiene un título de propiedad a perpetuidad sobre los asuntos de la formación, han conseguido un sistema educativo insufriblemente lento y caprichoso, sincrético y manipulable al tiempo</w:t>
      </w:r>
      <w:r w:rsidR="006E7F61">
        <w:rPr>
          <w:b/>
        </w:rPr>
        <w:t>, a lo que se añade la existencia de una elite académica (altamente ideologizada, sectaria</w:t>
      </w:r>
      <w:r w:rsidR="0083351D">
        <w:rPr>
          <w:b/>
        </w:rPr>
        <w:t xml:space="preserve"> y</w:t>
      </w:r>
      <w:r w:rsidR="008560AA">
        <w:rPr>
          <w:b/>
        </w:rPr>
        <w:t xml:space="preserve"> corporativista</w:t>
      </w:r>
      <w:r w:rsidR="006E7F61">
        <w:rPr>
          <w:b/>
        </w:rPr>
        <w:t>) con una gran capacidad para moldearlo a su gusto.</w:t>
      </w:r>
      <w:r>
        <w:rPr>
          <w:b/>
        </w:rPr>
        <w:t xml:space="preserve"> </w:t>
      </w:r>
    </w:p>
    <w:p w:rsidR="006E7F61" w:rsidRDefault="006E7F61" w:rsidP="00550638">
      <w:pPr>
        <w:pStyle w:val="NormalWeb"/>
        <w:shd w:val="clear" w:color="auto" w:fill="FFFFFF"/>
        <w:jc w:val="both"/>
        <w:rPr>
          <w:b/>
        </w:rPr>
      </w:pPr>
      <w:r>
        <w:rPr>
          <w:b/>
        </w:rPr>
        <w:t>Educación a la carta, endogamia docente, meter la mano en programas, circuitos formativos, salir (seguir) siempre a flote, dando además, lecciones morales. Final del experimento: una educación raquítica. Una</w:t>
      </w:r>
      <w:r w:rsidR="0083351D">
        <w:rPr>
          <w:b/>
        </w:rPr>
        <w:t xml:space="preserve"> educación provinciana, dogmática</w:t>
      </w:r>
      <w:r>
        <w:rPr>
          <w:b/>
        </w:rPr>
        <w:t>, masificada, incompetente (en todos los sentidos), difusa, confusa, poco efectiva, postrada, ineficiente y servil.</w:t>
      </w:r>
    </w:p>
    <w:p w:rsidR="006E7F61" w:rsidRDefault="006E7F61" w:rsidP="00550638">
      <w:pPr>
        <w:pStyle w:val="NormalWeb"/>
        <w:shd w:val="clear" w:color="auto" w:fill="FFFFFF"/>
        <w:jc w:val="both"/>
        <w:rPr>
          <w:b/>
        </w:rPr>
      </w:pPr>
      <w:r>
        <w:rPr>
          <w:b/>
        </w:rPr>
        <w:t>Ante tamaño fracaso del sistema público de educación en muchos países europeos (tal vez, demasiados)</w:t>
      </w:r>
      <w:r w:rsidR="00656B32">
        <w:rPr>
          <w:b/>
        </w:rPr>
        <w:t xml:space="preserve">, como </w:t>
      </w:r>
      <w:r w:rsidR="005B1F82">
        <w:rPr>
          <w:b/>
        </w:rPr>
        <w:t>puede constatar</w:t>
      </w:r>
      <w:r w:rsidR="00656B32">
        <w:rPr>
          <w:b/>
        </w:rPr>
        <w:t>se</w:t>
      </w:r>
      <w:r w:rsidR="005B1F82">
        <w:rPr>
          <w:b/>
        </w:rPr>
        <w:t xml:space="preserve"> en los pobres resultados de </w:t>
      </w:r>
      <w:r w:rsidR="00656B32">
        <w:rPr>
          <w:b/>
        </w:rPr>
        <w:t xml:space="preserve">los </w:t>
      </w:r>
      <w:r w:rsidR="005B1F82">
        <w:rPr>
          <w:b/>
        </w:rPr>
        <w:t>informes PISA, ¿q</w:t>
      </w:r>
      <w:r w:rsidR="0083351D">
        <w:rPr>
          <w:b/>
        </w:rPr>
        <w:t xml:space="preserve">uiere </w:t>
      </w:r>
      <w:r>
        <w:rPr>
          <w:b/>
        </w:rPr>
        <w:t>esto</w:t>
      </w:r>
      <w:r w:rsidR="0083351D">
        <w:rPr>
          <w:b/>
        </w:rPr>
        <w:t xml:space="preserve"> decir</w:t>
      </w:r>
      <w:r>
        <w:rPr>
          <w:b/>
        </w:rPr>
        <w:t xml:space="preserve"> que debe “privatizarse” la educación?</w:t>
      </w:r>
    </w:p>
    <w:p w:rsidR="005B1F82" w:rsidRDefault="00656B32" w:rsidP="00550638">
      <w:pPr>
        <w:pStyle w:val="NormalWeb"/>
        <w:shd w:val="clear" w:color="auto" w:fill="FFFFFF"/>
        <w:jc w:val="both"/>
        <w:rPr>
          <w:b/>
        </w:rPr>
      </w:pPr>
      <w:r w:rsidRPr="00656B32">
        <w:rPr>
          <w:b/>
        </w:rPr>
        <w:t>La experiencia</w:t>
      </w:r>
      <w:r>
        <w:rPr>
          <w:b/>
        </w:rPr>
        <w:t xml:space="preserve"> de los Estados Unidos, con una educación pública de pésima calidad y una educación privada de excelencia, pero solo para los miembros de las familias ricas, representantes deportivos de elite, o alumnos que se endeudan por largo plazo para pagar las tasas y matrículas, no parecería un objetivo democrático y de igualdad de oportunidades.</w:t>
      </w:r>
      <w:r w:rsidR="00783982">
        <w:rPr>
          <w:b/>
        </w:rPr>
        <w:t xml:space="preserve"> Resultado: una educación magnífica para los ricos y muy deficiente para el resto de la sociedad.</w:t>
      </w:r>
    </w:p>
    <w:p w:rsidR="00656B32" w:rsidRDefault="00656B32" w:rsidP="00550638">
      <w:pPr>
        <w:pStyle w:val="NormalWeb"/>
        <w:shd w:val="clear" w:color="auto" w:fill="FFFFFF"/>
        <w:jc w:val="both"/>
        <w:rPr>
          <w:b/>
        </w:rPr>
      </w:pPr>
      <w:r>
        <w:rPr>
          <w:b/>
        </w:rPr>
        <w:t>La experiencia del Reino Unido, con una</w:t>
      </w:r>
      <w:r w:rsidR="00783982">
        <w:rPr>
          <w:b/>
        </w:rPr>
        <w:t xml:space="preserve"> educación pública de bajo </w:t>
      </w:r>
      <w:r>
        <w:rPr>
          <w:b/>
        </w:rPr>
        <w:t>nivel y una educación privada (a veces</w:t>
      </w:r>
      <w:r w:rsidR="00783982">
        <w:rPr>
          <w:b/>
        </w:rPr>
        <w:t>,</w:t>
      </w:r>
      <w:r>
        <w:rPr>
          <w:b/>
        </w:rPr>
        <w:t xml:space="preserve"> de alta calidad y otras</w:t>
      </w:r>
      <w:r w:rsidR="00783982">
        <w:rPr>
          <w:b/>
        </w:rPr>
        <w:t>, no tanto) en la</w:t>
      </w:r>
      <w:r>
        <w:rPr>
          <w:b/>
        </w:rPr>
        <w:t xml:space="preserve"> que el gobierno conservador (David Cameron) </w:t>
      </w:r>
      <w:r w:rsidR="00783982">
        <w:rPr>
          <w:b/>
        </w:rPr>
        <w:t>ha puesto</w:t>
      </w:r>
      <w:r>
        <w:rPr>
          <w:b/>
        </w:rPr>
        <w:t xml:space="preserve"> </w:t>
      </w:r>
      <w:r w:rsidR="00783982">
        <w:rPr>
          <w:b/>
        </w:rPr>
        <w:t>las tasas y matrículas</w:t>
      </w:r>
      <w:r>
        <w:rPr>
          <w:b/>
        </w:rPr>
        <w:t xml:space="preserve"> a niveles</w:t>
      </w:r>
      <w:r w:rsidR="00783982">
        <w:rPr>
          <w:b/>
        </w:rPr>
        <w:t xml:space="preserve"> casi prohibitivos, poniendo en serias dificultades de continuidad, incluso, a ciertos alumnos que están próximos a la finalización de la carrera.</w:t>
      </w:r>
      <w:r>
        <w:rPr>
          <w:b/>
        </w:rPr>
        <w:t xml:space="preserve"> </w:t>
      </w:r>
      <w:r w:rsidR="00783982">
        <w:rPr>
          <w:b/>
        </w:rPr>
        <w:t>Resultado: una educación de excelencia para el que se la puede pagar y más allá…</w:t>
      </w:r>
      <w:r w:rsidR="00092DFA">
        <w:rPr>
          <w:b/>
        </w:rPr>
        <w:t xml:space="preserve"> la desigualdad</w:t>
      </w:r>
      <w:r w:rsidR="00783982">
        <w:rPr>
          <w:b/>
        </w:rPr>
        <w:t>.</w:t>
      </w:r>
    </w:p>
    <w:p w:rsidR="00092DFA" w:rsidRPr="003F5C0C" w:rsidRDefault="00092DFA" w:rsidP="00550638">
      <w:pPr>
        <w:pStyle w:val="NormalWeb"/>
        <w:shd w:val="clear" w:color="auto" w:fill="FFFFFF"/>
        <w:jc w:val="both"/>
        <w:rPr>
          <w:i/>
        </w:rPr>
      </w:pPr>
      <w:r w:rsidRPr="003F5C0C">
        <w:rPr>
          <w:i/>
        </w:rPr>
        <w:t xml:space="preserve">“El capitalismo como sistema económico-social genera desigualdad en sí mismo, siendo el Estado el responsable de redistribuir la riqueza y compensar las desigualdades a través del denominado Estado del Bienestar, esencialmente en su intervención en la educación y la sanidad. Ha sido la escuela pública la que en la segunda mitad del siglo XX ha tratado de universalizar la educación posibilitando que todos tengan las mismas posibilidades de acceder a la educación en todos sus niveles, posibilitando la igualdad de oportunidades y compensando las desigualdades producidas por el sistema capitalista. Un niño podía cursar toda la escolaridad desde </w:t>
      </w:r>
      <w:r w:rsidRPr="003F5C0C">
        <w:rPr>
          <w:i/>
        </w:rPr>
        <w:lastRenderedPageBreak/>
        <w:t>los 3 años hasta finalizar la Universidad de forma gratuita y con ayudas cuando lo necesitaba por el sistema de becas.</w:t>
      </w:r>
    </w:p>
    <w:p w:rsidR="00092DFA" w:rsidRPr="003F5C0C" w:rsidRDefault="00092DFA" w:rsidP="00550638">
      <w:pPr>
        <w:pStyle w:val="NormalWeb"/>
        <w:shd w:val="clear" w:color="auto" w:fill="FFFFFF"/>
        <w:jc w:val="both"/>
        <w:rPr>
          <w:i/>
        </w:rPr>
      </w:pPr>
      <w:r w:rsidRPr="003F5C0C">
        <w:rPr>
          <w:i/>
        </w:rPr>
        <w:t>Con los recortes actuales en educación se va a producir más desigualdad, ya que la desigualdad que produce el capitalismo no va a contar con el elemento compensador, en este caso la escuela pública. La privatización de la escuela pública va a significar un elemento más de potenciación de la desigualdad en nuestra sociedad. Podemos volver a los años 60, en donde de cada 100 alumnos que comenzaban la primaria solamente el 3 llegaban a la universidad, lógicamente, de familias pudientes.</w:t>
      </w:r>
    </w:p>
    <w:p w:rsidR="00092DFA" w:rsidRPr="003F5C0C" w:rsidRDefault="00092DFA" w:rsidP="00550638">
      <w:pPr>
        <w:pStyle w:val="NormalWeb"/>
        <w:shd w:val="clear" w:color="auto" w:fill="FFFFFF"/>
        <w:jc w:val="both"/>
        <w:rPr>
          <w:i/>
        </w:rPr>
      </w:pPr>
      <w:r w:rsidRPr="003F5C0C">
        <w:rPr>
          <w:i/>
        </w:rPr>
        <w:t>Es necesario, por lo tanto, comprender los procesos de privatización de la educación pública que se van desarrollando con el fin de hacerlos visibles y proponer alternativas viables, ya que algunos de ellos se ven como algo natural y necesarios, y otros ni se perciben ya que están encubiertos en medidas perversas.</w:t>
      </w:r>
    </w:p>
    <w:p w:rsidR="00092DFA" w:rsidRPr="003F5C0C" w:rsidRDefault="00092DFA" w:rsidP="00550638">
      <w:pPr>
        <w:pStyle w:val="NormalWeb"/>
        <w:shd w:val="clear" w:color="auto" w:fill="FFFFFF"/>
        <w:jc w:val="both"/>
        <w:rPr>
          <w:i/>
        </w:rPr>
      </w:pPr>
      <w:r w:rsidRPr="003F5C0C">
        <w:rPr>
          <w:i/>
        </w:rPr>
        <w:t>La educación como mecanismo de cohesión social en una sociedad en libertad, tolerante y cohesionada, se ha llevado a cabo esencialmente a través de la escuela pública, que ha actuado como referente clave de una sociedad democrática, en donde la integración, la tolerancia y la equidad constituyen logros conseguidos en la escala de valores asumidos por la sociedad.</w:t>
      </w:r>
    </w:p>
    <w:p w:rsidR="00092DFA" w:rsidRDefault="00092DFA" w:rsidP="00550638">
      <w:pPr>
        <w:pStyle w:val="NormalWeb"/>
        <w:shd w:val="clear" w:color="auto" w:fill="FFFFFF"/>
        <w:jc w:val="both"/>
      </w:pPr>
      <w:r w:rsidRPr="003F5C0C">
        <w:rPr>
          <w:i/>
        </w:rPr>
        <w:t>Como nos dicen Ball y Youdell (2007, p.14), “las tendencias de privatización son fundamentales en el cambio que se está produciendo de considerar a la educación como un bien público que sirve a toda la sociedad, a pasar a considerarla como un bien privado que sirve a los intereses de las personas con mayor grado de educación, de los empresarios y de la economía”. Privatizar significa ceder parcelas de poder y responsabilidad a entes privados, que per se deben buscar un beneficio económico, lo que conlleva el desarrollar valores y referencias que en una escuela pública serían cuestionables y, desde luego, innecesarias”..</w:t>
      </w:r>
      <w:r>
        <w:t>.</w:t>
      </w:r>
      <w:r w:rsidR="00725777">
        <w:t xml:space="preserve"> (La privatización de la educación pública, un camino encubierto hacia la desigualdad, por  José</w:t>
      </w:r>
      <w:r>
        <w:t xml:space="preserve"> Luís Ber</w:t>
      </w:r>
      <w:r w:rsidR="00725777">
        <w:t xml:space="preserve">nal Agudo y Juan Lorenzo Lacruz, </w:t>
      </w:r>
      <w:r>
        <w:t>Universidad de Zaragoza</w:t>
      </w:r>
      <w:r w:rsidR="00725777">
        <w:t>, Revista Profesorado, Sept. - Dic. 2012)</w:t>
      </w:r>
    </w:p>
    <w:p w:rsidR="00725777" w:rsidRDefault="00725777" w:rsidP="00550638">
      <w:pPr>
        <w:pStyle w:val="NormalWeb"/>
        <w:shd w:val="clear" w:color="auto" w:fill="FFFFFF"/>
        <w:jc w:val="both"/>
        <w:rPr>
          <w:b/>
        </w:rPr>
      </w:pPr>
      <w:r>
        <w:rPr>
          <w:b/>
        </w:rPr>
        <w:t>Que quiere</w:t>
      </w:r>
      <w:r w:rsidR="00416DE4">
        <w:rPr>
          <w:b/>
        </w:rPr>
        <w:t>n que les diga, como graduado</w:t>
      </w:r>
      <w:r>
        <w:rPr>
          <w:b/>
        </w:rPr>
        <w:t xml:space="preserve"> universitario que ha realizado toda su carrera (jardín de infantes, escuela primaria, escuela secundaria, y facultad) en el sistema público de educación, la anterior “argumentación” (citada) me suena demasiado dogmática, corporativis</w:t>
      </w:r>
      <w:r w:rsidR="007B7A27">
        <w:rPr>
          <w:b/>
        </w:rPr>
        <w:t>ta e ideologizada</w:t>
      </w:r>
      <w:r>
        <w:rPr>
          <w:b/>
        </w:rPr>
        <w:t xml:space="preserve"> (sectaria). Creo que te</w:t>
      </w:r>
      <w:r w:rsidR="007B7A27">
        <w:rPr>
          <w:b/>
        </w:rPr>
        <w:t>rmina defendiendo y respaldando</w:t>
      </w:r>
      <w:r>
        <w:rPr>
          <w:b/>
        </w:rPr>
        <w:t xml:space="preserve"> al docente</w:t>
      </w:r>
      <w:r w:rsidR="007B7A27">
        <w:rPr>
          <w:b/>
        </w:rPr>
        <w:t xml:space="preserve"> del sistema público, y en el nombre sacrosanto de la “igualdad” (gran mantra utilizado para arrear la manada), todo lo justifican y toleran, interesándose poco por el alumno y el resultado académico. </w:t>
      </w:r>
    </w:p>
    <w:p w:rsidR="007B7A27" w:rsidRDefault="007B7A27" w:rsidP="00550638">
      <w:pPr>
        <w:pStyle w:val="NormalWeb"/>
        <w:shd w:val="clear" w:color="auto" w:fill="FFFFFF"/>
        <w:jc w:val="both"/>
        <w:rPr>
          <w:b/>
        </w:rPr>
      </w:pPr>
      <w:r>
        <w:rPr>
          <w:b/>
        </w:rPr>
        <w:t>Pareciera que</w:t>
      </w:r>
      <w:r w:rsidR="008A3FB5">
        <w:rPr>
          <w:b/>
        </w:rPr>
        <w:t xml:space="preserve"> lo único que les importa, a ciertos</w:t>
      </w:r>
      <w:r>
        <w:rPr>
          <w:b/>
        </w:rPr>
        <w:t xml:space="preserve"> talibanes d</w:t>
      </w:r>
      <w:r w:rsidR="008A3FB5">
        <w:rPr>
          <w:b/>
        </w:rPr>
        <w:t>el sistema público de educación,</w:t>
      </w:r>
      <w:r>
        <w:rPr>
          <w:b/>
        </w:rPr>
        <w:t xml:space="preserve"> es llenar las aulas de alumnos (la manada)</w:t>
      </w:r>
      <w:r w:rsidR="008A3FB5">
        <w:rPr>
          <w:b/>
        </w:rPr>
        <w:t>, para seguir manteniendo su puesto de trabajo (a perpetuidad), sus ventajas sindicales</w:t>
      </w:r>
      <w:r w:rsidR="008357A5">
        <w:rPr>
          <w:b/>
        </w:rPr>
        <w:t xml:space="preserve"> (sistema</w:t>
      </w:r>
      <w:r w:rsidR="008A3FB5">
        <w:rPr>
          <w:b/>
        </w:rPr>
        <w:t xml:space="preserve"> de promoción</w:t>
      </w:r>
      <w:r w:rsidR="008357A5">
        <w:rPr>
          <w:b/>
        </w:rPr>
        <w:t xml:space="preserve"> tasado</w:t>
      </w:r>
      <w:r w:rsidR="008A3FB5">
        <w:rPr>
          <w:b/>
        </w:rPr>
        <w:t>, jornada reducida, límite de alumnos por aula, largas vacaciones, bajas médicas prolongadas -muchas veces innecesarias-…</w:t>
      </w:r>
      <w:r w:rsidR="00730D11">
        <w:rPr>
          <w:b/>
        </w:rPr>
        <w:t>), sus canonjías y sinecuras.</w:t>
      </w:r>
    </w:p>
    <w:p w:rsidR="00D1255B" w:rsidRDefault="00730D11" w:rsidP="00550638">
      <w:pPr>
        <w:pStyle w:val="NormalWeb"/>
        <w:shd w:val="clear" w:color="auto" w:fill="FFFFFF"/>
        <w:jc w:val="both"/>
        <w:rPr>
          <w:b/>
        </w:rPr>
      </w:pPr>
      <w:r>
        <w:rPr>
          <w:b/>
        </w:rPr>
        <w:t>Si los alumnos aprenden o no, qué más da. ¿A quién le importa? ¿A las autoridades de educación, encerradas en su burbuja ideológica, indiferentes a las necesidades formativas del mercado de trabajo, preocupados por llevarse bien con el gremio docente, y evitar</w:t>
      </w:r>
      <w:r w:rsidR="008357A5">
        <w:rPr>
          <w:b/>
        </w:rPr>
        <w:t xml:space="preserve"> que</w:t>
      </w:r>
      <w:r w:rsidR="00416DE4">
        <w:rPr>
          <w:b/>
        </w:rPr>
        <w:t xml:space="preserve"> los estudiantes salgan a protestar a las calles</w:t>
      </w:r>
      <w:r>
        <w:rPr>
          <w:b/>
        </w:rPr>
        <w:t xml:space="preserve">? ¿A </w:t>
      </w:r>
      <w:r>
        <w:rPr>
          <w:b/>
        </w:rPr>
        <w:lastRenderedPageBreak/>
        <w:t>los padres, que muchas v</w:t>
      </w:r>
      <w:r w:rsidR="008357A5">
        <w:rPr>
          <w:b/>
        </w:rPr>
        <w:t>eces, no saben o no contestan, y que otras</w:t>
      </w:r>
      <w:r>
        <w:rPr>
          <w:b/>
        </w:rPr>
        <w:t>, lamentablemente,</w:t>
      </w:r>
      <w:r w:rsidR="008357A5">
        <w:rPr>
          <w:b/>
        </w:rPr>
        <w:t xml:space="preserve"> solo les importa que su hijo</w:t>
      </w:r>
      <w:r>
        <w:rPr>
          <w:b/>
        </w:rPr>
        <w:t xml:space="preserve"> esté en una “guardería” para</w:t>
      </w:r>
      <w:r w:rsidR="008357A5">
        <w:rPr>
          <w:b/>
        </w:rPr>
        <w:t xml:space="preserve"> jóvenes el mayor tiempo posible? ¿A los mismos estudiantes, casi siempre incapaces (por v</w:t>
      </w:r>
      <w:r w:rsidR="00D1255B">
        <w:rPr>
          <w:b/>
        </w:rPr>
        <w:t>oluntad propia y mérito ajeno</w:t>
      </w:r>
      <w:r w:rsidR="008357A5">
        <w:rPr>
          <w:b/>
        </w:rPr>
        <w:t>), de entender de qué se trata, exigir y exigirse, y que dilapidan su tiempo y</w:t>
      </w:r>
      <w:r w:rsidR="00416DE4">
        <w:rPr>
          <w:b/>
        </w:rPr>
        <w:t xml:space="preserve"> su</w:t>
      </w:r>
      <w:r w:rsidR="008357A5">
        <w:rPr>
          <w:b/>
        </w:rPr>
        <w:t xml:space="preserve"> vida, en largas jornadas de vacío, ignorancia, anestesi</w:t>
      </w:r>
      <w:r w:rsidR="00A92207">
        <w:rPr>
          <w:b/>
        </w:rPr>
        <w:t>a, sms, whatsap</w:t>
      </w:r>
      <w:r w:rsidR="008357A5">
        <w:rPr>
          <w:b/>
        </w:rPr>
        <w:t xml:space="preserve">p, </w:t>
      </w:r>
      <w:r w:rsidR="00D1255B">
        <w:rPr>
          <w:b/>
        </w:rPr>
        <w:t>o enredados en las redes sociales?</w:t>
      </w:r>
    </w:p>
    <w:p w:rsidR="00DC101D" w:rsidRDefault="00D1255B" w:rsidP="00550638">
      <w:pPr>
        <w:pStyle w:val="NormalWeb"/>
        <w:shd w:val="clear" w:color="auto" w:fill="FFFFFF"/>
        <w:jc w:val="both"/>
        <w:rPr>
          <w:b/>
        </w:rPr>
      </w:pPr>
      <w:r>
        <w:rPr>
          <w:b/>
        </w:rPr>
        <w:t>En vez de debatir sobre educación públi</w:t>
      </w:r>
      <w:r w:rsidR="00DC101D">
        <w:rPr>
          <w:b/>
        </w:rPr>
        <w:t>ca o privada, lo que podría resultar de</w:t>
      </w:r>
      <w:r>
        <w:rPr>
          <w:b/>
        </w:rPr>
        <w:t xml:space="preserve"> más utilidad sería buscar la excelencia, controlar el rendimiento, premiar el éx</w:t>
      </w:r>
      <w:r w:rsidR="00EB619A">
        <w:rPr>
          <w:b/>
        </w:rPr>
        <w:t>ito, castigar el fracaso, exigir</w:t>
      </w:r>
      <w:r>
        <w:rPr>
          <w:b/>
        </w:rPr>
        <w:t xml:space="preserve"> a los alumnos y a los docentes, dar libertad de cátedra, dejar que los institutos de enseñanza compitan entre sí</w:t>
      </w:r>
      <w:r w:rsidR="00DC101D">
        <w:rPr>
          <w:b/>
        </w:rPr>
        <w:t xml:space="preserve">, </w:t>
      </w:r>
      <w:r>
        <w:rPr>
          <w:b/>
        </w:rPr>
        <w:t>desregular</w:t>
      </w:r>
      <w:r w:rsidR="00DC101D">
        <w:rPr>
          <w:b/>
        </w:rPr>
        <w:t xml:space="preserve"> el sistema, dar posibilidad de elección abierta del instituto educativo… (podría seguir). </w:t>
      </w:r>
    </w:p>
    <w:p w:rsidR="006959AE" w:rsidRDefault="00DC101D" w:rsidP="00550638">
      <w:pPr>
        <w:pStyle w:val="NormalWeb"/>
        <w:shd w:val="clear" w:color="auto" w:fill="FFFFFF"/>
        <w:jc w:val="both"/>
        <w:rPr>
          <w:b/>
        </w:rPr>
      </w:pPr>
      <w:r>
        <w:rPr>
          <w:b/>
        </w:rPr>
        <w:t>Entonces re</w:t>
      </w:r>
      <w:r w:rsidR="006959AE">
        <w:rPr>
          <w:b/>
        </w:rPr>
        <w:t xml:space="preserve">cién, </w:t>
      </w:r>
      <w:r>
        <w:rPr>
          <w:b/>
        </w:rPr>
        <w:t>una vez puesto el sistema educativo a un nivel</w:t>
      </w:r>
      <w:r w:rsidR="006959AE">
        <w:rPr>
          <w:b/>
        </w:rPr>
        <w:t xml:space="preserve"> de calidad y exigencia serio y riguroso (con un sistema de premios y castigos práctico), libre de toda sospecha corporativista, se podría comenzar</w:t>
      </w:r>
      <w:r>
        <w:rPr>
          <w:b/>
        </w:rPr>
        <w:t xml:space="preserve"> a </w:t>
      </w:r>
      <w:r w:rsidR="006959AE">
        <w:rPr>
          <w:b/>
        </w:rPr>
        <w:t>re</w:t>
      </w:r>
      <w:r>
        <w:rPr>
          <w:b/>
        </w:rPr>
        <w:t>establecer la famosa</w:t>
      </w:r>
      <w:r w:rsidR="006959AE">
        <w:rPr>
          <w:b/>
        </w:rPr>
        <w:t xml:space="preserve"> </w:t>
      </w:r>
      <w:r>
        <w:rPr>
          <w:b/>
        </w:rPr>
        <w:t>“igualdad de oportunidades”</w:t>
      </w:r>
      <w:r w:rsidR="006959AE">
        <w:rPr>
          <w:b/>
        </w:rPr>
        <w:t xml:space="preserve"> (justa y necesaria), para posibilitar a los alumnos más capaces el acceso a la enseñanza con un sistema de becas, en función de sus posibilidades económicas (propias o familiares). </w:t>
      </w:r>
    </w:p>
    <w:p w:rsidR="00F10F7C" w:rsidRDefault="00F10F7C" w:rsidP="00550638">
      <w:pPr>
        <w:pStyle w:val="NormalWeb"/>
        <w:shd w:val="clear" w:color="auto" w:fill="FFFFFF"/>
        <w:jc w:val="both"/>
        <w:rPr>
          <w:b/>
        </w:rPr>
      </w:pPr>
      <w:r>
        <w:rPr>
          <w:b/>
        </w:rPr>
        <w:t>Sin hacer demagogia con la enseñanza, sin masificaciones inconducentes, sin sindicalización docente ni estudiantil, con un alto nivel de exigencia (en alumnos y profesores), con un ojo puesto en la formación académica (de excelencia) y</w:t>
      </w:r>
      <w:r w:rsidR="00B1605B">
        <w:rPr>
          <w:b/>
        </w:rPr>
        <w:t xml:space="preserve"> el</w:t>
      </w:r>
      <w:r>
        <w:rPr>
          <w:b/>
        </w:rPr>
        <w:t xml:space="preserve"> otro en las necesidades del m</w:t>
      </w:r>
      <w:r w:rsidR="00B1605B">
        <w:rPr>
          <w:b/>
        </w:rPr>
        <w:t>ercado (futuro laboral</w:t>
      </w:r>
      <w:r>
        <w:rPr>
          <w:b/>
        </w:rPr>
        <w:t>), y dando las debidas garantías a los más capaces (alumnos y profesores) que tendrán</w:t>
      </w:r>
      <w:r w:rsidR="00B1605B">
        <w:rPr>
          <w:b/>
        </w:rPr>
        <w:t xml:space="preserve"> una</w:t>
      </w:r>
      <w:r>
        <w:rPr>
          <w:b/>
        </w:rPr>
        <w:t xml:space="preserve"> plaza asegurada en la institución en función de sus calificaciones y rendimiento.</w:t>
      </w:r>
      <w:r w:rsidR="00DE2C6D">
        <w:rPr>
          <w:b/>
        </w:rPr>
        <w:t xml:space="preserve"> Simple</w:t>
      </w:r>
      <w:r w:rsidR="00A92207">
        <w:rPr>
          <w:b/>
        </w:rPr>
        <w:t xml:space="preserve"> meritocracia</w:t>
      </w:r>
      <w:r w:rsidR="00B1605B">
        <w:rPr>
          <w:b/>
        </w:rPr>
        <w:t>.</w:t>
      </w:r>
      <w:r>
        <w:rPr>
          <w:b/>
        </w:rPr>
        <w:t xml:space="preserve"> </w:t>
      </w:r>
    </w:p>
    <w:p w:rsidR="008357A5" w:rsidRDefault="00F10F7C" w:rsidP="00550638">
      <w:pPr>
        <w:pStyle w:val="NormalWeb"/>
        <w:shd w:val="clear" w:color="auto" w:fill="FFFFFF"/>
        <w:jc w:val="both"/>
      </w:pPr>
      <w:r>
        <w:rPr>
          <w:b/>
        </w:rPr>
        <w:t xml:space="preserve">¿Sería eso romper la cohesión social? ¿Sería eso generar desigualdad? ¿Sería eso atentar contra el Estado del Bienestar? ¿Sería eso romper la universalización de la educación? </w:t>
      </w:r>
      <w:r w:rsidR="006959AE">
        <w:rPr>
          <w:b/>
        </w:rPr>
        <w:t xml:space="preserve"> </w:t>
      </w:r>
      <w:r w:rsidR="003B65A3">
        <w:rPr>
          <w:b/>
        </w:rPr>
        <w:t xml:space="preserve">¿Sería eso eliminar </w:t>
      </w:r>
      <w:r w:rsidR="003B65A3" w:rsidRPr="003B65A3">
        <w:rPr>
          <w:b/>
        </w:rPr>
        <w:t>que todos tengan las mismas posibilidades de acceder a la educación en todos sus niveles?</w:t>
      </w:r>
      <w:r w:rsidR="003B65A3">
        <w:t xml:space="preserve"> </w:t>
      </w:r>
    </w:p>
    <w:p w:rsidR="00DF1358" w:rsidRDefault="003B65A3" w:rsidP="00550638">
      <w:pPr>
        <w:pStyle w:val="NormalWeb"/>
        <w:shd w:val="clear" w:color="auto" w:fill="FFFFFF"/>
        <w:jc w:val="both"/>
        <w:rPr>
          <w:b/>
        </w:rPr>
      </w:pPr>
      <w:r w:rsidRPr="00DF1358">
        <w:rPr>
          <w:b/>
        </w:rPr>
        <w:t>Señore</w:t>
      </w:r>
      <w:r w:rsidR="00B1605B">
        <w:rPr>
          <w:b/>
        </w:rPr>
        <w:t>s burócratas (en mi humilde opinión</w:t>
      </w:r>
      <w:r w:rsidRPr="00DF1358">
        <w:rPr>
          <w:b/>
        </w:rPr>
        <w:t>): lo que produce desigualdad (una vez resuelto un sistema de becas que garant</w:t>
      </w:r>
      <w:r w:rsidR="00DF1358">
        <w:rPr>
          <w:b/>
        </w:rPr>
        <w:t>ice</w:t>
      </w:r>
      <w:r w:rsidRPr="00DF1358">
        <w:rPr>
          <w:b/>
        </w:rPr>
        <w:t xml:space="preserve"> el acceso a los más capaces), no son las posibilidades económicas. Sino los malos programas de estudio</w:t>
      </w:r>
      <w:r w:rsidR="00DF1358" w:rsidRPr="00DF1358">
        <w:rPr>
          <w:b/>
        </w:rPr>
        <w:t xml:space="preserve"> (como queda demostrado en el ranking de</w:t>
      </w:r>
      <w:r w:rsidR="00DF1358">
        <w:rPr>
          <w:b/>
        </w:rPr>
        <w:t xml:space="preserve"> </w:t>
      </w:r>
      <w:r w:rsidR="00DF1358" w:rsidRPr="00DF1358">
        <w:rPr>
          <w:b/>
        </w:rPr>
        <w:t>universidades), los malos</w:t>
      </w:r>
      <w:r w:rsidRPr="00DF1358">
        <w:rPr>
          <w:b/>
        </w:rPr>
        <w:t xml:space="preserve"> profesores (como muchos de ustedes)</w:t>
      </w:r>
      <w:r w:rsidR="00DF1358" w:rsidRPr="00DF1358">
        <w:rPr>
          <w:b/>
        </w:rPr>
        <w:t xml:space="preserve"> y los pésimos alumnos (que van a la</w:t>
      </w:r>
      <w:r w:rsidR="00DF1358">
        <w:rPr>
          <w:b/>
        </w:rPr>
        <w:t xml:space="preserve"> universidad</w:t>
      </w:r>
      <w:r w:rsidR="00235488">
        <w:rPr>
          <w:b/>
        </w:rPr>
        <w:t xml:space="preserve"> a pasar el rato</w:t>
      </w:r>
      <w:r w:rsidR="00DF1358" w:rsidRPr="00DF1358">
        <w:rPr>
          <w:b/>
        </w:rPr>
        <w:t>, y para sacar un dip</w:t>
      </w:r>
      <w:r w:rsidR="00DF1358">
        <w:rPr>
          <w:b/>
        </w:rPr>
        <w:t>loma con el que sus padres adorn</w:t>
      </w:r>
      <w:r w:rsidR="00DF1358" w:rsidRPr="00DF1358">
        <w:rPr>
          <w:b/>
        </w:rPr>
        <w:t>en el saló</w:t>
      </w:r>
      <w:r w:rsidR="00DF1358">
        <w:rPr>
          <w:b/>
        </w:rPr>
        <w:t>n</w:t>
      </w:r>
      <w:r w:rsidR="00DF1358" w:rsidRPr="00DF1358">
        <w:rPr>
          <w:b/>
        </w:rPr>
        <w:t xml:space="preserve"> de su casa).</w:t>
      </w:r>
    </w:p>
    <w:p w:rsidR="00B1605B" w:rsidRDefault="00DF1358" w:rsidP="00550638">
      <w:pPr>
        <w:pStyle w:val="NormalWeb"/>
        <w:shd w:val="clear" w:color="auto" w:fill="FFFFFF"/>
        <w:jc w:val="both"/>
        <w:rPr>
          <w:b/>
        </w:rPr>
      </w:pPr>
      <w:r>
        <w:rPr>
          <w:b/>
        </w:rPr>
        <w:t>Un enorme desperdicio de recu</w:t>
      </w:r>
      <w:r w:rsidR="00B1605B">
        <w:rPr>
          <w:b/>
        </w:rPr>
        <w:t>rsos públicos, una estafa social</w:t>
      </w:r>
      <w:r>
        <w:rPr>
          <w:b/>
        </w:rPr>
        <w:t>, y una imperdonable dejación de responsabilidades (de</w:t>
      </w:r>
      <w:r w:rsidR="00590067">
        <w:rPr>
          <w:b/>
        </w:rPr>
        <w:t xml:space="preserve"> parte de</w:t>
      </w:r>
      <w:r>
        <w:rPr>
          <w:b/>
        </w:rPr>
        <w:t xml:space="preserve"> las autoridades educativas, profesores y alumnos).</w:t>
      </w:r>
      <w:r w:rsidR="00297781">
        <w:rPr>
          <w:b/>
        </w:rPr>
        <w:t xml:space="preserve"> En definitiva: no es un problema de dinero, sino de capacidad y gestión.</w:t>
      </w:r>
      <w:r>
        <w:rPr>
          <w:b/>
        </w:rPr>
        <w:t xml:space="preserve"> </w:t>
      </w:r>
    </w:p>
    <w:p w:rsidR="00590067" w:rsidRDefault="00DE2C6D" w:rsidP="00550638">
      <w:pPr>
        <w:pStyle w:val="NormalWeb"/>
        <w:shd w:val="clear" w:color="auto" w:fill="FFFFFF"/>
        <w:jc w:val="both"/>
        <w:rPr>
          <w:b/>
        </w:rPr>
      </w:pPr>
      <w:r>
        <w:rPr>
          <w:b/>
        </w:rPr>
        <w:t>Si todo se deja como está… o si todo</w:t>
      </w:r>
      <w:r w:rsidR="00605F7E">
        <w:rPr>
          <w:b/>
        </w:rPr>
        <w:t xml:space="preserve"> se</w:t>
      </w:r>
      <w:r>
        <w:rPr>
          <w:b/>
        </w:rPr>
        <w:t xml:space="preserve"> cambia para que nada cambie… se corre el riesgo de mantener a la juventud en</w:t>
      </w:r>
      <w:r w:rsidR="00605F7E">
        <w:rPr>
          <w:b/>
        </w:rPr>
        <w:t xml:space="preserve"> un</w:t>
      </w:r>
      <w:r>
        <w:rPr>
          <w:b/>
        </w:rPr>
        <w:t xml:space="preserve"> permanente estado de “jet lag”</w:t>
      </w:r>
      <w:r w:rsidR="00416DE4">
        <w:rPr>
          <w:b/>
        </w:rPr>
        <w:t xml:space="preserve"> intelectual, </w:t>
      </w:r>
      <w:r w:rsidR="00590067">
        <w:rPr>
          <w:b/>
        </w:rPr>
        <w:t>al</w:t>
      </w:r>
      <w:r w:rsidR="00416DE4">
        <w:rPr>
          <w:b/>
        </w:rPr>
        <w:t xml:space="preserve"> margen del tiempo y la realidad</w:t>
      </w:r>
      <w:r w:rsidR="00605F7E">
        <w:rPr>
          <w:b/>
        </w:rPr>
        <w:t>. Un bostezo permanente (y no solo por el soporífero docente),</w:t>
      </w:r>
      <w:r w:rsidR="00590067">
        <w:rPr>
          <w:b/>
        </w:rPr>
        <w:t xml:space="preserve"> provocado por</w:t>
      </w:r>
      <w:r w:rsidR="005F23C7">
        <w:rPr>
          <w:b/>
        </w:rPr>
        <w:t xml:space="preserve"> la</w:t>
      </w:r>
      <w:r w:rsidR="00416DE4">
        <w:rPr>
          <w:b/>
        </w:rPr>
        <w:t xml:space="preserve"> mediocridad deliberada</w:t>
      </w:r>
      <w:r w:rsidR="00605F7E">
        <w:rPr>
          <w:b/>
        </w:rPr>
        <w:t xml:space="preserve"> y</w:t>
      </w:r>
      <w:r w:rsidR="005F23C7">
        <w:rPr>
          <w:b/>
        </w:rPr>
        <w:t xml:space="preserve"> el</w:t>
      </w:r>
      <w:r w:rsidR="00605F7E">
        <w:rPr>
          <w:b/>
        </w:rPr>
        <w:t xml:space="preserve"> vacío</w:t>
      </w:r>
      <w:r w:rsidR="00590067">
        <w:rPr>
          <w:b/>
        </w:rPr>
        <w:t xml:space="preserve"> existencial calculado</w:t>
      </w:r>
      <w:r w:rsidR="00605F7E">
        <w:rPr>
          <w:b/>
        </w:rPr>
        <w:t>.</w:t>
      </w:r>
      <w:r w:rsidR="005F23C7">
        <w:rPr>
          <w:b/>
        </w:rPr>
        <w:t xml:space="preserve"> La “ignorancia</w:t>
      </w:r>
      <w:r w:rsidR="00416DE4">
        <w:rPr>
          <w:b/>
        </w:rPr>
        <w:t>” perfecta</w:t>
      </w:r>
      <w:r w:rsidR="00534901">
        <w:rPr>
          <w:b/>
        </w:rPr>
        <w:t>: ni estudiar, ni trabajar, ni pensar.</w:t>
      </w:r>
      <w:r w:rsidR="005F23C7">
        <w:rPr>
          <w:b/>
        </w:rPr>
        <w:t xml:space="preserve"> The end.</w:t>
      </w:r>
    </w:p>
    <w:p w:rsidR="00D15402" w:rsidRDefault="00590067" w:rsidP="00550638">
      <w:pPr>
        <w:pStyle w:val="NormalWeb"/>
        <w:shd w:val="clear" w:color="auto" w:fill="FFFFFF"/>
        <w:jc w:val="both"/>
        <w:rPr>
          <w:b/>
        </w:rPr>
      </w:pPr>
      <w:r>
        <w:rPr>
          <w:b/>
        </w:rPr>
        <w:lastRenderedPageBreak/>
        <w:t>Así como Nicolás Maduro (el heredero de Chávez) impone la “felicidad”</w:t>
      </w:r>
      <w:r w:rsidR="00D15402">
        <w:rPr>
          <w:b/>
        </w:rPr>
        <w:t xml:space="preserve">, ustedes, </w:t>
      </w:r>
      <w:r w:rsidR="00534901">
        <w:rPr>
          <w:b/>
        </w:rPr>
        <w:t>burócratas</w:t>
      </w:r>
      <w:r w:rsidR="00D15402">
        <w:rPr>
          <w:b/>
        </w:rPr>
        <w:t xml:space="preserve"> docentes (</w:t>
      </w:r>
      <w:r>
        <w:rPr>
          <w:b/>
        </w:rPr>
        <w:t>prestidigitadores de una izquierda sectaria y provinciana</w:t>
      </w:r>
      <w:r w:rsidR="00D15402">
        <w:rPr>
          <w:b/>
        </w:rPr>
        <w:t>, que i</w:t>
      </w:r>
      <w:r w:rsidR="009A479C">
        <w:rPr>
          <w:b/>
        </w:rPr>
        <w:t>ntentan hacer pasar la “cantidad” por la</w:t>
      </w:r>
      <w:r w:rsidR="00D15402">
        <w:rPr>
          <w:b/>
        </w:rPr>
        <w:t xml:space="preserve"> “calidad”</w:t>
      </w:r>
      <w:r>
        <w:rPr>
          <w:b/>
        </w:rPr>
        <w:t>) pueden imponer la “educación”</w:t>
      </w:r>
      <w:r w:rsidR="00D15402">
        <w:rPr>
          <w:b/>
        </w:rPr>
        <w:t>…</w:t>
      </w:r>
      <w:r>
        <w:rPr>
          <w:b/>
        </w:rPr>
        <w:t xml:space="preserve"> al menos</w:t>
      </w:r>
      <w:r w:rsidR="00534901">
        <w:rPr>
          <w:b/>
        </w:rPr>
        <w:t xml:space="preserve"> hasta que PISA los delate</w:t>
      </w:r>
      <w:r w:rsidR="00D15402">
        <w:rPr>
          <w:b/>
        </w:rPr>
        <w:t>,</w:t>
      </w:r>
      <w:r>
        <w:rPr>
          <w:b/>
        </w:rPr>
        <w:t xml:space="preserve"> y se venga abajo todo el “</w:t>
      </w:r>
      <w:r w:rsidR="006C0D9E">
        <w:rPr>
          <w:b/>
        </w:rPr>
        <w:t>tinglado</w:t>
      </w:r>
      <w:r>
        <w:rPr>
          <w:b/>
        </w:rPr>
        <w:t>”</w:t>
      </w:r>
      <w:r w:rsidR="00D15402">
        <w:rPr>
          <w:b/>
        </w:rPr>
        <w:t>,</w:t>
      </w:r>
      <w:r w:rsidR="009A479C">
        <w:rPr>
          <w:b/>
        </w:rPr>
        <w:t xml:space="preserve"> o los “adocenados</w:t>
      </w:r>
      <w:r>
        <w:rPr>
          <w:b/>
        </w:rPr>
        <w:t>” alumnos</w:t>
      </w:r>
      <w:r w:rsidR="009A479C">
        <w:rPr>
          <w:b/>
        </w:rPr>
        <w:t xml:space="preserve"> se ahoguen en su</w:t>
      </w:r>
      <w:r w:rsidR="00D15402">
        <w:rPr>
          <w:b/>
        </w:rPr>
        <w:t xml:space="preserve"> analfabetismo funcional, gracias a vuestro invalorable esfuerzo por “igualar hacia abajo”.</w:t>
      </w:r>
    </w:p>
    <w:p w:rsidR="00590067" w:rsidRDefault="00D15402" w:rsidP="00550638">
      <w:pPr>
        <w:pStyle w:val="NormalWeb"/>
        <w:shd w:val="clear" w:color="auto" w:fill="FFFFFF"/>
        <w:jc w:val="both"/>
        <w:rPr>
          <w:b/>
        </w:rPr>
      </w:pPr>
      <w:r>
        <w:rPr>
          <w:b/>
        </w:rPr>
        <w:t>Y si Venezuela tiene</w:t>
      </w:r>
      <w:r w:rsidR="009A479C">
        <w:rPr>
          <w:b/>
        </w:rPr>
        <w:t xml:space="preserve"> un viceministro para la Suprema Felicidad Social</w:t>
      </w:r>
      <w:r>
        <w:rPr>
          <w:b/>
        </w:rPr>
        <w:t>, España (que es la que me pilla más cerca) o alguno de los otros países europeos sub-PISA, podría tener un viceministro de la Estupidez, o de la Ignorancia o de la Parálisis Mental (ustedes eligen)</w:t>
      </w:r>
      <w:r w:rsidR="00534901">
        <w:rPr>
          <w:b/>
        </w:rPr>
        <w:t>. ¿Y qué tal u</w:t>
      </w:r>
      <w:r w:rsidR="005F23C7">
        <w:rPr>
          <w:b/>
        </w:rPr>
        <w:t>n ministerio de las “Ilusiones P</w:t>
      </w:r>
      <w:r w:rsidR="00534901">
        <w:rPr>
          <w:b/>
        </w:rPr>
        <w:t>erdidas”?</w:t>
      </w:r>
      <w:r>
        <w:rPr>
          <w:b/>
        </w:rPr>
        <w:t xml:space="preserve"> </w:t>
      </w:r>
    </w:p>
    <w:p w:rsidR="00DE2C6D" w:rsidRDefault="00DE2C6D" w:rsidP="00550638">
      <w:pPr>
        <w:pStyle w:val="NormalWeb"/>
        <w:shd w:val="clear" w:color="auto" w:fill="FFFFFF"/>
        <w:jc w:val="both"/>
        <w:rPr>
          <w:b/>
        </w:rPr>
      </w:pPr>
      <w:r>
        <w:rPr>
          <w:b/>
        </w:rPr>
        <w:t>Hay crisis mucho más peligrosas que la crisis económica. La de la educación es una de ellas.</w:t>
      </w:r>
      <w:r w:rsidR="00534901">
        <w:rPr>
          <w:b/>
        </w:rPr>
        <w:t xml:space="preserve"> Pero no me olvido de la crisis moral, de la crisis de valores</w:t>
      </w:r>
      <w:r w:rsidR="0095110F">
        <w:rPr>
          <w:b/>
        </w:rPr>
        <w:t>…</w:t>
      </w:r>
      <w:r w:rsidR="006C0D9E">
        <w:rPr>
          <w:b/>
        </w:rPr>
        <w:t xml:space="preserve"> Que probablemente sean la causa de estos efectos. El polvo de estos lodos… </w:t>
      </w:r>
    </w:p>
    <w:p w:rsidR="006C0D9E" w:rsidRDefault="006C0D9E" w:rsidP="00550638">
      <w:pPr>
        <w:pStyle w:val="NormalWeb"/>
        <w:shd w:val="clear" w:color="auto" w:fill="FFFFFF"/>
        <w:jc w:val="both"/>
        <w:rPr>
          <w:b/>
        </w:rPr>
      </w:pPr>
      <w:r>
        <w:rPr>
          <w:b/>
        </w:rPr>
        <w:t>En definitiva (y con esto termino) hay que invertir en aprender y no para mantener pesebres y mamandurrias. Hay que modernizar la educación, con orgullo, valentía, y sin conformismo; es una necesidad objetiva del sistema.</w:t>
      </w:r>
    </w:p>
    <w:p w:rsidR="0095110F" w:rsidRDefault="006C0D9E" w:rsidP="00550638">
      <w:pPr>
        <w:pStyle w:val="NormalWeb"/>
        <w:shd w:val="clear" w:color="auto" w:fill="FFFFFF"/>
        <w:jc w:val="both"/>
        <w:rPr>
          <w:b/>
        </w:rPr>
      </w:pPr>
      <w:r>
        <w:rPr>
          <w:b/>
        </w:rPr>
        <w:t>No es necesario descubrir nada (ya está todo inventado), basta con mirar como lo hacen aquellos países que alcanzan los mejores resultados académicos</w:t>
      </w:r>
      <w:r w:rsidR="0095110F">
        <w:rPr>
          <w:b/>
        </w:rPr>
        <w:t xml:space="preserve"> y adoptar su</w:t>
      </w:r>
      <w:r>
        <w:rPr>
          <w:b/>
        </w:rPr>
        <w:t xml:space="preserve"> sistema. Otras veces (por qué no) basta con “dar vuelta el calcetín” y volver a la escuela de antes. Con más disciplina, con más exigencia, donde el Maestro era respetado y valorado por</w:t>
      </w:r>
      <w:r w:rsidR="0095110F">
        <w:rPr>
          <w:b/>
        </w:rPr>
        <w:t xml:space="preserve"> los</w:t>
      </w:r>
      <w:r>
        <w:rPr>
          <w:b/>
        </w:rPr>
        <w:t xml:space="preserve"> alumnos,</w:t>
      </w:r>
      <w:r w:rsidR="0095110F">
        <w:rPr>
          <w:b/>
        </w:rPr>
        <w:t xml:space="preserve"> los</w:t>
      </w:r>
      <w:r>
        <w:rPr>
          <w:b/>
        </w:rPr>
        <w:t xml:space="preserve"> padres y</w:t>
      </w:r>
      <w:r w:rsidR="009A479C">
        <w:rPr>
          <w:b/>
        </w:rPr>
        <w:t xml:space="preserve"> las instituciones educativas</w:t>
      </w:r>
      <w:r w:rsidR="0095110F">
        <w:rPr>
          <w:b/>
        </w:rPr>
        <w:t>.</w:t>
      </w:r>
    </w:p>
    <w:p w:rsidR="0095110F" w:rsidRDefault="009A479C" w:rsidP="00550638">
      <w:pPr>
        <w:pStyle w:val="NormalWeb"/>
        <w:shd w:val="clear" w:color="auto" w:fill="FFFFFF"/>
        <w:jc w:val="both"/>
        <w:rPr>
          <w:b/>
        </w:rPr>
      </w:pPr>
      <w:r>
        <w:rPr>
          <w:b/>
        </w:rPr>
        <w:t>En ese salto</w:t>
      </w:r>
      <w:r w:rsidR="0095110F">
        <w:rPr>
          <w:b/>
        </w:rPr>
        <w:t xml:space="preserve"> adelante (modernización) o en ese regreso a las fuentes (vuelta al origen), qué más da, si el colegio (o la universidad) es público o privado. Lo que debe importar es la calidad de la enseñanza, del cuerpo directivo y docente, y el resultado alcanzado por los alumnos. </w:t>
      </w:r>
    </w:p>
    <w:p w:rsidR="00F378F9" w:rsidRDefault="0095110F" w:rsidP="00550638">
      <w:pPr>
        <w:pStyle w:val="NormalWeb"/>
        <w:shd w:val="clear" w:color="auto" w:fill="FFFFFF"/>
        <w:jc w:val="both"/>
        <w:rPr>
          <w:b/>
        </w:rPr>
      </w:pPr>
      <w:r>
        <w:rPr>
          <w:b/>
        </w:rPr>
        <w:t>Me</w:t>
      </w:r>
      <w:r w:rsidR="00F378F9">
        <w:rPr>
          <w:b/>
        </w:rPr>
        <w:t xml:space="preserve">nos reglamentos y más libertad </w:t>
      </w:r>
      <w:r>
        <w:rPr>
          <w:b/>
        </w:rPr>
        <w:t>de acción</w:t>
      </w:r>
      <w:r w:rsidR="00F378F9">
        <w:rPr>
          <w:b/>
        </w:rPr>
        <w:t xml:space="preserve"> </w:t>
      </w:r>
      <w:r>
        <w:rPr>
          <w:b/>
        </w:rPr>
        <w:t>y de elección del centro educativo, menos cantidad y más calidad, menos estabilidad</w:t>
      </w:r>
      <w:r w:rsidR="00F378F9">
        <w:rPr>
          <w:b/>
        </w:rPr>
        <w:t xml:space="preserve"> laboral</w:t>
      </w:r>
      <w:r>
        <w:rPr>
          <w:b/>
        </w:rPr>
        <w:t xml:space="preserve"> y más competencia,</w:t>
      </w:r>
      <w:r w:rsidR="00F378F9">
        <w:rPr>
          <w:b/>
        </w:rPr>
        <w:t xml:space="preserve"> menos gasto y más resultados, menos politización y más realismo, me</w:t>
      </w:r>
      <w:r w:rsidR="009A479C">
        <w:rPr>
          <w:b/>
        </w:rPr>
        <w:t>nos demagogia y más efectividad, menos mediocracia y más meritocracia…</w:t>
      </w:r>
    </w:p>
    <w:p w:rsidR="00647321" w:rsidRDefault="00F378F9" w:rsidP="00550638">
      <w:pPr>
        <w:pStyle w:val="NormalWeb"/>
        <w:shd w:val="clear" w:color="auto" w:fill="FFFFFF"/>
        <w:jc w:val="both"/>
        <w:rPr>
          <w:b/>
        </w:rPr>
      </w:pPr>
      <w:r>
        <w:rPr>
          <w:b/>
        </w:rPr>
        <w:t>Antes de dar la palabra a los que saben, les propongo una prueba: designar un área test</w:t>
      </w:r>
      <w:r w:rsidR="00FB0B7C">
        <w:rPr>
          <w:b/>
        </w:rPr>
        <w:t xml:space="preserve"> (ayuntamiento, cuidad o</w:t>
      </w:r>
      <w:r w:rsidR="0046027A">
        <w:rPr>
          <w:b/>
        </w:rPr>
        <w:t xml:space="preserve"> provincia)</w:t>
      </w:r>
      <w:r>
        <w:rPr>
          <w:b/>
        </w:rPr>
        <w:t xml:space="preserve"> y entregar a las familias un “cheque educativo” (proporcional al gasto público per cápita en educación), dejando a su libre elección el centro educativo</w:t>
      </w:r>
      <w:r w:rsidR="0046027A">
        <w:rPr>
          <w:b/>
        </w:rPr>
        <w:t xml:space="preserve"> donde enviar a sus hijos y abonar en forma directa las tasas y matrícula correspondientes. Luego revisar los “logros” de cada centro y establecer un sistema de incentivos según resultados. ¿Por qué no dejar a los padres</w:t>
      </w:r>
      <w:r w:rsidR="0022243E">
        <w:rPr>
          <w:b/>
        </w:rPr>
        <w:t xml:space="preserve"> asumir esa</w:t>
      </w:r>
      <w:r w:rsidR="00647321">
        <w:rPr>
          <w:b/>
        </w:rPr>
        <w:t xml:space="preserve"> responsabilidad</w:t>
      </w:r>
      <w:r w:rsidR="0046027A">
        <w:rPr>
          <w:b/>
        </w:rPr>
        <w:t>? Tal vez, habría muchas sorpresas. Tal vez</w:t>
      </w:r>
      <w:r w:rsidR="00D75301">
        <w:rPr>
          <w:b/>
        </w:rPr>
        <w:t>,</w:t>
      </w:r>
      <w:r w:rsidR="0022243E">
        <w:rPr>
          <w:b/>
        </w:rPr>
        <w:t xml:space="preserve"> muchos burócratas tendrían los días contados</w:t>
      </w:r>
      <w:r w:rsidR="0046027A">
        <w:rPr>
          <w:b/>
        </w:rPr>
        <w:t>.</w:t>
      </w:r>
      <w:r w:rsidR="0022243E">
        <w:rPr>
          <w:b/>
        </w:rPr>
        <w:t xml:space="preserve">  Tal vez, se podría reducir el gasto.</w:t>
      </w:r>
      <w:r w:rsidR="0046027A">
        <w:rPr>
          <w:b/>
        </w:rPr>
        <w:t xml:space="preserve"> </w:t>
      </w:r>
      <w:r w:rsidR="0095110F">
        <w:rPr>
          <w:b/>
        </w:rPr>
        <w:t xml:space="preserve">  </w:t>
      </w:r>
    </w:p>
    <w:p w:rsidR="006E2F4A" w:rsidRDefault="006E2F4A" w:rsidP="00550638">
      <w:pPr>
        <w:pStyle w:val="NormalWeb"/>
        <w:shd w:val="clear" w:color="auto" w:fill="FFFFFF"/>
        <w:jc w:val="both"/>
        <w:rPr>
          <w:b/>
        </w:rPr>
      </w:pPr>
    </w:p>
    <w:p w:rsidR="006E2F4A" w:rsidRDefault="006E2F4A" w:rsidP="00550638">
      <w:pPr>
        <w:pStyle w:val="NormalWeb"/>
        <w:shd w:val="clear" w:color="auto" w:fill="FFFFFF"/>
        <w:jc w:val="both"/>
        <w:rPr>
          <w:b/>
        </w:rPr>
      </w:pPr>
    </w:p>
    <w:p w:rsidR="006E2F4A" w:rsidRDefault="006E2F4A" w:rsidP="00550638">
      <w:pPr>
        <w:pStyle w:val="NormalWeb"/>
        <w:shd w:val="clear" w:color="auto" w:fill="FFFFFF"/>
        <w:jc w:val="both"/>
        <w:rPr>
          <w:b/>
        </w:rPr>
      </w:pPr>
    </w:p>
    <w:p w:rsidR="00C26470" w:rsidRPr="00DF1358" w:rsidRDefault="00C26470" w:rsidP="00550638">
      <w:pPr>
        <w:pStyle w:val="NormalWeb"/>
        <w:shd w:val="clear" w:color="auto" w:fill="FFFFFF"/>
        <w:jc w:val="both"/>
        <w:rPr>
          <w:b/>
        </w:rPr>
      </w:pPr>
      <w:r w:rsidRPr="00C26470">
        <w:rPr>
          <w:b/>
          <w:bCs/>
          <w:kern w:val="36"/>
        </w:rPr>
        <w:lastRenderedPageBreak/>
        <w:t>Un recorrido</w:t>
      </w:r>
      <w:r w:rsidR="00CA33AD">
        <w:rPr>
          <w:b/>
          <w:bCs/>
          <w:kern w:val="36"/>
        </w:rPr>
        <w:t xml:space="preserve"> de cabotaje</w:t>
      </w:r>
      <w:r w:rsidR="007538F6">
        <w:rPr>
          <w:b/>
          <w:bCs/>
          <w:kern w:val="36"/>
        </w:rPr>
        <w:t>,</w:t>
      </w:r>
      <w:r w:rsidR="00CA33AD">
        <w:rPr>
          <w:b/>
          <w:bCs/>
          <w:kern w:val="36"/>
        </w:rPr>
        <w:t xml:space="preserve"> por la hemeroteca</w:t>
      </w:r>
      <w:r>
        <w:rPr>
          <w:b/>
          <w:bCs/>
          <w:kern w:val="36"/>
        </w:rPr>
        <w:t xml:space="preserve"> (2011 - 2013)</w:t>
      </w:r>
    </w:p>
    <w:p w:rsidR="00DE34C3" w:rsidRPr="00935D00" w:rsidRDefault="00935D00" w:rsidP="00550638">
      <w:pPr>
        <w:spacing w:before="100" w:beforeAutospacing="1" w:after="100" w:afterAutospacing="1" w:line="240" w:lineRule="auto"/>
        <w:outlineLvl w:val="0"/>
        <w:rPr>
          <w:rFonts w:ascii="Times New Roman" w:eastAsia="Times New Roman" w:hAnsi="Times New Roman"/>
          <w:bCs/>
          <w:kern w:val="36"/>
          <w:sz w:val="24"/>
          <w:szCs w:val="24"/>
          <w:u w:val="single"/>
          <w:lang w:eastAsia="es-ES"/>
        </w:rPr>
      </w:pPr>
      <w:r w:rsidRPr="00935D00">
        <w:rPr>
          <w:rFonts w:ascii="Times New Roman" w:eastAsia="Times New Roman" w:hAnsi="Times New Roman"/>
          <w:bCs/>
          <w:kern w:val="36"/>
          <w:sz w:val="24"/>
          <w:szCs w:val="24"/>
          <w:u w:val="single"/>
          <w:lang w:eastAsia="es-ES"/>
        </w:rPr>
        <w:t xml:space="preserve">(2011) </w:t>
      </w:r>
      <w:r w:rsidR="00DE34C3" w:rsidRPr="00935D00">
        <w:rPr>
          <w:rFonts w:ascii="Times New Roman" w:eastAsia="Times New Roman" w:hAnsi="Times New Roman"/>
          <w:bCs/>
          <w:kern w:val="36"/>
          <w:sz w:val="24"/>
          <w:szCs w:val="24"/>
          <w:u w:val="single"/>
          <w:lang w:eastAsia="es-ES"/>
        </w:rPr>
        <w:t>La realidad educativa europea reflejada</w:t>
      </w:r>
      <w:r w:rsidRPr="00935D00">
        <w:rPr>
          <w:rFonts w:ascii="Times New Roman" w:eastAsia="Times New Roman" w:hAnsi="Times New Roman"/>
          <w:bCs/>
          <w:kern w:val="36"/>
          <w:sz w:val="24"/>
          <w:szCs w:val="24"/>
          <w:u w:val="single"/>
          <w:lang w:eastAsia="es-ES"/>
        </w:rPr>
        <w:t xml:space="preserve"> en algunos gráficos</w:t>
      </w:r>
      <w:r>
        <w:rPr>
          <w:rFonts w:ascii="Times New Roman" w:eastAsia="Times New Roman" w:hAnsi="Times New Roman"/>
          <w:bCs/>
          <w:kern w:val="36"/>
          <w:sz w:val="24"/>
          <w:szCs w:val="24"/>
          <w:u w:val="single"/>
          <w:lang w:eastAsia="es-ES"/>
        </w:rPr>
        <w:t xml:space="preserve"> “metafóricos”</w:t>
      </w:r>
      <w:r w:rsidRPr="00935D00">
        <w:rPr>
          <w:rFonts w:ascii="Times New Roman" w:eastAsia="Times New Roman" w:hAnsi="Times New Roman"/>
          <w:bCs/>
          <w:kern w:val="36"/>
          <w:sz w:val="24"/>
          <w:szCs w:val="24"/>
          <w:u w:val="single"/>
          <w:lang w:eastAsia="es-ES"/>
        </w:rPr>
        <w:t xml:space="preserve"> </w:t>
      </w:r>
    </w:p>
    <w:p w:rsidR="00935D00" w:rsidRPr="00935D00" w:rsidRDefault="00935D00" w:rsidP="00550638">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i/>
          <w:sz w:val="24"/>
          <w:szCs w:val="24"/>
          <w:lang w:eastAsia="es-ES"/>
        </w:rPr>
        <w:t>“</w:t>
      </w:r>
      <w:r w:rsidR="00FF3B17" w:rsidRPr="00935D00">
        <w:rPr>
          <w:rFonts w:ascii="Times New Roman" w:eastAsia="Times New Roman" w:hAnsi="Times New Roman"/>
          <w:i/>
          <w:sz w:val="24"/>
          <w:szCs w:val="24"/>
          <w:lang w:eastAsia="es-ES"/>
        </w:rPr>
        <w:t>Vamos a comenzar con una evidencia descriptiva internacional muy sugerente, que muestra unas correlaciones (negativas) muy robustas entre resultados en lectura y uso de videoconsolas</w:t>
      </w:r>
      <w:r>
        <w:rPr>
          <w:rFonts w:ascii="Times New Roman" w:eastAsia="Times New Roman" w:hAnsi="Times New Roman"/>
          <w:i/>
          <w:sz w:val="24"/>
          <w:szCs w:val="24"/>
          <w:lang w:eastAsia="es-ES"/>
        </w:rPr>
        <w:t>”..</w:t>
      </w:r>
      <w:r w:rsidR="00FF3B17" w:rsidRPr="00935D00">
        <w:rPr>
          <w:rFonts w:ascii="Times New Roman" w:eastAsia="Times New Roman" w:hAnsi="Times New Roman"/>
          <w:i/>
          <w:sz w:val="24"/>
          <w:szCs w:val="24"/>
          <w:lang w:eastAsia="es-ES"/>
        </w:rPr>
        <w:t xml:space="preserve">. </w:t>
      </w:r>
      <w:r w:rsidRPr="00456595">
        <w:rPr>
          <w:rFonts w:ascii="Times New Roman" w:eastAsia="Times New Roman" w:hAnsi="Times New Roman"/>
          <w:bCs/>
          <w:kern w:val="36"/>
          <w:sz w:val="24"/>
          <w:szCs w:val="24"/>
          <w:u w:val="single"/>
          <w:lang w:eastAsia="es-ES"/>
        </w:rPr>
        <w:t>Los regalos, aún los de Reyes, tampoco son gratis: videoconsolas y efecto sobre la lectura en PISA</w:t>
      </w:r>
      <w:r>
        <w:rPr>
          <w:rFonts w:ascii="Times New Roman" w:eastAsia="Times New Roman" w:hAnsi="Times New Roman"/>
          <w:bCs/>
          <w:kern w:val="36"/>
          <w:sz w:val="24"/>
          <w:szCs w:val="24"/>
          <w:lang w:eastAsia="es-ES"/>
        </w:rPr>
        <w:t xml:space="preserve"> (Fedea - </w:t>
      </w:r>
      <w:r w:rsidRPr="00456595">
        <w:rPr>
          <w:rFonts w:ascii="Times New Roman" w:eastAsia="Times New Roman" w:hAnsi="Times New Roman"/>
          <w:b/>
          <w:bCs/>
          <w:kern w:val="36"/>
          <w:sz w:val="24"/>
          <w:szCs w:val="24"/>
          <w:lang w:eastAsia="es-ES"/>
        </w:rPr>
        <w:t>3/1/11</w:t>
      </w:r>
      <w:r>
        <w:rPr>
          <w:rFonts w:ascii="Times New Roman" w:eastAsia="Times New Roman" w:hAnsi="Times New Roman"/>
          <w:bCs/>
          <w:kern w:val="36"/>
          <w:sz w:val="24"/>
          <w:szCs w:val="24"/>
          <w:lang w:eastAsia="es-ES"/>
        </w:rPr>
        <w:t>)</w:t>
      </w:r>
    </w:p>
    <w:p w:rsidR="00FF3B17" w:rsidRPr="005E0CBB"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La evidencia internacional viene, cómo no, del examen de PISA. Estos exámenes ponen en todas las ediciones el acento principal en una de las dimensiones (matemáticas, lectura o ciencia). En el último examen, hecho en el 2009 y cuyos resultados se publicaron recientemente, el énfasis era en lectura. Y el cuestionario que rellenan los estudiantes tiene varias preguntas que son útiles p</w:t>
      </w:r>
      <w:r w:rsidR="00935D00" w:rsidRPr="005E0CBB">
        <w:rPr>
          <w:rFonts w:ascii="Times New Roman" w:eastAsia="Times New Roman" w:hAnsi="Times New Roman"/>
          <w:sz w:val="24"/>
          <w:szCs w:val="24"/>
          <w:lang w:eastAsia="es-ES"/>
        </w:rPr>
        <w:t>ara el análisis.</w:t>
      </w:r>
    </w:p>
    <w:p w:rsidR="00FF3B17" w:rsidRPr="005E0CBB"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Una de esas preguntas es: “¿Tienes alguno de los siguientes aparatos en casa?” Uno de esos aparatos es “Consola de videojuegos, por ejemplo, Sony Play Station TM”. Las respuestas posibles son: “Sí y la uso</w:t>
      </w:r>
      <w:r w:rsidR="00935D00" w:rsidRPr="005E0CBB">
        <w:rPr>
          <w:rFonts w:ascii="Times New Roman" w:eastAsia="Times New Roman" w:hAnsi="Times New Roman"/>
          <w:sz w:val="24"/>
          <w:szCs w:val="24"/>
          <w:lang w:eastAsia="es-ES"/>
        </w:rPr>
        <w:t xml:space="preserve">”, “Sí, pero no la uso” y “No”. </w:t>
      </w:r>
      <w:r w:rsidRPr="005E0CBB">
        <w:rPr>
          <w:rFonts w:ascii="Times New Roman" w:eastAsia="Times New Roman" w:hAnsi="Times New Roman"/>
          <w:sz w:val="24"/>
          <w:szCs w:val="24"/>
          <w:lang w:eastAsia="es-ES"/>
        </w:rPr>
        <w:t>La otr</w:t>
      </w:r>
      <w:r w:rsidR="005E0CBB" w:rsidRPr="005E0CBB">
        <w:rPr>
          <w:rFonts w:ascii="Times New Roman" w:eastAsia="Times New Roman" w:hAnsi="Times New Roman"/>
          <w:sz w:val="24"/>
          <w:szCs w:val="24"/>
          <w:lang w:eastAsia="es-ES"/>
        </w:rPr>
        <w:t xml:space="preserve">a pregunta </w:t>
      </w:r>
      <w:r w:rsidRPr="005E0CBB">
        <w:rPr>
          <w:rFonts w:ascii="Times New Roman" w:eastAsia="Times New Roman" w:hAnsi="Times New Roman"/>
          <w:sz w:val="24"/>
          <w:szCs w:val="24"/>
          <w:lang w:eastAsia="es-ES"/>
        </w:rPr>
        <w:t>es: “¿Cuánto tiempo usas aproximadamente al día para leer como diversión?”. Las respuestas posibles son: “No leo por diversión”, “30 minutos o menos al día”, “Entre 30 y 60 minutos”, “De 1 a 2 horas al día”, “Más de 2 horas al día”.</w:t>
      </w:r>
    </w:p>
    <w:p w:rsidR="005E0CBB" w:rsidRPr="005E0CBB" w:rsidRDefault="005E0CBB" w:rsidP="00550638">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Es tentador sacar la conclusión de que la videoconsola es un símbolo de estatus para las familias, que lo consiguen para los hijos (con la ayuda de los magos de Oriente o el antiguo crédito fácil) sin pensar mucho en las consecuencias.</w:t>
      </w:r>
    </w:p>
    <w:p w:rsidR="00FF3B17" w:rsidRPr="00456595" w:rsidRDefault="00935D0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Primero, </w:t>
      </w:r>
      <w:r w:rsidR="00FF3B17" w:rsidRPr="00456595">
        <w:rPr>
          <w:rFonts w:ascii="Times New Roman" w:eastAsia="Times New Roman" w:hAnsi="Times New Roman"/>
          <w:sz w:val="24"/>
          <w:szCs w:val="24"/>
          <w:lang w:eastAsia="es-ES"/>
        </w:rPr>
        <w:t>un gráfico con las tasas de propiedad de videoconsolas por países.</w:t>
      </w:r>
    </w:p>
    <w:p w:rsidR="00FF3B17" w:rsidRPr="00456595"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1CD47175" wp14:editId="1D115917">
            <wp:extent cx="5581496" cy="3423514"/>
            <wp:effectExtent l="0" t="0" r="635" b="5715"/>
            <wp:docPr id="4" name="Imagen 4" descr="graficos_post_video_game_def-1">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ficos_post_video_game_def-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81253" cy="3423365"/>
                    </a:xfrm>
                    <a:prstGeom prst="rect">
                      <a:avLst/>
                    </a:prstGeom>
                    <a:noFill/>
                    <a:ln>
                      <a:noFill/>
                    </a:ln>
                  </pic:spPr>
                </pic:pic>
              </a:graphicData>
            </a:graphic>
          </wp:inline>
        </w:drawing>
      </w:r>
      <w:r w:rsidR="005E0CBB">
        <w:rPr>
          <w:rFonts w:ascii="Times New Roman" w:eastAsia="Times New Roman" w:hAnsi="Times New Roman"/>
          <w:sz w:val="24"/>
          <w:szCs w:val="24"/>
          <w:lang w:eastAsia="es-ES"/>
        </w:rPr>
        <w:t>El siguiente es</w:t>
      </w:r>
      <w:r w:rsidRPr="00456595">
        <w:rPr>
          <w:rFonts w:ascii="Times New Roman" w:eastAsia="Times New Roman" w:hAnsi="Times New Roman"/>
          <w:sz w:val="24"/>
          <w:szCs w:val="24"/>
          <w:lang w:eastAsia="es-ES"/>
        </w:rPr>
        <w:t xml:space="preserve"> un gráfico en el que para cada país vemos la diferencia media en los distintos exámenes entre el grupo que usa videoconsolas y el que no la usa (la tenga o no la tenga).</w:t>
      </w:r>
    </w:p>
    <w:p w:rsidR="00FF3B17" w:rsidRPr="00456595"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3D939B0D" wp14:editId="62B01770">
            <wp:extent cx="5647333" cy="3299155"/>
            <wp:effectExtent l="0" t="0" r="0" b="0"/>
            <wp:docPr id="3" name="Imagen 3" descr="graficos_post_video_game_def-2">
              <a:hlinkClick xmlns:a="http://schemas.openxmlformats.org/drawingml/2006/main" r:id="rId5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ficos_post_video_game_def-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47088" cy="3299012"/>
                    </a:xfrm>
                    <a:prstGeom prst="rect">
                      <a:avLst/>
                    </a:prstGeom>
                    <a:noFill/>
                    <a:ln>
                      <a:noFill/>
                    </a:ln>
                  </pic:spPr>
                </pic:pic>
              </a:graphicData>
            </a:graphic>
          </wp:inline>
        </w:drawing>
      </w:r>
    </w:p>
    <w:p w:rsidR="00FF3B17" w:rsidRPr="005E0CBB"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Este gráfico es bastante revelador. Con unas pocas excepciones (que ocurren en países en desarrollo para los cuales la posesión del artilugio es un puro indicador de estatus socioeconómico) el uso de videoconsolas tiene una correlación negativa clarísima con los resultados en lectura. Y no tan clara, pero también negativa, con los resultados de matemáticas y ciencia. Por cierto, el gráfico sería muy parecido (aunque no idéntico) si ponemos la diferencia de notas entre el grupo que tiene y el que no tiene videoconsolas (porque como se veía en el primero, la mayor parte de los que la tienen la usan).</w:t>
      </w:r>
    </w:p>
    <w:p w:rsidR="00FF3B17" w:rsidRPr="00456595"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456595">
        <w:rPr>
          <w:rFonts w:ascii="Times New Roman" w:eastAsia="Times New Roman" w:hAnsi="Times New Roman"/>
          <w:sz w:val="24"/>
          <w:szCs w:val="24"/>
          <w:lang w:eastAsia="es-ES"/>
        </w:rPr>
        <w:t>Para entender lo que pasa es útil ver el siguiente gráfico que nos relaciona el tiempo que dedican a la lectura por diversión los chicos según sus respuestas a la pregunta de las videoconsolas.</w:t>
      </w:r>
    </w:p>
    <w:p w:rsidR="00FF3B17" w:rsidRPr="005E0CBB"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18801C1A" wp14:editId="05C2C0F4">
            <wp:extent cx="5793638" cy="2670048"/>
            <wp:effectExtent l="0" t="0" r="0" b="0"/>
            <wp:docPr id="2" name="Imagen 2" descr="graficos_post_video_game_def-3">
              <a:hlinkClick xmlns:a="http://schemas.openxmlformats.org/drawingml/2006/main" r:id="rId6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ficos_post_video_game_def-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808018" cy="2676675"/>
                    </a:xfrm>
                    <a:prstGeom prst="rect">
                      <a:avLst/>
                    </a:prstGeom>
                    <a:noFill/>
                    <a:ln>
                      <a:noFill/>
                    </a:ln>
                  </pic:spPr>
                </pic:pic>
              </a:graphicData>
            </a:graphic>
          </wp:inline>
        </w:drawing>
      </w:r>
      <w:r w:rsidRPr="005E0CBB">
        <w:rPr>
          <w:rFonts w:ascii="Times New Roman" w:eastAsia="Times New Roman" w:hAnsi="Times New Roman"/>
          <w:sz w:val="24"/>
          <w:szCs w:val="24"/>
          <w:lang w:eastAsia="es-ES"/>
        </w:rPr>
        <w:t>Como se puede ver con facilidad, el uso de la consola tiene una correlación negativa clarísima con la lectura.</w:t>
      </w:r>
    </w:p>
    <w:p w:rsidR="00FF3B17" w:rsidRPr="005E0CBB"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lastRenderedPageBreak/>
        <w:t>La conclusión es evidente. Como ya saben todos los padres, el uso de la videoconsola tiene que ser controlado estrictamente. Pero como tampoco queremos que tiren la consola a la basura inmediatamente, les dejamos con una pieza de evidencia más. Veamos la nota media de los distintos grupos pero separada por el tiempo de lectura por diversión.</w:t>
      </w:r>
    </w:p>
    <w:p w:rsidR="005E0CBB" w:rsidRDefault="00FF3B17"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noProof/>
          <w:color w:val="0000FF"/>
          <w:sz w:val="24"/>
          <w:szCs w:val="24"/>
          <w:lang w:eastAsia="es-ES"/>
        </w:rPr>
        <w:drawing>
          <wp:inline distT="0" distB="0" distL="0" distR="0" wp14:anchorId="1B710A43" wp14:editId="5AA379F7">
            <wp:extent cx="5691225" cy="3043124"/>
            <wp:effectExtent l="0" t="0" r="5080" b="5080"/>
            <wp:docPr id="1" name="Imagen 1" descr="graficos_post_video_game_def-4">
              <a:hlinkClick xmlns:a="http://schemas.openxmlformats.org/drawingml/2006/main" r:id="rId6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ficos_post_video_game_def-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690977" cy="3042991"/>
                    </a:xfrm>
                    <a:prstGeom prst="rect">
                      <a:avLst/>
                    </a:prstGeom>
                    <a:noFill/>
                    <a:ln>
                      <a:noFill/>
                    </a:ln>
                  </pic:spPr>
                </pic:pic>
              </a:graphicData>
            </a:graphic>
          </wp:inline>
        </w:drawing>
      </w:r>
    </w:p>
    <w:p w:rsidR="005E0CBB" w:rsidRPr="00C26470"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5E0CBB">
        <w:rPr>
          <w:rFonts w:ascii="Times New Roman" w:eastAsia="Times New Roman" w:hAnsi="Times New Roman"/>
          <w:sz w:val="24"/>
          <w:szCs w:val="24"/>
          <w:lang w:eastAsia="es-ES"/>
        </w:rPr>
        <w:t xml:space="preserve">Como verán, los chicos que usan la consola lo hacen peor que los que no la usan, cuando leen poco. Pero si leen mucho, el orden se invierte. </w:t>
      </w:r>
    </w:p>
    <w:p w:rsidR="007B7B8C" w:rsidRPr="00D33F7D" w:rsidRDefault="007B7B8C" w:rsidP="00550638">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sidRPr="007B7B8C">
        <w:rPr>
          <w:rFonts w:ascii="Times New Roman" w:eastAsia="Times New Roman" w:hAnsi="Times New Roman"/>
          <w:i/>
          <w:sz w:val="24"/>
          <w:szCs w:val="24"/>
          <w:lang w:eastAsia="es-ES"/>
        </w:rPr>
        <w:t>“</w:t>
      </w:r>
      <w:r w:rsidR="00FF3B17" w:rsidRPr="007B7B8C">
        <w:rPr>
          <w:rFonts w:ascii="Times New Roman" w:eastAsia="Times New Roman" w:hAnsi="Times New Roman"/>
          <w:i/>
          <w:sz w:val="24"/>
          <w:szCs w:val="24"/>
          <w:lang w:eastAsia="es-ES"/>
        </w:rPr>
        <w:t xml:space="preserve">La primera observación importante aquí es que la universidad española, medida en términos generales no presta suficiente atención a la excelencia. Una forma de verlo es la situación que reflejan los </w:t>
      </w:r>
      <w:r w:rsidR="00FF3B17" w:rsidRPr="00C26470">
        <w:rPr>
          <w:rFonts w:ascii="Times New Roman" w:eastAsia="Times New Roman" w:hAnsi="Times New Roman"/>
          <w:i/>
          <w:sz w:val="24"/>
          <w:szCs w:val="24"/>
          <w:lang w:eastAsia="es-ES"/>
        </w:rPr>
        <w:t xml:space="preserve">famosos </w:t>
      </w:r>
      <w:hyperlink r:id="rId64" w:history="1">
        <w:r w:rsidR="00FF3B17" w:rsidRPr="00C26470">
          <w:rPr>
            <w:rFonts w:ascii="Times New Roman" w:eastAsia="Times New Roman" w:hAnsi="Times New Roman"/>
            <w:i/>
            <w:sz w:val="24"/>
            <w:szCs w:val="24"/>
            <w:lang w:eastAsia="es-ES"/>
          </w:rPr>
          <w:t xml:space="preserve">rankings de </w:t>
        </w:r>
        <w:r w:rsidR="00A92207" w:rsidRPr="00C26470">
          <w:rPr>
            <w:rFonts w:ascii="Times New Roman" w:eastAsia="Times New Roman" w:hAnsi="Times New Roman"/>
            <w:i/>
            <w:sz w:val="24"/>
            <w:szCs w:val="24"/>
            <w:lang w:eastAsia="es-ES"/>
          </w:rPr>
          <w:t>Shanghái</w:t>
        </w:r>
        <w:r w:rsidR="00FF3B17" w:rsidRPr="00C26470">
          <w:rPr>
            <w:rFonts w:ascii="Times New Roman" w:eastAsia="Times New Roman" w:hAnsi="Times New Roman"/>
            <w:i/>
            <w:sz w:val="24"/>
            <w:szCs w:val="24"/>
            <w:lang w:eastAsia="es-ES"/>
          </w:rPr>
          <w:t>.</w:t>
        </w:r>
      </w:hyperlink>
      <w:r w:rsidR="00FF3B17" w:rsidRPr="007B7B8C">
        <w:rPr>
          <w:rFonts w:ascii="Times New Roman" w:eastAsia="Times New Roman" w:hAnsi="Times New Roman"/>
          <w:i/>
          <w:sz w:val="24"/>
          <w:szCs w:val="24"/>
          <w:lang w:eastAsia="es-ES"/>
        </w:rPr>
        <w:t xml:space="preserve"> Estos rankings combinan información acerca del número de premios Nobel entre los profesores de una universidad, o que hicieron allí su doctorado, el número de </w:t>
      </w:r>
      <w:hyperlink r:id="rId65" w:history="1">
        <w:r w:rsidR="00FF3B17" w:rsidRPr="00C26470">
          <w:rPr>
            <w:rFonts w:ascii="Times New Roman" w:eastAsia="Times New Roman" w:hAnsi="Times New Roman"/>
            <w:i/>
            <w:sz w:val="24"/>
            <w:szCs w:val="24"/>
            <w:lang w:eastAsia="es-ES"/>
          </w:rPr>
          <w:t>highly cited researchers</w:t>
        </w:r>
      </w:hyperlink>
      <w:r w:rsidR="00FF3B17" w:rsidRPr="00C26470">
        <w:rPr>
          <w:rFonts w:ascii="Times New Roman" w:eastAsia="Times New Roman" w:hAnsi="Times New Roman"/>
          <w:i/>
          <w:sz w:val="24"/>
          <w:szCs w:val="24"/>
          <w:lang w:eastAsia="es-ES"/>
        </w:rPr>
        <w:t xml:space="preserve"> </w:t>
      </w:r>
      <w:r w:rsidR="00FF3B17" w:rsidRPr="007B7B8C">
        <w:rPr>
          <w:rFonts w:ascii="Times New Roman" w:eastAsia="Times New Roman" w:hAnsi="Times New Roman"/>
          <w:i/>
          <w:sz w:val="24"/>
          <w:szCs w:val="24"/>
          <w:lang w:eastAsia="es-ES"/>
        </w:rPr>
        <w:t xml:space="preserve">(investigadores altamente citados, </w:t>
      </w:r>
      <w:hyperlink r:id="rId66" w:history="1">
        <w:r w:rsidR="00FF3B17" w:rsidRPr="00C26470">
          <w:rPr>
            <w:rFonts w:ascii="Times New Roman" w:eastAsia="Times New Roman" w:hAnsi="Times New Roman"/>
            <w:i/>
            <w:sz w:val="24"/>
            <w:szCs w:val="24"/>
            <w:lang w:eastAsia="es-ES"/>
          </w:rPr>
          <w:t>de los que he hablado alguna vez</w:t>
        </w:r>
      </w:hyperlink>
      <w:r w:rsidR="00FF3B17" w:rsidRPr="00C26470">
        <w:rPr>
          <w:rFonts w:ascii="Times New Roman" w:eastAsia="Times New Roman" w:hAnsi="Times New Roman"/>
          <w:i/>
          <w:sz w:val="24"/>
          <w:szCs w:val="24"/>
          <w:lang w:eastAsia="es-ES"/>
        </w:rPr>
        <w:t>)</w:t>
      </w:r>
      <w:r w:rsidR="00FF3B17" w:rsidRPr="007B7B8C">
        <w:rPr>
          <w:rFonts w:ascii="Times New Roman" w:eastAsia="Times New Roman" w:hAnsi="Times New Roman"/>
          <w:i/>
          <w:sz w:val="24"/>
          <w:szCs w:val="24"/>
          <w:lang w:eastAsia="es-ES"/>
        </w:rPr>
        <w:t>, publicaciones en Science o Nature y publicaciones en revistas indiciad</w:t>
      </w:r>
      <w:r w:rsidRPr="007B7B8C">
        <w:rPr>
          <w:rFonts w:ascii="Times New Roman" w:eastAsia="Times New Roman" w:hAnsi="Times New Roman"/>
          <w:i/>
          <w:sz w:val="24"/>
          <w:szCs w:val="24"/>
          <w:lang w:eastAsia="es-ES"/>
        </w:rPr>
        <w:t>as por el ISI</w:t>
      </w:r>
      <w:r w:rsidR="00FF3B17" w:rsidRPr="007B7B8C">
        <w:rPr>
          <w:rFonts w:ascii="Times New Roman" w:eastAsia="Times New Roman" w:hAnsi="Times New Roman"/>
          <w:i/>
          <w:sz w:val="24"/>
          <w:szCs w:val="24"/>
          <w:lang w:eastAsia="es-ES"/>
        </w:rPr>
        <w:t>. Como verán, España no tiene universidades en el ranking hasta la 200</w:t>
      </w:r>
      <w:r w:rsidRPr="007B7B8C">
        <w:rPr>
          <w:rFonts w:ascii="Times New Roman" w:eastAsia="Times New Roman" w:hAnsi="Times New Roman"/>
          <w:i/>
          <w:sz w:val="24"/>
          <w:szCs w:val="24"/>
          <w:lang w:eastAsia="es-ES"/>
        </w:rPr>
        <w:t>”..</w:t>
      </w:r>
      <w:r w:rsidR="00FF3B17" w:rsidRPr="007B7B8C">
        <w:rPr>
          <w:rFonts w:ascii="Times New Roman" w:eastAsia="Times New Roman" w:hAnsi="Times New Roman"/>
          <w:i/>
          <w:sz w:val="24"/>
          <w:szCs w:val="24"/>
          <w:lang w:eastAsia="es-ES"/>
        </w:rPr>
        <w:t xml:space="preserve">. </w:t>
      </w:r>
      <w:r w:rsidRPr="007B7B8C">
        <w:rPr>
          <w:rFonts w:ascii="Times New Roman" w:eastAsia="Times New Roman" w:hAnsi="Times New Roman"/>
          <w:i/>
          <w:sz w:val="24"/>
          <w:szCs w:val="24"/>
          <w:lang w:eastAsia="es-ES"/>
        </w:rPr>
        <w:t xml:space="preserve"> </w:t>
      </w:r>
      <w:r w:rsidRPr="00D33F7D">
        <w:rPr>
          <w:rFonts w:ascii="Times New Roman" w:eastAsia="Times New Roman" w:hAnsi="Times New Roman"/>
          <w:bCs/>
          <w:kern w:val="36"/>
          <w:sz w:val="24"/>
          <w:szCs w:val="24"/>
          <w:u w:val="single"/>
          <w:lang w:eastAsia="es-ES"/>
        </w:rPr>
        <w:t>Cómo conseguir la excelencia en la universidad</w:t>
      </w:r>
      <w:r>
        <w:rPr>
          <w:rFonts w:ascii="Times New Roman" w:eastAsia="Times New Roman" w:hAnsi="Times New Roman"/>
          <w:bCs/>
          <w:kern w:val="36"/>
          <w:sz w:val="24"/>
          <w:szCs w:val="24"/>
          <w:lang w:eastAsia="es-ES"/>
        </w:rPr>
        <w:t xml:space="preserve"> (Fedea - </w:t>
      </w:r>
      <w:r w:rsidRPr="00D33F7D">
        <w:rPr>
          <w:rFonts w:ascii="Times New Roman" w:eastAsia="Times New Roman" w:hAnsi="Times New Roman"/>
          <w:b/>
          <w:bCs/>
          <w:kern w:val="36"/>
          <w:sz w:val="24"/>
          <w:szCs w:val="24"/>
          <w:lang w:eastAsia="es-ES"/>
        </w:rPr>
        <w:t>10/1/11</w:t>
      </w:r>
      <w:r>
        <w:rPr>
          <w:rFonts w:ascii="Times New Roman" w:eastAsia="Times New Roman" w:hAnsi="Times New Roman"/>
          <w:bCs/>
          <w:kern w:val="36"/>
          <w:sz w:val="24"/>
          <w:szCs w:val="24"/>
          <w:lang w:eastAsia="es-ES"/>
        </w:rPr>
        <w:t>)</w:t>
      </w:r>
    </w:p>
    <w:p w:rsidR="00FF3B17" w:rsidRPr="00D33F7D"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Un primer paso en el análisis, que tiene interés </w:t>
      </w:r>
      <w:r w:rsidR="00551CFB">
        <w:rPr>
          <w:rFonts w:ascii="Times New Roman" w:eastAsia="Times New Roman" w:hAnsi="Times New Roman"/>
          <w:sz w:val="24"/>
          <w:szCs w:val="24"/>
          <w:lang w:eastAsia="es-ES"/>
        </w:rPr>
        <w:t>“</w:t>
      </w:r>
      <w:r w:rsidRPr="00551CFB">
        <w:rPr>
          <w:rFonts w:ascii="Times New Roman" w:eastAsia="Times New Roman" w:hAnsi="Times New Roman"/>
          <w:iCs/>
          <w:sz w:val="24"/>
          <w:szCs w:val="24"/>
          <w:lang w:eastAsia="es-ES"/>
        </w:rPr>
        <w:t>per se</w:t>
      </w:r>
      <w:r w:rsidR="00551CFB">
        <w:rPr>
          <w:rFonts w:ascii="Times New Roman" w:eastAsia="Times New Roman" w:hAnsi="Times New Roman"/>
          <w:iCs/>
          <w:sz w:val="24"/>
          <w:szCs w:val="24"/>
          <w:lang w:eastAsia="es-ES"/>
        </w:rPr>
        <w:t>”</w:t>
      </w:r>
      <w:r w:rsidRPr="00D33F7D">
        <w:rPr>
          <w:rFonts w:ascii="Times New Roman" w:eastAsia="Times New Roman" w:hAnsi="Times New Roman"/>
          <w:sz w:val="24"/>
          <w:szCs w:val="24"/>
          <w:lang w:eastAsia="es-ES"/>
        </w:rPr>
        <w:t xml:space="preserve"> es cardinalizar el ranking ordinal, es decir, le ponen números. En la lista de las 50 primeras, le dan 50 puntos al primero, 49 al segundo y así sucesivamente. Esto les permite tener medidas </w:t>
      </w:r>
      <w:r w:rsidR="006204E4">
        <w:rPr>
          <w:rFonts w:ascii="Times New Roman" w:eastAsia="Times New Roman" w:hAnsi="Times New Roman"/>
          <w:sz w:val="24"/>
          <w:szCs w:val="24"/>
          <w:lang w:eastAsia="es-ES"/>
        </w:rPr>
        <w:t>“</w:t>
      </w:r>
      <w:r w:rsidRPr="006204E4">
        <w:rPr>
          <w:rFonts w:ascii="Times New Roman" w:eastAsia="Times New Roman" w:hAnsi="Times New Roman"/>
          <w:iCs/>
          <w:sz w:val="24"/>
          <w:szCs w:val="24"/>
          <w:lang w:eastAsia="es-ES"/>
        </w:rPr>
        <w:t xml:space="preserve">per </w:t>
      </w:r>
      <w:r w:rsidR="00C26470" w:rsidRPr="006204E4">
        <w:rPr>
          <w:rFonts w:ascii="Times New Roman" w:eastAsia="Times New Roman" w:hAnsi="Times New Roman"/>
          <w:iCs/>
          <w:sz w:val="24"/>
          <w:szCs w:val="24"/>
          <w:lang w:eastAsia="es-ES"/>
        </w:rPr>
        <w:t>cápita</w:t>
      </w:r>
      <w:r w:rsidR="006204E4">
        <w:rPr>
          <w:rFonts w:ascii="Times New Roman" w:eastAsia="Times New Roman" w:hAnsi="Times New Roman"/>
          <w:iCs/>
          <w:sz w:val="24"/>
          <w:szCs w:val="24"/>
          <w:lang w:eastAsia="es-ES"/>
        </w:rPr>
        <w:t>”</w:t>
      </w:r>
      <w:r w:rsidRPr="00D33F7D">
        <w:rPr>
          <w:rFonts w:ascii="Times New Roman" w:eastAsia="Times New Roman" w:hAnsi="Times New Roman"/>
          <w:sz w:val="24"/>
          <w:szCs w:val="24"/>
          <w:lang w:eastAsia="es-ES"/>
        </w:rPr>
        <w:t xml:space="preserve"> por países (es lógico que un país más grande tenga más universidades buenas). Luego estandarizan la puntuación de los Estados Unidos a 100. En esta comparación España también va fatal, pero algunos países (Reino Unido, </w:t>
      </w:r>
      <w:r w:rsidR="00C26470" w:rsidRPr="00D33F7D">
        <w:rPr>
          <w:rFonts w:ascii="Times New Roman" w:eastAsia="Times New Roman" w:hAnsi="Times New Roman"/>
          <w:sz w:val="24"/>
          <w:szCs w:val="24"/>
          <w:lang w:eastAsia="es-ES"/>
        </w:rPr>
        <w:t>escandinavos</w:t>
      </w:r>
      <w:r w:rsidRPr="00D33F7D">
        <w:rPr>
          <w:rFonts w:ascii="Times New Roman" w:eastAsia="Times New Roman" w:hAnsi="Times New Roman"/>
          <w:sz w:val="24"/>
          <w:szCs w:val="24"/>
          <w:lang w:eastAsia="es-ES"/>
        </w:rPr>
        <w:t xml:space="preserve"> y Holanda) lo hacen relativamente bien una vez ampliamos el ranking más allá de los primeros 100.</w:t>
      </w:r>
    </w:p>
    <w:p w:rsidR="00FF3B17" w:rsidRPr="00D33F7D"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4C8AD976" wp14:editId="05C570D1">
            <wp:extent cx="5610758" cy="5230368"/>
            <wp:effectExtent l="0" t="0" r="0" b="8890"/>
            <wp:docPr id="11" name="Imagen 11" descr="graficos-universidad-11">
              <a:hlinkClick xmlns:a="http://schemas.openxmlformats.org/drawingml/2006/main" r:id="rId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raficos-universidad-1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610513" cy="5230140"/>
                    </a:xfrm>
                    <a:prstGeom prst="rect">
                      <a:avLst/>
                    </a:prstGeom>
                    <a:noFill/>
                    <a:ln>
                      <a:noFill/>
                    </a:ln>
                  </pic:spPr>
                </pic:pic>
              </a:graphicData>
            </a:graphic>
          </wp:inline>
        </w:drawing>
      </w:r>
    </w:p>
    <w:p w:rsidR="00FF3B17" w:rsidRPr="00D33F7D"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Pero lo más interesante es la parte que tiene que ver con los determinantes del éxito relativo. Aquí hay dos tipos de análisis. Uno de puras correlaciones entre naciones, que tiene su interés para sugerir hipótesis, y otro más propiamente causal, que explota variaciones entre los estados americanos. </w:t>
      </w:r>
    </w:p>
    <w:p w:rsidR="00FF3B17" w:rsidRPr="00D33F7D"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Los autores enviaron un cuestionario a las universidades para conocer su grado de autonomía y de competencia (para atraer alumnos, profesores y fondos).</w:t>
      </w:r>
      <w:r>
        <w:rPr>
          <w:rFonts w:ascii="Times New Roman" w:eastAsia="Times New Roman" w:hAnsi="Times New Roman"/>
          <w:sz w:val="24"/>
          <w:szCs w:val="24"/>
          <w:lang w:eastAsia="es-ES"/>
        </w:rPr>
        <w:t xml:space="preserve"> Las preguntas eran como sigue:</w:t>
      </w:r>
    </w:p>
    <w:p w:rsidR="00FF3B17" w:rsidRPr="00D33F7D" w:rsidRDefault="00FF3B17" w:rsidP="00550638">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¿La universidad establece su propio plan de estudios? </w:t>
      </w:r>
    </w:p>
    <w:p w:rsidR="00FF3B17" w:rsidRPr="00D33F7D" w:rsidRDefault="00FF3B17" w:rsidP="00550638">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¿Puede la universidad seleccionar a sus propios alumnos o hay asignación centralizada? </w:t>
      </w:r>
    </w:p>
    <w:p w:rsidR="00FF3B17" w:rsidRPr="00D33F7D" w:rsidRDefault="00FF3B17" w:rsidP="00550638">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¿En qué medida puede la universidad seleccionar a sus propios profesores? </w:t>
      </w:r>
    </w:p>
    <w:p w:rsidR="00FF3B17" w:rsidRPr="00D33F7D" w:rsidRDefault="00FF3B17" w:rsidP="00550638">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¿Cuánto interviene el estado en la fijación de los salarios? </w:t>
      </w:r>
    </w:p>
    <w:p w:rsidR="00FF3B17" w:rsidRPr="00D33F7D" w:rsidRDefault="00FF3B17" w:rsidP="00550638">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¿Todos los profesores con la misma antigüedad y categoría tienen el mismo salario? </w:t>
      </w:r>
    </w:p>
    <w:p w:rsidR="00FF3B17" w:rsidRPr="00D33F7D" w:rsidRDefault="00FF3B17" w:rsidP="00550638">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¿Debe aprobar el gobierno el presupuesto de la Universidad? </w:t>
      </w:r>
    </w:p>
    <w:p w:rsidR="00FF3B17" w:rsidRPr="00D33F7D" w:rsidRDefault="00FF3B17" w:rsidP="00550638">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¿Qué parte del presupuesto de la universidad proviene de fondos del gobierno? </w:t>
      </w:r>
    </w:p>
    <w:p w:rsidR="00FF3B17" w:rsidRPr="00D33F7D" w:rsidRDefault="00FF3B17" w:rsidP="00550638">
      <w:pPr>
        <w:numPr>
          <w:ilvl w:val="0"/>
          <w:numId w:val="3"/>
        </w:num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lastRenderedPageBreak/>
        <w:t xml:space="preserve">¿Qué parte del presupuesto de la universidad viene de becas de investigación por las cuales la universidad debe competir? </w:t>
      </w:r>
    </w:p>
    <w:p w:rsidR="00FF3B17" w:rsidRPr="00D33F7D" w:rsidRDefault="00FF3B17" w:rsidP="00550638">
      <w:pPr>
        <w:spacing w:after="0"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Con estas preguntas se construye un índice de autonomía y competencia. La hipótesis es que cuanta más autonomía y competencia, mejores resultados en los rankings. Los autores dicen que no tiene mucho sentido separar autonomía de competencia. Por un lado porque tienden a ir juntas en casi todas partes, de manera que sería difícil separar sus efectos estadísticamente. Pero además autonomía sin competencia lleva a dilapidar rentas y competencia sin autonomía no permite reaccionar. </w:t>
      </w:r>
    </w:p>
    <w:p w:rsidR="007B7B8C"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Para ver las correlaciones entre este índice de autonomía y competencia, y los rankings, podemos usar los próximos gráficos (que los autores complementan con análisis de regresión). Los gráficos separan los Estados Unidos de Europa porque índices americanos y europeos de autonomía se calculan de forma diferente. Lo hacen así porque en muchas medidas de autonomía todas las universidades americanas la tienen, y por tanto habría poca variación para ellas.</w:t>
      </w:r>
    </w:p>
    <w:p w:rsidR="00FF3B17" w:rsidRPr="00D33F7D"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br/>
      </w:r>
      <w:r>
        <w:rPr>
          <w:rFonts w:ascii="Times New Roman" w:eastAsia="Times New Roman" w:hAnsi="Times New Roman"/>
          <w:noProof/>
          <w:color w:val="0000FF"/>
          <w:sz w:val="24"/>
          <w:szCs w:val="24"/>
          <w:lang w:eastAsia="es-ES"/>
        </w:rPr>
        <w:drawing>
          <wp:inline distT="0" distB="0" distL="0" distR="0" wp14:anchorId="0285B974" wp14:editId="5F283B1B">
            <wp:extent cx="5449824" cy="2516429"/>
            <wp:effectExtent l="0" t="0" r="0" b="0"/>
            <wp:docPr id="10" name="Imagen 10" descr="graficos-universidad-2">
              <a:hlinkClick xmlns:a="http://schemas.openxmlformats.org/drawingml/2006/main" r:id="rId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graficos-universidad-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449824" cy="2516429"/>
                    </a:xfrm>
                    <a:prstGeom prst="rect">
                      <a:avLst/>
                    </a:prstGeom>
                    <a:noFill/>
                    <a:ln>
                      <a:noFill/>
                    </a:ln>
                  </pic:spPr>
                </pic:pic>
              </a:graphicData>
            </a:graphic>
          </wp:inline>
        </w:drawing>
      </w:r>
    </w:p>
    <w:p w:rsidR="00FF3B17" w:rsidRPr="00D33F7D"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25705BD8" wp14:editId="62804090">
            <wp:extent cx="5383987" cy="2757830"/>
            <wp:effectExtent l="0" t="0" r="7620" b="4445"/>
            <wp:docPr id="9" name="Imagen 9" descr="graficos-universidad-3">
              <a:hlinkClick xmlns:a="http://schemas.openxmlformats.org/drawingml/2006/main" r:id="rId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graficos-universidad-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383752" cy="2757710"/>
                    </a:xfrm>
                    <a:prstGeom prst="rect">
                      <a:avLst/>
                    </a:prstGeom>
                    <a:noFill/>
                    <a:ln>
                      <a:noFill/>
                    </a:ln>
                  </pic:spPr>
                </pic:pic>
              </a:graphicData>
            </a:graphic>
          </wp:inline>
        </w:drawing>
      </w:r>
    </w:p>
    <w:p w:rsidR="00FF3B17" w:rsidRPr="00D33F7D"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lastRenderedPageBreak/>
        <w:t xml:space="preserve">La conclusión parece clara. Las universidades más autónomas y que se enfrentan a mayor competencia, tienden a tener mejores resultados. Como ya hemos dicho muchas veces, el análisis de correlaciones apunta a un posible culpable, pero no basta para establecer la causalidad que nos interesa (en las películas de juicios dirían que es </w:t>
      </w:r>
      <w:r w:rsidR="006204E4">
        <w:rPr>
          <w:rFonts w:ascii="Times New Roman" w:eastAsia="Times New Roman" w:hAnsi="Times New Roman"/>
          <w:sz w:val="24"/>
          <w:szCs w:val="24"/>
          <w:lang w:eastAsia="es-ES"/>
        </w:rPr>
        <w:t>“</w:t>
      </w:r>
      <w:r w:rsidRPr="006204E4">
        <w:rPr>
          <w:rFonts w:ascii="Times New Roman" w:eastAsia="Times New Roman" w:hAnsi="Times New Roman"/>
          <w:iCs/>
          <w:sz w:val="24"/>
          <w:szCs w:val="24"/>
          <w:lang w:eastAsia="es-ES"/>
        </w:rPr>
        <w:t>evidencia circunstancial</w:t>
      </w:r>
      <w:r w:rsidR="006204E4">
        <w:rPr>
          <w:rFonts w:ascii="Times New Roman" w:eastAsia="Times New Roman" w:hAnsi="Times New Roman"/>
          <w:iCs/>
          <w:sz w:val="24"/>
          <w:szCs w:val="24"/>
          <w:lang w:eastAsia="es-ES"/>
        </w:rPr>
        <w:t>”</w:t>
      </w:r>
      <w:r w:rsidRPr="00D33F7D">
        <w:rPr>
          <w:rFonts w:ascii="Times New Roman" w:eastAsia="Times New Roman" w:hAnsi="Times New Roman"/>
          <w:sz w:val="24"/>
          <w:szCs w:val="24"/>
          <w:lang w:eastAsia="es-ES"/>
        </w:rPr>
        <w:t xml:space="preserve">). La causalidad la buscan los autores en el análisis de cómo las patentes y publicaciones de cada Universidad en Estados Unidos se ven afectadas por la competitividad de los fondos públicos que reciben. Para establecer la causalidad explotan una particularidad del sistema presupuestario americano. Gran parte de los fondos de investigación se gestionan vía convocatorias públicas competitivas, pero un comité del Congreso (el </w:t>
      </w:r>
      <w:r w:rsidRPr="006204E4">
        <w:rPr>
          <w:rFonts w:ascii="Times New Roman" w:eastAsia="Times New Roman" w:hAnsi="Times New Roman"/>
          <w:iCs/>
          <w:sz w:val="24"/>
          <w:szCs w:val="24"/>
          <w:lang w:eastAsia="es-ES"/>
        </w:rPr>
        <w:t>Appropriations Committee</w:t>
      </w:r>
      <w:r w:rsidRPr="00D33F7D">
        <w:rPr>
          <w:rFonts w:ascii="Times New Roman" w:eastAsia="Times New Roman" w:hAnsi="Times New Roman"/>
          <w:sz w:val="24"/>
          <w:szCs w:val="24"/>
          <w:lang w:eastAsia="es-ES"/>
        </w:rPr>
        <w:t xml:space="preserve">) tiene poder para hacer asignaciones bastante arbitrarias (lo que se suele llamar el </w:t>
      </w:r>
      <w:r w:rsidR="00551CFB">
        <w:rPr>
          <w:rFonts w:ascii="Times New Roman" w:eastAsia="Times New Roman" w:hAnsi="Times New Roman"/>
          <w:sz w:val="24"/>
          <w:szCs w:val="24"/>
          <w:lang w:eastAsia="es-ES"/>
        </w:rPr>
        <w:t>“</w:t>
      </w:r>
      <w:hyperlink r:id="rId73" w:history="1">
        <w:r w:rsidRPr="00551CFB">
          <w:rPr>
            <w:rFonts w:ascii="Times New Roman" w:eastAsia="Times New Roman" w:hAnsi="Times New Roman"/>
            <w:sz w:val="24"/>
            <w:szCs w:val="24"/>
            <w:lang w:eastAsia="es-ES"/>
          </w:rPr>
          <w:t>pork barrel spending</w:t>
        </w:r>
      </w:hyperlink>
      <w:r w:rsidR="00551CFB">
        <w:rPr>
          <w:rFonts w:ascii="Times New Roman" w:eastAsia="Times New Roman" w:hAnsi="Times New Roman"/>
          <w:sz w:val="24"/>
          <w:szCs w:val="24"/>
          <w:lang w:eastAsia="es-ES"/>
        </w:rPr>
        <w:t>”</w:t>
      </w:r>
      <w:r w:rsidRPr="00D33F7D">
        <w:rPr>
          <w:rFonts w:ascii="Times New Roman" w:eastAsia="Times New Roman" w:hAnsi="Times New Roman"/>
          <w:sz w:val="24"/>
          <w:szCs w:val="24"/>
          <w:lang w:eastAsia="es-ES"/>
        </w:rPr>
        <w:t xml:space="preserve">.) Dado el poder de este comité, ningún político quiere dejarlo, y solamente eventos aleatorios (una muerte o una jubilación, por ejemplo) crean vacantes. El </w:t>
      </w:r>
      <w:r w:rsidR="006204E4">
        <w:rPr>
          <w:rFonts w:ascii="Times New Roman" w:eastAsia="Times New Roman" w:hAnsi="Times New Roman"/>
          <w:sz w:val="24"/>
          <w:szCs w:val="24"/>
          <w:lang w:eastAsia="es-ES"/>
        </w:rPr>
        <w:t>“</w:t>
      </w:r>
      <w:r w:rsidRPr="006204E4">
        <w:rPr>
          <w:rFonts w:ascii="Times New Roman" w:eastAsia="Times New Roman" w:hAnsi="Times New Roman"/>
          <w:iCs/>
          <w:sz w:val="24"/>
          <w:szCs w:val="24"/>
          <w:lang w:eastAsia="es-ES"/>
        </w:rPr>
        <w:t>shock</w:t>
      </w:r>
      <w:r w:rsidR="006204E4">
        <w:rPr>
          <w:rFonts w:ascii="Times New Roman" w:eastAsia="Times New Roman" w:hAnsi="Times New Roman"/>
          <w:iCs/>
          <w:sz w:val="24"/>
          <w:szCs w:val="24"/>
          <w:lang w:eastAsia="es-ES"/>
        </w:rPr>
        <w:t>”</w:t>
      </w:r>
      <w:r w:rsidRPr="00D33F7D">
        <w:rPr>
          <w:rFonts w:ascii="Times New Roman" w:eastAsia="Times New Roman" w:hAnsi="Times New Roman"/>
          <w:sz w:val="24"/>
          <w:szCs w:val="24"/>
          <w:lang w:eastAsia="es-ES"/>
        </w:rPr>
        <w:t xml:space="preserve"> exógeno que les permite analizar la causalidad es el acceso, esencialmente aleatorio argumentan los autores, de un representante del estado al comité, que se traduce en un aumento de financiación no competitiva a las universidades de su estado.</w:t>
      </w:r>
    </w:p>
    <w:p w:rsidR="00FF3B17" w:rsidRPr="00D33F7D"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t xml:space="preserve">La tabla que sigue mide los efectos de las inversiones en instituciones educativas en el número de patentes. Los dos primeros coeficientes en negrita miden cómo el efecto del dinero gastado aumenta de manera significativa con el índice de autonomía (sobre universidades propiamente de investigación y </w:t>
      </w:r>
      <w:r w:rsidR="006204E4">
        <w:rPr>
          <w:rFonts w:ascii="Times New Roman" w:eastAsia="Times New Roman" w:hAnsi="Times New Roman"/>
          <w:sz w:val="24"/>
          <w:szCs w:val="24"/>
          <w:lang w:eastAsia="es-ES"/>
        </w:rPr>
        <w:t>“</w:t>
      </w:r>
      <w:r w:rsidRPr="006204E4">
        <w:rPr>
          <w:rFonts w:ascii="Times New Roman" w:eastAsia="Times New Roman" w:hAnsi="Times New Roman"/>
          <w:iCs/>
          <w:sz w:val="24"/>
          <w:szCs w:val="24"/>
          <w:lang w:eastAsia="es-ES"/>
        </w:rPr>
        <w:t>teaching colleges</w:t>
      </w:r>
      <w:r w:rsidR="006204E4">
        <w:rPr>
          <w:rFonts w:ascii="Times New Roman" w:eastAsia="Times New Roman" w:hAnsi="Times New Roman"/>
          <w:iCs/>
          <w:sz w:val="24"/>
          <w:szCs w:val="24"/>
          <w:lang w:eastAsia="es-ES"/>
        </w:rPr>
        <w:t>”</w:t>
      </w:r>
      <w:r w:rsidRPr="00D33F7D">
        <w:rPr>
          <w:rFonts w:ascii="Times New Roman" w:eastAsia="Times New Roman" w:hAnsi="Times New Roman"/>
          <w:sz w:val="24"/>
          <w:szCs w:val="24"/>
          <w:lang w:eastAsia="es-ES"/>
        </w:rPr>
        <w:t xml:space="preserve"> que enfatizan más el aspecto docente pero donde también se hace investigación). Los dos segundos analizan cómo la presencia de universidades privadas potencia el efecto del gasto en universidades, y el tercero como la cercanía a la frontera tecnológica (donde los retornos a las patentes son mayores) aumenta el efecto del gasto. Los efectos sobre publicaciones son muy parecidos, con la excepción de que disminuye el efecto de la presencia de universidades privadas.</w:t>
      </w:r>
    </w:p>
    <w:p w:rsidR="00FF3B17" w:rsidRPr="00D33F7D"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6D39BF02" wp14:editId="5B61A2BD">
            <wp:extent cx="5508345" cy="3642969"/>
            <wp:effectExtent l="0" t="0" r="0" b="0"/>
            <wp:docPr id="8" name="Imagen 8" descr="graficos-universidad-4">
              <a:hlinkClick xmlns:a="http://schemas.openxmlformats.org/drawingml/2006/main" r:id="rId7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raficos-universidad-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08104" cy="3642810"/>
                    </a:xfrm>
                    <a:prstGeom prst="rect">
                      <a:avLst/>
                    </a:prstGeom>
                    <a:noFill/>
                    <a:ln>
                      <a:noFill/>
                    </a:ln>
                  </pic:spPr>
                </pic:pic>
              </a:graphicData>
            </a:graphic>
          </wp:inline>
        </w:drawing>
      </w:r>
    </w:p>
    <w:p w:rsidR="00FF3B17"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D33F7D">
        <w:rPr>
          <w:rFonts w:ascii="Times New Roman" w:eastAsia="Times New Roman" w:hAnsi="Times New Roman"/>
          <w:sz w:val="24"/>
          <w:szCs w:val="24"/>
          <w:lang w:eastAsia="es-ES"/>
        </w:rPr>
        <w:lastRenderedPageBreak/>
        <w:t xml:space="preserve">Creo que las conclusiones que podemos sacar son evidentes. Es prioritario aumentar el grado de autonomía y competencia de nuestras universidades. Más flexibilidad contractual y salarial, y más competencia en la provisión de fondos públicos. Un sistema fácilmente copiable es el británico. Cada cuatro o cinco años se hace un </w:t>
      </w:r>
      <w:r w:rsidR="00551CFB">
        <w:rPr>
          <w:rFonts w:ascii="Times New Roman" w:eastAsia="Times New Roman" w:hAnsi="Times New Roman"/>
          <w:sz w:val="24"/>
          <w:szCs w:val="24"/>
          <w:lang w:eastAsia="es-ES"/>
        </w:rPr>
        <w:t>“</w:t>
      </w:r>
      <w:hyperlink r:id="rId76" w:history="1">
        <w:r w:rsidRPr="00551CFB">
          <w:rPr>
            <w:rFonts w:ascii="Times New Roman" w:eastAsia="Times New Roman" w:hAnsi="Times New Roman"/>
            <w:sz w:val="24"/>
            <w:szCs w:val="24"/>
            <w:lang w:eastAsia="es-ES"/>
          </w:rPr>
          <w:t>research assessment exercise</w:t>
        </w:r>
      </w:hyperlink>
      <w:r w:rsidR="00551CFB">
        <w:rPr>
          <w:rFonts w:ascii="Times New Roman" w:eastAsia="Times New Roman" w:hAnsi="Times New Roman"/>
          <w:sz w:val="24"/>
          <w:szCs w:val="24"/>
          <w:lang w:eastAsia="es-ES"/>
        </w:rPr>
        <w:t>”</w:t>
      </w:r>
      <w:r w:rsidRPr="00551CFB">
        <w:rPr>
          <w:rFonts w:ascii="Times New Roman" w:eastAsia="Times New Roman" w:hAnsi="Times New Roman"/>
          <w:sz w:val="24"/>
          <w:szCs w:val="24"/>
          <w:lang w:eastAsia="es-ES"/>
        </w:rPr>
        <w:t xml:space="preserve"> </w:t>
      </w:r>
      <w:r w:rsidRPr="00D33F7D">
        <w:rPr>
          <w:rFonts w:ascii="Times New Roman" w:eastAsia="Times New Roman" w:hAnsi="Times New Roman"/>
          <w:sz w:val="24"/>
          <w:szCs w:val="24"/>
          <w:lang w:eastAsia="es-ES"/>
        </w:rPr>
        <w:t xml:space="preserve">(ejercicio de evaluación de la investigación) en el que se clasifica a las universidades por ramas del saber en categorías (de 5 estrellas a cero estrellas como los hoteles). Y en el período siguiente la financiación de la investigación depende de manera crucial de estos resultados, que los estudiantes también utilizan para saber cuáles son las mejores </w:t>
      </w:r>
      <w:r w:rsidR="007B7B8C">
        <w:rPr>
          <w:rFonts w:ascii="Times New Roman" w:eastAsia="Times New Roman" w:hAnsi="Times New Roman"/>
          <w:sz w:val="24"/>
          <w:szCs w:val="24"/>
          <w:lang w:eastAsia="es-ES"/>
        </w:rPr>
        <w:t>universidades a las que asistir</w:t>
      </w:r>
      <w:r w:rsidRPr="00D33F7D">
        <w:rPr>
          <w:rFonts w:ascii="Times New Roman" w:eastAsia="Times New Roman" w:hAnsi="Times New Roman"/>
          <w:sz w:val="24"/>
          <w:szCs w:val="24"/>
          <w:lang w:eastAsia="es-ES"/>
        </w:rPr>
        <w:t xml:space="preserve">. Obviamente, los británicos no dan </w:t>
      </w:r>
      <w:r w:rsidR="006204E4">
        <w:rPr>
          <w:rFonts w:ascii="Times New Roman" w:eastAsia="Times New Roman" w:hAnsi="Times New Roman"/>
          <w:sz w:val="24"/>
          <w:szCs w:val="24"/>
          <w:lang w:eastAsia="es-ES"/>
        </w:rPr>
        <w:t>“</w:t>
      </w:r>
      <w:r w:rsidRPr="006204E4">
        <w:rPr>
          <w:rFonts w:ascii="Times New Roman" w:eastAsia="Times New Roman" w:hAnsi="Times New Roman"/>
          <w:iCs/>
          <w:sz w:val="24"/>
          <w:szCs w:val="24"/>
          <w:lang w:eastAsia="es-ES"/>
        </w:rPr>
        <w:t>café para todos</w:t>
      </w:r>
      <w:r w:rsidR="006204E4">
        <w:rPr>
          <w:rFonts w:ascii="Times New Roman" w:eastAsia="Times New Roman" w:hAnsi="Times New Roman"/>
          <w:iCs/>
          <w:sz w:val="24"/>
          <w:szCs w:val="24"/>
          <w:lang w:eastAsia="es-ES"/>
        </w:rPr>
        <w:t>”</w:t>
      </w:r>
      <w:r w:rsidRPr="00D33F7D">
        <w:rPr>
          <w:rFonts w:ascii="Times New Roman" w:eastAsia="Times New Roman" w:hAnsi="Times New Roman"/>
          <w:sz w:val="24"/>
          <w:szCs w:val="24"/>
          <w:lang w:eastAsia="es-ES"/>
        </w:rPr>
        <w:t xml:space="preserve"> (o en su caso, quizá té). Los resultados a la vista están.</w:t>
      </w:r>
    </w:p>
    <w:p w:rsidR="003836AB" w:rsidRPr="00193E31" w:rsidRDefault="003836AB" w:rsidP="00550638">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i/>
          <w:sz w:val="24"/>
          <w:szCs w:val="24"/>
          <w:lang w:eastAsia="es-ES"/>
        </w:rPr>
        <w:t>“</w:t>
      </w:r>
      <w:r w:rsidR="00FF3B17" w:rsidRPr="003836AB">
        <w:rPr>
          <w:rFonts w:ascii="Times New Roman" w:eastAsia="Times New Roman" w:hAnsi="Times New Roman"/>
          <w:i/>
          <w:sz w:val="24"/>
          <w:szCs w:val="24"/>
          <w:lang w:eastAsia="es-ES"/>
        </w:rPr>
        <w:t>El informe de PISA 2009 nos sigue dando material para discutir sobre los gravísimos problemas de nuestro sistema educativo</w:t>
      </w:r>
      <w:r w:rsidRPr="003836AB">
        <w:rPr>
          <w:rFonts w:ascii="Times New Roman" w:eastAsia="Times New Roman" w:hAnsi="Times New Roman"/>
          <w:i/>
          <w:sz w:val="24"/>
          <w:szCs w:val="24"/>
          <w:lang w:eastAsia="es-ES"/>
        </w:rPr>
        <w:t xml:space="preserve">… </w:t>
      </w:r>
      <w:r w:rsidR="00FF3B17" w:rsidRPr="003836AB">
        <w:rPr>
          <w:rFonts w:ascii="Times New Roman" w:eastAsia="Times New Roman" w:hAnsi="Times New Roman"/>
          <w:i/>
          <w:sz w:val="24"/>
          <w:szCs w:val="24"/>
          <w:lang w:eastAsia="es-ES"/>
        </w:rPr>
        <w:t>Con los</w:t>
      </w:r>
      <w:hyperlink r:id="rId77" w:anchor="C2.1!A1" w:history="1">
        <w:r w:rsidR="00FF3B17" w:rsidRPr="003836AB">
          <w:rPr>
            <w:rFonts w:ascii="Times New Roman" w:eastAsia="Times New Roman" w:hAnsi="Times New Roman"/>
            <w:i/>
            <w:sz w:val="24"/>
            <w:szCs w:val="24"/>
            <w:lang w:eastAsia="es-ES"/>
          </w:rPr>
          <w:t xml:space="preserve"> datos</w:t>
        </w:r>
      </w:hyperlink>
      <w:r w:rsidR="00FF3B17" w:rsidRPr="003836AB">
        <w:rPr>
          <w:rFonts w:ascii="Times New Roman" w:eastAsia="Times New Roman" w:hAnsi="Times New Roman"/>
          <w:i/>
          <w:sz w:val="24"/>
          <w:szCs w:val="24"/>
          <w:lang w:eastAsia="es-ES"/>
        </w:rPr>
        <w:t>  facilitados por nuestro Ministerio de Educación, ya sabíamos que las tasas de idoneidad no cesaron de caer en la última década. En el curso 2008-2009, sólo un 58.7% de los alumnos de 15 años estaba matriculado en el curso que le correspondía a su edad, es decir, nunca había repetido curso. Una década antes, en el curso 1998-1999, esta tasa era del 64,6%, y es en el período de la ESO, de los 12 a los 15 años, durante el cual experimentó su mayor caída</w:t>
      </w:r>
      <w:r>
        <w:rPr>
          <w:rFonts w:ascii="Times New Roman" w:eastAsia="Times New Roman" w:hAnsi="Times New Roman"/>
          <w:i/>
          <w:sz w:val="24"/>
          <w:szCs w:val="24"/>
          <w:lang w:eastAsia="es-ES"/>
        </w:rPr>
        <w:t>”..</w:t>
      </w:r>
      <w:r w:rsidR="00FF3B17" w:rsidRPr="003836AB">
        <w:rPr>
          <w:rFonts w:ascii="Times New Roman" w:eastAsia="Times New Roman" w:hAnsi="Times New Roman"/>
          <w:i/>
          <w:sz w:val="24"/>
          <w:szCs w:val="24"/>
          <w:lang w:eastAsia="es-ES"/>
        </w:rPr>
        <w:t>.</w:t>
      </w:r>
      <w:r w:rsidRPr="003836AB">
        <w:rPr>
          <w:rFonts w:ascii="Times New Roman" w:eastAsia="Times New Roman" w:hAnsi="Times New Roman"/>
          <w:bCs/>
          <w:kern w:val="36"/>
          <w:sz w:val="24"/>
          <w:szCs w:val="24"/>
          <w:u w:val="single"/>
          <w:lang w:eastAsia="es-ES"/>
        </w:rPr>
        <w:t xml:space="preserve"> </w:t>
      </w:r>
      <w:r w:rsidRPr="00193E31">
        <w:rPr>
          <w:rFonts w:ascii="Times New Roman" w:eastAsia="Times New Roman" w:hAnsi="Times New Roman"/>
          <w:bCs/>
          <w:kern w:val="36"/>
          <w:sz w:val="24"/>
          <w:szCs w:val="24"/>
          <w:u w:val="single"/>
          <w:lang w:eastAsia="es-ES"/>
        </w:rPr>
        <w:t>¿Pero cómo van a aprender los buenos alumnos con estas condiciones?</w:t>
      </w:r>
      <w:r>
        <w:rPr>
          <w:rFonts w:ascii="Times New Roman" w:eastAsia="Times New Roman" w:hAnsi="Times New Roman"/>
          <w:bCs/>
          <w:kern w:val="36"/>
          <w:sz w:val="24"/>
          <w:szCs w:val="24"/>
          <w:lang w:eastAsia="es-ES"/>
        </w:rPr>
        <w:t xml:space="preserve"> (Fedea - </w:t>
      </w:r>
      <w:r w:rsidRPr="00DE34C3">
        <w:rPr>
          <w:rFonts w:ascii="Times New Roman" w:eastAsia="Times New Roman" w:hAnsi="Times New Roman"/>
          <w:b/>
          <w:bCs/>
          <w:kern w:val="36"/>
          <w:sz w:val="24"/>
          <w:szCs w:val="24"/>
          <w:lang w:eastAsia="es-ES"/>
        </w:rPr>
        <w:t>18/1/11</w:t>
      </w:r>
      <w:r>
        <w:rPr>
          <w:rFonts w:ascii="Times New Roman" w:eastAsia="Times New Roman" w:hAnsi="Times New Roman"/>
          <w:bCs/>
          <w:kern w:val="36"/>
          <w:sz w:val="24"/>
          <w:szCs w:val="24"/>
          <w:lang w:eastAsia="es-ES"/>
        </w:rPr>
        <w:t>)</w:t>
      </w:r>
    </w:p>
    <w:p w:rsidR="00FF3B17" w:rsidRPr="00193E31"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En el Gráfico 1 se muestra el porcentaje de alumnos repetidores que pasaron el último test de PISA (15-16 años). Se puede observar que, entre los 61 países para los que se dispone de esta información en la muestra,  ¡¡¡somos los 3º con mayor proporción de repetidores, prácticamente empatados con Túnez y Macao!!!</w:t>
      </w:r>
      <w:r w:rsidRPr="00193E31">
        <w:rPr>
          <w:rFonts w:ascii="Times New Roman" w:eastAsia="Times New Roman" w:hAnsi="Times New Roman"/>
          <w:sz w:val="24"/>
          <w:szCs w:val="24"/>
          <w:lang w:eastAsia="es-ES"/>
        </w:rPr>
        <w:t xml:space="preserve"> Con un 32%, estamos ni más ni menos que a 23 puntos de la media de PISA, a 21.5 de la UE27. Somos los primeros entre las mujeres, los terceros entre los varones. Por poner otros ejemplos extremos, Dinamarca, Finlandia o Reino Unido, no llegan ni al 1%.</w:t>
      </w:r>
    </w:p>
    <w:p w:rsidR="00FF3B17" w:rsidRPr="0035723E"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iCs/>
          <w:sz w:val="24"/>
          <w:szCs w:val="24"/>
          <w:lang w:eastAsia="es-ES"/>
        </w:rPr>
        <w:t>El problema se sitúa especialmente en la Secundaria.  </w:t>
      </w:r>
      <w:r w:rsidRPr="0035723E">
        <w:rPr>
          <w:rFonts w:ascii="Times New Roman" w:eastAsia="Times New Roman" w:hAnsi="Times New Roman"/>
          <w:sz w:val="24"/>
          <w:szCs w:val="24"/>
          <w:lang w:eastAsia="es-ES"/>
        </w:rPr>
        <w:t>En Primaria Francia, Portugal y Bélgica, por ejemplo, nos superan ampliamente, y estamos muy cerquita de EEUU. Es pues, un problema que se concentra en nuestra ESO. Esto nos ayuda a rechazar la hipótesis de que haya un problema intrínseco con los niños españoles o sus padres o los profesores y apunta a que el culpable es el sistema, la ESO</w:t>
      </w:r>
    </w:p>
    <w:p w:rsidR="00FF3B17" w:rsidRPr="00193E31"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4BAD25F8" wp14:editId="4C9677DB">
            <wp:extent cx="5486327" cy="2728569"/>
            <wp:effectExtent l="0" t="0" r="635" b="0"/>
            <wp:docPr id="21" name="Imagen 21" descr="graf1">
              <a:hlinkClick xmlns:a="http://schemas.openxmlformats.org/drawingml/2006/main" r:id="rId7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graf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86400" cy="2728605"/>
                    </a:xfrm>
                    <a:prstGeom prst="rect">
                      <a:avLst/>
                    </a:prstGeom>
                    <a:noFill/>
                    <a:ln>
                      <a:noFill/>
                    </a:ln>
                  </pic:spPr>
                </pic:pic>
              </a:graphicData>
            </a:graphic>
          </wp:inline>
        </w:drawing>
      </w:r>
    </w:p>
    <w:p w:rsidR="00FF3B17" w:rsidRPr="0035723E"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lastRenderedPageBreak/>
        <w:t>Podemos mirar a las diferencias por nacionalidad, por nivel educativo de los padres o por tipo de colegio- en todas ellas estamos en el top de los rankings de repetidores en la Enseñanza Segundaria Obligatoria. Como se puede ver en el Gráfico 2:</w:t>
      </w:r>
    </w:p>
    <w:p w:rsidR="00FF3B17" w:rsidRPr="0035723E" w:rsidRDefault="00FF3B17" w:rsidP="00550638">
      <w:pPr>
        <w:numPr>
          <w:ilvl w:val="0"/>
          <w:numId w:val="4"/>
        </w:num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Entre nuestros estudiantes nativos, seguimos también en lo más alto del ranking, a más de 20 puntos de la media de la muestra, y ya claro, entre nuestros inmigrantes saltamos a 32 puntos entre los de segunda generación y 44 puntos entre  los de primera generación. </w:t>
      </w:r>
    </w:p>
    <w:p w:rsidR="00FF3B17" w:rsidRPr="0035723E" w:rsidRDefault="00FF3B17" w:rsidP="00550638">
      <w:pPr>
        <w:numPr>
          <w:ilvl w:val="0"/>
          <w:numId w:val="4"/>
        </w:num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Como en todas partes, la probabilidad de repetir disminuye con el nivel educativo de los padres. Batimos todos los records cuando al menos uno de ellos no es universitario, pero incluso en este caso, los porcentajes siguen siendo tremendos: el 15% de repetidores, 3,3 veces la media de la muestra. </w:t>
      </w:r>
    </w:p>
    <w:p w:rsidR="00FF3B17" w:rsidRPr="0035723E" w:rsidRDefault="00FF3B17" w:rsidP="00550638">
      <w:pPr>
        <w:numPr>
          <w:ilvl w:val="0"/>
          <w:numId w:val="4"/>
        </w:num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Y de, nuevo, no sólo es en la Escuela Pública (38% de repetidores, 30 pp por encima de la muestra), seguimos estando por encima tanto para la concertada como para la pública (13 y 8.5 pp. de diferencia, respectivamente) </w:t>
      </w:r>
    </w:p>
    <w:p w:rsidR="00FF3B17" w:rsidRPr="00193E31"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193E31">
        <w:rPr>
          <w:rFonts w:ascii="Times New Roman" w:eastAsia="Times New Roman" w:hAnsi="Times New Roman"/>
          <w:b/>
          <w:bCs/>
          <w:sz w:val="24"/>
          <w:szCs w:val="24"/>
          <w:lang w:eastAsia="es-ES"/>
        </w:rPr>
        <w:t> </w:t>
      </w:r>
      <w:r>
        <w:rPr>
          <w:rFonts w:ascii="Times New Roman" w:eastAsia="Times New Roman" w:hAnsi="Times New Roman"/>
          <w:b/>
          <w:bCs/>
          <w:noProof/>
          <w:color w:val="0000FF"/>
          <w:sz w:val="24"/>
          <w:szCs w:val="24"/>
          <w:lang w:eastAsia="es-ES"/>
        </w:rPr>
        <w:drawing>
          <wp:inline distT="0" distB="0" distL="0" distR="0" wp14:anchorId="4380E174" wp14:editId="4255F143">
            <wp:extent cx="5552236" cy="4389120"/>
            <wp:effectExtent l="0" t="0" r="0" b="0"/>
            <wp:docPr id="20" name="Imagen 20" descr="graf22">
              <a:hlinkClick xmlns:a="http://schemas.openxmlformats.org/drawingml/2006/main" r:id="rId8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graf2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52440" cy="4389281"/>
                    </a:xfrm>
                    <a:prstGeom prst="rect">
                      <a:avLst/>
                    </a:prstGeom>
                    <a:noFill/>
                    <a:ln>
                      <a:noFill/>
                    </a:ln>
                  </pic:spPr>
                </pic:pic>
              </a:graphicData>
            </a:graphic>
          </wp:inline>
        </w:drawing>
      </w:r>
    </w:p>
    <w:p w:rsidR="00FF3B17" w:rsidRPr="0035723E"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Este mal sistema tiene nefastas consecuencias para los malos estudiantes y para los buenos:</w:t>
      </w:r>
    </w:p>
    <w:p w:rsidR="0035723E" w:rsidRPr="0035723E"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a)     Para los malos estudiantes: es probable que, al llegar a 4º de ESO, la acumulación de retraso sea tan grande que no puedan conseguir el certificado ESO con lo que no pueden ni siquiera cursar los ciclos de FP, descolgándose, en consecuencia, del sistema educativo. </w:t>
      </w:r>
    </w:p>
    <w:p w:rsidR="00FF3B17" w:rsidRPr="0035723E"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lastRenderedPageBreak/>
        <w:t>b)     Para los buenos estudiantes: la presencia masiva de repetidores destruye el ambiente de estudio necesario para que aprendan. Y este es otro dato más, también asombroso, del último informe de PISA 2009- España tiene una de las mayores tasas de disrupción del aprendizaje por las interrupciones de los alumnos. El Gráfico 3 muestra la proporción de alumnos que se encuentran en colegios públicos en los que los propios profesores consideran que el aprendizaje se ve muy afectado</w:t>
      </w:r>
      <w:r w:rsidR="003F5C0C">
        <w:rPr>
          <w:rFonts w:ascii="Times New Roman" w:eastAsia="Times New Roman" w:hAnsi="Times New Roman"/>
          <w:sz w:val="24"/>
          <w:szCs w:val="24"/>
          <w:lang w:eastAsia="es-ES"/>
        </w:rPr>
        <w:t>,</w:t>
      </w:r>
      <w:r w:rsidRPr="0035723E">
        <w:rPr>
          <w:rFonts w:ascii="Times New Roman" w:eastAsia="Times New Roman" w:hAnsi="Times New Roman"/>
          <w:sz w:val="24"/>
          <w:szCs w:val="24"/>
          <w:lang w:eastAsia="es-ES"/>
        </w:rPr>
        <w:t xml:space="preserve"> por las interrupciones en clase. Aunque en el mismo no aparecen todos los países (y hay algunos casos aún más extremos que el español), observamos que la incidencia de las interrupciones en España supera las de cualquier país de la UE27: ¡sencillamente intolerable!</w:t>
      </w:r>
    </w:p>
    <w:p w:rsidR="00385B90" w:rsidRDefault="0035723E" w:rsidP="00550638">
      <w:pPr>
        <w:spacing w:before="100" w:beforeAutospacing="1" w:after="100" w:afterAutospacing="1" w:line="240" w:lineRule="auto"/>
        <w:jc w:val="both"/>
        <w:rPr>
          <w:rFonts w:ascii="Times New Roman" w:eastAsia="Times New Roman" w:hAnsi="Times New Roman"/>
          <w:sz w:val="24"/>
          <w:szCs w:val="24"/>
          <w:lang w:eastAsia="es-ES"/>
        </w:rPr>
      </w:pPr>
      <w:r w:rsidRPr="0035723E">
        <w:rPr>
          <w:rFonts w:ascii="Times New Roman" w:eastAsia="Times New Roman" w:hAnsi="Times New Roman"/>
          <w:sz w:val="24"/>
          <w:szCs w:val="24"/>
          <w:lang w:eastAsia="es-ES"/>
        </w:rPr>
        <w:t xml:space="preserve">En conclusión, la ESO, tal como funciona, ha fracasado. Cuanto antes se reconozca, mejor. Y cuanto antes se ahorre el estado el gasto que suponen las repeticiones en este nivel de nuestra enseñanza (gasto que ha sido estimado entre </w:t>
      </w:r>
      <w:hyperlink r:id="rId82" w:history="1">
        <w:r w:rsidRPr="0035723E">
          <w:rPr>
            <w:rFonts w:ascii="Times New Roman" w:eastAsia="Times New Roman" w:hAnsi="Times New Roman"/>
            <w:sz w:val="24"/>
            <w:szCs w:val="24"/>
            <w:lang w:eastAsia="es-ES"/>
          </w:rPr>
          <w:t>1500</w:t>
        </w:r>
      </w:hyperlink>
      <w:r w:rsidRPr="0035723E">
        <w:rPr>
          <w:rFonts w:ascii="Times New Roman" w:eastAsia="Times New Roman" w:hAnsi="Times New Roman"/>
          <w:sz w:val="24"/>
          <w:szCs w:val="24"/>
          <w:lang w:eastAsia="es-ES"/>
        </w:rPr>
        <w:t xml:space="preserve"> y </w:t>
      </w:r>
      <w:hyperlink r:id="rId83" w:history="1">
        <w:r w:rsidRPr="0035723E">
          <w:rPr>
            <w:rFonts w:ascii="Times New Roman" w:eastAsia="Times New Roman" w:hAnsi="Times New Roman"/>
            <w:sz w:val="24"/>
            <w:szCs w:val="24"/>
            <w:lang w:eastAsia="es-ES"/>
          </w:rPr>
          <w:t>2000</w:t>
        </w:r>
      </w:hyperlink>
      <w:r w:rsidRPr="0035723E">
        <w:rPr>
          <w:rFonts w:ascii="Times New Roman" w:eastAsia="Times New Roman" w:hAnsi="Times New Roman"/>
          <w:sz w:val="24"/>
          <w:szCs w:val="24"/>
          <w:lang w:eastAsia="es-ES"/>
        </w:rPr>
        <w:t xml:space="preserve"> millones de euros al año) y lo destine a </w:t>
      </w:r>
      <w:hyperlink r:id="rId84" w:history="1">
        <w:r w:rsidRPr="0035723E">
          <w:rPr>
            <w:rFonts w:ascii="Times New Roman" w:eastAsia="Times New Roman" w:hAnsi="Times New Roman"/>
            <w:sz w:val="24"/>
            <w:szCs w:val="24"/>
            <w:lang w:eastAsia="es-ES"/>
          </w:rPr>
          <w:t>medidas complementarias de refuerzo y acompañamiento</w:t>
        </w:r>
      </w:hyperlink>
      <w:r w:rsidRPr="0035723E">
        <w:rPr>
          <w:rFonts w:ascii="Times New Roman" w:eastAsia="Times New Roman" w:hAnsi="Times New Roman"/>
          <w:sz w:val="24"/>
          <w:szCs w:val="24"/>
          <w:lang w:eastAsia="es-ES"/>
        </w:rPr>
        <w:t>, mejor.</w:t>
      </w:r>
    </w:p>
    <w:p w:rsidR="00385B90" w:rsidRPr="0035723E" w:rsidRDefault="00385B90" w:rsidP="00550638">
      <w:pPr>
        <w:spacing w:before="100" w:beforeAutospacing="1" w:after="100" w:afterAutospacing="1" w:line="240" w:lineRule="auto"/>
        <w:jc w:val="both"/>
        <w:rPr>
          <w:rFonts w:ascii="Times New Roman" w:eastAsia="Times New Roman" w:hAnsi="Times New Roman"/>
          <w:sz w:val="24"/>
          <w:szCs w:val="24"/>
          <w:lang w:eastAsia="es-ES"/>
        </w:rPr>
      </w:pPr>
    </w:p>
    <w:p w:rsidR="00385B90" w:rsidRPr="00193E31" w:rsidRDefault="00FF3B17"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7615742C" wp14:editId="3016BE36">
            <wp:extent cx="5552236" cy="2699308"/>
            <wp:effectExtent l="0" t="0" r="0" b="6350"/>
            <wp:docPr id="19" name="Imagen 19" descr="graf3">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graf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552440" cy="2699407"/>
                    </a:xfrm>
                    <a:prstGeom prst="rect">
                      <a:avLst/>
                    </a:prstGeom>
                    <a:noFill/>
                    <a:ln>
                      <a:noFill/>
                    </a:ln>
                  </pic:spPr>
                </pic:pic>
              </a:graphicData>
            </a:graphic>
          </wp:inline>
        </w:drawing>
      </w:r>
    </w:p>
    <w:p w:rsidR="00385B90" w:rsidRDefault="00FF3B17" w:rsidP="00550638">
      <w:pPr>
        <w:spacing w:before="100" w:beforeAutospacing="1" w:after="100" w:afterAutospacing="1" w:line="240" w:lineRule="auto"/>
        <w:jc w:val="both"/>
        <w:rPr>
          <w:rFonts w:ascii="Times New Roman" w:hAnsi="Times New Roman" w:cs="Times New Roman"/>
          <w:sz w:val="24"/>
          <w:szCs w:val="24"/>
          <w:u w:val="single"/>
        </w:rPr>
      </w:pPr>
      <w:r>
        <w:rPr>
          <w:rFonts w:ascii="Times New Roman" w:eastAsia="Times New Roman" w:hAnsi="Times New Roman"/>
          <w:noProof/>
          <w:color w:val="0000FF"/>
          <w:sz w:val="24"/>
          <w:szCs w:val="24"/>
          <w:lang w:eastAsia="es-ES"/>
        </w:rPr>
        <w:drawing>
          <wp:inline distT="0" distB="0" distL="0" distR="0" wp14:anchorId="738BEBC4" wp14:editId="59E0A959">
            <wp:extent cx="5464454" cy="2618842"/>
            <wp:effectExtent l="0" t="0" r="3175" b="0"/>
            <wp:docPr id="7" name="Imagen 7" descr="graficos-universidad-5">
              <a:hlinkClick xmlns:a="http://schemas.openxmlformats.org/drawingml/2006/main" r:id="rId8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graficos-universidad-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64215" cy="2618727"/>
                    </a:xfrm>
                    <a:prstGeom prst="rect">
                      <a:avLst/>
                    </a:prstGeom>
                    <a:noFill/>
                    <a:ln>
                      <a:noFill/>
                    </a:ln>
                  </pic:spPr>
                </pic:pic>
              </a:graphicData>
            </a:graphic>
          </wp:inline>
        </w:drawing>
      </w:r>
    </w:p>
    <w:p w:rsidR="00E76A94" w:rsidRPr="00CA33AD" w:rsidRDefault="00E76A94" w:rsidP="00550638">
      <w:pPr>
        <w:spacing w:before="100" w:beforeAutospacing="1" w:after="100" w:afterAutospacing="1" w:line="240" w:lineRule="auto"/>
        <w:jc w:val="both"/>
        <w:rPr>
          <w:rFonts w:ascii="Times New Roman" w:hAnsi="Times New Roman" w:cs="Times New Roman"/>
          <w:sz w:val="24"/>
          <w:szCs w:val="24"/>
        </w:rPr>
      </w:pPr>
      <w:r w:rsidRPr="00E76A94">
        <w:rPr>
          <w:rFonts w:ascii="Times New Roman" w:hAnsi="Times New Roman" w:cs="Times New Roman"/>
          <w:sz w:val="24"/>
          <w:szCs w:val="24"/>
          <w:u w:val="single"/>
        </w:rPr>
        <w:lastRenderedPageBreak/>
        <w:t>Nivel de conocimiento alcanzado y nivel de capital humano</w:t>
      </w:r>
    </w:p>
    <w:p w:rsidR="00B72735" w:rsidRDefault="00B72735" w:rsidP="00550638">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bCs/>
          <w:kern w:val="36"/>
          <w:sz w:val="24"/>
          <w:szCs w:val="24"/>
          <w:lang w:eastAsia="es-ES"/>
        </w:rPr>
        <w:t xml:space="preserve">- </w:t>
      </w:r>
      <w:r w:rsidRPr="00DC5AC4">
        <w:rPr>
          <w:rFonts w:ascii="Times New Roman" w:eastAsia="Times New Roman" w:hAnsi="Times New Roman"/>
          <w:bCs/>
          <w:kern w:val="36"/>
          <w:sz w:val="24"/>
          <w:szCs w:val="24"/>
          <w:u w:val="single"/>
          <w:lang w:eastAsia="es-ES"/>
        </w:rPr>
        <w:t>El crecimiento económico y el capital humano: ¿Qué hemos aprendido?</w:t>
      </w:r>
      <w:r>
        <w:rPr>
          <w:rFonts w:ascii="Times New Roman" w:eastAsia="Times New Roman" w:hAnsi="Times New Roman"/>
          <w:bCs/>
          <w:kern w:val="36"/>
          <w:sz w:val="24"/>
          <w:szCs w:val="24"/>
          <w:lang w:eastAsia="es-ES"/>
        </w:rPr>
        <w:t xml:space="preserve"> (Fedea - </w:t>
      </w:r>
      <w:r w:rsidRPr="002952DF">
        <w:rPr>
          <w:rFonts w:ascii="Times New Roman" w:eastAsia="Times New Roman" w:hAnsi="Times New Roman"/>
          <w:b/>
          <w:bCs/>
          <w:kern w:val="36"/>
          <w:sz w:val="24"/>
          <w:szCs w:val="24"/>
          <w:lang w:eastAsia="es-ES"/>
        </w:rPr>
        <w:t>3/3/11</w:t>
      </w:r>
      <w:r>
        <w:rPr>
          <w:rFonts w:ascii="Times New Roman" w:eastAsia="Times New Roman" w:hAnsi="Times New Roman"/>
          <w:bCs/>
          <w:kern w:val="36"/>
          <w:sz w:val="24"/>
          <w:szCs w:val="24"/>
          <w:lang w:eastAsia="es-ES"/>
        </w:rPr>
        <w:t>)</w:t>
      </w:r>
    </w:p>
    <w:p w:rsidR="00B72735" w:rsidRPr="00DC5AC4" w:rsidRDefault="00B72735" w:rsidP="00550638">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sz w:val="24"/>
          <w:szCs w:val="24"/>
          <w:lang w:eastAsia="es-ES"/>
        </w:rPr>
        <w:t>(</w:t>
      </w:r>
      <w:r w:rsidR="00CA33AD">
        <w:rPr>
          <w:rFonts w:ascii="Times New Roman" w:eastAsia="Times New Roman" w:hAnsi="Times New Roman"/>
          <w:sz w:val="24"/>
          <w:szCs w:val="24"/>
          <w:lang w:eastAsia="es-ES"/>
        </w:rPr>
        <w:t>Por</w:t>
      </w:r>
      <w:r w:rsidRPr="00DC5AC4">
        <w:rPr>
          <w:rFonts w:ascii="Times New Roman" w:eastAsia="Times New Roman" w:hAnsi="Times New Roman"/>
          <w:sz w:val="24"/>
          <w:szCs w:val="24"/>
          <w:lang w:eastAsia="es-ES"/>
        </w:rPr>
        <w:t xml:space="preserve"> Luis Garicano</w:t>
      </w:r>
      <w:r>
        <w:rPr>
          <w:rFonts w:ascii="Times New Roman" w:eastAsia="Times New Roman" w:hAnsi="Times New Roman"/>
          <w:sz w:val="24"/>
          <w:szCs w:val="24"/>
          <w:lang w:eastAsia="es-ES"/>
        </w:rPr>
        <w:t>)</w:t>
      </w:r>
      <w:r w:rsidR="00E76A94">
        <w:rPr>
          <w:rFonts w:ascii="Times New Roman" w:eastAsia="Times New Roman" w:hAnsi="Times New Roman"/>
          <w:sz w:val="24"/>
          <w:szCs w:val="24"/>
          <w:lang w:eastAsia="es-ES"/>
        </w:rPr>
        <w:t xml:space="preserve">                                            </w:t>
      </w:r>
      <w:r w:rsidR="00CA33AD">
        <w:rPr>
          <w:rFonts w:ascii="Times New Roman" w:eastAsia="Times New Roman" w:hAnsi="Times New Roman"/>
          <w:sz w:val="24"/>
          <w:szCs w:val="24"/>
          <w:lang w:eastAsia="es-ES"/>
        </w:rPr>
        <w:t xml:space="preserve">                               </w:t>
      </w:r>
      <w:r w:rsidR="00E76A94">
        <w:rPr>
          <w:rFonts w:ascii="Times New Roman" w:eastAsia="Times New Roman" w:hAnsi="Times New Roman"/>
          <w:sz w:val="24"/>
          <w:szCs w:val="24"/>
          <w:lang w:eastAsia="es-ES"/>
        </w:rPr>
        <w:t>Lectura recomendada</w:t>
      </w:r>
    </w:p>
    <w:p w:rsidR="00B72735" w:rsidRPr="00DC5AC4"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DC5AC4">
        <w:rPr>
          <w:rFonts w:ascii="Times New Roman" w:eastAsia="Times New Roman" w:hAnsi="Times New Roman"/>
          <w:sz w:val="24"/>
          <w:szCs w:val="24"/>
          <w:lang w:eastAsia="es-ES"/>
        </w:rPr>
        <w:t xml:space="preserve">Erik Hanushek y  Ludger Woessman han contribuido un </w:t>
      </w:r>
      <w:r w:rsidRPr="00E76A94">
        <w:rPr>
          <w:rFonts w:ascii="Times New Roman" w:eastAsia="Times New Roman" w:hAnsi="Times New Roman"/>
          <w:sz w:val="24"/>
          <w:szCs w:val="24"/>
          <w:lang w:eastAsia="es-ES"/>
        </w:rPr>
        <w:t>e</w:t>
      </w:r>
      <w:hyperlink r:id="rId89" w:history="1">
        <w:r w:rsidRPr="00E76A94">
          <w:rPr>
            <w:rFonts w:ascii="Times New Roman" w:eastAsia="Times New Roman" w:hAnsi="Times New Roman"/>
            <w:sz w:val="24"/>
            <w:szCs w:val="24"/>
            <w:u w:val="single"/>
            <w:lang w:eastAsia="es-ES"/>
          </w:rPr>
          <w:t xml:space="preserve">xcelente artículo </w:t>
        </w:r>
      </w:hyperlink>
      <w:r w:rsidRPr="00E76A94">
        <w:rPr>
          <w:rFonts w:ascii="Times New Roman" w:eastAsia="Times New Roman" w:hAnsi="Times New Roman"/>
          <w:sz w:val="24"/>
          <w:szCs w:val="24"/>
          <w:lang w:eastAsia="es-ES"/>
        </w:rPr>
        <w:t>al reciente tercer volumen del </w:t>
      </w:r>
      <w:hyperlink r:id="rId90" w:anchor="description" w:history="1">
        <w:r w:rsidRPr="00E76A94">
          <w:rPr>
            <w:rFonts w:ascii="Times New Roman" w:eastAsia="Times New Roman" w:hAnsi="Times New Roman"/>
            <w:sz w:val="24"/>
            <w:szCs w:val="24"/>
            <w:u w:val="single"/>
            <w:lang w:eastAsia="es-ES"/>
          </w:rPr>
          <w:t>Handbook of the Economics of Education</w:t>
        </w:r>
      </w:hyperlink>
      <w:r w:rsidRPr="00DC5AC4">
        <w:rPr>
          <w:rFonts w:ascii="Times New Roman" w:eastAsia="Times New Roman" w:hAnsi="Times New Roman"/>
          <w:sz w:val="24"/>
          <w:szCs w:val="24"/>
          <w:lang w:eastAsia="es-ES"/>
        </w:rPr>
        <w:t xml:space="preserve"> (Nov, 2010) que resume lo que hemos aprendido  de las comparaciones internacionales sobre capacidad cognitiva procedentes de los tests  tipo PISA y otros. Los autores argumentan  convincentemente que podemos aprender mucho analizando lo que los niños saben, en lugar de, como era habitual en el pasado, examinando simplemente al nivel educativo alcanzado (años de educación). </w:t>
      </w:r>
      <w:r w:rsidRPr="007E04D4">
        <w:rPr>
          <w:rFonts w:ascii="Times New Roman" w:eastAsia="Times New Roman" w:hAnsi="Times New Roman"/>
          <w:sz w:val="24"/>
          <w:szCs w:val="24"/>
          <w:u w:val="single"/>
          <w:lang w:eastAsia="es-ES"/>
        </w:rPr>
        <w:t>Dada la importancia de factores “ambientales” como la influencia de los padres, parece muy razonable que el nivel de conocimiento alcanzado sea más descriptivo del nivel de capital humano que los años pasados en el colegio.</w:t>
      </w:r>
    </w:p>
    <w:p w:rsidR="00B72735" w:rsidRPr="00DC5AC4"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DC5AC4">
        <w:rPr>
          <w:rFonts w:ascii="Times New Roman" w:eastAsia="Times New Roman" w:hAnsi="Times New Roman"/>
          <w:sz w:val="24"/>
          <w:szCs w:val="24"/>
          <w:lang w:eastAsia="es-ES"/>
        </w:rPr>
        <w:t xml:space="preserve">Hay mucho material en el artículo, y lo recomiendo encarecidamente.  No se conforma simplemente con usar la evidencia comparada internacional (que plantea graves problemas de causalidad a la hora de extraer lecciones) sino que usa también los estudios dentro de cada país, que tienen a menudo un carácter mucho “científico” al ser más cercanos al experimento deseado. Resumo aquí muy brevemente las cosas que más me han interesado, que creo que coinciden con lo que Antonio Cabrales </w:t>
      </w:r>
      <w:r w:rsidRPr="00E76A94">
        <w:rPr>
          <w:rFonts w:ascii="Times New Roman" w:eastAsia="Times New Roman" w:hAnsi="Times New Roman"/>
          <w:sz w:val="24"/>
          <w:szCs w:val="24"/>
          <w:lang w:eastAsia="es-ES"/>
        </w:rPr>
        <w:t>(</w:t>
      </w:r>
      <w:hyperlink r:id="rId91" w:history="1">
        <w:r w:rsidRPr="00E76A94">
          <w:rPr>
            <w:rFonts w:ascii="Times New Roman" w:eastAsia="Times New Roman" w:hAnsi="Times New Roman"/>
            <w:sz w:val="24"/>
            <w:szCs w:val="24"/>
            <w:lang w:eastAsia="es-ES"/>
          </w:rPr>
          <w:t>por ejemplo</w:t>
        </w:r>
      </w:hyperlink>
      <w:r w:rsidRPr="00E76A94">
        <w:rPr>
          <w:rFonts w:ascii="Times New Roman" w:eastAsia="Times New Roman" w:hAnsi="Times New Roman"/>
          <w:sz w:val="24"/>
          <w:szCs w:val="24"/>
          <w:lang w:eastAsia="es-ES"/>
        </w:rPr>
        <w:t xml:space="preserve">) </w:t>
      </w:r>
      <w:r w:rsidRPr="00DC5AC4">
        <w:rPr>
          <w:rFonts w:ascii="Times New Roman" w:eastAsia="Times New Roman" w:hAnsi="Times New Roman"/>
          <w:sz w:val="24"/>
          <w:szCs w:val="24"/>
          <w:lang w:eastAsia="es-ES"/>
        </w:rPr>
        <w:t xml:space="preserve">y otros hemos venido diciendo en NadaEsGratis, con el </w:t>
      </w:r>
      <w:r w:rsidR="00BB5AAA">
        <w:rPr>
          <w:rFonts w:ascii="Times New Roman" w:eastAsia="Times New Roman" w:hAnsi="Times New Roman"/>
          <w:sz w:val="24"/>
          <w:szCs w:val="24"/>
          <w:lang w:eastAsia="es-ES"/>
        </w:rPr>
        <w:t>“</w:t>
      </w:r>
      <w:r w:rsidRPr="00DC5AC4">
        <w:rPr>
          <w:rFonts w:ascii="Times New Roman" w:eastAsia="Times New Roman" w:hAnsi="Times New Roman"/>
          <w:sz w:val="24"/>
          <w:szCs w:val="24"/>
          <w:lang w:eastAsia="es-ES"/>
        </w:rPr>
        <w:t>caveat</w:t>
      </w:r>
      <w:r w:rsidR="00BB5AAA">
        <w:rPr>
          <w:rFonts w:ascii="Times New Roman" w:eastAsia="Times New Roman" w:hAnsi="Times New Roman"/>
          <w:sz w:val="24"/>
          <w:szCs w:val="24"/>
          <w:lang w:eastAsia="es-ES"/>
        </w:rPr>
        <w:t>”</w:t>
      </w:r>
      <w:r w:rsidRPr="00DC5AC4">
        <w:rPr>
          <w:rFonts w:ascii="Times New Roman" w:eastAsia="Times New Roman" w:hAnsi="Times New Roman"/>
          <w:sz w:val="24"/>
          <w:szCs w:val="24"/>
          <w:lang w:eastAsia="es-ES"/>
        </w:rPr>
        <w:t xml:space="preserve"> que requiere una entrada así: estoy resumiendo un artículo de 112 páginas en 50 líneas, o sea que no puedo tener la precisión necesaria; al que le interese un resultado concreto le recomiendo que vaya al artículo.</w:t>
      </w:r>
    </w:p>
    <w:p w:rsidR="00B72735" w:rsidRPr="00DC5AC4" w:rsidRDefault="00B72735" w:rsidP="00550638">
      <w:pPr>
        <w:numPr>
          <w:ilvl w:val="0"/>
          <w:numId w:val="5"/>
        </w:numPr>
        <w:spacing w:before="100" w:beforeAutospacing="1" w:after="100" w:afterAutospacing="1" w:line="240" w:lineRule="auto"/>
        <w:jc w:val="both"/>
        <w:rPr>
          <w:rFonts w:ascii="Times New Roman" w:eastAsia="Times New Roman" w:hAnsi="Times New Roman"/>
          <w:sz w:val="24"/>
          <w:szCs w:val="24"/>
          <w:lang w:eastAsia="es-ES"/>
        </w:rPr>
      </w:pPr>
      <w:r w:rsidRPr="007E04D4">
        <w:rPr>
          <w:rFonts w:ascii="Times New Roman" w:eastAsia="Times New Roman" w:hAnsi="Times New Roman"/>
          <w:b/>
          <w:bCs/>
          <w:sz w:val="24"/>
          <w:szCs w:val="24"/>
          <w:u w:val="single"/>
          <w:lang w:eastAsia="es-ES"/>
        </w:rPr>
        <w:t>La familia y los elementos socioeconómicos son determinantes clave del nivel educativo alcanzado</w:t>
      </w:r>
      <w:r w:rsidRPr="00DC5AC4">
        <w:rPr>
          <w:rFonts w:ascii="Times New Roman" w:eastAsia="Times New Roman" w:hAnsi="Times New Roman"/>
          <w:sz w:val="24"/>
          <w:szCs w:val="24"/>
          <w:lang w:eastAsia="es-ES"/>
        </w:rPr>
        <w:t xml:space="preserve">. Para entender la enorme magnitud de esta diferencia, el proxy más interesante (que no es causal, claro, no salgáis despavoridos a IKEA a comprar más </w:t>
      </w:r>
      <w:r w:rsidR="00E76A94" w:rsidRPr="00DC5AC4">
        <w:rPr>
          <w:rFonts w:ascii="Times New Roman" w:eastAsia="Times New Roman" w:hAnsi="Times New Roman"/>
          <w:sz w:val="24"/>
          <w:szCs w:val="24"/>
          <w:lang w:eastAsia="es-ES"/>
        </w:rPr>
        <w:t>estanterías</w:t>
      </w:r>
      <w:r w:rsidRPr="00DC5AC4">
        <w:rPr>
          <w:rFonts w:ascii="Times New Roman" w:eastAsia="Times New Roman" w:hAnsi="Times New Roman"/>
          <w:sz w:val="24"/>
          <w:szCs w:val="24"/>
          <w:lang w:eastAsia="es-ES"/>
        </w:rPr>
        <w:t xml:space="preserve">) es el número de libros en casa. En Inglaterra, por ejemplo, </w:t>
      </w:r>
      <w:r w:rsidRPr="007E04D4">
        <w:rPr>
          <w:rFonts w:ascii="Times New Roman" w:eastAsia="Times New Roman" w:hAnsi="Times New Roman"/>
          <w:sz w:val="24"/>
          <w:szCs w:val="24"/>
          <w:u w:val="single"/>
          <w:lang w:eastAsia="es-ES"/>
        </w:rPr>
        <w:t>la diferencia en el rendimiento escolar entre los niños de las familias con más de dos estanterías de libros y los niños de familias con muy pocos libros en casa (los dos extremos de las cinco categorías disponibles) es de 1,15 desviaciones estándar, o más de tres veces lo que los estudiantes aprenden en promedio durante un año escolar</w:t>
      </w:r>
      <w:r w:rsidRPr="00DC5AC4">
        <w:rPr>
          <w:rFonts w:ascii="Times New Roman" w:eastAsia="Times New Roman" w:hAnsi="Times New Roman"/>
          <w:sz w:val="24"/>
          <w:szCs w:val="24"/>
          <w:lang w:eastAsia="es-ES"/>
        </w:rPr>
        <w:t xml:space="preserve">.  Incluso en el país con menor desigualdad, Francia, esta diferencia es equivalente a un año de estudios. (p.15) </w:t>
      </w:r>
    </w:p>
    <w:p w:rsidR="00B72735" w:rsidRPr="00DC5AC4" w:rsidRDefault="00B72735" w:rsidP="00550638">
      <w:pPr>
        <w:numPr>
          <w:ilvl w:val="0"/>
          <w:numId w:val="5"/>
        </w:numPr>
        <w:spacing w:before="100" w:beforeAutospacing="1" w:after="100" w:afterAutospacing="1" w:line="240" w:lineRule="auto"/>
        <w:jc w:val="both"/>
        <w:rPr>
          <w:rFonts w:ascii="Times New Roman" w:eastAsia="Times New Roman" w:hAnsi="Times New Roman"/>
          <w:sz w:val="24"/>
          <w:szCs w:val="24"/>
          <w:lang w:eastAsia="es-ES"/>
        </w:rPr>
      </w:pPr>
      <w:r w:rsidRPr="007E04D4">
        <w:rPr>
          <w:rFonts w:ascii="Times New Roman" w:eastAsia="Times New Roman" w:hAnsi="Times New Roman"/>
          <w:b/>
          <w:bCs/>
          <w:sz w:val="24"/>
          <w:szCs w:val="24"/>
          <w:u w:val="single"/>
          <w:lang w:eastAsia="es-ES"/>
        </w:rPr>
        <w:t>Los recursos económicos de la escuela importan poco;  la calidad de los profesores mucho</w:t>
      </w:r>
      <w:r w:rsidRPr="00DC5AC4">
        <w:rPr>
          <w:rFonts w:ascii="Times New Roman" w:eastAsia="Times New Roman" w:hAnsi="Times New Roman"/>
          <w:b/>
          <w:bCs/>
          <w:sz w:val="24"/>
          <w:szCs w:val="24"/>
          <w:lang w:eastAsia="es-ES"/>
        </w:rPr>
        <w:t xml:space="preserve">. </w:t>
      </w:r>
      <w:r w:rsidRPr="00DC5AC4">
        <w:rPr>
          <w:rFonts w:ascii="Times New Roman" w:eastAsia="Times New Roman" w:hAnsi="Times New Roman"/>
          <w:sz w:val="24"/>
          <w:szCs w:val="24"/>
          <w:lang w:eastAsia="es-ES"/>
        </w:rPr>
        <w:t xml:space="preserve">Esto lo hemos comentado a menudo, en particular con gran elocuencia por Jesús en su artículo sobre la </w:t>
      </w:r>
      <w:r w:rsidRPr="00E76A94">
        <w:rPr>
          <w:rFonts w:ascii="Times New Roman" w:eastAsia="Times New Roman" w:hAnsi="Times New Roman"/>
          <w:sz w:val="24"/>
          <w:szCs w:val="24"/>
          <w:u w:val="single"/>
          <w:lang w:eastAsia="es-ES"/>
        </w:rPr>
        <w:t>e</w:t>
      </w:r>
      <w:hyperlink r:id="rId92" w:history="1">
        <w:r w:rsidRPr="00E76A94">
          <w:rPr>
            <w:rFonts w:ascii="Times New Roman" w:eastAsia="Times New Roman" w:hAnsi="Times New Roman"/>
            <w:sz w:val="24"/>
            <w:szCs w:val="24"/>
            <w:u w:val="single"/>
            <w:lang w:eastAsia="es-ES"/>
          </w:rPr>
          <w:t xml:space="preserve">scuela de su sobrina en </w:t>
        </w:r>
        <w:r w:rsidR="00A92207" w:rsidRPr="00E76A94">
          <w:rPr>
            <w:rFonts w:ascii="Times New Roman" w:eastAsia="Times New Roman" w:hAnsi="Times New Roman"/>
            <w:sz w:val="24"/>
            <w:szCs w:val="24"/>
            <w:u w:val="single"/>
            <w:lang w:eastAsia="es-ES"/>
          </w:rPr>
          <w:t>Shanghái</w:t>
        </w:r>
        <w:r w:rsidRPr="00E76A94">
          <w:rPr>
            <w:rFonts w:ascii="Times New Roman" w:eastAsia="Times New Roman" w:hAnsi="Times New Roman"/>
            <w:sz w:val="24"/>
            <w:szCs w:val="24"/>
            <w:u w:val="single"/>
            <w:lang w:eastAsia="es-ES"/>
          </w:rPr>
          <w:t>.</w:t>
        </w:r>
      </w:hyperlink>
      <w:r w:rsidRPr="00DC5AC4">
        <w:rPr>
          <w:rFonts w:ascii="Times New Roman" w:eastAsia="Times New Roman" w:hAnsi="Times New Roman"/>
          <w:sz w:val="24"/>
          <w:szCs w:val="24"/>
          <w:lang w:eastAsia="es-ES"/>
        </w:rPr>
        <w:t xml:space="preserve"> Ni el tamaño de las clases, ni el gasto por estudiante, ni el uso de ordenadores (a menudo negativo) ayudan. Estos resultados no sólo provienen de los (menos fiables) estudios internacionales, sino que son confirmados por los estudios experimentales o pseudo-experimentales. Los resultados son sorprende</w:t>
      </w:r>
      <w:r>
        <w:rPr>
          <w:rFonts w:ascii="Times New Roman" w:eastAsia="Times New Roman" w:hAnsi="Times New Roman"/>
          <w:sz w:val="24"/>
          <w:szCs w:val="24"/>
          <w:lang w:eastAsia="es-ES"/>
        </w:rPr>
        <w:t>nte</w:t>
      </w:r>
      <w:r w:rsidRPr="00DC5AC4">
        <w:rPr>
          <w:rFonts w:ascii="Times New Roman" w:eastAsia="Times New Roman" w:hAnsi="Times New Roman"/>
          <w:sz w:val="24"/>
          <w:szCs w:val="24"/>
          <w:lang w:eastAsia="es-ES"/>
        </w:rPr>
        <w:t xml:space="preserve">mente claros y precisos “No hay ningún país para el que ninguna especificación muestre un efecto estadísticamente significativo sustancial del tamaño de la clase. En todos los casos en los que los métodos conducen a una estimación razonablemente precisa, un tamaño del efecto grande puede descartarse con </w:t>
      </w:r>
      <w:r w:rsidRPr="00DC5AC4">
        <w:rPr>
          <w:rFonts w:ascii="Times New Roman" w:eastAsia="Times New Roman" w:hAnsi="Times New Roman"/>
          <w:sz w:val="24"/>
          <w:szCs w:val="24"/>
          <w:lang w:eastAsia="es-ES"/>
        </w:rPr>
        <w:lastRenderedPageBreak/>
        <w:t>conf</w:t>
      </w:r>
      <w:r w:rsidR="00041B3A">
        <w:rPr>
          <w:rFonts w:ascii="Times New Roman" w:eastAsia="Times New Roman" w:hAnsi="Times New Roman"/>
          <w:sz w:val="24"/>
          <w:szCs w:val="24"/>
          <w:lang w:eastAsia="es-ES"/>
        </w:rPr>
        <w:t>ianza estadística considerable”.</w:t>
      </w:r>
      <w:r w:rsidRPr="00DC5AC4">
        <w:rPr>
          <w:rFonts w:ascii="Times New Roman" w:eastAsia="Times New Roman" w:hAnsi="Times New Roman"/>
          <w:sz w:val="24"/>
          <w:szCs w:val="24"/>
          <w:lang w:eastAsia="es-ES"/>
        </w:rPr>
        <w:t xml:space="preserve"> (p.22) Las comparaciones internacionales muestran que estos efectos sólo importan cuando los profesores son malos. Eso </w:t>
      </w:r>
      <w:r w:rsidR="00A92207" w:rsidRPr="00DC5AC4">
        <w:rPr>
          <w:rFonts w:ascii="Times New Roman" w:eastAsia="Times New Roman" w:hAnsi="Times New Roman"/>
          <w:sz w:val="24"/>
          <w:szCs w:val="24"/>
          <w:lang w:eastAsia="es-ES"/>
        </w:rPr>
        <w:t>sí</w:t>
      </w:r>
      <w:r w:rsidRPr="00DC5AC4">
        <w:rPr>
          <w:rFonts w:ascii="Times New Roman" w:eastAsia="Times New Roman" w:hAnsi="Times New Roman"/>
          <w:sz w:val="24"/>
          <w:szCs w:val="24"/>
          <w:lang w:eastAsia="es-ES"/>
        </w:rPr>
        <w:t xml:space="preserve">, como Hanoushek </w:t>
      </w:r>
      <w:hyperlink r:id="rId93" w:history="1">
        <w:r w:rsidRPr="00E76A94">
          <w:rPr>
            <w:rFonts w:ascii="Times New Roman" w:eastAsia="Times New Roman" w:hAnsi="Times New Roman"/>
            <w:sz w:val="24"/>
            <w:szCs w:val="24"/>
            <w:lang w:eastAsia="es-ES"/>
          </w:rPr>
          <w:t>muestra en trabajos muy recientes</w:t>
        </w:r>
      </w:hyperlink>
      <w:hyperlink r:id="rId94" w:history="1">
        <w:r w:rsidRPr="00DC5AC4">
          <w:rPr>
            <w:rFonts w:ascii="Times New Roman" w:eastAsia="Times New Roman" w:hAnsi="Times New Roman"/>
            <w:b/>
            <w:bCs/>
            <w:color w:val="0000FF"/>
            <w:sz w:val="24"/>
            <w:szCs w:val="24"/>
            <w:u w:val="single"/>
            <w:lang w:eastAsia="es-ES"/>
          </w:rPr>
          <w:t>,</w:t>
        </w:r>
      </w:hyperlink>
      <w:r w:rsidRPr="00DC5AC4">
        <w:rPr>
          <w:rFonts w:ascii="Times New Roman" w:eastAsia="Times New Roman" w:hAnsi="Times New Roman"/>
          <w:b/>
          <w:bCs/>
          <w:sz w:val="24"/>
          <w:szCs w:val="24"/>
          <w:lang w:eastAsia="es-ES"/>
        </w:rPr>
        <w:t xml:space="preserve"> </w:t>
      </w:r>
      <w:r w:rsidRPr="007E04D4">
        <w:rPr>
          <w:rFonts w:ascii="Times New Roman" w:eastAsia="Times New Roman" w:hAnsi="Times New Roman"/>
          <w:sz w:val="24"/>
          <w:szCs w:val="24"/>
          <w:u w:val="single"/>
          <w:lang w:eastAsia="es-ES"/>
        </w:rPr>
        <w:t>la calidad de los profesores importa y mucho: La diferencia entre un buen y un mal profesor es de un año de aprendizaje en un curso académico.</w:t>
      </w:r>
      <w:r w:rsidRPr="00DC5AC4">
        <w:rPr>
          <w:rFonts w:ascii="Times New Roman" w:eastAsia="Times New Roman" w:hAnsi="Times New Roman"/>
          <w:sz w:val="24"/>
          <w:szCs w:val="24"/>
          <w:lang w:eastAsia="es-ES"/>
        </w:rPr>
        <w:t xml:space="preserve"> Un buen profesor puede obtener 1,5 años de aprendizaje en un año, un mal profesor 0,5. Es fácil inferir que, si un niño tiene mala suerte y tiene varios profesores malos seguidos, su vida se puede torcer. </w:t>
      </w:r>
    </w:p>
    <w:p w:rsidR="00B72735" w:rsidRPr="00DC5AC4" w:rsidRDefault="00B72735" w:rsidP="00550638">
      <w:pPr>
        <w:numPr>
          <w:ilvl w:val="0"/>
          <w:numId w:val="5"/>
        </w:numPr>
        <w:spacing w:before="100" w:beforeAutospacing="1" w:after="100" w:afterAutospacing="1" w:line="240" w:lineRule="auto"/>
        <w:jc w:val="both"/>
        <w:rPr>
          <w:rFonts w:ascii="Times New Roman" w:eastAsia="Times New Roman" w:hAnsi="Times New Roman"/>
          <w:sz w:val="24"/>
          <w:szCs w:val="24"/>
          <w:lang w:eastAsia="es-ES"/>
        </w:rPr>
      </w:pPr>
      <w:r w:rsidRPr="007E04D4">
        <w:rPr>
          <w:rFonts w:ascii="Times New Roman" w:eastAsia="Times New Roman" w:hAnsi="Times New Roman"/>
          <w:b/>
          <w:bCs/>
          <w:sz w:val="24"/>
          <w:szCs w:val="24"/>
          <w:u w:val="single"/>
          <w:lang w:eastAsia="es-ES"/>
        </w:rPr>
        <w:t>Instituciones</w:t>
      </w:r>
      <w:r w:rsidRPr="00DC5AC4">
        <w:rPr>
          <w:rFonts w:ascii="Times New Roman" w:eastAsia="Times New Roman" w:hAnsi="Times New Roman"/>
          <w:b/>
          <w:bCs/>
          <w:sz w:val="24"/>
          <w:szCs w:val="24"/>
          <w:lang w:eastAsia="es-ES"/>
        </w:rPr>
        <w:t>:</w:t>
      </w:r>
      <w:r w:rsidRPr="00DC5AC4">
        <w:rPr>
          <w:rFonts w:ascii="Times New Roman" w:eastAsia="Times New Roman" w:hAnsi="Times New Roman"/>
          <w:sz w:val="24"/>
          <w:szCs w:val="24"/>
          <w:lang w:eastAsia="es-ES"/>
        </w:rPr>
        <w:t xml:space="preserve"> </w:t>
      </w:r>
      <w:r w:rsidRPr="007E04D4">
        <w:rPr>
          <w:rFonts w:ascii="Times New Roman" w:eastAsia="Times New Roman" w:hAnsi="Times New Roman"/>
          <w:sz w:val="24"/>
          <w:szCs w:val="24"/>
          <w:u w:val="single"/>
          <w:lang w:eastAsia="es-ES"/>
        </w:rPr>
        <w:t>las instituciones, los incentivos, y el gobierno de los colegios, importa, y mucho. En particular, sabemos que los estudiantes aprenden más en países con evaluaciones finales externas  y cuando los profesores usan evaluaciones periódicas</w:t>
      </w:r>
      <w:r w:rsidRPr="00DC5AC4">
        <w:rPr>
          <w:rFonts w:ascii="Times New Roman" w:eastAsia="Times New Roman" w:hAnsi="Times New Roman"/>
          <w:sz w:val="24"/>
          <w:szCs w:val="24"/>
          <w:lang w:eastAsia="es-ES"/>
        </w:rPr>
        <w:t>. Además, la autonomía de las escuelas en decisiones sobre personal y proceso es positiva, mientras que la  autonomía sobre presupuestos y materias cubiertas en clase es negativa;</w:t>
      </w:r>
      <w:r w:rsidR="00041B3A">
        <w:rPr>
          <w:rFonts w:ascii="Times New Roman" w:eastAsia="Times New Roman" w:hAnsi="Times New Roman"/>
          <w:sz w:val="24"/>
          <w:szCs w:val="24"/>
          <w:lang w:eastAsia="es-ES"/>
        </w:rPr>
        <w:t xml:space="preserve"> </w:t>
      </w:r>
      <w:r w:rsidRPr="00DC5AC4">
        <w:rPr>
          <w:rFonts w:ascii="Times New Roman" w:eastAsia="Times New Roman" w:hAnsi="Times New Roman"/>
          <w:sz w:val="24"/>
          <w:szCs w:val="24"/>
          <w:lang w:eastAsia="es-ES"/>
        </w:rPr>
        <w:t>(</w:t>
      </w:r>
      <w:r w:rsidR="00041B3A">
        <w:rPr>
          <w:rFonts w:ascii="Times New Roman" w:eastAsia="Times New Roman" w:hAnsi="Times New Roman"/>
          <w:sz w:val="24"/>
          <w:szCs w:val="24"/>
          <w:lang w:eastAsia="es-ES"/>
        </w:rPr>
        <w:t>p.</w:t>
      </w:r>
      <w:r w:rsidRPr="00DC5AC4">
        <w:rPr>
          <w:rFonts w:ascii="Times New Roman" w:eastAsia="Times New Roman" w:hAnsi="Times New Roman"/>
          <w:sz w:val="24"/>
          <w:szCs w:val="24"/>
          <w:lang w:eastAsia="es-ES"/>
        </w:rPr>
        <w:t xml:space="preserve">27) esta autonomía es más valiosa cuando se usan los tests externos para evaluar los resultados de los estudiantes. La evidencia (en parte usando una  ingeniosa  forma de Difs-in-difs) sobre los efectos de usar diferentes “pistas” como en Alemania es ambigua; la desigualdad aumenta, pero no está claro que el nivel final también lo haga. </w:t>
      </w:r>
    </w:p>
    <w:p w:rsidR="00B72735" w:rsidRDefault="00B72735" w:rsidP="00550638">
      <w:pPr>
        <w:numPr>
          <w:ilvl w:val="0"/>
          <w:numId w:val="5"/>
        </w:numPr>
        <w:spacing w:before="100" w:beforeAutospacing="1" w:after="100" w:afterAutospacing="1" w:line="240" w:lineRule="auto"/>
        <w:jc w:val="both"/>
        <w:rPr>
          <w:rFonts w:ascii="Times New Roman" w:eastAsia="Times New Roman" w:hAnsi="Times New Roman"/>
          <w:sz w:val="24"/>
          <w:szCs w:val="24"/>
          <w:lang w:eastAsia="es-ES"/>
        </w:rPr>
      </w:pPr>
      <w:r w:rsidRPr="00610576">
        <w:rPr>
          <w:rFonts w:ascii="Times New Roman" w:eastAsia="Times New Roman" w:hAnsi="Times New Roman"/>
          <w:b/>
          <w:bCs/>
          <w:sz w:val="24"/>
          <w:szCs w:val="24"/>
          <w:u w:val="single"/>
          <w:lang w:eastAsia="es-ES"/>
        </w:rPr>
        <w:t>Consecuencias para el crecimiento económico</w:t>
      </w:r>
      <w:r w:rsidRPr="00DC5AC4">
        <w:rPr>
          <w:rFonts w:ascii="Times New Roman" w:eastAsia="Times New Roman" w:hAnsi="Times New Roman"/>
          <w:b/>
          <w:bCs/>
          <w:sz w:val="24"/>
          <w:szCs w:val="24"/>
          <w:lang w:eastAsia="es-ES"/>
        </w:rPr>
        <w:t>:</w:t>
      </w:r>
      <w:r w:rsidRPr="00DC5AC4">
        <w:rPr>
          <w:rFonts w:ascii="Times New Roman" w:eastAsia="Times New Roman" w:hAnsi="Times New Roman"/>
          <w:sz w:val="24"/>
          <w:szCs w:val="24"/>
          <w:lang w:eastAsia="es-ES"/>
        </w:rPr>
        <w:t xml:space="preserve"> el trabajo presenta una enorme serie de resultados sobre el impacto de los conocimientos adquiridos sobre variables económicas. (La metodología para ello es astuta</w:t>
      </w:r>
      <w:r w:rsidR="00551CFB">
        <w:rPr>
          <w:rFonts w:ascii="Times New Roman" w:eastAsia="Times New Roman" w:hAnsi="Times New Roman"/>
          <w:sz w:val="24"/>
          <w:szCs w:val="24"/>
          <w:lang w:eastAsia="es-ES"/>
        </w:rPr>
        <w:t xml:space="preserve"> </w:t>
      </w:r>
      <w:r w:rsidRPr="00DC5AC4">
        <w:rPr>
          <w:rFonts w:ascii="Times New Roman" w:eastAsia="Times New Roman" w:hAnsi="Times New Roman"/>
          <w:sz w:val="24"/>
          <w:szCs w:val="24"/>
          <w:lang w:eastAsia="es-ES"/>
        </w:rPr>
        <w:t xml:space="preserve">- consiste en triangular desde EEUU, presente en todos los estudios comparados, para conseguir, por transitividad, comparar otras naciones presentes en diferentes estudios). Pero hay uno que es verdaderamente interesante (y proviene de un estudio anterior de Hanoushek en el AER pero que se muestra robusto en un </w:t>
      </w:r>
      <w:r w:rsidR="00BB5AAA">
        <w:rPr>
          <w:rFonts w:ascii="Times New Roman" w:eastAsia="Times New Roman" w:hAnsi="Times New Roman"/>
          <w:sz w:val="24"/>
          <w:szCs w:val="24"/>
          <w:lang w:eastAsia="es-ES"/>
        </w:rPr>
        <w:t>“</w:t>
      </w:r>
      <w:r w:rsidRPr="00DC5AC4">
        <w:rPr>
          <w:rFonts w:ascii="Times New Roman" w:eastAsia="Times New Roman" w:hAnsi="Times New Roman"/>
          <w:sz w:val="24"/>
          <w:szCs w:val="24"/>
          <w:lang w:eastAsia="es-ES"/>
        </w:rPr>
        <w:t>dataset</w:t>
      </w:r>
      <w:r w:rsidR="00BB5AAA">
        <w:rPr>
          <w:rFonts w:ascii="Times New Roman" w:eastAsia="Times New Roman" w:hAnsi="Times New Roman"/>
          <w:sz w:val="24"/>
          <w:szCs w:val="24"/>
          <w:lang w:eastAsia="es-ES"/>
        </w:rPr>
        <w:t>”</w:t>
      </w:r>
      <w:r w:rsidRPr="00DC5AC4">
        <w:rPr>
          <w:rFonts w:ascii="Times New Roman" w:eastAsia="Times New Roman" w:hAnsi="Times New Roman"/>
          <w:sz w:val="24"/>
          <w:szCs w:val="24"/>
          <w:lang w:eastAsia="es-ES"/>
        </w:rPr>
        <w:t xml:space="preserve"> más amplio): </w:t>
      </w:r>
    </w:p>
    <w:p w:rsidR="00B72735" w:rsidRPr="00C27EC7" w:rsidRDefault="00B72735" w:rsidP="00385B90">
      <w:pPr>
        <w:spacing w:line="240" w:lineRule="auto"/>
        <w:jc w:val="both"/>
        <w:rPr>
          <w:rFonts w:ascii="Times New Roman" w:eastAsia="Times New Roman" w:hAnsi="Times New Roman"/>
          <w:b/>
          <w:sz w:val="24"/>
          <w:szCs w:val="24"/>
          <w:lang w:eastAsia="es-ES"/>
        </w:rPr>
      </w:pPr>
      <w:r w:rsidRPr="00C27EC7">
        <w:rPr>
          <w:rFonts w:ascii="Times New Roman" w:eastAsia="Times New Roman" w:hAnsi="Times New Roman"/>
          <w:b/>
          <w:sz w:val="24"/>
          <w:szCs w:val="24"/>
          <w:lang w:eastAsia="es-ES"/>
        </w:rPr>
        <w:t xml:space="preserve">“Una mejora en estos tests de una desviación </w:t>
      </w:r>
      <w:r w:rsidR="00A92207" w:rsidRPr="00C27EC7">
        <w:rPr>
          <w:rFonts w:ascii="Times New Roman" w:eastAsia="Times New Roman" w:hAnsi="Times New Roman"/>
          <w:b/>
          <w:sz w:val="24"/>
          <w:szCs w:val="24"/>
          <w:lang w:eastAsia="es-ES"/>
        </w:rPr>
        <w:t>estándar</w:t>
      </w:r>
      <w:r w:rsidRPr="00C27EC7">
        <w:rPr>
          <w:rFonts w:ascii="Times New Roman" w:eastAsia="Times New Roman" w:hAnsi="Times New Roman"/>
          <w:b/>
          <w:sz w:val="24"/>
          <w:szCs w:val="24"/>
          <w:lang w:eastAsia="es-ES"/>
        </w:rPr>
        <w:t xml:space="preserve"> (medida a nivel de estudiante en todos los países OCDE en PISA) se asocia con una tasa de crecimiento promedio anual del PIB </w:t>
      </w:r>
      <w:r w:rsidR="00A92207" w:rsidRPr="00C27EC7">
        <w:rPr>
          <w:rFonts w:ascii="Times New Roman" w:eastAsia="Times New Roman" w:hAnsi="Times New Roman"/>
          <w:b/>
          <w:sz w:val="24"/>
          <w:szCs w:val="24"/>
          <w:lang w:eastAsia="es-ES"/>
        </w:rPr>
        <w:t>per cápita</w:t>
      </w:r>
      <w:r w:rsidRPr="00C27EC7">
        <w:rPr>
          <w:rFonts w:ascii="Times New Roman" w:eastAsia="Times New Roman" w:hAnsi="Times New Roman"/>
          <w:b/>
          <w:sz w:val="24"/>
          <w:szCs w:val="24"/>
          <w:lang w:eastAsia="es-ES"/>
        </w:rPr>
        <w:t xml:space="preserve"> dos puntos porcentuales mayor durante todo el período de 40 años. Cuando las habilidades cognitivas se agregan a un modelo que sólo incluye los ingresos iniciales y años de escolaridad (columna (1) de la tabla 14), el porcentaje de variación en el crecimiento económico se explica por el modelo (el R2 ajustado) salta desde 0,25 hasta 0,73.”</w:t>
      </w:r>
    </w:p>
    <w:p w:rsidR="00B72735" w:rsidRPr="00610576" w:rsidRDefault="00B7273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610576">
        <w:rPr>
          <w:rFonts w:ascii="Times New Roman" w:eastAsia="Times New Roman" w:hAnsi="Times New Roman"/>
          <w:sz w:val="24"/>
          <w:szCs w:val="24"/>
          <w:u w:val="single"/>
          <w:lang w:eastAsia="es-ES"/>
        </w:rPr>
        <w:t xml:space="preserve">Es decir, el 73% de la variación de las tasa de crecimiento económico entra países puede explicarse simplemente con dos variables: nivel inicial de ingresos y nivel intelectual de la población. Claro que esto NO se puede interpretar casualmente, pero es muy, muy persuasivo para </w:t>
      </w:r>
      <w:r w:rsidR="00A92207" w:rsidRPr="00610576">
        <w:rPr>
          <w:rFonts w:ascii="Times New Roman" w:eastAsia="Times New Roman" w:hAnsi="Times New Roman"/>
          <w:sz w:val="24"/>
          <w:szCs w:val="24"/>
          <w:u w:val="single"/>
          <w:lang w:eastAsia="es-ES"/>
        </w:rPr>
        <w:t>mí</w:t>
      </w:r>
      <w:r w:rsidRPr="00610576">
        <w:rPr>
          <w:rFonts w:ascii="Times New Roman" w:eastAsia="Times New Roman" w:hAnsi="Times New Roman"/>
          <w:sz w:val="24"/>
          <w:szCs w:val="24"/>
          <w:u w:val="single"/>
          <w:lang w:eastAsia="es-ES"/>
        </w:rPr>
        <w:t>, por lo parsimonioso.</w:t>
      </w:r>
    </w:p>
    <w:p w:rsidR="00B72735" w:rsidRDefault="00B7273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610576">
        <w:rPr>
          <w:rFonts w:ascii="Times New Roman" w:eastAsia="Times New Roman" w:hAnsi="Times New Roman"/>
          <w:sz w:val="24"/>
          <w:szCs w:val="24"/>
          <w:u w:val="single"/>
          <w:lang w:eastAsia="es-ES"/>
        </w:rPr>
        <w:t>Todo esto nos sirve para enfatizar un mensaje clave de nuestro blog: el mayor problema al que se enfrenta España no es la deuda, ni el déficit, ni el problema del sector financiero, sino los gravísimos problemas de nuestro sistema educativo</w:t>
      </w:r>
      <w:r w:rsidRPr="00DC5AC4">
        <w:rPr>
          <w:rFonts w:ascii="Times New Roman" w:eastAsia="Times New Roman" w:hAnsi="Times New Roman"/>
          <w:sz w:val="24"/>
          <w:szCs w:val="24"/>
          <w:lang w:eastAsia="es-ES"/>
        </w:rPr>
        <w:t xml:space="preserve">, que reducirán mucho el crecimiento económico en un país que lo necesita urgentemente. </w:t>
      </w:r>
      <w:r w:rsidRPr="00610576">
        <w:rPr>
          <w:rFonts w:ascii="Times New Roman" w:eastAsia="Times New Roman" w:hAnsi="Times New Roman"/>
          <w:sz w:val="24"/>
          <w:szCs w:val="24"/>
          <w:u w:val="single"/>
          <w:lang w:eastAsia="es-ES"/>
        </w:rPr>
        <w:t>Las soluciones, de acuerdo con la evidencia internacional, van estando cada vez más claras: buenos profesores y bien pagados</w:t>
      </w:r>
      <w:r w:rsidRPr="00DC5AC4">
        <w:rPr>
          <w:rFonts w:ascii="Times New Roman" w:eastAsia="Times New Roman" w:hAnsi="Times New Roman"/>
          <w:sz w:val="24"/>
          <w:szCs w:val="24"/>
          <w:lang w:eastAsia="es-ES"/>
        </w:rPr>
        <w:t xml:space="preserve"> (y aquí las iniciativas para atraer a los mejores estudiantes al sector educativo al modo del exitoso Teach For America, como la reciente propuesta en España</w:t>
      </w:r>
      <w:r w:rsidR="00E76A94">
        <w:rPr>
          <w:rFonts w:ascii="Times New Roman" w:eastAsia="Times New Roman" w:hAnsi="Times New Roman"/>
          <w:sz w:val="24"/>
          <w:szCs w:val="24"/>
          <w:lang w:eastAsia="es-ES"/>
        </w:rPr>
        <w:t xml:space="preserve"> </w:t>
      </w:r>
      <w:r w:rsidRPr="00E76A94">
        <w:rPr>
          <w:rFonts w:ascii="Times New Roman" w:eastAsia="Times New Roman" w:hAnsi="Times New Roman"/>
          <w:sz w:val="24"/>
          <w:szCs w:val="24"/>
          <w:lang w:eastAsia="es-ES"/>
        </w:rPr>
        <w:t>“</w:t>
      </w:r>
      <w:hyperlink r:id="rId95" w:history="1">
        <w:r w:rsidRPr="00E76A94">
          <w:rPr>
            <w:rFonts w:ascii="Times New Roman" w:eastAsia="Times New Roman" w:hAnsi="Times New Roman"/>
            <w:sz w:val="24"/>
            <w:szCs w:val="24"/>
            <w:u w:val="single"/>
            <w:lang w:eastAsia="es-ES"/>
          </w:rPr>
          <w:t>Empieza a Educar</w:t>
        </w:r>
      </w:hyperlink>
      <w:r w:rsidRPr="00E76A94">
        <w:rPr>
          <w:rFonts w:ascii="Times New Roman" w:eastAsia="Times New Roman" w:hAnsi="Times New Roman"/>
          <w:sz w:val="24"/>
          <w:szCs w:val="24"/>
          <w:lang w:eastAsia="es-ES"/>
        </w:rPr>
        <w:t xml:space="preserve">”, </w:t>
      </w:r>
      <w:r w:rsidRPr="00DC5AC4">
        <w:rPr>
          <w:rFonts w:ascii="Times New Roman" w:eastAsia="Times New Roman" w:hAnsi="Times New Roman"/>
          <w:sz w:val="24"/>
          <w:szCs w:val="24"/>
          <w:lang w:eastAsia="es-ES"/>
        </w:rPr>
        <w:t>son muy bienvenidas) </w:t>
      </w:r>
      <w:r w:rsidRPr="00610576">
        <w:rPr>
          <w:rFonts w:ascii="Times New Roman" w:eastAsia="Times New Roman" w:hAnsi="Times New Roman"/>
          <w:sz w:val="24"/>
          <w:szCs w:val="24"/>
          <w:u w:val="single"/>
          <w:lang w:eastAsia="es-ES"/>
        </w:rPr>
        <w:t>y escuelas con autonomía de personal y con sistemas de seguimiento y control del aprendizaje, son elementos necesarios para una reforma del sistema.</w:t>
      </w:r>
    </w:p>
    <w:p w:rsidR="00724424" w:rsidRDefault="00724424"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lastRenderedPageBreak/>
        <w:t>Los males de</w:t>
      </w:r>
      <w:r w:rsidR="00CA33AD">
        <w:rPr>
          <w:rFonts w:ascii="Times New Roman" w:eastAsia="Times New Roman" w:hAnsi="Times New Roman"/>
          <w:sz w:val="24"/>
          <w:szCs w:val="24"/>
          <w:u w:val="single"/>
          <w:lang w:eastAsia="es-ES"/>
        </w:rPr>
        <w:t>l “corporativismo” educativo (una</w:t>
      </w:r>
      <w:r>
        <w:rPr>
          <w:rFonts w:ascii="Times New Roman" w:eastAsia="Times New Roman" w:hAnsi="Times New Roman"/>
          <w:sz w:val="24"/>
          <w:szCs w:val="24"/>
          <w:u w:val="single"/>
          <w:lang w:eastAsia="es-ES"/>
        </w:rPr>
        <w:t xml:space="preserve"> “endogamia”</w:t>
      </w:r>
      <w:r w:rsidR="00896D2A">
        <w:rPr>
          <w:rFonts w:ascii="Times New Roman" w:eastAsia="Times New Roman" w:hAnsi="Times New Roman"/>
          <w:sz w:val="24"/>
          <w:szCs w:val="24"/>
          <w:u w:val="single"/>
          <w:lang w:eastAsia="es-ES"/>
        </w:rPr>
        <w:t xml:space="preserve"> llevada al absurdo</w:t>
      </w:r>
      <w:r>
        <w:rPr>
          <w:rFonts w:ascii="Times New Roman" w:eastAsia="Times New Roman" w:hAnsi="Times New Roman"/>
          <w:sz w:val="24"/>
          <w:szCs w:val="24"/>
          <w:u w:val="single"/>
          <w:lang w:eastAsia="es-ES"/>
        </w:rPr>
        <w:t>)</w:t>
      </w:r>
    </w:p>
    <w:p w:rsidR="00B72735" w:rsidRPr="00CF535B" w:rsidRDefault="00B72735"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CF535B">
        <w:rPr>
          <w:rFonts w:ascii="Times New Roman" w:hAnsi="Times New Roman"/>
          <w:sz w:val="24"/>
          <w:szCs w:val="24"/>
          <w:u w:val="single"/>
        </w:rPr>
        <w:t>La Universidad que viene: profesores por puntos</w:t>
      </w:r>
      <w:r>
        <w:rPr>
          <w:rFonts w:ascii="Times New Roman" w:hAnsi="Times New Roman"/>
          <w:sz w:val="24"/>
          <w:szCs w:val="24"/>
        </w:rPr>
        <w:t xml:space="preserve"> (El País - </w:t>
      </w:r>
      <w:r w:rsidRPr="00CF535B">
        <w:rPr>
          <w:rFonts w:ascii="Times New Roman" w:hAnsi="Times New Roman"/>
          <w:b/>
          <w:sz w:val="24"/>
          <w:szCs w:val="24"/>
        </w:rPr>
        <w:t>3/3/11</w:t>
      </w:r>
      <w:r>
        <w:rPr>
          <w:rFonts w:ascii="Times New Roman" w:hAnsi="Times New Roman"/>
          <w:sz w:val="24"/>
          <w:szCs w:val="24"/>
        </w:rPr>
        <w:t>)</w:t>
      </w:r>
      <w:r w:rsidR="00724424">
        <w:rPr>
          <w:rFonts w:ascii="Times New Roman" w:hAnsi="Times New Roman"/>
          <w:sz w:val="24"/>
          <w:szCs w:val="24"/>
        </w:rPr>
        <w:t xml:space="preserve"> Lectura recomendada</w:t>
      </w:r>
    </w:p>
    <w:p w:rsidR="00B72735" w:rsidRPr="00CF535B" w:rsidRDefault="00B72735" w:rsidP="00550638">
      <w:pPr>
        <w:spacing w:line="240" w:lineRule="auto"/>
        <w:jc w:val="both"/>
        <w:rPr>
          <w:rFonts w:ascii="Times New Roman" w:hAnsi="Times New Roman"/>
          <w:sz w:val="24"/>
          <w:szCs w:val="24"/>
        </w:rPr>
      </w:pPr>
      <w:r w:rsidRPr="00CF535B">
        <w:rPr>
          <w:rFonts w:ascii="Times New Roman" w:hAnsi="Times New Roman"/>
          <w:sz w:val="24"/>
          <w:szCs w:val="24"/>
        </w:rPr>
        <w:t xml:space="preserve">El nuevo Estatuto del Personal Docente e Investigador olvida que el verdadero motor del progreso es la búsqueda de la calidad, vinculada al esfuerzo y al mérito. No cabe más enmienda que a la totalidad </w:t>
      </w:r>
    </w:p>
    <w:p w:rsidR="00B72735" w:rsidRPr="00CF535B" w:rsidRDefault="00B72735" w:rsidP="00550638">
      <w:pPr>
        <w:spacing w:line="240" w:lineRule="auto"/>
        <w:jc w:val="both"/>
        <w:rPr>
          <w:rFonts w:ascii="Times New Roman" w:hAnsi="Times New Roman"/>
          <w:sz w:val="24"/>
          <w:szCs w:val="24"/>
        </w:rPr>
      </w:pPr>
      <w:r>
        <w:rPr>
          <w:rFonts w:ascii="Times New Roman" w:hAnsi="Times New Roman"/>
          <w:sz w:val="24"/>
          <w:szCs w:val="24"/>
        </w:rPr>
        <w:t xml:space="preserve">(Por </w:t>
      </w:r>
      <w:r w:rsidRPr="00CF535B">
        <w:rPr>
          <w:rFonts w:ascii="Times New Roman" w:hAnsi="Times New Roman"/>
          <w:sz w:val="24"/>
          <w:szCs w:val="24"/>
        </w:rPr>
        <w:t>J</w:t>
      </w:r>
      <w:r w:rsidR="00724424">
        <w:rPr>
          <w:rFonts w:ascii="Times New Roman" w:hAnsi="Times New Roman"/>
          <w:sz w:val="24"/>
          <w:szCs w:val="24"/>
        </w:rPr>
        <w:t>osé Adolfo de Azcárraga)                                                        Lectura recomendada</w:t>
      </w:r>
    </w:p>
    <w:p w:rsidR="00B72735" w:rsidRPr="005736CE" w:rsidRDefault="00B72735" w:rsidP="00550638">
      <w:pPr>
        <w:spacing w:line="240" w:lineRule="auto"/>
        <w:jc w:val="both"/>
        <w:rPr>
          <w:rFonts w:ascii="Times New Roman" w:hAnsi="Times New Roman"/>
          <w:sz w:val="24"/>
          <w:szCs w:val="24"/>
          <w:u w:val="single"/>
        </w:rPr>
      </w:pPr>
      <w:r w:rsidRPr="00CF535B">
        <w:rPr>
          <w:rFonts w:ascii="Times New Roman" w:hAnsi="Times New Roman"/>
          <w:sz w:val="24"/>
          <w:szCs w:val="24"/>
        </w:rPr>
        <w:t>Se conoce ya el Borrador ministerial del Estatuto del Personal Docente e Investigador (PDI) de las universidades públicas españolas, que pretende regular la llamada carrera docente. Esta tendría tres grados horizontales (una contradictio in terminis, por cierto) de profesores titulares y de catedráticos que se alcanzarían acumulando puntos según un baremo, en una especie de carnet por puntos del docente universitario. Uno pensaba, ingenuamente, que ya había reglamentación más que de sobra. Pero lo peor es que el Borrador es un ejemplo más de una perversidad a la que los legisladores educativos nos tienen acostumbrados: un pr</w:t>
      </w:r>
      <w:r w:rsidR="00724424">
        <w:rPr>
          <w:rFonts w:ascii="Times New Roman" w:hAnsi="Times New Roman"/>
          <w:sz w:val="24"/>
          <w:szCs w:val="24"/>
        </w:rPr>
        <w:t>eámbulo más o menos aceptable (“</w:t>
      </w:r>
      <w:r w:rsidRPr="00CF535B">
        <w:rPr>
          <w:rFonts w:ascii="Times New Roman" w:hAnsi="Times New Roman"/>
          <w:sz w:val="24"/>
          <w:szCs w:val="24"/>
        </w:rPr>
        <w:t>el profesor ha sido, sigue siendo y debe seguir siendo un investigador, un generador de conoc</w:t>
      </w:r>
      <w:r w:rsidR="00724424">
        <w:rPr>
          <w:rFonts w:ascii="Times New Roman" w:hAnsi="Times New Roman"/>
          <w:sz w:val="24"/>
          <w:szCs w:val="24"/>
        </w:rPr>
        <w:t>imiento y no un mero transmisor”</w:t>
      </w:r>
      <w:r w:rsidRPr="00CF535B">
        <w:rPr>
          <w:rFonts w:ascii="Times New Roman" w:hAnsi="Times New Roman"/>
          <w:sz w:val="24"/>
          <w:szCs w:val="24"/>
        </w:rPr>
        <w:t>, declara enfáticamente), seguido de una insufrible normativa (¡46 páginas!) contraria a los elevados principios iniciales. Aunque el preámbulo también gene</w:t>
      </w:r>
      <w:r w:rsidR="00724424">
        <w:rPr>
          <w:rFonts w:ascii="Times New Roman" w:hAnsi="Times New Roman"/>
          <w:sz w:val="24"/>
          <w:szCs w:val="24"/>
        </w:rPr>
        <w:t>ra inquietud, pues habla de la “</w:t>
      </w:r>
      <w:r w:rsidRPr="00CF535B">
        <w:rPr>
          <w:rFonts w:ascii="Times New Roman" w:hAnsi="Times New Roman"/>
          <w:sz w:val="24"/>
          <w:szCs w:val="24"/>
        </w:rPr>
        <w:t>carrera funcionarial basada en la obtención de méritos docentes o inves</w:t>
      </w:r>
      <w:r w:rsidR="00724424">
        <w:rPr>
          <w:rFonts w:ascii="Times New Roman" w:hAnsi="Times New Roman"/>
          <w:sz w:val="24"/>
          <w:szCs w:val="24"/>
        </w:rPr>
        <w:t>tigadores”</w:t>
      </w:r>
      <w:r w:rsidRPr="00CF535B">
        <w:rPr>
          <w:rFonts w:ascii="Times New Roman" w:hAnsi="Times New Roman"/>
          <w:sz w:val="24"/>
          <w:szCs w:val="24"/>
        </w:rPr>
        <w:t xml:space="preserve">, algo que redefiniría el actual personal docente (PD) e (no o) investigador (I). </w:t>
      </w:r>
      <w:r w:rsidRPr="000B3114">
        <w:rPr>
          <w:rFonts w:ascii="Times New Roman" w:hAnsi="Times New Roman"/>
          <w:sz w:val="24"/>
          <w:szCs w:val="24"/>
          <w:u w:val="single"/>
        </w:rPr>
        <w:t>El resto confirma los presagios: la investigación sólo vale 50 puntos de un total de 200; 120 puntos acreditan como catedrá</w:t>
      </w:r>
      <w:r w:rsidR="00724424">
        <w:rPr>
          <w:rFonts w:ascii="Times New Roman" w:hAnsi="Times New Roman"/>
          <w:sz w:val="24"/>
          <w:szCs w:val="24"/>
          <w:u w:val="single"/>
        </w:rPr>
        <w:t>tico y 140 dan un cuarto grado “</w:t>
      </w:r>
      <w:r w:rsidRPr="000B3114">
        <w:rPr>
          <w:rFonts w:ascii="Times New Roman" w:hAnsi="Times New Roman"/>
          <w:sz w:val="24"/>
          <w:szCs w:val="24"/>
          <w:u w:val="single"/>
        </w:rPr>
        <w:t>de excele</w:t>
      </w:r>
      <w:r w:rsidR="00724424">
        <w:rPr>
          <w:rFonts w:ascii="Times New Roman" w:hAnsi="Times New Roman"/>
          <w:sz w:val="24"/>
          <w:szCs w:val="24"/>
          <w:u w:val="single"/>
        </w:rPr>
        <w:t>ncia”</w:t>
      </w:r>
      <w:r w:rsidRPr="000B3114">
        <w:rPr>
          <w:rFonts w:ascii="Times New Roman" w:hAnsi="Times New Roman"/>
          <w:sz w:val="24"/>
          <w:szCs w:val="24"/>
          <w:u w:val="single"/>
        </w:rPr>
        <w:t>.</w:t>
      </w:r>
      <w:r w:rsidRPr="00CF535B">
        <w:rPr>
          <w:rFonts w:ascii="Times New Roman" w:hAnsi="Times New Roman"/>
          <w:sz w:val="24"/>
          <w:szCs w:val="24"/>
        </w:rPr>
        <w:t xml:space="preserve"> </w:t>
      </w:r>
      <w:r w:rsidRPr="005736CE">
        <w:rPr>
          <w:rFonts w:ascii="Times New Roman" w:hAnsi="Times New Roman"/>
          <w:sz w:val="24"/>
          <w:szCs w:val="24"/>
          <w:u w:val="single"/>
        </w:rPr>
        <w:t>Todo baremo es malo, pero el del Borrador permite</w:t>
      </w:r>
      <w:r w:rsidR="00724424">
        <w:rPr>
          <w:rFonts w:ascii="Times New Roman" w:hAnsi="Times New Roman"/>
          <w:sz w:val="24"/>
          <w:szCs w:val="24"/>
          <w:u w:val="single"/>
        </w:rPr>
        <w:t xml:space="preserve"> llegar a catedrático, incluso “excelente”</w:t>
      </w:r>
      <w:r w:rsidRPr="005736CE">
        <w:rPr>
          <w:rFonts w:ascii="Times New Roman" w:hAnsi="Times New Roman"/>
          <w:sz w:val="24"/>
          <w:szCs w:val="24"/>
          <w:u w:val="single"/>
        </w:rPr>
        <w:t>, con cero en investigación (o con cero en innovación y transferencia de conocimiento, importantes en áreas tecnológicas). ¿Es así como el Ministerio de Educación pretende mejorar nuestras universidades, que retroceden en las clasificaciones internacionales?</w:t>
      </w:r>
    </w:p>
    <w:p w:rsidR="00B72735" w:rsidRPr="00CF535B" w:rsidRDefault="00B72735" w:rsidP="00550638">
      <w:pPr>
        <w:spacing w:line="240" w:lineRule="auto"/>
        <w:jc w:val="both"/>
        <w:rPr>
          <w:rFonts w:ascii="Times New Roman" w:hAnsi="Times New Roman"/>
          <w:sz w:val="24"/>
          <w:szCs w:val="24"/>
        </w:rPr>
      </w:pPr>
      <w:r w:rsidRPr="00CF535B">
        <w:rPr>
          <w:rFonts w:ascii="Times New Roman" w:hAnsi="Times New Roman"/>
          <w:sz w:val="24"/>
          <w:szCs w:val="24"/>
        </w:rPr>
        <w:t>Por si lo dicho fuera poco, la aplicación de ese Estatuto generará una burocracia de proporciones siderales. Involucrará a todo el profesorado universitario, que entrará en trance preparando infinitos papeles para situarse donde horizontalmente proceda; a administrativos enloquecidos ante las súbitas necesidades que atender; a innumerables comisiones evaluando -horizontalmente- quizá a miles de profesores, desatendiendo otras obligaciones; a las autonomías terciando -cómo no- con reglamentación adicional, para no ser menos, y a las universidades generando la suya, que también es lo suyo; a cientos de mesas negociadoras negociando lo innegociable, etcétera. El colapso burocrático de las universidades españolas, que no preocupa a los redactores del Borrador, no es</w:t>
      </w:r>
      <w:r w:rsidR="00724424">
        <w:rPr>
          <w:rFonts w:ascii="Times New Roman" w:hAnsi="Times New Roman"/>
          <w:sz w:val="24"/>
          <w:szCs w:val="24"/>
        </w:rPr>
        <w:t xml:space="preserve"> ficción. Claro está que, como “</w:t>
      </w:r>
      <w:r w:rsidRPr="00CF535B">
        <w:rPr>
          <w:rFonts w:ascii="Times New Roman" w:hAnsi="Times New Roman"/>
          <w:sz w:val="24"/>
          <w:szCs w:val="24"/>
        </w:rPr>
        <w:t>e</w:t>
      </w:r>
      <w:r w:rsidR="00724424">
        <w:rPr>
          <w:rFonts w:ascii="Times New Roman" w:hAnsi="Times New Roman"/>
          <w:sz w:val="24"/>
          <w:szCs w:val="24"/>
        </w:rPr>
        <w:t>l dinero público no es de nadie”</w:t>
      </w:r>
      <w:r w:rsidRPr="00CF535B">
        <w:rPr>
          <w:rFonts w:ascii="Times New Roman" w:hAnsi="Times New Roman"/>
          <w:sz w:val="24"/>
          <w:szCs w:val="24"/>
        </w:rPr>
        <w:t>, se puede comisionear ad nauseam y despilfarrar ad infinitum impunemente, pues las ingentes sumas de tiempo académicamente improductivo y de dinero perdido no aparecerán en el debe de ningún balance.</w:t>
      </w:r>
    </w:p>
    <w:p w:rsidR="00B72735" w:rsidRPr="005736CE" w:rsidRDefault="00B72735" w:rsidP="00550638">
      <w:pPr>
        <w:spacing w:line="240" w:lineRule="auto"/>
        <w:jc w:val="both"/>
        <w:rPr>
          <w:rFonts w:ascii="Times New Roman" w:hAnsi="Times New Roman"/>
          <w:sz w:val="24"/>
          <w:szCs w:val="24"/>
          <w:u w:val="single"/>
        </w:rPr>
      </w:pPr>
      <w:r w:rsidRPr="00CF535B">
        <w:rPr>
          <w:rFonts w:ascii="Times New Roman" w:hAnsi="Times New Roman"/>
          <w:sz w:val="24"/>
          <w:szCs w:val="24"/>
        </w:rPr>
        <w:t xml:space="preserve">Ante la infinita casuística del Borrador no cabe sino sonreírse -llorar sería impropio, y más a ciertas edades- o pensar en hacer objeciones de detalle: insistir en lo esencial de la investigación, reiterar que la experiencia de muchos años de docencia no garantiza su excelencia, cacofónica obviedad que convendría repetir hasta que cale, etcétera. Pero entrar en ese juego sería pretender que el Borrador puede mejorase cuando no cabe más enmienda que a la totalidad, pues olvida que la universidad es un servicio público y que, </w:t>
      </w:r>
      <w:r w:rsidRPr="00CF535B">
        <w:rPr>
          <w:rFonts w:ascii="Times New Roman" w:hAnsi="Times New Roman"/>
          <w:sz w:val="24"/>
          <w:szCs w:val="24"/>
        </w:rPr>
        <w:lastRenderedPageBreak/>
        <w:t xml:space="preserve">por tanto, lo primero es garantizar su calidad. Hay un choque frontal entre la hiperburocrática universidad del Borrador y las que buscan de verdad la excelencia docente, investigadora y tecnológica, generadora de riqueza y progreso para sus países. El Borrador es ajeno a muchos de los principios que rigen las buenas universidades internacionales, cada vez más alejadas de la universidad autonómica de... pongamos Cantacucos de Abajo, para no señalar. Sí: hay excelentes universidades públicas en las que inspirarse, como Berkeley, the city of learning, que pertenece a la magnífica red californiana de universidades públicas y tiene 21 premios Nobel. Allí, el Borrador que nos ocupa produciría incredulidad y, después, un asombro sin límites. </w:t>
      </w:r>
      <w:r w:rsidRPr="005736CE">
        <w:rPr>
          <w:rFonts w:ascii="Times New Roman" w:hAnsi="Times New Roman"/>
          <w:sz w:val="24"/>
          <w:szCs w:val="24"/>
          <w:u w:val="single"/>
        </w:rPr>
        <w:t xml:space="preserve">Pues el Borrador penalizará aún más la excelencia universitaria y, en especial, a los jóvenes PDI que más se esfuerzan. Ya no será posible -de hecho, no lo es desde la puesta en marcha del nefasto baremo de las acreditaciones para los cuerpos universitarios- que jóvenes brillantes puedan ser catedráticos con 40 años: tendrán que esperar y dedicarse también a la burocracia institucional que, según </w:t>
      </w:r>
      <w:r w:rsidR="00724424">
        <w:rPr>
          <w:rFonts w:ascii="Times New Roman" w:hAnsi="Times New Roman"/>
          <w:sz w:val="24"/>
          <w:szCs w:val="24"/>
          <w:u w:val="single"/>
        </w:rPr>
        <w:t>el Borrador, “</w:t>
      </w:r>
      <w:r w:rsidRPr="005736CE">
        <w:rPr>
          <w:rFonts w:ascii="Times New Roman" w:hAnsi="Times New Roman"/>
          <w:sz w:val="24"/>
          <w:szCs w:val="24"/>
          <w:u w:val="single"/>
        </w:rPr>
        <w:t>debe tener en cu</w:t>
      </w:r>
      <w:r w:rsidR="00724424">
        <w:rPr>
          <w:rFonts w:ascii="Times New Roman" w:hAnsi="Times New Roman"/>
          <w:sz w:val="24"/>
          <w:szCs w:val="24"/>
          <w:u w:val="single"/>
        </w:rPr>
        <w:t>enta las actividades sindicales”</w:t>
      </w:r>
      <w:r w:rsidRPr="005736CE">
        <w:rPr>
          <w:rFonts w:ascii="Times New Roman" w:hAnsi="Times New Roman"/>
          <w:sz w:val="24"/>
          <w:szCs w:val="24"/>
          <w:u w:val="single"/>
        </w:rPr>
        <w:t xml:space="preserve"> (sic). Mejor, pues, ponerse en cola y calentar la silla que irse de post-doc a Estados Unidos, el Reino Unido o Alemania, que eso de irse al extranjero no es tan cómodo ni tan glamuroso como se cree. El esfuerzo y el mérito han muerto; viva la burocracia. Kafka ha llegado a nuestras universidades.</w:t>
      </w:r>
    </w:p>
    <w:p w:rsidR="00B72735" w:rsidRPr="00CF535B" w:rsidRDefault="00B72735" w:rsidP="00550638">
      <w:pPr>
        <w:spacing w:line="240" w:lineRule="auto"/>
        <w:jc w:val="both"/>
        <w:rPr>
          <w:rFonts w:ascii="Times New Roman" w:hAnsi="Times New Roman"/>
          <w:sz w:val="24"/>
          <w:szCs w:val="24"/>
        </w:rPr>
      </w:pPr>
      <w:r w:rsidRPr="005736CE">
        <w:rPr>
          <w:rFonts w:ascii="Times New Roman" w:hAnsi="Times New Roman"/>
          <w:sz w:val="24"/>
          <w:szCs w:val="24"/>
          <w:u w:val="single"/>
        </w:rPr>
        <w:t>La Universidad española perdió, a la llegada de la democracia, una gran oportunidad para intentar parecerse a las mejores universidades europeas y de Estados Unidos. Su oscilación pendular fue, quizá, la inevitable consecuencia de muchos años de dictadura. Sin embargo, pese a que en pleno siglo XXI esa excusa carece ya de toda validez, aún se sigue en la misma línea. Estamos presenciando la toma final del poder por los burócratas gracias a entornos -como el que crearía el Borrador- que favorecen el triunfo de su especie (Darwin, otra vez) a expensas de la institucionalmente más débil, la de los PDI con verdadera vocación docente e investigadora</w:t>
      </w:r>
      <w:r w:rsidRPr="00CF535B">
        <w:rPr>
          <w:rFonts w:ascii="Times New Roman" w:hAnsi="Times New Roman"/>
          <w:sz w:val="24"/>
          <w:szCs w:val="24"/>
        </w:rPr>
        <w:t>. Es cierto que, en ocasiones, estos reciben apoyo; pero este suele proceder de programas y reductos (en el Ministerio de Ciencia e Innovación, por ejemplo) donde la calidad cuenta -mejor dich</w:t>
      </w:r>
      <w:r>
        <w:rPr>
          <w:rFonts w:ascii="Times New Roman" w:hAnsi="Times New Roman"/>
          <w:sz w:val="24"/>
          <w:szCs w:val="24"/>
        </w:rPr>
        <w:t>o, tiene necesariamente que con</w:t>
      </w:r>
      <w:r w:rsidRPr="00CF535B">
        <w:rPr>
          <w:rFonts w:ascii="Times New Roman" w:hAnsi="Times New Roman"/>
          <w:sz w:val="24"/>
          <w:szCs w:val="24"/>
        </w:rPr>
        <w:t>tar- o de la UE; no, desde luego, de los despachos de donde emana el Borrador ministerial, ni de la Agencia Nacional de Evaluación de la Calidad</w:t>
      </w:r>
      <w:r w:rsidR="00724424">
        <w:rPr>
          <w:rFonts w:ascii="Times New Roman" w:hAnsi="Times New Roman"/>
          <w:sz w:val="24"/>
          <w:szCs w:val="24"/>
        </w:rPr>
        <w:t xml:space="preserve"> y Acreditación, ni de ninguna “mesa negociadora”</w:t>
      </w:r>
      <w:r w:rsidRPr="00CF535B">
        <w:rPr>
          <w:rFonts w:ascii="Times New Roman" w:hAnsi="Times New Roman"/>
          <w:sz w:val="24"/>
          <w:szCs w:val="24"/>
        </w:rPr>
        <w:t xml:space="preserve"> o</w:t>
      </w:r>
      <w:r w:rsidR="00896D2A">
        <w:rPr>
          <w:rFonts w:ascii="Times New Roman" w:hAnsi="Times New Roman"/>
          <w:sz w:val="24"/>
          <w:szCs w:val="24"/>
        </w:rPr>
        <w:t xml:space="preserve"> comisión boloñesa de presunta “innovación educativa”</w:t>
      </w:r>
      <w:r w:rsidRPr="00CF535B">
        <w:rPr>
          <w:rFonts w:ascii="Times New Roman" w:hAnsi="Times New Roman"/>
          <w:sz w:val="24"/>
          <w:szCs w:val="24"/>
        </w:rPr>
        <w:t xml:space="preserve">. </w:t>
      </w:r>
      <w:r w:rsidRPr="005736CE">
        <w:rPr>
          <w:rFonts w:ascii="Times New Roman" w:hAnsi="Times New Roman"/>
          <w:sz w:val="24"/>
          <w:szCs w:val="24"/>
          <w:u w:val="single"/>
        </w:rPr>
        <w:t>Y, por cierto, ¿dónde están los rectores universitarios? ¿Carecen de opinión sobre algo que tanto afectará a sus universidades? ¿Acaso son todos miembros de la especie que critico?</w:t>
      </w:r>
      <w:r w:rsidRPr="00CF535B">
        <w:rPr>
          <w:rFonts w:ascii="Times New Roman" w:hAnsi="Times New Roman"/>
          <w:sz w:val="24"/>
          <w:szCs w:val="24"/>
        </w:rPr>
        <w:t xml:space="preserve"> Me consta que no; pero, entonces, </w:t>
      </w:r>
      <w:r w:rsidRPr="005736CE">
        <w:rPr>
          <w:rFonts w:ascii="Times New Roman" w:hAnsi="Times New Roman"/>
          <w:sz w:val="24"/>
          <w:szCs w:val="24"/>
          <w:u w:val="single"/>
        </w:rPr>
        <w:t>¿por qué los rectores no levantan su voz?</w:t>
      </w:r>
      <w:r w:rsidRPr="00CF535B">
        <w:rPr>
          <w:rFonts w:ascii="Times New Roman" w:hAnsi="Times New Roman"/>
          <w:sz w:val="24"/>
          <w:szCs w:val="24"/>
        </w:rPr>
        <w:t xml:space="preserve"> </w:t>
      </w:r>
      <w:r w:rsidRPr="005736CE">
        <w:rPr>
          <w:rFonts w:ascii="Times New Roman" w:hAnsi="Times New Roman"/>
          <w:sz w:val="24"/>
          <w:szCs w:val="24"/>
          <w:u w:val="single"/>
        </w:rPr>
        <w:t>Cabe legítimamente preguntarse si habrán sufrido una curiosa metamorfosis: originalmente tribunos de la plebe (son elegidos por los miembros de sus universidades) quizá se hayan transformado, por su cercanía al poder gubernamental, en centuriones del César, correas de transmisión de los borradores ministeriales (hablo metafóricamente, claro está, just to make the point)</w:t>
      </w:r>
      <w:r w:rsidRPr="00CF535B">
        <w:rPr>
          <w:rFonts w:ascii="Times New Roman" w:hAnsi="Times New Roman"/>
          <w:sz w:val="24"/>
          <w:szCs w:val="24"/>
        </w:rPr>
        <w:t xml:space="preserve">. </w:t>
      </w:r>
      <w:r w:rsidRPr="005736CE">
        <w:rPr>
          <w:rFonts w:ascii="Times New Roman" w:hAnsi="Times New Roman"/>
          <w:sz w:val="24"/>
          <w:szCs w:val="24"/>
          <w:u w:val="single"/>
        </w:rPr>
        <w:t>Al fin y al cabo, también consintieron vacuidades boloñesas varias, o a desarrollar el postgrado antes que el grado ajenos a toda racionalidad</w:t>
      </w:r>
      <w:r w:rsidRPr="00CF535B">
        <w:rPr>
          <w:rFonts w:ascii="Times New Roman" w:hAnsi="Times New Roman"/>
          <w:sz w:val="24"/>
          <w:szCs w:val="24"/>
        </w:rPr>
        <w:t>. Por cierto, ¡qué excusa esta, los planes de Bolonia, para el triunfo de la langue de bois, que pretende convencernos de que el empera</w:t>
      </w:r>
      <w:r w:rsidR="00896D2A">
        <w:rPr>
          <w:rFonts w:ascii="Times New Roman" w:hAnsi="Times New Roman"/>
          <w:sz w:val="24"/>
          <w:szCs w:val="24"/>
        </w:rPr>
        <w:t>dor está ricamente cubierto de “habilidades transversales”, “estrategias”, “competencias”</w:t>
      </w:r>
      <w:r w:rsidRPr="00CF535B">
        <w:rPr>
          <w:rFonts w:ascii="Times New Roman" w:hAnsi="Times New Roman"/>
          <w:sz w:val="24"/>
          <w:szCs w:val="24"/>
        </w:rPr>
        <w:t xml:space="preserve"> y otras lindezas del mismo jaez!</w:t>
      </w:r>
    </w:p>
    <w:p w:rsidR="00B72735" w:rsidRPr="005736CE" w:rsidRDefault="00B72735" w:rsidP="00550638">
      <w:pPr>
        <w:spacing w:line="240" w:lineRule="auto"/>
        <w:jc w:val="both"/>
        <w:rPr>
          <w:rFonts w:ascii="Times New Roman" w:hAnsi="Times New Roman"/>
          <w:sz w:val="24"/>
          <w:szCs w:val="24"/>
          <w:u w:val="single"/>
        </w:rPr>
      </w:pPr>
      <w:r w:rsidRPr="005736CE">
        <w:rPr>
          <w:rFonts w:ascii="Times New Roman" w:hAnsi="Times New Roman"/>
          <w:sz w:val="24"/>
          <w:szCs w:val="24"/>
          <w:u w:val="single"/>
        </w:rPr>
        <w:t>Cuando la actividad sindical puntúe finalmente para ser catedrático de metafísica o de química orgánica (triunfo este de los sindicatos que -quién lo diría- aseguran defender la enseñanza pública de calidad</w:t>
      </w:r>
      <w:r w:rsidR="00896D2A">
        <w:rPr>
          <w:rFonts w:ascii="Times New Roman" w:hAnsi="Times New Roman"/>
          <w:sz w:val="24"/>
          <w:szCs w:val="24"/>
          <w:u w:val="single"/>
        </w:rPr>
        <w:t>); cuando domine la pretendida “innovación educativa”; cuando todo profesor “</w:t>
      </w:r>
      <w:r w:rsidRPr="005736CE">
        <w:rPr>
          <w:rFonts w:ascii="Times New Roman" w:hAnsi="Times New Roman"/>
          <w:sz w:val="24"/>
          <w:szCs w:val="24"/>
          <w:u w:val="single"/>
        </w:rPr>
        <w:t>piense metacogn</w:t>
      </w:r>
      <w:r w:rsidR="00896D2A">
        <w:rPr>
          <w:rFonts w:ascii="Times New Roman" w:hAnsi="Times New Roman"/>
          <w:sz w:val="24"/>
          <w:szCs w:val="24"/>
          <w:u w:val="single"/>
        </w:rPr>
        <w:t>itivamente” (sic) para “mejorar”</w:t>
      </w:r>
      <w:r w:rsidRPr="005736CE">
        <w:rPr>
          <w:rFonts w:ascii="Times New Roman" w:hAnsi="Times New Roman"/>
          <w:sz w:val="24"/>
          <w:szCs w:val="24"/>
          <w:u w:val="single"/>
        </w:rPr>
        <w:t xml:space="preserve"> sus clases; y cuando, final</w:t>
      </w:r>
      <w:r w:rsidR="00896D2A">
        <w:rPr>
          <w:rFonts w:ascii="Times New Roman" w:hAnsi="Times New Roman"/>
          <w:sz w:val="24"/>
          <w:szCs w:val="24"/>
          <w:u w:val="single"/>
        </w:rPr>
        <w:t>mente, la hiperburocracia y el “carnet por puntos”</w:t>
      </w:r>
      <w:r w:rsidRPr="005736CE">
        <w:rPr>
          <w:rFonts w:ascii="Times New Roman" w:hAnsi="Times New Roman"/>
          <w:sz w:val="24"/>
          <w:szCs w:val="24"/>
          <w:u w:val="single"/>
        </w:rPr>
        <w:t xml:space="preserve"> (horizontales) del </w:t>
      </w:r>
      <w:r w:rsidRPr="005736CE">
        <w:rPr>
          <w:rFonts w:ascii="Times New Roman" w:hAnsi="Times New Roman"/>
          <w:sz w:val="24"/>
          <w:szCs w:val="24"/>
          <w:u w:val="single"/>
        </w:rPr>
        <w:lastRenderedPageBreak/>
        <w:t>profesor universitario reinen indiscutidos, la universidad española habrá sufrido un daño tan grande como difícil de reparar, especialmente desde dentro. Pues el problema de nuestras universidades no es solo presupuestario: la insuficiente inversión no puede servir de coartada -como sirve- para ocultar carencias más fundamentales. El verdadero motor del progreso es la búsqueda de la calidad, vinculada al esfuerzo y al mérito, eje de toda verdadera política universitaria. Quizá se objete que, pese a todo, las universidades españolas han mejorado muchísimo en los últimos 30 años. Cierto. Pero legisladores y autoridades académicas han tenido poco que ver en ello; su progreso hubiera sido mucho mayor en otro entorno. Su avance se ha debido, primero, a la sociedad que paga sus impuestos y, después, al PDI que lo es de verdad.</w:t>
      </w:r>
    </w:p>
    <w:p w:rsidR="00B72735" w:rsidRPr="00CF535B" w:rsidRDefault="00B72735" w:rsidP="00550638">
      <w:pPr>
        <w:spacing w:line="240" w:lineRule="auto"/>
        <w:jc w:val="both"/>
        <w:rPr>
          <w:rFonts w:ascii="Times New Roman" w:hAnsi="Times New Roman"/>
          <w:sz w:val="24"/>
          <w:szCs w:val="24"/>
          <w:lang w:val="en-US"/>
        </w:rPr>
      </w:pPr>
      <w:r w:rsidRPr="00CF535B">
        <w:rPr>
          <w:rFonts w:ascii="Times New Roman" w:hAnsi="Times New Roman"/>
          <w:sz w:val="24"/>
          <w:szCs w:val="24"/>
        </w:rPr>
        <w:t xml:space="preserve">Que no cunda el desánimo; quizá algunos rectores alcen su voz y/o el Ministerio retire el Borrador. Y siempre quedará el himno de los sesenta que popularizó Joan Baez: We shall overcome, we are not afraid. </w:t>
      </w:r>
      <w:r w:rsidRPr="00CF535B">
        <w:rPr>
          <w:rFonts w:ascii="Times New Roman" w:hAnsi="Times New Roman"/>
          <w:sz w:val="24"/>
          <w:szCs w:val="24"/>
          <w:lang w:val="en-US"/>
        </w:rPr>
        <w:t>Oh, deep in my heart, I do believe, we shall overcome some day.</w:t>
      </w:r>
    </w:p>
    <w:p w:rsidR="00B72735" w:rsidRDefault="00B72735" w:rsidP="00550638">
      <w:pPr>
        <w:spacing w:line="240" w:lineRule="auto"/>
        <w:jc w:val="both"/>
        <w:rPr>
          <w:rFonts w:ascii="Times New Roman" w:hAnsi="Times New Roman"/>
          <w:sz w:val="24"/>
          <w:szCs w:val="24"/>
        </w:rPr>
      </w:pPr>
      <w:r w:rsidRPr="00757F54">
        <w:rPr>
          <w:rFonts w:ascii="Times New Roman" w:hAnsi="Times New Roman"/>
          <w:sz w:val="24"/>
          <w:szCs w:val="24"/>
        </w:rPr>
        <w:t>(</w:t>
      </w:r>
      <w:r w:rsidRPr="00CF535B">
        <w:rPr>
          <w:rFonts w:ascii="Times New Roman" w:hAnsi="Times New Roman"/>
          <w:sz w:val="24"/>
          <w:szCs w:val="24"/>
        </w:rPr>
        <w:t>José Adolfo de Azcárraga e</w:t>
      </w:r>
      <w:r>
        <w:rPr>
          <w:rFonts w:ascii="Times New Roman" w:hAnsi="Times New Roman"/>
          <w:sz w:val="24"/>
          <w:szCs w:val="24"/>
        </w:rPr>
        <w:t>s catedrático de Física Teórica)</w:t>
      </w:r>
    </w:p>
    <w:p w:rsidR="00B72735" w:rsidRPr="00EE7062" w:rsidRDefault="00B72735"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EE7062">
        <w:rPr>
          <w:rFonts w:ascii="Times New Roman" w:hAnsi="Times New Roman"/>
          <w:sz w:val="24"/>
          <w:szCs w:val="24"/>
          <w:u w:val="single"/>
        </w:rPr>
        <w:t>Investigar es llorar… en España</w:t>
      </w:r>
      <w:r>
        <w:rPr>
          <w:rFonts w:ascii="Times New Roman" w:hAnsi="Times New Roman"/>
          <w:sz w:val="24"/>
          <w:szCs w:val="24"/>
        </w:rPr>
        <w:t xml:space="preserve"> (Gaceta.es - </w:t>
      </w:r>
      <w:r w:rsidRPr="00EE7062">
        <w:rPr>
          <w:rFonts w:ascii="Times New Roman" w:hAnsi="Times New Roman"/>
          <w:b/>
          <w:sz w:val="24"/>
          <w:szCs w:val="24"/>
        </w:rPr>
        <w:t>4/3/11</w:t>
      </w:r>
      <w:r>
        <w:rPr>
          <w:rFonts w:ascii="Times New Roman" w:hAnsi="Times New Roman"/>
          <w:sz w:val="24"/>
          <w:szCs w:val="24"/>
        </w:rPr>
        <w:t>)</w:t>
      </w:r>
      <w:r w:rsidR="00922AE4">
        <w:rPr>
          <w:rFonts w:ascii="Times New Roman" w:hAnsi="Times New Roman"/>
          <w:sz w:val="24"/>
          <w:szCs w:val="24"/>
        </w:rPr>
        <w:t xml:space="preserve">                    Lectura recomendada</w:t>
      </w:r>
    </w:p>
    <w:p w:rsidR="00B72735" w:rsidRPr="00EE7062" w:rsidRDefault="00B72735" w:rsidP="00550638">
      <w:pPr>
        <w:spacing w:line="240" w:lineRule="auto"/>
        <w:jc w:val="both"/>
        <w:rPr>
          <w:rFonts w:ascii="Times New Roman" w:hAnsi="Times New Roman"/>
          <w:sz w:val="24"/>
          <w:szCs w:val="24"/>
        </w:rPr>
      </w:pPr>
      <w:r>
        <w:rPr>
          <w:rFonts w:ascii="Times New Roman" w:hAnsi="Times New Roman"/>
          <w:sz w:val="24"/>
          <w:szCs w:val="24"/>
        </w:rPr>
        <w:t xml:space="preserve">(Por </w:t>
      </w:r>
      <w:r w:rsidRPr="00EE7062">
        <w:rPr>
          <w:rFonts w:ascii="Times New Roman" w:hAnsi="Times New Roman"/>
          <w:sz w:val="24"/>
          <w:szCs w:val="24"/>
        </w:rPr>
        <w:t>Nicolás Jouve</w:t>
      </w:r>
      <w:r>
        <w:rPr>
          <w:rFonts w:ascii="Times New Roman" w:hAnsi="Times New Roman"/>
          <w:sz w:val="24"/>
          <w:szCs w:val="24"/>
        </w:rPr>
        <w:t>)</w:t>
      </w:r>
    </w:p>
    <w:p w:rsidR="00B72735" w:rsidRPr="00EE7062" w:rsidRDefault="00B72735" w:rsidP="00550638">
      <w:pPr>
        <w:spacing w:line="240" w:lineRule="auto"/>
        <w:jc w:val="both"/>
        <w:rPr>
          <w:rFonts w:ascii="Times New Roman" w:hAnsi="Times New Roman"/>
          <w:sz w:val="24"/>
          <w:szCs w:val="24"/>
        </w:rPr>
      </w:pPr>
      <w:r w:rsidRPr="00AD6EFB">
        <w:rPr>
          <w:rFonts w:ascii="Times New Roman" w:hAnsi="Times New Roman"/>
          <w:sz w:val="24"/>
          <w:szCs w:val="24"/>
          <w:u w:val="single"/>
        </w:rPr>
        <w:t>Decía José Ortega y Gasset que la Universidad tiene por misión “formar a profesionales con capacidad de influir en la sociedad según la altura de los tiempos”. Lo cierto es que una sociedad moderna y dinámica, que se precie de estar a la altura de los tiempos, necesita profesionales que generen conocimiento por medio de la investigación</w:t>
      </w:r>
      <w:r w:rsidRPr="00EE7062">
        <w:rPr>
          <w:rFonts w:ascii="Times New Roman" w:hAnsi="Times New Roman"/>
          <w:sz w:val="24"/>
          <w:szCs w:val="24"/>
        </w:rPr>
        <w:t xml:space="preserve">. De hecho, España, desde la implantación de la Ley de Reforma Universitaria (LRU) de 1983, se incorporó de forma decidida a la formación de profesionales e investigadores y al fomento de actividades científico-técnicas para incrementar el bienestar social y trasladar al tejido industrial y económico sistemas y tecnologías innovadoras que elevaran la </w:t>
      </w:r>
      <w:r>
        <w:rPr>
          <w:rFonts w:ascii="Times New Roman" w:hAnsi="Times New Roman"/>
          <w:sz w:val="24"/>
          <w:szCs w:val="24"/>
        </w:rPr>
        <w:t>competitividad de las empresas.</w:t>
      </w:r>
    </w:p>
    <w:p w:rsidR="00B72735" w:rsidRPr="00AD6EFB" w:rsidRDefault="00B72735" w:rsidP="00550638">
      <w:pPr>
        <w:spacing w:line="240" w:lineRule="auto"/>
        <w:jc w:val="both"/>
        <w:rPr>
          <w:rFonts w:ascii="Times New Roman" w:hAnsi="Times New Roman"/>
          <w:sz w:val="24"/>
          <w:szCs w:val="24"/>
          <w:u w:val="single"/>
        </w:rPr>
      </w:pPr>
      <w:r w:rsidRPr="00AD6EFB">
        <w:rPr>
          <w:rFonts w:ascii="Times New Roman" w:hAnsi="Times New Roman"/>
          <w:sz w:val="24"/>
          <w:szCs w:val="24"/>
          <w:u w:val="single"/>
        </w:rPr>
        <w:t>Tras más de 25 años de aquella acertada decisión el esfuerzo formativo personal ha sido enorme, pero, ¿está siendo aprovechado de forma satisfactoria? En lo que a la investigación se refiere hay dos factores indispensables: ideas e inversión económica, y hoy constatamos que en las dos últimas décadas se ha producido un extraordinario incremento de la presencia de la ciencia española en la revistas de mayor índice de impacto del mundo, hasta colocarnos en la novena posición en términos de producción científica. Este resultado se debe en parte al incremento paulatino de los fondos públicos destinados a I+D (investigación y desarrollo), que partieron de un escaso 0,76% del PIB en 1996 y llegaron al 1,3% en 2007, lejos aún de las inversiones de los países de mayor desarrollo económico. Sin embargo, en España el esfuerzo económico en investigación es todavía insuficiente y adolece de la baja participación en I+D+i del sector privado, probablemente por la mentalidad cortoplacista de nuestras empresas, que no parecen dispuestas a esperar un periodo de varios años para obtener los beneficios derivados de sus inversiones.</w:t>
      </w:r>
    </w:p>
    <w:p w:rsidR="00B72735" w:rsidRPr="00AD6EFB" w:rsidRDefault="00B72735" w:rsidP="00550638">
      <w:pPr>
        <w:spacing w:line="240" w:lineRule="auto"/>
        <w:jc w:val="both"/>
        <w:rPr>
          <w:rFonts w:ascii="Times New Roman" w:hAnsi="Times New Roman"/>
          <w:sz w:val="24"/>
          <w:szCs w:val="24"/>
          <w:u w:val="single"/>
        </w:rPr>
      </w:pPr>
      <w:r w:rsidRPr="00AD6EFB">
        <w:rPr>
          <w:rFonts w:ascii="Times New Roman" w:hAnsi="Times New Roman"/>
          <w:sz w:val="24"/>
          <w:szCs w:val="24"/>
          <w:u w:val="single"/>
        </w:rPr>
        <w:t>Lo cierto es que si no hay inversión económica será difícil mantener una buena posición en el ranking internacional de la ciencia y favorecer la marcha social y económica del país. A este respecto, mi maestro, el profesor Enrique Sánchez-Monge, primer catedrático de Genética de España, repetía una conocida frase de su abuelo, el gran escritor Melitón González: “No se puede tocar Parsifal con cuatro pitos”</w:t>
      </w:r>
      <w:r w:rsidRPr="00EE7062">
        <w:rPr>
          <w:rFonts w:ascii="Times New Roman" w:hAnsi="Times New Roman"/>
          <w:sz w:val="24"/>
          <w:szCs w:val="24"/>
        </w:rPr>
        <w:t xml:space="preserve">. Un síntoma </w:t>
      </w:r>
      <w:r w:rsidRPr="00EE7062">
        <w:rPr>
          <w:rFonts w:ascii="Times New Roman" w:hAnsi="Times New Roman"/>
          <w:sz w:val="24"/>
          <w:szCs w:val="24"/>
        </w:rPr>
        <w:lastRenderedPageBreak/>
        <w:t xml:space="preserve">grave de esto es la falta de perspectivas de empleo de muchos jóvenes investigadores, en los que se ha hecho una importante inversión con programas muy exigentes de formación, y que ahora parecen no contar en los planes de incorporación al sistema científico español. </w:t>
      </w:r>
      <w:r w:rsidRPr="00AD6EFB">
        <w:rPr>
          <w:rFonts w:ascii="Times New Roman" w:hAnsi="Times New Roman"/>
          <w:sz w:val="24"/>
          <w:szCs w:val="24"/>
          <w:u w:val="single"/>
        </w:rPr>
        <w:t>Hace unos años se estableció un programa denominado Ramón y Cajal, mediante el que se trataba de incorporar a nuestros centros de investigación unos 250 investigadores al año, formados en centros de prestigio internacional. Muchos de estos habían vuelto a España bajo la promesa de estabilizar su situación en las universidades y organismos de investigación, incluso a costa de dejar puestos de plantilla como investigadores en el extranjero.</w:t>
      </w:r>
    </w:p>
    <w:p w:rsidR="00B72735" w:rsidRPr="00AD6EFB" w:rsidRDefault="00B72735" w:rsidP="00550638">
      <w:pPr>
        <w:spacing w:line="240" w:lineRule="auto"/>
        <w:jc w:val="both"/>
        <w:rPr>
          <w:rFonts w:ascii="Times New Roman" w:hAnsi="Times New Roman"/>
          <w:sz w:val="24"/>
          <w:szCs w:val="24"/>
          <w:u w:val="single"/>
        </w:rPr>
      </w:pPr>
      <w:r w:rsidRPr="00AD6EFB">
        <w:rPr>
          <w:rFonts w:ascii="Times New Roman" w:hAnsi="Times New Roman"/>
          <w:sz w:val="24"/>
          <w:szCs w:val="24"/>
          <w:u w:val="single"/>
        </w:rPr>
        <w:t>El horizonte se ha agravado por la crisis económica y representa una marcha atrás en la lenta pero efectiva evolución del panorama científico español de las últimas décadas.</w:t>
      </w:r>
    </w:p>
    <w:p w:rsidR="00B72735" w:rsidRPr="00AD6EFB" w:rsidRDefault="00B72735" w:rsidP="00550638">
      <w:pPr>
        <w:spacing w:line="240" w:lineRule="auto"/>
        <w:jc w:val="both"/>
        <w:rPr>
          <w:rFonts w:ascii="Times New Roman" w:hAnsi="Times New Roman"/>
          <w:sz w:val="24"/>
          <w:szCs w:val="24"/>
          <w:u w:val="single"/>
        </w:rPr>
      </w:pPr>
      <w:r w:rsidRPr="00AD6EFB">
        <w:rPr>
          <w:rFonts w:ascii="Times New Roman" w:hAnsi="Times New Roman"/>
          <w:sz w:val="24"/>
          <w:szCs w:val="24"/>
          <w:u w:val="single"/>
        </w:rPr>
        <w:t>Este es el motivo por el que se ha constituido una plataforma denominada Investigación Digna, suscrita por más de 2.500 investigadores de más de un centenar y medio de instituciones, organismos de investigación y universidades. En el documento dirigido al Gobierno y a los miembros de la Comisión de Ciencia y Tecnología del Congreso, donde lentamente se debate un proyecto de Ley de la Ciencia, la Tecnología y la Innovación, se describe la alarmante situación a la que se ha llegado en los últimos años en España, con un recorte medio de un 16%, que representa cerca de un 30% de reducción presupuestaria al año en los Organismos Públicos de Investigación. En el mismo se señalan las escasas perspectivas de mejora a corto plazo.</w:t>
      </w:r>
    </w:p>
    <w:p w:rsidR="00B72735" w:rsidRPr="00AD6EFB" w:rsidRDefault="00B72735" w:rsidP="00550638">
      <w:pPr>
        <w:spacing w:line="240" w:lineRule="auto"/>
        <w:jc w:val="both"/>
        <w:rPr>
          <w:rFonts w:ascii="Times New Roman" w:hAnsi="Times New Roman"/>
          <w:sz w:val="24"/>
          <w:szCs w:val="24"/>
          <w:u w:val="single"/>
        </w:rPr>
      </w:pPr>
      <w:r w:rsidRPr="00AD6EFB">
        <w:rPr>
          <w:rFonts w:ascii="Times New Roman" w:hAnsi="Times New Roman"/>
          <w:sz w:val="24"/>
          <w:szCs w:val="24"/>
          <w:u w:val="single"/>
        </w:rPr>
        <w:t>Al mismo tiempo, en un informe elaborado por la Cosce (Confederación de Sociedades Científicas de España), se denuncia la gravedad de la situación de la financiación de la ciencia en España, estancada desde 2007. La citada confederación, que engloba a más de 70 sociedades científicas y a unos 30.000 científicos españoles, concluye en su extenso informe que los presupuestos de inversión en I+D+i han sufrido un descenso del 10% en términos constantes, lo que representa un retroceso de varios años. En el informe se significa que paradójicamente en el año 2009 se quedó sin invertir un 25% de los presupuestos del Estado asignados al Ministerio de Ciencia e Innovación, lo que resulta muy sorprendente dada la situación.</w:t>
      </w:r>
    </w:p>
    <w:p w:rsidR="00B72735" w:rsidRPr="00EE7062" w:rsidRDefault="00B72735" w:rsidP="00550638">
      <w:pPr>
        <w:spacing w:line="240" w:lineRule="auto"/>
        <w:jc w:val="both"/>
        <w:rPr>
          <w:rFonts w:ascii="Times New Roman" w:hAnsi="Times New Roman"/>
          <w:sz w:val="24"/>
          <w:szCs w:val="24"/>
        </w:rPr>
      </w:pPr>
      <w:r w:rsidRPr="00EE7062">
        <w:rPr>
          <w:rFonts w:ascii="Times New Roman" w:hAnsi="Times New Roman"/>
          <w:sz w:val="24"/>
          <w:szCs w:val="24"/>
        </w:rPr>
        <w:t>Por todo ello urge la creación de una Agencia Estatal de Investigación que, aun estando prevista en la Nueva Ley de la Ciencia, sigue un t</w:t>
      </w:r>
      <w:r>
        <w:rPr>
          <w:rFonts w:ascii="Times New Roman" w:hAnsi="Times New Roman"/>
          <w:sz w:val="24"/>
          <w:szCs w:val="24"/>
        </w:rPr>
        <w:t>rámite parlamentario muy lento.</w:t>
      </w:r>
    </w:p>
    <w:p w:rsidR="00B72735" w:rsidRPr="00EE7062" w:rsidRDefault="00B72735" w:rsidP="00550638">
      <w:pPr>
        <w:spacing w:line="240" w:lineRule="auto"/>
        <w:jc w:val="both"/>
        <w:rPr>
          <w:rFonts w:ascii="Times New Roman" w:hAnsi="Times New Roman"/>
          <w:sz w:val="24"/>
          <w:szCs w:val="24"/>
        </w:rPr>
      </w:pPr>
      <w:r w:rsidRPr="00EE7062">
        <w:rPr>
          <w:rFonts w:ascii="Times New Roman" w:hAnsi="Times New Roman"/>
          <w:sz w:val="24"/>
          <w:szCs w:val="24"/>
        </w:rPr>
        <w:t>Hay que insistir en la necesidad de volver al buen camino y atender a la incorporación de investigadores bien formados, y aumentar el presupuesto destinado a I+D si queremos mejorar el panorama científico español y colocarnos a la altura de los tiempos. La pérdida de cerebros y la retracción presupuestaria puede suponer una parada y un retroceso de años en nuestro posicionamiento en el contexto mundial de investigación.</w:t>
      </w:r>
    </w:p>
    <w:p w:rsidR="00B72735" w:rsidRPr="00EE7062" w:rsidRDefault="00B72735" w:rsidP="00550638">
      <w:pPr>
        <w:spacing w:line="240" w:lineRule="auto"/>
        <w:jc w:val="both"/>
        <w:rPr>
          <w:rFonts w:ascii="Times New Roman" w:hAnsi="Times New Roman"/>
          <w:sz w:val="24"/>
          <w:szCs w:val="24"/>
        </w:rPr>
      </w:pPr>
      <w:r w:rsidRPr="00EE7062">
        <w:rPr>
          <w:rFonts w:ascii="Times New Roman" w:hAnsi="Times New Roman"/>
          <w:sz w:val="24"/>
          <w:szCs w:val="24"/>
        </w:rPr>
        <w:t>Finalmente, habría que invitar a nuestros gobernantes a seguir el ejemplo de países como Alemania, que con una mayor inversión en I+D han remontado la tendencia y están saliendo de la misma crisis que tantas veces nos recuerda</w:t>
      </w:r>
      <w:r>
        <w:rPr>
          <w:rFonts w:ascii="Times New Roman" w:hAnsi="Times New Roman"/>
          <w:sz w:val="24"/>
          <w:szCs w:val="24"/>
        </w:rPr>
        <w:t>n tiene carácter internacional.</w:t>
      </w:r>
    </w:p>
    <w:p w:rsidR="00B72735" w:rsidRDefault="00B72735" w:rsidP="00550638">
      <w:pPr>
        <w:spacing w:line="240" w:lineRule="auto"/>
        <w:jc w:val="both"/>
        <w:rPr>
          <w:rFonts w:ascii="Times New Roman" w:hAnsi="Times New Roman"/>
          <w:sz w:val="24"/>
          <w:szCs w:val="24"/>
        </w:rPr>
      </w:pPr>
      <w:r>
        <w:rPr>
          <w:rFonts w:ascii="Times New Roman" w:hAnsi="Times New Roman"/>
          <w:sz w:val="24"/>
          <w:szCs w:val="24"/>
        </w:rPr>
        <w:t>(</w:t>
      </w:r>
      <w:r w:rsidRPr="00EE7062">
        <w:rPr>
          <w:rFonts w:ascii="Times New Roman" w:hAnsi="Times New Roman"/>
          <w:sz w:val="24"/>
          <w:szCs w:val="24"/>
        </w:rPr>
        <w:t>* Nicolás Jouve es catedrático de Genét</w:t>
      </w:r>
      <w:r>
        <w:rPr>
          <w:rFonts w:ascii="Times New Roman" w:hAnsi="Times New Roman"/>
          <w:sz w:val="24"/>
          <w:szCs w:val="24"/>
        </w:rPr>
        <w:t>ica en la Universidad de Alcalá)</w:t>
      </w:r>
    </w:p>
    <w:p w:rsidR="00385B90" w:rsidRDefault="00385B90" w:rsidP="00550638">
      <w:pPr>
        <w:spacing w:line="240" w:lineRule="auto"/>
        <w:jc w:val="both"/>
        <w:rPr>
          <w:rFonts w:ascii="Times New Roman" w:hAnsi="Times New Roman"/>
          <w:sz w:val="24"/>
          <w:szCs w:val="24"/>
        </w:rPr>
      </w:pPr>
    </w:p>
    <w:p w:rsidR="00385B90" w:rsidRDefault="00385B90" w:rsidP="00550638">
      <w:pPr>
        <w:spacing w:line="240" w:lineRule="auto"/>
        <w:jc w:val="both"/>
        <w:rPr>
          <w:rFonts w:ascii="Times New Roman" w:hAnsi="Times New Roman"/>
          <w:sz w:val="24"/>
          <w:szCs w:val="24"/>
        </w:rPr>
      </w:pPr>
    </w:p>
    <w:p w:rsidR="00922AE4" w:rsidRPr="00922AE4" w:rsidRDefault="00922AE4" w:rsidP="00550638">
      <w:pPr>
        <w:spacing w:line="240" w:lineRule="auto"/>
        <w:jc w:val="both"/>
        <w:rPr>
          <w:rFonts w:ascii="Times New Roman" w:hAnsi="Times New Roman"/>
          <w:sz w:val="24"/>
          <w:szCs w:val="24"/>
          <w:u w:val="single"/>
        </w:rPr>
      </w:pPr>
      <w:r w:rsidRPr="00922AE4">
        <w:rPr>
          <w:rFonts w:ascii="Times New Roman" w:hAnsi="Times New Roman"/>
          <w:sz w:val="24"/>
          <w:szCs w:val="24"/>
          <w:u w:val="single"/>
        </w:rPr>
        <w:lastRenderedPageBreak/>
        <w:t xml:space="preserve">Cuando el nivel educativo es </w:t>
      </w:r>
      <w:r>
        <w:rPr>
          <w:rFonts w:ascii="Times New Roman" w:hAnsi="Times New Roman"/>
          <w:sz w:val="24"/>
          <w:szCs w:val="24"/>
          <w:u w:val="single"/>
        </w:rPr>
        <w:t>clave</w:t>
      </w:r>
      <w:r w:rsidRPr="00922AE4">
        <w:rPr>
          <w:rFonts w:ascii="Times New Roman" w:hAnsi="Times New Roman"/>
          <w:sz w:val="24"/>
          <w:szCs w:val="24"/>
          <w:u w:val="single"/>
        </w:rPr>
        <w:t xml:space="preserve">  para salir de la</w:t>
      </w:r>
      <w:r>
        <w:rPr>
          <w:rFonts w:ascii="Times New Roman" w:hAnsi="Times New Roman"/>
          <w:sz w:val="24"/>
          <w:szCs w:val="24"/>
          <w:u w:val="single"/>
        </w:rPr>
        <w:t xml:space="preserve"> crisis, se acuerdan de Santa Bárbara</w:t>
      </w:r>
    </w:p>
    <w:p w:rsidR="00B72735" w:rsidRDefault="00922AE4" w:rsidP="00550638">
      <w:pPr>
        <w:pStyle w:val="NormalWeb"/>
        <w:jc w:val="both"/>
      </w:pPr>
      <w:r w:rsidRPr="00CA33AD">
        <w:rPr>
          <w:i/>
        </w:rPr>
        <w:t>“</w:t>
      </w:r>
      <w:r w:rsidR="00B72735" w:rsidRPr="00CA33AD">
        <w:rPr>
          <w:i/>
        </w:rPr>
        <w:t>Isabel Fernandes, una risueña joven de 22 años con una constelación de estrellas tatuadas alrededor del ojo derecho, no está segura de cuántas veces repitió el quinto grado. Dos, dice riendo. O quizá tres. También repitió el séptimo grado. Dejó la escuela con una educación</w:t>
      </w:r>
      <w:r w:rsidRPr="00CA33AD">
        <w:rPr>
          <w:i/>
        </w:rPr>
        <w:t xml:space="preserve"> de octavo grado a los 20 años. </w:t>
      </w:r>
      <w:r w:rsidR="00B72735" w:rsidRPr="00CA33AD">
        <w:rPr>
          <w:i/>
        </w:rPr>
        <w:t>Fernandes vive en un barrio pobre cerca del aeropuerto. No t</w:t>
      </w:r>
      <w:r w:rsidRPr="00CA33AD">
        <w:rPr>
          <w:i/>
        </w:rPr>
        <w:t>rabaja. Los empleadores, dice, “</w:t>
      </w:r>
      <w:r w:rsidR="00B72735" w:rsidRPr="00CA33AD">
        <w:rPr>
          <w:i/>
        </w:rPr>
        <w:t>pi</w:t>
      </w:r>
      <w:r w:rsidRPr="00CA33AD">
        <w:rPr>
          <w:i/>
        </w:rPr>
        <w:t>den un nivel educativo más alto”</w:t>
      </w:r>
      <w:r w:rsidR="00B72735" w:rsidRPr="00CA33AD">
        <w:rPr>
          <w:i/>
        </w:rPr>
        <w:t>. Incluso los empleos de limpieza son difíciles de encontrar</w:t>
      </w:r>
      <w:r w:rsidR="00787787">
        <w:rPr>
          <w:i/>
        </w:rPr>
        <w:t>”</w:t>
      </w:r>
      <w:r w:rsidRPr="00CA33AD">
        <w:rPr>
          <w:i/>
        </w:rPr>
        <w:t>…</w:t>
      </w:r>
      <w:r>
        <w:t xml:space="preserve"> </w:t>
      </w:r>
      <w:r w:rsidRPr="009F471F">
        <w:rPr>
          <w:u w:val="single"/>
        </w:rPr>
        <w:t>En plena crisis, el bajo nivel educativo surge como el talón de Aquiles de Portugal</w:t>
      </w:r>
      <w:r>
        <w:t xml:space="preserve"> (The Wall Street Journal - </w:t>
      </w:r>
      <w:r w:rsidRPr="009F471F">
        <w:rPr>
          <w:b/>
        </w:rPr>
        <w:t>24/3/11</w:t>
      </w:r>
      <w:r>
        <w:t xml:space="preserve">) </w:t>
      </w:r>
    </w:p>
    <w:p w:rsidR="00B72735" w:rsidRPr="005C7D7C" w:rsidRDefault="00B72735" w:rsidP="00550638">
      <w:pPr>
        <w:pStyle w:val="NormalWeb"/>
        <w:jc w:val="both"/>
      </w:pPr>
      <w:r w:rsidRPr="005C7D7C">
        <w:t>Portugal es el país más pobre de Europa occidental. También es el que tiene un nivel de estudios más bajo y eso ha surgido como una dolorosa desventaja para sus crecientes problemas económicos.</w:t>
      </w:r>
    </w:p>
    <w:p w:rsidR="00B72735" w:rsidRPr="005C7D7C" w:rsidRDefault="00B72735" w:rsidP="00550638">
      <w:pPr>
        <w:pStyle w:val="NormalWeb"/>
        <w:jc w:val="both"/>
      </w:pPr>
      <w:r w:rsidRPr="005C7D7C">
        <w:t xml:space="preserve">El estado de la educación en Portugal explica </w:t>
      </w:r>
      <w:r w:rsidR="00922AE4" w:rsidRPr="005C7D7C">
        <w:t>por qué</w:t>
      </w:r>
      <w:r w:rsidRPr="005C7D7C">
        <w:t xml:space="preserve"> un rescate será probablemente requerido y porqué será costoso y difícil. En otras palabras, Portugal debe demostrar que puede generar suficiente crecimiento económico a largo plazo para pagar sus cuantiosas deudas. Una fuerza laboral poco preparada lo hace difícil.</w:t>
      </w:r>
    </w:p>
    <w:p w:rsidR="00B72735" w:rsidRPr="005C7D7C" w:rsidRDefault="00B72735" w:rsidP="00550638">
      <w:pPr>
        <w:pStyle w:val="NormalWeb"/>
        <w:jc w:val="both"/>
      </w:pPr>
      <w:r w:rsidRPr="005C7D7C">
        <w:t>El trabajo mecánico y barato que en su día sostuvo la industria textil portuguesa se trasladó a Asia. Los países del otrora bloque comunista que se unieron en masa a la Unión Europea en 2004 ofrecen una mano de obra más barata y trabajadores con mayor nivel escolar. También se han llevado todos los trabajos especializados.</w:t>
      </w:r>
    </w:p>
    <w:p w:rsidR="00B72735" w:rsidRPr="005C7D7C" w:rsidRDefault="00B72735" w:rsidP="00550638">
      <w:pPr>
        <w:pStyle w:val="NormalWeb"/>
        <w:jc w:val="both"/>
      </w:pPr>
      <w:r w:rsidRPr="005C7D7C">
        <w:t>Apenas 28% de la población portuguesa entre 25 y 64 años terminó la secundaria. En Alemania, esa cifra sube a 85%, en la República Checa a 91%, y en Estados Unidos a 89%. En comparación, esa tasa es de 33% en México y de 68% en Chile, entre otros países latinoamericanos.</w:t>
      </w:r>
    </w:p>
    <w:p w:rsidR="00EA76DF" w:rsidRPr="005C7D7C" w:rsidRDefault="00EA76DF" w:rsidP="00550638">
      <w:pPr>
        <w:pStyle w:val="NormalWeb"/>
        <w:jc w:val="both"/>
      </w:pPr>
      <w:r w:rsidRPr="005C7D7C">
        <w:t>“No veo cómo puede crecer sin educar a su fuerza laboral”, dice Pedro Carneiro, un economista del University College de Londres que dejó Portugal para hacer sus estudios de posgrado en EEUU.</w:t>
      </w:r>
    </w:p>
    <w:p w:rsidR="00EA76DF" w:rsidRPr="005C7D7C" w:rsidRDefault="00EA76DF" w:rsidP="00550638">
      <w:pPr>
        <w:pStyle w:val="NormalWeb"/>
        <w:jc w:val="both"/>
      </w:pPr>
      <w:r w:rsidRPr="005C7D7C">
        <w:t>El problema de la educación aquí ilustra la magnitud del reto que enfrenta Europa en su intento por enderezar su rumbo. Los recortes rápidos y dolorosos de presupuesto, aplicados en toda la región, son el primer paso.</w:t>
      </w:r>
    </w:p>
    <w:p w:rsidR="00EA76DF" w:rsidRPr="005C7D7C" w:rsidRDefault="00EA76DF" w:rsidP="00550638">
      <w:pPr>
        <w:pStyle w:val="NormalWeb"/>
        <w:jc w:val="both"/>
      </w:pPr>
      <w:r w:rsidRPr="005C7D7C">
        <w:t>Pero el segundo paso es mucho más difícil y se demorará mucho más. Los 17 países unidos por el euro tienen niveles de desempeño económico muy diferentes. A menos que la brecha se reduzca, las presiones que provocan los países más débiles con sus grandes volúmenes de deuda, sin duda volverán a surgir.</w:t>
      </w:r>
    </w:p>
    <w:p w:rsidR="00EA76DF" w:rsidRPr="005C7D7C" w:rsidRDefault="00EA76DF" w:rsidP="00550638">
      <w:pPr>
        <w:pStyle w:val="NormalWeb"/>
        <w:jc w:val="both"/>
      </w:pPr>
      <w:r w:rsidRPr="005C7D7C">
        <w:t>Mejorar la educación en Portugal no es algo que vaya a ocurrir rápidamente. Recortes significativos en el gasto educativo dificultan la tarea. Incluso si hubiera progresos, cosechar los beneficios podría tomar años.</w:t>
      </w:r>
    </w:p>
    <w:p w:rsidR="00B72735" w:rsidRPr="005C7D7C" w:rsidRDefault="00EA76DF" w:rsidP="00550638">
      <w:pPr>
        <w:pStyle w:val="NormalWeb"/>
        <w:jc w:val="both"/>
      </w:pPr>
      <w:r w:rsidRPr="005C7D7C">
        <w:lastRenderedPageBreak/>
        <w:t xml:space="preserve">                                           </w:t>
      </w:r>
      <w:r w:rsidR="00B72735" w:rsidRPr="005C7D7C">
        <w:rPr>
          <w:rFonts w:ascii="Arial" w:hAnsi="Arial" w:cs="Arial"/>
          <w:noProof/>
          <w:sz w:val="15"/>
          <w:szCs w:val="15"/>
        </w:rPr>
        <w:drawing>
          <wp:inline distT="0" distB="0" distL="0" distR="0" wp14:anchorId="1ACDB1F2" wp14:editId="603058FE">
            <wp:extent cx="2055572" cy="2735663"/>
            <wp:effectExtent l="0" t="0" r="1905" b="7620"/>
            <wp:docPr id="69" name="Imagen 69" descr="[portug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portugal]"/>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055509" cy="2735580"/>
                    </a:xfrm>
                    <a:prstGeom prst="rect">
                      <a:avLst/>
                    </a:prstGeom>
                    <a:noFill/>
                    <a:ln>
                      <a:noFill/>
                    </a:ln>
                  </pic:spPr>
                </pic:pic>
              </a:graphicData>
            </a:graphic>
          </wp:inline>
        </w:drawing>
      </w:r>
    </w:p>
    <w:p w:rsidR="00B72735" w:rsidRPr="005C7D7C" w:rsidRDefault="00B72735" w:rsidP="00550638">
      <w:pPr>
        <w:pStyle w:val="NormalWeb"/>
        <w:jc w:val="both"/>
      </w:pPr>
      <w:r w:rsidRPr="005C7D7C">
        <w:t>Grecia e Irlanda, los países de Unión Europea que ya han sido rescatados, llegaron al borde del abismo con relativa rapidez: Grecia perdió el control luego de descubrirse que había subestimado la precaria salud fiscal del gobierno; Irlanda se autoinmoló en medio de un caos de especulación inmobiliaria.</w:t>
      </w:r>
    </w:p>
    <w:p w:rsidR="00B72735" w:rsidRPr="005C7D7C" w:rsidRDefault="00B72735" w:rsidP="00550638">
      <w:pPr>
        <w:pStyle w:val="NormalWeb"/>
        <w:jc w:val="both"/>
      </w:pPr>
      <w:r w:rsidRPr="005C7D7C">
        <w:t>En cambio, la crisis de Portugal se ha cocido a fuego lento. Durante una década, su crecimiento estuvo rezagado frente al promedio de la zona euro. Las industrias tradicionales como la cosecha de corcho y la zapatería no pudieron impulsar a todo el país. El auge tecnológico de mediados de la década anterior pasó de largo por Portugal.</w:t>
      </w:r>
    </w:p>
    <w:p w:rsidR="00B72735" w:rsidRPr="005C7D7C" w:rsidRDefault="00B72735" w:rsidP="00550638">
      <w:pPr>
        <w:pStyle w:val="NormalWeb"/>
        <w:jc w:val="both"/>
      </w:pPr>
      <w:r w:rsidRPr="005C7D7C">
        <w:t>Sin embargo, sus habitantes no dejaron de gastar. En los últimos 10 años, la economía, tanto el sector privado como el estatal, ha acumulado un déficit con el resto del mundo de más de 130.000 millones de euros.</w:t>
      </w:r>
    </w:p>
    <w:p w:rsidR="00B72735" w:rsidRPr="005C7D7C" w:rsidRDefault="00B72735" w:rsidP="00550638">
      <w:pPr>
        <w:pStyle w:val="NormalWeb"/>
        <w:jc w:val="both"/>
      </w:pPr>
      <w:r w:rsidRPr="005C7D7C">
        <w:t>El resultado es una montaña de deuda. Este pasivo soberano, parte del cual es interno, podría ascender a 90% del</w:t>
      </w:r>
      <w:r w:rsidR="00EA76DF" w:rsidRPr="005C7D7C">
        <w:t xml:space="preserve"> Producto Interno Bruto en el año 2011</w:t>
      </w:r>
      <w:r w:rsidRPr="005C7D7C">
        <w:t>. La economía entera debe al extranjero una suma equivalente a más dos años de su producción económica.</w:t>
      </w:r>
    </w:p>
    <w:p w:rsidR="00B72735" w:rsidRPr="005C7D7C" w:rsidRDefault="00B72735" w:rsidP="00550638">
      <w:pPr>
        <w:pStyle w:val="NormalWeb"/>
        <w:jc w:val="both"/>
      </w:pPr>
      <w:r w:rsidRPr="005C7D7C">
        <w:t>Antes de presentar su renuncia, el primer ministro impulsó unos recortes presupuestarios en el Parlamento bajo presión de otros países de la zona euro. Pero en una entrevista a</w:t>
      </w:r>
      <w:r w:rsidR="00EA76DF" w:rsidRPr="005C7D7C">
        <w:t>ntes de la crisis en la Asamblea</w:t>
      </w:r>
      <w:r w:rsidRPr="005C7D7C">
        <w:t>, Sócrates dejó claro que la inversión en la educación era una prioridad, a pesar de los costos. Calmar a los mercados es importante, dijo, pero e</w:t>
      </w:r>
      <w:r w:rsidR="00EA76DF" w:rsidRPr="005C7D7C">
        <w:t>l país no debería “</w:t>
      </w:r>
      <w:r w:rsidRPr="005C7D7C">
        <w:t>p</w:t>
      </w:r>
      <w:r w:rsidR="00EA76DF" w:rsidRPr="005C7D7C">
        <w:t>erder la visión y la estrategia”</w:t>
      </w:r>
      <w:r w:rsidRPr="005C7D7C">
        <w:t>.</w:t>
      </w:r>
    </w:p>
    <w:p w:rsidR="00B72735" w:rsidRPr="005C7D7C" w:rsidRDefault="00B72735" w:rsidP="00550638">
      <w:pPr>
        <w:pStyle w:val="NormalWeb"/>
        <w:jc w:val="both"/>
      </w:pPr>
      <w:r w:rsidRPr="005C7D7C">
        <w:t>Existe bastante evidencia de que la educación aporta beneficios económicos. Hace una generación, Irlanda era uno de los países más pobres de la Unión Europa, pero invirtió en la educación técnica y se reinventó como un destino para empleos de alta tecnología. El país está hoy, a pesar de una terrible crisis bancaria, entre las naciones más ricas de Europa.</w:t>
      </w:r>
    </w:p>
    <w:p w:rsidR="00B72735" w:rsidRPr="005C7D7C" w:rsidRDefault="00B72735" w:rsidP="00550638">
      <w:pPr>
        <w:pStyle w:val="NormalWeb"/>
        <w:jc w:val="both"/>
      </w:pPr>
      <w:r w:rsidRPr="005C7D7C">
        <w:t xml:space="preserve">Eric Hanushek, profesor de la Universidad de Stanford, y otro profesor de la Universidad de Múnich han ligado el crecimiento del PIB con el desempeño de la población en las pruebas estándar de educación. Ambos calculan que la tasa de </w:t>
      </w:r>
      <w:r w:rsidRPr="005C7D7C">
        <w:lastRenderedPageBreak/>
        <w:t xml:space="preserve">crecimiento a largo plazo de Portugal podría ser 1,5 puntos porcentuales más alta si tuviera los mismos puntajes que la supereducada </w:t>
      </w:r>
      <w:r w:rsidR="00A92207" w:rsidRPr="005C7D7C">
        <w:t>Finlandia</w:t>
      </w:r>
      <w:r w:rsidRPr="005C7D7C">
        <w:t>.</w:t>
      </w:r>
    </w:p>
    <w:p w:rsidR="00B72735" w:rsidRPr="005C7D7C" w:rsidRDefault="00B72735" w:rsidP="00550638">
      <w:pPr>
        <w:pStyle w:val="NormalWeb"/>
        <w:jc w:val="both"/>
      </w:pPr>
      <w:r w:rsidRPr="005C7D7C">
        <w:t>Portugal recién empezó gradualmente a hacer obli</w:t>
      </w:r>
      <w:r w:rsidR="00EA76DF" w:rsidRPr="005C7D7C">
        <w:t>gatorios 12 años de escuela. En el año 2011</w:t>
      </w:r>
      <w:r w:rsidRPr="005C7D7C">
        <w:t>, los portugueses pueden dejar la escuela en el noveno grado y muchos lo hacen. El gobierno dice que se están adelantando ref</w:t>
      </w:r>
      <w:r w:rsidR="00EA76DF" w:rsidRPr="005C7D7C">
        <w:t>ormas. Pero es un largo camino. “</w:t>
      </w:r>
      <w:r w:rsidRPr="005C7D7C">
        <w:t>Hemos acumulado</w:t>
      </w:r>
      <w:r w:rsidR="00EA76DF" w:rsidRPr="005C7D7C">
        <w:t xml:space="preserve"> años y años de gente ignorante”</w:t>
      </w:r>
      <w:r w:rsidRPr="005C7D7C">
        <w:t>, lamenta Belmiro de Azevedo, un magnate industrial.</w:t>
      </w:r>
    </w:p>
    <w:p w:rsidR="00B72735" w:rsidRPr="005C7D7C" w:rsidRDefault="00B72735" w:rsidP="00550638">
      <w:pPr>
        <w:pStyle w:val="NormalWeb"/>
        <w:jc w:val="both"/>
      </w:pPr>
      <w:r w:rsidRPr="005C7D7C">
        <w:t>El ejecutivo describe el sistema como calcificado. La administración central ejerce un cerrado control. Los planes de estudio son al mismo tiempo poco exigentes y rígidos. Las tasas de abandono escolar son elevadas. Las escuelas luchan para acomodar el influjo de inmigrantes de las antiguas colonias portuguesas en África, como Cabo Verde y Guinea-Bissau.</w:t>
      </w:r>
    </w:p>
    <w:p w:rsidR="00B72735" w:rsidRPr="005C7D7C" w:rsidRDefault="00EA76DF" w:rsidP="00550638">
      <w:pPr>
        <w:pStyle w:val="NormalWeb"/>
        <w:jc w:val="both"/>
      </w:pPr>
      <w:r w:rsidRPr="005C7D7C">
        <w:t>“</w:t>
      </w:r>
      <w:r w:rsidR="00B72735" w:rsidRPr="005C7D7C">
        <w:t>Si obtiene un título en Portugal, gana casi el doble que aquellos que no lo tienen. Eso e</w:t>
      </w:r>
      <w:r w:rsidRPr="005C7D7C">
        <w:t>s lo que les enseño a mis hijos”</w:t>
      </w:r>
      <w:r w:rsidR="00B72735" w:rsidRPr="005C7D7C">
        <w:t>, dice Paulo Gonçalves, un agente de ventas de Hewlett-Packard Co.</w:t>
      </w:r>
    </w:p>
    <w:p w:rsidR="00B72735" w:rsidRPr="005C7D7C" w:rsidRDefault="00B72735" w:rsidP="00550638">
      <w:pPr>
        <w:pStyle w:val="NormalWeb"/>
        <w:jc w:val="both"/>
      </w:pPr>
      <w:r w:rsidRPr="005C7D7C">
        <w:t>Esto es especialmente cierto en un contexto en el que e</w:t>
      </w:r>
      <w:r w:rsidR="00EA76DF" w:rsidRPr="005C7D7C">
        <w:t>l desempleo supera 11%. “</w:t>
      </w:r>
      <w:r w:rsidRPr="005C7D7C">
        <w:t xml:space="preserve">Con la crisis, </w:t>
      </w:r>
      <w:r w:rsidR="00EA76DF" w:rsidRPr="005C7D7C">
        <w:t>tenemos que ir a la universidad”</w:t>
      </w:r>
      <w:r w:rsidRPr="005C7D7C">
        <w:t>, dice Sophie Alves, una estudiante de último año de secundaria que planea estudiar terapia ocupacional. Con</w:t>
      </w:r>
      <w:r w:rsidR="00EA76DF" w:rsidRPr="005C7D7C">
        <w:t xml:space="preserve"> sólo un título de secundaria, “</w:t>
      </w:r>
      <w:r w:rsidRPr="005C7D7C">
        <w:t>no puede hacer nada, ni siquiera trabajar co</w:t>
      </w:r>
      <w:r w:rsidR="00EA76DF" w:rsidRPr="005C7D7C">
        <w:t>mo mesera”</w:t>
      </w:r>
      <w:r w:rsidRPr="005C7D7C">
        <w:t>.</w:t>
      </w:r>
    </w:p>
    <w:p w:rsidR="00B72735" w:rsidRPr="005C7D7C" w:rsidRDefault="00B72735" w:rsidP="00550638">
      <w:pPr>
        <w:pStyle w:val="NormalWeb"/>
        <w:jc w:val="both"/>
      </w:pPr>
      <w:r w:rsidRPr="005C7D7C">
        <w:t>Hay evidencia sustancial en cualquier parte que la educación ofrece amplios beneficios. Irlanda era uno de los países más pobres de la Unión Europea hace una generación. Pero invirtió dinero subsidiado por la UE a la educación técnica y se redefinió a sí misma como un lugar para el trabajo de alta tecnología, se hizo dos veces atractiva al bajar los impuestos corporativos. Irlanda está ahora, incluso después de la brutal crisis bancaria, entre las naciones más ricas en Europa.</w:t>
      </w:r>
    </w:p>
    <w:p w:rsidR="00EA76DF" w:rsidRPr="005C7D7C" w:rsidRDefault="005C7D7C" w:rsidP="00550638">
      <w:pPr>
        <w:pStyle w:val="NormalWeb"/>
        <w:jc w:val="both"/>
        <w:rPr>
          <w:u w:val="single"/>
        </w:rPr>
      </w:pPr>
      <w:r>
        <w:rPr>
          <w:u w:val="single"/>
        </w:rPr>
        <w:t>L</w:t>
      </w:r>
      <w:r w:rsidR="00EA76DF" w:rsidRPr="005C7D7C">
        <w:rPr>
          <w:u w:val="single"/>
        </w:rPr>
        <w:t>o</w:t>
      </w:r>
      <w:r>
        <w:rPr>
          <w:u w:val="single"/>
        </w:rPr>
        <w:t xml:space="preserve"> más peligroso es el “secuestro” del sentido común: b</w:t>
      </w:r>
      <w:r w:rsidRPr="005C7D7C">
        <w:rPr>
          <w:u w:val="single"/>
        </w:rPr>
        <w:t>uscando otras alter</w:t>
      </w:r>
      <w:r>
        <w:rPr>
          <w:u w:val="single"/>
        </w:rPr>
        <w:t>nativas</w:t>
      </w:r>
    </w:p>
    <w:p w:rsidR="00B72735" w:rsidRPr="001F3875" w:rsidRDefault="00B72735" w:rsidP="00550638">
      <w:pPr>
        <w:spacing w:before="100" w:beforeAutospacing="1" w:after="100" w:afterAutospacing="1" w:line="240" w:lineRule="auto"/>
        <w:jc w:val="both"/>
        <w:outlineLvl w:val="0"/>
        <w:rPr>
          <w:rFonts w:ascii="Times New Roman" w:eastAsia="Times New Roman" w:hAnsi="Times New Roman"/>
          <w:bCs/>
          <w:kern w:val="36"/>
          <w:sz w:val="24"/>
          <w:szCs w:val="24"/>
          <w:lang w:eastAsia="es-ES"/>
        </w:rPr>
      </w:pPr>
      <w:r>
        <w:rPr>
          <w:rFonts w:ascii="Times New Roman" w:eastAsia="Times New Roman" w:hAnsi="Times New Roman"/>
          <w:bCs/>
          <w:kern w:val="36"/>
          <w:sz w:val="24"/>
          <w:szCs w:val="24"/>
          <w:lang w:eastAsia="es-ES"/>
        </w:rPr>
        <w:t xml:space="preserve">- </w:t>
      </w:r>
      <w:r w:rsidRPr="001F3875">
        <w:rPr>
          <w:rFonts w:ascii="Times New Roman" w:eastAsia="Times New Roman" w:hAnsi="Times New Roman"/>
          <w:bCs/>
          <w:kern w:val="36"/>
          <w:sz w:val="24"/>
          <w:szCs w:val="24"/>
          <w:u w:val="single"/>
          <w:lang w:eastAsia="es-ES"/>
        </w:rPr>
        <w:t>Escuelas no tradicionales: a quoi bon?</w:t>
      </w:r>
      <w:r>
        <w:rPr>
          <w:rFonts w:ascii="Times New Roman" w:eastAsia="Times New Roman" w:hAnsi="Times New Roman"/>
          <w:bCs/>
          <w:kern w:val="36"/>
          <w:sz w:val="24"/>
          <w:szCs w:val="24"/>
          <w:lang w:eastAsia="es-ES"/>
        </w:rPr>
        <w:t xml:space="preserve"> (Fedea - </w:t>
      </w:r>
      <w:r w:rsidRPr="00A0207A">
        <w:rPr>
          <w:rFonts w:ascii="Times New Roman" w:eastAsia="Times New Roman" w:hAnsi="Times New Roman"/>
          <w:b/>
          <w:bCs/>
          <w:kern w:val="36"/>
          <w:sz w:val="24"/>
          <w:szCs w:val="24"/>
          <w:lang w:eastAsia="es-ES"/>
        </w:rPr>
        <w:t>15/6/11</w:t>
      </w:r>
      <w:r>
        <w:rPr>
          <w:rFonts w:ascii="Times New Roman" w:eastAsia="Times New Roman" w:hAnsi="Times New Roman"/>
          <w:bCs/>
          <w:kern w:val="36"/>
          <w:sz w:val="24"/>
          <w:szCs w:val="24"/>
          <w:lang w:eastAsia="es-ES"/>
        </w:rPr>
        <w:t>)</w:t>
      </w:r>
      <w:r w:rsidR="005C7D7C">
        <w:rPr>
          <w:rFonts w:ascii="Times New Roman" w:eastAsia="Times New Roman" w:hAnsi="Times New Roman"/>
          <w:bCs/>
          <w:kern w:val="36"/>
          <w:sz w:val="24"/>
          <w:szCs w:val="24"/>
          <w:lang w:eastAsia="es-ES"/>
        </w:rPr>
        <w:t xml:space="preserve">             Lectura recomendada</w:t>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CA33AD">
        <w:rPr>
          <w:rFonts w:ascii="Times New Roman" w:eastAsia="Times New Roman" w:hAnsi="Times New Roman"/>
          <w:sz w:val="24"/>
          <w:szCs w:val="24"/>
          <w:lang w:eastAsia="es-ES"/>
        </w:rPr>
        <w:t>Por</w:t>
      </w:r>
      <w:r w:rsidRPr="001F3875">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Antonio Cabrales)</w:t>
      </w:r>
    </w:p>
    <w:p w:rsidR="00B72735" w:rsidRPr="00D77725" w:rsidRDefault="00B7273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D77725">
        <w:rPr>
          <w:rFonts w:ascii="Times New Roman" w:eastAsia="Times New Roman" w:hAnsi="Times New Roman"/>
          <w:sz w:val="24"/>
          <w:szCs w:val="24"/>
          <w:u w:val="single"/>
          <w:lang w:eastAsia="es-ES"/>
        </w:rPr>
        <w:t xml:space="preserve">Uno de los problemas más controvertidos en educación es el de las escuelas que utilizan metodologías </w:t>
      </w:r>
      <w:r w:rsidR="006204E4">
        <w:rPr>
          <w:rFonts w:ascii="Times New Roman" w:eastAsia="Times New Roman" w:hAnsi="Times New Roman"/>
          <w:sz w:val="24"/>
          <w:szCs w:val="24"/>
          <w:u w:val="single"/>
          <w:lang w:eastAsia="es-ES"/>
        </w:rPr>
        <w:t>“</w:t>
      </w:r>
      <w:r w:rsidRPr="006204E4">
        <w:rPr>
          <w:rFonts w:ascii="Times New Roman" w:eastAsia="Times New Roman" w:hAnsi="Times New Roman"/>
          <w:iCs/>
          <w:sz w:val="24"/>
          <w:szCs w:val="24"/>
          <w:u w:val="single"/>
          <w:lang w:eastAsia="es-ES"/>
        </w:rPr>
        <w:t>modernas</w:t>
      </w:r>
      <w:r w:rsidR="006204E4">
        <w:rPr>
          <w:rFonts w:ascii="Times New Roman" w:eastAsia="Times New Roman" w:hAnsi="Times New Roman"/>
          <w:iCs/>
          <w:sz w:val="24"/>
          <w:szCs w:val="24"/>
          <w:u w:val="single"/>
          <w:lang w:eastAsia="es-ES"/>
        </w:rPr>
        <w:t>”</w:t>
      </w:r>
      <w:r w:rsidRPr="00D77725">
        <w:rPr>
          <w:rFonts w:ascii="Times New Roman" w:eastAsia="Times New Roman" w:hAnsi="Times New Roman"/>
          <w:sz w:val="24"/>
          <w:szCs w:val="24"/>
          <w:u w:val="single"/>
          <w:lang w:eastAsia="es-ES"/>
        </w:rPr>
        <w:t xml:space="preserve"> de aprendizaje. A muchos de ustedes les sonarán los nombres de </w:t>
      </w:r>
      <w:hyperlink r:id="rId97" w:history="1">
        <w:r w:rsidRPr="005C7D7C">
          <w:rPr>
            <w:rFonts w:ascii="Times New Roman" w:eastAsia="Times New Roman" w:hAnsi="Times New Roman"/>
            <w:sz w:val="24"/>
            <w:szCs w:val="24"/>
            <w:u w:val="single"/>
            <w:lang w:eastAsia="es-ES"/>
          </w:rPr>
          <w:t>Montessori</w:t>
        </w:r>
      </w:hyperlink>
      <w:r w:rsidRPr="005C7D7C">
        <w:rPr>
          <w:rFonts w:ascii="Times New Roman" w:eastAsia="Times New Roman" w:hAnsi="Times New Roman"/>
          <w:sz w:val="24"/>
          <w:szCs w:val="24"/>
          <w:u w:val="single"/>
          <w:lang w:eastAsia="es-ES"/>
        </w:rPr>
        <w:t xml:space="preserve"> , </w:t>
      </w:r>
      <w:hyperlink r:id="rId98" w:history="1">
        <w:r w:rsidRPr="005C7D7C">
          <w:rPr>
            <w:rFonts w:ascii="Times New Roman" w:eastAsia="Times New Roman" w:hAnsi="Times New Roman"/>
            <w:sz w:val="24"/>
            <w:szCs w:val="24"/>
            <w:u w:val="single"/>
            <w:lang w:eastAsia="es-ES"/>
          </w:rPr>
          <w:t xml:space="preserve">Waldorf </w:t>
        </w:r>
      </w:hyperlink>
      <w:r w:rsidRPr="005C7D7C">
        <w:rPr>
          <w:rFonts w:ascii="Times New Roman" w:eastAsia="Times New Roman" w:hAnsi="Times New Roman"/>
          <w:sz w:val="24"/>
          <w:szCs w:val="24"/>
          <w:u w:val="single"/>
          <w:lang w:eastAsia="es-ES"/>
        </w:rPr>
        <w:t xml:space="preserve">, o </w:t>
      </w:r>
      <w:hyperlink r:id="rId99" w:history="1">
        <w:r w:rsidRPr="005C7D7C">
          <w:rPr>
            <w:rFonts w:ascii="Times New Roman" w:eastAsia="Times New Roman" w:hAnsi="Times New Roman"/>
            <w:sz w:val="24"/>
            <w:szCs w:val="24"/>
            <w:u w:val="single"/>
            <w:lang w:eastAsia="es-ES"/>
          </w:rPr>
          <w:t>Summerhill</w:t>
        </w:r>
      </w:hyperlink>
      <w:r w:rsidRPr="00D77725">
        <w:rPr>
          <w:rFonts w:ascii="Times New Roman" w:eastAsia="Times New Roman" w:hAnsi="Times New Roman"/>
          <w:sz w:val="24"/>
          <w:szCs w:val="24"/>
          <w:u w:val="single"/>
          <w:lang w:eastAsia="es-ES"/>
        </w:rPr>
        <w:t>. Hay quien piensa que una parte sustancial de la “decadencia” de la educación en el mundo occidental se debe al intento de llevar estas experiencias educativas a las escuelas en general. Los partidarios, incluidos legiones de ex-alumnos de tales escuelas, piensan que la única manera de superar nuestro estancamiento es precisamente adoptar sus prácticas. La evidencia que presentaré hoy indica que este tipo de escuelas pueden ser muy útiles, pero que seguramente no es una buena idea generalizarlas.</w:t>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El origen de la </w:t>
      </w:r>
      <w:r w:rsidR="006204E4">
        <w:rPr>
          <w:rFonts w:ascii="Times New Roman" w:eastAsia="Times New Roman" w:hAnsi="Times New Roman"/>
          <w:sz w:val="24"/>
          <w:szCs w:val="24"/>
          <w:lang w:eastAsia="es-ES"/>
        </w:rPr>
        <w:t>“</w:t>
      </w:r>
      <w:r w:rsidRPr="006204E4">
        <w:rPr>
          <w:rFonts w:ascii="Times New Roman" w:eastAsia="Times New Roman" w:hAnsi="Times New Roman"/>
          <w:iCs/>
          <w:sz w:val="24"/>
          <w:szCs w:val="24"/>
          <w:lang w:eastAsia="es-ES"/>
        </w:rPr>
        <w:t>escuela moderna</w:t>
      </w:r>
      <w:r w:rsidR="006204E4">
        <w:rPr>
          <w:rFonts w:ascii="Times New Roman" w:eastAsia="Times New Roman" w:hAnsi="Times New Roman"/>
          <w:iCs/>
          <w:sz w:val="24"/>
          <w:szCs w:val="24"/>
          <w:lang w:eastAsia="es-ES"/>
        </w:rPr>
        <w:t>”</w:t>
      </w:r>
      <w:r w:rsidRPr="001F3875">
        <w:rPr>
          <w:rFonts w:ascii="Times New Roman" w:eastAsia="Times New Roman" w:hAnsi="Times New Roman"/>
          <w:sz w:val="24"/>
          <w:szCs w:val="24"/>
          <w:lang w:eastAsia="es-ES"/>
        </w:rPr>
        <w:t xml:space="preserve">, también llamada </w:t>
      </w:r>
      <w:r w:rsidR="006204E4">
        <w:rPr>
          <w:rFonts w:ascii="Times New Roman" w:eastAsia="Times New Roman" w:hAnsi="Times New Roman"/>
          <w:sz w:val="24"/>
          <w:szCs w:val="24"/>
          <w:lang w:eastAsia="es-ES"/>
        </w:rPr>
        <w:t>“</w:t>
      </w:r>
      <w:r w:rsidRPr="006204E4">
        <w:rPr>
          <w:rFonts w:ascii="Times New Roman" w:eastAsia="Times New Roman" w:hAnsi="Times New Roman"/>
          <w:iCs/>
          <w:sz w:val="24"/>
          <w:szCs w:val="24"/>
          <w:lang w:eastAsia="es-ES"/>
        </w:rPr>
        <w:t>alternativa</w:t>
      </w:r>
      <w:r w:rsidRPr="006204E4">
        <w:rPr>
          <w:rFonts w:ascii="Times New Roman" w:eastAsia="Times New Roman" w:hAnsi="Times New Roman"/>
          <w:sz w:val="24"/>
          <w:szCs w:val="24"/>
          <w:lang w:eastAsia="es-ES"/>
        </w:rPr>
        <w:t xml:space="preserve"> o </w:t>
      </w:r>
      <w:r w:rsidRPr="006204E4">
        <w:rPr>
          <w:rFonts w:ascii="Times New Roman" w:eastAsia="Times New Roman" w:hAnsi="Times New Roman"/>
          <w:iCs/>
          <w:sz w:val="24"/>
          <w:szCs w:val="24"/>
          <w:lang w:eastAsia="es-ES"/>
        </w:rPr>
        <w:t>no tradicional</w:t>
      </w:r>
      <w:r w:rsidR="006204E4">
        <w:rPr>
          <w:rFonts w:ascii="Times New Roman" w:eastAsia="Times New Roman" w:hAnsi="Times New Roman"/>
          <w:iCs/>
          <w:sz w:val="24"/>
          <w:szCs w:val="24"/>
          <w:lang w:eastAsia="es-ES"/>
        </w:rPr>
        <w:t>”</w:t>
      </w:r>
      <w:r w:rsidRPr="001F3875">
        <w:rPr>
          <w:rFonts w:ascii="Times New Roman" w:eastAsia="Times New Roman" w:hAnsi="Times New Roman"/>
          <w:sz w:val="24"/>
          <w:szCs w:val="24"/>
          <w:lang w:eastAsia="es-ES"/>
        </w:rPr>
        <w:t xml:space="preserve"> puede rastrearse en el de </w:t>
      </w:r>
      <w:hyperlink r:id="rId100" w:history="1">
        <w:r w:rsidRPr="005C7D7C">
          <w:rPr>
            <w:rFonts w:ascii="Times New Roman" w:eastAsia="Times New Roman" w:hAnsi="Times New Roman"/>
            <w:sz w:val="24"/>
            <w:szCs w:val="24"/>
            <w:u w:val="single"/>
            <w:lang w:eastAsia="es-ES"/>
          </w:rPr>
          <w:t>Emilio</w:t>
        </w:r>
      </w:hyperlink>
      <w:r w:rsidRPr="001F3875">
        <w:rPr>
          <w:rFonts w:ascii="Times New Roman" w:eastAsia="Times New Roman" w:hAnsi="Times New Roman"/>
          <w:sz w:val="24"/>
          <w:szCs w:val="24"/>
          <w:lang w:eastAsia="es-ES"/>
        </w:rPr>
        <w:t xml:space="preserve"> de Rousseau, un libro que explica la manera en la que la bondad natural del hombre puede conjugarse con una sociedad que nos lleva a toda </w:t>
      </w:r>
      <w:r w:rsidRPr="001F3875">
        <w:rPr>
          <w:rFonts w:ascii="Times New Roman" w:eastAsia="Times New Roman" w:hAnsi="Times New Roman"/>
          <w:sz w:val="24"/>
          <w:szCs w:val="24"/>
          <w:lang w:eastAsia="es-ES"/>
        </w:rPr>
        <w:lastRenderedPageBreak/>
        <w:t xml:space="preserve">clase de vicios. </w:t>
      </w:r>
      <w:r w:rsidRPr="00D77725">
        <w:rPr>
          <w:rFonts w:ascii="Times New Roman" w:eastAsia="Times New Roman" w:hAnsi="Times New Roman"/>
          <w:color w:val="FF0000"/>
          <w:sz w:val="24"/>
          <w:szCs w:val="24"/>
          <w:u w:val="single"/>
          <w:lang w:eastAsia="es-ES"/>
        </w:rPr>
        <w:t>Fundamentalmente se trata de que el niño desarrolle un aprendizaje activo, que extraiga conclusiones de un conjunto variado de experiencias que ponen frente a sí los educadores, cuya misión es la de permitir que el científico natural que está presente en el ser humano de manera instintiva pueda desarrollarse</w:t>
      </w:r>
      <w:r w:rsidRPr="001F3875">
        <w:rPr>
          <w:rFonts w:ascii="Times New Roman" w:eastAsia="Times New Roman" w:hAnsi="Times New Roman"/>
          <w:sz w:val="24"/>
          <w:szCs w:val="24"/>
          <w:lang w:eastAsia="es-ES"/>
        </w:rPr>
        <w:t>. Aunque es una simplificación grosera, la mayor parte de las escuelas alternativas parten de supuestos similares a los de Rousseau para llegar a metodologías con muchas coincidencias.</w:t>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Esta </w:t>
      </w:r>
      <w:r w:rsidR="006204E4">
        <w:rPr>
          <w:rFonts w:ascii="Times New Roman" w:eastAsia="Times New Roman" w:hAnsi="Times New Roman"/>
          <w:sz w:val="24"/>
          <w:szCs w:val="24"/>
          <w:lang w:eastAsia="es-ES"/>
        </w:rPr>
        <w:t>“</w:t>
      </w:r>
      <w:r w:rsidRPr="006204E4">
        <w:rPr>
          <w:rFonts w:ascii="Times New Roman" w:eastAsia="Times New Roman" w:hAnsi="Times New Roman"/>
          <w:iCs/>
          <w:sz w:val="24"/>
          <w:szCs w:val="24"/>
          <w:lang w:eastAsia="es-ES"/>
        </w:rPr>
        <w:t>escuela moderna</w:t>
      </w:r>
      <w:r w:rsidR="006204E4">
        <w:rPr>
          <w:rFonts w:ascii="Times New Roman" w:eastAsia="Times New Roman" w:hAnsi="Times New Roman"/>
          <w:iCs/>
          <w:sz w:val="24"/>
          <w:szCs w:val="24"/>
          <w:lang w:eastAsia="es-ES"/>
        </w:rPr>
        <w:t>”</w:t>
      </w:r>
      <w:r w:rsidRPr="001F3875">
        <w:rPr>
          <w:rFonts w:ascii="Times New Roman" w:eastAsia="Times New Roman" w:hAnsi="Times New Roman"/>
          <w:sz w:val="24"/>
          <w:szCs w:val="24"/>
          <w:lang w:eastAsia="es-ES"/>
        </w:rPr>
        <w:t xml:space="preserve"> está en la base de muchas innovaciones legales sobre educación en el mundo occidental, muy notablemente en el espíritu de la </w:t>
      </w:r>
      <w:hyperlink r:id="rId101" w:anchor="Preámbulo" w:history="1">
        <w:r w:rsidRPr="005C7D7C">
          <w:rPr>
            <w:rFonts w:ascii="Times New Roman" w:eastAsia="Times New Roman" w:hAnsi="Times New Roman"/>
            <w:sz w:val="24"/>
            <w:szCs w:val="24"/>
            <w:u w:val="single"/>
            <w:lang w:eastAsia="es-ES"/>
          </w:rPr>
          <w:t>LOGSE</w:t>
        </w:r>
      </w:hyperlink>
      <w:r w:rsidRPr="001F3875">
        <w:rPr>
          <w:rFonts w:ascii="Times New Roman" w:eastAsia="Times New Roman" w:hAnsi="Times New Roman"/>
          <w:sz w:val="24"/>
          <w:szCs w:val="24"/>
          <w:lang w:eastAsia="es-ES"/>
        </w:rPr>
        <w:t>, en cuyo preámbulo se dice que “la educación compartirá con otras instancias sociales la transmisión de información y conocimientos, pero adquirirá aún mayor relevancia su capacidad para ordenarlos críticamente, para darles un sentido personal y moral, para generar actitudes y hábitos individuales y colectivos, para desarrollar aptitudes, para preservar en su esencia, adaptándolos a las situaciones emergentes, los valores con los que nos identificam</w:t>
      </w:r>
      <w:r w:rsidR="005C7D7C">
        <w:rPr>
          <w:rFonts w:ascii="Times New Roman" w:eastAsia="Times New Roman" w:hAnsi="Times New Roman"/>
          <w:sz w:val="24"/>
          <w:szCs w:val="24"/>
          <w:lang w:eastAsia="es-ES"/>
        </w:rPr>
        <w:t>os individual y colectivamente”.</w:t>
      </w:r>
    </w:p>
    <w:p w:rsidR="00B72735" w:rsidRPr="00D77725" w:rsidRDefault="00B7273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D77725">
        <w:rPr>
          <w:rFonts w:ascii="Times New Roman" w:eastAsia="Times New Roman" w:hAnsi="Times New Roman"/>
          <w:sz w:val="24"/>
          <w:szCs w:val="24"/>
          <w:u w:val="single"/>
          <w:lang w:eastAsia="es-ES"/>
        </w:rPr>
        <w:t xml:space="preserve">Este tipo de escuela tiene numerosos críticos. Una voz influyente en este asunto es Alicia Delibes, actual viceconsejera de educación de la Comunidad de Madrid, quien en su libro </w:t>
      </w:r>
      <w:r w:rsidRPr="00D77725">
        <w:rPr>
          <w:rFonts w:ascii="Times New Roman" w:eastAsia="Times New Roman" w:hAnsi="Times New Roman"/>
          <w:i/>
          <w:iCs/>
          <w:sz w:val="24"/>
          <w:szCs w:val="24"/>
          <w:u w:val="single"/>
          <w:lang w:eastAsia="es-ES"/>
        </w:rPr>
        <w:t>La gran estafa. El secuestro del sentido común en educación</w:t>
      </w:r>
      <w:r w:rsidRPr="00D77725">
        <w:rPr>
          <w:rFonts w:ascii="Times New Roman" w:eastAsia="Times New Roman" w:hAnsi="Times New Roman"/>
          <w:sz w:val="24"/>
          <w:szCs w:val="24"/>
          <w:u w:val="single"/>
          <w:lang w:eastAsia="es-ES"/>
        </w:rPr>
        <w:t xml:space="preserve"> argumenta que Rousseau es “el pad</w:t>
      </w:r>
      <w:r w:rsidR="006204E4">
        <w:rPr>
          <w:rFonts w:ascii="Times New Roman" w:eastAsia="Times New Roman" w:hAnsi="Times New Roman"/>
          <w:sz w:val="24"/>
          <w:szCs w:val="24"/>
          <w:u w:val="single"/>
          <w:lang w:eastAsia="es-ES"/>
        </w:rPr>
        <w:t>re de eso que hoy se llama “angelismo”</w:t>
      </w:r>
      <w:r w:rsidRPr="00D77725">
        <w:rPr>
          <w:rFonts w:ascii="Times New Roman" w:eastAsia="Times New Roman" w:hAnsi="Times New Roman"/>
          <w:sz w:val="24"/>
          <w:szCs w:val="24"/>
          <w:u w:val="single"/>
          <w:lang w:eastAsia="es-ES"/>
        </w:rPr>
        <w:t xml:space="preserve"> escolar y que impide a los educadores, padres o profesores, ejercer su autoridad e imponer la imprescindible disciplina </w:t>
      </w:r>
      <w:r w:rsidR="005C7D7C">
        <w:rPr>
          <w:rFonts w:ascii="Times New Roman" w:eastAsia="Times New Roman" w:hAnsi="Times New Roman"/>
          <w:sz w:val="24"/>
          <w:szCs w:val="24"/>
          <w:u w:val="single"/>
          <w:lang w:eastAsia="es-ES"/>
        </w:rPr>
        <w:t>que haga posible la convivencia</w:t>
      </w:r>
      <w:r w:rsidRPr="00D77725">
        <w:rPr>
          <w:rFonts w:ascii="Times New Roman" w:eastAsia="Times New Roman" w:hAnsi="Times New Roman"/>
          <w:sz w:val="24"/>
          <w:szCs w:val="24"/>
          <w:u w:val="single"/>
          <w:lang w:eastAsia="es-ES"/>
        </w:rPr>
        <w:t>”</w:t>
      </w:r>
      <w:r w:rsidR="005C7D7C">
        <w:rPr>
          <w:rFonts w:ascii="Times New Roman" w:eastAsia="Times New Roman" w:hAnsi="Times New Roman"/>
          <w:sz w:val="24"/>
          <w:szCs w:val="24"/>
          <w:u w:val="single"/>
          <w:lang w:eastAsia="es-ES"/>
        </w:rPr>
        <w:t>.</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color w:val="FF0000"/>
          <w:sz w:val="24"/>
          <w:szCs w:val="24"/>
          <w:u w:val="single"/>
          <w:lang w:eastAsia="es-ES"/>
        </w:rPr>
        <w:t>Pero esta opinión parece contradecirse con los resultados escolares de escuelas como la Montessori o Waldorf. Todos los ex-alumnos de estas escuelas que conozco son brillantes profesionales, gente original y creativa, la mejor publicidad posible de su metodología docente.</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sz w:val="24"/>
          <w:szCs w:val="24"/>
          <w:u w:val="single"/>
          <w:lang w:eastAsia="es-ES"/>
        </w:rPr>
        <w:t xml:space="preserve">Por otro lado, el epítome de la escuela tradicional se encuentra en la repetitiva y memorística metodología confuciana que practican los colegios de Asia oriental. Cuyos alumnos, </w:t>
      </w:r>
      <w:r w:rsidRPr="005C7D7C">
        <w:rPr>
          <w:rFonts w:ascii="Times New Roman" w:eastAsia="Times New Roman" w:hAnsi="Times New Roman"/>
          <w:sz w:val="24"/>
          <w:szCs w:val="24"/>
          <w:u w:val="single"/>
          <w:lang w:eastAsia="es-ES"/>
        </w:rPr>
        <w:t>como saben nuestros lectores</w:t>
      </w:r>
      <w:r w:rsidRPr="00D77725">
        <w:rPr>
          <w:rFonts w:ascii="Times New Roman" w:eastAsia="Times New Roman" w:hAnsi="Times New Roman"/>
          <w:sz w:val="24"/>
          <w:szCs w:val="24"/>
          <w:u w:val="single"/>
          <w:lang w:eastAsia="es-ES"/>
        </w:rPr>
        <w:t>, rebasan en una desviación estándar a los chicos de las escuelas occidentales. ¿Podemos reconciliar de alguna manera las dos observaciones?</w:t>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D77725">
        <w:rPr>
          <w:rFonts w:ascii="Times New Roman" w:eastAsia="Times New Roman" w:hAnsi="Times New Roman"/>
          <w:color w:val="FF0000"/>
          <w:sz w:val="24"/>
          <w:szCs w:val="24"/>
          <w:u w:val="single"/>
          <w:lang w:eastAsia="es-ES"/>
        </w:rPr>
        <w:t>Una respuesta sencilla pasa por el sesgo de selección en mis observaciones. Las escuelas alternativas que producen los alumnos brillantes que conozco son instituciones privadas que trabajan con hijos de gente culta y educada, que tienen centenares o miles de libros en casa y que probablemente han gozado de todas las ventajas que el ser humano puede otorgar a sus vástagos, incluyendo genes privilegiados. En estas condiciones lo raro es que fracasen</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sz w:val="24"/>
          <w:szCs w:val="24"/>
          <w:u w:val="single"/>
          <w:lang w:eastAsia="es-ES"/>
        </w:rPr>
        <w:t>Es posible, incluso, que su éxito ocurra “a pesar de” Montessori o Waldorf y no a causa de los mismos</w:t>
      </w:r>
      <w:r w:rsidRPr="001F3875">
        <w:rPr>
          <w:rFonts w:ascii="Times New Roman" w:eastAsia="Times New Roman" w:hAnsi="Times New Roman"/>
          <w:sz w:val="24"/>
          <w:szCs w:val="24"/>
          <w:lang w:eastAsia="es-ES"/>
        </w:rPr>
        <w:t>. Así pues, los egresados inteligentes de las escuelas alternativas lo pueden ser “por casualidad” y los chicos listos de Asia la norma. Pero esta respuesta no es concluyente y nos llevaría a una discusión eterna. Mejor buscar una evidencia lo más cercana a un experimento que podamos encontrar.</w:t>
      </w:r>
    </w:p>
    <w:p w:rsidR="00B72735" w:rsidRPr="00D77725" w:rsidRDefault="00B7273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1F3875">
        <w:rPr>
          <w:rFonts w:ascii="Times New Roman" w:eastAsia="Times New Roman" w:hAnsi="Times New Roman"/>
          <w:sz w:val="24"/>
          <w:szCs w:val="24"/>
          <w:lang w:eastAsia="es-ES"/>
        </w:rPr>
        <w:t xml:space="preserve">Y, como de costumbre, </w:t>
      </w:r>
      <w:r w:rsidRPr="00D77725">
        <w:rPr>
          <w:rFonts w:ascii="Times New Roman" w:eastAsia="Times New Roman" w:hAnsi="Times New Roman"/>
          <w:sz w:val="24"/>
          <w:szCs w:val="24"/>
          <w:u w:val="single"/>
          <w:lang w:eastAsia="es-ES"/>
        </w:rPr>
        <w:t>Victor Lavy</w:t>
      </w:r>
      <w:r w:rsidRPr="001F3875">
        <w:rPr>
          <w:rFonts w:ascii="Times New Roman" w:eastAsia="Times New Roman" w:hAnsi="Times New Roman"/>
          <w:sz w:val="24"/>
          <w:szCs w:val="24"/>
          <w:lang w:eastAsia="es-ES"/>
        </w:rPr>
        <w:t xml:space="preserve"> acude en mi ayuda (vía Manuel Bagüés, que me proporcionó la referencia). Un </w:t>
      </w:r>
      <w:hyperlink r:id="rId102" w:history="1">
        <w:r w:rsidRPr="005C7D7C">
          <w:rPr>
            <w:rFonts w:ascii="Times New Roman" w:eastAsia="Times New Roman" w:hAnsi="Times New Roman"/>
            <w:sz w:val="24"/>
            <w:szCs w:val="24"/>
            <w:u w:val="single"/>
            <w:lang w:eastAsia="es-ES"/>
          </w:rPr>
          <w:t>artículo reciente</w:t>
        </w:r>
      </w:hyperlink>
      <w:r w:rsidRPr="001F3875">
        <w:rPr>
          <w:rFonts w:ascii="Times New Roman" w:eastAsia="Times New Roman" w:hAnsi="Times New Roman"/>
          <w:sz w:val="24"/>
          <w:szCs w:val="24"/>
          <w:lang w:eastAsia="es-ES"/>
        </w:rPr>
        <w:t xml:space="preserve"> de este invitado habitual en nuestra página </w:t>
      </w:r>
      <w:r w:rsidRPr="00D77725">
        <w:rPr>
          <w:rFonts w:ascii="Times New Roman" w:eastAsia="Times New Roman" w:hAnsi="Times New Roman"/>
          <w:sz w:val="24"/>
          <w:szCs w:val="24"/>
          <w:u w:val="single"/>
          <w:lang w:eastAsia="es-ES"/>
        </w:rPr>
        <w:t>se dedica justamente a estudiar el problema de los estilos docentes. Como de costumbre, Lavy utiliza datos de Israel.</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sz w:val="24"/>
          <w:szCs w:val="24"/>
          <w:u w:val="single"/>
          <w:lang w:eastAsia="es-ES"/>
        </w:rPr>
        <w:t>Más concretamente, datos de los exámenes estandarizados de hebreo, inglés matemáticas y ciencia, que se realizan en quinto y octavo curso (segundo de la ESO, en nuestro sistema).</w:t>
      </w:r>
      <w:r w:rsidRPr="001F3875">
        <w:rPr>
          <w:rFonts w:ascii="Times New Roman" w:eastAsia="Times New Roman" w:hAnsi="Times New Roman"/>
          <w:sz w:val="24"/>
          <w:szCs w:val="24"/>
          <w:lang w:eastAsia="es-ES"/>
        </w:rPr>
        <w:t xml:space="preserve"> </w:t>
      </w:r>
      <w:r w:rsidRPr="00D77725">
        <w:rPr>
          <w:rFonts w:ascii="Times New Roman" w:eastAsia="Times New Roman" w:hAnsi="Times New Roman"/>
          <w:sz w:val="24"/>
          <w:szCs w:val="24"/>
          <w:u w:val="single"/>
          <w:lang w:eastAsia="es-ES"/>
        </w:rPr>
        <w:t xml:space="preserve">La base de datos es muy rica e incorpora un cuestionario a los profesores. En el cuestionario se les pregunta por 29 características de su sistema pedagógico, que después se agrupan en cinco categorías: (1) transmisión de conocimientos y mejora de su comprensión, (2) transmisión de </w:t>
      </w:r>
      <w:r w:rsidRPr="00D77725">
        <w:rPr>
          <w:rFonts w:ascii="Times New Roman" w:eastAsia="Times New Roman" w:hAnsi="Times New Roman"/>
          <w:sz w:val="24"/>
          <w:szCs w:val="24"/>
          <w:u w:val="single"/>
          <w:lang w:eastAsia="es-ES"/>
        </w:rPr>
        <w:lastRenderedPageBreak/>
        <w:t xml:space="preserve">capacidades aplicadas, analíticas y críticas, (3) transmisión de capacidad para el estudio individual, (4) transparencia, equidad, y retroalimentación, y (5) trato individual de los estudiantes. Lavy interpreta, de manera razonable, que las prácticas que caen bajo el epígrafe (1) son </w:t>
      </w:r>
      <w:r w:rsidR="006204E4">
        <w:rPr>
          <w:rFonts w:ascii="Times New Roman" w:eastAsia="Times New Roman" w:hAnsi="Times New Roman"/>
          <w:sz w:val="24"/>
          <w:szCs w:val="24"/>
          <w:u w:val="single"/>
          <w:lang w:eastAsia="es-ES"/>
        </w:rPr>
        <w:t>“</w:t>
      </w:r>
      <w:r w:rsidRPr="006204E4">
        <w:rPr>
          <w:rFonts w:ascii="Times New Roman" w:eastAsia="Times New Roman" w:hAnsi="Times New Roman"/>
          <w:iCs/>
          <w:sz w:val="24"/>
          <w:szCs w:val="24"/>
          <w:u w:val="single"/>
          <w:lang w:eastAsia="es-ES"/>
        </w:rPr>
        <w:t>tradicionales</w:t>
      </w:r>
      <w:r w:rsidR="006204E4">
        <w:rPr>
          <w:rFonts w:ascii="Times New Roman" w:eastAsia="Times New Roman" w:hAnsi="Times New Roman"/>
          <w:iCs/>
          <w:sz w:val="24"/>
          <w:szCs w:val="24"/>
          <w:u w:val="single"/>
          <w:lang w:eastAsia="es-ES"/>
        </w:rPr>
        <w:t>”</w:t>
      </w:r>
      <w:r w:rsidRPr="006204E4">
        <w:rPr>
          <w:rFonts w:ascii="Times New Roman" w:eastAsia="Times New Roman" w:hAnsi="Times New Roman"/>
          <w:sz w:val="24"/>
          <w:szCs w:val="24"/>
          <w:u w:val="single"/>
          <w:lang w:eastAsia="es-ES"/>
        </w:rPr>
        <w:t xml:space="preserve"> </w:t>
      </w:r>
      <w:r w:rsidRPr="00D77725">
        <w:rPr>
          <w:rFonts w:ascii="Times New Roman" w:eastAsia="Times New Roman" w:hAnsi="Times New Roman"/>
          <w:sz w:val="24"/>
          <w:szCs w:val="24"/>
          <w:u w:val="single"/>
          <w:lang w:eastAsia="es-ES"/>
        </w:rPr>
        <w:t xml:space="preserve">y las que caen bajo (2) son </w:t>
      </w:r>
      <w:r w:rsidR="006204E4">
        <w:rPr>
          <w:rFonts w:ascii="Times New Roman" w:eastAsia="Times New Roman" w:hAnsi="Times New Roman"/>
          <w:sz w:val="24"/>
          <w:szCs w:val="24"/>
          <w:u w:val="single"/>
          <w:lang w:eastAsia="es-ES"/>
        </w:rPr>
        <w:t>“</w:t>
      </w:r>
      <w:r w:rsidRPr="006204E4">
        <w:rPr>
          <w:rFonts w:ascii="Times New Roman" w:eastAsia="Times New Roman" w:hAnsi="Times New Roman"/>
          <w:iCs/>
          <w:sz w:val="24"/>
          <w:szCs w:val="24"/>
          <w:u w:val="single"/>
          <w:lang w:eastAsia="es-ES"/>
        </w:rPr>
        <w:t>modernas</w:t>
      </w:r>
      <w:r w:rsidR="006204E4">
        <w:rPr>
          <w:rFonts w:ascii="Times New Roman" w:eastAsia="Times New Roman" w:hAnsi="Times New Roman"/>
          <w:iCs/>
          <w:sz w:val="24"/>
          <w:szCs w:val="24"/>
          <w:u w:val="single"/>
          <w:lang w:eastAsia="es-ES"/>
        </w:rPr>
        <w:t>”</w:t>
      </w:r>
      <w:r w:rsidRPr="00D77725">
        <w:rPr>
          <w:rFonts w:ascii="Times New Roman" w:eastAsia="Times New Roman" w:hAnsi="Times New Roman"/>
          <w:sz w:val="24"/>
          <w:szCs w:val="24"/>
          <w:u w:val="single"/>
          <w:lang w:eastAsia="es-ES"/>
        </w:rPr>
        <w:t>. Para cada categoría los profesores expresan el nivel de intensidad con que la aplican.</w:t>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La riqueza de la base de datos permite identificar el efecto causal de distintas prácticas. Los profesores tienen ideologías o metodologías variadas. Si un mismo alumno se ve expuesto en un momento del tiempo a </w:t>
      </w:r>
      <w:r w:rsidRPr="00D77725">
        <w:rPr>
          <w:rFonts w:ascii="Times New Roman" w:eastAsia="Times New Roman" w:hAnsi="Times New Roman"/>
          <w:color w:val="FF0000"/>
          <w:sz w:val="24"/>
          <w:szCs w:val="24"/>
          <w:lang w:eastAsia="es-ES"/>
        </w:rPr>
        <w:t xml:space="preserve">un profesor </w:t>
      </w:r>
      <w:r w:rsidR="006204E4">
        <w:rPr>
          <w:rFonts w:ascii="Times New Roman" w:eastAsia="Times New Roman" w:hAnsi="Times New Roman"/>
          <w:color w:val="FF0000"/>
          <w:sz w:val="24"/>
          <w:szCs w:val="24"/>
          <w:lang w:eastAsia="es-ES"/>
        </w:rPr>
        <w:t>“</w:t>
      </w:r>
      <w:r w:rsidRPr="006204E4">
        <w:rPr>
          <w:rFonts w:ascii="Times New Roman" w:eastAsia="Times New Roman" w:hAnsi="Times New Roman"/>
          <w:iCs/>
          <w:color w:val="FF0000"/>
          <w:sz w:val="24"/>
          <w:szCs w:val="24"/>
          <w:lang w:eastAsia="es-ES"/>
        </w:rPr>
        <w:t>moderno</w:t>
      </w:r>
      <w:r w:rsidR="006204E4">
        <w:rPr>
          <w:rFonts w:ascii="Times New Roman" w:eastAsia="Times New Roman" w:hAnsi="Times New Roman"/>
          <w:iCs/>
          <w:color w:val="FF0000"/>
          <w:sz w:val="24"/>
          <w:szCs w:val="24"/>
          <w:lang w:eastAsia="es-ES"/>
        </w:rPr>
        <w:t>”</w:t>
      </w:r>
      <w:r w:rsidRPr="006204E4">
        <w:rPr>
          <w:rFonts w:ascii="Times New Roman" w:eastAsia="Times New Roman" w:hAnsi="Times New Roman"/>
          <w:sz w:val="24"/>
          <w:szCs w:val="24"/>
          <w:lang w:eastAsia="es-ES"/>
        </w:rPr>
        <w:t xml:space="preserve"> </w:t>
      </w:r>
      <w:r w:rsidRPr="001F3875">
        <w:rPr>
          <w:rFonts w:ascii="Times New Roman" w:eastAsia="Times New Roman" w:hAnsi="Times New Roman"/>
          <w:sz w:val="24"/>
          <w:szCs w:val="24"/>
          <w:lang w:eastAsia="es-ES"/>
        </w:rPr>
        <w:t xml:space="preserve">y en otro a </w:t>
      </w:r>
      <w:r w:rsidRPr="00D77725">
        <w:rPr>
          <w:rFonts w:ascii="Times New Roman" w:eastAsia="Times New Roman" w:hAnsi="Times New Roman"/>
          <w:color w:val="FF0000"/>
          <w:sz w:val="24"/>
          <w:szCs w:val="24"/>
          <w:lang w:eastAsia="es-ES"/>
        </w:rPr>
        <w:t xml:space="preserve">un profesor </w:t>
      </w:r>
      <w:r w:rsidR="006204E4">
        <w:rPr>
          <w:rFonts w:ascii="Times New Roman" w:eastAsia="Times New Roman" w:hAnsi="Times New Roman"/>
          <w:color w:val="FF0000"/>
          <w:sz w:val="24"/>
          <w:szCs w:val="24"/>
          <w:lang w:eastAsia="es-ES"/>
        </w:rPr>
        <w:t>“</w:t>
      </w:r>
      <w:r w:rsidRPr="006204E4">
        <w:rPr>
          <w:rFonts w:ascii="Times New Roman" w:eastAsia="Times New Roman" w:hAnsi="Times New Roman"/>
          <w:iCs/>
          <w:color w:val="FF0000"/>
          <w:sz w:val="24"/>
          <w:szCs w:val="24"/>
          <w:lang w:eastAsia="es-ES"/>
        </w:rPr>
        <w:t>tradicional</w:t>
      </w:r>
      <w:r w:rsidR="006204E4">
        <w:rPr>
          <w:rFonts w:ascii="Times New Roman" w:eastAsia="Times New Roman" w:hAnsi="Times New Roman"/>
          <w:iCs/>
          <w:color w:val="FF0000"/>
          <w:sz w:val="24"/>
          <w:szCs w:val="24"/>
          <w:lang w:eastAsia="es-ES"/>
        </w:rPr>
        <w:t>”</w:t>
      </w:r>
      <w:r w:rsidRPr="001F3875">
        <w:rPr>
          <w:rFonts w:ascii="Times New Roman" w:eastAsia="Times New Roman" w:hAnsi="Times New Roman"/>
          <w:sz w:val="24"/>
          <w:szCs w:val="24"/>
          <w:lang w:eastAsia="es-ES"/>
        </w:rPr>
        <w:t xml:space="preserve"> esencialmente al azar y los resultados son distintos, podemos atribuir a la metodología la diferencia de resultados. Buena parte del artículo se dedica a convencernos de que la exposición es aleatoria o de introducir controles para compensarlo cuando no lo es.</w:t>
      </w:r>
    </w:p>
    <w:p w:rsidR="00B72735" w:rsidRPr="00D77725" w:rsidRDefault="00B7273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D77725">
        <w:rPr>
          <w:rFonts w:ascii="Times New Roman" w:eastAsia="Times New Roman" w:hAnsi="Times New Roman"/>
          <w:sz w:val="24"/>
          <w:szCs w:val="24"/>
          <w:u w:val="single"/>
          <w:lang w:eastAsia="es-ES"/>
        </w:rPr>
        <w:t xml:space="preserve">Los resultados son muy llamativos. En realidad los dos estilos de enseñanza tienen efectos positivos. La gracia es que los dos son positivos de manera muy diferenciada. Si nos fijamos para empezar en la tabla 8 (reproducida más abajo) podemos ver que, en media, el efecto del estilo </w:t>
      </w:r>
      <w:r w:rsidR="006204E4">
        <w:rPr>
          <w:rFonts w:ascii="Times New Roman" w:eastAsia="Times New Roman" w:hAnsi="Times New Roman"/>
          <w:sz w:val="24"/>
          <w:szCs w:val="24"/>
          <w:u w:val="single"/>
          <w:lang w:eastAsia="es-ES"/>
        </w:rPr>
        <w:t>“</w:t>
      </w:r>
      <w:r w:rsidRPr="006204E4">
        <w:rPr>
          <w:rFonts w:ascii="Times New Roman" w:eastAsia="Times New Roman" w:hAnsi="Times New Roman"/>
          <w:iCs/>
          <w:sz w:val="24"/>
          <w:szCs w:val="24"/>
          <w:u w:val="single"/>
          <w:lang w:eastAsia="es-ES"/>
        </w:rPr>
        <w:t>tradicional</w:t>
      </w:r>
      <w:r w:rsidR="006204E4">
        <w:rPr>
          <w:rFonts w:ascii="Times New Roman" w:eastAsia="Times New Roman" w:hAnsi="Times New Roman"/>
          <w:iCs/>
          <w:sz w:val="24"/>
          <w:szCs w:val="24"/>
          <w:u w:val="single"/>
          <w:lang w:eastAsia="es-ES"/>
        </w:rPr>
        <w:t>”</w:t>
      </w:r>
      <w:r w:rsidRPr="00D77725">
        <w:rPr>
          <w:rFonts w:ascii="Times New Roman" w:eastAsia="Times New Roman" w:hAnsi="Times New Roman"/>
          <w:sz w:val="24"/>
          <w:szCs w:val="24"/>
          <w:u w:val="single"/>
          <w:lang w:eastAsia="es-ES"/>
        </w:rPr>
        <w:t xml:space="preserve"> (T1 en la tabla) es muy fuerte en las chicas y en los alumnos de bajo estatus socioeconómico (segunda y cuarta columnas). En cambio el efecto del estilo </w:t>
      </w:r>
      <w:r w:rsidR="006204E4">
        <w:rPr>
          <w:rFonts w:ascii="Times New Roman" w:eastAsia="Times New Roman" w:hAnsi="Times New Roman"/>
          <w:sz w:val="24"/>
          <w:szCs w:val="24"/>
          <w:u w:val="single"/>
          <w:lang w:eastAsia="es-ES"/>
        </w:rPr>
        <w:t>“</w:t>
      </w:r>
      <w:r w:rsidRPr="006204E4">
        <w:rPr>
          <w:rFonts w:ascii="Times New Roman" w:eastAsia="Times New Roman" w:hAnsi="Times New Roman"/>
          <w:iCs/>
          <w:sz w:val="24"/>
          <w:szCs w:val="24"/>
          <w:u w:val="single"/>
          <w:lang w:eastAsia="es-ES"/>
        </w:rPr>
        <w:t>moderno</w:t>
      </w:r>
      <w:r w:rsidR="006204E4">
        <w:rPr>
          <w:rFonts w:ascii="Times New Roman" w:eastAsia="Times New Roman" w:hAnsi="Times New Roman"/>
          <w:iCs/>
          <w:sz w:val="24"/>
          <w:szCs w:val="24"/>
          <w:u w:val="single"/>
          <w:lang w:eastAsia="es-ES"/>
        </w:rPr>
        <w:t>”</w:t>
      </w:r>
      <w:r w:rsidRPr="006204E4">
        <w:rPr>
          <w:rFonts w:ascii="Times New Roman" w:eastAsia="Times New Roman" w:hAnsi="Times New Roman"/>
          <w:sz w:val="24"/>
          <w:szCs w:val="24"/>
          <w:u w:val="single"/>
          <w:lang w:eastAsia="es-ES"/>
        </w:rPr>
        <w:t xml:space="preserve"> </w:t>
      </w:r>
      <w:r w:rsidRPr="00D77725">
        <w:rPr>
          <w:rFonts w:ascii="Times New Roman" w:eastAsia="Times New Roman" w:hAnsi="Times New Roman"/>
          <w:sz w:val="24"/>
          <w:szCs w:val="24"/>
          <w:u w:val="single"/>
          <w:lang w:eastAsia="es-ES"/>
        </w:rPr>
        <w:t>es estadísticamente parecido en todos los grupos.</w:t>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39D2FE70" wp14:editId="6E77D352">
            <wp:extent cx="5486400" cy="2860243"/>
            <wp:effectExtent l="0" t="0" r="0" b="0"/>
            <wp:docPr id="107" name="Imagen 107" descr="teaching-styles-1">
              <a:hlinkClick xmlns:a="http://schemas.openxmlformats.org/drawingml/2006/main" r:id="rId1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teaching-styles-1"/>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486400" cy="2860243"/>
                    </a:xfrm>
                    <a:prstGeom prst="rect">
                      <a:avLst/>
                    </a:prstGeom>
                    <a:noFill/>
                    <a:ln>
                      <a:noFill/>
                    </a:ln>
                  </pic:spPr>
                </pic:pic>
              </a:graphicData>
            </a:graphic>
          </wp:inline>
        </w:drawing>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Otro resultado importante se puede ver en la tabla 9, que reproduce los estimadores del efecto para distintos puntos en la escala de capacidad. Allí se puede ver que el estilo </w:t>
      </w:r>
      <w:r w:rsidR="006204E4">
        <w:rPr>
          <w:rFonts w:ascii="Times New Roman" w:eastAsia="Times New Roman" w:hAnsi="Times New Roman"/>
          <w:sz w:val="24"/>
          <w:szCs w:val="24"/>
          <w:lang w:eastAsia="es-ES"/>
        </w:rPr>
        <w:t>“</w:t>
      </w:r>
      <w:r w:rsidRPr="006204E4">
        <w:rPr>
          <w:rFonts w:ascii="Times New Roman" w:eastAsia="Times New Roman" w:hAnsi="Times New Roman"/>
          <w:iCs/>
          <w:sz w:val="24"/>
          <w:szCs w:val="24"/>
          <w:lang w:eastAsia="es-ES"/>
        </w:rPr>
        <w:t>tradicional</w:t>
      </w:r>
      <w:r w:rsidR="006204E4">
        <w:rPr>
          <w:rFonts w:ascii="Times New Roman" w:eastAsia="Times New Roman" w:hAnsi="Times New Roman"/>
          <w:iCs/>
          <w:sz w:val="24"/>
          <w:szCs w:val="24"/>
          <w:lang w:eastAsia="es-ES"/>
        </w:rPr>
        <w:t>”</w:t>
      </w:r>
      <w:r w:rsidRPr="001F3875">
        <w:rPr>
          <w:rFonts w:ascii="Times New Roman" w:eastAsia="Times New Roman" w:hAnsi="Times New Roman"/>
          <w:sz w:val="24"/>
          <w:szCs w:val="24"/>
          <w:lang w:eastAsia="es-ES"/>
        </w:rPr>
        <w:t xml:space="preserve"> (primera columna) es muy efectivo por debajo de la mediana, mientras que el estilo moderno es singularmente eficaz por encima de la mediana.</w:t>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lastRenderedPageBreak/>
        <w:drawing>
          <wp:inline distT="0" distB="0" distL="0" distR="0" wp14:anchorId="05F2D951" wp14:editId="5087BAE3">
            <wp:extent cx="5376672" cy="3255264"/>
            <wp:effectExtent l="0" t="0" r="0" b="2540"/>
            <wp:docPr id="106" name="Imagen 106" descr="teaching-styles-2">
              <a:hlinkClick xmlns:a="http://schemas.openxmlformats.org/drawingml/2006/main" r:id="rId1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teaching-styles-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376672" cy="3255264"/>
                    </a:xfrm>
                    <a:prstGeom prst="rect">
                      <a:avLst/>
                    </a:prstGeom>
                    <a:noFill/>
                    <a:ln>
                      <a:noFill/>
                    </a:ln>
                  </pic:spPr>
                </pic:pic>
              </a:graphicData>
            </a:graphic>
          </wp:inline>
        </w:drawing>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1F3875">
        <w:rPr>
          <w:rFonts w:ascii="Times New Roman" w:eastAsia="Times New Roman" w:hAnsi="Times New Roman"/>
          <w:sz w:val="24"/>
          <w:szCs w:val="24"/>
          <w:lang w:eastAsia="es-ES"/>
        </w:rPr>
        <w:t xml:space="preserve">La tabla 7, por otro lado, nos da un resumen de los efectos para distintos niveles de intensidad del tratamiento. Es decir, para distintos niveles de aplicación de la metodología. La columna 1 mide los efectos de un tratamiento medio, la columna 2 los de un tratamiento en el tercil intermedio y la columna 3 los de un tratamiento en el tercil superior. La respuesta es clara, la metodología </w:t>
      </w:r>
      <w:r w:rsidR="00822CE7">
        <w:rPr>
          <w:rFonts w:ascii="Times New Roman" w:eastAsia="Times New Roman" w:hAnsi="Times New Roman"/>
          <w:sz w:val="24"/>
          <w:szCs w:val="24"/>
          <w:lang w:eastAsia="es-ES"/>
        </w:rPr>
        <w:t>“</w:t>
      </w:r>
      <w:r w:rsidRPr="00822CE7">
        <w:rPr>
          <w:rFonts w:ascii="Times New Roman" w:eastAsia="Times New Roman" w:hAnsi="Times New Roman"/>
          <w:iCs/>
          <w:sz w:val="24"/>
          <w:szCs w:val="24"/>
          <w:lang w:eastAsia="es-ES"/>
        </w:rPr>
        <w:t>moderna</w:t>
      </w:r>
      <w:r w:rsidR="00822CE7">
        <w:rPr>
          <w:rFonts w:ascii="Times New Roman" w:eastAsia="Times New Roman" w:hAnsi="Times New Roman"/>
          <w:iCs/>
          <w:sz w:val="24"/>
          <w:szCs w:val="24"/>
          <w:lang w:eastAsia="es-ES"/>
        </w:rPr>
        <w:t>”</w:t>
      </w:r>
      <w:r w:rsidRPr="001F3875">
        <w:rPr>
          <w:rFonts w:ascii="Times New Roman" w:eastAsia="Times New Roman" w:hAnsi="Times New Roman"/>
          <w:sz w:val="24"/>
          <w:szCs w:val="24"/>
          <w:lang w:eastAsia="es-ES"/>
        </w:rPr>
        <w:t xml:space="preserve"> es muy efectiva con tratamientos muy intensos, y la </w:t>
      </w:r>
      <w:r w:rsidR="00822CE7">
        <w:rPr>
          <w:rFonts w:ascii="Times New Roman" w:eastAsia="Times New Roman" w:hAnsi="Times New Roman"/>
          <w:sz w:val="24"/>
          <w:szCs w:val="24"/>
          <w:lang w:eastAsia="es-ES"/>
        </w:rPr>
        <w:t>“</w:t>
      </w:r>
      <w:r w:rsidRPr="00822CE7">
        <w:rPr>
          <w:rFonts w:ascii="Times New Roman" w:eastAsia="Times New Roman" w:hAnsi="Times New Roman"/>
          <w:iCs/>
          <w:sz w:val="24"/>
          <w:szCs w:val="24"/>
          <w:lang w:eastAsia="es-ES"/>
        </w:rPr>
        <w:t>tradicional</w:t>
      </w:r>
      <w:r w:rsidR="00822CE7">
        <w:rPr>
          <w:rFonts w:ascii="Times New Roman" w:eastAsia="Times New Roman" w:hAnsi="Times New Roman"/>
          <w:iCs/>
          <w:sz w:val="24"/>
          <w:szCs w:val="24"/>
          <w:lang w:eastAsia="es-ES"/>
        </w:rPr>
        <w:t>”</w:t>
      </w:r>
      <w:r w:rsidRPr="001F3875">
        <w:rPr>
          <w:rFonts w:ascii="Times New Roman" w:eastAsia="Times New Roman" w:hAnsi="Times New Roman"/>
          <w:sz w:val="24"/>
          <w:szCs w:val="24"/>
          <w:lang w:eastAsia="es-ES"/>
        </w:rPr>
        <w:t xml:space="preserve"> con tratamientos moderados.</w:t>
      </w:r>
    </w:p>
    <w:p w:rsidR="00B72735" w:rsidRPr="001F387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color w:val="0000FF"/>
          <w:sz w:val="24"/>
          <w:szCs w:val="24"/>
          <w:lang w:eastAsia="es-ES"/>
        </w:rPr>
        <w:drawing>
          <wp:inline distT="0" distB="0" distL="0" distR="0" wp14:anchorId="021974BB" wp14:editId="259FCA61">
            <wp:extent cx="5405932" cy="3065068"/>
            <wp:effectExtent l="0" t="0" r="4445" b="2540"/>
            <wp:docPr id="105" name="Imagen 105" descr="teaching-styles-3">
              <a:hlinkClick xmlns:a="http://schemas.openxmlformats.org/drawingml/2006/main" r:id="rId1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teaching-styles-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405932" cy="3065068"/>
                    </a:xfrm>
                    <a:prstGeom prst="rect">
                      <a:avLst/>
                    </a:prstGeom>
                    <a:noFill/>
                    <a:ln>
                      <a:noFill/>
                    </a:ln>
                  </pic:spPr>
                </pic:pic>
              </a:graphicData>
            </a:graphic>
          </wp:inline>
        </w:drawing>
      </w:r>
    </w:p>
    <w:p w:rsidR="00B7273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DA6DA5">
        <w:rPr>
          <w:rFonts w:ascii="Times New Roman" w:eastAsia="Times New Roman" w:hAnsi="Times New Roman"/>
          <w:sz w:val="24"/>
          <w:szCs w:val="24"/>
          <w:u w:val="single"/>
          <w:lang w:eastAsia="es-ES"/>
        </w:rPr>
        <w:t>La conclusión de este análisis es que mi evidencia anecdótica se explica muy bien con estos resultados. Si tiene usted un colegio con alumnos brillantes y profesores muy motivados, sea usted tan moderno como le parezca. En caso contrario, los experimentos con gaseosa</w:t>
      </w:r>
      <w:r w:rsidRPr="001F3875">
        <w:rPr>
          <w:rFonts w:ascii="Times New Roman" w:eastAsia="Times New Roman" w:hAnsi="Times New Roman"/>
          <w:sz w:val="24"/>
          <w:szCs w:val="24"/>
          <w:lang w:eastAsia="es-ES"/>
        </w:rPr>
        <w:t xml:space="preserve">. La conclusión de política es que puede ser útil dejar experimentar a los colegios con la metodología que mejor les parezca a los implicados y admitir la </w:t>
      </w:r>
      <w:r w:rsidRPr="001F3875">
        <w:rPr>
          <w:rFonts w:ascii="Times New Roman" w:eastAsia="Times New Roman" w:hAnsi="Times New Roman"/>
          <w:sz w:val="24"/>
          <w:szCs w:val="24"/>
          <w:lang w:eastAsia="es-ES"/>
        </w:rPr>
        <w:lastRenderedPageBreak/>
        <w:t>variedad. Si los resultados son buenos, adelante. Si son malos, volvemos a las tablas de multiplicar y la lista de los reyes godos.</w:t>
      </w:r>
    </w:p>
    <w:p w:rsidR="00B72735" w:rsidRDefault="00B72735" w:rsidP="00550638">
      <w:pPr>
        <w:pStyle w:val="NormalWeb"/>
        <w:jc w:val="both"/>
      </w:pPr>
      <w:r>
        <w:t xml:space="preserve">- </w:t>
      </w:r>
      <w:r w:rsidRPr="00DF3DF7">
        <w:rPr>
          <w:u w:val="single"/>
        </w:rPr>
        <w:t>Por qué la universidad debería ser totalmente privada</w:t>
      </w:r>
      <w:r>
        <w:t xml:space="preserve"> (Libertad Digital - </w:t>
      </w:r>
      <w:r w:rsidRPr="00DF3DF7">
        <w:rPr>
          <w:b/>
        </w:rPr>
        <w:t>2/9/11</w:t>
      </w:r>
      <w:r>
        <w:t>)</w:t>
      </w:r>
    </w:p>
    <w:p w:rsidR="00B72735" w:rsidRDefault="00B72735" w:rsidP="00550638">
      <w:pPr>
        <w:pStyle w:val="NormalWeb"/>
        <w:jc w:val="both"/>
      </w:pPr>
      <w:r>
        <w:t>(Por Juan Ramón Rallo)</w:t>
      </w:r>
      <w:r w:rsidR="005C7D7C">
        <w:t xml:space="preserve">                                                                    Lectura recomendada</w:t>
      </w:r>
    </w:p>
    <w:p w:rsidR="00B72735" w:rsidRDefault="00B72735" w:rsidP="00550638">
      <w:pPr>
        <w:pStyle w:val="NormalWeb"/>
        <w:jc w:val="both"/>
      </w:pPr>
      <w:r>
        <w:t>La enseñanza pública no garantiza una democratización del capital humano; más bien asegura su generalizada malinversión.</w:t>
      </w:r>
    </w:p>
    <w:p w:rsidR="00B72735" w:rsidRDefault="00B72735" w:rsidP="00550638">
      <w:pPr>
        <w:pStyle w:val="NormalWeb"/>
        <w:jc w:val="both"/>
      </w:pPr>
      <w:r w:rsidRPr="007C7F03">
        <w:rPr>
          <w:u w:val="single"/>
        </w:rPr>
        <w:t>La práctica totalidad de la población coincide en que la enseñanza es uno de los pilares del Estado de Bienestar. Hablar de una privatización de la educación que vaya más allá del cheque escolar parece ser un tema tabú, incluso para los liberales.</w:t>
      </w:r>
      <w:r>
        <w:t xml:space="preserve"> Sin embargo, la teoría económica permite comprender por qué no sólo es recomendable sino imprescindible para el desarrollo que la enseñanza, especialmente la superior/universitaria, sea completamente privada.</w:t>
      </w:r>
    </w:p>
    <w:p w:rsidR="00B72735" w:rsidRPr="007C7F03" w:rsidRDefault="00B72735" w:rsidP="00550638">
      <w:pPr>
        <w:pStyle w:val="NormalWeb"/>
        <w:jc w:val="both"/>
        <w:rPr>
          <w:u w:val="single"/>
        </w:rPr>
      </w:pPr>
      <w:r w:rsidRPr="007C7F03">
        <w:rPr>
          <w:u w:val="single"/>
        </w:rPr>
        <w:t>Lo esencial es tener claro qué debe ser y qué no debe ser la enseñanza universitaria</w:t>
      </w:r>
      <w:r>
        <w:t xml:space="preserve">. Por resumirlo, </w:t>
      </w:r>
      <w:r w:rsidRPr="007C7F03">
        <w:rPr>
          <w:u w:val="single"/>
        </w:rPr>
        <w:t>la universidad debe convertirse en una empresa cuyo propósito sea el de fabricar o proveer un bien de capital harto concreto y específico: el llamado capital humano muy especializado</w:t>
      </w:r>
      <w:r>
        <w:t xml:space="preserve">. </w:t>
      </w:r>
      <w:r w:rsidRPr="007C7F03">
        <w:rPr>
          <w:u w:val="single"/>
        </w:rPr>
        <w:t>La universidad no debe ser un foro público para adquirir una formación general un tanto más profunda que la proporcionada por la enseñanza secundaria y que nos convierta en buenos ciudadanos. O, al menos, no debe ser eso si luego pretendemos que esos años de carrera lectiva nos sirvan para lograr un sobresueldo en el mercado laboral.</w:t>
      </w:r>
    </w:p>
    <w:p w:rsidR="00B72735" w:rsidRPr="007C7F03" w:rsidRDefault="00B72735" w:rsidP="00550638">
      <w:pPr>
        <w:pStyle w:val="NormalWeb"/>
        <w:jc w:val="both"/>
        <w:rPr>
          <w:u w:val="single"/>
        </w:rPr>
      </w:pPr>
      <w:r w:rsidRPr="007C7F03">
        <w:rPr>
          <w:u w:val="single"/>
        </w:rPr>
        <w:t>Por consiguiente, la universidad produce capital humano, esto es, inocula a sus clientes/estudiantes una serie de conocimientos teórico-prácticos que, con posterioridad, deberían permitirles producir en el mercado una mayor cantidad de bienes y servicios que otros agentes sin esa formación: el capital humano debe servir para incrementar la productividad de los trabajadores y, por tanto, lograr sueldos más elevados.</w:t>
      </w:r>
    </w:p>
    <w:p w:rsidR="00B72735" w:rsidRPr="000E245D" w:rsidRDefault="00B72735" w:rsidP="00550638">
      <w:pPr>
        <w:pStyle w:val="NormalWeb"/>
        <w:jc w:val="both"/>
        <w:rPr>
          <w:u w:val="single"/>
        </w:rPr>
      </w:pPr>
      <w:r>
        <w:t xml:space="preserve">El capital humano, pues, es un bien de capital más, con todo lo que ello entraña: su valor depende de su capacidad para generar bienes económicos valiosos dentro de un plan empresarial en el que deberá coordinarse y complementarse con otros bienes de capital. </w:t>
      </w:r>
      <w:r w:rsidRPr="000E245D">
        <w:rPr>
          <w:u w:val="single"/>
        </w:rPr>
        <w:t>Los sobresueldos (o los beneficios extraordinarios, si el estudiante se vuelve autónomo) son precisamente la remuneración de ese bien de capital, como los dividendos lo son de las acciones o los intereses de la renta fija. Y el sobresueldo podrá pagarse si un trabajador que dispone de un cierto capital humano es más productivo dentro de un determinado plan empresarial que otro trabajador que carece de ese capital humano.</w:t>
      </w:r>
    </w:p>
    <w:p w:rsidR="00B72735" w:rsidRDefault="00B72735" w:rsidP="00550638">
      <w:pPr>
        <w:pStyle w:val="NormalWeb"/>
        <w:jc w:val="both"/>
      </w:pPr>
      <w:r w:rsidRPr="000E245D">
        <w:rPr>
          <w:u w:val="single"/>
        </w:rPr>
        <w:t>La tarea de las universidades no es nada sencilla</w:t>
      </w:r>
      <w:r>
        <w:t>. En cierto modo, cabe reputarlos como centros productivos de una enorme complejidad: su materia prima es un conocimien</w:t>
      </w:r>
      <w:r w:rsidR="00C749B7">
        <w:t>to tremendamente especializado -</w:t>
      </w:r>
      <w:r>
        <w:t>pensemos en la cantidad de licenciaturas y de maestr</w:t>
      </w:r>
      <w:r w:rsidR="00C749B7">
        <w:t>ías que existen dentro de éstas-</w:t>
      </w:r>
      <w:r>
        <w:t xml:space="preserve"> que año a año queda desfasado por el avance de la ciencia, por el eventual cambio de gustos de los consumidores y por las nuevas metodologías docentes. Sus clientes, los estudiantes, tienen que recibir una formación puntera (pues, en caso contrario, saldrán al mercado laboral y serán desplazados por otros trabajadores mejor adiestrados), que esté adaptada a las necesidades del consumidor (pues, en caso </w:t>
      </w:r>
      <w:r>
        <w:lastRenderedPageBreak/>
        <w:t>contrario, no habrá empresarios que quieran incorporarlos a sus planes de negocio abonándoles un sobresueldo) y que les sea lo más inteligible posible (pues, si no, todos los esfuerzos docentes serán en vano).</w:t>
      </w:r>
    </w:p>
    <w:p w:rsidR="00B72735" w:rsidRPr="000E245D" w:rsidRDefault="00B72735" w:rsidP="00550638">
      <w:pPr>
        <w:pStyle w:val="NormalWeb"/>
        <w:jc w:val="both"/>
        <w:rPr>
          <w:color w:val="FF0000"/>
          <w:u w:val="single"/>
        </w:rPr>
      </w:pPr>
      <w:r w:rsidRPr="000E245D">
        <w:rPr>
          <w:u w:val="single"/>
        </w:rPr>
        <w:t>No se trata sólo, por tanto, de fo</w:t>
      </w:r>
      <w:r w:rsidR="00C749B7">
        <w:rPr>
          <w:u w:val="single"/>
        </w:rPr>
        <w:t>rmar a los mejores arquitectos -</w:t>
      </w:r>
      <w:r w:rsidRPr="000E245D">
        <w:rPr>
          <w:u w:val="single"/>
        </w:rPr>
        <w:t>o ingen</w:t>
      </w:r>
      <w:r w:rsidR="00C749B7">
        <w:rPr>
          <w:u w:val="single"/>
        </w:rPr>
        <w:t>ieros, o economistas o juristas-</w:t>
      </w:r>
      <w:r w:rsidRPr="000E245D">
        <w:rPr>
          <w:u w:val="single"/>
        </w:rPr>
        <w:t xml:space="preserve"> posibles desde un punto de vista técnico, sino también a aquellos que sepan diseñar las construcciones que vayan más en consonancia con los gustos de los consumidores (o quizá, si hay exceso de construcciones y arquitectos, lo acertado sea no formar a ningún arquitecto).</w:t>
      </w:r>
      <w:r>
        <w:t xml:space="preserve"> </w:t>
      </w:r>
      <w:r w:rsidRPr="000E245D">
        <w:rPr>
          <w:color w:val="FF0000"/>
          <w:u w:val="single"/>
        </w:rPr>
        <w:t>Los conocimientos que adquieren, en definitiva, no han de ser útiles para la formación personal y humana del alumno o para el avance en abstracto de la ciencia</w:t>
      </w:r>
      <w:r w:rsidR="005C7D7C">
        <w:t xml:space="preserve"> -</w:t>
      </w:r>
      <w:r>
        <w:t>para lo cual puede haber otros centros adscritos a la universidad que real</w:t>
      </w:r>
      <w:r w:rsidR="005C7D7C">
        <w:t>imenten la labor de la docencia-</w:t>
      </w:r>
      <w:r>
        <w:t xml:space="preserve">, </w:t>
      </w:r>
      <w:r w:rsidRPr="000E245D">
        <w:rPr>
          <w:color w:val="FF0000"/>
          <w:u w:val="single"/>
        </w:rPr>
        <w:t>sino para el consumidor, que al final es quien le pagará el sobresueldo al estudiante.</w:t>
      </w:r>
    </w:p>
    <w:p w:rsidR="00B72735" w:rsidRPr="00366A1E" w:rsidRDefault="00B72735" w:rsidP="00550638">
      <w:pPr>
        <w:pStyle w:val="NormalWeb"/>
        <w:jc w:val="both"/>
      </w:pPr>
      <w:r>
        <w:t xml:space="preserve"> </w:t>
      </w:r>
      <w:r w:rsidRPr="000E245D">
        <w:rPr>
          <w:color w:val="FF0000"/>
          <w:u w:val="single"/>
        </w:rPr>
        <w:t>Así las cosas, un capital humano que no cu</w:t>
      </w:r>
      <w:r w:rsidR="00C749B7">
        <w:rPr>
          <w:color w:val="FF0000"/>
          <w:u w:val="single"/>
        </w:rPr>
        <w:t>mpla con estos tres requisitos -</w:t>
      </w:r>
      <w:r w:rsidRPr="000E245D">
        <w:rPr>
          <w:color w:val="FF0000"/>
          <w:u w:val="single"/>
        </w:rPr>
        <w:t>excelencia técnica y adaptación a las necesidades del consumidor que permita logr</w:t>
      </w:r>
      <w:r w:rsidR="00C749B7">
        <w:rPr>
          <w:color w:val="FF0000"/>
          <w:u w:val="single"/>
        </w:rPr>
        <w:t>ar un sobresueldo en el mercado-</w:t>
      </w:r>
      <w:r w:rsidRPr="000E245D">
        <w:rPr>
          <w:color w:val="FF0000"/>
          <w:u w:val="single"/>
        </w:rPr>
        <w:t xml:space="preserve"> puede considerarse una mala inversión, equiparable a la de un promotor inmobiliario que en el auge de una burbuja del ladrillo siguiera construyendo más y más viviendas que luego no ha podido colocar a buen precio.</w:t>
      </w:r>
    </w:p>
    <w:p w:rsidR="00B72735" w:rsidRPr="000E245D" w:rsidRDefault="00B72735" w:rsidP="00550638">
      <w:pPr>
        <w:pStyle w:val="NormalWeb"/>
        <w:jc w:val="both"/>
        <w:rPr>
          <w:u w:val="single"/>
        </w:rPr>
      </w:pPr>
      <w:r w:rsidRPr="000E245D">
        <w:rPr>
          <w:u w:val="single"/>
        </w:rPr>
        <w:t xml:space="preserve">La cuestión es si la universidad pública puede proveer un capital humano que no sea en general un cúmulo de malas inversiones o si, por el contrario, el buen capital humano sólo podrá gestarse en centros universitarios privados sometidos a la competencia del mercado y a la ausencia de regulación del sector público. </w:t>
      </w:r>
    </w:p>
    <w:p w:rsidR="00B72735" w:rsidRDefault="00B72735" w:rsidP="00550638">
      <w:pPr>
        <w:pStyle w:val="NormalWeb"/>
        <w:jc w:val="both"/>
      </w:pPr>
      <w:r>
        <w:t>Existen razones</w:t>
      </w:r>
      <w:r w:rsidR="005C7D7C">
        <w:t xml:space="preserve"> que afectan tanto a la oferta -</w:t>
      </w:r>
      <w:r>
        <w:t>a la manera que tienen las unive</w:t>
      </w:r>
      <w:r w:rsidR="005C7D7C">
        <w:t>rsidades de funcionar y enseñar- como a la demanda -</w:t>
      </w:r>
      <w:r>
        <w:t>a la cantidad y calidad de estudios que d</w:t>
      </w:r>
      <w:r w:rsidR="005C7D7C">
        <w:t>esean contratar los estudiantes-</w:t>
      </w:r>
      <w:r>
        <w:t xml:space="preserve"> para </w:t>
      </w:r>
      <w:r w:rsidRPr="000E245D">
        <w:rPr>
          <w:u w:val="single"/>
        </w:rPr>
        <w:t>concluir que, como en cualquier otro centro productivo especializado, es imprescindible que la universidad esté sometida por entero a la competencia propia del libre mercado.</w:t>
      </w:r>
      <w:r>
        <w:t xml:space="preserve"> </w:t>
      </w:r>
    </w:p>
    <w:p w:rsidR="00B72735" w:rsidRDefault="00B72735" w:rsidP="00550638">
      <w:pPr>
        <w:pStyle w:val="NormalWeb"/>
        <w:jc w:val="both"/>
      </w:pPr>
      <w:r>
        <w:t xml:space="preserve">Entre las de oferta, </w:t>
      </w:r>
      <w:r w:rsidRPr="000E245D">
        <w:rPr>
          <w:u w:val="single"/>
        </w:rPr>
        <w:t>la universidad debe ser suficientemente flexible como para adaptar su conocimiento técnico y sus métodos docentes a las muy cambiantes necesidades del mercado (de las empresas y de los consumidores).</w:t>
      </w:r>
      <w:r>
        <w:t xml:space="preserve"> </w:t>
      </w:r>
      <w:r w:rsidR="005C7D7C">
        <w:rPr>
          <w:u w:val="single"/>
        </w:rPr>
        <w:t>El profesorado -</w:t>
      </w:r>
      <w:r w:rsidRPr="000E245D">
        <w:rPr>
          <w:u w:val="single"/>
        </w:rPr>
        <w:t>y la organización d</w:t>
      </w:r>
      <w:r w:rsidR="005C7D7C">
        <w:rPr>
          <w:u w:val="single"/>
        </w:rPr>
        <w:t>e éste dentro de la universidad-</w:t>
      </w:r>
      <w:r w:rsidRPr="000E245D">
        <w:rPr>
          <w:u w:val="single"/>
        </w:rPr>
        <w:t xml:space="preserve"> ha de estar sometida a una reelaboración continuo; una flexibilidad que sólo puede lograrse no a golpe de planificación central y de planes quinquenales, sino merced a la presión competitiva de otras universidades más eficientes que pueden terminar desplazando a las menos eficientes</w:t>
      </w:r>
      <w:r>
        <w:t xml:space="preserve">. </w:t>
      </w:r>
      <w:r w:rsidRPr="000E245D">
        <w:rPr>
          <w:u w:val="single"/>
        </w:rPr>
        <w:t>Es necesario que los modelos educativos que queden desfasados puedan desaparecer y no se eternicen gracias a la teta del presupuesto público</w:t>
      </w:r>
      <w:r>
        <w:t xml:space="preserve">; para lo cual resulta a su vez necesario que los empresas y la administración puedan discriminar entre los títulos de distintas universidades según su calidad: </w:t>
      </w:r>
      <w:r w:rsidRPr="000E245D">
        <w:rPr>
          <w:u w:val="single"/>
        </w:rPr>
        <w:t>una licenciatura en una universidad puntera no puede ser equiparable a una licenciatura de una universidad deficiente</w:t>
      </w:r>
      <w:r>
        <w:t>.</w:t>
      </w:r>
    </w:p>
    <w:p w:rsidR="00B72735" w:rsidRPr="000E245D" w:rsidRDefault="00B72735" w:rsidP="00550638">
      <w:pPr>
        <w:pStyle w:val="NormalWeb"/>
        <w:jc w:val="both"/>
        <w:rPr>
          <w:u w:val="single"/>
        </w:rPr>
      </w:pPr>
      <w:r w:rsidRPr="000E245D">
        <w:rPr>
          <w:u w:val="single"/>
        </w:rPr>
        <w:t>Asimismo, la competencia entre universidades no sólo afectaría a la calidad de sus servicios, sino también a su coste. Internet, los Ebooks y demás nuevas tecnologías ofrecen un sinfín de posibilidades para desarrollar nuevos modelos educativos que vayan más allá de la universidad tradicional</w:t>
      </w:r>
      <w:r>
        <w:t xml:space="preserve">. La participación de un centro de enseñanza superior en la formación del capital humano puede ser muy variable: desde la tutela directa y presencial de un equipo docente durante 20 horas semanales a lo largo de </w:t>
      </w:r>
      <w:r>
        <w:lastRenderedPageBreak/>
        <w:t xml:space="preserve">cinco años a la provisión del material docente y posterior certificación de que un determinado alumno a adquirido por su cuenta los conocimientos reconocidos en su título, pasando por la enseñanza online presencial o no presencial. Cada universidad podría configurar su propia oferta de servicios académicos, cuyo precio sería creciente con su coste (con el grado de implicación en la formación) y permitiría a una variedad muy amplia de alumnos, con niveles de renta muy diversos, acceder a un mismo título. </w:t>
      </w:r>
      <w:r w:rsidRPr="000E245D">
        <w:rPr>
          <w:u w:val="single"/>
        </w:rPr>
        <w:t>A día de hoy ya existen numerosos centros que cobran sólo por examinar y certificar la adquisición de unos determinados conocimientos, sin perjuicio de que, abonando un sobreprecio, los estudiantes puedan comprar directamente los materiales o asistir a clases presenciales.</w:t>
      </w:r>
    </w:p>
    <w:p w:rsidR="00B72735" w:rsidRPr="000E245D" w:rsidRDefault="00B72735" w:rsidP="00550638">
      <w:pPr>
        <w:pStyle w:val="NormalWeb"/>
        <w:jc w:val="both"/>
        <w:rPr>
          <w:u w:val="single"/>
        </w:rPr>
      </w:pPr>
      <w:r w:rsidRPr="000E245D">
        <w:rPr>
          <w:u w:val="single"/>
        </w:rPr>
        <w:t>Igualmente, tampoco tiene demasiado sentido que la carrera universitaria sólo pueda ser un corpus inseparable de conocimientos que proporcionen una visión presuntamente completa al alumno sobre una materia a lo largo de cuatro o cinco años</w:t>
      </w:r>
      <w:r>
        <w:t xml:space="preserve">. </w:t>
      </w:r>
      <w:r w:rsidRPr="000E245D">
        <w:rPr>
          <w:u w:val="single"/>
        </w:rPr>
        <w:t>Lo lógico sería que ca</w:t>
      </w:r>
      <w:r w:rsidR="00B022EB">
        <w:rPr>
          <w:u w:val="single"/>
        </w:rPr>
        <w:t>da universidad pudiese ofrecer “packs”</w:t>
      </w:r>
      <w:r w:rsidRPr="000E245D">
        <w:rPr>
          <w:u w:val="single"/>
        </w:rPr>
        <w:t xml:space="preserve"> de duración y precio mucho más reducido y con un contenido mucho más específico; el objetivo es formar especialistas que sepan desarrollar servicios extraordinarios en una materia</w:t>
      </w:r>
      <w:r>
        <w:t xml:space="preserve">. El mejor contable del mundo no tiene por qué tener un conocimiento demasiado profundo sobre macroeconomía, por lo que ambas materias no tienen por qué estudiarse a la vez: la posibilidad de estudiar por módulos que puedan adquirir los alumnos, sin perjuicio de la obtención de un título que acredite exactamente los conocimientos adquiridos, proporciona una flexibilidad enorme a la hora de formar el capital humano y a la hora de reorganizar internamente las materias impartidas y los métodos empleados. </w:t>
      </w:r>
      <w:r w:rsidRPr="000E245D">
        <w:rPr>
          <w:u w:val="single"/>
        </w:rPr>
        <w:t xml:space="preserve">Más que observar los estudios universitarios como una variable discreta (0 </w:t>
      </w:r>
      <w:r w:rsidR="00A92207" w:rsidRPr="000E245D">
        <w:rPr>
          <w:u w:val="single"/>
        </w:rPr>
        <w:t>o</w:t>
      </w:r>
      <w:r w:rsidRPr="000E245D">
        <w:rPr>
          <w:u w:val="single"/>
        </w:rPr>
        <w:t xml:space="preserve"> 1: o se tiene un título, aunque falte una asignatura, o no se tiene), habría que entenderla como una variable continua (se poseen distintos grados de conocimiento reflejados en un currículum dinámico). </w:t>
      </w:r>
    </w:p>
    <w:p w:rsidR="00B72735" w:rsidRPr="000E245D" w:rsidRDefault="00B72735" w:rsidP="00550638">
      <w:pPr>
        <w:pStyle w:val="NormalWeb"/>
        <w:jc w:val="both"/>
        <w:rPr>
          <w:u w:val="single"/>
        </w:rPr>
      </w:pPr>
      <w:r w:rsidRPr="000E245D">
        <w:rPr>
          <w:u w:val="single"/>
        </w:rPr>
        <w:t>Por lo que respecta a la demanda, nunca olvidemos que la enseñanza universitaria es una inversión en un activo llamado capital humano y cuya rentabilidad es el sobresueldo que cosecha el trabajador</w:t>
      </w:r>
      <w:r>
        <w:t xml:space="preserve">. Si reputaríamos absurdo que el Estado nos concediera a todos (o, más bien, a unos cuantos adolescentes) un cheque de, por ejemplo, 20.000 euros para que todos pudiésemos poseer una cartera de acciones bursátiles (¡y no sólo los ricos ahorradores!), </w:t>
      </w:r>
      <w:r w:rsidRPr="000E245D">
        <w:rPr>
          <w:u w:val="single"/>
        </w:rPr>
        <w:t>deberíamos considerar igualmente absurdo que el Estado subvencionara la demanda de lo que es, repito, una inversión en un activo muy específico y especializado como es el capital humano.</w:t>
      </w:r>
    </w:p>
    <w:p w:rsidR="00B72735" w:rsidRPr="000E245D" w:rsidRDefault="00B72735" w:rsidP="00550638">
      <w:pPr>
        <w:pStyle w:val="NormalWeb"/>
        <w:jc w:val="both"/>
        <w:rPr>
          <w:u w:val="single"/>
        </w:rPr>
      </w:pPr>
      <w:r w:rsidRPr="000E245D">
        <w:rPr>
          <w:color w:val="FF0000"/>
          <w:u w:val="single"/>
        </w:rPr>
        <w:t>¿Y por qué es absurdo? Para empezar, porque los costes se socializan (todos los contribuyentes sostienen la universidad pública) pero los beneficios se privatizan (los sobresueldos percibidos por cada trabajador).</w:t>
      </w:r>
      <w:r>
        <w:t xml:space="preserve"> Se puede pensar que un sistema fiscal progresivo contrarresta este hecho (paga más quien más gana), pero no olvidemos que no todos quienes obtienen un sobresueldo tienen que obtenerlo por gozar de estudios universitarios... ni todos los que gocen de estudios universitarios, tienen por qué obtener un sobresueldo ni tampoco obtenerlo en virtud de ese título. </w:t>
      </w:r>
      <w:r w:rsidRPr="000E245D">
        <w:rPr>
          <w:u w:val="single"/>
        </w:rPr>
        <w:t>Por tanto, el sistema fiscal progresivo es una manera muy torpe e injusta de contrarrestar la socialización de los costes y la privatización las ganancias.</w:t>
      </w:r>
    </w:p>
    <w:p w:rsidR="00B72735" w:rsidRDefault="00B72735" w:rsidP="00550638">
      <w:pPr>
        <w:pStyle w:val="NormalWeb"/>
        <w:jc w:val="both"/>
      </w:pPr>
      <w:r w:rsidRPr="000E245D">
        <w:rPr>
          <w:u w:val="single"/>
        </w:rPr>
        <w:t>Pero el problema de fondo es otro: la lógica y la conveniencia de toda inversión depende de que la rentabilidad de la misma sea positiva y superior a la de otros activos de riesgo similar. Es decir, se trata no sólo de ganar dinero, sino de ganar al menos el mismo que podríamos obtener en otras inversiones</w:t>
      </w:r>
      <w:r>
        <w:t xml:space="preserve">. Si subvencionamos total o </w:t>
      </w:r>
      <w:r>
        <w:lastRenderedPageBreak/>
        <w:t>parcialmente el coste de la universidad, lo lógico es que la demanda de estudios universitarios se dispare muy por encima de lo que es realmente rentable y conveniente. Por ejemplo, si el coste de estudiar cinco años en la universidad es de 40.000 euros pero el Estado la ofrece gratuitamente, un estudiante decidirá invertir en capital humano aun cuando los sobresueldos que consiga a lo largo de su vida laboral no superen los 30.000 euros. Es decir, la inversión será ruinosa (el coste de obtener el capital humano será mayor que la utilidad que proporciona) pero el incentivo será a acometerla.</w:t>
      </w:r>
    </w:p>
    <w:p w:rsidR="00B72735" w:rsidRPr="000E245D" w:rsidRDefault="00B72735" w:rsidP="00550638">
      <w:pPr>
        <w:pStyle w:val="NormalWeb"/>
        <w:jc w:val="both"/>
        <w:rPr>
          <w:color w:val="FF0000"/>
          <w:u w:val="single"/>
        </w:rPr>
      </w:pPr>
      <w:r w:rsidRPr="000E245D">
        <w:rPr>
          <w:color w:val="FF0000"/>
          <w:u w:val="single"/>
        </w:rPr>
        <w:t>Obviamente, si el coste privado de ir a la universidad es cero, lo que cabe esperar es, primero, que su demanda se masifique aun cuando los sobresueldos logrados sean nulos; y, segundo, si existen otros beneficios no monetarios de acudir a la universidad (por ejemplo, cinco años sabáticos en los que no se estudia demasiado y se disfruta de una juventud dorada), los alumnos tenderán a desatender por completo qué disciplinas deben dominar para percibir los sobresueldos que presuntamente justifican la enseñanza universitaria (elección casi aleatoria o por interés personal de la materia). En definitiva, si el Estado subvenciona el coste de la universidad, su demanda será siempre excesiva y generalmente despreocupada por la calidad de la oferta.</w:t>
      </w:r>
    </w:p>
    <w:p w:rsidR="00B72735" w:rsidRPr="000E245D" w:rsidRDefault="00B72735" w:rsidP="00550638">
      <w:pPr>
        <w:pStyle w:val="NormalWeb"/>
        <w:jc w:val="both"/>
        <w:rPr>
          <w:color w:val="FF0000"/>
          <w:u w:val="single"/>
        </w:rPr>
      </w:pPr>
      <w:r w:rsidRPr="000E245D">
        <w:rPr>
          <w:u w:val="single"/>
        </w:rPr>
        <w:t>La titulitis es una enfermedad propia de sociedades donde la universidad carece de precio, donde los alumnos no están en absoluto interesados en comparar los costes y los beneficios de la inversión en capital humano y donde los centros encargados de expedir el título no se juegan su supervivencia en su calidad diferencial</w:t>
      </w:r>
      <w:r>
        <w:t xml:space="preserve">. </w:t>
      </w:r>
      <w:r w:rsidRPr="000E245D">
        <w:rPr>
          <w:color w:val="FF0000"/>
          <w:u w:val="single"/>
        </w:rPr>
        <w:t xml:space="preserve">Una sociedad no necesita universitarios en general, sino personas especializadas en muy diversas áreas; cuando lo que proporciona es una imprenta de licenciaturas y de jóvenes incolocables </w:t>
      </w:r>
      <w:r w:rsidR="00A92207">
        <w:rPr>
          <w:color w:val="FF0000"/>
          <w:u w:val="single"/>
        </w:rPr>
        <w:t>-</w:t>
      </w:r>
      <w:r w:rsidRPr="000E245D">
        <w:rPr>
          <w:color w:val="FF0000"/>
          <w:u w:val="single"/>
        </w:rPr>
        <w:t xml:space="preserve">que además deben recurrir a posgrados privados </w:t>
      </w:r>
      <w:r w:rsidR="00A92207">
        <w:rPr>
          <w:color w:val="FF0000"/>
          <w:u w:val="single"/>
        </w:rPr>
        <w:t>para especializarse mínimamente-</w:t>
      </w:r>
      <w:r w:rsidRPr="000E245D">
        <w:rPr>
          <w:color w:val="FF0000"/>
          <w:u w:val="single"/>
        </w:rPr>
        <w:t xml:space="preserve">, es que su sistema universitario es completamente fallido. </w:t>
      </w:r>
    </w:p>
    <w:p w:rsidR="00B72735" w:rsidRDefault="00B72735" w:rsidP="00550638">
      <w:pPr>
        <w:pStyle w:val="NormalWeb"/>
        <w:jc w:val="both"/>
      </w:pPr>
      <w:r w:rsidRPr="000E245D">
        <w:rPr>
          <w:u w:val="single"/>
        </w:rPr>
        <w:t>Por último, que el precio de la enseñanza superior refleje todo su coste no significa ni mucho menos que las diferencias sociales vayan a ahondarse. Primero, porque un rico que sea tonto no obtendrá durante mucho tiempo un sobresueldo gracias a un título de calidad comprado a tocateja</w:t>
      </w:r>
      <w:r>
        <w:t xml:space="preserve"> (otra cosa son los contactos familiares, pero eso es independiente de la titulación); y si eso es así, la compra de licenciaturas por parte de los ricos tenderá más bien a descapitalizarlos (habría sido mejor que metieran el dinero en una acción que proporciona una renta del 7% anual que en un título que renta un 0% al año).</w:t>
      </w:r>
    </w:p>
    <w:p w:rsidR="00B72735" w:rsidRPr="00724211" w:rsidRDefault="00B72735" w:rsidP="00550638">
      <w:pPr>
        <w:pStyle w:val="NormalWeb"/>
        <w:jc w:val="both"/>
        <w:rPr>
          <w:u w:val="single"/>
        </w:rPr>
      </w:pPr>
      <w:r w:rsidRPr="00724211">
        <w:rPr>
          <w:u w:val="single"/>
        </w:rPr>
        <w:t>Y segundo, porque los pobres inteligentes no sólo pueden ser becados por las universidades privadas (cosa que ya sucede en la actualidad), pues el prestigio de éstas procede de tener alumnos excelentes y bien colocados en el establishment, sino porque la versatilidad de una industria universitaria privada y desregulada permitiría una variedad de precios tan grande que daría paso a una formación realmente continua</w:t>
      </w:r>
      <w:r>
        <w:t xml:space="preserve">. En ninguna parte está escrito que una persona debe adquirir todo su capital humano de los 18 a los 23 años. Perfectamente puede estudiarse un módulo de finanzas, percibir un sobresueldo durante cuatro años, ahorrar parte del mismo y costearse el estudio de otro módulo, etc. Lo único que de facto cambiaría es que la gente analizaría mucho más cada paso que da: a saber, si conviene (si es rentable) ampliar un poco más su formación en cada una de las etapas de su vida. De hecho, así habrán de hacerse las cosas: </w:t>
      </w:r>
      <w:r w:rsidRPr="00724211">
        <w:rPr>
          <w:u w:val="single"/>
        </w:rPr>
        <w:t>el capital humano debería estar en continuo reciclaje (no quedarse estancado en los conocimientos adquiridos durante la adolescencia) y orientarse siempre a la creación de un mayor valor para el consumidor que aquel que ha costado formarlo.</w:t>
      </w:r>
    </w:p>
    <w:p w:rsidR="00B72735" w:rsidRDefault="00B72735" w:rsidP="00550638">
      <w:pPr>
        <w:pStyle w:val="NormalWeb"/>
        <w:jc w:val="both"/>
      </w:pPr>
      <w:r>
        <w:lastRenderedPageBreak/>
        <w:t>La enseñanza pública no garantiza una democratización del capital humano; más bien asegura su generalizada malinversión.</w:t>
      </w:r>
    </w:p>
    <w:p w:rsidR="005C7D7C" w:rsidRDefault="005C7D7C" w:rsidP="00550638">
      <w:pPr>
        <w:pStyle w:val="NormalWeb"/>
        <w:jc w:val="both"/>
      </w:pPr>
      <w:r>
        <w:t>(</w:t>
      </w:r>
      <w:r w:rsidRPr="005A7BF9">
        <w:t>Juan Ramón Rallo es</w:t>
      </w:r>
      <w:r>
        <w:t xml:space="preserve"> doctor en Economía </w:t>
      </w:r>
      <w:r w:rsidRPr="005A7BF9">
        <w:t>y licenciado</w:t>
      </w:r>
      <w:r>
        <w:t xml:space="preserve"> en Derecho </w:t>
      </w:r>
      <w:r w:rsidRPr="005A7BF9">
        <w:t>por la Universidad de Valencia</w:t>
      </w:r>
      <w:r>
        <w:t xml:space="preserve">, </w:t>
      </w:r>
      <w:r w:rsidRPr="005A7BF9">
        <w:t>master en Economía de la Escuela Austriaca por la Universidad Rey Juan</w:t>
      </w:r>
      <w:r>
        <w:t xml:space="preserve"> Carlos de Madrid. E</w:t>
      </w:r>
      <w:r w:rsidRPr="005A7BF9">
        <w:t>s profesor en esta última universidad y en los centros de e</w:t>
      </w:r>
      <w:r>
        <w:t>studios OMMA e Isead. E</w:t>
      </w:r>
      <w:r w:rsidRPr="005A7BF9">
        <w:t>s directo</w:t>
      </w:r>
      <w:r>
        <w:t>r del Instituto Juan de Mariana…)</w:t>
      </w:r>
    </w:p>
    <w:p w:rsidR="00CB7961" w:rsidRPr="00CB7961" w:rsidRDefault="00CB7961" w:rsidP="00550638">
      <w:pPr>
        <w:pStyle w:val="NormalWeb"/>
        <w:jc w:val="both"/>
        <w:rPr>
          <w:u w:val="single"/>
        </w:rPr>
      </w:pPr>
      <w:r>
        <w:rPr>
          <w:u w:val="single"/>
        </w:rPr>
        <w:t xml:space="preserve">Finlandia: un sistema modélico </w:t>
      </w:r>
      <w:r w:rsidRPr="00CB7961">
        <w:rPr>
          <w:u w:val="single"/>
        </w:rPr>
        <w:t>(donde ser “maestro” es la profesión más respetada)</w:t>
      </w:r>
    </w:p>
    <w:p w:rsidR="00B72735" w:rsidRPr="00CB7961" w:rsidRDefault="00CB7961" w:rsidP="00550638">
      <w:pPr>
        <w:pStyle w:val="NormalWeb"/>
        <w:jc w:val="both"/>
      </w:pPr>
      <w:r>
        <w:rPr>
          <w:i/>
        </w:rPr>
        <w:t>“</w:t>
      </w:r>
      <w:r w:rsidR="00B72735" w:rsidRPr="00CB7961">
        <w:rPr>
          <w:i/>
        </w:rPr>
        <w:t>La primera opción profesional de los finlandeses es la del profesorado. Ser maestro implica gran prestigio y reconocimiento sociales, por lo que la mayoría de sus estudiantes, y los más dotados entre ellos, tratan de acceder a sus escuelas de magisterio, algo que sólo una pequeña parte consigue</w:t>
      </w:r>
      <w:r>
        <w:rPr>
          <w:i/>
        </w:rPr>
        <w:t>”..</w:t>
      </w:r>
      <w:r w:rsidR="00B72735" w:rsidRPr="00CB7961">
        <w:rPr>
          <w:i/>
        </w:rPr>
        <w:t xml:space="preserve">. </w:t>
      </w:r>
      <w:r w:rsidRPr="00510BE6">
        <w:rPr>
          <w:u w:val="single"/>
        </w:rPr>
        <w:t>Así se forman los mejores profesores del mundo</w:t>
      </w:r>
      <w:r>
        <w:t xml:space="preserve"> (El Confidencial - </w:t>
      </w:r>
      <w:r w:rsidRPr="00510BE6">
        <w:rPr>
          <w:b/>
        </w:rPr>
        <w:t>7/9/11</w:t>
      </w:r>
      <w:r>
        <w:t>)</w:t>
      </w:r>
    </w:p>
    <w:p w:rsidR="00CB7961" w:rsidRPr="00CB7961"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El </w:t>
      </w:r>
      <w:hyperlink r:id="rId109" w:tgtFrame="_blank" w:history="1">
        <w:r w:rsidRPr="00CB7961">
          <w:rPr>
            <w:rFonts w:ascii="Times New Roman" w:eastAsia="Times New Roman" w:hAnsi="Times New Roman"/>
            <w:sz w:val="24"/>
            <w:szCs w:val="24"/>
            <w:lang w:eastAsia="es-ES"/>
          </w:rPr>
          <w:t>sistema educativo del país nórdico</w:t>
        </w:r>
      </w:hyperlink>
      <w:r w:rsidRPr="00CB7961">
        <w:rPr>
          <w:rFonts w:ascii="Times New Roman" w:eastAsia="Times New Roman" w:hAnsi="Times New Roman"/>
          <w:sz w:val="24"/>
          <w:szCs w:val="24"/>
          <w:lang w:eastAsia="es-ES"/>
        </w:rPr>
        <w:t xml:space="preserve">, que aparece sistemáticamente entre los mejores del mundo en los informes PISA, ha convertido al docente en el núcleo de una apuesta educativa de grandes dimensiones. Finlandia carece de recursos naturales, por lo que la supervivencia económica de la nación depende en gran medida de la cualificación profesional de sus habitantes. Conscientes de la situación, los gobernantes escandinavos decidieron décadas atrás que, para situarse en lo más alto del ranking educativo, no sólo habían de contar con los medios y los métodos adecuados, sino que debían poner al frente a las personas más valiosas. Por eso, asegura </w:t>
      </w:r>
      <w:r w:rsidRPr="00CB7961">
        <w:rPr>
          <w:rFonts w:ascii="Times New Roman" w:eastAsia="Times New Roman" w:hAnsi="Times New Roman"/>
          <w:bCs/>
          <w:sz w:val="24"/>
          <w:szCs w:val="24"/>
          <w:lang w:eastAsia="es-ES"/>
        </w:rPr>
        <w:t>Eeva Sippola</w:t>
      </w:r>
      <w:r w:rsidRPr="00CB7961">
        <w:rPr>
          <w:rFonts w:ascii="Times New Roman" w:eastAsia="Times New Roman" w:hAnsi="Times New Roman"/>
          <w:sz w:val="24"/>
          <w:szCs w:val="24"/>
          <w:lang w:eastAsia="es-ES"/>
        </w:rPr>
        <w:t xml:space="preserve">, agregada del Instituto Cultural Iberoamericano de Finlandia, sólo eligen como futuros docentes a los estudiantes más capacitados: </w:t>
      </w:r>
      <w:r w:rsidRPr="00CB7961">
        <w:rPr>
          <w:rFonts w:ascii="Times New Roman" w:eastAsia="Times New Roman" w:hAnsi="Times New Roman"/>
          <w:bCs/>
          <w:sz w:val="24"/>
          <w:szCs w:val="24"/>
          <w:lang w:eastAsia="es-ES"/>
        </w:rPr>
        <w:t>si la educación es lo más importante, tendrán que ser las personas más preparadas las que impartan docencia</w:t>
      </w:r>
      <w:r w:rsidRPr="00CB7961">
        <w:rPr>
          <w:rFonts w:ascii="Times New Roman" w:eastAsia="Times New Roman" w:hAnsi="Times New Roman"/>
          <w:sz w:val="24"/>
          <w:szCs w:val="24"/>
          <w:lang w:eastAsia="es-ES"/>
        </w:rPr>
        <w:t xml:space="preserve">. </w:t>
      </w:r>
    </w:p>
    <w:p w:rsidR="00B72735" w:rsidRPr="00CB7961" w:rsidRDefault="00B72735" w:rsidP="00550638">
      <w:pPr>
        <w:spacing w:after="0" w:line="240" w:lineRule="auto"/>
        <w:jc w:val="both"/>
        <w:rPr>
          <w:rFonts w:ascii="Times New Roman" w:eastAsia="Times New Roman" w:hAnsi="Times New Roman"/>
          <w:sz w:val="24"/>
          <w:szCs w:val="24"/>
          <w:lang w:eastAsia="es-ES"/>
        </w:rPr>
      </w:pPr>
    </w:p>
    <w:p w:rsidR="00B72735" w:rsidRPr="00CB7961" w:rsidRDefault="00B72735" w:rsidP="00550638">
      <w:pPr>
        <w:spacing w:after="0" w:line="240" w:lineRule="auto"/>
        <w:jc w:val="both"/>
        <w:rPr>
          <w:rFonts w:ascii="Times New Roman" w:eastAsia="Times New Roman" w:hAnsi="Times New Roman"/>
          <w:sz w:val="24"/>
          <w:szCs w:val="24"/>
          <w:lang w:eastAsia="es-ES"/>
        </w:rPr>
      </w:pPr>
      <w:r w:rsidRPr="00CB7961">
        <w:rPr>
          <w:rFonts w:ascii="Times New Roman" w:eastAsia="Times New Roman" w:hAnsi="Times New Roman"/>
          <w:noProof/>
          <w:sz w:val="24"/>
          <w:szCs w:val="24"/>
          <w:lang w:eastAsia="es-ES"/>
        </w:rPr>
        <w:drawing>
          <wp:anchor distT="0" distB="0" distL="0" distR="0" simplePos="0" relativeHeight="251661312" behindDoc="0" locked="0" layoutInCell="1" allowOverlap="0" wp14:anchorId="7E23B7AA" wp14:editId="3B49F017">
            <wp:simplePos x="0" y="0"/>
            <wp:positionH relativeFrom="column">
              <wp:align>left</wp:align>
            </wp:positionH>
            <wp:positionV relativeFrom="line">
              <wp:posOffset>0</wp:posOffset>
            </wp:positionV>
            <wp:extent cx="5332730" cy="1170305"/>
            <wp:effectExtent l="0" t="0" r="1270" b="0"/>
            <wp:wrapSquare wrapText="bothSides"/>
            <wp:docPr id="116" name="Imagen 116" descr="2011090635gasto_publico_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11090635gasto_publico_int"/>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32730" cy="1170305"/>
                    </a:xfrm>
                    <a:prstGeom prst="rect">
                      <a:avLst/>
                    </a:prstGeom>
                    <a:noFill/>
                    <a:ln>
                      <a:noFill/>
                    </a:ln>
                  </pic:spPr>
                </pic:pic>
              </a:graphicData>
            </a:graphic>
            <wp14:sizeRelH relativeFrom="page">
              <wp14:pctWidth>0</wp14:pctWidth>
            </wp14:sizeRelH>
            <wp14:sizeRelV relativeFrom="page">
              <wp14:pctHeight>0</wp14:pctHeight>
            </wp14:sizeRelV>
          </wp:anchor>
        </w:drawing>
      </w:r>
      <w:r w:rsidR="00CB7961" w:rsidRPr="00CB7961">
        <w:rPr>
          <w:rFonts w:ascii="Times New Roman" w:eastAsia="Times New Roman" w:hAnsi="Times New Roman"/>
          <w:sz w:val="24"/>
          <w:szCs w:val="24"/>
          <w:lang w:eastAsia="es-ES"/>
        </w:rPr>
        <w:t>(</w:t>
      </w:r>
      <w:r w:rsidRPr="00CB7961">
        <w:rPr>
          <w:rFonts w:ascii="Times New Roman" w:eastAsia="Times New Roman" w:hAnsi="Times New Roman"/>
          <w:sz w:val="24"/>
          <w:szCs w:val="24"/>
          <w:lang w:eastAsia="es-ES"/>
        </w:rPr>
        <w:t>Gasto público en educación Fuente: Embajada de Finlandia)</w:t>
      </w:r>
    </w:p>
    <w:p w:rsidR="00CB7961" w:rsidRPr="00CB7961" w:rsidRDefault="00CB7961" w:rsidP="00550638">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La formación de los maestros es universitaria, tiene categoría de master y trata de formar tanto en contenido como en métodos, preparando a los futuros docentes para que puedan enseñar e instruir, pero también educar. Además, su área de acción se amplía más allá del colegio, toda vez que el constructivismo, el sistema pedagógico en el que se basa el sistema finlandés, aboga por un aprendizaje que no se lleva únicamente a cabo en el interior de las aulas. “Los niños aprenden en el colegio, pero también a través de un montón de experiencias de la vida diaria. Por eso el docente trata, sobre todo, de que el niño aprenda a aprender”. El objetivo último es proporcionar a los niños las herramientas adecuadas para que sepa activar los recursos necesarios para seleccionar y relacionar datos y conceptos, y para que se desenvuelva intelectualmente por sí mismo. En este terreno se ubica también la última novedad pedagógica, el aprendizaje por </w:t>
      </w:r>
      <w:r w:rsidRPr="00CB7961">
        <w:rPr>
          <w:rFonts w:ascii="Times New Roman" w:eastAsia="Times New Roman" w:hAnsi="Times New Roman"/>
          <w:sz w:val="24"/>
          <w:szCs w:val="24"/>
          <w:lang w:eastAsia="es-ES"/>
        </w:rPr>
        <w:lastRenderedPageBreak/>
        <w:t xml:space="preserve">proyectos, que abarcan asuntos concretos y amplios en los que interactúan asignaturas muy distintas. </w:t>
      </w:r>
    </w:p>
    <w:p w:rsidR="00B72735" w:rsidRPr="00CB7961"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La educación básica, que es el campo en el que Finlandia destaca muy especialmente, se presta a través de los 450 municipios en que se divide el país, que están obligados a garantizar la enseñanza para todos los niños en edad escolar residentes en su territorio. Son los colegios los que fijan las acciones educativas concretas, y aunque las asociaciones de padres son escuchadas, señala Sippola, “tienen mucho menos peso que en España</w:t>
      </w:r>
      <w:r w:rsidRPr="00CB7961">
        <w:rPr>
          <w:rFonts w:ascii="Times New Roman" w:eastAsia="Times New Roman" w:hAnsi="Times New Roman"/>
          <w:bCs/>
          <w:sz w:val="24"/>
          <w:szCs w:val="24"/>
          <w:lang w:eastAsia="es-ES"/>
        </w:rPr>
        <w:t>. Los profesores son figuras muy respetadas, y por eso los padres no suelen discutir sus decisiones educativas</w:t>
      </w:r>
      <w:r w:rsidRPr="00CB7961">
        <w:rPr>
          <w:rFonts w:ascii="Times New Roman" w:eastAsia="Times New Roman" w:hAnsi="Times New Roman"/>
          <w:sz w:val="24"/>
          <w:szCs w:val="24"/>
          <w:lang w:eastAsia="es-ES"/>
        </w:rPr>
        <w:t xml:space="preserve">”. </w:t>
      </w:r>
    </w:p>
    <w:p w:rsidR="00B72735" w:rsidRPr="00CB7961"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El maestro de primero a sexto de básica ha de poseer una licenciatura que tenga la pedagogía como asignatura principal y que cuente con 300 créditos ECTS. El profesor de séptimo a noveno grado, el de Bachillerato, el de Formación Profesional y el profesor de educación han de ser licenciados que cuenten, </w:t>
      </w:r>
      <w:r w:rsidRPr="00CB7961">
        <w:rPr>
          <w:rFonts w:ascii="Times New Roman" w:eastAsia="Times New Roman" w:hAnsi="Times New Roman"/>
          <w:bCs/>
          <w:sz w:val="24"/>
          <w:szCs w:val="24"/>
          <w:lang w:eastAsia="es-ES"/>
        </w:rPr>
        <w:t>además de con una titulación, con 60 créditos conseguidos a través de estudios de pedagogía y prácticas tuteladas</w:t>
      </w:r>
      <w:r w:rsidRPr="00CB7961">
        <w:rPr>
          <w:rFonts w:ascii="Times New Roman" w:eastAsia="Times New Roman" w:hAnsi="Times New Roman"/>
          <w:sz w:val="24"/>
          <w:szCs w:val="24"/>
          <w:lang w:eastAsia="es-ES"/>
        </w:rPr>
        <w:t>.</w:t>
      </w:r>
    </w:p>
    <w:p w:rsidR="00B72735" w:rsidRPr="00CB7961"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En Formación Profesional, muy desarrollada en Finlandia (comprende 75 títulos básicos, que se obtienen en tres años y que permiten acceder a la universidad), los profesores se forman en cinco escuelas especiales adjuntas a escuelas superiores profesionales. En ellas </w:t>
      </w:r>
      <w:r w:rsidRPr="00CB7961">
        <w:rPr>
          <w:rFonts w:ascii="Times New Roman" w:eastAsia="Times New Roman" w:hAnsi="Times New Roman"/>
          <w:bCs/>
          <w:sz w:val="24"/>
          <w:szCs w:val="24"/>
          <w:lang w:eastAsia="es-ES"/>
        </w:rPr>
        <w:t>han de especializarse en estudios de pedagogía y realizar un periodo de práctica docente</w:t>
      </w:r>
      <w:r w:rsidRPr="00CB7961">
        <w:rPr>
          <w:rFonts w:ascii="Times New Roman" w:eastAsia="Times New Roman" w:hAnsi="Times New Roman"/>
          <w:sz w:val="24"/>
          <w:szCs w:val="24"/>
          <w:lang w:eastAsia="es-ES"/>
        </w:rPr>
        <w:t xml:space="preserve">. El objetivo de la formación es que los estudiantes puedan adquirir herramientas útiles para orientarse en un mercado laboral cambiante. </w:t>
      </w:r>
    </w:p>
    <w:p w:rsidR="00B72735" w:rsidRPr="00CB7961"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Una vez que el docente se ha incorporado a su puesto de trabajo ha de proseguir sus estudios por dos vías. La primera es la de la formación continua, cuyas exigencias variarán según los planes fijados por los municipios, que son los encargados de organizar los estudios de extensión. </w:t>
      </w:r>
      <w:r w:rsidRPr="00CB7961">
        <w:rPr>
          <w:rFonts w:ascii="Times New Roman" w:eastAsia="Times New Roman" w:hAnsi="Times New Roman"/>
          <w:bCs/>
          <w:sz w:val="24"/>
          <w:szCs w:val="24"/>
          <w:lang w:eastAsia="es-ES"/>
        </w:rPr>
        <w:t>Están obligados, en todo caso, a facilitar tres días retribuidos al año para la capacitación complementaria de los docentes.</w:t>
      </w:r>
      <w:r w:rsidRPr="00CB7961">
        <w:rPr>
          <w:rFonts w:ascii="Times New Roman" w:eastAsia="Times New Roman" w:hAnsi="Times New Roman"/>
          <w:sz w:val="24"/>
          <w:szCs w:val="24"/>
          <w:lang w:eastAsia="es-ES"/>
        </w:rPr>
        <w:t xml:space="preserve"> También el Estado promueve la formación adicional a través de estudios en los que participan anualmente 22.000 profesores (la quinta parte de los existentes en el país) y que tienen como objetivo, además de elevar la competencia profesional, promover la participación de los docentes en la implementación de las reformas educativas que se vayan produciendo.</w:t>
      </w:r>
    </w:p>
    <w:p w:rsidR="00B72735" w:rsidRDefault="00B72735" w:rsidP="00550638">
      <w:pPr>
        <w:spacing w:before="100" w:beforeAutospacing="1" w:after="100" w:afterAutospacing="1" w:line="240" w:lineRule="auto"/>
        <w:jc w:val="both"/>
        <w:rPr>
          <w:rFonts w:ascii="Times New Roman" w:eastAsia="Times New Roman" w:hAnsi="Times New Roman"/>
          <w:sz w:val="24"/>
          <w:szCs w:val="24"/>
          <w:lang w:eastAsia="es-ES"/>
        </w:rPr>
      </w:pPr>
      <w:r w:rsidRPr="00CB7961">
        <w:rPr>
          <w:rFonts w:ascii="Times New Roman" w:eastAsia="Times New Roman" w:hAnsi="Times New Roman"/>
          <w:sz w:val="24"/>
          <w:szCs w:val="24"/>
          <w:lang w:eastAsia="es-ES"/>
        </w:rPr>
        <w:t xml:space="preserve">El segundo camino es el de la investigación, ya que los docentes han de actualizar sus conocimientos pero también tienen que hacer avanzar sus áreas de competencia. Como señala Sippola, </w:t>
      </w:r>
      <w:r w:rsidRPr="00CB7961">
        <w:rPr>
          <w:rFonts w:ascii="Times New Roman" w:eastAsia="Times New Roman" w:hAnsi="Times New Roman"/>
          <w:bCs/>
          <w:sz w:val="24"/>
          <w:szCs w:val="24"/>
          <w:lang w:eastAsia="es-ES"/>
        </w:rPr>
        <w:t xml:space="preserve">los profesores deben ser buenos enseñando, pero también tienen que investigar </w:t>
      </w:r>
      <w:r w:rsidRPr="00CB7961">
        <w:rPr>
          <w:rFonts w:ascii="Times New Roman" w:eastAsia="Times New Roman" w:hAnsi="Times New Roman"/>
          <w:sz w:val="24"/>
          <w:szCs w:val="24"/>
          <w:lang w:eastAsia="es-ES"/>
        </w:rPr>
        <w:t>acerca de su práctica profesional, evaluándola y mejorándola. Este modelo, que lleva implantado desde los años 70, es el que ha llevado a Finlandia a convertirse en una referencia educativa a nivel mundial.</w:t>
      </w:r>
    </w:p>
    <w:p w:rsidR="00CB7961" w:rsidRPr="00441840" w:rsidRDefault="00CB7961"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441840">
        <w:rPr>
          <w:rFonts w:ascii="Times New Roman" w:eastAsia="Times New Roman" w:hAnsi="Times New Roman"/>
          <w:sz w:val="24"/>
          <w:szCs w:val="24"/>
          <w:u w:val="single"/>
          <w:lang w:eastAsia="es-ES"/>
        </w:rPr>
        <w:t>Adiós al libro</w:t>
      </w:r>
      <w:r w:rsidR="00441840">
        <w:rPr>
          <w:rFonts w:ascii="Times New Roman" w:eastAsia="Times New Roman" w:hAnsi="Times New Roman"/>
          <w:sz w:val="24"/>
          <w:szCs w:val="24"/>
          <w:u w:val="single"/>
          <w:lang w:eastAsia="es-ES"/>
        </w:rPr>
        <w:t>: la pérdida de oportunidades de los latinos en USA empieza en preescolar</w:t>
      </w:r>
    </w:p>
    <w:p w:rsidR="00B72735" w:rsidRPr="00441840" w:rsidRDefault="00441840" w:rsidP="00550638">
      <w:pPr>
        <w:spacing w:line="240" w:lineRule="auto"/>
        <w:jc w:val="both"/>
        <w:rPr>
          <w:rFonts w:ascii="Times New Roman" w:hAnsi="Times New Roman"/>
          <w:color w:val="FF0000"/>
          <w:sz w:val="24"/>
          <w:szCs w:val="24"/>
        </w:rPr>
      </w:pPr>
      <w:r>
        <w:rPr>
          <w:rFonts w:ascii="Times New Roman" w:hAnsi="Times New Roman"/>
          <w:i/>
          <w:sz w:val="24"/>
          <w:szCs w:val="24"/>
        </w:rPr>
        <w:t>“</w:t>
      </w:r>
      <w:r w:rsidR="00B72735" w:rsidRPr="00441840">
        <w:rPr>
          <w:rFonts w:ascii="Times New Roman" w:hAnsi="Times New Roman"/>
          <w:i/>
          <w:sz w:val="24"/>
          <w:szCs w:val="24"/>
        </w:rPr>
        <w:t>Cynthia dejó la escuela a mitad de la secundaria porque no podía leer en inglés y empezó a reprobar exámenes, uno tras otro. Ana Gabriela tiene diez años y también abandonó: su madre no pudo ocuparse de llevarla porque tenía que mantener sola a una familia de cinco. A Pedro, sus padres no saben si anotarlo cuando cumpla cuatro porque nadie les ha explicad</w:t>
      </w:r>
      <w:r w:rsidRPr="00441840">
        <w:rPr>
          <w:rFonts w:ascii="Times New Roman" w:hAnsi="Times New Roman"/>
          <w:i/>
          <w:sz w:val="24"/>
          <w:szCs w:val="24"/>
        </w:rPr>
        <w:t xml:space="preserve">o para qué sirve el preescolar. </w:t>
      </w:r>
      <w:r w:rsidR="00B72735" w:rsidRPr="00441840">
        <w:rPr>
          <w:rFonts w:ascii="Times New Roman" w:hAnsi="Times New Roman"/>
          <w:i/>
          <w:sz w:val="24"/>
          <w:szCs w:val="24"/>
        </w:rPr>
        <w:t xml:space="preserve">Los tres son parte del grupo demográfico de mayor crecimiento y el de peor desempeño en el sistema educativo de </w:t>
      </w:r>
      <w:r w:rsidR="00B72735" w:rsidRPr="00441840">
        <w:rPr>
          <w:rFonts w:ascii="Times New Roman" w:hAnsi="Times New Roman"/>
          <w:i/>
          <w:sz w:val="24"/>
          <w:szCs w:val="24"/>
        </w:rPr>
        <w:lastRenderedPageBreak/>
        <w:t>Estados Unidos: jóvenes latinos, protagonistas involuntarios de una crisis que cobra forma en las aulas pero promete trasladarse a la economía</w:t>
      </w:r>
      <w:r>
        <w:rPr>
          <w:rFonts w:ascii="Times New Roman" w:hAnsi="Times New Roman"/>
          <w:i/>
          <w:sz w:val="24"/>
          <w:szCs w:val="24"/>
        </w:rPr>
        <w:t>”..</w:t>
      </w:r>
      <w:r w:rsidR="00B72735" w:rsidRPr="00441840">
        <w:rPr>
          <w:rFonts w:ascii="Times New Roman" w:hAnsi="Times New Roman"/>
          <w:i/>
          <w:sz w:val="24"/>
          <w:szCs w:val="24"/>
        </w:rPr>
        <w:t>.</w:t>
      </w:r>
      <w:r>
        <w:rPr>
          <w:rFonts w:ascii="Times New Roman" w:hAnsi="Times New Roman"/>
          <w:i/>
          <w:sz w:val="24"/>
          <w:szCs w:val="24"/>
        </w:rPr>
        <w:t xml:space="preserve"> </w:t>
      </w:r>
      <w:r w:rsidRPr="00E15DA8">
        <w:rPr>
          <w:rFonts w:ascii="Times New Roman" w:hAnsi="Times New Roman"/>
          <w:sz w:val="24"/>
          <w:szCs w:val="24"/>
          <w:u w:val="single"/>
        </w:rPr>
        <w:t>La crisis e</w:t>
      </w:r>
      <w:r w:rsidR="003029DE">
        <w:rPr>
          <w:rFonts w:ascii="Times New Roman" w:hAnsi="Times New Roman"/>
          <w:sz w:val="24"/>
          <w:szCs w:val="24"/>
          <w:u w:val="single"/>
        </w:rPr>
        <w:t>ducativa para los latinos en EEUU</w:t>
      </w:r>
      <w:r w:rsidRPr="00E15DA8">
        <w:rPr>
          <w:rFonts w:ascii="Times New Roman" w:hAnsi="Times New Roman"/>
          <w:sz w:val="24"/>
          <w:szCs w:val="24"/>
          <w:u w:val="single"/>
        </w:rPr>
        <w:t xml:space="preserve"> empieza en preescolar</w:t>
      </w:r>
      <w:r>
        <w:rPr>
          <w:rFonts w:ascii="Times New Roman" w:hAnsi="Times New Roman"/>
          <w:sz w:val="24"/>
          <w:szCs w:val="24"/>
        </w:rPr>
        <w:t xml:space="preserve"> (BBCMundo - </w:t>
      </w:r>
      <w:r w:rsidRPr="00E15DA8">
        <w:rPr>
          <w:rFonts w:ascii="Times New Roman" w:hAnsi="Times New Roman"/>
          <w:b/>
          <w:sz w:val="24"/>
          <w:szCs w:val="24"/>
        </w:rPr>
        <w:t>19/9/11</w:t>
      </w:r>
      <w:r>
        <w:rPr>
          <w:rFonts w:ascii="Times New Roman" w:hAnsi="Times New Roman"/>
          <w:sz w:val="24"/>
          <w:szCs w:val="24"/>
        </w:rPr>
        <w:t>)</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Con una población que se expande más rápido que la de los blancos, los hispanos representan el 23% de los estadounidenses menor de 17 años y son más de 12 millones en las escuelas. Pero, según las estadísticas oficiales, tienen tres veces más posibilidades que sus pares blancos de quedarse a mitad de camino, sin conseguir su título de secundaria.</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Ningún estado representa mejor que Nuevo México esta brecha educacional: ubicado en la frontera, es el único en el país donde la población hispana es el mayor grupo étnico, y los alumnos latinos superan a los demás por casi el doble. Tiene, también, una tasa de deserción cercana al 50%.</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Allí viven Cynthia, Ana Gabriela y Pedro. En el poblado de Cerro Misión, cerca de la ciudad de Albuquerque, no hay casas de cemento y cimiento</w:t>
      </w:r>
      <w:r w:rsidR="00441840" w:rsidRPr="00441840">
        <w:rPr>
          <w:rFonts w:ascii="Times New Roman" w:hAnsi="Times New Roman"/>
          <w:sz w:val="24"/>
          <w:szCs w:val="24"/>
        </w:rPr>
        <w:t>s: sólo viviendas móviles, las “trailas”</w:t>
      </w:r>
      <w:r w:rsidRPr="00441840">
        <w:rPr>
          <w:rFonts w:ascii="Times New Roman" w:hAnsi="Times New Roman"/>
          <w:sz w:val="24"/>
          <w:szCs w:val="24"/>
        </w:rPr>
        <w:t>, como las llaman los habitantes hispanos de la zona, una de las más pobres de la región.</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Reyna García, llegada desde México hace 6 años, ocupa una de ellas con sus tres niñas.</w:t>
      </w:r>
    </w:p>
    <w:p w:rsidR="00B72735" w:rsidRPr="00441840" w:rsidRDefault="00441840" w:rsidP="00550638">
      <w:pPr>
        <w:spacing w:line="240" w:lineRule="auto"/>
        <w:jc w:val="both"/>
        <w:rPr>
          <w:rFonts w:ascii="Times New Roman" w:hAnsi="Times New Roman"/>
          <w:sz w:val="24"/>
          <w:szCs w:val="24"/>
        </w:rPr>
      </w:pPr>
      <w:r w:rsidRPr="00441840">
        <w:rPr>
          <w:rFonts w:ascii="Times New Roman" w:hAnsi="Times New Roman"/>
          <w:sz w:val="24"/>
          <w:szCs w:val="24"/>
        </w:rPr>
        <w:t>“</w:t>
      </w:r>
      <w:r w:rsidR="00B72735" w:rsidRPr="00441840">
        <w:rPr>
          <w:rFonts w:ascii="Times New Roman" w:hAnsi="Times New Roman"/>
          <w:sz w:val="24"/>
          <w:szCs w:val="24"/>
        </w:rPr>
        <w:t xml:space="preserve">Es difícil mandarlas a la escuela, a mí me toca todo sola… Trabajaba limpiando cuartos (de hotel) pero me descansaron desde diciembre hasta acá y es muy difícil encontrar trabajo. Cuando uno tiene hijos de aquí le dan mucha ayuda, pero a mí </w:t>
      </w:r>
      <w:r w:rsidRPr="00441840">
        <w:rPr>
          <w:rFonts w:ascii="Times New Roman" w:hAnsi="Times New Roman"/>
          <w:sz w:val="24"/>
          <w:szCs w:val="24"/>
        </w:rPr>
        <w:t>no”</w:t>
      </w:r>
      <w:r w:rsidR="00B72735" w:rsidRPr="00441840">
        <w:rPr>
          <w:rFonts w:ascii="Times New Roman" w:hAnsi="Times New Roman"/>
          <w:sz w:val="24"/>
          <w:szCs w:val="24"/>
        </w:rPr>
        <w:t xml:space="preserve">, dice la mujer a </w:t>
      </w:r>
      <w:r w:rsidR="00B72735" w:rsidRPr="0059055C">
        <w:rPr>
          <w:rFonts w:ascii="Times New Roman" w:hAnsi="Times New Roman"/>
          <w:i/>
          <w:sz w:val="24"/>
          <w:szCs w:val="24"/>
        </w:rPr>
        <w:t>BBC Mundo</w:t>
      </w:r>
      <w:r w:rsidR="00B72735" w:rsidRPr="00441840">
        <w:rPr>
          <w:rFonts w:ascii="Times New Roman" w:hAnsi="Times New Roman"/>
          <w:sz w:val="24"/>
          <w:szCs w:val="24"/>
        </w:rPr>
        <w:t>.</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Ella, como muchos otr</w:t>
      </w:r>
      <w:r w:rsidR="00441840" w:rsidRPr="00441840">
        <w:rPr>
          <w:rFonts w:ascii="Times New Roman" w:hAnsi="Times New Roman"/>
          <w:sz w:val="24"/>
          <w:szCs w:val="24"/>
        </w:rPr>
        <w:t>os, ha elegido quedarse porque “</w:t>
      </w:r>
      <w:r w:rsidRPr="00441840">
        <w:rPr>
          <w:rFonts w:ascii="Times New Roman" w:hAnsi="Times New Roman"/>
          <w:sz w:val="24"/>
          <w:szCs w:val="24"/>
        </w:rPr>
        <w:t>de todos mod</w:t>
      </w:r>
      <w:r w:rsidR="00441840" w:rsidRPr="00441840">
        <w:rPr>
          <w:rFonts w:ascii="Times New Roman" w:hAnsi="Times New Roman"/>
          <w:sz w:val="24"/>
          <w:szCs w:val="24"/>
        </w:rPr>
        <w:t>os es mejor aquí que en mi país”</w:t>
      </w:r>
      <w:r w:rsidRPr="00441840">
        <w:rPr>
          <w:rFonts w:ascii="Times New Roman" w:hAnsi="Times New Roman"/>
          <w:sz w:val="24"/>
          <w:szCs w:val="24"/>
        </w:rPr>
        <w:t>. Aunque quedarse implique soportar el calor seco del desierto, sin agua corriente y sin más protección que una cerca de alambre para mantener a ray</w:t>
      </w:r>
      <w:r w:rsidR="00441840" w:rsidRPr="00441840">
        <w:rPr>
          <w:rFonts w:ascii="Times New Roman" w:hAnsi="Times New Roman"/>
          <w:sz w:val="24"/>
          <w:szCs w:val="24"/>
        </w:rPr>
        <w:t>a a los pandilleros del barrio.</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Los expertos en educación señalan que la ecuación es tan simple como alarmante: basta sumar la pobreza en que vive una gran parte de las familias latinas -incluso hispanos de segunda y tercera generación- y la falta de integración a través del idioma y otras pautas culturales, para obtener como resultado las altas tasas de deserción escolar.</w:t>
      </w:r>
    </w:p>
    <w:p w:rsidR="00B72735" w:rsidRPr="00441840" w:rsidRDefault="00441840" w:rsidP="00550638">
      <w:pPr>
        <w:spacing w:line="240" w:lineRule="auto"/>
        <w:jc w:val="both"/>
        <w:rPr>
          <w:rFonts w:ascii="Times New Roman" w:hAnsi="Times New Roman"/>
          <w:sz w:val="24"/>
          <w:szCs w:val="24"/>
        </w:rPr>
      </w:pPr>
      <w:r w:rsidRPr="00441840">
        <w:rPr>
          <w:rFonts w:ascii="Times New Roman" w:hAnsi="Times New Roman"/>
          <w:sz w:val="24"/>
          <w:szCs w:val="24"/>
        </w:rPr>
        <w:t>“</w:t>
      </w:r>
      <w:r w:rsidR="00B72735" w:rsidRPr="00441840">
        <w:rPr>
          <w:rFonts w:ascii="Times New Roman" w:hAnsi="Times New Roman"/>
          <w:sz w:val="24"/>
          <w:szCs w:val="24"/>
        </w:rPr>
        <w:t>Los hispanos</w:t>
      </w:r>
      <w:r w:rsidR="00822CE7">
        <w:rPr>
          <w:rFonts w:ascii="Times New Roman" w:hAnsi="Times New Roman"/>
          <w:sz w:val="24"/>
          <w:szCs w:val="24"/>
        </w:rPr>
        <w:t xml:space="preserve"> tienen muchas dificultades en “navegar”</w:t>
      </w:r>
      <w:r w:rsidR="00B72735" w:rsidRPr="00441840">
        <w:rPr>
          <w:rFonts w:ascii="Times New Roman" w:hAnsi="Times New Roman"/>
          <w:sz w:val="24"/>
          <w:szCs w:val="24"/>
        </w:rPr>
        <w:t xml:space="preserve"> el sistema y lograr que sus chicos se inserten y saquen beneficios. Algunos tienen que desvivirse por llevar comida a la mesa cada día, ¿cómo van a estar pen</w:t>
      </w:r>
      <w:r w:rsidRPr="00441840">
        <w:rPr>
          <w:rFonts w:ascii="Times New Roman" w:hAnsi="Times New Roman"/>
          <w:sz w:val="24"/>
          <w:szCs w:val="24"/>
        </w:rPr>
        <w:t>dientes de cosas de la escuela?”</w:t>
      </w:r>
      <w:r w:rsidR="00B72735" w:rsidRPr="00441840">
        <w:rPr>
          <w:rFonts w:ascii="Times New Roman" w:hAnsi="Times New Roman"/>
          <w:sz w:val="24"/>
          <w:szCs w:val="24"/>
        </w:rPr>
        <w:t>, señala Mike Ogas, director de un instituto en Los Lunas, muy cerca del Cerro.</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Así, las estadísticas: más del 57% de los estudiantes de Nuevo México no alcanzó los niveles establecidos oficialmente para mostrar avances de a</w:t>
      </w:r>
      <w:r w:rsidR="00441840" w:rsidRPr="00441840">
        <w:rPr>
          <w:rFonts w:ascii="Times New Roman" w:hAnsi="Times New Roman"/>
          <w:sz w:val="24"/>
          <w:szCs w:val="24"/>
        </w:rPr>
        <w:t>prendizaje (medido mediante el “</w:t>
      </w:r>
      <w:r w:rsidRPr="00441840">
        <w:rPr>
          <w:rFonts w:ascii="Times New Roman" w:hAnsi="Times New Roman"/>
          <w:sz w:val="24"/>
          <w:szCs w:val="24"/>
        </w:rPr>
        <w:t>Adequate Year</w:t>
      </w:r>
      <w:r w:rsidR="00441840" w:rsidRPr="00441840">
        <w:rPr>
          <w:rFonts w:ascii="Times New Roman" w:hAnsi="Times New Roman"/>
          <w:sz w:val="24"/>
          <w:szCs w:val="24"/>
        </w:rPr>
        <w:t>ly Progress”</w:t>
      </w:r>
      <w:r w:rsidRPr="00441840">
        <w:rPr>
          <w:rFonts w:ascii="Times New Roman" w:hAnsi="Times New Roman"/>
          <w:sz w:val="24"/>
          <w:szCs w:val="24"/>
        </w:rPr>
        <w:t>, AYP) en los últimos años.</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La crisis en cifras</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 xml:space="preserve">Hay 50,5 millones de hispanos en Estados Unidos, según el censo nacional de 2010. </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 xml:space="preserve">Entre 2000 y 2010 la población latina creció 15,3 millones, la de mayor expansión entre todos los grupos étnicos de Estados Unidos. </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lastRenderedPageBreak/>
        <w:t xml:space="preserve">La población latina es mucho más joven que la blanca no hispana: hay 17,1 millones de hispanos menores de 17 años, lo que equivale a 23% de la población en ese rango de edad. </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 xml:space="preserve">Casi 22% de los inscritos en las escuelas públicas estadounidenses es latino: uno de cada cinco alumnos entre preescolar y 12 años. </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 xml:space="preserve">Sólo la mitad de los estudiantes latinos consigue su diploma en el tiempo estipulado; de aquellos que se gradúan en secundaria, sólo la mitad está preparado para estudios terciarios. </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 xml:space="preserve">Sólo 13% de los hispanos tiene título universitario y menos de 4% consigue títulos superiores. </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En general, los latinos tienen el menor nivel de éxito en la educación de</w:t>
      </w:r>
      <w:r w:rsidR="00441840" w:rsidRPr="00441840">
        <w:rPr>
          <w:rFonts w:ascii="Times New Roman" w:hAnsi="Times New Roman"/>
          <w:sz w:val="24"/>
          <w:szCs w:val="24"/>
        </w:rPr>
        <w:t xml:space="preserve"> todos los grupos étnicos de EE</w:t>
      </w:r>
      <w:r w:rsidRPr="00441840">
        <w:rPr>
          <w:rFonts w:ascii="Times New Roman" w:hAnsi="Times New Roman"/>
          <w:sz w:val="24"/>
          <w:szCs w:val="24"/>
        </w:rPr>
        <w:t xml:space="preserve">UU. </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 xml:space="preserve">Fuente: </w:t>
      </w:r>
      <w:r w:rsidR="00441840" w:rsidRPr="00441840">
        <w:rPr>
          <w:rFonts w:ascii="Times New Roman" w:hAnsi="Times New Roman"/>
          <w:sz w:val="24"/>
          <w:szCs w:val="24"/>
        </w:rPr>
        <w:t>Departamento de Educación de EEUU</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Catalina Trujillo, nacida en Nuevo México de padres mexicanos, lo logró para su hija Juanita. Pero sabe que es una de pocas.</w:t>
      </w:r>
    </w:p>
    <w:p w:rsidR="00B72735" w:rsidRPr="00441840" w:rsidRDefault="00441840" w:rsidP="00550638">
      <w:pPr>
        <w:spacing w:line="240" w:lineRule="auto"/>
        <w:jc w:val="both"/>
        <w:rPr>
          <w:rFonts w:ascii="Times New Roman" w:hAnsi="Times New Roman"/>
          <w:sz w:val="24"/>
          <w:szCs w:val="24"/>
        </w:rPr>
      </w:pPr>
      <w:r w:rsidRPr="00441840">
        <w:rPr>
          <w:rFonts w:ascii="Times New Roman" w:hAnsi="Times New Roman"/>
          <w:sz w:val="24"/>
          <w:szCs w:val="24"/>
        </w:rPr>
        <w:t>“</w:t>
      </w:r>
      <w:r w:rsidR="00B72735" w:rsidRPr="00441840">
        <w:rPr>
          <w:rFonts w:ascii="Times New Roman" w:hAnsi="Times New Roman"/>
          <w:sz w:val="24"/>
          <w:szCs w:val="24"/>
        </w:rPr>
        <w:t>Me llevó una lucha constante con maestros y directores. Querían ponerla en el aula de educación especial y nosotros sabíamos que ella no tenía que ir allí. Muchas veces estuvo por rendi</w:t>
      </w:r>
      <w:r w:rsidRPr="00441840">
        <w:rPr>
          <w:rFonts w:ascii="Times New Roman" w:hAnsi="Times New Roman"/>
          <w:sz w:val="24"/>
          <w:szCs w:val="24"/>
        </w:rPr>
        <w:t>rse, pero nosotros la empujamos”</w:t>
      </w:r>
      <w:r w:rsidR="00B72735" w:rsidRPr="00441840">
        <w:rPr>
          <w:rFonts w:ascii="Times New Roman" w:hAnsi="Times New Roman"/>
          <w:sz w:val="24"/>
          <w:szCs w:val="24"/>
        </w:rPr>
        <w:t>, dice.</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Jesús García no corrió igual suerte: expulsado de la escuela por presunta participación en una pandilla, a los 18 años no tiene empleo ni título ni miras de conseguirlo.</w:t>
      </w:r>
    </w:p>
    <w:p w:rsidR="00B72735" w:rsidRPr="00441840" w:rsidRDefault="00441840" w:rsidP="00550638">
      <w:pPr>
        <w:spacing w:line="240" w:lineRule="auto"/>
        <w:jc w:val="both"/>
        <w:rPr>
          <w:rFonts w:ascii="Times New Roman" w:hAnsi="Times New Roman"/>
          <w:sz w:val="24"/>
          <w:szCs w:val="24"/>
        </w:rPr>
      </w:pPr>
      <w:r w:rsidRPr="00441840">
        <w:rPr>
          <w:rFonts w:ascii="Times New Roman" w:hAnsi="Times New Roman"/>
          <w:sz w:val="24"/>
          <w:szCs w:val="24"/>
        </w:rPr>
        <w:t>“</w:t>
      </w:r>
      <w:r w:rsidR="00B72735" w:rsidRPr="00441840">
        <w:rPr>
          <w:rFonts w:ascii="Times New Roman" w:hAnsi="Times New Roman"/>
          <w:sz w:val="24"/>
          <w:szCs w:val="24"/>
        </w:rPr>
        <w:t xml:space="preserve">Es malo, yo quería terminar pero ahora no tengo muchas oportunidades. Igual tengo muchos amigos que dejaron (la escuela) por estar en pandillas y drogas. Cuando voy a buscar trabajo no </w:t>
      </w:r>
      <w:r w:rsidRPr="00441840">
        <w:rPr>
          <w:rFonts w:ascii="Times New Roman" w:hAnsi="Times New Roman"/>
          <w:sz w:val="24"/>
          <w:szCs w:val="24"/>
        </w:rPr>
        <w:t>me dan, ni en McDonald’s me dan”</w:t>
      </w:r>
      <w:r w:rsidR="00B72735" w:rsidRPr="00441840">
        <w:rPr>
          <w:rFonts w:ascii="Times New Roman" w:hAnsi="Times New Roman"/>
          <w:sz w:val="24"/>
          <w:szCs w:val="24"/>
        </w:rPr>
        <w:t>, asegura.</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Desde temprano</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Para paliar la crisis de escolarización, los expertos que trabajan con comunidades hispanas intentan crear conciencia sobre una receta que está al alcance de la mano: el preescolar.</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 xml:space="preserve">Según el Departamento de Educación estadounidense, las familias latinas son las menos proclives, entre todos los grupos étnicos, a anotar a sus hijos en programas de educación temprana. Así, a la edad de tres años los niños hispanos tienen un 50% más de </w:t>
      </w:r>
      <w:r w:rsidR="00441840" w:rsidRPr="00441840">
        <w:rPr>
          <w:rFonts w:ascii="Times New Roman" w:hAnsi="Times New Roman"/>
          <w:sz w:val="24"/>
          <w:szCs w:val="24"/>
        </w:rPr>
        <w:t>probabilidades de tener “</w:t>
      </w:r>
      <w:r w:rsidRPr="00441840">
        <w:rPr>
          <w:rFonts w:ascii="Times New Roman" w:hAnsi="Times New Roman"/>
          <w:sz w:val="24"/>
          <w:szCs w:val="24"/>
        </w:rPr>
        <w:t>habilidades de v</w:t>
      </w:r>
      <w:r w:rsidR="00441840" w:rsidRPr="00441840">
        <w:rPr>
          <w:rFonts w:ascii="Times New Roman" w:hAnsi="Times New Roman"/>
          <w:sz w:val="24"/>
          <w:szCs w:val="24"/>
        </w:rPr>
        <w:t>ocabulario expresivas limitadas”</w:t>
      </w:r>
      <w:r w:rsidRPr="00441840">
        <w:rPr>
          <w:rFonts w:ascii="Times New Roman" w:hAnsi="Times New Roman"/>
          <w:sz w:val="24"/>
          <w:szCs w:val="24"/>
        </w:rPr>
        <w:t>, en comparación con los no hispanos.</w:t>
      </w:r>
    </w:p>
    <w:p w:rsidR="00B72735" w:rsidRPr="00441840" w:rsidRDefault="00441840" w:rsidP="00550638">
      <w:pPr>
        <w:spacing w:line="240" w:lineRule="auto"/>
        <w:jc w:val="both"/>
        <w:rPr>
          <w:rFonts w:ascii="Times New Roman" w:hAnsi="Times New Roman"/>
          <w:sz w:val="24"/>
          <w:szCs w:val="24"/>
        </w:rPr>
      </w:pPr>
      <w:r w:rsidRPr="00441840">
        <w:rPr>
          <w:rFonts w:ascii="Times New Roman" w:hAnsi="Times New Roman"/>
          <w:sz w:val="24"/>
          <w:szCs w:val="24"/>
        </w:rPr>
        <w:t>“</w:t>
      </w:r>
      <w:r w:rsidR="00B72735" w:rsidRPr="00441840">
        <w:rPr>
          <w:rFonts w:ascii="Times New Roman" w:hAnsi="Times New Roman"/>
          <w:sz w:val="24"/>
          <w:szCs w:val="24"/>
        </w:rPr>
        <w:t xml:space="preserve">Muchos padres no quieren que a sus hijos se les enseñe español, creen que van a ser más exitosos si se les enseña en inglés. Por eso creemos en la intervención temprana: para cuidar la </w:t>
      </w:r>
      <w:r w:rsidRPr="00441840">
        <w:rPr>
          <w:rFonts w:ascii="Times New Roman" w:hAnsi="Times New Roman"/>
          <w:sz w:val="24"/>
          <w:szCs w:val="24"/>
        </w:rPr>
        <w:t>transición de una lengua a otra”</w:t>
      </w:r>
      <w:r w:rsidR="00B72735" w:rsidRPr="00441840">
        <w:rPr>
          <w:rFonts w:ascii="Times New Roman" w:hAnsi="Times New Roman"/>
          <w:sz w:val="24"/>
          <w:szCs w:val="24"/>
        </w:rPr>
        <w:t>, señala la educadora Teresa Ogas, quien trabaja en un programa de apoyo escolar donde el 75% de los beneficiarios son de origen latino.</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El gobierno de</w:t>
      </w:r>
      <w:r w:rsidR="00441840" w:rsidRPr="00441840">
        <w:rPr>
          <w:rFonts w:ascii="Times New Roman" w:hAnsi="Times New Roman"/>
          <w:sz w:val="24"/>
          <w:szCs w:val="24"/>
        </w:rPr>
        <w:t xml:space="preserve"> Barack Obama, en el documento “</w:t>
      </w:r>
      <w:r w:rsidRPr="00441840">
        <w:rPr>
          <w:rFonts w:ascii="Times New Roman" w:hAnsi="Times New Roman"/>
          <w:sz w:val="24"/>
          <w:szCs w:val="24"/>
        </w:rPr>
        <w:t>Mejorando la edu</w:t>
      </w:r>
      <w:r w:rsidR="00441840" w:rsidRPr="00441840">
        <w:rPr>
          <w:rFonts w:ascii="Times New Roman" w:hAnsi="Times New Roman"/>
          <w:sz w:val="24"/>
          <w:szCs w:val="24"/>
        </w:rPr>
        <w:t>cación para la comunidad latina”</w:t>
      </w:r>
      <w:r w:rsidRPr="00441840">
        <w:rPr>
          <w:rFonts w:ascii="Times New Roman" w:hAnsi="Times New Roman"/>
          <w:sz w:val="24"/>
          <w:szCs w:val="24"/>
        </w:rPr>
        <w:t xml:space="preserve"> de abril pasado, reconoció la crisis educativa y dio la voz de alerta: </w:t>
      </w:r>
      <w:r w:rsidRPr="00441840">
        <w:rPr>
          <w:rFonts w:ascii="Times New Roman" w:hAnsi="Times New Roman"/>
          <w:sz w:val="24"/>
          <w:szCs w:val="24"/>
        </w:rPr>
        <w:lastRenderedPageBreak/>
        <w:t>los estudiantes hispanos, dijeron, resultarán clave para alcanzar la meta autoimpuesta de convertirse en el país con el mayor porcentaje de graduados del mundo antes de 2020.</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Sin embargo, las administraciones estatales tienen bajo su órbita la implementación de políticas educativas y no todas coinciden en qué camino seguir.</w:t>
      </w:r>
    </w:p>
    <w:p w:rsidR="00B72735" w:rsidRPr="00441840"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En Nuevo México, el gobierno demócrata que terminó en 2010 había establecido un comité especial para asesorar sobre educación hispana, pero luego, tras la llegada al poder de la republicana Susana Martínez, la estrategia ha cambiado:</w:t>
      </w:r>
    </w:p>
    <w:p w:rsidR="00B72735" w:rsidRPr="00441840" w:rsidRDefault="00441840" w:rsidP="00550638">
      <w:pPr>
        <w:spacing w:line="240" w:lineRule="auto"/>
        <w:jc w:val="both"/>
        <w:rPr>
          <w:rFonts w:ascii="Times New Roman" w:hAnsi="Times New Roman"/>
          <w:sz w:val="24"/>
          <w:szCs w:val="24"/>
        </w:rPr>
      </w:pPr>
      <w:r w:rsidRPr="00441840">
        <w:rPr>
          <w:rFonts w:ascii="Times New Roman" w:hAnsi="Times New Roman"/>
          <w:sz w:val="24"/>
          <w:szCs w:val="24"/>
        </w:rPr>
        <w:t>“</w:t>
      </w:r>
      <w:r w:rsidR="00B72735" w:rsidRPr="00441840">
        <w:rPr>
          <w:rFonts w:ascii="Times New Roman" w:hAnsi="Times New Roman"/>
          <w:sz w:val="24"/>
          <w:szCs w:val="24"/>
        </w:rPr>
        <w:t>Mi intención es que nos concentremos en el 25% de la clase que muestra peor desempeño, independientemente del grupo racial al que pertenezca. No podemos focalizarnos en los niños hispanos a expensas d</w:t>
      </w:r>
      <w:r w:rsidRPr="00441840">
        <w:rPr>
          <w:rFonts w:ascii="Times New Roman" w:hAnsi="Times New Roman"/>
          <w:sz w:val="24"/>
          <w:szCs w:val="24"/>
        </w:rPr>
        <w:t>e los estadounidenses (blancos)”</w:t>
      </w:r>
      <w:r w:rsidR="00B72735" w:rsidRPr="00441840">
        <w:rPr>
          <w:rFonts w:ascii="Times New Roman" w:hAnsi="Times New Roman"/>
          <w:sz w:val="24"/>
          <w:szCs w:val="24"/>
        </w:rPr>
        <w:t xml:space="preserve">, afirmó la gobernadora a </w:t>
      </w:r>
      <w:r w:rsidR="00B72735" w:rsidRPr="0059055C">
        <w:rPr>
          <w:rFonts w:ascii="Times New Roman" w:hAnsi="Times New Roman"/>
          <w:i/>
          <w:sz w:val="24"/>
          <w:szCs w:val="24"/>
        </w:rPr>
        <w:t>BBC Mundo</w:t>
      </w:r>
      <w:r w:rsidR="00B72735" w:rsidRPr="00441840">
        <w:rPr>
          <w:rFonts w:ascii="Times New Roman" w:hAnsi="Times New Roman"/>
          <w:sz w:val="24"/>
          <w:szCs w:val="24"/>
        </w:rPr>
        <w:t>.</w:t>
      </w:r>
    </w:p>
    <w:p w:rsidR="00B72735" w:rsidRDefault="00B72735" w:rsidP="00550638">
      <w:pPr>
        <w:spacing w:line="240" w:lineRule="auto"/>
        <w:jc w:val="both"/>
        <w:rPr>
          <w:rFonts w:ascii="Times New Roman" w:hAnsi="Times New Roman"/>
          <w:sz w:val="24"/>
          <w:szCs w:val="24"/>
        </w:rPr>
      </w:pPr>
      <w:r w:rsidRPr="00441840">
        <w:rPr>
          <w:rFonts w:ascii="Times New Roman" w:hAnsi="Times New Roman"/>
          <w:sz w:val="24"/>
          <w:szCs w:val="24"/>
        </w:rPr>
        <w:t xml:space="preserve">Los resultados de las políticas de educación los verá esta generación de alumnos cuando le toque pasar a la vida económicamente activa. Lo que está en juego, alertan muchos, es el futuro económico de un país </w:t>
      </w:r>
      <w:r w:rsidR="00441840" w:rsidRPr="00441840">
        <w:rPr>
          <w:rFonts w:ascii="Times New Roman" w:hAnsi="Times New Roman"/>
          <w:sz w:val="24"/>
          <w:szCs w:val="24"/>
        </w:rPr>
        <w:t>entero, en el que los hispanos -</w:t>
      </w:r>
      <w:r w:rsidRPr="00441840">
        <w:rPr>
          <w:rFonts w:ascii="Times New Roman" w:hAnsi="Times New Roman"/>
          <w:sz w:val="24"/>
          <w:szCs w:val="24"/>
        </w:rPr>
        <w:t>graduados o no- tendrán cada vez más importancia.</w:t>
      </w:r>
    </w:p>
    <w:p w:rsidR="00B022EB" w:rsidRPr="00B022EB" w:rsidRDefault="00B022EB" w:rsidP="00550638">
      <w:pPr>
        <w:spacing w:line="240" w:lineRule="auto"/>
        <w:jc w:val="both"/>
        <w:rPr>
          <w:rFonts w:ascii="Times New Roman" w:hAnsi="Times New Roman"/>
          <w:sz w:val="24"/>
          <w:szCs w:val="24"/>
          <w:u w:val="single"/>
        </w:rPr>
      </w:pPr>
      <w:r w:rsidRPr="00B022EB">
        <w:rPr>
          <w:rFonts w:ascii="Times New Roman" w:hAnsi="Times New Roman"/>
          <w:sz w:val="24"/>
          <w:szCs w:val="24"/>
          <w:u w:val="single"/>
        </w:rPr>
        <w:t xml:space="preserve">La crisis “subprime” de los estudiantes norteamericanos </w:t>
      </w:r>
    </w:p>
    <w:p w:rsidR="00B022EB" w:rsidRPr="00B022EB" w:rsidRDefault="00B022EB" w:rsidP="00550638">
      <w:pPr>
        <w:pStyle w:val="NormalWeb"/>
        <w:jc w:val="both"/>
        <w:rPr>
          <w:i/>
        </w:rPr>
      </w:pPr>
      <w:r>
        <w:rPr>
          <w:i/>
        </w:rPr>
        <w:t>“</w:t>
      </w:r>
      <w:r w:rsidR="00B72735" w:rsidRPr="00B022EB">
        <w:rPr>
          <w:i/>
        </w:rPr>
        <w:t xml:space="preserve">Los profesionales americanos esperan un mayor número de impagos en casi todos los tipos de préstamos y en tarjetas de crédito, a la vez que observan una presión creciente sobre la economía nacional. Con una </w:t>
      </w:r>
      <w:r w:rsidR="00B72735" w:rsidRPr="00B022EB">
        <w:rPr>
          <w:rStyle w:val="Textoennegrita"/>
          <w:rFonts w:eastAsiaTheme="majorEastAsia"/>
          <w:b w:val="0"/>
          <w:i/>
        </w:rPr>
        <w:t>cifra superior a los 750.000 millones de dólares</w:t>
      </w:r>
      <w:r w:rsidR="00B72735" w:rsidRPr="00B022EB">
        <w:rPr>
          <w:b/>
          <w:i/>
        </w:rPr>
        <w:t>,</w:t>
      </w:r>
      <w:r w:rsidR="00B72735" w:rsidRPr="00B022EB">
        <w:rPr>
          <w:i/>
        </w:rPr>
        <w:t xml:space="preserve"> la deuda en créditos a estudiantes es ahora mismo, aún mayor que la deuda sobre tarjetas de crédito, según el informe trimestral sobre riesgos que realiza FICO en colaboración con la Asociación Internacional de Directores de Riesgo Profesionales (PRMIA)</w:t>
      </w:r>
      <w:r>
        <w:rPr>
          <w:i/>
        </w:rPr>
        <w:t>”..</w:t>
      </w:r>
      <w:r w:rsidR="00B72735" w:rsidRPr="00B022EB">
        <w:rPr>
          <w:i/>
        </w:rPr>
        <w:t xml:space="preserve">. </w:t>
      </w:r>
      <w:r w:rsidRPr="00AF38D4">
        <w:rPr>
          <w:u w:val="single"/>
        </w:rPr>
        <w:t>Los impagos de estudiantes lastran el futuro de la economía americana</w:t>
      </w:r>
      <w:r>
        <w:t xml:space="preserve"> (El Confidencial - </w:t>
      </w:r>
      <w:r w:rsidRPr="00AF38D4">
        <w:rPr>
          <w:b/>
        </w:rPr>
        <w:t>13/2/12</w:t>
      </w:r>
      <w:r>
        <w:t>)</w:t>
      </w:r>
    </w:p>
    <w:p w:rsidR="00B72735" w:rsidRPr="00B022EB" w:rsidRDefault="00B72735" w:rsidP="00550638">
      <w:pPr>
        <w:pStyle w:val="NormalWeb"/>
        <w:jc w:val="both"/>
      </w:pPr>
      <w:r w:rsidRPr="00B022EB">
        <w:t xml:space="preserve">Además, en el estudio de FICO, el 67% de los profesionales de riesgo considera que esa deuda crecerá en los próximos meses (un 19% más que en el último estudio trimestral). Sólo el 8% espera que la deuda se reduzca. “Estamos observando que es probable que </w:t>
      </w:r>
      <w:r w:rsidRPr="00B022EB">
        <w:rPr>
          <w:rStyle w:val="Textoennegrita"/>
          <w:rFonts w:eastAsiaTheme="majorEastAsia"/>
          <w:b w:val="0"/>
        </w:rPr>
        <w:t>la próxima mayor preocupación de los bancos y entidades de crédito sean los estudiantes</w:t>
      </w:r>
      <w:r w:rsidRPr="00B022EB">
        <w:rPr>
          <w:b/>
        </w:rPr>
        <w:t xml:space="preserve">”, </w:t>
      </w:r>
      <w:r w:rsidRPr="00B022EB">
        <w:t>afirma</w:t>
      </w:r>
      <w:r w:rsidRPr="00B022EB">
        <w:rPr>
          <w:b/>
        </w:rPr>
        <w:t xml:space="preserve"> </w:t>
      </w:r>
      <w:r w:rsidRPr="00B022EB">
        <w:rPr>
          <w:rStyle w:val="Textoennegrita"/>
          <w:rFonts w:eastAsiaTheme="majorEastAsia"/>
          <w:b w:val="0"/>
        </w:rPr>
        <w:t>Andrew Jennings</w:t>
      </w:r>
      <w:r w:rsidRPr="00B022EB">
        <w:rPr>
          <w:b/>
        </w:rPr>
        <w:t>,</w:t>
      </w:r>
      <w:r w:rsidRPr="00B022EB">
        <w:t xml:space="preserve"> director de analítica de FICO y responsable de FICO Labs. “Con un incremento tan importante en los impagos, los créditos a estudiantes pueden causar un tremendo impacto en los bancos”.</w:t>
      </w:r>
    </w:p>
    <w:p w:rsidR="00B72735" w:rsidRPr="00B022EB" w:rsidRDefault="00B72735" w:rsidP="00550638">
      <w:pPr>
        <w:pStyle w:val="NormalWeb"/>
        <w:jc w:val="both"/>
      </w:pPr>
      <w:r w:rsidRPr="00B022EB">
        <w:t>Los profesionales que han respondido a la encuesta consideran también que la crisis de deuda en la Eurozona está afectando a la economía estadounidense (38,8%) y que</w:t>
      </w:r>
      <w:r w:rsidRPr="00B022EB">
        <w:rPr>
          <w:rStyle w:val="Textoennegrita"/>
          <w:rFonts w:eastAsiaTheme="majorEastAsia"/>
        </w:rPr>
        <w:t xml:space="preserve"> </w:t>
      </w:r>
      <w:r w:rsidRPr="00715533">
        <w:rPr>
          <w:rStyle w:val="Textoennegrita"/>
          <w:rFonts w:eastAsiaTheme="majorEastAsia"/>
          <w:b w:val="0"/>
        </w:rPr>
        <w:t>las políticas económicas del gobierno de Obama no están ayudando a salir de la actual coyuntura económica</w:t>
      </w:r>
      <w:r w:rsidRPr="00B022EB">
        <w:t xml:space="preserve"> (38,4%). El 19% considera que la falta de gasto e inversión por parte de las empresas nacionales es la gran lastra de la situación actual.</w:t>
      </w:r>
    </w:p>
    <w:p w:rsidR="00B72735" w:rsidRPr="00B022EB" w:rsidRDefault="00B72735" w:rsidP="00550638">
      <w:pPr>
        <w:pStyle w:val="NormalWeb"/>
        <w:jc w:val="both"/>
      </w:pPr>
      <w:r w:rsidRPr="00B022EB">
        <w:t xml:space="preserve">En lo que se refiere a crédito interno, el 47% de los que respondieron al estudio cree que los impagos en hipotecas crecerán en los próximos meses. </w:t>
      </w:r>
      <w:r w:rsidRPr="00715533">
        <w:rPr>
          <w:rStyle w:val="Textoennegrita"/>
          <w:rFonts w:eastAsiaTheme="majorEastAsia"/>
          <w:b w:val="0"/>
        </w:rPr>
        <w:t>Sólo el 13% considera que decrecerán</w:t>
      </w:r>
      <w:r w:rsidRPr="00B022EB">
        <w:rPr>
          <w:rStyle w:val="Textoennegrita"/>
          <w:rFonts w:eastAsiaTheme="majorEastAsia"/>
        </w:rPr>
        <w:t>,</w:t>
      </w:r>
      <w:r w:rsidRPr="00B022EB">
        <w:t xml:space="preserve"> lo que muestra un ligero pesimismo frente al estudio realizado hace tres meses.</w:t>
      </w:r>
    </w:p>
    <w:p w:rsidR="00B72735" w:rsidRPr="00B022EB" w:rsidRDefault="00B72735" w:rsidP="00550638">
      <w:pPr>
        <w:pStyle w:val="NormalWeb"/>
        <w:jc w:val="both"/>
      </w:pPr>
      <w:r w:rsidRPr="00B022EB">
        <w:t xml:space="preserve">Para el 45%, los impagos en tarjetas de crédito aumentarán mientras que el 21% cree que se reducirá, lo que muestra, de nuevo, </w:t>
      </w:r>
      <w:r w:rsidRPr="00715533">
        <w:rPr>
          <w:rStyle w:val="Textoennegrita"/>
          <w:rFonts w:eastAsiaTheme="majorEastAsia"/>
          <w:b w:val="0"/>
        </w:rPr>
        <w:t xml:space="preserve">una confianza cada vez más deteriorada entre </w:t>
      </w:r>
      <w:r w:rsidRPr="00715533">
        <w:rPr>
          <w:rStyle w:val="Textoennegrita"/>
          <w:rFonts w:eastAsiaTheme="majorEastAsia"/>
          <w:b w:val="0"/>
        </w:rPr>
        <w:lastRenderedPageBreak/>
        <w:t>los responsables de los bancos.</w:t>
      </w:r>
      <w:r w:rsidRPr="00B022EB">
        <w:t xml:space="preserve"> Sin embargo, el 54% piensa que los saldos de las tarjetas aumentarán en los próximos meses, ya sea por incrementos en el consumo de algunos ciudadanos o por la necesidad de pagos de otros.</w:t>
      </w:r>
    </w:p>
    <w:p w:rsidR="00B022EB" w:rsidRPr="00715533" w:rsidRDefault="00715533" w:rsidP="00550638">
      <w:pPr>
        <w:pStyle w:val="NormalWeb"/>
        <w:jc w:val="both"/>
        <w:rPr>
          <w:u w:val="single"/>
        </w:rPr>
      </w:pPr>
      <w:r w:rsidRPr="00715533">
        <w:rPr>
          <w:u w:val="single"/>
        </w:rPr>
        <w:t>La “burbuja” de los créditos estudiantiles en EEUU</w:t>
      </w:r>
    </w:p>
    <w:p w:rsidR="007E23BE" w:rsidRPr="005C68D6" w:rsidRDefault="00715533" w:rsidP="00550638">
      <w:pPr>
        <w:spacing w:line="240" w:lineRule="auto"/>
        <w:jc w:val="both"/>
        <w:rPr>
          <w:rFonts w:ascii="Times New Roman" w:hAnsi="Times New Roman"/>
          <w:sz w:val="24"/>
          <w:szCs w:val="24"/>
        </w:rPr>
      </w:pPr>
      <w:r>
        <w:rPr>
          <w:rFonts w:ascii="Times New Roman" w:hAnsi="Times New Roman"/>
          <w:i/>
          <w:sz w:val="24"/>
          <w:szCs w:val="24"/>
        </w:rPr>
        <w:t>“</w:t>
      </w:r>
      <w:r w:rsidR="001005DB" w:rsidRPr="00715533">
        <w:rPr>
          <w:rFonts w:ascii="Times New Roman" w:hAnsi="Times New Roman"/>
          <w:i/>
          <w:sz w:val="24"/>
          <w:szCs w:val="24"/>
        </w:rPr>
        <w:t>Mientras recientes cifras económicas le permiten al presidente estadounidense Barack Obama defender la recuperación económica de su país, algunos expertos señalan que las condiciones para una nueva crisis se pueden estar gestando en un inesperado flanco: los créditos estudiantiles</w:t>
      </w:r>
      <w:r>
        <w:rPr>
          <w:rFonts w:ascii="Times New Roman" w:hAnsi="Times New Roman"/>
          <w:i/>
          <w:sz w:val="24"/>
          <w:szCs w:val="24"/>
        </w:rPr>
        <w:t>”..</w:t>
      </w:r>
      <w:r w:rsidR="001005DB" w:rsidRPr="00715533">
        <w:rPr>
          <w:rFonts w:ascii="Times New Roman" w:hAnsi="Times New Roman"/>
          <w:i/>
          <w:sz w:val="24"/>
          <w:szCs w:val="24"/>
        </w:rPr>
        <w:t>.</w:t>
      </w:r>
      <w:r w:rsidR="007E23BE">
        <w:rPr>
          <w:rFonts w:ascii="Times New Roman" w:hAnsi="Times New Roman"/>
          <w:i/>
          <w:sz w:val="24"/>
          <w:szCs w:val="24"/>
        </w:rPr>
        <w:t xml:space="preserve"> </w:t>
      </w:r>
      <w:r w:rsidR="007E23BE" w:rsidRPr="005C68D6">
        <w:rPr>
          <w:rFonts w:ascii="Times New Roman" w:hAnsi="Times New Roman"/>
          <w:sz w:val="24"/>
          <w:szCs w:val="24"/>
          <w:u w:val="single"/>
        </w:rPr>
        <w:t>L</w:t>
      </w:r>
      <w:r w:rsidR="007E23BE">
        <w:rPr>
          <w:rFonts w:ascii="Times New Roman" w:hAnsi="Times New Roman"/>
          <w:sz w:val="24"/>
          <w:szCs w:val="24"/>
          <w:u w:val="single"/>
        </w:rPr>
        <w:t>os créditos estudiantiles en EE</w:t>
      </w:r>
      <w:r w:rsidR="007E23BE" w:rsidRPr="005C68D6">
        <w:rPr>
          <w:rFonts w:ascii="Times New Roman" w:hAnsi="Times New Roman"/>
          <w:sz w:val="24"/>
          <w:szCs w:val="24"/>
          <w:u w:val="single"/>
        </w:rPr>
        <w:t>UU.: ¿la próxima burbuja?</w:t>
      </w:r>
      <w:r w:rsidR="007E23BE">
        <w:rPr>
          <w:rFonts w:ascii="Times New Roman" w:hAnsi="Times New Roman"/>
          <w:sz w:val="24"/>
          <w:szCs w:val="24"/>
        </w:rPr>
        <w:t xml:space="preserve"> (BBCMundo - </w:t>
      </w:r>
      <w:r w:rsidR="007E23BE" w:rsidRPr="005C68D6">
        <w:rPr>
          <w:rFonts w:ascii="Times New Roman" w:hAnsi="Times New Roman"/>
          <w:b/>
          <w:sz w:val="24"/>
          <w:szCs w:val="24"/>
        </w:rPr>
        <w:t>13/3/12</w:t>
      </w:r>
      <w:r w:rsidR="007E23BE">
        <w:rPr>
          <w:rFonts w:ascii="Times New Roman" w:hAnsi="Times New Roman"/>
          <w:sz w:val="24"/>
          <w:szCs w:val="24"/>
        </w:rPr>
        <w:t>)</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El problema es una mezcla de ingredientes potencialmente explosivos: costos de la educación que crecen más que los salarios, más necesidad de ayuda monetaria externa y tasas preocupantes de desempleo juvenil. Y a medida que las deudas incrementan y se dificulta el pago del dinero pendiente, también crece el riesgo tanto para el prestatario como para la economía en general.</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 xml:space="preserve">Para cubrir las matrículas educativas, los estadounidenses están recurriendo cada vez más al financiamiento externo, hasta el punto que hoy deben más dinero por cuenta de los préstamos para financiar programas educativos que por los gastos en sus tarjetas de crédito, según el Banco de la Reserva Federal de Nueva York y el </w:t>
      </w:r>
      <w:r w:rsidR="00715533" w:rsidRPr="00715533">
        <w:rPr>
          <w:rFonts w:ascii="Times New Roman" w:hAnsi="Times New Roman"/>
          <w:sz w:val="24"/>
          <w:szCs w:val="24"/>
        </w:rPr>
        <w:t>Departamento de Educación de EE</w:t>
      </w:r>
      <w:r w:rsidRPr="00715533">
        <w:rPr>
          <w:rFonts w:ascii="Times New Roman" w:hAnsi="Times New Roman"/>
          <w:sz w:val="24"/>
          <w:szCs w:val="24"/>
        </w:rPr>
        <w:t>UU.</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Y eso puede traer problemas, especialmente en una época en la que la tasa de desempleo para los jóvenes entre 25 y 34 años es mayor que el promedio para todos los adultos (8,7% versus 8,3% en febrero de 2012, según la Oficina de Estadísticas Laborales de Estados Unidos).</w:t>
      </w:r>
    </w:p>
    <w:p w:rsidR="001005DB"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w:t>
      </w:r>
      <w:r w:rsidR="001005DB" w:rsidRPr="00715533">
        <w:rPr>
          <w:rFonts w:ascii="Times New Roman" w:hAnsi="Times New Roman"/>
          <w:sz w:val="24"/>
          <w:szCs w:val="24"/>
        </w:rPr>
        <w:t>Gracias a que la deuda por préstamos estudiantiles es mayor que la deuda por tarjetas de crédito en Estados Unidos, y que los prestatarios afligidos tienen pocas posibilidades o ninguna, Estados Unidos enfrenta la posibilidad muy real de otra amenaza económica importante a la par de la devastadora crisis de las hipotecas</w:t>
      </w:r>
      <w:r w:rsidRPr="00715533">
        <w:rPr>
          <w:rFonts w:ascii="Times New Roman" w:hAnsi="Times New Roman"/>
          <w:sz w:val="24"/>
          <w:szCs w:val="24"/>
        </w:rPr>
        <w:t>”</w:t>
      </w:r>
      <w:r w:rsidR="001005DB" w:rsidRPr="00715533">
        <w:rPr>
          <w:rFonts w:ascii="Times New Roman" w:hAnsi="Times New Roman"/>
          <w:sz w:val="24"/>
          <w:szCs w:val="24"/>
        </w:rPr>
        <w:t>, señaló un informe de febrero producido por la Asociación Nacional de Abogados de Bancarrota Personal (Nacba, por sus siglas en inglés)</w:t>
      </w:r>
      <w:r w:rsidR="00CA33AD">
        <w:rPr>
          <w:rFonts w:ascii="Times New Roman" w:hAnsi="Times New Roman"/>
          <w:sz w:val="24"/>
          <w:szCs w:val="24"/>
        </w:rPr>
        <w:t>.</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Según estadísticas reveladas en 2011, el número de préstamos estudiantiles otorgados en 2010 superó la marca simbólica de los US$</w:t>
      </w:r>
      <w:r w:rsidR="00715533" w:rsidRPr="00715533">
        <w:rPr>
          <w:rFonts w:ascii="Times New Roman" w:hAnsi="Times New Roman"/>
          <w:sz w:val="24"/>
          <w:szCs w:val="24"/>
        </w:rPr>
        <w:t xml:space="preserve"> </w:t>
      </w:r>
      <w:r w:rsidRPr="00715533">
        <w:rPr>
          <w:rFonts w:ascii="Times New Roman" w:hAnsi="Times New Roman"/>
          <w:sz w:val="24"/>
          <w:szCs w:val="24"/>
        </w:rPr>
        <w:t>100.000 millones. Además, en ese momento se informó que el total de deudas pendientes pasaría la barrera de US$</w:t>
      </w:r>
      <w:r w:rsidR="00715533" w:rsidRPr="00715533">
        <w:rPr>
          <w:rFonts w:ascii="Times New Roman" w:hAnsi="Times New Roman"/>
          <w:sz w:val="24"/>
          <w:szCs w:val="24"/>
        </w:rPr>
        <w:t xml:space="preserve"> </w:t>
      </w:r>
      <w:r w:rsidRPr="00715533">
        <w:rPr>
          <w:rFonts w:ascii="Times New Roman" w:hAnsi="Times New Roman"/>
          <w:sz w:val="24"/>
          <w:szCs w:val="24"/>
        </w:rPr>
        <w:t>1 billón por primera vez.</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El aumento en el número de préstamos va de la mano con otra cifra que el departamento de Educación de Estados Unidos presentó en septiembre y que indica que la tasa de mora para quienes tienen un préstamo educativo pasó de 7% en el año fiscal de 2008 a 8,8% en 2009, la cifra más alta desde 1997.</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En otras palabras, de los 3,6 millones de personas que empezaron a pagar sus préstamos entre septiembre de 2008 y septiembre de 2009, unas 320.000 entraron en cesación de pagos el 30 de septiembre de 2010.</w:t>
      </w:r>
    </w:p>
    <w:p w:rsidR="001005DB"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lastRenderedPageBreak/>
        <w:t>En ese sentido, el informe de la Nacba mostró que el 81% de los abogados de bancarrota cree que los clientes potenciales con deudas por p</w:t>
      </w:r>
      <w:r w:rsidR="00715533" w:rsidRPr="00715533">
        <w:rPr>
          <w:rFonts w:ascii="Times New Roman" w:hAnsi="Times New Roman"/>
          <w:sz w:val="24"/>
          <w:szCs w:val="24"/>
        </w:rPr>
        <w:t>réstamos estudiantiles aumentaron  “</w:t>
      </w:r>
      <w:r w:rsidRPr="00715533">
        <w:rPr>
          <w:rFonts w:ascii="Times New Roman" w:hAnsi="Times New Roman"/>
          <w:sz w:val="24"/>
          <w:szCs w:val="24"/>
        </w:rPr>
        <w:t>significativamente</w:t>
      </w:r>
      <w:r w:rsidR="00715533" w:rsidRPr="00715533">
        <w:rPr>
          <w:rFonts w:ascii="Times New Roman" w:hAnsi="Times New Roman"/>
          <w:sz w:val="24"/>
          <w:szCs w:val="24"/>
        </w:rPr>
        <w:t>” o “algo”</w:t>
      </w:r>
      <w:r w:rsidRPr="00715533">
        <w:rPr>
          <w:rFonts w:ascii="Times New Roman" w:hAnsi="Times New Roman"/>
          <w:sz w:val="24"/>
          <w:szCs w:val="24"/>
        </w:rPr>
        <w:t xml:space="preserve"> en los últimos tres o cuatro años.</w:t>
      </w:r>
    </w:p>
    <w:p w:rsidR="00CA33AD"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Pero no todos están de acuerdo con que se esté hablando de una eventual crisis al estilo de la burbuja inmobiliaria.</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Mark Kantrowitz, autor de tres libros sobre ayuda financiera para estudiantes, explica que él no cree que estemos cerca de una burbuja de deuda estudiantil y califica la encue</w:t>
      </w:r>
      <w:r w:rsidR="00715533" w:rsidRPr="00715533">
        <w:rPr>
          <w:rFonts w:ascii="Times New Roman" w:hAnsi="Times New Roman"/>
          <w:sz w:val="24"/>
          <w:szCs w:val="24"/>
        </w:rPr>
        <w:t>sta de Nacba como una serie de “</w:t>
      </w:r>
      <w:r w:rsidRPr="00715533">
        <w:rPr>
          <w:rFonts w:ascii="Times New Roman" w:hAnsi="Times New Roman"/>
          <w:sz w:val="24"/>
          <w:szCs w:val="24"/>
        </w:rPr>
        <w:t>afirmacione</w:t>
      </w:r>
      <w:r w:rsidR="00715533" w:rsidRPr="00715533">
        <w:rPr>
          <w:rFonts w:ascii="Times New Roman" w:hAnsi="Times New Roman"/>
          <w:sz w:val="24"/>
          <w:szCs w:val="24"/>
        </w:rPr>
        <w:t>s aproximadas” e “impresiones”</w:t>
      </w:r>
      <w:r w:rsidRPr="00715533">
        <w:rPr>
          <w:rFonts w:ascii="Times New Roman" w:hAnsi="Times New Roman"/>
          <w:sz w:val="24"/>
          <w:szCs w:val="24"/>
        </w:rPr>
        <w:t>.</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 xml:space="preserve">En diálogo con </w:t>
      </w:r>
      <w:r w:rsidRPr="0059055C">
        <w:rPr>
          <w:rFonts w:ascii="Times New Roman" w:hAnsi="Times New Roman"/>
          <w:i/>
          <w:sz w:val="24"/>
          <w:szCs w:val="24"/>
        </w:rPr>
        <w:t>BBC Mundo</w:t>
      </w:r>
      <w:r w:rsidRPr="00715533">
        <w:rPr>
          <w:rFonts w:ascii="Times New Roman" w:hAnsi="Times New Roman"/>
          <w:sz w:val="24"/>
          <w:szCs w:val="24"/>
        </w:rPr>
        <w:t xml:space="preserve">, Kantrowitz dice que lo que sí cree que estamos viendo es </w:t>
      </w:r>
      <w:r w:rsidR="00715533" w:rsidRPr="00715533">
        <w:rPr>
          <w:rFonts w:ascii="Times New Roman" w:hAnsi="Times New Roman"/>
          <w:sz w:val="24"/>
          <w:szCs w:val="24"/>
        </w:rPr>
        <w:t>“</w:t>
      </w:r>
      <w:r w:rsidRPr="00715533">
        <w:rPr>
          <w:rFonts w:ascii="Times New Roman" w:hAnsi="Times New Roman"/>
          <w:sz w:val="24"/>
          <w:szCs w:val="24"/>
        </w:rPr>
        <w:t xml:space="preserve">un periodo de una caída severa </w:t>
      </w:r>
      <w:r w:rsidR="00715533" w:rsidRPr="00715533">
        <w:rPr>
          <w:rFonts w:ascii="Times New Roman" w:hAnsi="Times New Roman"/>
          <w:sz w:val="24"/>
          <w:szCs w:val="24"/>
        </w:rPr>
        <w:t>en la asequibilidad estudiantil”</w:t>
      </w:r>
      <w:r w:rsidRPr="00715533">
        <w:rPr>
          <w:rFonts w:ascii="Times New Roman" w:hAnsi="Times New Roman"/>
          <w:sz w:val="24"/>
          <w:szCs w:val="24"/>
        </w:rPr>
        <w:t>.</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Según el centro Pew, una cifra récord de estudiantes está saliendo de la universidad con una deuda significativa.</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Para argumentar su posición, el escritor explica que la gran mayoría de los préstamos estudiantiles están garantizados federalmente y que sólo un porcentaje pequeño de los estudiantes no puede pagar sus préstamos.</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La probabilidad de una crisis similar a la de las hipotecas se reduce si se tiene en cuenta, además, que el mercado de préstamos estudiantiles es diez veces más pequeño que el mercado de hipotecas residenciales.</w:t>
      </w:r>
    </w:p>
    <w:p w:rsidR="001005DB" w:rsidRPr="00715533" w:rsidRDefault="001005DB" w:rsidP="00550638">
      <w:pPr>
        <w:spacing w:line="240" w:lineRule="auto"/>
        <w:jc w:val="both"/>
        <w:rPr>
          <w:rFonts w:ascii="Times New Roman" w:hAnsi="Times New Roman"/>
          <w:sz w:val="24"/>
          <w:szCs w:val="24"/>
        </w:rPr>
      </w:pPr>
      <w:r w:rsidRPr="00715533">
        <w:rPr>
          <w:rFonts w:ascii="Times New Roman" w:hAnsi="Times New Roman"/>
          <w:sz w:val="24"/>
          <w:szCs w:val="24"/>
        </w:rPr>
        <w:t>Pero Kantrowitz no descarta del todo que el panorama actual pueda desencadenar a largo plazo una crisis de mayores proporciones.</w:t>
      </w:r>
    </w:p>
    <w:p w:rsidR="001005DB"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w:t>
      </w:r>
      <w:r w:rsidR="001005DB" w:rsidRPr="00715533">
        <w:rPr>
          <w:rFonts w:ascii="Times New Roman" w:hAnsi="Times New Roman"/>
          <w:sz w:val="24"/>
          <w:szCs w:val="24"/>
        </w:rPr>
        <w:t>Si continúan las tendencias actuales en la misma dirección en que se dirigen desde hace cuatro décadas, entonces probablemente entre 2020 y 2030 po</w:t>
      </w:r>
      <w:r w:rsidRPr="00715533">
        <w:rPr>
          <w:rFonts w:ascii="Times New Roman" w:hAnsi="Times New Roman"/>
          <w:sz w:val="24"/>
          <w:szCs w:val="24"/>
        </w:rPr>
        <w:t>dremos hablar más de una crisis”</w:t>
      </w:r>
      <w:r w:rsidR="001005DB" w:rsidRPr="00715533">
        <w:rPr>
          <w:rFonts w:ascii="Times New Roman" w:hAnsi="Times New Roman"/>
          <w:sz w:val="24"/>
          <w:szCs w:val="24"/>
        </w:rPr>
        <w:t>.</w:t>
      </w:r>
    </w:p>
    <w:p w:rsidR="001005DB"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w:t>
      </w:r>
      <w:r w:rsidR="001005DB" w:rsidRPr="00715533">
        <w:rPr>
          <w:rFonts w:ascii="Times New Roman" w:hAnsi="Times New Roman"/>
          <w:sz w:val="24"/>
          <w:szCs w:val="24"/>
        </w:rPr>
        <w:t>Ahora no hay una burbuja universal de los préstamos estudiantiles. Puede haber microburbujas en instituciones particulares o áreas de estudio. Pero todavía</w:t>
      </w:r>
      <w:r w:rsidRPr="00715533">
        <w:rPr>
          <w:rFonts w:ascii="Times New Roman" w:hAnsi="Times New Roman"/>
          <w:sz w:val="24"/>
          <w:szCs w:val="24"/>
        </w:rPr>
        <w:t xml:space="preserve"> no es una situación penetrante”</w:t>
      </w:r>
      <w:r w:rsidR="001005DB" w:rsidRPr="00715533">
        <w:rPr>
          <w:rFonts w:ascii="Times New Roman" w:hAnsi="Times New Roman"/>
          <w:sz w:val="24"/>
          <w:szCs w:val="24"/>
        </w:rPr>
        <w:t>, dice.</w:t>
      </w:r>
    </w:p>
    <w:p w:rsidR="001005DB"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w:t>
      </w:r>
      <w:r w:rsidR="001005DB" w:rsidRPr="00715533">
        <w:rPr>
          <w:rFonts w:ascii="Times New Roman" w:hAnsi="Times New Roman"/>
          <w:sz w:val="24"/>
          <w:szCs w:val="24"/>
        </w:rPr>
        <w:t>Tendrán que pasar décadas antes de que se vuelva penetrante, pero siempre y cuando se reduzca el crecimiento anémico actual de las becas y continúen aumentando los co</w:t>
      </w:r>
      <w:r w:rsidRPr="00715533">
        <w:rPr>
          <w:rFonts w:ascii="Times New Roman" w:hAnsi="Times New Roman"/>
          <w:sz w:val="24"/>
          <w:szCs w:val="24"/>
        </w:rPr>
        <w:t>stos”</w:t>
      </w:r>
      <w:r w:rsidR="001005DB" w:rsidRPr="00715533">
        <w:rPr>
          <w:rFonts w:ascii="Times New Roman" w:hAnsi="Times New Roman"/>
          <w:sz w:val="24"/>
          <w:szCs w:val="24"/>
        </w:rPr>
        <w:t>, concluye.</w:t>
      </w:r>
    </w:p>
    <w:p w:rsidR="00715533"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¿Una buena inversión?</w:t>
      </w:r>
    </w:p>
    <w:p w:rsidR="00715533"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En mayo del año pasado, el centro de investigación Pew realizó una encuesta entre 2.142 adultos para encontrar tendencias que ayuden a responder esa pregunta. Estos fueron algunos de los hallazgos:</w:t>
      </w:r>
    </w:p>
    <w:p w:rsidR="00715533"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•El 57% de los encuestados cree que el sistema de educación superior en Estados Unidos no representa una buena relación calidad-precio.</w:t>
      </w:r>
    </w:p>
    <w:p w:rsidR="00715533"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•El 75% dice que la universidad es demasiado costosa para la mayoría de estadounidenses.</w:t>
      </w:r>
    </w:p>
    <w:p w:rsidR="00715533"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•Pero, al mismo tiempo, el 86% de los graduados de universidad dicen que haber estudiado fue una buena inversión personal.</w:t>
      </w:r>
    </w:p>
    <w:p w:rsidR="00715533"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lastRenderedPageBreak/>
        <w:t>•Un porcentaje récord de estudiantes está saliendo de la universidad con una deuda significativa. Entre los que tienen una deuda, el 48% dijo que pagarla generó problemas para saldar otras cuentas.</w:t>
      </w:r>
    </w:p>
    <w:p w:rsidR="00715533" w:rsidRP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•Los adultos que concluyeron un curso universitario de cuatro años consideran que, en promedio, están ganando US$ 20.000 más al año gracias a ese diploma.</w:t>
      </w:r>
    </w:p>
    <w:p w:rsidR="00715533" w:rsidRDefault="00715533" w:rsidP="00550638">
      <w:pPr>
        <w:spacing w:line="240" w:lineRule="auto"/>
        <w:jc w:val="both"/>
        <w:rPr>
          <w:rFonts w:ascii="Times New Roman" w:hAnsi="Times New Roman"/>
          <w:sz w:val="24"/>
          <w:szCs w:val="24"/>
        </w:rPr>
      </w:pPr>
      <w:r w:rsidRPr="00715533">
        <w:rPr>
          <w:rFonts w:ascii="Times New Roman" w:hAnsi="Times New Roman"/>
          <w:sz w:val="24"/>
          <w:szCs w:val="24"/>
        </w:rPr>
        <w:t>Fuente: Tendencias sociales y demográficas del Centro de investigación Pew.</w:t>
      </w:r>
    </w:p>
    <w:p w:rsidR="00511546" w:rsidRPr="00511546" w:rsidRDefault="00511546" w:rsidP="00550638">
      <w:pPr>
        <w:spacing w:line="240" w:lineRule="auto"/>
        <w:jc w:val="both"/>
        <w:rPr>
          <w:rFonts w:ascii="Times New Roman" w:hAnsi="Times New Roman"/>
          <w:sz w:val="24"/>
          <w:szCs w:val="24"/>
          <w:u w:val="single"/>
        </w:rPr>
      </w:pPr>
      <w:r w:rsidRPr="00511546">
        <w:rPr>
          <w:rFonts w:ascii="Times New Roman" w:hAnsi="Times New Roman"/>
          <w:sz w:val="24"/>
          <w:szCs w:val="24"/>
          <w:u w:val="single"/>
        </w:rPr>
        <w:t>Buscando el trampolín a cualquier precio</w:t>
      </w:r>
    </w:p>
    <w:p w:rsidR="00511546" w:rsidRPr="00CA33AD" w:rsidRDefault="00AF6D21" w:rsidP="00550638">
      <w:pPr>
        <w:spacing w:line="240" w:lineRule="auto"/>
        <w:jc w:val="both"/>
        <w:rPr>
          <w:rFonts w:ascii="Times New Roman" w:hAnsi="Times New Roman"/>
          <w:sz w:val="24"/>
          <w:szCs w:val="24"/>
        </w:rPr>
      </w:pPr>
      <w:r>
        <w:rPr>
          <w:rFonts w:ascii="Times New Roman" w:hAnsi="Times New Roman" w:cs="Times New Roman"/>
          <w:i/>
          <w:sz w:val="24"/>
          <w:szCs w:val="24"/>
        </w:rPr>
        <w:t>“</w:t>
      </w:r>
      <w:r w:rsidR="00511546" w:rsidRPr="00511546">
        <w:rPr>
          <w:rFonts w:ascii="Times New Roman" w:hAnsi="Times New Roman" w:cs="Times New Roman"/>
          <w:i/>
          <w:sz w:val="24"/>
          <w:szCs w:val="24"/>
        </w:rPr>
        <w:t xml:space="preserve">“Parece que esto también es demasiado grande para caer”. Lo advierte la </w:t>
      </w:r>
      <w:hyperlink r:id="rId111" w:history="1">
        <w:r w:rsidR="00511546" w:rsidRPr="00511546">
          <w:rPr>
            <w:rStyle w:val="Hipervnculo"/>
            <w:rFonts w:ascii="Times New Roman" w:eastAsiaTheme="majorEastAsia" w:hAnsi="Times New Roman" w:cs="Times New Roman"/>
            <w:i/>
            <w:color w:val="auto"/>
            <w:sz w:val="24"/>
            <w:szCs w:val="24"/>
            <w:u w:val="none"/>
          </w:rPr>
          <w:t>Agencia Federal de Protección de los Consumidores</w:t>
        </w:r>
      </w:hyperlink>
      <w:r w:rsidR="00511546" w:rsidRPr="00511546">
        <w:rPr>
          <w:rFonts w:ascii="Times New Roman" w:hAnsi="Times New Roman" w:cs="Times New Roman"/>
          <w:i/>
          <w:sz w:val="24"/>
          <w:szCs w:val="24"/>
        </w:rPr>
        <w:t xml:space="preserve"> en Estados Unidos, y no se refiere a las hipotecas ni a ninguna institución financiera, sino a </w:t>
      </w:r>
      <w:r>
        <w:rPr>
          <w:rFonts w:ascii="Times New Roman" w:hAnsi="Times New Roman" w:cs="Times New Roman"/>
          <w:i/>
          <w:sz w:val="24"/>
          <w:szCs w:val="24"/>
        </w:rPr>
        <w:t>un nuevo integrante del club:</w:t>
      </w:r>
      <w:r w:rsidR="00511546" w:rsidRPr="00511546">
        <w:rPr>
          <w:rFonts w:ascii="Times New Roman" w:hAnsi="Times New Roman" w:cs="Times New Roman"/>
          <w:i/>
          <w:sz w:val="24"/>
          <w:szCs w:val="24"/>
        </w:rPr>
        <w:t xml:space="preserve"> </w:t>
      </w:r>
      <w:r>
        <w:rPr>
          <w:rFonts w:ascii="Times New Roman" w:hAnsi="Times New Roman" w:cs="Times New Roman"/>
          <w:i/>
          <w:sz w:val="24"/>
          <w:szCs w:val="24"/>
        </w:rPr>
        <w:t>“d</w:t>
      </w:r>
      <w:r w:rsidR="00511546" w:rsidRPr="00511546">
        <w:rPr>
          <w:rFonts w:ascii="Times New Roman" w:hAnsi="Times New Roman" w:cs="Times New Roman"/>
          <w:i/>
          <w:sz w:val="24"/>
          <w:szCs w:val="24"/>
        </w:rPr>
        <w:t xml:space="preserve">el </w:t>
      </w:r>
      <w:r w:rsidR="00511546" w:rsidRPr="00511546">
        <w:rPr>
          <w:rFonts w:ascii="Times New Roman" w:hAnsi="Times New Roman" w:cs="Times New Roman"/>
          <w:bCs/>
          <w:i/>
          <w:sz w:val="24"/>
          <w:szCs w:val="24"/>
        </w:rPr>
        <w:t>mercado de préstamos a los estudiantes</w:t>
      </w:r>
      <w:r w:rsidR="00511546" w:rsidRPr="00511546">
        <w:rPr>
          <w:rFonts w:ascii="Times New Roman" w:hAnsi="Times New Roman" w:cs="Times New Roman"/>
          <w:i/>
          <w:sz w:val="24"/>
          <w:szCs w:val="24"/>
        </w:rPr>
        <w:t xml:space="preserve"> para que puedan pagar una carrera universitaria”</w:t>
      </w:r>
      <w:r>
        <w:rPr>
          <w:rFonts w:ascii="Times New Roman" w:hAnsi="Times New Roman" w:cs="Times New Roman"/>
          <w:i/>
          <w:sz w:val="24"/>
          <w:szCs w:val="24"/>
        </w:rPr>
        <w:t>”</w:t>
      </w:r>
      <w:r w:rsidR="00511546" w:rsidRPr="00511546">
        <w:rPr>
          <w:rFonts w:ascii="Times New Roman" w:hAnsi="Times New Roman" w:cs="Times New Roman"/>
          <w:i/>
          <w:sz w:val="24"/>
          <w:szCs w:val="24"/>
        </w:rPr>
        <w:t>...</w:t>
      </w:r>
      <w:r w:rsidR="00511546">
        <w:rPr>
          <w:i/>
        </w:rPr>
        <w:t xml:space="preserve"> </w:t>
      </w:r>
      <w:r w:rsidR="00511546">
        <w:rPr>
          <w:rFonts w:ascii="Times New Roman" w:hAnsi="Times New Roman"/>
          <w:sz w:val="24"/>
          <w:szCs w:val="24"/>
        </w:rPr>
        <w:t xml:space="preserve"> </w:t>
      </w:r>
      <w:r w:rsidR="00511546" w:rsidRPr="00F40666">
        <w:rPr>
          <w:rFonts w:ascii="Times New Roman" w:hAnsi="Times New Roman"/>
          <w:sz w:val="24"/>
          <w:szCs w:val="24"/>
          <w:u w:val="single"/>
        </w:rPr>
        <w:t>La nueva burbuja del crédito en Estados Unidos está en las aulas de las universidades</w:t>
      </w:r>
      <w:r w:rsidR="00511546">
        <w:rPr>
          <w:rFonts w:ascii="Times New Roman" w:hAnsi="Times New Roman"/>
          <w:sz w:val="24"/>
          <w:szCs w:val="24"/>
        </w:rPr>
        <w:t xml:space="preserve"> (El Confidencial - </w:t>
      </w:r>
      <w:r w:rsidR="00511546" w:rsidRPr="00F40666">
        <w:rPr>
          <w:rFonts w:ascii="Times New Roman" w:hAnsi="Times New Roman"/>
          <w:b/>
          <w:sz w:val="24"/>
          <w:szCs w:val="24"/>
        </w:rPr>
        <w:t>1/4/12</w:t>
      </w:r>
      <w:r w:rsidR="00511546">
        <w:rPr>
          <w:rFonts w:ascii="Times New Roman" w:hAnsi="Times New Roman"/>
          <w:sz w:val="24"/>
          <w:szCs w:val="24"/>
        </w:rPr>
        <w:t>)</w:t>
      </w:r>
    </w:p>
    <w:p w:rsidR="00511546" w:rsidRPr="00511546" w:rsidRDefault="00511546" w:rsidP="00550638">
      <w:pPr>
        <w:pStyle w:val="NormalWeb"/>
        <w:jc w:val="both"/>
      </w:pPr>
      <w:r w:rsidRPr="00511546">
        <w:t xml:space="preserve">Los últimos cálculos destinados a hacerse una idea del tamaño de la deuda privada de los alumnos universitarios han desvelado que hace unos meses alcanzó la escalofriante cifra de </w:t>
      </w:r>
      <w:r w:rsidRPr="00511546">
        <w:rPr>
          <w:bCs/>
        </w:rPr>
        <w:t xml:space="preserve">un billón de dólares </w:t>
      </w:r>
      <w:r w:rsidRPr="00511546">
        <w:t>(es decir, un millón de millones, que en términos americanos sería un trillón). Una cantidad que se ha doblado en los últimos cinco años y que</w:t>
      </w:r>
      <w:r w:rsidRPr="00511546">
        <w:rPr>
          <w:bCs/>
        </w:rPr>
        <w:t xml:space="preserve"> ha superado ya al total de las deudas por tarjetas de crédito en el país.</w:t>
      </w:r>
    </w:p>
    <w:p w:rsidR="00511546" w:rsidRPr="00511546" w:rsidRDefault="00511546" w:rsidP="00550638">
      <w:pPr>
        <w:pStyle w:val="NormalWeb"/>
        <w:jc w:val="both"/>
      </w:pPr>
      <w:r w:rsidRPr="00511546">
        <w:t xml:space="preserve">Lo más preocupante es que, a diferencia de lo ocurrido desde el inicio de la crisis con otros productos de crédito, la deuda de los estudiantes sigue aumentando de forma regular. Y no solo por los jóvenes que acceden a la universidad: </w:t>
      </w:r>
      <w:r w:rsidRPr="00511546">
        <w:rPr>
          <w:bCs/>
        </w:rPr>
        <w:t>cada vez son más los que terminaron los estudios hace tiempos pero son incapaces de pagar los crecientes intereses</w:t>
      </w:r>
      <w:r w:rsidRPr="00511546">
        <w:t>.</w:t>
      </w:r>
    </w:p>
    <w:p w:rsidR="00511546" w:rsidRPr="00511546" w:rsidRDefault="00511546" w:rsidP="00550638">
      <w:pPr>
        <w:pStyle w:val="NormalWeb"/>
        <w:jc w:val="both"/>
      </w:pPr>
      <w:r w:rsidRPr="00511546">
        <w:t>En los últimos meses se han multiplicado las voces que alertan del excesivo riesgo que está asumiendo toda una generación de jóvenes, muchos de los cuales ya se encuentran agobiados por la situación económica general. Mientras se reducen las inversiones públicas en educación y las familias reducen los gastos al mínimo, los estudiantes se ven abocados a soportar un castigo en forma de facturas por haber hecho lo que les dijeron que sería la llave a una vida mejor.</w:t>
      </w:r>
    </w:p>
    <w:p w:rsidR="00511546" w:rsidRPr="00511546" w:rsidRDefault="00511546" w:rsidP="00550638">
      <w:pPr>
        <w:pStyle w:val="NormalWeb"/>
        <w:jc w:val="both"/>
      </w:pPr>
      <w:r w:rsidRPr="00511546">
        <w:t xml:space="preserve">Pero no son los universitarios los únicos que deben preocuparse. </w:t>
      </w:r>
      <w:r w:rsidRPr="00511546">
        <w:rPr>
          <w:bCs/>
        </w:rPr>
        <w:t>La agencia federal alerta de que un exceso de deuda puede ralentizar la recuperación</w:t>
      </w:r>
      <w:r w:rsidRPr="00511546">
        <w:t xml:space="preserve"> de, entre otros, el mercado inmobiliario. Y es que si los jóvenes dedican gran parte de sus ingresos mensuales a devolver sus préstamos, retrasan notablemente la adquisición de su primera casa o de su primer coche, además de otros eventos vitales como casarse o tener hijos. </w:t>
      </w:r>
    </w:p>
    <w:p w:rsidR="00511546" w:rsidRPr="00511546" w:rsidRDefault="00511546" w:rsidP="00550638">
      <w:pPr>
        <w:pStyle w:val="NormalWeb"/>
        <w:jc w:val="both"/>
      </w:pPr>
      <w:r w:rsidRPr="00511546">
        <w:t xml:space="preserve">En Estados Unidos existen dos tipos de préstamos a los que acudir para financiarse los estudios: los federales y los privados. Los primeros ofrecen una serie de </w:t>
      </w:r>
      <w:r w:rsidRPr="00511546">
        <w:rPr>
          <w:bCs/>
        </w:rPr>
        <w:t>facilidades</w:t>
      </w:r>
      <w:r w:rsidRPr="00511546">
        <w:t xml:space="preserve"> de las que los segundos carecen, como que la cantidad a devolver cada mes vaya en función de los ingresos o diversas opciones de aplazamiento de los pagos.</w:t>
      </w:r>
    </w:p>
    <w:p w:rsidR="00511546" w:rsidRPr="00511546" w:rsidRDefault="00511546" w:rsidP="00550638">
      <w:pPr>
        <w:pStyle w:val="NormalWeb"/>
        <w:jc w:val="both"/>
      </w:pPr>
      <w:r w:rsidRPr="00511546">
        <w:t xml:space="preserve">No obstante, </w:t>
      </w:r>
      <w:r w:rsidRPr="00511546">
        <w:rPr>
          <w:bCs/>
        </w:rPr>
        <w:t>las universidades a menudo presionan a los estudiantes para que adquieran préstamos privados de alto coste</w:t>
      </w:r>
      <w:r w:rsidRPr="00511546">
        <w:t xml:space="preserve">, incluso cuando reúnen las condiciones para optar a los préstamos federales. Las sospechas de pactos entre las entidades de crédito y los centros </w:t>
      </w:r>
      <w:r w:rsidRPr="00511546">
        <w:lastRenderedPageBreak/>
        <w:t xml:space="preserve">educativos provocaron que en el año 2007, el entonces Fiscal General de Nueva York y actual Gobernador del estado, </w:t>
      </w:r>
      <w:r w:rsidRPr="00511546">
        <w:rPr>
          <w:bCs/>
        </w:rPr>
        <w:t>Andrew Cuomo</w:t>
      </w:r>
      <w:r w:rsidRPr="00511546">
        <w:t xml:space="preserve">, iniciara una investigación, en el transcurso de la cual declaró: “Hay entidades que no pueden entrar al mercado de préstamos. Puedes tener un mejor producto pero no puedes llegar a los estudiantes, porque ese acceso está controlado por las universidades. </w:t>
      </w:r>
      <w:r w:rsidRPr="00511546">
        <w:rPr>
          <w:bCs/>
        </w:rPr>
        <w:t>La corrupción está muy extendida</w:t>
      </w:r>
      <w:r w:rsidRPr="00511546">
        <w:t xml:space="preserve">, el 90% de las universidades tienen un prestamista preferente”. La investigación acabó obligando a muchos centros educativos a cambiar su política de préstamos y algunos incluso debieron devolver dinero a los estudiantes por haber inflado los precios. </w:t>
      </w:r>
    </w:p>
    <w:p w:rsidR="00511546" w:rsidRPr="00511546" w:rsidRDefault="00511546" w:rsidP="00550638">
      <w:pPr>
        <w:pStyle w:val="NormalWeb"/>
        <w:jc w:val="both"/>
      </w:pPr>
      <w:r w:rsidRPr="00511546">
        <w:t xml:space="preserve">Este tipo de prácticas que atentaban contra la libre competencia parecen haberse reducido, pero, la cultura del endeudamiento a largo plazo sigue gozando de la mejor salud entre los estudiantes norteamericanos, </w:t>
      </w:r>
      <w:r w:rsidRPr="00511546">
        <w:rPr>
          <w:bCs/>
        </w:rPr>
        <w:t>inflando la burbuja del crédito</w:t>
      </w:r>
      <w:r w:rsidRPr="00511546">
        <w:t xml:space="preserve"> hasta extremos que van más allá de lo recomendable.</w:t>
      </w:r>
    </w:p>
    <w:p w:rsidR="00511546" w:rsidRDefault="00511546" w:rsidP="00550638">
      <w:pPr>
        <w:pStyle w:val="NormalWeb"/>
        <w:jc w:val="both"/>
      </w:pPr>
      <w:r w:rsidRPr="00511546">
        <w:t xml:space="preserve">Como señaló en su blog </w:t>
      </w:r>
      <w:r w:rsidRPr="00511546">
        <w:rPr>
          <w:bCs/>
        </w:rPr>
        <w:t>Nick Pardini</w:t>
      </w:r>
      <w:r w:rsidRPr="00511546">
        <w:t>, estudiante de economía en la universidad de Vilanova, “estamos creando una generación que serán esclavos de sus deudas durante años”. Y añade una última advertencia: “Cuando estalle esta burbuja, los que perderán no serán los que prestaron, sino los que pidieron”.</w:t>
      </w:r>
    </w:p>
    <w:p w:rsidR="00AF6D21" w:rsidRPr="00AF6D21" w:rsidRDefault="00AF6D21" w:rsidP="00550638">
      <w:pPr>
        <w:pStyle w:val="NormalWeb"/>
        <w:jc w:val="both"/>
        <w:rPr>
          <w:u w:val="single"/>
        </w:rPr>
      </w:pPr>
      <w:r w:rsidRPr="00AF6D21">
        <w:rPr>
          <w:u w:val="single"/>
        </w:rPr>
        <w:t>Adictos al crédito: endeudados desde la guardería</w:t>
      </w:r>
      <w:r>
        <w:rPr>
          <w:u w:val="single"/>
        </w:rPr>
        <w:t xml:space="preserve"> (</w:t>
      </w:r>
      <w:r w:rsidR="00CA33AD">
        <w:rPr>
          <w:u w:val="single"/>
        </w:rPr>
        <w:t xml:space="preserve">los </w:t>
      </w:r>
      <w:r>
        <w:rPr>
          <w:u w:val="single"/>
        </w:rPr>
        <w:t>subprime con chupete)</w:t>
      </w:r>
    </w:p>
    <w:p w:rsidR="00511546" w:rsidRPr="00AF6D21" w:rsidRDefault="00AF6D21" w:rsidP="00550638">
      <w:pPr>
        <w:pStyle w:val="NormalWeb"/>
        <w:jc w:val="both"/>
        <w:rPr>
          <w:i/>
        </w:rPr>
      </w:pPr>
      <w:r>
        <w:rPr>
          <w:i/>
        </w:rPr>
        <w:t>“</w:t>
      </w:r>
      <w:r w:rsidR="00511546" w:rsidRPr="00AF6D21">
        <w:rPr>
          <w:i/>
        </w:rPr>
        <w:t xml:space="preserve">La vieja costumbre de las familias estadounidenses de ahorrar para pagar la universidad de sus hijos pertenece ya al pasado. No solo porque del ahorro se haya pasado a los préstamos (la deuda privada de los estudiantes universitarios </w:t>
      </w:r>
      <w:hyperlink r:id="rId112" w:history="1">
        <w:r w:rsidR="00511546" w:rsidRPr="00AF6D21">
          <w:rPr>
            <w:rStyle w:val="Hipervnculo"/>
            <w:rFonts w:eastAsiaTheme="majorEastAsia"/>
            <w:i/>
            <w:color w:val="auto"/>
            <w:u w:val="none"/>
          </w:rPr>
          <w:t>supera ya el billón de dólares</w:t>
        </w:r>
      </w:hyperlink>
      <w:r w:rsidR="00511546" w:rsidRPr="00AF6D21">
        <w:rPr>
          <w:i/>
        </w:rPr>
        <w:t xml:space="preserve">) sino porque la tendencia actual es </w:t>
      </w:r>
      <w:r w:rsidR="00511546" w:rsidRPr="00AF6D21">
        <w:rPr>
          <w:rStyle w:val="Textoennegrita"/>
          <w:rFonts w:eastAsia="Calibri"/>
          <w:b w:val="0"/>
          <w:i/>
        </w:rPr>
        <w:t>comenzar a buscar financiación para pagar los estudios de los chicos mucho antes de que lleguen a la educación superior</w:t>
      </w:r>
      <w:r w:rsidR="00511546" w:rsidRPr="00AF6D21">
        <w:rPr>
          <w:i/>
        </w:rPr>
        <w:t>. Antes incluso de que sepan leer</w:t>
      </w:r>
      <w:r>
        <w:rPr>
          <w:i/>
        </w:rPr>
        <w:t>”..</w:t>
      </w:r>
      <w:r w:rsidR="00511546" w:rsidRPr="00AF6D21">
        <w:rPr>
          <w:i/>
        </w:rPr>
        <w:t xml:space="preserve">. </w:t>
      </w:r>
      <w:r w:rsidRPr="00414473">
        <w:rPr>
          <w:u w:val="single"/>
        </w:rPr>
        <w:t>La fiebre de los préstamos para estudiantes en EEUU llega hasta la guardería</w:t>
      </w:r>
      <w:r>
        <w:t xml:space="preserve"> (El Confidencial - </w:t>
      </w:r>
      <w:r w:rsidRPr="00414473">
        <w:rPr>
          <w:b/>
        </w:rPr>
        <w:t>7/4/12</w:t>
      </w:r>
      <w:r>
        <w:t>)</w:t>
      </w:r>
    </w:p>
    <w:p w:rsidR="00511546" w:rsidRPr="00AF6D21" w:rsidRDefault="00511546" w:rsidP="00550638">
      <w:pPr>
        <w:pStyle w:val="NormalWeb"/>
        <w:jc w:val="both"/>
      </w:pPr>
      <w:r w:rsidRPr="00AF6D21">
        <w:t xml:space="preserve">Según recoge </w:t>
      </w:r>
      <w:hyperlink r:id="rId113" w:history="1">
        <w:r w:rsidRPr="00AF6D21">
          <w:rPr>
            <w:rStyle w:val="Hipervnculo"/>
            <w:rFonts w:eastAsiaTheme="majorEastAsia"/>
            <w:color w:val="auto"/>
            <w:u w:val="none"/>
          </w:rPr>
          <w:t>SmartMoney</w:t>
        </w:r>
      </w:hyperlink>
      <w:r w:rsidR="0058222E">
        <w:t>, la revista mensual del “Wall Street Journal”</w:t>
      </w:r>
      <w:r w:rsidRPr="00AF6D21">
        <w:t xml:space="preserve">, cada vez más familias piden créditos para pagar la educación de sus hijos durante el llamado K-12, </w:t>
      </w:r>
      <w:r w:rsidRPr="00AF6D21">
        <w:rPr>
          <w:rStyle w:val="Textoennegrita"/>
          <w:rFonts w:eastAsia="Calibri"/>
          <w:b w:val="0"/>
        </w:rPr>
        <w:t>el periodo que va desde la guardería (</w:t>
      </w:r>
      <w:r w:rsidRPr="00AF6D21">
        <w:rPr>
          <w:rStyle w:val="Textoennegrita"/>
          <w:rFonts w:eastAsia="Calibri"/>
          <w:b w:val="0"/>
          <w:iCs/>
        </w:rPr>
        <w:t>kindergarten</w:t>
      </w:r>
      <w:r w:rsidRPr="00AF6D21">
        <w:rPr>
          <w:rStyle w:val="Textoennegrita"/>
          <w:rFonts w:eastAsia="Calibri"/>
          <w:b w:val="0"/>
        </w:rPr>
        <w:t>) al duodécimo curso</w:t>
      </w:r>
      <w:r w:rsidRPr="00AF6D21">
        <w:t>, el último del instituto. La consecuencia es que el mercado de préstamos para la educación básica v</w:t>
      </w:r>
      <w:r w:rsidR="00AF6D21" w:rsidRPr="00AF6D21">
        <w:t>ive una floreciente expansión: “Your Tuition Solution”</w:t>
      </w:r>
      <w:r w:rsidRPr="00AF6D21">
        <w:t xml:space="preserve"> (Tu solución para la matrícula), uno de los más importantes prestamistas de este tipo, asegura que la demanda no deja de crecer y que este mes han experimentado un aumento del 10% respecto a marzo de 2011. Otras entidades de crédito están intentando subirse a la ola, como First Marblehead, que abandonó este mercado en 2008 y ha vuelto a incorporarse recientemente al percibir la tendencia. Incluso los colegios han comenzado a ofrecer sus propios créditos.</w:t>
      </w:r>
    </w:p>
    <w:p w:rsidR="00385B90" w:rsidRDefault="00511546" w:rsidP="00550638">
      <w:pPr>
        <w:pStyle w:val="NormalWeb"/>
        <w:jc w:val="both"/>
      </w:pPr>
      <w:r w:rsidRPr="00AF6D21">
        <w:t xml:space="preserve">¿Quién está pidiendo estos préstamos, inconcebibles hace pocos años? Principalmente, familias de clase media-alta que no pueden optar a becas o ayudas pero </w:t>
      </w:r>
      <w:r w:rsidRPr="00AF6D21">
        <w:rPr>
          <w:rStyle w:val="Textoennegrita"/>
          <w:rFonts w:eastAsia="Calibri"/>
          <w:b w:val="0"/>
        </w:rPr>
        <w:t>desean que sus hijos se eduquen al más alto nivel desde la cuna</w:t>
      </w:r>
      <w:r w:rsidRPr="00AF6D21">
        <w:t>. El aumento de la demanda coincide con una subida generalizada del precio de las matrículas que ha llevado a algunos institutos privados a pedir hasta 40.000 euros anuales para obtener una plaza en sus aulas.</w:t>
      </w:r>
    </w:p>
    <w:p w:rsidR="00511546" w:rsidRPr="00AF6D21" w:rsidRDefault="00511546" w:rsidP="00550638">
      <w:pPr>
        <w:pStyle w:val="NormalWeb"/>
        <w:jc w:val="both"/>
      </w:pPr>
      <w:r w:rsidRPr="00AF6D21">
        <w:lastRenderedPageBreak/>
        <w:t xml:space="preserve">Ningún padre quiere poner precio al futuro de sus hijos, pero pagar más de lo que la economía familiar puede permitirse entraña riesgos muy altos, dado que los préstamos son caros (los intereses pueden ir del 4% al 20%) y pueden ser necesarios muchos años para devolverlos. Comenzar a endeudarse a etapas tan tempranas implica que muchos padres no podrán ahorrar para pagar la universidad de sus hijos o para su propia jubilación. Si se juntan las cuotas de la educación básica con las de la universidad mientras se sigue pagando la hipoteca o el coche, </w:t>
      </w:r>
      <w:r w:rsidRPr="00AF6D21">
        <w:rPr>
          <w:rStyle w:val="Textoennegrita"/>
          <w:rFonts w:eastAsia="Calibri"/>
          <w:b w:val="0"/>
        </w:rPr>
        <w:t>muchas familias podrían asestarse una herida mortal a pesar de tener las mejores intenciones</w:t>
      </w:r>
      <w:r w:rsidRPr="00AF6D21">
        <w:t>. Por no hablar de la presión que se pone sobre niños o adolescentes que no están preparados p</w:t>
      </w:r>
      <w:r w:rsidR="00AF6D21">
        <w:t>ara asumir esa responsabilidad.</w:t>
      </w:r>
    </w:p>
    <w:p w:rsidR="00511546" w:rsidRPr="00AF6D21" w:rsidRDefault="00FE0B5E" w:rsidP="00550638">
      <w:pPr>
        <w:pStyle w:val="NormalWeb"/>
        <w:jc w:val="both"/>
      </w:pPr>
      <w:r>
        <w:t xml:space="preserve">En declaraciones a la revista </w:t>
      </w:r>
      <w:hyperlink r:id="rId114" w:history="1">
        <w:r w:rsidR="00511546" w:rsidRPr="00FE0B5E">
          <w:rPr>
            <w:rStyle w:val="Hipervnculo"/>
            <w:rFonts w:eastAsiaTheme="majorEastAsia"/>
            <w:i/>
            <w:color w:val="auto"/>
            <w:u w:val="none"/>
          </w:rPr>
          <w:t>Forbes</w:t>
        </w:r>
      </w:hyperlink>
      <w:r w:rsidR="00511546" w:rsidRPr="00AF6D21">
        <w:t xml:space="preserve">, Kevin Worthley, asesor financiero en Retirement Planning Company afirma: “Ya sabemos que </w:t>
      </w:r>
      <w:r w:rsidR="00511546" w:rsidRPr="00AF6D21">
        <w:rPr>
          <w:rStyle w:val="Textoennegrita"/>
          <w:rFonts w:eastAsia="Calibri"/>
          <w:b w:val="0"/>
        </w:rPr>
        <w:t>la gente no quiere ser menos que sus vecinos</w:t>
      </w:r>
      <w:r w:rsidR="00511546" w:rsidRPr="00AF6D21">
        <w:t>. El problema es que si están pidiendo 20.000 dólares al año para educación primaria, ¿cómo van a ser capaces de afrontar sumas mayores cuando sus hijos tengan que ir a la universidad? Es más, si llevan a los niños a los mejores colegios privados, entonces también querrán las universidades privadas más caras. Pueden seguir pagando estos préstamos a la vez que los de la universidad, mucho después de que los chicos hayan acabado la carrera”.</w:t>
      </w:r>
    </w:p>
    <w:p w:rsidR="00511546" w:rsidRPr="00AF6D21" w:rsidRDefault="00511546" w:rsidP="00550638">
      <w:pPr>
        <w:pStyle w:val="NormalWeb"/>
        <w:jc w:val="both"/>
      </w:pPr>
      <w:r w:rsidRPr="00AF6D21">
        <w:t xml:space="preserve">Los padres que se embarcan en este tipo de aventuras financieras lo hacen con el convencimiento de que es necesario empezar desde lo mejor para garantizarse un futuro de excelencia, pero la admisión en las universidades de élite depende de muchos factores. Los institutos privados más prestigiosos son considerados un </w:t>
      </w:r>
      <w:r w:rsidRPr="00AF6D21">
        <w:rPr>
          <w:rStyle w:val="Textoennegrita"/>
          <w:rFonts w:eastAsia="Calibri"/>
          <w:b w:val="0"/>
        </w:rPr>
        <w:t>trampolín para las mejores universidades</w:t>
      </w:r>
      <w:r w:rsidRPr="00AF6D21">
        <w:t xml:space="preserve"> pero esta asociación no siempre es automática. Por ejemplo, la </w:t>
      </w:r>
      <w:hyperlink r:id="rId115" w:history="1">
        <w:r w:rsidRPr="00AF6D21">
          <w:rPr>
            <w:rStyle w:val="Hipervnculo"/>
            <w:rFonts w:eastAsiaTheme="majorEastAsia"/>
            <w:color w:val="auto"/>
            <w:u w:val="none"/>
          </w:rPr>
          <w:t>Dalton School</w:t>
        </w:r>
      </w:hyperlink>
      <w:r w:rsidRPr="00AF6D21">
        <w:t>, paradigma de escuela p</w:t>
      </w:r>
      <w:r w:rsidR="0058222E">
        <w:t>restigiosa, perteneciente a la “Ivy League”</w:t>
      </w:r>
      <w:r w:rsidRPr="00AF6D21">
        <w:t xml:space="preserve"> y situada en el exclusivo Upper East Side de </w:t>
      </w:r>
      <w:r w:rsidR="00A92207" w:rsidRPr="00AF6D21">
        <w:t>Manhattan</w:t>
      </w:r>
      <w:r w:rsidRPr="00AF6D21">
        <w:t>, ha tenido años en los que ninguno de sus alumnos fue admitido en Harvard.</w:t>
      </w:r>
    </w:p>
    <w:p w:rsidR="00511546" w:rsidRPr="00AF6D21" w:rsidRDefault="00511546" w:rsidP="00550638">
      <w:pPr>
        <w:pStyle w:val="NormalWeb"/>
        <w:jc w:val="both"/>
      </w:pPr>
      <w:r w:rsidRPr="00AF6D21">
        <w:t>Maura Ka</w:t>
      </w:r>
      <w:r w:rsidR="00AF6D21">
        <w:t>stberg, directora ejecutiva de “RSC: Your College Prep Expert”</w:t>
      </w:r>
      <w:r w:rsidRPr="00AF6D21">
        <w:t xml:space="preserve">, compañía que asesora a estudiantes, desaconseja el endeudamiento y señala: “Ir a un colegio privado no garantiza la aceptación en una universidad de élite. Las universidades buscan estudiantes que estén dispuestos a esforzarse para tener éxito y superar desafíos. Ir a un colegio privado es una forma de aumentar tus posibilidades, pero </w:t>
      </w:r>
      <w:r w:rsidRPr="00AF6D21">
        <w:rPr>
          <w:rStyle w:val="Textoennegrita"/>
          <w:rFonts w:eastAsia="Calibri"/>
          <w:b w:val="0"/>
        </w:rPr>
        <w:t>el trabajo duro, la capacidad de liderazgo y la pasión por lo que haces también pueden llevarte allí</w:t>
      </w:r>
      <w:r w:rsidRPr="00AF6D21">
        <w:t>”.</w:t>
      </w:r>
    </w:p>
    <w:p w:rsidR="00511546" w:rsidRPr="00AF6D21" w:rsidRDefault="00511546" w:rsidP="00550638">
      <w:pPr>
        <w:pStyle w:val="NormalWeb"/>
        <w:jc w:val="both"/>
      </w:pPr>
      <w:r w:rsidRPr="00AF6D21">
        <w:t>El problema es que ninguna de esas cualidades se puede comprar, al contrario que una plaza en un colegio privado. Si bien el precio a pagar puede acabar siendo mucho mayor de lo imaginado.</w:t>
      </w:r>
    </w:p>
    <w:p w:rsidR="00715533" w:rsidRPr="00715533" w:rsidRDefault="0058222E" w:rsidP="00550638">
      <w:pPr>
        <w:pStyle w:val="NormalWeb"/>
        <w:jc w:val="both"/>
        <w:rPr>
          <w:u w:val="single"/>
        </w:rPr>
      </w:pPr>
      <w:r>
        <w:rPr>
          <w:u w:val="single"/>
        </w:rPr>
        <w:t>Comparemos: l</w:t>
      </w:r>
      <w:r w:rsidR="00715533" w:rsidRPr="00715533">
        <w:rPr>
          <w:u w:val="single"/>
        </w:rPr>
        <w:t>as razones detrás del éxito de los estudiantes de China, Corea y</w:t>
      </w:r>
      <w:r w:rsidR="00320470">
        <w:rPr>
          <w:u w:val="single"/>
        </w:rPr>
        <w:t xml:space="preserve"> Singapur</w:t>
      </w:r>
    </w:p>
    <w:p w:rsidR="00B022EB" w:rsidRPr="00511546" w:rsidRDefault="00511546" w:rsidP="00550638">
      <w:pPr>
        <w:pStyle w:val="NormalWeb"/>
        <w:jc w:val="both"/>
      </w:pPr>
      <w:r>
        <w:rPr>
          <w:rFonts w:eastAsiaTheme="minorHAnsi" w:cstheme="minorBidi"/>
          <w:lang w:eastAsia="en-US"/>
        </w:rPr>
        <w:t>“</w:t>
      </w:r>
      <w:r w:rsidR="00B022EB" w:rsidRPr="00715533">
        <w:rPr>
          <w:i/>
        </w:rPr>
        <w:t xml:space="preserve">A los 15 años, un estudiante de </w:t>
      </w:r>
      <w:r w:rsidR="0058222E" w:rsidRPr="00715533">
        <w:rPr>
          <w:i/>
        </w:rPr>
        <w:t>Shanghái</w:t>
      </w:r>
      <w:r w:rsidR="00B022EB" w:rsidRPr="00715533">
        <w:rPr>
          <w:i/>
        </w:rPr>
        <w:t xml:space="preserve"> está de media casi tres años por delante de un alumno de la Unión Europea en matemáticas. Y un niño coreano suele estar un año más avanzado que un europeo en comprensión de lectura. Estos son los datos de un informe del centro de estudios Grattam Institute (organización financiada por el Gobierno australiano), que explora las razones del éxito de los sistemas de enseñanza asiáticos</w:t>
      </w:r>
      <w:r w:rsidR="00715533">
        <w:rPr>
          <w:i/>
        </w:rPr>
        <w:t>”..</w:t>
      </w:r>
      <w:r w:rsidR="00B022EB" w:rsidRPr="00715533">
        <w:rPr>
          <w:i/>
        </w:rPr>
        <w:t>.</w:t>
      </w:r>
      <w:r w:rsidR="00715533">
        <w:t xml:space="preserve"> </w:t>
      </w:r>
      <w:r w:rsidR="00715533" w:rsidRPr="001806C6">
        <w:rPr>
          <w:u w:val="single"/>
        </w:rPr>
        <w:t>¿Por qué las escuelas asiáticas son mejores?</w:t>
      </w:r>
      <w:r w:rsidR="00715533">
        <w:t xml:space="preserve"> (Expansión - </w:t>
      </w:r>
      <w:r w:rsidR="00715533" w:rsidRPr="001806C6">
        <w:rPr>
          <w:b/>
        </w:rPr>
        <w:t>27/2/12</w:t>
      </w:r>
      <w:r>
        <w:t>)</w:t>
      </w:r>
    </w:p>
    <w:p w:rsidR="00B022EB" w:rsidRPr="00511546" w:rsidRDefault="00B022EB" w:rsidP="00550638">
      <w:pPr>
        <w:pStyle w:val="NormalWeb"/>
        <w:jc w:val="both"/>
      </w:pPr>
      <w:r w:rsidRPr="00511546">
        <w:lastRenderedPageBreak/>
        <w:t xml:space="preserve">Grattan Institute parte de los excelentes resultados de </w:t>
      </w:r>
      <w:r w:rsidR="0058222E" w:rsidRPr="00511546">
        <w:t>Shanghái</w:t>
      </w:r>
      <w:r w:rsidRPr="00511546">
        <w:t>, Core</w:t>
      </w:r>
      <w:r w:rsidR="00BB5AAA">
        <w:t>a, Hong Kong y Singapur en el ra</w:t>
      </w:r>
      <w:r w:rsidRPr="00511546">
        <w:t>nking PISA elaborado por la OCDE, que evalúa el rendimiento de estudiantes de 15 años de gran parte del mundo. Dichos sistemas educativos asiáticos ocupan cuatro de los primeros cinco puestos de la clasificación de 2009 (la última disponible); en Europa, solo Finlandia mantiene el paso con Oriente, con un meritorio tercer puesto.</w:t>
      </w:r>
    </w:p>
    <w:p w:rsidR="00B022EB" w:rsidRPr="00511546" w:rsidRDefault="00B022EB" w:rsidP="00550638">
      <w:pPr>
        <w:pStyle w:val="NormalWeb"/>
        <w:jc w:val="both"/>
      </w:pPr>
      <w:r w:rsidRPr="00511546">
        <w:t>Pues bien, ¿cuál es el secreto? El informe identifica ciertos factores comunes que están impulsando los excelentes resultados de los asiáticos.</w:t>
      </w:r>
    </w:p>
    <w:p w:rsidR="00B022EB" w:rsidRPr="00511546" w:rsidRDefault="00B022EB" w:rsidP="00550638">
      <w:pPr>
        <w:pStyle w:val="NormalWeb"/>
        <w:jc w:val="both"/>
      </w:pPr>
      <w:r w:rsidRPr="00511546">
        <w:t>El primero es el acento en la formación de los profesores y los incentivos para contratar a los mejores. Esto es así hasta el punto de que en Singapur los docentes son considerados funcionarios desde el primer año de formación y cobran en consonancia con dicha responsabilidad.</w:t>
      </w:r>
    </w:p>
    <w:p w:rsidR="00B022EB" w:rsidRPr="00511546" w:rsidRDefault="00B022EB" w:rsidP="00550638">
      <w:pPr>
        <w:pStyle w:val="NormalWeb"/>
        <w:jc w:val="both"/>
      </w:pPr>
      <w:r w:rsidRPr="00511546">
        <w:t xml:space="preserve">El segundo es la supervisión. En </w:t>
      </w:r>
      <w:r w:rsidR="0058222E" w:rsidRPr="00511546">
        <w:t>Shanghái</w:t>
      </w:r>
      <w:r w:rsidRPr="00511546">
        <w:t>, por ejemplo, cada nuevo profesor cuenta con dos tutores, docentes también, que presencian y evalúan regularmente sus clases, y le indican cómo tratar de mejorar.</w:t>
      </w:r>
    </w:p>
    <w:p w:rsidR="00B022EB" w:rsidRPr="00511546" w:rsidRDefault="00B022EB" w:rsidP="00550638">
      <w:pPr>
        <w:pStyle w:val="NormalWeb"/>
        <w:jc w:val="both"/>
      </w:pPr>
      <w:r w:rsidRPr="00511546">
        <w:t>El tercero son los incentivos a la investigación de los docentes acerca de nuevas y más efectivas técnicas pedagógicas.</w:t>
      </w:r>
    </w:p>
    <w:p w:rsidR="00B022EB" w:rsidRPr="00511546" w:rsidRDefault="00B022EB" w:rsidP="00550638">
      <w:pPr>
        <w:pStyle w:val="NormalWeb"/>
        <w:jc w:val="both"/>
      </w:pPr>
      <w:r w:rsidRPr="00511546">
        <w:t>El que los profesores encuentren tiempo para mejorar y evaluarse depende, por supuesto, del número de horas lectivas. A ojos de los autores del informe, los sistemas asiáticos han comprendido la necesidad de encontrar un compromiso y han optado por clases mucho más grandes, pero menos horas lectivas.</w:t>
      </w:r>
    </w:p>
    <w:p w:rsidR="00B022EB" w:rsidRDefault="00B022EB" w:rsidP="00550638">
      <w:pPr>
        <w:pStyle w:val="NormalWeb"/>
        <w:jc w:val="both"/>
      </w:pPr>
      <w:r w:rsidRPr="00511546">
        <w:t xml:space="preserve">Así, un profesor de </w:t>
      </w:r>
      <w:r w:rsidR="0058222E" w:rsidRPr="00511546">
        <w:t>Shanghái</w:t>
      </w:r>
      <w:r w:rsidRPr="00511546">
        <w:t xml:space="preserve"> enseña en aulas de 40 alumnos, aunque sólo 12 horas a la semana. En cambio, los cursos de un profesor estadounidense tienen unos 23 niños, pero debe dar 30 horas de clase a la semana.</w:t>
      </w:r>
    </w:p>
    <w:p w:rsidR="0058222E" w:rsidRPr="00511546" w:rsidRDefault="0058222E" w:rsidP="00550638">
      <w:pPr>
        <w:pStyle w:val="NormalWeb"/>
        <w:jc w:val="both"/>
      </w:pPr>
      <w:r>
        <w:t>El éxito de estos cuatro sistemas educativos se ha conseguido, además combinando este rendimiento espectacular con unos niveles de equidad muy superiores a los de la mayoría de los países occidentales. “En comparación con la mayoría de países de la OCDE, un niño pobre tiene menos posibilidades de quedarse atrás o abandonar la escuela en estos sistemas”, se lee en el informe.</w:t>
      </w:r>
    </w:p>
    <w:p w:rsidR="00B022EB" w:rsidRPr="00511546" w:rsidRDefault="00B022EB" w:rsidP="00550638">
      <w:pPr>
        <w:pStyle w:val="NormalWeb"/>
        <w:jc w:val="both"/>
      </w:pPr>
      <w:r w:rsidRPr="00511546">
        <w:t>Por otro lado, la diferencia entre los mejores y los peores estudiantes son más pequeñas que en Europa o Estados Unidos.</w:t>
      </w:r>
    </w:p>
    <w:p w:rsidR="00B022EB" w:rsidRPr="00511546" w:rsidRDefault="00B022EB" w:rsidP="00550638">
      <w:pPr>
        <w:pStyle w:val="NormalWeb"/>
        <w:jc w:val="both"/>
      </w:pPr>
      <w:r w:rsidRPr="00511546">
        <w:t>El informe destruye también algunos de los mitos con los que habitualmente se trata de explicar el alto rendimiento de los alumnos asiáticos. El primero, es la influencia cultural, el legado del confucianismo en los países de la órbita cultural china. Estas naciones tenían el mismo sustrato cultural hace diez años, cuando sus resultados eran mucho más pobres. Lo que ha cambiado son las políticas.</w:t>
      </w:r>
    </w:p>
    <w:p w:rsidR="00B022EB" w:rsidRPr="00511546" w:rsidRDefault="00B022EB" w:rsidP="00550638">
      <w:pPr>
        <w:pStyle w:val="NormalWeb"/>
        <w:jc w:val="both"/>
      </w:pPr>
      <w:r w:rsidRPr="00511546">
        <w:t>El segundo es el dinero, la asunción de que más financiación implica necesariamente una mejora del nivel educativo. Corea, por ejemplo, gasta menos que la media de la OCDE en sus alumnos y, sin embargo, sus resultados son excelentes.</w:t>
      </w:r>
    </w:p>
    <w:p w:rsidR="00B022EB" w:rsidRPr="00511546" w:rsidRDefault="00B022EB" w:rsidP="00550638">
      <w:pPr>
        <w:pStyle w:val="NormalWeb"/>
        <w:jc w:val="both"/>
      </w:pPr>
      <w:r w:rsidRPr="00511546">
        <w:lastRenderedPageBreak/>
        <w:t>A raíz del informe de Grattan, el Wall Street Journal se preguntaba si no merecía la pena empezar a pensar en mandar a los niños a Asia para ir a la escuela.</w:t>
      </w:r>
    </w:p>
    <w:p w:rsidR="00B022EB" w:rsidRPr="00511546" w:rsidRDefault="00B022EB" w:rsidP="00550638">
      <w:pPr>
        <w:pStyle w:val="NormalWeb"/>
        <w:jc w:val="both"/>
      </w:pPr>
      <w:r w:rsidRPr="00511546">
        <w:t>Lo curioso es que en China existe un importante debate acerca de cómo mejorar la educación del país, tomando como ejemplo algunos rasgos de Occidente. Para mucha gente, el sistema educativo local desincentiva por completo la creatividad y la capacidad de innovación de los jóvenes, facetas imprescindibles para desarrollar una economía basada en el conocimiento.</w:t>
      </w:r>
    </w:p>
    <w:p w:rsidR="00B022EB" w:rsidRPr="00511546" w:rsidRDefault="00B022EB" w:rsidP="00550638">
      <w:pPr>
        <w:pStyle w:val="NormalWeb"/>
        <w:jc w:val="both"/>
      </w:pPr>
      <w:r w:rsidRPr="00511546">
        <w:t xml:space="preserve">Hace unos días, Zhong Daoran, autor del libro No perdono, en el que critica el sistema educativo local, decía en una entrevista que </w:t>
      </w:r>
      <w:r w:rsidR="00511546" w:rsidRPr="00511546">
        <w:t>la educación china “</w:t>
      </w:r>
      <w:r w:rsidRPr="00511546">
        <w:t>destruye la creatividad y hace que la gente no tenga opiniones propias y no pueda seguir su</w:t>
      </w:r>
      <w:r w:rsidR="00511546" w:rsidRPr="00511546">
        <w:t xml:space="preserve"> propio camino”.</w:t>
      </w:r>
    </w:p>
    <w:p w:rsidR="00B022EB" w:rsidRDefault="00B022EB" w:rsidP="00550638">
      <w:pPr>
        <w:pStyle w:val="NormalWeb"/>
        <w:jc w:val="both"/>
      </w:pPr>
      <w:r w:rsidRPr="00511546">
        <w:t>Un libro de Daniel Méndez, autor de la web ZaiChina, explora precisamente las contradicciones del sistema educativo chino y el intenso debate acerca de sus debilidades desde la perspectiva de un estudiante español en una de las mejores universidades del país</w:t>
      </w:r>
      <w:r w:rsidR="00511546">
        <w:t>.</w:t>
      </w:r>
    </w:p>
    <w:p w:rsidR="00511546" w:rsidRDefault="00511546" w:rsidP="00550638">
      <w:pPr>
        <w:pStyle w:val="NormalWeb"/>
        <w:jc w:val="both"/>
      </w:pPr>
      <w:r w:rsidRPr="00511546">
        <w:rPr>
          <w:u w:val="single"/>
        </w:rPr>
        <w:t>“Si te esfuerzas en la escuela, podrás estudiar una buena carrera y tendrás el trabajo asegurado”, así decía mi padre</w:t>
      </w:r>
      <w:r w:rsidR="0058222E">
        <w:rPr>
          <w:u w:val="single"/>
        </w:rPr>
        <w:t xml:space="preserve">, </w:t>
      </w:r>
      <w:r>
        <w:rPr>
          <w:u w:val="single"/>
        </w:rPr>
        <w:t>hace más de medio siglo</w:t>
      </w:r>
      <w:r w:rsidR="0058222E">
        <w:rPr>
          <w:u w:val="single"/>
        </w:rPr>
        <w:t xml:space="preserve">… </w:t>
      </w:r>
      <w:r w:rsidR="003029DE">
        <w:rPr>
          <w:u w:val="single"/>
        </w:rPr>
        <w:t>¿</w:t>
      </w:r>
      <w:r w:rsidR="0058222E">
        <w:rPr>
          <w:u w:val="single"/>
        </w:rPr>
        <w:t>Nos equivocamos los dos</w:t>
      </w:r>
      <w:r w:rsidR="003029DE">
        <w:rPr>
          <w:u w:val="single"/>
        </w:rPr>
        <w:t>?</w:t>
      </w:r>
    </w:p>
    <w:p w:rsidR="001005DB" w:rsidRPr="00222501" w:rsidRDefault="001005DB" w:rsidP="00550638">
      <w:pPr>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617FFB">
        <w:rPr>
          <w:rFonts w:ascii="Times New Roman" w:eastAsia="Times New Roman" w:hAnsi="Times New Roman"/>
          <w:sz w:val="24"/>
          <w:szCs w:val="24"/>
          <w:u w:val="single"/>
          <w:lang w:eastAsia="es-ES"/>
        </w:rPr>
        <w:t>Cinco claves para cambiar un sistema educativo agotado</w:t>
      </w:r>
      <w:r>
        <w:rPr>
          <w:rFonts w:ascii="Times New Roman" w:eastAsia="Times New Roman" w:hAnsi="Times New Roman"/>
          <w:sz w:val="24"/>
          <w:szCs w:val="24"/>
          <w:lang w:eastAsia="es-ES"/>
        </w:rPr>
        <w:t xml:space="preserve"> (El Confidencial - </w:t>
      </w:r>
      <w:r w:rsidRPr="00617FFB">
        <w:rPr>
          <w:rFonts w:ascii="Times New Roman" w:eastAsia="Times New Roman" w:hAnsi="Times New Roman"/>
          <w:b/>
          <w:sz w:val="24"/>
          <w:szCs w:val="24"/>
          <w:lang w:eastAsia="es-ES"/>
        </w:rPr>
        <w:t>15/3/12</w:t>
      </w:r>
      <w:r>
        <w:rPr>
          <w:rFonts w:ascii="Times New Roman" w:eastAsia="Times New Roman" w:hAnsi="Times New Roman"/>
          <w:sz w:val="24"/>
          <w:szCs w:val="24"/>
          <w:lang w:eastAsia="es-ES"/>
        </w:rPr>
        <w:t>)</w:t>
      </w:r>
    </w:p>
    <w:p w:rsidR="001005DB" w:rsidRPr="00617FFB" w:rsidRDefault="001005DB" w:rsidP="00550638">
      <w:pPr>
        <w:pStyle w:val="centro-texto-notis"/>
        <w:jc w:val="both"/>
        <w:rPr>
          <w:u w:val="single"/>
        </w:rPr>
      </w:pPr>
      <w:r>
        <w:rPr>
          <w:rStyle w:val="firma-negra-grande"/>
        </w:rPr>
        <w:t xml:space="preserve">(Por </w:t>
      </w:r>
      <w:hyperlink r:id="rId116" w:history="1">
        <w:r w:rsidRPr="00511546">
          <w:rPr>
            <w:rStyle w:val="Hipervnculo"/>
            <w:rFonts w:eastAsiaTheme="majorEastAsia"/>
            <w:color w:val="auto"/>
            <w:u w:val="none"/>
          </w:rPr>
          <w:t>Miguel Ayuso</w:t>
        </w:r>
      </w:hyperlink>
      <w:r w:rsidRPr="00511546">
        <w:rPr>
          <w:rStyle w:val="hora-publi"/>
        </w:rPr>
        <w:t>)</w:t>
      </w:r>
      <w:r w:rsidR="00511546">
        <w:rPr>
          <w:rStyle w:val="hora-publi"/>
        </w:rPr>
        <w:t xml:space="preserve">                                                                          Lectura recomendada</w:t>
      </w:r>
    </w:p>
    <w:p w:rsidR="001005DB" w:rsidRDefault="001005DB" w:rsidP="00550638">
      <w:pPr>
        <w:pStyle w:val="NormalWeb"/>
        <w:jc w:val="both"/>
      </w:pPr>
      <w:r w:rsidRPr="00480356">
        <w:rPr>
          <w:color w:val="FF0000"/>
          <w:u w:val="single"/>
        </w:rPr>
        <w:t>“Si te esfuerzas en la escuela, podrás estudiar una buena carrera y tendrás el trabajo asegurado”. La frase, que hasta bien poco era el dogma de las escuelas, se ha convertido en una afirmación que pocos se atreven ya a pronunciar</w:t>
      </w:r>
      <w:r>
        <w:t xml:space="preserve">. El debate educativo ha sido una constante en la historia de la democracia, pero parece que estamos viviendo un punto de inflexión con motivo de la crisis. </w:t>
      </w:r>
    </w:p>
    <w:p w:rsidR="001005DB" w:rsidRDefault="001005DB" w:rsidP="00550638">
      <w:pPr>
        <w:pStyle w:val="NormalWeb"/>
        <w:jc w:val="both"/>
      </w:pPr>
      <w:r w:rsidRPr="00385B90">
        <w:rPr>
          <w:bCs/>
        </w:rPr>
        <w:t>Sir Ken Robinson</w:t>
      </w:r>
      <w:r>
        <w:rPr>
          <w:b/>
          <w:bCs/>
        </w:rPr>
        <w:t>,</w:t>
      </w:r>
      <w:r>
        <w:t xml:space="preserve"> escritor y conferenciante británico y uno de los mayores expertos mundiales sobre temas educativos, planteó en una charla dada en la </w:t>
      </w:r>
      <w:hyperlink r:id="rId117" w:tgtFrame="_blank" w:history="1">
        <w:r w:rsidRPr="006A2645">
          <w:rPr>
            <w:rStyle w:val="Hipervnculo"/>
            <w:rFonts w:eastAsiaTheme="majorEastAsia"/>
            <w:color w:val="auto"/>
          </w:rPr>
          <w:t>Royal Society for the encouragement of Arts, Manufactures and Commerce</w:t>
        </w:r>
      </w:hyperlink>
      <w:r w:rsidRPr="006A2645">
        <w:t xml:space="preserve"> </w:t>
      </w:r>
      <w:r>
        <w:t xml:space="preserve">de Gran Bretaña, la necesidad de una transformación de fondo en el modelo educativo occidental que, asegura, no ha cambiado gran cosa desde su invención en el siglo XIX. La charla, convertida en animación por un ilustrador, está dando la vuelta al mundo a través de Youtube, y sus reflexiones no han pasado desapercibidas. </w:t>
      </w:r>
    </w:p>
    <w:p w:rsidR="001005DB" w:rsidRPr="00385B90" w:rsidRDefault="001005DB" w:rsidP="00550638">
      <w:pPr>
        <w:pStyle w:val="NormalWeb"/>
        <w:jc w:val="both"/>
      </w:pPr>
      <w:r w:rsidRPr="00385B90">
        <w:rPr>
          <w:bCs/>
        </w:rPr>
        <w:t>1. Una reforma necesaria</w:t>
      </w:r>
    </w:p>
    <w:p w:rsidR="001005DB" w:rsidRPr="00480356" w:rsidRDefault="001005DB" w:rsidP="00550638">
      <w:pPr>
        <w:pStyle w:val="NormalWeb"/>
        <w:jc w:val="both"/>
        <w:rPr>
          <w:u w:val="single"/>
        </w:rPr>
      </w:pPr>
      <w:r>
        <w:t xml:space="preserve">Todas las naciones del mundo están reformando la educación pública. </w:t>
      </w:r>
      <w:r w:rsidRPr="00480356">
        <w:rPr>
          <w:u w:val="single"/>
        </w:rPr>
        <w:t>Hay dos razone</w:t>
      </w:r>
      <w:r w:rsidR="00511546">
        <w:rPr>
          <w:u w:val="single"/>
        </w:rPr>
        <w:t>s para ello: una económica -</w:t>
      </w:r>
      <w:r w:rsidRPr="00480356">
        <w:rPr>
          <w:u w:val="single"/>
        </w:rPr>
        <w:t>¿Cómo podemos educar a nuestros hijos para que encuentren su sitio en las economías del siglo XXI, si ni siquiera sabemos cuál va a ser el estado de la e</w:t>
      </w:r>
      <w:r w:rsidR="00511546">
        <w:rPr>
          <w:u w:val="single"/>
        </w:rPr>
        <w:t>conomía al finalizar la semana?-, y otra cultural -</w:t>
      </w:r>
      <w:r w:rsidRPr="00480356">
        <w:rPr>
          <w:u w:val="single"/>
        </w:rPr>
        <w:t>¿cómo educamos a nuestros hijos en un mundo globalizado sin que</w:t>
      </w:r>
      <w:r w:rsidR="00511546">
        <w:rPr>
          <w:u w:val="single"/>
        </w:rPr>
        <w:t xml:space="preserve"> pierdan su identidad cultural?-</w:t>
      </w:r>
      <w:r w:rsidRPr="00480356">
        <w:rPr>
          <w:u w:val="single"/>
        </w:rPr>
        <w:t>.</w:t>
      </w:r>
    </w:p>
    <w:p w:rsidR="001005DB" w:rsidRPr="00480356" w:rsidRDefault="001005DB" w:rsidP="00550638">
      <w:pPr>
        <w:pStyle w:val="NormalWeb"/>
        <w:jc w:val="both"/>
        <w:rPr>
          <w:color w:val="FF0000"/>
          <w:u w:val="single"/>
        </w:rPr>
      </w:pPr>
      <w:r w:rsidRPr="00480356">
        <w:rPr>
          <w:color w:val="FF0000"/>
          <w:u w:val="single"/>
        </w:rPr>
        <w:t xml:space="preserve">El problema, explica Robinson, es que estamos construyendo el futuro haciendo lo mismo que hicimos en el pasado y mientras, </w:t>
      </w:r>
      <w:r w:rsidRPr="00385B90">
        <w:rPr>
          <w:bCs/>
          <w:color w:val="FF0000"/>
          <w:u w:val="single"/>
        </w:rPr>
        <w:t>estamos alienando a millones de niños que no ven ningún futuro yendo a la escuela.</w:t>
      </w:r>
    </w:p>
    <w:p w:rsidR="001005DB" w:rsidRDefault="001005DB" w:rsidP="00550638">
      <w:pPr>
        <w:pStyle w:val="NormalWeb"/>
        <w:jc w:val="both"/>
      </w:pPr>
      <w:r>
        <w:lastRenderedPageBreak/>
        <w:t xml:space="preserve">Cuando vamos a la escuela nos trasmiten la idea de que “si te esfuerzas podrás estudiar una buena carrera y tendrás el trabajo asegurado”. Los niños ya no se creen esto y no les falta razón. </w:t>
      </w:r>
      <w:r w:rsidRPr="00385B90">
        <w:rPr>
          <w:bCs/>
          <w:u w:val="single"/>
        </w:rPr>
        <w:t>Es mejor tener una carrera que no tenerla, pero ya nada te asegura que vas a encontrar un trabajo digno</w:t>
      </w:r>
      <w:r w:rsidRPr="00480356">
        <w:rPr>
          <w:u w:val="single"/>
        </w:rPr>
        <w:t>, particularmente si la ruta para conseguirlo pasa por renunciar a muchas de las cosas que uno considera importantes acerca de sí mismo.</w:t>
      </w:r>
      <w:r>
        <w:t xml:space="preserve"> Elevar los estándares educativos, una de las propuestas más frecuentes para solucionar un problema, no arreglaría nada, pues no apunta a la médula del problema.</w:t>
      </w:r>
    </w:p>
    <w:p w:rsidR="001005DB" w:rsidRPr="00385B90" w:rsidRDefault="001005DB" w:rsidP="00550638">
      <w:pPr>
        <w:pStyle w:val="NormalWeb"/>
        <w:jc w:val="both"/>
      </w:pPr>
      <w:r w:rsidRPr="00385B90">
        <w:rPr>
          <w:bCs/>
        </w:rPr>
        <w:t>2. Un sistema caduco</w:t>
      </w:r>
    </w:p>
    <w:p w:rsidR="001005DB" w:rsidRDefault="001005DB" w:rsidP="00550638">
      <w:pPr>
        <w:pStyle w:val="NormalWeb"/>
        <w:jc w:val="both"/>
      </w:pPr>
      <w:r w:rsidRPr="00480356">
        <w:rPr>
          <w:u w:val="single"/>
        </w:rPr>
        <w:t xml:space="preserve">El meollo de la cuestión es </w:t>
      </w:r>
      <w:r w:rsidRPr="00385B90">
        <w:rPr>
          <w:u w:val="single"/>
        </w:rPr>
        <w:t xml:space="preserve">que </w:t>
      </w:r>
      <w:r w:rsidRPr="00385B90">
        <w:rPr>
          <w:bCs/>
          <w:u w:val="single"/>
        </w:rPr>
        <w:t>el actual sistema educativo fue diseñado, concebido y estructurado para una época distinta</w:t>
      </w:r>
      <w:r w:rsidRPr="00480356">
        <w:rPr>
          <w:b/>
          <w:bCs/>
          <w:u w:val="single"/>
        </w:rPr>
        <w:t>.</w:t>
      </w:r>
      <w:r w:rsidRPr="00480356">
        <w:rPr>
          <w:u w:val="single"/>
        </w:rPr>
        <w:t xml:space="preserve"> Se concibió en la Ilustración y en el entorno económico de la revolución industrial.</w:t>
      </w:r>
      <w:r>
        <w:t xml:space="preserve"> Antes de esto no había sistemas de educación pública; sólo podías ir a colegios de Jesuitas si tenías el dinero para pagarlos. La educación pública, pagada mediante impuestos, obligatoria para todos y gratuita, era una idea revolucionaria. Mucha gente se opuso a ella. Pensaban que no era viable que los chicos de las calles y los hijos de los obreros se beneficiaran de la educación pública, pues iban a ser incapaces de aprender a leer y escribir. </w:t>
      </w:r>
    </w:p>
    <w:p w:rsidR="001005DB" w:rsidRPr="00385B90" w:rsidRDefault="001005DB" w:rsidP="00550638">
      <w:pPr>
        <w:pStyle w:val="NormalWeb"/>
        <w:jc w:val="both"/>
      </w:pPr>
      <w:r>
        <w:t xml:space="preserve">El cambio fue capitaneado por el imperativo económico de la época, pero detrás de este había un modelo intelectual asumido: la esencia del pensamiento ilustrado, que se basaba en el razonamiento deductivo y, originalmente, en el conocimiento de los clásicos. Esto configuraba “la mentalidad académica”. Este modelo intelectual está en los genes mismos del sistema de educación pública que divide a las personas en dos tipos: los “académicos” (gente inteligente) y los “no académicos” (no inteligentes). La consecuencia de esto es que </w:t>
      </w:r>
      <w:r w:rsidRPr="00385B90">
        <w:rPr>
          <w:bCs/>
        </w:rPr>
        <w:t xml:space="preserve">mucha gente brillante cree que no lo es, porque han sido juzgados mediante la óptica de un pensamiento concreto, el de la Ilustración. </w:t>
      </w:r>
    </w:p>
    <w:p w:rsidR="001005DB" w:rsidRPr="00480356" w:rsidRDefault="001005DB" w:rsidP="00550638">
      <w:pPr>
        <w:pStyle w:val="NormalWeb"/>
        <w:jc w:val="both"/>
        <w:rPr>
          <w:u w:val="single"/>
        </w:rPr>
      </w:pPr>
      <w:r w:rsidRPr="00480356">
        <w:rPr>
          <w:u w:val="single"/>
        </w:rPr>
        <w:t xml:space="preserve">Robinson tiene claro que </w:t>
      </w:r>
      <w:r w:rsidR="00822CE7">
        <w:rPr>
          <w:u w:val="single"/>
        </w:rPr>
        <w:t>el modelo de educación pública -</w:t>
      </w:r>
      <w:r w:rsidRPr="00480356">
        <w:rPr>
          <w:u w:val="single"/>
        </w:rPr>
        <w:t>sustentado por dos pilares</w:t>
      </w:r>
      <w:r w:rsidR="00822CE7">
        <w:rPr>
          <w:u w:val="single"/>
        </w:rPr>
        <w:t>: el económico y el intelectual-</w:t>
      </w:r>
      <w:r w:rsidRPr="00480356">
        <w:rPr>
          <w:u w:val="single"/>
        </w:rPr>
        <w:t xml:space="preserve"> ha causado el caos en la vida de muchas personas. </w:t>
      </w:r>
    </w:p>
    <w:p w:rsidR="001005DB" w:rsidRPr="00385B90" w:rsidRDefault="001005DB" w:rsidP="00550638">
      <w:pPr>
        <w:pStyle w:val="NormalWeb"/>
        <w:jc w:val="both"/>
      </w:pPr>
      <w:r w:rsidRPr="00385B90">
        <w:rPr>
          <w:bCs/>
        </w:rPr>
        <w:t xml:space="preserve">3. El TDAH, una epidemia ficticia. </w:t>
      </w:r>
    </w:p>
    <w:p w:rsidR="007538F6" w:rsidRPr="00480356" w:rsidRDefault="001005DB" w:rsidP="00550638">
      <w:pPr>
        <w:pStyle w:val="NormalWeb"/>
        <w:jc w:val="both"/>
        <w:rPr>
          <w:u w:val="single"/>
        </w:rPr>
      </w:pPr>
      <w:r w:rsidRPr="00480356">
        <w:rPr>
          <w:u w:val="single"/>
        </w:rPr>
        <w:t>El trastorno por déficit de atención con hiperactividad (TDAH) es considerado una epidemia moderna</w:t>
      </w:r>
      <w:r w:rsidRPr="00480356">
        <w:rPr>
          <w:b/>
          <w:bCs/>
          <w:u w:val="single"/>
        </w:rPr>
        <w:t>,</w:t>
      </w:r>
      <w:r w:rsidRPr="00480356">
        <w:rPr>
          <w:u w:val="single"/>
        </w:rPr>
        <w:t xml:space="preserve"> que se atribuye a entre un 5% y un 10% de todos los niños en edad escolar. Para Robinson </w:t>
      </w:r>
      <w:r w:rsidRPr="00385B90">
        <w:rPr>
          <w:bCs/>
          <w:u w:val="single"/>
        </w:rPr>
        <w:t>esta epidemia es “tan equivocada como ficticia”:</w:t>
      </w:r>
      <w:r w:rsidRPr="00480356">
        <w:rPr>
          <w:b/>
          <w:bCs/>
          <w:u w:val="single"/>
        </w:rPr>
        <w:t xml:space="preserve"> </w:t>
      </w:r>
      <w:r w:rsidRPr="00480356">
        <w:rPr>
          <w:u w:val="single"/>
        </w:rPr>
        <w:t>“Los niños afectados están siendo medicados de forma rutinaria</w:t>
      </w:r>
      <w:r>
        <w:t xml:space="preserve">. Se trata de una moda médica. Vivimos en el periodo más estimulante de la historia de la tierra. Están sobrecargados de información y pueden centrar su atención en cualquier cosa: ordenadores, móviles, la publicidad, la televisión… Los regañamos por distraerse y queremos que se concentren en cosas aburridas, como la mayor parte de lo que se enseña en la escuela. Creo que no es una coincidencia que el TDAH haya aumentado a la par que los test estandarizados. </w:t>
      </w:r>
      <w:r w:rsidRPr="00480356">
        <w:rPr>
          <w:u w:val="single"/>
        </w:rPr>
        <w:t>A estos niños les están dando Ritalin y otro tipo de drogas con frecuencia peligrosas para que se centren y se calmen”.</w:t>
      </w:r>
    </w:p>
    <w:p w:rsidR="001005DB" w:rsidRPr="00385B90" w:rsidRDefault="001005DB" w:rsidP="00550638">
      <w:pPr>
        <w:pStyle w:val="NormalWeb"/>
        <w:jc w:val="both"/>
      </w:pPr>
      <w:r w:rsidRPr="00385B90">
        <w:rPr>
          <w:bCs/>
        </w:rPr>
        <w:t>4. Una educación estandarizada</w:t>
      </w:r>
    </w:p>
    <w:p w:rsidR="001005DB" w:rsidRDefault="001005DB" w:rsidP="00550638">
      <w:pPr>
        <w:pStyle w:val="NormalWeb"/>
        <w:jc w:val="both"/>
      </w:pPr>
      <w:r w:rsidRPr="00F56DE8">
        <w:rPr>
          <w:u w:val="single"/>
        </w:rPr>
        <w:t xml:space="preserve">Tenemos un sistema educativo modelado según los intereses de la Industrialización, que </w:t>
      </w:r>
      <w:r w:rsidRPr="00385B90">
        <w:rPr>
          <w:u w:val="single"/>
        </w:rPr>
        <w:t>es la época en la que se creó.</w:t>
      </w:r>
      <w:r w:rsidRPr="00385B90">
        <w:rPr>
          <w:bCs/>
          <w:u w:val="single"/>
        </w:rPr>
        <w:t xml:space="preserve"> Las escuelas están organizadas como fábricas:</w:t>
      </w:r>
      <w:r w:rsidRPr="00385B90">
        <w:rPr>
          <w:u w:val="single"/>
        </w:rPr>
        <w:t xml:space="preserve"> </w:t>
      </w:r>
      <w:r w:rsidRPr="00F56DE8">
        <w:rPr>
          <w:u w:val="single"/>
        </w:rPr>
        <w:t xml:space="preserve">tienen timbres, instalaciones y materias diferenciadas, se educa a los niños en lotes por </w:t>
      </w:r>
      <w:r w:rsidRPr="00F56DE8">
        <w:rPr>
          <w:u w:val="single"/>
        </w:rPr>
        <w:lastRenderedPageBreak/>
        <w:t>edades…</w:t>
      </w:r>
      <w:r>
        <w:t xml:space="preserve"> Robinson se pregunta ¿por qué hacemos eso? ¿Es la edad lo más importante que tienen los niños en común? ¿Es la fecha de fabricación lo más importante?: “Conozco a niños mucho mejores que otros de su edad en distintas disciplinas, o niños que rinden más a distintas horas del día, o que son mejores en pequeños grupos, o en grandes, o solos…”</w:t>
      </w:r>
    </w:p>
    <w:p w:rsidR="001005DB" w:rsidRPr="00F56DE8" w:rsidRDefault="001005DB" w:rsidP="00550638">
      <w:pPr>
        <w:pStyle w:val="NormalWeb"/>
        <w:jc w:val="both"/>
        <w:rPr>
          <w:u w:val="single"/>
        </w:rPr>
      </w:pPr>
      <w:r w:rsidRPr="00F56DE8">
        <w:rPr>
          <w:u w:val="single"/>
        </w:rPr>
        <w:t xml:space="preserve">Si estamos interesados en cambiar el modelo educativo no deberíamos perpetuar la mentalidad industrial, la estandarización. Robinson propone ir exactamente en la dirección contraria. </w:t>
      </w:r>
    </w:p>
    <w:p w:rsidR="001005DB" w:rsidRPr="00385B90" w:rsidRDefault="001005DB" w:rsidP="00550638">
      <w:pPr>
        <w:pStyle w:val="NormalWeb"/>
        <w:jc w:val="both"/>
      </w:pPr>
      <w:r w:rsidRPr="00385B90">
        <w:rPr>
          <w:bCs/>
        </w:rPr>
        <w:t>5. El pensamiento divergente</w:t>
      </w:r>
    </w:p>
    <w:p w:rsidR="001005DB" w:rsidRPr="00385B90" w:rsidRDefault="001005DB" w:rsidP="00550638">
      <w:pPr>
        <w:pStyle w:val="NormalWeb"/>
        <w:jc w:val="both"/>
        <w:rPr>
          <w:color w:val="FF0000"/>
          <w:u w:val="single"/>
        </w:rPr>
      </w:pPr>
      <w:r w:rsidRPr="00F56DE8">
        <w:rPr>
          <w:color w:val="FF0000"/>
          <w:u w:val="single"/>
        </w:rPr>
        <w:t>Robinson cree que debemos fomentar el pensamiento divergente</w:t>
      </w:r>
      <w:r>
        <w:t xml:space="preserve">. </w:t>
      </w:r>
      <w:r w:rsidRPr="00F56DE8">
        <w:rPr>
          <w:color w:val="FF0000"/>
          <w:u w:val="single"/>
        </w:rPr>
        <w:t>No es lo mismo que la creatividad, que se define como el proceso para tener ideas originales que son valiosas, pero sí es una condición esencial de ésta. Es la capacidad para ver muchas respuestas posibles a una pregunta, o muchas formas de interpretarla; par</w:t>
      </w:r>
      <w:r w:rsidR="00511546">
        <w:rPr>
          <w:color w:val="FF0000"/>
          <w:u w:val="single"/>
        </w:rPr>
        <w:t>a tener pensamientos laterales -</w:t>
      </w:r>
      <w:r w:rsidRPr="00F56DE8">
        <w:rPr>
          <w:color w:val="FF0000"/>
          <w:u w:val="single"/>
        </w:rPr>
        <w:t xml:space="preserve">tal como los definió </w:t>
      </w:r>
      <w:r w:rsidRPr="00385B90">
        <w:rPr>
          <w:bCs/>
          <w:color w:val="FF0000"/>
          <w:u w:val="single"/>
        </w:rPr>
        <w:t>Edward De Bono</w:t>
      </w:r>
      <w:r w:rsidR="00511546" w:rsidRPr="00385B90">
        <w:rPr>
          <w:color w:val="FF0000"/>
          <w:u w:val="single"/>
        </w:rPr>
        <w:t>-</w:t>
      </w:r>
      <w:r w:rsidRPr="00385B90">
        <w:rPr>
          <w:color w:val="FF0000"/>
          <w:u w:val="single"/>
        </w:rPr>
        <w:t>,</w:t>
      </w:r>
      <w:r w:rsidRPr="00F56DE8">
        <w:rPr>
          <w:color w:val="FF0000"/>
          <w:u w:val="single"/>
        </w:rPr>
        <w:t xml:space="preserve"> no sólo lineales o convergentes; en definitiva, </w:t>
      </w:r>
      <w:r w:rsidRPr="00385B90">
        <w:rPr>
          <w:bCs/>
          <w:color w:val="FF0000"/>
          <w:u w:val="single"/>
        </w:rPr>
        <w:t xml:space="preserve">la capacidad para saber que no sólo hay una respuesta correcta. </w:t>
      </w:r>
    </w:p>
    <w:p w:rsidR="001005DB" w:rsidRDefault="001005DB" w:rsidP="00550638">
      <w:pPr>
        <w:pStyle w:val="NormalWeb"/>
        <w:jc w:val="both"/>
      </w:pPr>
      <w:r>
        <w:t xml:space="preserve">Según un estudio, reflejado por </w:t>
      </w:r>
      <w:r w:rsidRPr="00385B90">
        <w:rPr>
          <w:bCs/>
        </w:rPr>
        <w:t>George Land</w:t>
      </w:r>
      <w:r w:rsidRPr="00385B90">
        <w:t xml:space="preserve"> y </w:t>
      </w:r>
      <w:r w:rsidRPr="00385B90">
        <w:rPr>
          <w:bCs/>
        </w:rPr>
        <w:t>Beth Jarman</w:t>
      </w:r>
      <w:r>
        <w:t xml:space="preserve"> en su libro </w:t>
      </w:r>
      <w:r>
        <w:rPr>
          <w:i/>
          <w:iCs/>
        </w:rPr>
        <w:t>Breakpoint and Beyond: Mastering the Future Today,</w:t>
      </w:r>
      <w:r>
        <w:rPr>
          <w:b/>
          <w:bCs/>
          <w:i/>
          <w:iCs/>
        </w:rPr>
        <w:t xml:space="preserve"> </w:t>
      </w:r>
      <w:r w:rsidRPr="00385B90">
        <w:rPr>
          <w:bCs/>
          <w:u w:val="single"/>
        </w:rPr>
        <w:t>el pensamiento divergente disminuye a medida que los niños crecen.</w:t>
      </w:r>
      <w:r>
        <w:t xml:space="preserve"> Esta capacidad debería ir mejorando con el tiempo, pero ocurre justo lo contrario. Todos la tenemos desde la infancia, pero se deteriora. Tal como explica Robinson, “los niños crecen en un sistema educativo, durante 10 años, en el que saben que hay una respuesta distinta, pero no se les permite utilizarla. No se puede mirar a los compañeros, ni copiarles, algo que fuera de la escuela se conoce como colaboración”. </w:t>
      </w:r>
    </w:p>
    <w:p w:rsidR="001005DB" w:rsidRDefault="001005DB" w:rsidP="00550638">
      <w:pPr>
        <w:pStyle w:val="NormalWeb"/>
        <w:jc w:val="both"/>
      </w:pPr>
      <w:r w:rsidRPr="00F56DE8">
        <w:rPr>
          <w:u w:val="single"/>
        </w:rPr>
        <w:t xml:space="preserve">Según el escritor británico, “esto no sucede porque los profesores lo quieran, sino porque </w:t>
      </w:r>
      <w:r w:rsidRPr="00385B90">
        <w:rPr>
          <w:bCs/>
          <w:u w:val="single"/>
        </w:rPr>
        <w:t>el sistema funciona así, porque está en los genes de la educación.</w:t>
      </w:r>
      <w:r w:rsidRPr="00F56DE8">
        <w:rPr>
          <w:u w:val="single"/>
        </w:rPr>
        <w:t xml:space="preserve"> Debemos pensar diferente sobre las capacidades humanas, debemos sobrepasar las antiguas concepciones que dividen todo entre académico y no académico, abstracto o teórico…</w:t>
      </w:r>
      <w:r>
        <w:t xml:space="preserve"> Hay que verlo como lo que es: un mito. Debemos entender que gran parte del proceso cognitivo ocurre en grupo y que la colaboración es parte del crecimiento. Si separamos a los niños, y les juzgamos de forma distinta, les apartamos de lo que debería ser el proceso natural de aprendizaje: en grupo. Desafortunadamente esto está en los hábitos de las instituciones y el hábitat de aquellos que las ocupan”.</w:t>
      </w:r>
    </w:p>
    <w:p w:rsidR="00320470" w:rsidRPr="00320470" w:rsidRDefault="00320470" w:rsidP="00550638">
      <w:pPr>
        <w:pStyle w:val="NormalWeb"/>
        <w:jc w:val="both"/>
        <w:rPr>
          <w:u w:val="single"/>
        </w:rPr>
      </w:pPr>
      <w:r w:rsidRPr="00320470">
        <w:rPr>
          <w:u w:val="single"/>
        </w:rPr>
        <w:t>No todo es cuestión de dinero</w:t>
      </w:r>
      <w:r w:rsidR="00A52DE9">
        <w:rPr>
          <w:u w:val="single"/>
        </w:rPr>
        <w:t xml:space="preserve"> (el gasto y los resultados</w:t>
      </w:r>
      <w:r w:rsidR="00E21337">
        <w:rPr>
          <w:u w:val="single"/>
        </w:rPr>
        <w:t xml:space="preserve"> educativos)</w:t>
      </w:r>
    </w:p>
    <w:p w:rsidR="00E21337" w:rsidRPr="001005DB" w:rsidRDefault="00E21337" w:rsidP="00550638">
      <w:pPr>
        <w:pStyle w:val="NormalWeb"/>
        <w:jc w:val="both"/>
        <w:rPr>
          <w:color w:val="FF0000"/>
          <w:u w:val="single"/>
        </w:rPr>
      </w:pPr>
      <w:r>
        <w:rPr>
          <w:i/>
        </w:rPr>
        <w:t>“</w:t>
      </w:r>
      <w:r w:rsidR="001005DB" w:rsidRPr="00E21337">
        <w:rPr>
          <w:i/>
        </w:rPr>
        <w:t>Los estudios internacionales resaltan que, a partir de un nivel mínimo, el gasto no tiene demasiado peso en los resultados educativos</w:t>
      </w:r>
      <w:r>
        <w:rPr>
          <w:i/>
        </w:rPr>
        <w:t xml:space="preserve">”… </w:t>
      </w:r>
      <w:r w:rsidRPr="00020100">
        <w:rPr>
          <w:u w:val="single"/>
        </w:rPr>
        <w:t>España gasta más en educación que sus vecinos y saca peores resultados</w:t>
      </w:r>
      <w:r>
        <w:t xml:space="preserve"> (Libertad Digital - </w:t>
      </w:r>
      <w:r w:rsidRPr="00F672B0">
        <w:rPr>
          <w:b/>
        </w:rPr>
        <w:t>12/4/12</w:t>
      </w:r>
      <w:r>
        <w:t>)</w:t>
      </w:r>
    </w:p>
    <w:p w:rsidR="001005DB" w:rsidRPr="00F672B0" w:rsidRDefault="00E21337" w:rsidP="00550638">
      <w:pPr>
        <w:spacing w:line="240" w:lineRule="auto"/>
        <w:jc w:val="both"/>
        <w:rPr>
          <w:rFonts w:ascii="Times New Roman" w:hAnsi="Times New Roman"/>
          <w:sz w:val="24"/>
          <w:szCs w:val="24"/>
        </w:rPr>
      </w:pPr>
      <w:r>
        <w:rPr>
          <w:rFonts w:ascii="Times New Roman" w:hAnsi="Times New Roman"/>
          <w:sz w:val="24"/>
          <w:szCs w:val="24"/>
        </w:rPr>
        <w:t>En lo que se refiere al gasto público en</w:t>
      </w:r>
      <w:r w:rsidR="001005DB" w:rsidRPr="00F672B0">
        <w:rPr>
          <w:rFonts w:ascii="Times New Roman" w:hAnsi="Times New Roman"/>
          <w:sz w:val="24"/>
          <w:szCs w:val="24"/>
        </w:rPr>
        <w:t xml:space="preserve"> escuelas y universidades, l</w:t>
      </w:r>
      <w:r>
        <w:rPr>
          <w:rFonts w:ascii="Times New Roman" w:hAnsi="Times New Roman"/>
          <w:sz w:val="24"/>
          <w:szCs w:val="24"/>
        </w:rPr>
        <w:t>a argumentación podría llegar a ser: “</w:t>
      </w:r>
      <w:r w:rsidR="001005DB" w:rsidRPr="00F672B0">
        <w:rPr>
          <w:rFonts w:ascii="Times New Roman" w:hAnsi="Times New Roman"/>
          <w:sz w:val="24"/>
          <w:szCs w:val="24"/>
        </w:rPr>
        <w:t>La educación es una inversión de futuro. Recortar el gasto supondrá una merma en la calidad de la enseñanza, algo que influirá decisivamente en la prep</w:t>
      </w:r>
      <w:r>
        <w:rPr>
          <w:rFonts w:ascii="Times New Roman" w:hAnsi="Times New Roman"/>
          <w:sz w:val="24"/>
          <w:szCs w:val="24"/>
        </w:rPr>
        <w:t>aración de los jóvenes</w:t>
      </w:r>
      <w:r w:rsidR="001005DB" w:rsidRPr="00F672B0">
        <w:rPr>
          <w:rFonts w:ascii="Times New Roman" w:hAnsi="Times New Roman"/>
          <w:sz w:val="24"/>
          <w:szCs w:val="24"/>
        </w:rPr>
        <w:t>. Por lo tanto, cualquier recorte no sólo tendrá consecuencias en las escuelas, sino que también tendrá su reflejo en e</w:t>
      </w:r>
      <w:r>
        <w:rPr>
          <w:rFonts w:ascii="Times New Roman" w:hAnsi="Times New Roman"/>
          <w:sz w:val="24"/>
          <w:szCs w:val="24"/>
        </w:rPr>
        <w:t>l futuro de la economía”</w:t>
      </w:r>
      <w:r w:rsidR="001005DB" w:rsidRPr="00F672B0">
        <w:rPr>
          <w:rFonts w:ascii="Times New Roman" w:hAnsi="Times New Roman"/>
          <w:sz w:val="24"/>
          <w:szCs w:val="24"/>
        </w:rPr>
        <w:t>. Este tipo de razonamientos tiene algo de absurdo. Exagerando un poco,</w:t>
      </w:r>
      <w:r>
        <w:rPr>
          <w:rFonts w:ascii="Times New Roman" w:hAnsi="Times New Roman"/>
          <w:sz w:val="24"/>
          <w:szCs w:val="24"/>
        </w:rPr>
        <w:t xml:space="preserve"> podríamos </w:t>
      </w:r>
      <w:r>
        <w:rPr>
          <w:rFonts w:ascii="Times New Roman" w:hAnsi="Times New Roman"/>
          <w:sz w:val="24"/>
          <w:szCs w:val="24"/>
        </w:rPr>
        <w:lastRenderedPageBreak/>
        <w:t>preguntarnos: si se estuviera</w:t>
      </w:r>
      <w:r w:rsidR="001005DB" w:rsidRPr="00F672B0">
        <w:rPr>
          <w:rFonts w:ascii="Times New Roman" w:hAnsi="Times New Roman"/>
          <w:sz w:val="24"/>
          <w:szCs w:val="24"/>
        </w:rPr>
        <w:t xml:space="preserve"> gastando diez veces más que ahora, ¿también sería imposible hacer ningún rec</w:t>
      </w:r>
      <w:r>
        <w:rPr>
          <w:rFonts w:ascii="Times New Roman" w:hAnsi="Times New Roman"/>
          <w:sz w:val="24"/>
          <w:szCs w:val="24"/>
        </w:rPr>
        <w:t>orte sin que la calidad cayera?</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Para tratar un tema que desata tantas pasiones, quizás lo mejor sea acudir a las cifras de los más conocidos estudios sobre la materia. El Informe PISA, que elabora la OCDE y que mide el resultado de los alumnos de secundaria de las principales ec</w:t>
      </w:r>
      <w:r w:rsidR="00E21337">
        <w:rPr>
          <w:rFonts w:ascii="Times New Roman" w:hAnsi="Times New Roman"/>
          <w:sz w:val="24"/>
          <w:szCs w:val="24"/>
        </w:rPr>
        <w:t>onomías del mundo, destaca que “</w:t>
      </w:r>
      <w:r w:rsidRPr="00F672B0">
        <w:rPr>
          <w:rFonts w:ascii="Times New Roman" w:hAnsi="Times New Roman"/>
          <w:sz w:val="24"/>
          <w:szCs w:val="24"/>
        </w:rPr>
        <w:t>existe una débil relación entre recursos educacionales y</w:t>
      </w:r>
      <w:r w:rsidR="00E21337">
        <w:rPr>
          <w:rFonts w:ascii="Times New Roman" w:hAnsi="Times New Roman"/>
          <w:sz w:val="24"/>
          <w:szCs w:val="24"/>
        </w:rPr>
        <w:t xml:space="preserve"> rendimiento de los estudiantes”</w:t>
      </w:r>
      <w:r w:rsidRPr="00F672B0">
        <w:rPr>
          <w:rFonts w:ascii="Times New Roman" w:hAnsi="Times New Roman"/>
          <w:sz w:val="24"/>
          <w:szCs w:val="24"/>
        </w:rPr>
        <w:t>. Andreas Schleicher, jefe de analistas de PISA, atribuye sólo un 10% del total de la variación en las notas al dinero gastado por las autoridades.</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La conclusión que se saca es que un nivel mínimo de gasto es imprescindible. Evidentemente, es muy difícil dar una educación de calidad con 200 euros al año por alumno. Pero una vez alcanzado ese mínimo (algo que todos los países europeos han conseguido), los incrementos del presupuesto no tienen por qué ser buenos. Lo importante sería dónde poner el dinero y no el gasto total.</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 xml:space="preserve">En España, Antonio Cabrales y Florentino Felgueroso, dos de los mayores expertos en economía de la educación, recordaban </w:t>
      </w:r>
      <w:r w:rsidR="00E21337">
        <w:rPr>
          <w:rFonts w:ascii="Times New Roman" w:hAnsi="Times New Roman"/>
          <w:sz w:val="24"/>
          <w:szCs w:val="24"/>
        </w:rPr>
        <w:t>(</w:t>
      </w:r>
      <w:r w:rsidRPr="00F672B0">
        <w:rPr>
          <w:rFonts w:ascii="Times New Roman" w:hAnsi="Times New Roman"/>
          <w:sz w:val="24"/>
          <w:szCs w:val="24"/>
        </w:rPr>
        <w:t>hace unos meses</w:t>
      </w:r>
      <w:r w:rsidR="00E21337">
        <w:rPr>
          <w:rFonts w:ascii="Times New Roman" w:hAnsi="Times New Roman"/>
          <w:sz w:val="24"/>
          <w:szCs w:val="24"/>
        </w:rPr>
        <w:t>)</w:t>
      </w:r>
      <w:r w:rsidRPr="00F672B0">
        <w:rPr>
          <w:rFonts w:ascii="Times New Roman" w:hAnsi="Times New Roman"/>
          <w:sz w:val="24"/>
          <w:szCs w:val="24"/>
        </w:rPr>
        <w:t xml:space="preserve"> que no existe correlación entre gasto educativo y rendimiento de los alumnos. En el siguiente gráfico, puede verse como países con un enorme gasto por alumno, como Luxemburgo o Noruega, sacan peores notas que Finlandia, Corea o Estonia, que soportan un coste muy inferior. España, mientras, tiene un gasto similar al de la mayoría de los países de su entorno (algo mayor que Francia o Alemania, por ejemplo), pero está en los últimos puestos en cuanto a resultados.</w:t>
      </w:r>
    </w:p>
    <w:p w:rsidR="001005DB" w:rsidRPr="00F672B0" w:rsidRDefault="001005DB" w:rsidP="00550638">
      <w:pPr>
        <w:pStyle w:val="NormalWeb"/>
        <w:jc w:val="center"/>
      </w:pPr>
      <w:r>
        <w:rPr>
          <w:noProof/>
        </w:rPr>
        <w:drawing>
          <wp:inline distT="0" distB="0" distL="0" distR="0" wp14:anchorId="1E8C7B99" wp14:editId="0E6E5CE0">
            <wp:extent cx="5486400" cy="2794406"/>
            <wp:effectExtent l="0" t="0" r="0" b="6350"/>
            <wp:docPr id="27" name="Imagen 27" descr="educacion_gast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ducacion_gasto_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486400" cy="2794406"/>
                    </a:xfrm>
                    <a:prstGeom prst="rect">
                      <a:avLst/>
                    </a:prstGeom>
                    <a:noFill/>
                    <a:ln>
                      <a:noFill/>
                    </a:ln>
                  </pic:spPr>
                </pic:pic>
              </a:graphicData>
            </a:graphic>
          </wp:inline>
        </w:drawing>
      </w:r>
    </w:p>
    <w:p w:rsidR="00E21337" w:rsidRDefault="00E21337" w:rsidP="00550638">
      <w:pPr>
        <w:spacing w:line="240" w:lineRule="auto"/>
        <w:jc w:val="both"/>
        <w:rPr>
          <w:rFonts w:ascii="Times New Roman" w:hAnsi="Times New Roman"/>
          <w:sz w:val="24"/>
          <w:szCs w:val="24"/>
        </w:rPr>
      </w:pP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Según los últimos datos disponibles a nivel europeo, de 2007, el gasto por alumno en la UE-27 era de 6.251 euros de media al año. España superaba ampliamente esa cifra, con 6.773 euros. Alemania o Finlandia, dos países mucho más ricos y con resultados sensiblemente superiores en PISA, gastaban 6.752 y 6,682 euros respectivamente. Y Estonia, el país del este más exitoso en el examen de la OCDE, apenas llegaba a los 3.675 euros (aunque los utilizaba mejor que España).</w:t>
      </w:r>
    </w:p>
    <w:p w:rsidR="001005DB" w:rsidRDefault="001005DB" w:rsidP="00550638">
      <w:pPr>
        <w:pStyle w:val="NormalWeb"/>
        <w:jc w:val="center"/>
      </w:pPr>
      <w:r>
        <w:rPr>
          <w:noProof/>
        </w:rPr>
        <w:lastRenderedPageBreak/>
        <w:drawing>
          <wp:inline distT="0" distB="0" distL="0" distR="0" wp14:anchorId="3AEDAB02" wp14:editId="4AC636F4">
            <wp:extent cx="3313786" cy="4901184"/>
            <wp:effectExtent l="0" t="0" r="1270" b="0"/>
            <wp:docPr id="26" name="Imagen 26" descr="educacion_gasto_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ducacion_gasto_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314065" cy="4901597"/>
                    </a:xfrm>
                    <a:prstGeom prst="rect">
                      <a:avLst/>
                    </a:prstGeom>
                    <a:noFill/>
                    <a:ln>
                      <a:noFill/>
                    </a:ln>
                  </pic:spPr>
                </pic:pic>
              </a:graphicData>
            </a:graphic>
          </wp:inline>
        </w:drawing>
      </w:r>
    </w:p>
    <w:p w:rsidR="001005DB" w:rsidRPr="00385B90" w:rsidRDefault="001005DB" w:rsidP="00550638">
      <w:pPr>
        <w:pStyle w:val="NormalWeb"/>
        <w:jc w:val="center"/>
        <w:rPr>
          <w:b/>
        </w:rPr>
      </w:pPr>
      <w:r w:rsidRPr="00385B90">
        <w:rPr>
          <w:rStyle w:val="Textoennegrita"/>
          <w:rFonts w:eastAsiaTheme="majorEastAsia"/>
          <w:b w:val="0"/>
        </w:rPr>
        <w:t>Gasto por alumno 2007</w:t>
      </w:r>
      <w:r w:rsidRPr="00385B90">
        <w:rPr>
          <w:b/>
        </w:rPr>
        <w:t xml:space="preserve"> </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Cuando se habla del gasto en educación, una variable que se maneja habitualmente es la de alumnos por clase y por profesor. También aquí España presenta cifras similares a las de los países de la UE. En los colegios públicos de primaria, por ejemplo, el número de niños por clase es de 19,8, frente al 21,7 de Alemania o los 28 de Japón (uno de los grandes triunfadores de PISA). Y en los institutos, la cifra de 23,5 es también inferior a la de estos dos países (24,6 para el europeo y 32,9 para el asiático).</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Esta tendencia se mantiene en el ratio alumnos por profesor. En esta cuestión, por ejemplo, España tiene una cifra sensiblemente inferior a la de Finlandia, el mejor país europeo para PISA. En educación secundaria, la relación en las escuelas hispanas es de 9,3 alumnos por maestro, mientras que la media de la OCDE es de 13,5 y la de los institutos finlandeses es de 16,6.</w:t>
      </w:r>
    </w:p>
    <w:p w:rsidR="001005DB" w:rsidRDefault="001005DB" w:rsidP="00550638">
      <w:pPr>
        <w:pStyle w:val="NormalWeb"/>
        <w:jc w:val="center"/>
      </w:pPr>
      <w:r>
        <w:rPr>
          <w:noProof/>
        </w:rPr>
        <w:lastRenderedPageBreak/>
        <w:drawing>
          <wp:inline distT="0" distB="0" distL="0" distR="0" wp14:anchorId="31371691" wp14:editId="2969900B">
            <wp:extent cx="5574030" cy="3452774"/>
            <wp:effectExtent l="0" t="0" r="7620" b="0"/>
            <wp:docPr id="25" name="Imagen 25" descr="educacion_gast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ducacion_gasto_3"/>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74030" cy="3452774"/>
                    </a:xfrm>
                    <a:prstGeom prst="rect">
                      <a:avLst/>
                    </a:prstGeom>
                    <a:noFill/>
                    <a:ln>
                      <a:noFill/>
                    </a:ln>
                  </pic:spPr>
                </pic:pic>
              </a:graphicData>
            </a:graphic>
          </wp:inline>
        </w:drawing>
      </w:r>
    </w:p>
    <w:p w:rsidR="001005DB" w:rsidRPr="00385B90" w:rsidRDefault="001005DB" w:rsidP="00550638">
      <w:pPr>
        <w:pStyle w:val="NormalWeb"/>
        <w:jc w:val="center"/>
        <w:rPr>
          <w:b/>
        </w:rPr>
      </w:pPr>
      <w:r w:rsidRPr="00385B90">
        <w:rPr>
          <w:rStyle w:val="Textoennegrita"/>
          <w:rFonts w:eastAsiaTheme="majorEastAsia"/>
          <w:b w:val="0"/>
        </w:rPr>
        <w:t>Alumnos por clase</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 xml:space="preserve">¿Y entonces qué? </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Llegados a este punto, puede que muchos políticos estén preguntándose qué pueden hacer. En muchas ocasiones, su única respuesta es un aumento del gasto o anunciar una nueva partida o la construcción de una flamante escuela.</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 xml:space="preserve">En realidad, PISA destaca que lo más importante es el sistema educativo y resalta algunas cuestiones que funcionan allí donde se aplican, como aumentar la autonomía de las escuelas (en detrimento de los políticos, no lo olvidemos), incrementar la disciplina o realizar exámenes externos a los centros para evaluar quién lo está haciendo bien y quién no. En la misma línea se manifiestan Cabrales y Felgueroso en su artículo. </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 xml:space="preserve">Los sueldos de los profesores </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Sin embargo, sí que existe una variable que depende en gran parte del gasto y que tiene una influencia directa en los resultados de los alumnos. Todos los informes internacionales coinciden en que la calidad del profesorado es clave para mejorar el conjunto del sistema educativo. Es más, muchos autores defienden que es la variable más importante. El problema es que, de nuevo, en esta cuestión no es relevante sólo el cuánto, sino el cómo.</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De hecho, en la cuestión de cómo se paga al profesorado, España vuelve a presentar unas buenas cifras, en relación a los países de su entorno. Para empezar, la proporción del gasto en educación destinado a los sueldos de los maestros es muy elevada. De cada cien euros que aparecen bajo l</w:t>
      </w:r>
      <w:r w:rsidR="0058222E">
        <w:rPr>
          <w:rFonts w:ascii="Times New Roman" w:hAnsi="Times New Roman"/>
          <w:sz w:val="24"/>
          <w:szCs w:val="24"/>
        </w:rPr>
        <w:t>a rúbrica de “educación”</w:t>
      </w:r>
      <w:r w:rsidRPr="00F672B0">
        <w:rPr>
          <w:rFonts w:ascii="Times New Roman" w:hAnsi="Times New Roman"/>
          <w:sz w:val="24"/>
          <w:szCs w:val="24"/>
        </w:rPr>
        <w:t xml:space="preserve"> en los presupuestos públicos, 73,3 van destinados a pagar a los profesores. En la OCDE, la media es del 63%.</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¿Y esto qué supone? Pues que la retribución de los maestros en España sea relativamente elevada en comparación con sus colegas europeos.</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lastRenderedPageBreak/>
        <w:t xml:space="preserve"> • La paga inicial para un profesor de secundaria es de 40.923 euros (en miles de euros convertidos mediante paridad del poder adquisitivo; es decir, ajustando en función del PIB per cápita de cada país). Mientras, la media de la OCDE es de 29.472 euros (en Finlandia, por ejemplo, este sueldo es de 31.382 euros).</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 El sueldo máximo (según la escala del informe) es de 57.304 euros, frente a los 47.470 de media de la OCDE (en Finlandia es de 53.636 euros).</w:t>
      </w:r>
    </w:p>
    <w:p w:rsidR="0058222E" w:rsidRDefault="001005DB" w:rsidP="00550638">
      <w:pPr>
        <w:spacing w:before="100" w:beforeAutospacing="1" w:after="100" w:afterAutospacing="1" w:line="240" w:lineRule="auto"/>
        <w:jc w:val="center"/>
        <w:rPr>
          <w:rFonts w:ascii="Times New Roman" w:eastAsia="Times New Roman" w:hAnsi="Times New Roman"/>
          <w:b/>
          <w:bCs/>
          <w:sz w:val="24"/>
          <w:szCs w:val="24"/>
          <w:lang w:eastAsia="es-ES"/>
        </w:rPr>
      </w:pPr>
      <w:r>
        <w:rPr>
          <w:rFonts w:ascii="Times New Roman" w:eastAsia="Times New Roman" w:hAnsi="Times New Roman"/>
          <w:noProof/>
          <w:sz w:val="24"/>
          <w:szCs w:val="24"/>
          <w:lang w:eastAsia="es-ES"/>
        </w:rPr>
        <w:drawing>
          <wp:inline distT="0" distB="0" distL="0" distR="0" wp14:anchorId="51C7C7E4" wp14:editId="784C641F">
            <wp:extent cx="5706110" cy="2903855"/>
            <wp:effectExtent l="0" t="0" r="8890" b="0"/>
            <wp:docPr id="24" name="Imagen 24" descr="educacion_gasto_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ducacion_gasto_4"/>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06110" cy="2903855"/>
                    </a:xfrm>
                    <a:prstGeom prst="rect">
                      <a:avLst/>
                    </a:prstGeom>
                    <a:noFill/>
                    <a:ln>
                      <a:noFill/>
                    </a:ln>
                  </pic:spPr>
                </pic:pic>
              </a:graphicData>
            </a:graphic>
          </wp:inline>
        </w:drawing>
      </w:r>
    </w:p>
    <w:p w:rsidR="001005DB" w:rsidRPr="00FC6289" w:rsidRDefault="001005DB" w:rsidP="00550638">
      <w:pPr>
        <w:spacing w:before="100" w:beforeAutospacing="1" w:after="100" w:afterAutospacing="1" w:line="240" w:lineRule="auto"/>
        <w:jc w:val="both"/>
        <w:rPr>
          <w:rFonts w:ascii="Times New Roman" w:eastAsia="Times New Roman" w:hAnsi="Times New Roman"/>
          <w:sz w:val="24"/>
          <w:szCs w:val="24"/>
          <w:lang w:eastAsia="es-ES"/>
        </w:rPr>
      </w:pPr>
      <w:r w:rsidRPr="00072DDE">
        <w:rPr>
          <w:rFonts w:ascii="Times New Roman" w:eastAsia="Times New Roman" w:hAnsi="Times New Roman"/>
          <w:bCs/>
          <w:sz w:val="24"/>
          <w:szCs w:val="24"/>
          <w:lang w:eastAsia="es-ES"/>
        </w:rPr>
        <w:t>Retribución profesores en 2009</w:t>
      </w:r>
      <w:r>
        <w:rPr>
          <w:rFonts w:ascii="Times New Roman" w:eastAsia="Times New Roman" w:hAnsi="Times New Roman"/>
          <w:sz w:val="24"/>
          <w:szCs w:val="24"/>
          <w:lang w:eastAsia="es-ES"/>
        </w:rPr>
        <w:t xml:space="preserve"> </w:t>
      </w:r>
      <w:r w:rsidRPr="00F672B0">
        <w:rPr>
          <w:rFonts w:ascii="Times New Roman" w:hAnsi="Times New Roman"/>
          <w:sz w:val="24"/>
          <w:szCs w:val="24"/>
        </w:rPr>
        <w:t xml:space="preserve">(en euros </w:t>
      </w:r>
      <w:r w:rsidR="0058222E">
        <w:rPr>
          <w:rFonts w:ascii="Times New Roman" w:hAnsi="Times New Roman"/>
          <w:sz w:val="24"/>
          <w:szCs w:val="24"/>
        </w:rPr>
        <w:t xml:space="preserve">convertidos según Paridad Poder </w:t>
      </w:r>
      <w:r w:rsidRPr="00F672B0">
        <w:rPr>
          <w:rFonts w:ascii="Times New Roman" w:hAnsi="Times New Roman"/>
          <w:sz w:val="24"/>
          <w:szCs w:val="24"/>
        </w:rPr>
        <w:t xml:space="preserve">Adquisitivo) </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La fotografía resultante es la de un país que gasta en educación más que sus vecinos y que además retribuye a sus maestros con generosidad, pero a pesar de todo no consigue los resultados buscados. ¿Por qué? Quizás porque gasta mal o no se centra en aquellas cues</w:t>
      </w:r>
      <w:r w:rsidR="00072DDE">
        <w:rPr>
          <w:rFonts w:ascii="Times New Roman" w:hAnsi="Times New Roman"/>
          <w:sz w:val="24"/>
          <w:szCs w:val="24"/>
        </w:rPr>
        <w:t xml:space="preserve">tiones que sí son importantes. </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En la cuestión del salario de los profesores, todo esto queda en evidencia. Como destacaba hace unos mes</w:t>
      </w:r>
      <w:r w:rsidR="00072DDE">
        <w:rPr>
          <w:rFonts w:ascii="Times New Roman" w:hAnsi="Times New Roman"/>
          <w:sz w:val="24"/>
          <w:szCs w:val="24"/>
        </w:rPr>
        <w:t>es Antonio Cabrales: “</w:t>
      </w:r>
      <w:r w:rsidRPr="00F672B0">
        <w:rPr>
          <w:rFonts w:ascii="Times New Roman" w:hAnsi="Times New Roman"/>
          <w:sz w:val="24"/>
          <w:szCs w:val="24"/>
        </w:rPr>
        <w:t>No puede ser que los profesores que trabajan bi</w:t>
      </w:r>
      <w:r w:rsidR="00072DDE">
        <w:rPr>
          <w:rFonts w:ascii="Times New Roman" w:hAnsi="Times New Roman"/>
          <w:sz w:val="24"/>
          <w:szCs w:val="24"/>
        </w:rPr>
        <w:t>en ganen lo mismo que los vagos”</w:t>
      </w:r>
      <w:r w:rsidRPr="00F672B0">
        <w:rPr>
          <w:rFonts w:ascii="Times New Roman" w:hAnsi="Times New Roman"/>
          <w:sz w:val="24"/>
          <w:szCs w:val="24"/>
        </w:rPr>
        <w:t>.</w:t>
      </w:r>
    </w:p>
    <w:p w:rsidR="001005DB" w:rsidRPr="00F672B0"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Los estudios internacionales destacan que para mejorar la actitud de los profesores es fundamental asociar su remuneración a su rendimiento. Esto es algo lógico y que se cumple en casi todas las profesiones: si el sueldo depende de las ventas, la satisfacción del cliente o cualquier otro resultado, lo normal es que el trabajador se esfuerce más. Sin embargo, en España los profesores son funcionarios y su salario depende de la antigüedad, no de su desempeño. Es uno de los países en los que se da esta circunstancia de forma más clara.</w:t>
      </w:r>
    </w:p>
    <w:p w:rsidR="001005DB" w:rsidRDefault="001005DB" w:rsidP="00550638">
      <w:pPr>
        <w:spacing w:line="240" w:lineRule="auto"/>
        <w:jc w:val="both"/>
        <w:rPr>
          <w:rFonts w:ascii="Times New Roman" w:hAnsi="Times New Roman"/>
          <w:sz w:val="24"/>
          <w:szCs w:val="24"/>
        </w:rPr>
      </w:pPr>
      <w:r w:rsidRPr="00F672B0">
        <w:rPr>
          <w:rFonts w:ascii="Times New Roman" w:hAnsi="Times New Roman"/>
          <w:sz w:val="24"/>
          <w:szCs w:val="24"/>
        </w:rPr>
        <w:t xml:space="preserve">Cabrales y Felgueroso apuestan por aumentar la autonomía de los colegios en la contratación del profesorado, con el objetivo de conseguir que sean siempre los mejores los que acaban en las aulas. Además, piden que se monte algún tipo de sistema de incentivos, en función de su productividad. Esto no tiene por qué ser más caro: se trata de pagar más a los que se lo merezcan y menos a los que no se esfuercen tanto. Hay varios sistemas para conseguirlo: bonus en función de las notas de los alumnos en exámenes estandarizados, o beneficios para los colegios excelentes o para los que </w:t>
      </w:r>
      <w:r w:rsidRPr="00F672B0">
        <w:rPr>
          <w:rFonts w:ascii="Times New Roman" w:hAnsi="Times New Roman"/>
          <w:sz w:val="24"/>
          <w:szCs w:val="24"/>
        </w:rPr>
        <w:lastRenderedPageBreak/>
        <w:t>reduzcan las cifras de abandono escolar, etc... La cuestión es primar la excelencia frente al acomodo.</w:t>
      </w:r>
    </w:p>
    <w:p w:rsidR="00072DDE" w:rsidRPr="00072DDE" w:rsidRDefault="00072DDE" w:rsidP="00550638">
      <w:pPr>
        <w:spacing w:line="240" w:lineRule="auto"/>
        <w:jc w:val="both"/>
        <w:rPr>
          <w:rFonts w:ascii="Times New Roman" w:hAnsi="Times New Roman"/>
          <w:sz w:val="24"/>
          <w:szCs w:val="24"/>
          <w:u w:val="single"/>
        </w:rPr>
      </w:pPr>
      <w:r w:rsidRPr="00072DDE">
        <w:rPr>
          <w:rFonts w:ascii="Times New Roman" w:hAnsi="Times New Roman"/>
          <w:sz w:val="24"/>
          <w:szCs w:val="24"/>
          <w:u w:val="single"/>
        </w:rPr>
        <w:t>Qué proponen los que saben</w:t>
      </w:r>
      <w:r>
        <w:rPr>
          <w:rFonts w:ascii="Times New Roman" w:hAnsi="Times New Roman"/>
          <w:sz w:val="24"/>
          <w:szCs w:val="24"/>
          <w:u w:val="single"/>
        </w:rPr>
        <w:t xml:space="preserve"> (el modelo “sin excusas”)</w:t>
      </w:r>
    </w:p>
    <w:p w:rsidR="001005DB" w:rsidRPr="001005DB" w:rsidRDefault="001005DB" w:rsidP="00550638">
      <w:pPr>
        <w:spacing w:line="240" w:lineRule="auto"/>
        <w:jc w:val="both"/>
        <w:rPr>
          <w:rFonts w:ascii="Times New Roman" w:hAnsi="Times New Roman"/>
          <w:sz w:val="24"/>
          <w:szCs w:val="24"/>
        </w:rPr>
      </w:pPr>
      <w:r w:rsidRPr="001005DB">
        <w:rPr>
          <w:rFonts w:ascii="Times New Roman" w:hAnsi="Times New Roman"/>
          <w:sz w:val="24"/>
          <w:szCs w:val="24"/>
        </w:rPr>
        <w:t xml:space="preserve">- </w:t>
      </w:r>
      <w:r w:rsidRPr="001005DB">
        <w:rPr>
          <w:rFonts w:ascii="Times New Roman" w:hAnsi="Times New Roman"/>
          <w:sz w:val="24"/>
          <w:szCs w:val="24"/>
          <w:u w:val="single"/>
        </w:rPr>
        <w:t>¿Cómo hacer una escuela efectiva? Sin excusas</w:t>
      </w:r>
      <w:r w:rsidRPr="001005DB">
        <w:rPr>
          <w:rFonts w:ascii="Times New Roman" w:hAnsi="Times New Roman"/>
          <w:sz w:val="24"/>
          <w:szCs w:val="24"/>
        </w:rPr>
        <w:t xml:space="preserve"> (Fedea - </w:t>
      </w:r>
      <w:r w:rsidRPr="00072DDE">
        <w:rPr>
          <w:rFonts w:ascii="Times New Roman" w:hAnsi="Times New Roman"/>
          <w:b/>
          <w:sz w:val="24"/>
          <w:szCs w:val="24"/>
        </w:rPr>
        <w:t>23/4/12</w:t>
      </w:r>
      <w:r w:rsidRPr="001005DB">
        <w:rPr>
          <w:rFonts w:ascii="Times New Roman" w:hAnsi="Times New Roman"/>
          <w:sz w:val="24"/>
          <w:szCs w:val="24"/>
        </w:rPr>
        <w:t>)</w:t>
      </w:r>
    </w:p>
    <w:p w:rsidR="001005DB" w:rsidRPr="00072DDE" w:rsidRDefault="00072DDE" w:rsidP="00550638">
      <w:pPr>
        <w:spacing w:line="240" w:lineRule="auto"/>
        <w:jc w:val="both"/>
        <w:rPr>
          <w:rFonts w:ascii="Times New Roman" w:hAnsi="Times New Roman"/>
          <w:sz w:val="24"/>
          <w:szCs w:val="24"/>
        </w:rPr>
      </w:pPr>
      <w:r w:rsidRPr="00072DDE">
        <w:rPr>
          <w:rFonts w:ascii="Times New Roman" w:hAnsi="Times New Roman" w:cs="Times New Roman"/>
          <w:sz w:val="24"/>
          <w:szCs w:val="24"/>
        </w:rPr>
        <w:t xml:space="preserve">(Por </w:t>
      </w:r>
      <w:r w:rsidR="001005DB" w:rsidRPr="00072DDE">
        <w:rPr>
          <w:rFonts w:ascii="Times New Roman" w:hAnsi="Times New Roman" w:cs="Times New Roman"/>
          <w:sz w:val="24"/>
          <w:szCs w:val="24"/>
        </w:rPr>
        <w:t xml:space="preserve"> </w:t>
      </w:r>
      <w:r w:rsidR="001005DB" w:rsidRPr="00072DDE">
        <w:rPr>
          <w:rStyle w:val="author"/>
          <w:rFonts w:ascii="Times New Roman" w:hAnsi="Times New Roman" w:cs="Times New Roman"/>
          <w:sz w:val="24"/>
          <w:szCs w:val="24"/>
        </w:rPr>
        <w:t>Antonio Cabrales</w:t>
      </w:r>
      <w:r w:rsidR="001005DB" w:rsidRPr="00072DDE">
        <w:rPr>
          <w:rFonts w:ascii="Times New Roman" w:hAnsi="Times New Roman" w:cs="Times New Roman"/>
          <w:sz w:val="24"/>
          <w:szCs w:val="24"/>
        </w:rPr>
        <w:t>)</w:t>
      </w:r>
      <w:r>
        <w:t xml:space="preserve">                                                                                   </w:t>
      </w:r>
      <w:r>
        <w:rPr>
          <w:rFonts w:ascii="Times New Roman" w:hAnsi="Times New Roman"/>
          <w:sz w:val="24"/>
          <w:szCs w:val="24"/>
        </w:rPr>
        <w:t>Lectura recomendada</w:t>
      </w:r>
    </w:p>
    <w:p w:rsidR="001005DB" w:rsidRPr="00822CE7" w:rsidRDefault="001005DB" w:rsidP="00550638">
      <w:pPr>
        <w:pStyle w:val="NormalWeb"/>
        <w:jc w:val="both"/>
        <w:rPr>
          <w:i/>
          <w:u w:val="single"/>
        </w:rPr>
      </w:pPr>
      <w:r>
        <w:t xml:space="preserve">Esto de </w:t>
      </w:r>
      <w:r w:rsidR="006A2645">
        <w:t>“</w:t>
      </w:r>
      <w:r w:rsidRPr="006A2645">
        <w:rPr>
          <w:rStyle w:val="nfasis"/>
          <w:i w:val="0"/>
        </w:rPr>
        <w:t>sin excusas</w:t>
      </w:r>
      <w:r w:rsidR="006A2645">
        <w:rPr>
          <w:rStyle w:val="nfasis"/>
          <w:i w:val="0"/>
        </w:rPr>
        <w:t>”</w:t>
      </w:r>
      <w:r>
        <w:t xml:space="preserve"> parece el título de una película de Clint Eastwood. Y en alguna medida se trata de esto. </w:t>
      </w:r>
      <w:r w:rsidRPr="00820C1E">
        <w:rPr>
          <w:u w:val="single"/>
        </w:rPr>
        <w:t xml:space="preserve">Leyendo una investigación reciente de </w:t>
      </w:r>
      <w:hyperlink r:id="rId122" w:history="1">
        <w:r w:rsidRPr="00072DDE">
          <w:rPr>
            <w:rStyle w:val="Hipervnculo"/>
            <w:rFonts w:eastAsiaTheme="majorEastAsia"/>
            <w:color w:val="auto"/>
          </w:rPr>
          <w:t>Dobbie y Fryer</w:t>
        </w:r>
      </w:hyperlink>
      <w:r w:rsidRPr="00820C1E">
        <w:rPr>
          <w:u w:val="single"/>
        </w:rPr>
        <w:t xml:space="preserve"> parece que conseguir que una escuela funcione requiere una filosofía no muy lejana a la de tantos personajes inolvidables de Eastwood como director. En resumen: altas expectativas, más tiempo de clase, altas dosis de tutoría, información frecuente del profesor y el uso de datos para guiar la formación explican el cincuenta por ciento de la variación en los resultados de las escuelas investigadas. En otras palabras, trabajo duro y serio por parte de todos los implicados, ese es el modelo </w:t>
      </w:r>
      <w:r w:rsidR="00822CE7">
        <w:rPr>
          <w:u w:val="single"/>
        </w:rPr>
        <w:t>“</w:t>
      </w:r>
      <w:r w:rsidRPr="00822CE7">
        <w:rPr>
          <w:rStyle w:val="nfasis"/>
          <w:i w:val="0"/>
          <w:u w:val="single"/>
        </w:rPr>
        <w:t>sin excusas</w:t>
      </w:r>
      <w:r w:rsidR="00822CE7">
        <w:rPr>
          <w:rStyle w:val="nfasis"/>
          <w:i w:val="0"/>
          <w:u w:val="single"/>
        </w:rPr>
        <w:t>”</w:t>
      </w:r>
      <w:r w:rsidRPr="00822CE7">
        <w:rPr>
          <w:i/>
          <w:u w:val="single"/>
        </w:rPr>
        <w:t>.</w:t>
      </w:r>
    </w:p>
    <w:p w:rsidR="001005DB" w:rsidRDefault="001005DB" w:rsidP="00550638">
      <w:pPr>
        <w:pStyle w:val="NormalWeb"/>
        <w:jc w:val="both"/>
      </w:pPr>
      <w:r>
        <w:t xml:space="preserve">Una de las dificultades más serias para desentrañar lo que hay detrás de la función de producción educativa viene de que este servicio es realmente complejo. Hay muchos factores implicados y hasta ahora ha sido difícil de lograr evidencia de muchos de ellos. Aquí hemos hablado del </w:t>
      </w:r>
      <w:hyperlink r:id="rId123" w:history="1">
        <w:r w:rsidRPr="00072DDE">
          <w:rPr>
            <w:rStyle w:val="Hipervnculo"/>
            <w:rFonts w:eastAsiaTheme="majorEastAsia"/>
            <w:color w:val="auto"/>
          </w:rPr>
          <w:t>número de estudiantes</w:t>
        </w:r>
      </w:hyperlink>
      <w:r w:rsidRPr="00072DDE">
        <w:t xml:space="preserve">, de los </w:t>
      </w:r>
      <w:hyperlink r:id="rId124" w:history="1">
        <w:r w:rsidRPr="00072DDE">
          <w:rPr>
            <w:rStyle w:val="Hipervnculo"/>
            <w:rFonts w:eastAsiaTheme="majorEastAsia"/>
            <w:color w:val="auto"/>
          </w:rPr>
          <w:t>ordenadores</w:t>
        </w:r>
      </w:hyperlink>
      <w:r w:rsidRPr="00072DDE">
        <w:t xml:space="preserve">, o del </w:t>
      </w:r>
      <w:hyperlink r:id="rId125" w:history="1">
        <w:r w:rsidRPr="00072DDE">
          <w:rPr>
            <w:rStyle w:val="Hipervnculo"/>
            <w:rFonts w:eastAsiaTheme="majorEastAsia"/>
            <w:color w:val="auto"/>
          </w:rPr>
          <w:t>gasto por estudiante</w:t>
        </w:r>
      </w:hyperlink>
      <w:r w:rsidRPr="00072DDE">
        <w:t>, pero el proceso</w:t>
      </w:r>
      <w:r>
        <w:t xml:space="preserve"> educativo implica a muchos más factores y es difícil investigar su efecto. Por ejemplo, hay escuelas que ponen mucho énfasis en la instrucción artística porque aparte de su valor intrínseco piensan que esto mejora la creatividad y estimulan el desarrollo académico. En otros lugares pasa algo similar con el deporte, o el ajedrez.</w:t>
      </w:r>
    </w:p>
    <w:p w:rsidR="001005DB" w:rsidRDefault="001005DB" w:rsidP="00550638">
      <w:pPr>
        <w:pStyle w:val="NormalWeb"/>
        <w:jc w:val="both"/>
      </w:pPr>
      <w:r>
        <w:t>Y hay estrategias sustitutivas entre sí cuyos impactos no conocemos bien: ¿qué pasa si aumentamos el tamaño de clase a cambio de aumentar las horas de instrucción? Esto se puede hacer sin tocar las horas de trabajo de los profesores y por tanto puede ser neutral en términos de coste. Otro ejemplo: se puede aumentar el tamaño de la clase, pero usar los recursos ahorrados para dar más tutorías individuales o en pequeños grupos. Contestar este tipo de preguntas es lo que puede hacerse con el tipo de datos que han recogido Dobbie y Fryer.</w:t>
      </w:r>
    </w:p>
    <w:p w:rsidR="001005DB" w:rsidRDefault="001005DB" w:rsidP="00550638">
      <w:pPr>
        <w:pStyle w:val="NormalWeb"/>
        <w:jc w:val="both"/>
      </w:pPr>
      <w:r w:rsidRPr="0027342F">
        <w:rPr>
          <w:u w:val="single"/>
        </w:rPr>
        <w:t>Los datos vienen de las “charter schools” de Nueva York. Estas son escuelas de titularidad privada y financiación pública. En eso se parecen a nuestras escuelas concertadas, pero la financiación por alumno es igual a la de la escuela pública, y en consecuencia no hay ningún copago de los padres. La ventaja de usar estas escuelas es que se introdujeron justamente para tener más libertad en las prácticas académicas (no así de admisión, ya que no pueden seleccionar a sus estudiantes, si hay exceso de demanda de plazas, se hace un sorteo para decidir quién entra). La idea era justamente que esta libertad generara variación y permitiera ver cuáles eran las mejores prácticas docentes</w:t>
      </w:r>
      <w:r>
        <w:t xml:space="preserve">. De las 48 escuelas elementales (de infantil a cuarto) y 37 de grado medio (de quinto a octavo) elegibles, participaron 22 elementales y 13 de grado medio. </w:t>
      </w:r>
    </w:p>
    <w:p w:rsidR="001005DB" w:rsidRDefault="001005DB" w:rsidP="00550638">
      <w:pPr>
        <w:pStyle w:val="NormalWeb"/>
        <w:jc w:val="both"/>
      </w:pPr>
      <w:r>
        <w:t xml:space="preserve">Los datos recogidos de cada escuela fueron muchos y muy detallados. Varias entrevistas con el director aportaron información sobre: la formación continua de profesores, tiempo de clase, uso de datos para la instrucción, información e implicación de los padres, y cultura de la escuela. La información sobre el rigor curricular se obtuvo de los </w:t>
      </w:r>
      <w:r>
        <w:lastRenderedPageBreak/>
        <w:t xml:space="preserve">planes docentes para cada curso en matemáticas y lengua. También se obtuvo información sobre la cultura y las prácticas mediante visitas de día completo a las escuelas. Las visitas incluían observación y grabaciones de al menos una clase de matemáticas y una de lengua, así como entrevistas de profesores y alumnos escogidos al azar. </w:t>
      </w:r>
    </w:p>
    <w:p w:rsidR="001005DB" w:rsidRDefault="001005DB" w:rsidP="00550638">
      <w:pPr>
        <w:pStyle w:val="NormalWeb"/>
        <w:jc w:val="both"/>
      </w:pPr>
      <w:r>
        <w:t>A la hora de mirar los resultados, lo primero es ver si ir a estas escuelas sirve para algo. Y como se pueden imaginar (porque si no, no habría escrito esta entrada) la respuesta es que sí. En la tabla que tienen a continuación se pueden ver estos efectos para los exámenes de lengua y matemáticas y cada columna representa distintos métodos de estimación y muestras. Las dos primeras filas se refieren a las escuelas elementales y las dos segundas a las escuelas medias. Para un vistazo rápido, la columna más importante es la tercera, que recoge el verdadero impacto causal de estas escuelas, utilizando el hecho de que un buen número de ellas tienen exceso de demanda de plazas que se resuelve con una lotería. Como es habitual el efecto se mide a desviaciones estándar, y los efectos que se ven aquí son parecidos a los encon</w:t>
      </w:r>
      <w:r w:rsidR="00072DDE">
        <w:t>trados en otros trabajos.</w:t>
      </w:r>
    </w:p>
    <w:p w:rsidR="001005DB" w:rsidRDefault="001005DB" w:rsidP="00550638">
      <w:pPr>
        <w:pStyle w:val="NormalWeb"/>
        <w:jc w:val="both"/>
      </w:pPr>
      <w:r>
        <w:rPr>
          <w:noProof/>
          <w:color w:val="0000FF"/>
        </w:rPr>
        <w:drawing>
          <wp:inline distT="0" distB="0" distL="0" distR="0" wp14:anchorId="25A9E17D" wp14:editId="013C455E">
            <wp:extent cx="5142865" cy="2479675"/>
            <wp:effectExtent l="0" t="0" r="635" b="0"/>
            <wp:docPr id="38" name="Imagen 38" descr="sin-excusas-1">
              <a:hlinkClick xmlns:a="http://schemas.openxmlformats.org/drawingml/2006/main" r:id="rId1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in-excusas-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142865" cy="2479675"/>
                    </a:xfrm>
                    <a:prstGeom prst="rect">
                      <a:avLst/>
                    </a:prstGeom>
                    <a:noFill/>
                    <a:ln>
                      <a:noFill/>
                    </a:ln>
                  </pic:spPr>
                </pic:pic>
              </a:graphicData>
            </a:graphic>
          </wp:inline>
        </w:drawing>
      </w:r>
    </w:p>
    <w:p w:rsidR="001005DB" w:rsidRDefault="001005DB" w:rsidP="00550638">
      <w:pPr>
        <w:pStyle w:val="NormalWeb"/>
        <w:jc w:val="both"/>
      </w:pPr>
      <w:r>
        <w:t xml:space="preserve">La cuestión más novedosa de este artículo en particular es averiguar las razones por las que estas escuelas son más efectivas. Para esto se recopilaron los datos de los que hablamos antes. El procedimiento utilizado es hacer regresiones que expliquen el efecto estimado de cada escuela en las regresiones anteriores con algunas variables. La principal precaución con estos resultados es que no se pueden interpretar de manera causal, son correlaciones nada más y podría haber factores omitidos importantes. Pero son muy informativas, y en algún caso coinciden con lo que ya sabemos con metodologías estadísticamente más potentes. </w:t>
      </w:r>
    </w:p>
    <w:p w:rsidR="001005DB" w:rsidRDefault="001005DB" w:rsidP="00550638">
      <w:pPr>
        <w:pStyle w:val="NormalWeb"/>
        <w:jc w:val="both"/>
      </w:pPr>
      <w:r w:rsidRPr="0027342F">
        <w:rPr>
          <w:u w:val="single"/>
        </w:rPr>
        <w:t>Por ejemplo, ni el tamaño de clase, ni el gasto por alumno, ni el hecho de que el profesor tenga un máster parece ser importante</w:t>
      </w:r>
      <w:r>
        <w:t>. De hecho, como ven en la siguiente tabla, como mucho parecen tener una correlación negativa si se ponen todas juntas. Esto ya lo sabemos por otras vías.</w:t>
      </w:r>
    </w:p>
    <w:p w:rsidR="001005DB" w:rsidRDefault="001005DB" w:rsidP="00550638">
      <w:pPr>
        <w:pStyle w:val="NormalWeb"/>
        <w:jc w:val="both"/>
      </w:pPr>
      <w:r>
        <w:rPr>
          <w:noProof/>
          <w:color w:val="0000FF"/>
        </w:rPr>
        <w:lastRenderedPageBreak/>
        <w:drawing>
          <wp:inline distT="0" distB="0" distL="0" distR="0" wp14:anchorId="003DC92C" wp14:editId="5D5B3BEE">
            <wp:extent cx="5142582" cy="2611526"/>
            <wp:effectExtent l="0" t="0" r="1270" b="0"/>
            <wp:docPr id="37" name="Imagen 37" descr="sin-excusas-2">
              <a:hlinkClick xmlns:a="http://schemas.openxmlformats.org/drawingml/2006/main" r:id="rId1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in-excusas-2"/>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142865" cy="2611670"/>
                    </a:xfrm>
                    <a:prstGeom prst="rect">
                      <a:avLst/>
                    </a:prstGeom>
                    <a:noFill/>
                    <a:ln>
                      <a:noFill/>
                    </a:ln>
                  </pic:spPr>
                </pic:pic>
              </a:graphicData>
            </a:graphic>
          </wp:inline>
        </w:drawing>
      </w:r>
    </w:p>
    <w:p w:rsidR="001005DB" w:rsidRDefault="001005DB" w:rsidP="00550638">
      <w:pPr>
        <w:pStyle w:val="NormalWeb"/>
        <w:jc w:val="both"/>
      </w:pPr>
      <w:r w:rsidRPr="0027342F">
        <w:rPr>
          <w:color w:val="FF0000"/>
          <w:u w:val="single"/>
        </w:rPr>
        <w:t>En cambio, el efecto de las cinco políticas que expresé en la introducción: altas expectativas, más tiempo de clase, altas dosis de tutoría, información frecuente del profesor y el uso de datos para guiar la formación, explican el cincuenta por ciento de la variación en los resultados de las escuelas investigadas</w:t>
      </w:r>
      <w:r>
        <w:t>. Y no solamente esto, en una regresión del efecto de la escuela con un índice y cada una de las variables por separado, cuatro de las cinco estrategias (todas menos las altas expectativas) retienen valor explicativo.</w:t>
      </w:r>
    </w:p>
    <w:p w:rsidR="001005DB" w:rsidRDefault="001005DB" w:rsidP="00550638">
      <w:pPr>
        <w:pStyle w:val="NormalWeb"/>
        <w:jc w:val="both"/>
      </w:pPr>
      <w:r>
        <w:rPr>
          <w:noProof/>
          <w:color w:val="0000FF"/>
        </w:rPr>
        <w:drawing>
          <wp:inline distT="0" distB="0" distL="0" distR="0" wp14:anchorId="1016FF7A" wp14:editId="5D53A982">
            <wp:extent cx="5142493" cy="2867559"/>
            <wp:effectExtent l="0" t="0" r="1270" b="9525"/>
            <wp:docPr id="36" name="Imagen 36" descr="sin-excusas-3">
              <a:hlinkClick xmlns:a="http://schemas.openxmlformats.org/drawingml/2006/main" r:id="rId1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in-excusas-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142865" cy="2867767"/>
                    </a:xfrm>
                    <a:prstGeom prst="rect">
                      <a:avLst/>
                    </a:prstGeom>
                    <a:noFill/>
                    <a:ln>
                      <a:noFill/>
                    </a:ln>
                  </pic:spPr>
                </pic:pic>
              </a:graphicData>
            </a:graphic>
          </wp:inline>
        </w:drawing>
      </w:r>
    </w:p>
    <w:p w:rsidR="001005DB" w:rsidRDefault="001005DB" w:rsidP="00550638">
      <w:pPr>
        <w:pStyle w:val="NormalWeb"/>
        <w:jc w:val="both"/>
      </w:pPr>
      <w:r>
        <w:t xml:space="preserve">La última parte del artículo se dedica a verificar, de una manera muy parcial, claro, algunas teorías sobre lo que hace una escuela efectiva. </w:t>
      </w:r>
    </w:p>
    <w:p w:rsidR="001005DB" w:rsidRPr="0027342F" w:rsidRDefault="001005DB" w:rsidP="00550638">
      <w:pPr>
        <w:pStyle w:val="NormalWeb"/>
        <w:jc w:val="both"/>
        <w:rPr>
          <w:u w:val="single"/>
        </w:rPr>
      </w:pPr>
      <w:r w:rsidRPr="0027342F">
        <w:rPr>
          <w:u w:val="single"/>
        </w:rPr>
        <w:t>Una de ellas es la teoría de la “escuela de servicios” en la cual el objetivo no son solamente los conocimientos sino el “bienestar global” del chico. Para comprobarla crean varios indicadores que son iguales a uno si la escuela tiene un trabajador social, servicios de salud, servicios “holísticos” o si el ideario escolar habla de proveer una “aproximación comprensiva al bienestar del estudiante”.</w:t>
      </w:r>
      <w:r>
        <w:t xml:space="preserve"> Con esto se genera un índice global que promedia estos 4. </w:t>
      </w:r>
      <w:r w:rsidRPr="0027342F">
        <w:rPr>
          <w:u w:val="single"/>
        </w:rPr>
        <w:t xml:space="preserve">Otra teoría es la que se centra en la contratación y </w:t>
      </w:r>
      <w:r w:rsidRPr="0027342F">
        <w:rPr>
          <w:u w:val="single"/>
        </w:rPr>
        <w:lastRenderedPageBreak/>
        <w:t>retención de los mejores profesores</w:t>
      </w:r>
      <w:r>
        <w:t xml:space="preserve">. Para probar esta teoría se crea un índice que promedia indicadores sobre si la escuela tiene un mayor número de requisitos para contratar que la media, si paga un salario superior a la media, si tiene una tasa de rotación mayor a la media y si ofrece bonos por rendimiento a los profesores. </w:t>
      </w:r>
      <w:r w:rsidRPr="0027342F">
        <w:rPr>
          <w:u w:val="single"/>
        </w:rPr>
        <w:t xml:space="preserve">El último modelo comprobado es el modelo “sin excusas”, una filosofía que se centra en más tiempo en la escuela, disciplina estricta y un mayor enfoque en habilidades lingüísticas y matemáticas básicas. </w:t>
      </w:r>
    </w:p>
    <w:p w:rsidR="001005DB" w:rsidRDefault="001005DB" w:rsidP="00550638">
      <w:pPr>
        <w:pStyle w:val="NormalWeb"/>
        <w:jc w:val="both"/>
      </w:pPr>
      <w:r>
        <w:rPr>
          <w:noProof/>
          <w:color w:val="0000FF"/>
        </w:rPr>
        <w:drawing>
          <wp:inline distT="0" distB="0" distL="0" distR="0" wp14:anchorId="6D9AD749" wp14:editId="6841FD69">
            <wp:extent cx="5142865" cy="3628390"/>
            <wp:effectExtent l="0" t="0" r="635" b="0"/>
            <wp:docPr id="35" name="Imagen 35" descr="sin-excusas-41">
              <a:hlinkClick xmlns:a="http://schemas.openxmlformats.org/drawingml/2006/main" r:id="rId1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in-excusas-41"/>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42865" cy="3628390"/>
                    </a:xfrm>
                    <a:prstGeom prst="rect">
                      <a:avLst/>
                    </a:prstGeom>
                    <a:noFill/>
                    <a:ln>
                      <a:noFill/>
                    </a:ln>
                  </pic:spPr>
                </pic:pic>
              </a:graphicData>
            </a:graphic>
          </wp:inline>
        </w:drawing>
      </w:r>
    </w:p>
    <w:p w:rsidR="001005DB" w:rsidRDefault="001005DB" w:rsidP="00550638">
      <w:pPr>
        <w:pStyle w:val="NormalWeb"/>
        <w:jc w:val="both"/>
      </w:pPr>
      <w:r>
        <w:t>Las columnas 1, 3 y 5 de la siguiente tabla comprueban la correlación de estas teorías con el rendimiento de las escuelas. Claramente la “escuela de servicios” parece no ser muy relevante. Tanto la búsqueda de buenos profesores, como la filosofía “sin excusas” están relacionadas con el rendimiento. Las columnas 2, 4 y 6 miran lo que sucede cuando se añade el índice de las cinco políticas básicas analizado antes. Para las dos primeras estrategias, escuela de servicios y contratación de buenos profesores, no hay cambios importantes. Pero para la filosofía “sin excusas” la introducción de esta variable es importante. Lo que quiere decir probablemente es que estas políticas están muy relacionadas con la filosofía.</w:t>
      </w:r>
    </w:p>
    <w:p w:rsidR="001005DB" w:rsidRDefault="001005DB" w:rsidP="00550638">
      <w:pPr>
        <w:pStyle w:val="NormalWeb"/>
        <w:jc w:val="both"/>
      </w:pPr>
      <w:r w:rsidRPr="0027342F">
        <w:rPr>
          <w:u w:val="single"/>
        </w:rPr>
        <w:t>Voy a terminar reconociendo la frustración que deben sentir algunos lectores después de leer el artículo. Se han pasado un cuarto de hora conmigo para que les diga que si profesores y estudiantes trabajan duro, mejorarán los resultados escolares</w:t>
      </w:r>
      <w:r>
        <w:t xml:space="preserve">. Ya lo sé, a veces es molesto repetir lo obvio, pero hemos llegado a un punto en el que es necesario insistir en lo evidente. Todos ponemos poner excusas para nuestro fracaso. Los árbitros nos anulan los goles, los periódicos nos ignoran, no interesamos a las televisiones. Y muchas de estas quejas están fundamentadas. Pero como dijo el gran filósofo serbio: </w:t>
      </w:r>
      <w:hyperlink r:id="rId134" w:history="1">
        <w:r w:rsidRPr="00072DDE">
          <w:rPr>
            <w:rStyle w:val="Hipervnculo"/>
            <w:rFonts w:eastAsiaTheme="majorEastAsia"/>
            <w:color w:val="auto"/>
          </w:rPr>
          <w:t>fútbol es fútbol, goles son goles.</w:t>
        </w:r>
      </w:hyperlink>
      <w:r w:rsidRPr="00072DDE">
        <w:t xml:space="preserve"> </w:t>
      </w:r>
      <w:r>
        <w:t>A trabajar.</w:t>
      </w:r>
    </w:p>
    <w:p w:rsidR="00C176A3" w:rsidRDefault="00C176A3" w:rsidP="00550638">
      <w:pPr>
        <w:pStyle w:val="NormalWeb"/>
        <w:jc w:val="both"/>
      </w:pPr>
    </w:p>
    <w:p w:rsidR="00875C45" w:rsidRPr="00875C45" w:rsidRDefault="00875C45" w:rsidP="00550638">
      <w:pPr>
        <w:pStyle w:val="NormalWeb"/>
        <w:jc w:val="both"/>
        <w:rPr>
          <w:u w:val="single"/>
        </w:rPr>
      </w:pPr>
      <w:r w:rsidRPr="00875C45">
        <w:rPr>
          <w:u w:val="single"/>
        </w:rPr>
        <w:lastRenderedPageBreak/>
        <w:t xml:space="preserve">La </w:t>
      </w:r>
      <w:r w:rsidRPr="00875C45">
        <w:rPr>
          <w:iCs/>
          <w:u w:val="single"/>
        </w:rPr>
        <w:t>burbuja</w:t>
      </w:r>
      <w:r w:rsidRPr="00875C45">
        <w:rPr>
          <w:u w:val="single"/>
        </w:rPr>
        <w:t xml:space="preserve"> del crédito</w:t>
      </w:r>
      <w:r>
        <w:rPr>
          <w:u w:val="single"/>
        </w:rPr>
        <w:t xml:space="preserve"> universitario en EEUU</w:t>
      </w:r>
      <w:r w:rsidRPr="00875C45">
        <w:rPr>
          <w:u w:val="single"/>
        </w:rPr>
        <w:t xml:space="preserve"> ha acabado llegando hasta el Congreso</w:t>
      </w:r>
    </w:p>
    <w:p w:rsidR="001005DB" w:rsidRPr="00875C45" w:rsidRDefault="00875C45" w:rsidP="00550638">
      <w:pPr>
        <w:pStyle w:val="NormalWeb"/>
        <w:jc w:val="both"/>
      </w:pPr>
      <w:r>
        <w:t>“</w:t>
      </w:r>
      <w:r w:rsidR="001005DB" w:rsidRPr="00875C45">
        <w:rPr>
          <w:bCs/>
          <w:i/>
        </w:rPr>
        <w:t>Con las últimas estimaciones cifrando la deuda de los estudiantes en más de un billón de dólares</w:t>
      </w:r>
      <w:r w:rsidR="001005DB" w:rsidRPr="00875C45">
        <w:rPr>
          <w:i/>
        </w:rPr>
        <w:t xml:space="preserve"> (es decir, un millón de millones, que en términos americanos sería un trillón), la clase política no ha podido seguir ignorando un problema que amenaza con hipotecar el futuro de una generación</w:t>
      </w:r>
      <w:r>
        <w:rPr>
          <w:i/>
        </w:rPr>
        <w:t>”..</w:t>
      </w:r>
      <w:r w:rsidR="001005DB" w:rsidRPr="00875C45">
        <w:rPr>
          <w:i/>
        </w:rPr>
        <w:t>.</w:t>
      </w:r>
      <w:r>
        <w:rPr>
          <w:i/>
        </w:rPr>
        <w:t xml:space="preserve"> </w:t>
      </w:r>
      <w:r w:rsidRPr="008A0A39">
        <w:rPr>
          <w:u w:val="single"/>
        </w:rPr>
        <w:t>EEUU ya se plantea la bancarrota de los estudiantes como un mal menor</w:t>
      </w:r>
      <w:r>
        <w:t xml:space="preserve"> (El Confidencial - </w:t>
      </w:r>
      <w:r w:rsidRPr="008A0A39">
        <w:rPr>
          <w:b/>
        </w:rPr>
        <w:t>6/5/12</w:t>
      </w:r>
      <w:r>
        <w:t>)</w:t>
      </w:r>
    </w:p>
    <w:p w:rsidR="001005DB" w:rsidRPr="00875C45" w:rsidRDefault="001005DB" w:rsidP="00550638">
      <w:pPr>
        <w:pStyle w:val="NormalWeb"/>
        <w:jc w:val="both"/>
      </w:pPr>
      <w:r w:rsidRPr="00875C45">
        <w:rPr>
          <w:bCs/>
        </w:rPr>
        <w:t>En el año 2005, el Congreso estableció la prohibición de cancelar la deuda de los estudiantes mediante el procedimiento de bancarrota</w:t>
      </w:r>
      <w:r w:rsidRPr="00875C45">
        <w:t xml:space="preserve"> para evitar las tentaciones de impago por parte de jóvenes graduados sin apenas bienes a su nombre. Sin embargo, con un creciente número de estadounidenses hipotecando su futuro y una fiebre del crédito que ya llega hasta la educación primaria, algunos legisladores piensan que es el momento de levantar esa restricción antes de que miles de jóvenes acaben enterrados durante décadas bajo una montaña de intereses inabordables.</w:t>
      </w:r>
    </w:p>
    <w:p w:rsidR="001005DB" w:rsidRPr="00875C45" w:rsidRDefault="001005DB" w:rsidP="00550638">
      <w:pPr>
        <w:pStyle w:val="NormalWeb"/>
        <w:jc w:val="both"/>
      </w:pPr>
      <w:r w:rsidRPr="00875C45">
        <w:t>En los últimos años, la deuda de los estudiantes se ha mantenido al margen de la caída de otros productos de crédito causada por la crisis, y la tendencia hace mucho que superó la barrera de lo preocupante:</w:t>
      </w:r>
      <w:r w:rsidRPr="00875C45">
        <w:rPr>
          <w:bCs/>
        </w:rPr>
        <w:t xml:space="preserve"> la cantidad se ha doblado en los últimos cinco años y supera ya al total de las deudas por tarjetas de crédito en el país</w:t>
      </w:r>
      <w:r w:rsidRPr="00875C45">
        <w:t xml:space="preserve">. Un aumento en la concesión de créditos que no se debe precisamente a las mejores expectativas de devolución al salir de la universidad, ya que </w:t>
      </w:r>
      <w:r w:rsidRPr="00875C45">
        <w:rPr>
          <w:bCs/>
        </w:rPr>
        <w:t>en la primera década del siglo los ingresos medios de los licenciados entre 25 y 34 años cayeron un 15%.</w:t>
      </w:r>
    </w:p>
    <w:p w:rsidR="001005DB" w:rsidRPr="00875C45" w:rsidRDefault="001005DB" w:rsidP="00550638">
      <w:pPr>
        <w:pStyle w:val="NormalWeb"/>
        <w:jc w:val="both"/>
      </w:pPr>
      <w:r w:rsidRPr="00875C45">
        <w:t xml:space="preserve">Ante la aparición en los medios de diversos casos de personas atrapadas en una red de deudas imposibles de devolver, el senador </w:t>
      </w:r>
      <w:r w:rsidRPr="00875C45">
        <w:rPr>
          <w:bCs/>
        </w:rPr>
        <w:t>Dick Durbin</w:t>
      </w:r>
      <w:r w:rsidRPr="00875C45">
        <w:t xml:space="preserve"> ha abogado por facilitar a los prestatarios la posibilidad de liberarse de sus obligaciones con entidades privadas, mientras que tanto </w:t>
      </w:r>
      <w:r w:rsidRPr="00875C45">
        <w:rPr>
          <w:bCs/>
        </w:rPr>
        <w:t>Barack Obama</w:t>
      </w:r>
      <w:r w:rsidRPr="00875C45">
        <w:t xml:space="preserve"> como el candidato republicano </w:t>
      </w:r>
      <w:r w:rsidRPr="00875C45">
        <w:rPr>
          <w:bCs/>
        </w:rPr>
        <w:t>Mitt Romney</w:t>
      </w:r>
      <w:r w:rsidRPr="00875C45">
        <w:t xml:space="preserve"> han pedido al Congreso que prolongue la congelación de la tasa de interés del 3,4% para los préstamos que concede el Gobierno. De no ser así, la tasa se doblará a partir del 1 de julio.</w:t>
      </w:r>
    </w:p>
    <w:p w:rsidR="001005DB" w:rsidRPr="00875C45" w:rsidRDefault="001005DB" w:rsidP="00550638">
      <w:pPr>
        <w:pStyle w:val="NormalWeb"/>
        <w:jc w:val="both"/>
      </w:pPr>
      <w:r w:rsidRPr="00875C45">
        <w:t>La diferenciación entre préstamos públicos y privados es clave, puesto que los primeros representan más del 90%, aunque los límites que se establecen han llevado a muchos estudiantes a realizar combinaciones acudiendo a ambas fuentes de financiac</w:t>
      </w:r>
      <w:r w:rsidR="00875C45" w:rsidRPr="00875C45">
        <w:t xml:space="preserve">ión para costear su educación. </w:t>
      </w:r>
    </w:p>
    <w:p w:rsidR="001005DB" w:rsidRPr="00875C45" w:rsidRDefault="001005DB" w:rsidP="00550638">
      <w:pPr>
        <w:pStyle w:val="NormalWeb"/>
        <w:jc w:val="both"/>
      </w:pPr>
      <w:r w:rsidRPr="00875C45">
        <w:t xml:space="preserve">En el lado de los que apoyan la vuelta de la posibilidad de declararse en bancarrota se encuentran </w:t>
      </w:r>
      <w:r w:rsidRPr="00875C45">
        <w:rPr>
          <w:bCs/>
        </w:rPr>
        <w:t>asociaciones de consumidores, representantes de las universidades y abogados especializados</w:t>
      </w:r>
      <w:r w:rsidRPr="00875C45">
        <w:t>, aunque por razones distintas. Mientras los primeros argumentan que la amenaza del impago llevará a las entidades a ofrecer condiciones más justas, los últimos ven una nueva oportunidad de negocio.</w:t>
      </w:r>
    </w:p>
    <w:p w:rsidR="001005DB" w:rsidRPr="00875C45" w:rsidRDefault="00875C45" w:rsidP="00550638">
      <w:pPr>
        <w:pStyle w:val="NormalWeb"/>
        <w:jc w:val="both"/>
      </w:pPr>
      <w:r w:rsidRPr="00875C45">
        <w:t>En el extremo opuesto, los “lobbies”</w:t>
      </w:r>
      <w:r w:rsidR="001005DB" w:rsidRPr="00875C45">
        <w:t xml:space="preserve"> bancarios, que aseguran en una carta enviada al Senado que “el sistema de bancarrota supone abrir la puerta al abuso”. Además, los críticos con la propuesta del senador Durbin </w:t>
      </w:r>
      <w:r w:rsidR="001005DB" w:rsidRPr="00875C45">
        <w:rPr>
          <w:bCs/>
        </w:rPr>
        <w:t>advierten que los prestatarios aumentarían la cuantía de los intereses para compensar el mayor riesgo de pérdidas</w:t>
      </w:r>
      <w:r w:rsidR="001005DB" w:rsidRPr="00875C45">
        <w:t>. En lo referente a los préstamos públicos la cuestión de la bancarrota es aún más delicada desde el punto de vista político, puesto que implicaría que fuese el erario público el que corriese con los gastos.</w:t>
      </w:r>
    </w:p>
    <w:p w:rsidR="001005DB" w:rsidRDefault="001005DB" w:rsidP="00550638">
      <w:pPr>
        <w:pStyle w:val="NormalWeb"/>
        <w:jc w:val="both"/>
      </w:pPr>
      <w:r w:rsidRPr="00875C45">
        <w:lastRenderedPageBreak/>
        <w:t xml:space="preserve">Aún está por ver la acogida que recibe la propuesta del senador Durbin, pero los legisladores estadounidenses parecen haber adquirido conciencia de la necesidad de actuar rápido, puesto que </w:t>
      </w:r>
      <w:r w:rsidRPr="00875C45">
        <w:rPr>
          <w:bCs/>
        </w:rPr>
        <w:t>un 27% de los estudiantes endeudados ya está retrasado en al menos uno de sus pagos</w:t>
      </w:r>
      <w:r w:rsidRPr="00875C45">
        <w:t>. Esto supone que, técnicamente, uno de cada cuatro ya puede ser calificado como “delincuente”.</w:t>
      </w:r>
    </w:p>
    <w:p w:rsidR="00875C45" w:rsidRPr="00875C45" w:rsidRDefault="00875C45" w:rsidP="00550638">
      <w:pPr>
        <w:pStyle w:val="NormalWeb"/>
        <w:jc w:val="both"/>
        <w:rPr>
          <w:u w:val="single"/>
        </w:rPr>
      </w:pPr>
      <w:r w:rsidRPr="00875C45">
        <w:rPr>
          <w:u w:val="single"/>
        </w:rPr>
        <w:t>La falta de excelencia: causas y efectos (el caso español)</w:t>
      </w:r>
    </w:p>
    <w:p w:rsidR="001005DB" w:rsidRDefault="001005DB" w:rsidP="00550638">
      <w:pPr>
        <w:pStyle w:val="NormalWeb"/>
        <w:jc w:val="both"/>
      </w:pPr>
      <w:r>
        <w:t xml:space="preserve">- </w:t>
      </w:r>
      <w:r w:rsidRPr="002B4CE4">
        <w:rPr>
          <w:u w:val="single"/>
        </w:rPr>
        <w:t>Manifiesto para mejorar el rendimiento del sector educativo en España</w:t>
      </w:r>
      <w:r>
        <w:t xml:space="preserve"> (Fedea - </w:t>
      </w:r>
      <w:r w:rsidRPr="00F934E3">
        <w:rPr>
          <w:b/>
        </w:rPr>
        <w:t>21/5/12</w:t>
      </w:r>
      <w:r>
        <w:t>)</w:t>
      </w:r>
    </w:p>
    <w:p w:rsidR="001005DB" w:rsidRDefault="00875C45" w:rsidP="00550638">
      <w:pPr>
        <w:pStyle w:val="NormalWeb"/>
        <w:jc w:val="both"/>
      </w:pPr>
      <w:r>
        <w:t xml:space="preserve">(Por </w:t>
      </w:r>
      <w:r w:rsidR="001005DB">
        <w:t>Antonio Cabrales)</w:t>
      </w:r>
      <w:r>
        <w:t xml:space="preserve">                                                                     Lectura recomendada</w:t>
      </w:r>
    </w:p>
    <w:p w:rsidR="001005DB" w:rsidRPr="00C176A3" w:rsidRDefault="001005DB" w:rsidP="00550638">
      <w:pPr>
        <w:pStyle w:val="NormalWeb"/>
        <w:jc w:val="both"/>
      </w:pPr>
      <w:r w:rsidRPr="00C176A3">
        <w:rPr>
          <w:rStyle w:val="Textoennegrita"/>
          <w:rFonts w:eastAsiaTheme="majorEastAsia"/>
        </w:rPr>
        <w:t>Diagnóstico</w:t>
      </w:r>
    </w:p>
    <w:p w:rsidR="001005DB" w:rsidRDefault="001005DB" w:rsidP="00550638">
      <w:pPr>
        <w:pStyle w:val="NormalWeb"/>
        <w:jc w:val="both"/>
      </w:pPr>
      <w:r>
        <w:t>Como ya hemos explicado bastantes veces, España tiene dos problemas educativos muy importantes. Por un lado, la escasez de alumnos</w:t>
      </w:r>
      <w:r w:rsidR="00875C45">
        <w:t xml:space="preserve"> con muy buenos resultados</w:t>
      </w:r>
      <w:r>
        <w:t xml:space="preserve">, algo que no puede achacarse por desgracia al diferente estatus socioeconómico de nuestra población, porque España está por debajo de la media significativamente para alumnos con padres de mayor nivel educativo y económico como pueden ver en el siguiente gráfico. </w:t>
      </w:r>
    </w:p>
    <w:p w:rsidR="001005DB" w:rsidRDefault="001005DB" w:rsidP="00550638">
      <w:pPr>
        <w:pStyle w:val="NormalWeb"/>
        <w:jc w:val="both"/>
      </w:pPr>
      <w:r>
        <w:rPr>
          <w:noProof/>
          <w:color w:val="0000FF"/>
        </w:rPr>
        <w:drawing>
          <wp:inline distT="0" distB="0" distL="0" distR="0" wp14:anchorId="46A38294" wp14:editId="09D55504">
            <wp:extent cx="5442506" cy="3635654"/>
            <wp:effectExtent l="0" t="0" r="6350" b="3175"/>
            <wp:docPr id="49" name="Imagen 49" descr="PISA-partents-educated">
              <a:hlinkClick xmlns:a="http://schemas.openxmlformats.org/drawingml/2006/main" r:id="rId1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SA-partents-educated"/>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442508" cy="3635655"/>
                    </a:xfrm>
                    <a:prstGeom prst="rect">
                      <a:avLst/>
                    </a:prstGeom>
                    <a:noFill/>
                    <a:ln>
                      <a:noFill/>
                    </a:ln>
                  </pic:spPr>
                </pic:pic>
              </a:graphicData>
            </a:graphic>
          </wp:inline>
        </w:drawing>
      </w:r>
    </w:p>
    <w:p w:rsidR="001005DB" w:rsidRDefault="001005DB" w:rsidP="00550638">
      <w:pPr>
        <w:pStyle w:val="NormalWeb"/>
        <w:jc w:val="both"/>
      </w:pPr>
      <w:r>
        <w:t>Por otro lado el problema está en las pocas personas que obtienen formación después de la enseñanza obligatoria (lo que suele llamarse el “fracaso escolar”</w:t>
      </w:r>
      <w:r w:rsidR="00875C45">
        <w:t>.</w:t>
      </w:r>
      <w:r>
        <w:t xml:space="preserve"> </w:t>
      </w:r>
    </w:p>
    <w:p w:rsidR="001005DB" w:rsidRPr="005534D8" w:rsidRDefault="001005DB" w:rsidP="00550638">
      <w:pPr>
        <w:pStyle w:val="NormalWeb"/>
        <w:jc w:val="both"/>
        <w:rPr>
          <w:u w:val="single"/>
        </w:rPr>
      </w:pPr>
      <w:r>
        <w:t xml:space="preserve">Todo esto es muy importante porque como hemos repetido en algunas ocasiones, </w:t>
      </w:r>
      <w:hyperlink r:id="rId137" w:history="1">
        <w:r w:rsidRPr="00875C45">
          <w:rPr>
            <w:rStyle w:val="Hipervnculo"/>
            <w:rFonts w:eastAsiaTheme="majorEastAsia"/>
            <w:color w:val="auto"/>
          </w:rPr>
          <w:t>la educación es crucial para el crecimiento</w:t>
        </w:r>
      </w:hyperlink>
      <w:r w:rsidRPr="00875C45">
        <w:rPr>
          <w:u w:val="single"/>
        </w:rPr>
        <w:t>.</w:t>
      </w:r>
      <w:r w:rsidRPr="005534D8">
        <w:rPr>
          <w:u w:val="single"/>
        </w:rPr>
        <w:t xml:space="preserve"> Y no sólo la cantidad (el número de años que uno se educa) sino también la calidad. Los periodistas, de manera inteligente, se </w:t>
      </w:r>
      <w:r w:rsidRPr="005534D8">
        <w:rPr>
          <w:u w:val="single"/>
        </w:rPr>
        <w:lastRenderedPageBreak/>
        <w:t>aferraron al número: 100 puntos de PISA equivalen a un 2% extra de crecimiento anual, lo cual en cuarenta años dobla la renta.</w:t>
      </w:r>
    </w:p>
    <w:p w:rsidR="001005DB" w:rsidRDefault="001005DB" w:rsidP="00550638">
      <w:pPr>
        <w:pStyle w:val="NormalWeb"/>
        <w:jc w:val="both"/>
      </w:pPr>
      <w:r>
        <w:t>Y ¿qué proponemos?</w:t>
      </w:r>
    </w:p>
    <w:p w:rsidR="001005DB" w:rsidRDefault="001005DB" w:rsidP="00550638">
      <w:pPr>
        <w:pStyle w:val="NormalWeb"/>
        <w:jc w:val="both"/>
      </w:pPr>
      <w:r>
        <w:rPr>
          <w:rStyle w:val="Textoennegrita"/>
          <w:rFonts w:eastAsiaTheme="majorEastAsia"/>
        </w:rPr>
        <w:t xml:space="preserve">1. </w:t>
      </w:r>
      <w:r w:rsidRPr="005534D8">
        <w:rPr>
          <w:rStyle w:val="Textoennegrita"/>
          <w:rFonts w:eastAsiaTheme="majorEastAsia"/>
          <w:color w:val="FF0000"/>
        </w:rPr>
        <w:t>Educación preescolar: Importancia de las habilidades no cognitivas</w:t>
      </w:r>
    </w:p>
    <w:p w:rsidR="001005DB" w:rsidRDefault="00875C45" w:rsidP="00550638">
      <w:pPr>
        <w:pStyle w:val="NormalWeb"/>
        <w:jc w:val="both"/>
      </w:pPr>
      <w:r>
        <w:t>L</w:t>
      </w:r>
      <w:r w:rsidR="001005DB">
        <w:t xml:space="preserve">a evidencia es concluyente acerca de </w:t>
      </w:r>
      <w:r w:rsidR="001005DB" w:rsidRPr="005534D8">
        <w:rPr>
          <w:u w:val="single"/>
        </w:rPr>
        <w:t>la importan</w:t>
      </w:r>
      <w:r>
        <w:rPr>
          <w:u w:val="single"/>
        </w:rPr>
        <w:t>cia de la motivación temprana -entre 1 y 3 años-</w:t>
      </w:r>
      <w:r w:rsidR="001005DB" w:rsidRPr="005534D8">
        <w:rPr>
          <w:u w:val="single"/>
        </w:rPr>
        <w:t xml:space="preserve"> y el desarrollo de las habilidades no cognitivas</w:t>
      </w:r>
      <w:r w:rsidR="001005DB">
        <w:t xml:space="preserve">, de manera muy especial en los estratos menos favorecidos de la sociedad. Esta inversión es además extremadamente rentable y debe mantenerse para estos grupos sociales. </w:t>
      </w:r>
    </w:p>
    <w:p w:rsidR="001005DB" w:rsidRPr="009445F9" w:rsidRDefault="001005DB" w:rsidP="00550638">
      <w:pPr>
        <w:pStyle w:val="NormalWeb"/>
        <w:jc w:val="both"/>
        <w:rPr>
          <w:color w:val="FF0000"/>
        </w:rPr>
      </w:pPr>
      <w:r>
        <w:rPr>
          <w:rStyle w:val="Textoennegrita"/>
          <w:rFonts w:eastAsiaTheme="majorEastAsia"/>
        </w:rPr>
        <w:t xml:space="preserve">2. </w:t>
      </w:r>
      <w:r w:rsidRPr="009445F9">
        <w:rPr>
          <w:rStyle w:val="Textoennegrita"/>
          <w:rFonts w:eastAsiaTheme="majorEastAsia"/>
          <w:color w:val="FF0000"/>
        </w:rPr>
        <w:t>Una carrera profesional de los enseñantes basada en los resultados</w:t>
      </w:r>
    </w:p>
    <w:p w:rsidR="001005DB" w:rsidRDefault="001005DB" w:rsidP="00550638">
      <w:pPr>
        <w:pStyle w:val="NormalWeb"/>
        <w:jc w:val="both"/>
      </w:pPr>
      <w:r>
        <w:t>La investigación ec</w:t>
      </w:r>
      <w:r w:rsidR="00875C45">
        <w:t>onómica demuestra</w:t>
      </w:r>
      <w:r>
        <w:t xml:space="preserve">, que </w:t>
      </w:r>
      <w:r w:rsidRPr="005534D8">
        <w:rPr>
          <w:u w:val="single"/>
        </w:rPr>
        <w:t>los profesores son cruciales para los resultados de sus alumnos pero también que es prácticamente imposible saber si un profesor consigue buenos resultados sólo por sus títulos o sus notas. Por tanto es importante que tras una acreditación que se base en requisitos académicos, la consolidación y el progreso profesional se base en los resultados de los alumnos</w:t>
      </w:r>
      <w:r>
        <w:t xml:space="preserve">. Pero cuando hablamos de resultados es importante no premiar a los profesionales simplemente por tener la suerte de gestionar buenos estudiantes: la medición de </w:t>
      </w:r>
      <w:r w:rsidRPr="005534D8">
        <w:rPr>
          <w:u w:val="single"/>
        </w:rPr>
        <w:t>los resultados obtenidos debe centrarse en el valor añadido del profesor</w:t>
      </w:r>
      <w:r>
        <w:t>.</w:t>
      </w:r>
    </w:p>
    <w:p w:rsidR="001005DB" w:rsidRDefault="001005DB" w:rsidP="00550638">
      <w:pPr>
        <w:pStyle w:val="NormalWeb"/>
        <w:jc w:val="both"/>
      </w:pPr>
      <w:r>
        <w:rPr>
          <w:rStyle w:val="Textoennegrita"/>
          <w:rFonts w:eastAsiaTheme="majorEastAsia"/>
        </w:rPr>
        <w:t xml:space="preserve">3. </w:t>
      </w:r>
      <w:r w:rsidRPr="005534D8">
        <w:rPr>
          <w:rStyle w:val="Textoennegrita"/>
          <w:rFonts w:eastAsiaTheme="majorEastAsia"/>
          <w:color w:val="FF0000"/>
        </w:rPr>
        <w:t>Atención a las necesidades específicas</w:t>
      </w:r>
    </w:p>
    <w:p w:rsidR="009445F9" w:rsidRDefault="001005DB" w:rsidP="00550638">
      <w:pPr>
        <w:pStyle w:val="NormalWeb"/>
        <w:jc w:val="both"/>
      </w:pPr>
      <w:r w:rsidRPr="005534D8">
        <w:rPr>
          <w:u w:val="single"/>
        </w:rPr>
        <w:t>Tenemos tasas de repetidores muy elevadas, con el consiguiente coste, desmotivación y desmoralización de los estudiantes (en la enseñanza secundaria la repetición es del 36,6% frente a un 17,4% en la OCDE). Hay que corregir estas deficiencias, sin que ello se traduzca en dejar pasar de curso a los alumnos para “mejorar” una estadística.</w:t>
      </w:r>
      <w:r>
        <w:t xml:space="preserve"> Al mismo tiempo, como hemos dicho, no hay suficientes estudiantes con un desempeño brillante. Nuestra propuesta de mejora en este ámbito pasa por limitar la rigidez del sistema educativo. Por ejemplo, es probable que </w:t>
      </w:r>
      <w:r w:rsidRPr="00875C45">
        <w:t>n</w:t>
      </w:r>
      <w:hyperlink r:id="rId138" w:history="1">
        <w:r w:rsidRPr="00875C45">
          <w:rPr>
            <w:rStyle w:val="Hipervnculo"/>
            <w:rFonts w:eastAsiaTheme="majorEastAsia"/>
            <w:color w:val="auto"/>
          </w:rPr>
          <w:t>o todos los niños tengan que comenzar la educación primaria a la misma edad</w:t>
        </w:r>
      </w:hyperlink>
      <w:r w:rsidRPr="00875C45">
        <w:t>, como ya hemos dicho aquí. También sería deseable que puedan avanzar a diferentes velocidades dentro de la misma aula o del mismo curso. Esto requiere mantener los refuerzos actualmente existentes para alumnos con necesidades especiales y desarrollar programas similares de refuerzo para los alumnos más brillantes. Es importante que los alumnos tengan siempre vías para permanecer escolarizados (</w:t>
      </w:r>
      <w:hyperlink r:id="rId139" w:history="1">
        <w:r w:rsidRPr="00875C45">
          <w:rPr>
            <w:rStyle w:val="Hipervnculo"/>
            <w:rFonts w:eastAsiaTheme="majorEastAsia"/>
            <w:color w:val="auto"/>
          </w:rPr>
          <w:t>los programa de Cualificación Profesional Inicial, PCPI, podrían ser una buena idea</w:t>
        </w:r>
      </w:hyperlink>
      <w:r w:rsidRPr="00875C45">
        <w:t xml:space="preserve">) y mantener pasarelas de acceso a la educación </w:t>
      </w:r>
      <w:r w:rsidR="00C176A3">
        <w:t>secundaria post-obligatoria.</w:t>
      </w:r>
    </w:p>
    <w:p w:rsidR="001005DB" w:rsidRPr="00AF4E98" w:rsidRDefault="001005DB" w:rsidP="00550638">
      <w:pPr>
        <w:pStyle w:val="NormalWeb"/>
        <w:jc w:val="both"/>
        <w:rPr>
          <w:color w:val="FF0000"/>
        </w:rPr>
      </w:pPr>
      <w:r>
        <w:rPr>
          <w:rStyle w:val="Textoennegrita"/>
          <w:rFonts w:eastAsiaTheme="majorEastAsia"/>
        </w:rPr>
        <w:t xml:space="preserve">4. </w:t>
      </w:r>
      <w:r w:rsidRPr="00AF4E98">
        <w:rPr>
          <w:rStyle w:val="Textoennegrita"/>
          <w:rFonts w:eastAsiaTheme="majorEastAsia"/>
          <w:color w:val="FF0000"/>
        </w:rPr>
        <w:t>Autonomía, flexibilidad interna y rendición de cuentas</w:t>
      </w:r>
    </w:p>
    <w:p w:rsidR="001005DB" w:rsidRDefault="001005DB" w:rsidP="00550638">
      <w:pPr>
        <w:pStyle w:val="NormalWeb"/>
        <w:jc w:val="both"/>
      </w:pPr>
      <w:r w:rsidRPr="00AF4E98">
        <w:rPr>
          <w:u w:val="single"/>
        </w:rPr>
        <w:t>La flexibilidad que pedimos en la propuesta anterior es impracticable sin más autonomía curricular y de recursos humanos en los centros</w:t>
      </w:r>
      <w:r>
        <w:t xml:space="preserve">. Alumnos diferentes requieren tratamientos diferentes, pero como verán en los siguientes gráficos, los centros no tienen posibilidad de adaptarse a nada en la actualidad. </w:t>
      </w:r>
    </w:p>
    <w:p w:rsidR="001005DB" w:rsidRDefault="001005DB" w:rsidP="00550638">
      <w:pPr>
        <w:pStyle w:val="NormalWeb"/>
        <w:jc w:val="both"/>
      </w:pPr>
      <w:r>
        <w:rPr>
          <w:noProof/>
          <w:color w:val="0000FF"/>
        </w:rPr>
        <w:lastRenderedPageBreak/>
        <w:drawing>
          <wp:inline distT="0" distB="0" distL="0" distR="0" wp14:anchorId="582B277C" wp14:editId="0A96A042">
            <wp:extent cx="5588635" cy="2845435"/>
            <wp:effectExtent l="0" t="0" r="0" b="0"/>
            <wp:docPr id="33" name="Imagen 33" descr="autonomia-1">
              <a:hlinkClick xmlns:a="http://schemas.openxmlformats.org/drawingml/2006/main" r:id="rId1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utonomia-1"/>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588635" cy="2845435"/>
                    </a:xfrm>
                    <a:prstGeom prst="rect">
                      <a:avLst/>
                    </a:prstGeom>
                    <a:noFill/>
                    <a:ln>
                      <a:noFill/>
                    </a:ln>
                  </pic:spPr>
                </pic:pic>
              </a:graphicData>
            </a:graphic>
          </wp:inline>
        </w:drawing>
      </w:r>
    </w:p>
    <w:p w:rsidR="00C176A3" w:rsidRDefault="001005DB" w:rsidP="00550638">
      <w:pPr>
        <w:pStyle w:val="NormalWeb"/>
        <w:jc w:val="both"/>
        <w:rPr>
          <w:color w:val="FF0000"/>
          <w:u w:val="single"/>
        </w:rPr>
      </w:pPr>
      <w:r>
        <w:rPr>
          <w:noProof/>
          <w:color w:val="0000FF"/>
        </w:rPr>
        <w:drawing>
          <wp:inline distT="0" distB="0" distL="0" distR="0" wp14:anchorId="4F8EC025" wp14:editId="326E1FD0">
            <wp:extent cx="5515610" cy="3321050"/>
            <wp:effectExtent l="0" t="0" r="8890" b="0"/>
            <wp:docPr id="31" name="Imagen 31" descr="autonomia-2">
              <a:hlinkClick xmlns:a="http://schemas.openxmlformats.org/drawingml/2006/main" r:id="rId14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utonomia-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515610" cy="3321050"/>
                    </a:xfrm>
                    <a:prstGeom prst="rect">
                      <a:avLst/>
                    </a:prstGeom>
                    <a:noFill/>
                    <a:ln>
                      <a:noFill/>
                    </a:ln>
                  </pic:spPr>
                </pic:pic>
              </a:graphicData>
            </a:graphic>
          </wp:inline>
        </w:drawing>
      </w:r>
    </w:p>
    <w:p w:rsidR="001005DB" w:rsidRPr="00AF4E98" w:rsidRDefault="001005DB" w:rsidP="00550638">
      <w:pPr>
        <w:pStyle w:val="NormalWeb"/>
        <w:jc w:val="both"/>
        <w:rPr>
          <w:color w:val="FF0000"/>
          <w:u w:val="single"/>
        </w:rPr>
      </w:pPr>
      <w:r w:rsidRPr="00AF4E98">
        <w:rPr>
          <w:color w:val="FF0000"/>
          <w:u w:val="single"/>
        </w:rPr>
        <w:t xml:space="preserve">Pero como se ve en el siguiente gráfico, el peor de los mundos es aquel en el que hay autonomía pero no hay rendición de cuentas (como pasa en la universidad, vaya). Y también se puede ver que la autonomía es magnífica si al mismo tiempo hay formas de ver si los centros dan valor añadido. </w:t>
      </w:r>
    </w:p>
    <w:p w:rsidR="001005DB" w:rsidRDefault="001005DB" w:rsidP="00550638">
      <w:pPr>
        <w:pStyle w:val="NormalWeb"/>
        <w:jc w:val="both"/>
      </w:pPr>
      <w:r>
        <w:rPr>
          <w:noProof/>
          <w:color w:val="0000FF"/>
        </w:rPr>
        <w:lastRenderedPageBreak/>
        <w:drawing>
          <wp:inline distT="0" distB="0" distL="0" distR="0" wp14:anchorId="45C73645" wp14:editId="0679C864">
            <wp:extent cx="5142585" cy="3108960"/>
            <wp:effectExtent l="0" t="0" r="1270" b="0"/>
            <wp:docPr id="30" name="Imagen 30" descr="autonomia-rendicion-cuentas">
              <a:hlinkClick xmlns:a="http://schemas.openxmlformats.org/drawingml/2006/main" r:id="rId1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utonomia-rendicion-cuentas"/>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5142865" cy="3109129"/>
                    </a:xfrm>
                    <a:prstGeom prst="rect">
                      <a:avLst/>
                    </a:prstGeom>
                    <a:noFill/>
                    <a:ln>
                      <a:noFill/>
                    </a:ln>
                  </pic:spPr>
                </pic:pic>
              </a:graphicData>
            </a:graphic>
          </wp:inline>
        </w:drawing>
      </w:r>
    </w:p>
    <w:p w:rsidR="001005DB" w:rsidRDefault="001005DB" w:rsidP="00550638">
      <w:pPr>
        <w:pStyle w:val="NormalWeb"/>
        <w:jc w:val="both"/>
      </w:pPr>
      <w:r>
        <w:t>Una vez que la autonomía da resultados, veremos que los centros se diferencian entre sí (unos preferirán especializarse en unas cosas y otros en otras). Esto inevitablemente llevará a que necesitemos un sistema de emparejamiento (“matching”) menos dependiente de la proximidad geográfica que el actual. La investigación económica ha hecho muchos avances en este asunto, que deberían aprovecharse.</w:t>
      </w:r>
    </w:p>
    <w:p w:rsidR="001005DB" w:rsidRPr="00AF4E98" w:rsidRDefault="001005DB" w:rsidP="00550638">
      <w:pPr>
        <w:pStyle w:val="NormalWeb"/>
        <w:jc w:val="both"/>
        <w:rPr>
          <w:color w:val="FF0000"/>
        </w:rPr>
      </w:pPr>
      <w:r>
        <w:rPr>
          <w:rStyle w:val="Textoennegrita"/>
          <w:rFonts w:eastAsiaTheme="majorEastAsia"/>
        </w:rPr>
        <w:t xml:space="preserve">5. </w:t>
      </w:r>
      <w:r w:rsidRPr="00AF4E98">
        <w:rPr>
          <w:rStyle w:val="Textoennegrita"/>
          <w:rFonts w:eastAsiaTheme="majorEastAsia"/>
          <w:color w:val="FF0000"/>
        </w:rPr>
        <w:t>Esfuerzo y comportamiento adecuado</w:t>
      </w:r>
    </w:p>
    <w:p w:rsidR="001005DB" w:rsidRPr="009445F9" w:rsidRDefault="001005DB" w:rsidP="00550638">
      <w:pPr>
        <w:pStyle w:val="NormalWeb"/>
        <w:jc w:val="both"/>
        <w:rPr>
          <w:u w:val="single"/>
        </w:rPr>
      </w:pPr>
      <w:r w:rsidRPr="00AF4E98">
        <w:rPr>
          <w:u w:val="single"/>
        </w:rPr>
        <w:t>Otra de nuestras obs</w:t>
      </w:r>
      <w:r w:rsidR="009445F9">
        <w:rPr>
          <w:u w:val="single"/>
        </w:rPr>
        <w:t xml:space="preserve">esiones </w:t>
      </w:r>
      <w:r w:rsidRPr="00AF4E98">
        <w:rPr>
          <w:u w:val="single"/>
        </w:rPr>
        <w:t xml:space="preserve">es concienciar a los alumnos y familias de que nada, absolutamente nada, va a sustituir al esfuerzo personal y al comportamiento adecuado (en el que </w:t>
      </w:r>
      <w:hyperlink r:id="rId146" w:history="1">
        <w:r w:rsidRPr="009445F9">
          <w:rPr>
            <w:rStyle w:val="Hipervnculo"/>
            <w:rFonts w:eastAsiaTheme="majorEastAsia"/>
            <w:color w:val="auto"/>
          </w:rPr>
          <w:t>España deja mucho que desear</w:t>
        </w:r>
      </w:hyperlink>
      <w:r w:rsidRPr="009445F9">
        <w:rPr>
          <w:u w:val="single"/>
        </w:rPr>
        <w:t>)</w:t>
      </w:r>
      <w:r w:rsidRPr="00AF4E98">
        <w:rPr>
          <w:u w:val="single"/>
        </w:rPr>
        <w:t>.</w:t>
      </w:r>
      <w:r>
        <w:t xml:space="preserve"> Muchos condicionantes personales y sociales son relevantes pero las posibilidades de mejora son escasas sin el esfuerzo del alumno. </w:t>
      </w:r>
      <w:r w:rsidRPr="00AF4E98">
        <w:rPr>
          <w:color w:val="FF0000"/>
          <w:u w:val="single"/>
        </w:rPr>
        <w:t>Simplemente no debe haber excusas para el fracaso.</w:t>
      </w:r>
      <w:r>
        <w:t xml:space="preserve"> </w:t>
      </w:r>
      <w:r w:rsidRPr="00AF4E98">
        <w:rPr>
          <w:u w:val="single"/>
        </w:rPr>
        <w:t>Y pensamos que para incentivar al esfuerzo, los resultados y rendimientos deben tener consecuencias. Al final de la educación primaria y secundaria deberían existir pruebas estandarizadas cuyos resultados tengan consecuencias académicas (por ejemplo, mayores posibilidades de elección de centros, acceso a programas especiales).</w:t>
      </w:r>
      <w:r>
        <w:t xml:space="preserve"> Y </w:t>
      </w:r>
      <w:r w:rsidRPr="00AF4E98">
        <w:rPr>
          <w:u w:val="single"/>
        </w:rPr>
        <w:t xml:space="preserve">debe proporcionarse a los profesores herramientas de autoridad que sean rápidas, eficaces y con escaso coste administrativo para gestionar los conflictos (por ejemplo, </w:t>
      </w:r>
      <w:hyperlink r:id="rId147" w:history="1">
        <w:r w:rsidRPr="009445F9">
          <w:rPr>
            <w:rStyle w:val="Hipervnculo"/>
            <w:rFonts w:eastAsiaTheme="majorEastAsia"/>
            <w:color w:val="auto"/>
          </w:rPr>
          <w:t>labores de trabajo social para los más conflictivos</w:t>
        </w:r>
      </w:hyperlink>
      <w:r w:rsidRPr="009445F9">
        <w:rPr>
          <w:u w:val="single"/>
        </w:rPr>
        <w:t>).</w:t>
      </w:r>
    </w:p>
    <w:p w:rsidR="001005DB" w:rsidRPr="00AF4E98" w:rsidRDefault="001005DB" w:rsidP="00550638">
      <w:pPr>
        <w:pStyle w:val="NormalWeb"/>
        <w:jc w:val="both"/>
        <w:rPr>
          <w:color w:val="FF0000"/>
        </w:rPr>
      </w:pPr>
      <w:r>
        <w:rPr>
          <w:rStyle w:val="Textoennegrita"/>
          <w:rFonts w:eastAsiaTheme="majorEastAsia"/>
        </w:rPr>
        <w:t xml:space="preserve">6. </w:t>
      </w:r>
      <w:r w:rsidRPr="00AF4E98">
        <w:rPr>
          <w:rStyle w:val="Textoennegrita"/>
          <w:rFonts w:eastAsiaTheme="majorEastAsia"/>
          <w:color w:val="FF0000"/>
        </w:rPr>
        <w:t>La formación profesional</w:t>
      </w:r>
    </w:p>
    <w:p w:rsidR="001005DB" w:rsidRDefault="001005DB" w:rsidP="00550638">
      <w:pPr>
        <w:pStyle w:val="NormalWeb"/>
        <w:jc w:val="both"/>
        <w:rPr>
          <w:u w:val="single"/>
        </w:rPr>
      </w:pPr>
      <w:r w:rsidRPr="009445F9">
        <w:rPr>
          <w:u w:val="single"/>
        </w:rPr>
        <w:t xml:space="preserve">Ya saben nuestros lectores que la formación profesional nos </w:t>
      </w:r>
      <w:hyperlink r:id="rId148" w:history="1">
        <w:r w:rsidRPr="009445F9">
          <w:rPr>
            <w:rStyle w:val="Hipervnculo"/>
            <w:rFonts w:eastAsiaTheme="majorEastAsia"/>
            <w:color w:val="auto"/>
          </w:rPr>
          <w:t>parece un aspecto crucial</w:t>
        </w:r>
      </w:hyperlink>
      <w:r w:rsidRPr="009445F9">
        <w:rPr>
          <w:u w:val="single"/>
        </w:rPr>
        <w:t xml:space="preserve">, y descuidado, del sector educativo. Tenemos un porcentaje de estudiantes muy inferior al de otros países europeos. Parte del problema está, </w:t>
      </w:r>
      <w:hyperlink r:id="rId149" w:history="1">
        <w:r w:rsidRPr="009445F9">
          <w:rPr>
            <w:rStyle w:val="Hipervnculo"/>
            <w:rFonts w:eastAsiaTheme="majorEastAsia"/>
            <w:color w:val="auto"/>
          </w:rPr>
          <w:t>según hemos mostrado alguna vez</w:t>
        </w:r>
      </w:hyperlink>
      <w:r w:rsidRPr="009445F9">
        <w:rPr>
          <w:u w:val="single"/>
        </w:rPr>
        <w:t xml:space="preserve"> en que la financiación de la formación profesional es insuficiente. Pero también nos parece que es importante</w:t>
      </w:r>
      <w:hyperlink r:id="rId150" w:history="1">
        <w:r w:rsidRPr="009445F9">
          <w:rPr>
            <w:rStyle w:val="Hipervnculo"/>
            <w:rFonts w:eastAsiaTheme="majorEastAsia"/>
            <w:color w:val="auto"/>
          </w:rPr>
          <w:t xml:space="preserve"> mejorar la conexión de la formación profesional con el mundo empresarial</w:t>
        </w:r>
      </w:hyperlink>
      <w:r w:rsidRPr="009445F9">
        <w:rPr>
          <w:u w:val="single"/>
        </w:rPr>
        <w:t>.</w:t>
      </w:r>
    </w:p>
    <w:p w:rsidR="00C176A3" w:rsidRPr="009445F9" w:rsidRDefault="00C176A3" w:rsidP="00550638">
      <w:pPr>
        <w:pStyle w:val="NormalWeb"/>
        <w:jc w:val="both"/>
        <w:rPr>
          <w:u w:val="single"/>
        </w:rPr>
      </w:pPr>
    </w:p>
    <w:p w:rsidR="001005DB" w:rsidRDefault="001005DB" w:rsidP="00550638">
      <w:pPr>
        <w:pStyle w:val="NormalWeb"/>
        <w:jc w:val="both"/>
      </w:pPr>
      <w:r>
        <w:rPr>
          <w:rStyle w:val="Textoennegrita"/>
          <w:rFonts w:eastAsiaTheme="majorEastAsia"/>
        </w:rPr>
        <w:lastRenderedPageBreak/>
        <w:t xml:space="preserve">7. </w:t>
      </w:r>
      <w:r w:rsidRPr="00AF4E98">
        <w:rPr>
          <w:rStyle w:val="Textoennegrita"/>
          <w:rFonts w:eastAsiaTheme="majorEastAsia"/>
          <w:color w:val="FF0000"/>
        </w:rPr>
        <w:t>Universidad: autonomía y competencia</w:t>
      </w:r>
    </w:p>
    <w:p w:rsidR="001005DB" w:rsidRPr="009445F9" w:rsidRDefault="001005DB" w:rsidP="00550638">
      <w:pPr>
        <w:pStyle w:val="NormalWeb"/>
        <w:jc w:val="both"/>
      </w:pPr>
      <w:r w:rsidRPr="00AF4E98">
        <w:rPr>
          <w:u w:val="single"/>
        </w:rPr>
        <w:t xml:space="preserve">Para mejora de manera sustancial los resultados de las universidades es importante que sean independientes tanto en sus políticas de gestión del capital humano (no sólo en contratación, como ahora, también en condiciones laborales) como en su configuración investigadora y docente. Pero como ya hemos dicho antes, esto solamente funciona con una </w:t>
      </w:r>
      <w:hyperlink r:id="rId151" w:history="1">
        <w:r w:rsidRPr="009445F9">
          <w:rPr>
            <w:rStyle w:val="Hipervnculo"/>
            <w:rFonts w:eastAsiaTheme="majorEastAsia"/>
            <w:color w:val="auto"/>
          </w:rPr>
          <w:t>financiación competitiva basada en una evaluación</w:t>
        </w:r>
      </w:hyperlink>
      <w:r w:rsidRPr="009445F9">
        <w:rPr>
          <w:u w:val="single"/>
        </w:rPr>
        <w:t xml:space="preserve"> seria y uniforme de los resultados en docencia e investigación</w:t>
      </w:r>
      <w:r w:rsidRPr="009445F9">
        <w:t xml:space="preserve">. Esto es mucho mejor que micro-gestionar infinidad de titulaciones y planes de estudio, o condiciones laborales de los profesores. Pero esta estrategia debe venir asociada a una </w:t>
      </w:r>
      <w:hyperlink r:id="rId152" w:history="1">
        <w:r w:rsidRPr="009445F9">
          <w:rPr>
            <w:rStyle w:val="Hipervnculo"/>
            <w:rFonts w:eastAsiaTheme="majorEastAsia"/>
            <w:color w:val="auto"/>
          </w:rPr>
          <w:t>reforma del gobierno de las universidades</w:t>
        </w:r>
      </w:hyperlink>
      <w:r w:rsidRPr="009445F9">
        <w:t xml:space="preserve"> para que rindan cuentas de manera más directa a la sociedad que las financia.</w:t>
      </w:r>
    </w:p>
    <w:p w:rsidR="001005DB" w:rsidRDefault="001005DB" w:rsidP="00550638">
      <w:pPr>
        <w:pStyle w:val="NormalWeb"/>
        <w:jc w:val="both"/>
      </w:pPr>
      <w:r>
        <w:rPr>
          <w:rStyle w:val="Textoennegrita"/>
          <w:rFonts w:eastAsiaTheme="majorEastAsia"/>
        </w:rPr>
        <w:t xml:space="preserve">8. </w:t>
      </w:r>
      <w:r w:rsidRPr="00AF4E98">
        <w:rPr>
          <w:rStyle w:val="Textoennegrita"/>
          <w:rFonts w:eastAsiaTheme="majorEastAsia"/>
          <w:color w:val="FF0000"/>
        </w:rPr>
        <w:t>Evaluación rigurosa</w:t>
      </w:r>
    </w:p>
    <w:p w:rsidR="001005DB" w:rsidRPr="009445F9" w:rsidRDefault="001005DB" w:rsidP="00550638">
      <w:pPr>
        <w:pStyle w:val="NormalWeb"/>
        <w:jc w:val="both"/>
      </w:pPr>
      <w:r>
        <w:t xml:space="preserve">En España se han introducido numerosas reformas globales del sistema educativo e innumerables programas concretos sin una evaluación rigurosa. Esta situación debe cambiar radicalmente, las reformas deben introducirse de forma que puedan ser evaluadas con rigor. Esto requiere, entre otras cosas, </w:t>
      </w:r>
      <w:hyperlink r:id="rId153" w:history="1">
        <w:r w:rsidRPr="009445F9">
          <w:rPr>
            <w:rStyle w:val="Hipervnculo"/>
            <w:rFonts w:eastAsiaTheme="majorEastAsia"/>
            <w:color w:val="auto"/>
          </w:rPr>
          <w:t>que sean evaluadas de manera independiente</w:t>
        </w:r>
      </w:hyperlink>
      <w:r w:rsidRPr="009445F9">
        <w:t xml:space="preserve"> y que los datos necesarios para la evaluación estén disponibles para la comunidad investigadora, como lo están por ejemplo los datos de la prueba de PISA y otras similares. </w:t>
      </w:r>
    </w:p>
    <w:p w:rsidR="001005DB" w:rsidRDefault="001005DB" w:rsidP="00550638">
      <w:pPr>
        <w:pStyle w:val="NormalWeb"/>
        <w:jc w:val="both"/>
      </w:pPr>
      <w:r>
        <w:rPr>
          <w:rStyle w:val="Textoennegrita"/>
          <w:rFonts w:eastAsiaTheme="majorEastAsia"/>
        </w:rPr>
        <w:t>Conclusión</w:t>
      </w:r>
    </w:p>
    <w:p w:rsidR="001005DB" w:rsidRDefault="001005DB" w:rsidP="00550638">
      <w:pPr>
        <w:pStyle w:val="NormalWeb"/>
        <w:jc w:val="both"/>
      </w:pPr>
      <w:r>
        <w:t>Resumiendo, España puede mejorar mucho en educación. Si lo hacemos tendremos buenos resultados a largo plazo, y a corto plazo generaremos ilusión y confianza, algo de lo que no andamos muy sobrados estos días. Y las recetas no son complicadas, ni caras en general, aunque a veces sí que hace falta gastar. Pero hay que gastar en lo que es útil y da resultados. Ahora, a trabajar.</w:t>
      </w:r>
    </w:p>
    <w:p w:rsidR="009445F9" w:rsidRPr="009445F9" w:rsidRDefault="009445F9" w:rsidP="00550638">
      <w:pPr>
        <w:pStyle w:val="NormalWeb"/>
        <w:jc w:val="both"/>
        <w:rPr>
          <w:u w:val="single"/>
        </w:rPr>
      </w:pPr>
      <w:r>
        <w:rPr>
          <w:u w:val="single"/>
        </w:rPr>
        <w:t>EEUU: el resultado</w:t>
      </w:r>
      <w:r w:rsidRPr="009445F9">
        <w:rPr>
          <w:u w:val="single"/>
        </w:rPr>
        <w:t xml:space="preserve"> edu</w:t>
      </w:r>
      <w:r>
        <w:rPr>
          <w:u w:val="single"/>
        </w:rPr>
        <w:t xml:space="preserve">cativo </w:t>
      </w:r>
      <w:r w:rsidRPr="009445F9">
        <w:rPr>
          <w:u w:val="single"/>
        </w:rPr>
        <w:t>de los hijos de inmigrantes</w:t>
      </w:r>
      <w:r>
        <w:rPr>
          <w:u w:val="single"/>
        </w:rPr>
        <w:t xml:space="preserve"> y su futuro laboral</w:t>
      </w:r>
    </w:p>
    <w:p w:rsidR="001005DB" w:rsidRPr="009445F9" w:rsidRDefault="009445F9" w:rsidP="00550638">
      <w:pPr>
        <w:spacing w:line="240" w:lineRule="auto"/>
        <w:jc w:val="both"/>
        <w:rPr>
          <w:rFonts w:ascii="Times New Roman" w:hAnsi="Times New Roman"/>
          <w:sz w:val="24"/>
          <w:szCs w:val="24"/>
        </w:rPr>
      </w:pPr>
      <w:r>
        <w:rPr>
          <w:rFonts w:ascii="Times New Roman" w:hAnsi="Times New Roman"/>
          <w:i/>
          <w:sz w:val="24"/>
          <w:szCs w:val="24"/>
        </w:rPr>
        <w:t>“</w:t>
      </w:r>
      <w:r w:rsidR="001005DB" w:rsidRPr="009445F9">
        <w:rPr>
          <w:rFonts w:ascii="Times New Roman" w:hAnsi="Times New Roman"/>
          <w:i/>
          <w:sz w:val="24"/>
          <w:szCs w:val="24"/>
        </w:rPr>
        <w:t>La educación, salud y posición socioeconómica de los hijos de inmigrantes en Estados Unidos, el grupo de mayor crecimiento en ese país, han aumentado la preocupación sobre cómo será su desempeño cuando se incorporen a la fuerza laboral</w:t>
      </w:r>
      <w:r>
        <w:rPr>
          <w:rFonts w:ascii="Times New Roman" w:hAnsi="Times New Roman"/>
          <w:i/>
          <w:sz w:val="24"/>
          <w:szCs w:val="24"/>
        </w:rPr>
        <w:t>”..</w:t>
      </w:r>
      <w:r w:rsidR="001005DB" w:rsidRPr="009445F9">
        <w:rPr>
          <w:rFonts w:ascii="Times New Roman" w:hAnsi="Times New Roman"/>
          <w:i/>
          <w:sz w:val="24"/>
          <w:szCs w:val="24"/>
        </w:rPr>
        <w:t>.</w:t>
      </w:r>
      <w:r>
        <w:rPr>
          <w:rFonts w:ascii="Times New Roman" w:hAnsi="Times New Roman"/>
          <w:i/>
          <w:sz w:val="24"/>
          <w:szCs w:val="24"/>
        </w:rPr>
        <w:t xml:space="preserve"> </w:t>
      </w:r>
      <w:r>
        <w:rPr>
          <w:rFonts w:ascii="Times New Roman" w:hAnsi="Times New Roman"/>
          <w:sz w:val="24"/>
          <w:szCs w:val="24"/>
          <w:u w:val="single"/>
        </w:rPr>
        <w:t>Los hijos de inmigrantes en EEUU</w:t>
      </w:r>
      <w:r w:rsidRPr="00044C94">
        <w:rPr>
          <w:rFonts w:ascii="Times New Roman" w:hAnsi="Times New Roman"/>
          <w:sz w:val="24"/>
          <w:szCs w:val="24"/>
          <w:u w:val="single"/>
        </w:rPr>
        <w:t xml:space="preserve"> se rezagan en educación</w:t>
      </w:r>
      <w:r>
        <w:rPr>
          <w:rFonts w:ascii="Times New Roman" w:hAnsi="Times New Roman"/>
          <w:sz w:val="24"/>
          <w:szCs w:val="24"/>
        </w:rPr>
        <w:t xml:space="preserve"> (The Wall Street Journal - </w:t>
      </w:r>
      <w:r w:rsidRPr="00044C94">
        <w:rPr>
          <w:rFonts w:ascii="Times New Roman" w:hAnsi="Times New Roman"/>
          <w:b/>
          <w:sz w:val="24"/>
          <w:szCs w:val="24"/>
        </w:rPr>
        <w:t>13/6/12</w:t>
      </w:r>
      <w:r>
        <w:rPr>
          <w:rFonts w:ascii="Times New Roman" w:hAnsi="Times New Roman"/>
          <w:sz w:val="24"/>
          <w:szCs w:val="24"/>
        </w:rPr>
        <w:t>)</w:t>
      </w:r>
    </w:p>
    <w:p w:rsidR="001005DB" w:rsidRPr="005416F3" w:rsidRDefault="001005DB" w:rsidP="00550638">
      <w:pPr>
        <w:spacing w:line="240" w:lineRule="auto"/>
        <w:jc w:val="both"/>
        <w:rPr>
          <w:rFonts w:ascii="Times New Roman" w:hAnsi="Times New Roman"/>
          <w:sz w:val="24"/>
          <w:szCs w:val="24"/>
        </w:rPr>
      </w:pPr>
      <w:r w:rsidRPr="005416F3">
        <w:rPr>
          <w:rFonts w:ascii="Times New Roman" w:hAnsi="Times New Roman"/>
          <w:sz w:val="24"/>
          <w:szCs w:val="24"/>
        </w:rPr>
        <w:t>Muchos de los padres son hispanos y hablan poco o nada de ing</w:t>
      </w:r>
      <w:r w:rsidR="009445F9" w:rsidRPr="005416F3">
        <w:rPr>
          <w:rFonts w:ascii="Times New Roman" w:hAnsi="Times New Roman"/>
          <w:sz w:val="24"/>
          <w:szCs w:val="24"/>
        </w:rPr>
        <w:t>lés. Y aunque la historia de EEUU</w:t>
      </w:r>
      <w:r w:rsidRPr="005416F3">
        <w:rPr>
          <w:rFonts w:ascii="Times New Roman" w:hAnsi="Times New Roman"/>
          <w:sz w:val="24"/>
          <w:szCs w:val="24"/>
        </w:rPr>
        <w:t xml:space="preserve"> tiene muchos ejemplos de hijos de inmigrantes que han asimilado la cultura, algunos investigadores se preocupan de los prospectos de esta generación. Su desempeño, aseguran, podría socavar la economía estadounidense, afectando aspectos que van desde los servicios médicos para los ancianos hasta los precios de las casas.</w:t>
      </w:r>
    </w:p>
    <w:p w:rsidR="001005DB" w:rsidRPr="005416F3" w:rsidRDefault="009445F9" w:rsidP="00550638">
      <w:pPr>
        <w:spacing w:line="240" w:lineRule="auto"/>
        <w:jc w:val="both"/>
        <w:rPr>
          <w:rFonts w:ascii="Times New Roman" w:hAnsi="Times New Roman"/>
          <w:sz w:val="24"/>
          <w:szCs w:val="24"/>
        </w:rPr>
      </w:pPr>
      <w:r w:rsidRPr="005416F3">
        <w:rPr>
          <w:rFonts w:ascii="Times New Roman" w:hAnsi="Times New Roman"/>
          <w:sz w:val="24"/>
          <w:szCs w:val="24"/>
        </w:rPr>
        <w:t>“</w:t>
      </w:r>
      <w:r w:rsidR="001005DB" w:rsidRPr="005416F3">
        <w:rPr>
          <w:rFonts w:ascii="Times New Roman" w:hAnsi="Times New Roman"/>
          <w:sz w:val="24"/>
          <w:szCs w:val="24"/>
        </w:rPr>
        <w:t>La generación de la posguerra… dependerá cada vez más de los hijos de los inmigrantes para asegurar que la economía sea productiva</w:t>
      </w:r>
      <w:r w:rsidRPr="005416F3">
        <w:rPr>
          <w:rFonts w:ascii="Times New Roman" w:hAnsi="Times New Roman"/>
          <w:sz w:val="24"/>
          <w:szCs w:val="24"/>
        </w:rPr>
        <w:t>”</w:t>
      </w:r>
      <w:r w:rsidR="001005DB" w:rsidRPr="005416F3">
        <w:rPr>
          <w:rFonts w:ascii="Times New Roman" w:hAnsi="Times New Roman"/>
          <w:sz w:val="24"/>
          <w:szCs w:val="24"/>
        </w:rPr>
        <w:t>, asegura Donald Hernández, profesor de sociología de Hunter College, quien escribió un informe sobre los hijos de inmigrantes.</w:t>
      </w:r>
    </w:p>
    <w:p w:rsidR="001005DB" w:rsidRPr="005416F3" w:rsidRDefault="009445F9" w:rsidP="00550638">
      <w:pPr>
        <w:spacing w:line="240" w:lineRule="auto"/>
        <w:jc w:val="both"/>
        <w:rPr>
          <w:rFonts w:ascii="Times New Roman" w:hAnsi="Times New Roman"/>
          <w:sz w:val="24"/>
          <w:szCs w:val="24"/>
        </w:rPr>
      </w:pPr>
      <w:r w:rsidRPr="005416F3">
        <w:rPr>
          <w:rFonts w:ascii="Times New Roman" w:hAnsi="Times New Roman"/>
          <w:sz w:val="24"/>
          <w:szCs w:val="24"/>
        </w:rPr>
        <w:t>El informe, publicado a principios de junio (2012)</w:t>
      </w:r>
      <w:r w:rsidR="001005DB" w:rsidRPr="005416F3">
        <w:rPr>
          <w:rFonts w:ascii="Times New Roman" w:hAnsi="Times New Roman"/>
          <w:sz w:val="24"/>
          <w:szCs w:val="24"/>
        </w:rPr>
        <w:t xml:space="preserve">, fue financiado por la Fundación para el Desarrollo de la Niñez, un grupo filantrópico estadounidense que patrocina </w:t>
      </w:r>
      <w:r w:rsidR="001005DB" w:rsidRPr="005416F3">
        <w:rPr>
          <w:rFonts w:ascii="Times New Roman" w:hAnsi="Times New Roman"/>
          <w:sz w:val="24"/>
          <w:szCs w:val="24"/>
        </w:rPr>
        <w:lastRenderedPageBreak/>
        <w:t>investigaciones sobre el bienestar de la niñez. El estudio analizó cifras oficiales de demografía, educación y salud recolectadas entre 1994 y 2010.</w:t>
      </w:r>
    </w:p>
    <w:p w:rsidR="001005DB" w:rsidRPr="005416F3" w:rsidRDefault="009445F9" w:rsidP="00550638">
      <w:pPr>
        <w:spacing w:line="240" w:lineRule="auto"/>
        <w:jc w:val="both"/>
        <w:rPr>
          <w:rFonts w:ascii="Times New Roman" w:hAnsi="Times New Roman"/>
          <w:sz w:val="24"/>
          <w:szCs w:val="24"/>
        </w:rPr>
      </w:pPr>
      <w:r w:rsidRPr="005416F3">
        <w:rPr>
          <w:rFonts w:ascii="Times New Roman" w:hAnsi="Times New Roman"/>
          <w:sz w:val="24"/>
          <w:szCs w:val="24"/>
        </w:rPr>
        <w:t>“</w:t>
      </w:r>
      <w:r w:rsidR="001005DB" w:rsidRPr="005416F3">
        <w:rPr>
          <w:rFonts w:ascii="Times New Roman" w:hAnsi="Times New Roman"/>
          <w:sz w:val="24"/>
          <w:szCs w:val="24"/>
        </w:rPr>
        <w:t>Necesitamos trabajadores educados debido a que la economía moderna es cada vez m</w:t>
      </w:r>
      <w:r w:rsidRPr="005416F3">
        <w:rPr>
          <w:rFonts w:ascii="Times New Roman" w:hAnsi="Times New Roman"/>
          <w:sz w:val="24"/>
          <w:szCs w:val="24"/>
        </w:rPr>
        <w:t>ás dependiente del conocimiento”</w:t>
      </w:r>
      <w:r w:rsidR="001005DB" w:rsidRPr="005416F3">
        <w:rPr>
          <w:rFonts w:ascii="Times New Roman" w:hAnsi="Times New Roman"/>
          <w:sz w:val="24"/>
          <w:szCs w:val="24"/>
        </w:rPr>
        <w:t>, dijo Randy Johnson, vicepresidente</w:t>
      </w:r>
      <w:r w:rsidRPr="005416F3">
        <w:rPr>
          <w:rFonts w:ascii="Times New Roman" w:hAnsi="Times New Roman"/>
          <w:sz w:val="24"/>
          <w:szCs w:val="24"/>
        </w:rPr>
        <w:t xml:space="preserve"> de la Cámara de Comercio de EEUU. “</w:t>
      </w:r>
      <w:r w:rsidR="001005DB" w:rsidRPr="005416F3">
        <w:rPr>
          <w:rFonts w:ascii="Times New Roman" w:hAnsi="Times New Roman"/>
          <w:sz w:val="24"/>
          <w:szCs w:val="24"/>
        </w:rPr>
        <w:t>Es claro que la gente que no termina la secundaria enfrenta grandes barreras en esta economía y eso no es bueno para el país porque ellos no tienen las habilidades para obte</w:t>
      </w:r>
      <w:r w:rsidRPr="005416F3">
        <w:rPr>
          <w:rFonts w:ascii="Times New Roman" w:hAnsi="Times New Roman"/>
          <w:sz w:val="24"/>
          <w:szCs w:val="24"/>
        </w:rPr>
        <w:t>ner empleos con buenos salarios”</w:t>
      </w:r>
      <w:r w:rsidR="001005DB" w:rsidRPr="005416F3">
        <w:rPr>
          <w:rFonts w:ascii="Times New Roman" w:hAnsi="Times New Roman"/>
          <w:sz w:val="24"/>
          <w:szCs w:val="24"/>
        </w:rPr>
        <w:t>.</w:t>
      </w:r>
    </w:p>
    <w:p w:rsidR="001005DB" w:rsidRPr="005416F3" w:rsidRDefault="001005DB" w:rsidP="00550638">
      <w:pPr>
        <w:spacing w:line="240" w:lineRule="auto"/>
        <w:jc w:val="both"/>
        <w:rPr>
          <w:rFonts w:ascii="Times New Roman" w:hAnsi="Times New Roman"/>
          <w:sz w:val="24"/>
          <w:szCs w:val="24"/>
        </w:rPr>
      </w:pPr>
      <w:r w:rsidRPr="005416F3">
        <w:rPr>
          <w:rFonts w:ascii="Times New Roman" w:hAnsi="Times New Roman"/>
          <w:sz w:val="24"/>
          <w:szCs w:val="24"/>
        </w:rPr>
        <w:t>Johnson dijo que la tasa de desempleo es sustancialmente más alta para aquellos que son menos educados, señalando que es de 13% para aquellos que no tienen un diploma de secundaria y 4% para aquellos con al menos un título universitario.</w:t>
      </w:r>
    </w:p>
    <w:p w:rsidR="001005DB" w:rsidRPr="005416F3" w:rsidRDefault="001005DB" w:rsidP="00550638">
      <w:pPr>
        <w:spacing w:line="240" w:lineRule="auto"/>
        <w:jc w:val="both"/>
        <w:rPr>
          <w:rFonts w:ascii="Times New Roman" w:hAnsi="Times New Roman"/>
          <w:sz w:val="24"/>
          <w:szCs w:val="24"/>
        </w:rPr>
      </w:pPr>
      <w:r w:rsidRPr="005416F3">
        <w:rPr>
          <w:rFonts w:ascii="Times New Roman" w:hAnsi="Times New Roman"/>
          <w:sz w:val="24"/>
          <w:szCs w:val="24"/>
        </w:rPr>
        <w:t xml:space="preserve">Muchos de los inmigrantes en mayor desventaja son hispanos, según el estudio, el cual encontró que los hijos de padres asiáticos tuvieron un mejor desempeño en términos educativos. </w:t>
      </w:r>
    </w:p>
    <w:p w:rsidR="001005DB" w:rsidRPr="005416F3" w:rsidRDefault="001005DB" w:rsidP="00550638">
      <w:pPr>
        <w:spacing w:line="240" w:lineRule="auto"/>
        <w:jc w:val="both"/>
        <w:rPr>
          <w:rFonts w:ascii="Times New Roman" w:hAnsi="Times New Roman"/>
          <w:sz w:val="24"/>
          <w:szCs w:val="24"/>
        </w:rPr>
      </w:pPr>
      <w:r w:rsidRPr="005416F3">
        <w:rPr>
          <w:rFonts w:ascii="Times New Roman" w:hAnsi="Times New Roman"/>
          <w:sz w:val="24"/>
          <w:szCs w:val="24"/>
        </w:rPr>
        <w:t>Marguerite Roza, profesora de la Universidad de Washington especializada en productividad educacional, asegura que mejorar los prospectos de los estudiantes latinos y otros en desventaja en momentos en que los presu</w:t>
      </w:r>
      <w:r w:rsidR="009445F9" w:rsidRPr="005416F3">
        <w:rPr>
          <w:rFonts w:ascii="Times New Roman" w:hAnsi="Times New Roman"/>
          <w:sz w:val="24"/>
          <w:szCs w:val="24"/>
        </w:rPr>
        <w:t>puestos son limitados requiere “</w:t>
      </w:r>
      <w:r w:rsidRPr="005416F3">
        <w:rPr>
          <w:rFonts w:ascii="Times New Roman" w:hAnsi="Times New Roman"/>
          <w:sz w:val="24"/>
          <w:szCs w:val="24"/>
        </w:rPr>
        <w:t>enfoques innovadores como el uso de tecnologías informáticas a la p</w:t>
      </w:r>
      <w:r w:rsidR="009445F9" w:rsidRPr="005416F3">
        <w:rPr>
          <w:rFonts w:ascii="Times New Roman" w:hAnsi="Times New Roman"/>
          <w:sz w:val="24"/>
          <w:szCs w:val="24"/>
        </w:rPr>
        <w:t>ar con la enseñanza tradicional”</w:t>
      </w:r>
      <w:r w:rsidRPr="005416F3">
        <w:rPr>
          <w:rFonts w:ascii="Times New Roman" w:hAnsi="Times New Roman"/>
          <w:sz w:val="24"/>
          <w:szCs w:val="24"/>
        </w:rPr>
        <w:t xml:space="preserve">. </w:t>
      </w:r>
    </w:p>
    <w:p w:rsidR="001005DB" w:rsidRPr="005416F3" w:rsidRDefault="001005DB" w:rsidP="00550638">
      <w:pPr>
        <w:spacing w:line="240" w:lineRule="auto"/>
        <w:jc w:val="both"/>
        <w:rPr>
          <w:rFonts w:ascii="Times New Roman" w:hAnsi="Times New Roman"/>
          <w:sz w:val="24"/>
          <w:szCs w:val="24"/>
        </w:rPr>
      </w:pPr>
      <w:r w:rsidRPr="005416F3">
        <w:rPr>
          <w:rFonts w:ascii="Times New Roman" w:hAnsi="Times New Roman"/>
          <w:sz w:val="24"/>
          <w:szCs w:val="24"/>
        </w:rPr>
        <w:t xml:space="preserve">La inmigración proveniente de Latinoamérica y Asia se disparó en la década de los 80. Actualmente, un </w:t>
      </w:r>
      <w:r w:rsidR="009445F9" w:rsidRPr="005416F3">
        <w:rPr>
          <w:rFonts w:ascii="Times New Roman" w:hAnsi="Times New Roman"/>
          <w:sz w:val="24"/>
          <w:szCs w:val="24"/>
        </w:rPr>
        <w:t>cuarto de todos los niños en EEUU</w:t>
      </w:r>
      <w:r w:rsidRPr="005416F3">
        <w:rPr>
          <w:rFonts w:ascii="Times New Roman" w:hAnsi="Times New Roman"/>
          <w:sz w:val="24"/>
          <w:szCs w:val="24"/>
        </w:rPr>
        <w:t xml:space="preserve"> tienen al menos un padre oriundo de otro país. 90% de esos 18 millones de niños son ciudadanos estadounidenses que comenzarán a llegar a la mayoría de edad el próximo año.</w:t>
      </w:r>
    </w:p>
    <w:p w:rsidR="001005DB" w:rsidRPr="005416F3" w:rsidRDefault="001005DB" w:rsidP="00550638">
      <w:pPr>
        <w:spacing w:line="240" w:lineRule="auto"/>
        <w:jc w:val="both"/>
        <w:rPr>
          <w:rFonts w:ascii="Times New Roman" w:hAnsi="Times New Roman"/>
          <w:sz w:val="24"/>
          <w:szCs w:val="24"/>
        </w:rPr>
      </w:pPr>
      <w:r w:rsidRPr="005416F3">
        <w:rPr>
          <w:rFonts w:ascii="Times New Roman" w:hAnsi="Times New Roman"/>
          <w:sz w:val="24"/>
          <w:szCs w:val="24"/>
        </w:rPr>
        <w:t>Muchos de los hijos de inmigrantes comienzan su vida con ventajas que los hijos de los estadounidenses no tienen, según el estudio. Cerca de tres cuartos de los niños de inmigrantes vivían con ambos padres en 2010, según el estudio, frente a 70% de los niños de estadounidenses. Al menos uno de los padres tenía un empleo a tiempo completo para casi dos tercios de cada grupo. Los hijos de inmigrantes son menos propensos a tener un bajo peso al nacer y tienen tasas bajas de mortalidad infantil</w:t>
      </w:r>
      <w:r w:rsidR="009445F9" w:rsidRPr="005416F3">
        <w:rPr>
          <w:rFonts w:ascii="Times New Roman" w:hAnsi="Times New Roman"/>
          <w:sz w:val="24"/>
          <w:szCs w:val="24"/>
        </w:rPr>
        <w:t>, una ventaja conocida como la “paradoja de los inmigrantes”</w:t>
      </w:r>
      <w:r w:rsidRPr="005416F3">
        <w:rPr>
          <w:rFonts w:ascii="Times New Roman" w:hAnsi="Times New Roman"/>
          <w:sz w:val="24"/>
          <w:szCs w:val="24"/>
        </w:rPr>
        <w:t xml:space="preserve"> debido a que va en contra de las expectativas.</w:t>
      </w:r>
    </w:p>
    <w:p w:rsidR="001005DB" w:rsidRPr="005416F3" w:rsidRDefault="001005DB" w:rsidP="00550638">
      <w:pPr>
        <w:spacing w:line="240" w:lineRule="auto"/>
        <w:jc w:val="both"/>
        <w:rPr>
          <w:rFonts w:ascii="Times New Roman" w:hAnsi="Times New Roman"/>
          <w:sz w:val="24"/>
          <w:szCs w:val="24"/>
        </w:rPr>
      </w:pPr>
      <w:r w:rsidRPr="005416F3">
        <w:rPr>
          <w:rFonts w:ascii="Times New Roman" w:hAnsi="Times New Roman"/>
          <w:sz w:val="24"/>
          <w:szCs w:val="24"/>
        </w:rPr>
        <w:t xml:space="preserve">No obstante, a medida que crecen, los hijos de inmigrantes se rezagan a medida que los obstáculos causados por nacer en la pobreza se agudizan. </w:t>
      </w:r>
    </w:p>
    <w:p w:rsidR="001005DB" w:rsidRDefault="001005DB" w:rsidP="00550638">
      <w:pPr>
        <w:spacing w:line="240" w:lineRule="auto"/>
        <w:jc w:val="both"/>
        <w:rPr>
          <w:rFonts w:ascii="Times New Roman" w:hAnsi="Times New Roman"/>
          <w:sz w:val="24"/>
          <w:szCs w:val="24"/>
        </w:rPr>
      </w:pPr>
      <w:r w:rsidRPr="005416F3">
        <w:rPr>
          <w:rFonts w:ascii="Times New Roman" w:hAnsi="Times New Roman"/>
          <w:sz w:val="24"/>
          <w:szCs w:val="24"/>
        </w:rPr>
        <w:t>Las generaciones anteriores de inmigrantes llegaron durante la era de manufactura cuando era posible conseguir un avance social al adquirir más habilidades en el trabajo. Ahora,</w:t>
      </w:r>
      <w:r w:rsidR="005416F3" w:rsidRPr="005416F3">
        <w:rPr>
          <w:rFonts w:ascii="Times New Roman" w:hAnsi="Times New Roman"/>
          <w:sz w:val="24"/>
          <w:szCs w:val="24"/>
        </w:rPr>
        <w:t xml:space="preserve"> en esta economía de servicios “</w:t>
      </w:r>
      <w:r w:rsidRPr="005416F3">
        <w:rPr>
          <w:rFonts w:ascii="Times New Roman" w:hAnsi="Times New Roman"/>
          <w:sz w:val="24"/>
          <w:szCs w:val="24"/>
        </w:rPr>
        <w:t>las escaleras laborales que conectaban a los empleos de bajos salarios con los de altos salarios han desaparec</w:t>
      </w:r>
      <w:r w:rsidR="005416F3" w:rsidRPr="005416F3">
        <w:rPr>
          <w:rFonts w:ascii="Times New Roman" w:hAnsi="Times New Roman"/>
          <w:sz w:val="24"/>
          <w:szCs w:val="24"/>
        </w:rPr>
        <w:t>ido”</w:t>
      </w:r>
      <w:r w:rsidRPr="005416F3">
        <w:rPr>
          <w:rFonts w:ascii="Times New Roman" w:hAnsi="Times New Roman"/>
          <w:sz w:val="24"/>
          <w:szCs w:val="24"/>
        </w:rPr>
        <w:t>, dijo Daniel Cornfield, profesor de sociología de la Universidad Vanderbilt, quien estudia inmig</w:t>
      </w:r>
      <w:r w:rsidR="005416F3" w:rsidRPr="005416F3">
        <w:rPr>
          <w:rFonts w:ascii="Times New Roman" w:hAnsi="Times New Roman"/>
          <w:sz w:val="24"/>
          <w:szCs w:val="24"/>
        </w:rPr>
        <w:t>ración y tendencias laborales. “</w:t>
      </w:r>
      <w:r w:rsidRPr="005416F3">
        <w:rPr>
          <w:rFonts w:ascii="Times New Roman" w:hAnsi="Times New Roman"/>
          <w:sz w:val="24"/>
          <w:szCs w:val="24"/>
        </w:rPr>
        <w:t>Uno tiene que acumular mucha educación antes de entrar a</w:t>
      </w:r>
      <w:r w:rsidR="005416F3" w:rsidRPr="005416F3">
        <w:rPr>
          <w:rFonts w:ascii="Times New Roman" w:hAnsi="Times New Roman"/>
          <w:sz w:val="24"/>
          <w:szCs w:val="24"/>
        </w:rPr>
        <w:t xml:space="preserve"> la fuerza laboral para avanzar”</w:t>
      </w:r>
      <w:r w:rsidRPr="005416F3">
        <w:rPr>
          <w:rFonts w:ascii="Times New Roman" w:hAnsi="Times New Roman"/>
          <w:sz w:val="24"/>
          <w:szCs w:val="24"/>
        </w:rPr>
        <w:t xml:space="preserve">. </w:t>
      </w:r>
    </w:p>
    <w:p w:rsidR="005416F3" w:rsidRPr="005416F3" w:rsidRDefault="005416F3" w:rsidP="00550638">
      <w:pPr>
        <w:spacing w:line="240" w:lineRule="auto"/>
        <w:jc w:val="both"/>
        <w:rPr>
          <w:rFonts w:ascii="Times New Roman" w:hAnsi="Times New Roman"/>
          <w:sz w:val="24"/>
          <w:szCs w:val="24"/>
          <w:u w:val="single"/>
        </w:rPr>
      </w:pPr>
      <w:r w:rsidRPr="005416F3">
        <w:rPr>
          <w:rFonts w:ascii="Times New Roman" w:hAnsi="Times New Roman"/>
          <w:sz w:val="24"/>
          <w:szCs w:val="24"/>
          <w:u w:val="single"/>
        </w:rPr>
        <w:t>El difícil futuro de los “hijos de un dios menor”: heredaran la pobreza y la ignorancia</w:t>
      </w:r>
    </w:p>
    <w:p w:rsidR="001005DB" w:rsidRDefault="001005DB" w:rsidP="00550638">
      <w:pPr>
        <w:pStyle w:val="NormalWeb"/>
        <w:jc w:val="both"/>
      </w:pPr>
      <w:r>
        <w:t xml:space="preserve">- </w:t>
      </w:r>
      <w:r w:rsidRPr="00EB22CC">
        <w:rPr>
          <w:u w:val="single"/>
        </w:rPr>
        <w:t>La inteligencia se hereda, siempre y cuando la familia no sea pobre</w:t>
      </w:r>
      <w:r>
        <w:t xml:space="preserve"> (The Wall Street Journal - </w:t>
      </w:r>
      <w:r w:rsidRPr="00EB22CC">
        <w:rPr>
          <w:b/>
        </w:rPr>
        <w:t>1/7/12</w:t>
      </w:r>
      <w:r>
        <w:t>)</w:t>
      </w:r>
    </w:p>
    <w:p w:rsidR="001005DB" w:rsidRPr="006E46BA" w:rsidRDefault="001005DB" w:rsidP="00550638">
      <w:pPr>
        <w:pStyle w:val="NormalWeb"/>
        <w:jc w:val="both"/>
      </w:pPr>
      <w:r w:rsidRPr="006E46BA">
        <w:lastRenderedPageBreak/>
        <w:t>(Por M</w:t>
      </w:r>
      <w:r w:rsidR="005416F3" w:rsidRPr="006E46BA">
        <w:t>att Ridley)</w:t>
      </w:r>
      <w:r w:rsidR="00E73CEC">
        <w:t xml:space="preserve">                                                                              Lectura recomendada</w:t>
      </w:r>
    </w:p>
    <w:p w:rsidR="001005DB" w:rsidRPr="0024293D" w:rsidRDefault="001005DB" w:rsidP="00550638">
      <w:pPr>
        <w:pStyle w:val="NormalWeb"/>
        <w:jc w:val="both"/>
        <w:rPr>
          <w:color w:val="FF0000"/>
          <w:u w:val="single"/>
        </w:rPr>
      </w:pPr>
      <w:r w:rsidRPr="0024293D">
        <w:rPr>
          <w:color w:val="FF0000"/>
          <w:u w:val="single"/>
        </w:rPr>
        <w:t>Actualmente, no hay duda de que la inteligencia se hereda: es más probable que los adultos inteligentes tengan hijos inteligentes. Sin embargo, en los años 70, sugerir que el coeficiente intelectual (CI) podía heredarse era una herejía intelectual, que podía castigarse con el equivalente a la hoguera.</w:t>
      </w:r>
    </w:p>
    <w:p w:rsidR="001005DB" w:rsidRDefault="001005DB" w:rsidP="00550638">
      <w:pPr>
        <w:pStyle w:val="NormalWeb"/>
        <w:jc w:val="both"/>
      </w:pPr>
      <w:r>
        <w:t>Más que cualquier otra evidencia, fue el estudio de gemelos lo que p</w:t>
      </w:r>
      <w:r w:rsidR="005416F3">
        <w:t>rodujo el cambio. Born together-</w:t>
      </w:r>
      <w:r>
        <w:t>Reared Apart (algo así como Nacidos juntos, criados por separado), un nuevo libro de Nancy L. Segal sobre el Estudio Minnesota de Gemelos Criados por Separado (Mistra, por sus siglas en inglés), narra la historia del cambio. En 1979, Thomas Bouchard de la Universidad de Minnesota leyó un informe en un periódico sobre gemelos del estado de Ohio, que tras ser separados al nacer habían sido reunidos. Resultó que ambos poseían hábitos misteriosamente similares. Bouchard comenzó a reunir historias clínicas de gemelos criados por separado y a invitarlos a Minneapolis para estudiarlos.</w:t>
      </w:r>
    </w:p>
    <w:p w:rsidR="001005DB" w:rsidRDefault="001005DB" w:rsidP="00550638">
      <w:pPr>
        <w:pStyle w:val="NormalWeb"/>
        <w:jc w:val="both"/>
      </w:pPr>
      <w:r>
        <w:t>Para 1990, Segal y otros médicos estaban listos para publicar sus resultados en la revista Science. Para entonces habían medido el CI de 48 pares de mellizos o gemelos criados por separado y 40 pares de mellizos o gemelos criados juntos. Los primeros eran 69% similares en CI, comparado con 88% en el caso de los segundos, en ambos casos una semejanza mucho mayor que para cualquier otro par de individuos, incluso hermanos. Otras variables además de la genética, como posesiones materiales en el hogar, tenían poca influencia, y tampoco importaba el grado de contacto social entre los hermanos en cada par asociado con su similitud en CI.</w:t>
      </w:r>
    </w:p>
    <w:p w:rsidR="001005DB" w:rsidRDefault="001005DB" w:rsidP="00550638">
      <w:pPr>
        <w:pStyle w:val="NormalWeb"/>
        <w:jc w:val="both"/>
      </w:pPr>
      <w:r>
        <w:t>El ensayo atrajo abundantes críticas, y durante años hubo una silenciosa campaña para desacreditar el estudio Mistra al afirmar que se basaba en anécdotas, que subestimaba el contacto entre gemelos, que no tomaba en cuenta una tendencia que tienen los mellizos reunidos a exagerar sus similitudes o asumía muy poca semejanza entre las familias que adoptaron a los gemelos.</w:t>
      </w:r>
    </w:p>
    <w:p w:rsidR="001005DB" w:rsidRDefault="001005DB" w:rsidP="00550638">
      <w:pPr>
        <w:pStyle w:val="NormalWeb"/>
        <w:jc w:val="both"/>
      </w:pPr>
      <w:r>
        <w:t xml:space="preserve">Sin embargo, como afirma Segal, los científicos del Mistra fueron meticulosos al abordar estos y otros puntos. </w:t>
      </w:r>
    </w:p>
    <w:p w:rsidR="001005DB" w:rsidRDefault="001005DB" w:rsidP="00550638">
      <w:pPr>
        <w:pStyle w:val="NormalWeb"/>
        <w:jc w:val="both"/>
      </w:pPr>
      <w:r>
        <w:t>Hoy, un tercio de un siglo después de que comenzara el estudio y cuando otras investigaciones de gemelos reunidos llegaron a la misma conclusión, las cifras son sorprendentes. Los gemelos idénticos criados por separado son más similares en CI (74%) que los gemelos no idénticos criados juntos (60%) y mucho más que pares de padres e hijos (42%); medio hermanos (31%); hermanos adoptivos (29%-34%); gemelos virtuales, o niños de edad similar pero sin relación familiar que fueron criados juntos (28%); pares de padres e hijos adoptivos (19%), y primos (15%). Nada más que los genes puede explicar esta jerarquía.</w:t>
      </w:r>
    </w:p>
    <w:p w:rsidR="001005DB" w:rsidRDefault="001005DB" w:rsidP="00550638">
      <w:pPr>
        <w:pStyle w:val="NormalWeb"/>
        <w:jc w:val="both"/>
        <w:rPr>
          <w:u w:val="single"/>
        </w:rPr>
      </w:pPr>
      <w:r w:rsidRPr="0024293D">
        <w:rPr>
          <w:u w:val="single"/>
        </w:rPr>
        <w:t>Pero, como aceptan tanto Bouchard y Segal, la alta incidencia en la inteligencia heredada se aplica principalmente a familias no pobres. Críe a un niño hambriento o enfermo y el ambiente sí afecta el CI.</w:t>
      </w:r>
    </w:p>
    <w:p w:rsidR="00C176A3" w:rsidRDefault="00C176A3" w:rsidP="00550638">
      <w:pPr>
        <w:pStyle w:val="NormalWeb"/>
        <w:jc w:val="both"/>
        <w:rPr>
          <w:u w:val="single"/>
        </w:rPr>
      </w:pPr>
    </w:p>
    <w:p w:rsidR="005416F3" w:rsidRDefault="005416F3" w:rsidP="00550638">
      <w:pPr>
        <w:pStyle w:val="NormalWeb"/>
        <w:jc w:val="both"/>
        <w:rPr>
          <w:u w:val="single"/>
        </w:rPr>
      </w:pPr>
      <w:r>
        <w:rPr>
          <w:u w:val="single"/>
        </w:rPr>
        <w:lastRenderedPageBreak/>
        <w:t>Algunas historias de éxitos y fracasos (mirando un poco lo que ocurre fuera de Europa)</w:t>
      </w:r>
    </w:p>
    <w:p w:rsidR="001005DB" w:rsidRPr="005416F3" w:rsidRDefault="001005DB" w:rsidP="00550638">
      <w:pPr>
        <w:pStyle w:val="NormalWeb"/>
        <w:jc w:val="both"/>
        <w:rPr>
          <w:u w:val="single"/>
        </w:rPr>
      </w:pPr>
      <w:r>
        <w:t xml:space="preserve"> -</w:t>
      </w:r>
      <w:r w:rsidRPr="00DC6902">
        <w:t xml:space="preserve"> </w:t>
      </w:r>
      <w:r w:rsidRPr="00DC6902">
        <w:rPr>
          <w:u w:val="single"/>
        </w:rPr>
        <w:t>Washington pagará a los peores para que estudien en verano</w:t>
      </w:r>
      <w:r>
        <w:t xml:space="preserve"> (Gaceta.es - </w:t>
      </w:r>
      <w:r w:rsidRPr="00DC6902">
        <w:rPr>
          <w:b/>
        </w:rPr>
        <w:t>2/8/12</w:t>
      </w:r>
      <w:r>
        <w:t>)</w:t>
      </w:r>
      <w:r w:rsidRPr="00DC6902">
        <w:t xml:space="preserve">  </w:t>
      </w:r>
    </w:p>
    <w:p w:rsidR="001005DB" w:rsidRPr="00DC6902" w:rsidRDefault="001005DB" w:rsidP="00550638">
      <w:pPr>
        <w:spacing w:line="240" w:lineRule="auto"/>
        <w:jc w:val="both"/>
        <w:rPr>
          <w:rFonts w:ascii="Times New Roman" w:hAnsi="Times New Roman"/>
          <w:sz w:val="24"/>
          <w:szCs w:val="24"/>
        </w:rPr>
      </w:pPr>
      <w:r w:rsidRPr="00DC6902">
        <w:rPr>
          <w:rFonts w:ascii="Times New Roman" w:hAnsi="Times New Roman"/>
          <w:sz w:val="24"/>
          <w:szCs w:val="24"/>
        </w:rPr>
        <w:t xml:space="preserve">El programa puede ampliarse un año si los resultados son positivos. </w:t>
      </w:r>
    </w:p>
    <w:p w:rsidR="001005DB" w:rsidRPr="00FF5241" w:rsidRDefault="001005DB" w:rsidP="00550638">
      <w:pPr>
        <w:spacing w:line="240" w:lineRule="auto"/>
        <w:jc w:val="both"/>
        <w:rPr>
          <w:rFonts w:ascii="Times New Roman" w:hAnsi="Times New Roman"/>
          <w:color w:val="FF0000"/>
          <w:sz w:val="24"/>
          <w:szCs w:val="24"/>
          <w:u w:val="single"/>
        </w:rPr>
      </w:pPr>
      <w:r w:rsidRPr="00FF5241">
        <w:rPr>
          <w:rFonts w:ascii="Times New Roman" w:hAnsi="Times New Roman"/>
          <w:color w:val="FF0000"/>
          <w:sz w:val="24"/>
          <w:szCs w:val="24"/>
          <w:u w:val="single"/>
        </w:rPr>
        <w:t>El Distrito de Columbia (Washington) está pagando a 305 estudiantes con rendimiento académico bajo por asistir a la escuela de ver</w:t>
      </w:r>
      <w:r w:rsidR="005416F3">
        <w:rPr>
          <w:rFonts w:ascii="Times New Roman" w:hAnsi="Times New Roman"/>
          <w:color w:val="FF0000"/>
          <w:sz w:val="24"/>
          <w:szCs w:val="24"/>
          <w:u w:val="single"/>
        </w:rPr>
        <w:t xml:space="preserve">ano, según </w:t>
      </w:r>
      <w:r w:rsidR="005416F3" w:rsidRPr="00551CFB">
        <w:rPr>
          <w:rFonts w:ascii="Times New Roman" w:hAnsi="Times New Roman"/>
          <w:i/>
          <w:color w:val="FF0000"/>
          <w:sz w:val="24"/>
          <w:szCs w:val="24"/>
          <w:u w:val="single"/>
        </w:rPr>
        <w:t>“The Washington Examiner”</w:t>
      </w:r>
      <w:r w:rsidRPr="00551CFB">
        <w:rPr>
          <w:rFonts w:ascii="Times New Roman" w:hAnsi="Times New Roman"/>
          <w:i/>
          <w:color w:val="FF0000"/>
          <w:sz w:val="24"/>
          <w:szCs w:val="24"/>
          <w:u w:val="single"/>
        </w:rPr>
        <w:t>.</w:t>
      </w:r>
    </w:p>
    <w:p w:rsidR="001005DB" w:rsidRPr="00DC6902" w:rsidRDefault="001005DB" w:rsidP="00550638">
      <w:pPr>
        <w:spacing w:line="240" w:lineRule="auto"/>
        <w:jc w:val="both"/>
        <w:rPr>
          <w:rFonts w:ascii="Times New Roman" w:hAnsi="Times New Roman"/>
          <w:sz w:val="24"/>
          <w:szCs w:val="24"/>
        </w:rPr>
      </w:pPr>
      <w:r w:rsidRPr="00DC6902">
        <w:rPr>
          <w:rFonts w:ascii="Times New Roman" w:hAnsi="Times New Roman"/>
          <w:sz w:val="24"/>
          <w:szCs w:val="24"/>
        </w:rPr>
        <w:t>Los chicos que pasan a noveno grado están ganando 5,25 dólares la hora</w:t>
      </w:r>
      <w:r w:rsidR="005416F3">
        <w:rPr>
          <w:rFonts w:ascii="Times New Roman" w:hAnsi="Times New Roman"/>
          <w:sz w:val="24"/>
          <w:szCs w:val="24"/>
        </w:rPr>
        <w:t xml:space="preserve"> por participar en el programa “Summer Bridge”</w:t>
      </w:r>
      <w:r w:rsidRPr="00DC6902">
        <w:rPr>
          <w:rFonts w:ascii="Times New Roman" w:hAnsi="Times New Roman"/>
          <w:sz w:val="24"/>
          <w:szCs w:val="24"/>
        </w:rPr>
        <w:t xml:space="preserve"> que va dirigido a los estudiantes menos aplicados de las Escuelas Públicas del Distrito de Columbia (EPDC). Los 95 estudiantes que se inscribieron voluntariamente en el programa recibirán la mitad de un crédito electivo. Pero para completar los 400 puestos vacantes con estudiantes en situación de riesgo académico, las EPDC se dirigieron al Departamento de Servicios de Empleo, de donde sacaron a 305 jóvenes que se habían inscrito para el Programa de Empleo de Verano.</w:t>
      </w:r>
    </w:p>
    <w:p w:rsidR="001005DB" w:rsidRPr="00DC6902" w:rsidRDefault="001005DB" w:rsidP="00550638">
      <w:pPr>
        <w:spacing w:line="240" w:lineRule="auto"/>
        <w:jc w:val="both"/>
        <w:rPr>
          <w:rFonts w:ascii="Times New Roman" w:hAnsi="Times New Roman"/>
          <w:sz w:val="24"/>
          <w:szCs w:val="24"/>
        </w:rPr>
      </w:pPr>
      <w:r w:rsidRPr="00DC6902">
        <w:rPr>
          <w:rFonts w:ascii="Times New Roman" w:hAnsi="Times New Roman"/>
          <w:sz w:val="24"/>
          <w:szCs w:val="24"/>
        </w:rPr>
        <w:t>Escogieron a los chicos con bajas ca</w:t>
      </w:r>
      <w:r w:rsidR="005416F3">
        <w:rPr>
          <w:rFonts w:ascii="Times New Roman" w:hAnsi="Times New Roman"/>
          <w:sz w:val="24"/>
          <w:szCs w:val="24"/>
        </w:rPr>
        <w:t>lificaciones y les dijeron que “estudiar sería su trabajo”</w:t>
      </w:r>
      <w:r w:rsidRPr="00DC6902">
        <w:rPr>
          <w:rFonts w:ascii="Times New Roman" w:hAnsi="Times New Roman"/>
          <w:sz w:val="24"/>
          <w:szCs w:val="24"/>
        </w:rPr>
        <w:t>. Melissa Salmanowitz, una portavoz de la canciller Kaya Henderson, dijo que los funcionarios de DCPS estudiarán los resultados de este año con la intención de ampliar el programa el próximo verano. Sal</w:t>
      </w:r>
      <w:r w:rsidR="00C23EA3">
        <w:rPr>
          <w:rFonts w:ascii="Times New Roman" w:hAnsi="Times New Roman"/>
          <w:sz w:val="24"/>
          <w:szCs w:val="24"/>
        </w:rPr>
        <w:t>manowitz describió el programa “Summer Bridge” como “</w:t>
      </w:r>
      <w:r w:rsidRPr="00DC6902">
        <w:rPr>
          <w:rFonts w:ascii="Times New Roman" w:hAnsi="Times New Roman"/>
          <w:sz w:val="24"/>
          <w:szCs w:val="24"/>
        </w:rPr>
        <w:t>un m</w:t>
      </w:r>
      <w:r>
        <w:rPr>
          <w:rFonts w:ascii="Times New Roman" w:hAnsi="Times New Roman"/>
          <w:sz w:val="24"/>
          <w:szCs w:val="24"/>
        </w:rPr>
        <w:t>odelo completamente diferente”.</w:t>
      </w:r>
    </w:p>
    <w:p w:rsidR="00C23EA3" w:rsidRDefault="001005DB" w:rsidP="00550638">
      <w:pPr>
        <w:spacing w:line="240" w:lineRule="auto"/>
        <w:jc w:val="both"/>
        <w:rPr>
          <w:rFonts w:ascii="Times New Roman" w:hAnsi="Times New Roman"/>
          <w:sz w:val="24"/>
          <w:szCs w:val="24"/>
          <w:u w:val="single"/>
        </w:rPr>
      </w:pPr>
      <w:r w:rsidRPr="00DC6902">
        <w:rPr>
          <w:rFonts w:ascii="Times New Roman" w:hAnsi="Times New Roman"/>
          <w:sz w:val="24"/>
          <w:szCs w:val="24"/>
        </w:rPr>
        <w:t xml:space="preserve">Los estudiantes no se limitan a pasar los cursos, sino que también hacen simulaciones de los lugares de trabajo. Así, en un escenario los estudiantes usan las matemáticas y las destrezas de alfabetización para resolver problemas mientras fingen ser ejecutivos de una cadena de televisión deportiva, explica Salmanowitz. Sin embargo, hay quien ya le ve el lado negativo a esta medida. </w:t>
      </w:r>
      <w:r w:rsidRPr="00FF5241">
        <w:rPr>
          <w:rFonts w:ascii="Times New Roman" w:hAnsi="Times New Roman"/>
          <w:sz w:val="24"/>
          <w:szCs w:val="24"/>
          <w:u w:val="single"/>
        </w:rPr>
        <w:t>La entrega de cheques de pago a los estudiantes para</w:t>
      </w:r>
      <w:r w:rsidR="00C23EA3">
        <w:rPr>
          <w:rFonts w:ascii="Times New Roman" w:hAnsi="Times New Roman"/>
          <w:sz w:val="24"/>
          <w:szCs w:val="24"/>
          <w:u w:val="single"/>
        </w:rPr>
        <w:t xml:space="preserve"> el aprendizaje podría ser una “pendiente resbaladiza”</w:t>
      </w:r>
      <w:r w:rsidRPr="00FF5241">
        <w:rPr>
          <w:rFonts w:ascii="Times New Roman" w:hAnsi="Times New Roman"/>
          <w:sz w:val="24"/>
          <w:szCs w:val="24"/>
          <w:u w:val="single"/>
        </w:rPr>
        <w:t xml:space="preserve">, asegura Chuck Thies, un político </w:t>
      </w:r>
      <w:r w:rsidR="00C23EA3">
        <w:rPr>
          <w:rFonts w:ascii="Times New Roman" w:hAnsi="Times New Roman"/>
          <w:sz w:val="24"/>
          <w:szCs w:val="24"/>
          <w:u w:val="single"/>
        </w:rPr>
        <w:t>local de consultoría. “</w:t>
      </w:r>
      <w:r w:rsidRPr="00FF5241">
        <w:rPr>
          <w:rFonts w:ascii="Times New Roman" w:hAnsi="Times New Roman"/>
          <w:sz w:val="24"/>
          <w:szCs w:val="24"/>
          <w:u w:val="single"/>
        </w:rPr>
        <w:t>Es muy importante que lleguemos a estudiantes en riesgo y de bajo rendimiento, pero no creo que incentivar con d</w:t>
      </w:r>
      <w:r w:rsidR="00C23EA3">
        <w:rPr>
          <w:rFonts w:ascii="Times New Roman" w:hAnsi="Times New Roman"/>
          <w:sz w:val="24"/>
          <w:szCs w:val="24"/>
          <w:u w:val="single"/>
        </w:rPr>
        <w:t>inero envíe el mensaje correcto”</w:t>
      </w:r>
      <w:r w:rsidRPr="00FF5241">
        <w:rPr>
          <w:rFonts w:ascii="Times New Roman" w:hAnsi="Times New Roman"/>
          <w:sz w:val="24"/>
          <w:szCs w:val="24"/>
          <w:u w:val="single"/>
        </w:rPr>
        <w:t>, subraya Thies.</w:t>
      </w:r>
    </w:p>
    <w:p w:rsidR="001005DB" w:rsidRDefault="001005DB" w:rsidP="00550638">
      <w:pPr>
        <w:pStyle w:val="NormalWeb"/>
        <w:jc w:val="both"/>
      </w:pPr>
      <w:r>
        <w:t xml:space="preserve">- </w:t>
      </w:r>
      <w:r w:rsidRPr="002A778C">
        <w:rPr>
          <w:u w:val="single"/>
        </w:rPr>
        <w:t>Así arruinaron los japoneses la educación: un modelo a olvidar</w:t>
      </w:r>
      <w:r>
        <w:t xml:space="preserve"> (El Confidencial - </w:t>
      </w:r>
      <w:r w:rsidRPr="002A778C">
        <w:rPr>
          <w:b/>
        </w:rPr>
        <w:t>1/10/12</w:t>
      </w:r>
      <w:r>
        <w:t>)</w:t>
      </w:r>
    </w:p>
    <w:p w:rsidR="001005DB" w:rsidRPr="00470501" w:rsidRDefault="001005DB" w:rsidP="00550638">
      <w:pPr>
        <w:pStyle w:val="NormalWeb"/>
        <w:jc w:val="both"/>
        <w:rPr>
          <w:u w:val="single"/>
        </w:rPr>
      </w:pPr>
      <w:r w:rsidRPr="00470501">
        <w:rPr>
          <w:color w:val="FF0000"/>
          <w:u w:val="single"/>
        </w:rPr>
        <w:t xml:space="preserve">Hace veinte años, el sistema educativo japonés era un ejemplo para el mundo. La estrecha relación entre empresas y universidades había hecho que los estudiantes japoneses tuvieran asegurado un puesto de trabajo nada más finalizar sus estudios, e incluso antes. El país no conocía el paro, las escuelas y universidades eran muy exigentes y el fracaso escolar era prácticamente inexistente. </w:t>
      </w:r>
      <w:r w:rsidRPr="00C176A3">
        <w:rPr>
          <w:bCs/>
          <w:color w:val="FF0000"/>
          <w:u w:val="single"/>
        </w:rPr>
        <w:t>Hoy poco queda del milagro educativo japonés.</w:t>
      </w:r>
      <w:r>
        <w:t xml:space="preserve"> </w:t>
      </w:r>
      <w:r w:rsidRPr="00470501">
        <w:rPr>
          <w:u w:val="single"/>
        </w:rPr>
        <w:t>Las aulas están vacías, debido al frenazo de la natalidad, y todos los años cierran un puñado de universidades, porque son incapaces de atraer estudiantes.</w:t>
      </w:r>
    </w:p>
    <w:p w:rsidR="001005DB" w:rsidRDefault="001005DB" w:rsidP="00550638">
      <w:pPr>
        <w:pStyle w:val="NormalWeb"/>
        <w:jc w:val="both"/>
      </w:pPr>
      <w:r w:rsidRPr="00470501">
        <w:rPr>
          <w:u w:val="single"/>
        </w:rPr>
        <w:t xml:space="preserve">A este contexto nada halagüeño se añade un problema que, muchos consideran, es pilar en el fracaso del sistema: </w:t>
      </w:r>
      <w:r w:rsidRPr="00C176A3">
        <w:rPr>
          <w:bCs/>
          <w:u w:val="single"/>
        </w:rPr>
        <w:t>Japón se encuentra en la cola de la enseñanza de idiomas.</w:t>
      </w:r>
      <w:r>
        <w:rPr>
          <w:b/>
          <w:bCs/>
        </w:rPr>
        <w:t xml:space="preserve"> </w:t>
      </w:r>
      <w:r>
        <w:t xml:space="preserve">Hasta el año 2000, cuando se cambió la ley educativa, el sistema no contemplaba la enseñanza de inglés hasta la escuela secundaria, entre los 13 y los 15 años. Y ahora que se empieza a impartir desde primaria faltan profesores con un nivel adecuado. </w:t>
      </w:r>
    </w:p>
    <w:p w:rsidR="001005DB" w:rsidRDefault="001005DB" w:rsidP="00550638">
      <w:pPr>
        <w:pStyle w:val="NormalWeb"/>
        <w:jc w:val="both"/>
      </w:pPr>
      <w:r w:rsidRPr="00C176A3">
        <w:rPr>
          <w:bCs/>
        </w:rPr>
        <w:lastRenderedPageBreak/>
        <w:t>Ante este panorama cobró gran importancia la acreditación externa de las habilidades lingüísticas</w:t>
      </w:r>
      <w:r w:rsidRPr="00C176A3">
        <w:t>,</w:t>
      </w:r>
      <w:r>
        <w:t xml:space="preserve"> y particularmente la pruebas de inglés TOEIC (Test of English fo</w:t>
      </w:r>
      <w:r w:rsidR="00C23EA3">
        <w:t>r International Communication) -</w:t>
      </w:r>
      <w:r>
        <w:t>la versión para entornos empresariales del TOEFL (Test of English as a Foreign Language) que se diseñó ex profeso</w:t>
      </w:r>
      <w:r w:rsidR="00C23EA3">
        <w:t xml:space="preserve"> pensando en el entorno japonés-</w:t>
      </w:r>
      <w:r>
        <w:t xml:space="preserve"> que las empresas empezaron a exigir a medida que se hizo necesaria una mayor apertura hacia mercados internacionales. Ayer visitaron Madrid los más altos responsables de la organización sin ánimo de lucro que imparte estos exámenes en el país nipón, The Institute for International Business Communication (IIBC). Su cometido: explicar a los responsables de estas pruebas en España, la consultoría Capman, cómo estos test se abrieron paso tan rápidamente en Japón, y qué importancia tiene la implantación de un sistema de acreditación unificado que mida las competencias lingüísticas.</w:t>
      </w:r>
    </w:p>
    <w:p w:rsidR="001005DB" w:rsidRPr="00C23EA3" w:rsidRDefault="001005DB" w:rsidP="00550638">
      <w:pPr>
        <w:pStyle w:val="NormalWeb"/>
        <w:jc w:val="both"/>
      </w:pPr>
      <w:r w:rsidRPr="00C23EA3">
        <w:rPr>
          <w:bCs/>
        </w:rPr>
        <w:t>La revolución de los estudiantes mediocres</w:t>
      </w:r>
    </w:p>
    <w:p w:rsidR="001005DB" w:rsidRPr="00470501" w:rsidRDefault="001005DB" w:rsidP="00550638">
      <w:pPr>
        <w:pStyle w:val="NormalWeb"/>
        <w:jc w:val="both"/>
        <w:rPr>
          <w:u w:val="single"/>
        </w:rPr>
      </w:pPr>
      <w:r w:rsidRPr="00470501">
        <w:rPr>
          <w:u w:val="single"/>
        </w:rPr>
        <w:t xml:space="preserve">Aprovechando esta visita, </w:t>
      </w:r>
      <w:r w:rsidRPr="00C176A3">
        <w:rPr>
          <w:bCs/>
          <w:u w:val="single"/>
        </w:rPr>
        <w:t>Naotomi Umezawa</w:t>
      </w:r>
      <w:r w:rsidRPr="00470501">
        <w:rPr>
          <w:u w:val="single"/>
        </w:rPr>
        <w:t xml:space="preserve">, director ejecutivo del IIBC, ha explicado a </w:t>
      </w:r>
      <w:r w:rsidRPr="00470501">
        <w:rPr>
          <w:i/>
          <w:iCs/>
          <w:u w:val="single"/>
        </w:rPr>
        <w:t xml:space="preserve">El Confidencial </w:t>
      </w:r>
      <w:r w:rsidRPr="00470501">
        <w:rPr>
          <w:u w:val="single"/>
        </w:rPr>
        <w:t>las particularidades del sistema educativo japonés y por qué razón se ha quedado estancado. Basta analizar un dato para darse cuenta de que algo no funciona. El 45% de los trabajadores japoneses tiene</w:t>
      </w:r>
      <w:r w:rsidR="00C23EA3">
        <w:rPr>
          <w:u w:val="single"/>
        </w:rPr>
        <w:t xml:space="preserve"> un título universitario -</w:t>
      </w:r>
      <w:r w:rsidRPr="00470501">
        <w:rPr>
          <w:u w:val="single"/>
        </w:rPr>
        <w:t xml:space="preserve">es el tercer país del mundo </w:t>
      </w:r>
      <w:r w:rsidR="00C23EA3">
        <w:rPr>
          <w:u w:val="single"/>
        </w:rPr>
        <w:t>con mayor número de licenciados-</w:t>
      </w:r>
      <w:r w:rsidRPr="00470501">
        <w:rPr>
          <w:u w:val="single"/>
        </w:rPr>
        <w:t xml:space="preserve"> pero las tasas de desempleo de estos es muy alta, de un 15%. </w:t>
      </w:r>
      <w:r w:rsidRPr="00C176A3">
        <w:rPr>
          <w:bCs/>
          <w:u w:val="single"/>
        </w:rPr>
        <w:t xml:space="preserve">Las universidades japonesas, además, no dejan de bajar en los </w:t>
      </w:r>
      <w:r w:rsidR="00822CE7">
        <w:rPr>
          <w:bCs/>
          <w:u w:val="single"/>
        </w:rPr>
        <w:t>“</w:t>
      </w:r>
      <w:r w:rsidRPr="00822CE7">
        <w:rPr>
          <w:bCs/>
          <w:iCs/>
          <w:u w:val="single"/>
        </w:rPr>
        <w:t>rankings</w:t>
      </w:r>
      <w:r w:rsidR="00822CE7">
        <w:rPr>
          <w:bCs/>
          <w:iCs/>
          <w:u w:val="single"/>
        </w:rPr>
        <w:t>”</w:t>
      </w:r>
      <w:r w:rsidRPr="00822CE7">
        <w:rPr>
          <w:bCs/>
          <w:u w:val="single"/>
        </w:rPr>
        <w:t xml:space="preserve"> </w:t>
      </w:r>
      <w:r w:rsidRPr="00C176A3">
        <w:rPr>
          <w:bCs/>
          <w:u w:val="single"/>
        </w:rPr>
        <w:t>internacionales.</w:t>
      </w:r>
      <w:r w:rsidRPr="00470501">
        <w:rPr>
          <w:u w:val="single"/>
        </w:rPr>
        <w:t xml:space="preserve"> La universidad de Tokio, la más prestigiosa del país, no aparece en la mayoría de listas hasta la posición 30. </w:t>
      </w:r>
    </w:p>
    <w:p w:rsidR="001005DB" w:rsidRPr="00470501" w:rsidRDefault="001005DB" w:rsidP="00550638">
      <w:pPr>
        <w:pStyle w:val="NormalWeb"/>
        <w:jc w:val="both"/>
        <w:rPr>
          <w:u w:val="single"/>
        </w:rPr>
      </w:pPr>
      <w:r w:rsidRPr="00470501">
        <w:rPr>
          <w:u w:val="single"/>
        </w:rPr>
        <w:t xml:space="preserve">Umezawa es claro al respecto, el nivel educativo de Japón está en franco declive: </w:t>
      </w:r>
      <w:r w:rsidRPr="00C176A3">
        <w:rPr>
          <w:u w:val="single"/>
        </w:rPr>
        <w:t>“</w:t>
      </w:r>
      <w:r w:rsidRPr="00C176A3">
        <w:rPr>
          <w:bCs/>
          <w:u w:val="single"/>
        </w:rPr>
        <w:t>El nivel del sistema universitario no ha dejado de bajar y bajar.</w:t>
      </w:r>
      <w:r w:rsidRPr="00470501">
        <w:rPr>
          <w:u w:val="single"/>
        </w:rPr>
        <w:t xml:space="preserve"> En el pasado era muy importante para los estudiantes entrar en las mejores universidades. Una vez que entrabas, tu futuro estaba asegurado. Si lograbas entrar no hacía falta ni siquiera estudiar mucho, sólo esperar, automáticamente tenías un trabajo”.</w:t>
      </w:r>
    </w:p>
    <w:p w:rsidR="001005DB" w:rsidRPr="00470501" w:rsidRDefault="001005DB" w:rsidP="00550638">
      <w:pPr>
        <w:pStyle w:val="NormalWeb"/>
        <w:jc w:val="both"/>
        <w:rPr>
          <w:color w:val="FF0000"/>
          <w:u w:val="single"/>
        </w:rPr>
      </w:pPr>
      <w:r w:rsidRPr="00C176A3">
        <w:rPr>
          <w:bCs/>
          <w:u w:val="single"/>
        </w:rPr>
        <w:t>El sistema se centró entonces en preparar a los estudiantes para superar la selectividad</w:t>
      </w:r>
      <w:r w:rsidRPr="00470501">
        <w:rPr>
          <w:u w:val="single"/>
        </w:rPr>
        <w:t xml:space="preserve"> del país nipón, quizás el examen de acceso a la universidad más duro del mundo, al que los estudiantes dedicaban todo su esfuerzo. Una vez superado esto, todo era un camino de rosas, tal como cuenta Umezawa. Las universidades se hicieron cada vez menos exigentes: “Cuando los estudiantes llegan a la universidad están tan cansados, han estudiado tan duro, que no se esfuerzan mucho, no les quedan fuerzas”.</w:t>
      </w:r>
      <w:r>
        <w:t xml:space="preserve"> </w:t>
      </w:r>
      <w:r w:rsidRPr="00470501">
        <w:rPr>
          <w:color w:val="FF0000"/>
          <w:u w:val="single"/>
        </w:rPr>
        <w:t>El problema es que ahora, con la mediocridad campando a sus anchas, tal como cuenta el directivo japonés, ya no basta con llegar a la universidad, “una vez que llegas, aunque sea el centro más prestigioso, es muy difícil tener un trabajo asegurado. Hay que estudiar mucho”.</w:t>
      </w:r>
    </w:p>
    <w:p w:rsidR="001005DB" w:rsidRPr="00C23EA3" w:rsidRDefault="001005DB" w:rsidP="00550638">
      <w:pPr>
        <w:pStyle w:val="NormalWeb"/>
        <w:jc w:val="both"/>
      </w:pPr>
      <w:r w:rsidRPr="00C23EA3">
        <w:rPr>
          <w:bCs/>
        </w:rPr>
        <w:t>“Las compañías se van a globalizar, y lo van a hacer a la fuerza”</w:t>
      </w:r>
    </w:p>
    <w:p w:rsidR="001005DB" w:rsidRDefault="001005DB" w:rsidP="00550638">
      <w:pPr>
        <w:pStyle w:val="NormalWeb"/>
        <w:jc w:val="both"/>
      </w:pPr>
      <w:r w:rsidRPr="00470501">
        <w:rPr>
          <w:u w:val="single"/>
        </w:rPr>
        <w:t>Japón es una sociedad muy conservadora, con unos valores tradicionales muy respetados pero que, de un tiempo a esta parte, parecen estar volviéndose en contra del progreso del país. Umezawa cree que los japoneses han vivido demasiado tiempo mirándose al ombligo y ahora tienen dificultades para abrirse al mundo</w:t>
      </w:r>
      <w:r>
        <w:t xml:space="preserve">: “Muchos estudiantes dicen que no quieren ir al extranjero, no quieren estudiar fuera, quieren quedarse en Japón porque si se van fuera unos años, piensan que cuando vuelvan no van a encontrar trabajo. Esto puede ser un problema. Por ejemplo, en Corea la gente es más </w:t>
      </w:r>
      <w:r>
        <w:lastRenderedPageBreak/>
        <w:t>abierta y se preocupa por tener presencia internacional. Hay muchos coreanos  y chinos en la ONU, en posiciones muy importantes, y no hay un solo japonés</w:t>
      </w:r>
      <w:r w:rsidRPr="00C176A3">
        <w:t xml:space="preserve">. </w:t>
      </w:r>
      <w:r w:rsidRPr="00C176A3">
        <w:rPr>
          <w:bCs/>
          <w:u w:val="single"/>
        </w:rPr>
        <w:t>Creo que los japoneses deberían salir fuera y trabajar en empresas extranjeras. Pero no ocurre.</w:t>
      </w:r>
      <w:r>
        <w:t xml:space="preserve"> Somos muy conservadores, no queremos salir fuera y ver que hay gente mejor que nosotros. Además en Japón es más difícil emigrar, en Europa os movéis más, podéis ir a cualquier país”. </w:t>
      </w:r>
    </w:p>
    <w:p w:rsidR="001005DB" w:rsidRPr="00470501" w:rsidRDefault="001005DB" w:rsidP="00550638">
      <w:pPr>
        <w:pStyle w:val="NormalWeb"/>
        <w:jc w:val="both"/>
        <w:rPr>
          <w:u w:val="single"/>
        </w:rPr>
      </w:pPr>
      <w:r w:rsidRPr="00C176A3">
        <w:rPr>
          <w:bCs/>
          <w:u w:val="single"/>
        </w:rPr>
        <w:t>Esta falta de apertura se está notando mucho en las universidades, que son incapaces de atraer a estudiantes extranjeros</w:t>
      </w:r>
      <w:r w:rsidRPr="00C176A3">
        <w:rPr>
          <w:bCs/>
        </w:rPr>
        <w:t>.</w:t>
      </w:r>
      <w:r>
        <w:t xml:space="preserve"> Umezawa, que vuelve a su terreno siempre que puede, cree que esto se debe a la escasa importancia que se da al inglés en el sistema: “Los profesores no saben explicar nada en inglés. Si supieran dar alguna asignatura en este idioma podríamos atraer a estudiantes internacionales. Tenemos mucho sitio en las universidades, pues a medida que disminuye el número de jóvenes hay más puestos libres, el problema es que </w:t>
      </w:r>
      <w:r w:rsidRPr="00C176A3">
        <w:rPr>
          <w:bCs/>
          <w:u w:val="single"/>
        </w:rPr>
        <w:t>muchos centros están en bancarrota, y han tenido que cerrar, pues no hay suficientes estudiantes para que sean rentables.</w:t>
      </w:r>
      <w:r>
        <w:t xml:space="preserve"> Los profesores y responsables de las universidades no se dan cuenta de que la solución está en conseguir que vengan a nuestras universidades estudiantes extranjeros. Estuve hablando con un profesor de la Universidad de Kyoto, una de las mejores del país. Me dijo que habían ido a ferias de educación superior de otros países para  atraer estudiantes extranjeros, pero nadie se acercaba siquiera al puesto. </w:t>
      </w:r>
      <w:r w:rsidRPr="00470501">
        <w:rPr>
          <w:u w:val="single"/>
        </w:rPr>
        <w:t>La gente, simplemente, no quiere venir. Los estudiantes extranjeros no están interesados en ir a Japón. Todos los carteles están en japonés, no los entienden, tendrían que estudiar japonés. Y es muy difícil. Año a año las universidades irán cerrando, cada vez quedarán menos”</w:t>
      </w:r>
    </w:p>
    <w:p w:rsidR="00E73CEC" w:rsidRDefault="001005DB" w:rsidP="00550638">
      <w:pPr>
        <w:pStyle w:val="NormalWeb"/>
        <w:jc w:val="both"/>
      </w:pPr>
      <w:r>
        <w:t xml:space="preserve">Esta despreocupación por abrirse al mundo es primordial sin embargo en los entornos empresariales. Tal como explica Umezawa, </w:t>
      </w:r>
      <w:r w:rsidRPr="00C176A3">
        <w:rPr>
          <w:bCs/>
        </w:rPr>
        <w:t>las compañías niponas son cada vez son más conscientes de que vivimos en un mundo globalizado</w:t>
      </w:r>
      <w:r w:rsidRPr="00C176A3">
        <w:t>,</w:t>
      </w:r>
      <w:r>
        <w:t xml:space="preserve"> y que para moverse en él es muy importante saber inglés: “Ahora puede que no necesites empleados con inglés, pero no sabes si dentro de dos años tu compañía va a ser comprada por una empresa extranjera y tu jefe va a ser americano. Por eso es importante globalizar tu empresa para afrontar dificultades futuras. Ahora en Japón nos falta gente que sepa inglés. Muchas compañías invitan a sus empleados extranjeros a estudiar japonés, pero es difícil, por eso </w:t>
      </w:r>
      <w:r w:rsidRPr="00C176A3">
        <w:rPr>
          <w:bCs/>
        </w:rPr>
        <w:t>otras compañías, desde hace unos dos años, decidieron hacer que el inglés fuera el idioma oficial de la empresa, también en Japón.</w:t>
      </w:r>
      <w:r>
        <w:t xml:space="preserve"> Muchos empleados tuvieron que estudiar inglés para adaptarse a la situación. En una empresa en concreto se ha pedido que los empleados tengan una puntuación de 600 en el TOEIC dentro de dos años. Quien no llegue a ese nivel será despedido. Las compañías se van a globalizar, </w:t>
      </w:r>
      <w:r w:rsidR="00C176A3">
        <w:t xml:space="preserve">y lo van a hacer a la fuerza”. </w:t>
      </w:r>
    </w:p>
    <w:p w:rsidR="001005DB" w:rsidRPr="00C23EA3" w:rsidRDefault="001005DB" w:rsidP="00550638">
      <w:pPr>
        <w:pStyle w:val="NormalWeb"/>
        <w:jc w:val="both"/>
      </w:pPr>
      <w:r w:rsidRPr="00C23EA3">
        <w:rPr>
          <w:bCs/>
        </w:rPr>
        <w:t>El declive del espíritu zen</w:t>
      </w:r>
    </w:p>
    <w:p w:rsidR="001005DB" w:rsidRPr="00470501" w:rsidRDefault="001005DB" w:rsidP="00550638">
      <w:pPr>
        <w:pStyle w:val="NormalWeb"/>
        <w:jc w:val="both"/>
        <w:rPr>
          <w:b/>
          <w:bCs/>
          <w:u w:val="single"/>
        </w:rPr>
      </w:pPr>
      <w:r w:rsidRPr="00470501">
        <w:rPr>
          <w:color w:val="FF0000"/>
          <w:u w:val="single"/>
        </w:rPr>
        <w:t xml:space="preserve">Los japoneses tienen una imagen de gente tranquila, educada y trabajadora, algo que encaja con la mayoría de adultos, pero empieza a escasear entre los jóvenes. El país nipón no se enfrenta sólo a un problema en sus relaciones con el exterior, también entre sus propias generaciones. </w:t>
      </w:r>
      <w:r w:rsidRPr="00C176A3">
        <w:rPr>
          <w:bCs/>
          <w:color w:val="FF0000"/>
          <w:u w:val="single"/>
        </w:rPr>
        <w:t>Muchos jóvenes ya no están dispuestos a vivir en una sociedad tan tradicional.</w:t>
      </w:r>
      <w:r w:rsidRPr="00C176A3">
        <w:t xml:space="preserve"> </w:t>
      </w:r>
      <w:r>
        <w:t xml:space="preserve">Umezawa cree que es difícil explicar por qué los valores tradicionales japoneses están en declive, pero admite que, en definitiva, se están perdiendo las buenas costumbres: “Los valores del sistema educativo son difíciles de explicar. Tienen más que ver con el espíritu, con el zen. No es algo oficial, pero desde hace muchísimo tiempo los japoneses hemos sido criados para ser educados y respetar a </w:t>
      </w:r>
      <w:r>
        <w:lastRenderedPageBreak/>
        <w:t xml:space="preserve">otra gente. Tanto en la escuela como en la familia, en definitiva, se nos ha enseñado a comportarnos bien. Pero </w:t>
      </w:r>
      <w:r w:rsidRPr="00470501">
        <w:rPr>
          <w:u w:val="single"/>
        </w:rPr>
        <w:t>de un tiempo a esta parte estamos teniendo problemas que no conocíamos, los estudiantes se aburren e increpan a los profesores. Tenemos además un problema de violencia en el aula. Los alumnos se están volviendo muy agresivos, increpan a los profesores, no les tratan bien, y se pelean entre ellos. Es un gran problema</w:t>
      </w:r>
      <w:r w:rsidRPr="00470501">
        <w:rPr>
          <w:b/>
          <w:bCs/>
          <w:u w:val="single"/>
        </w:rPr>
        <w:t xml:space="preserve">. </w:t>
      </w:r>
      <w:r w:rsidRPr="00C176A3">
        <w:rPr>
          <w:bCs/>
          <w:u w:val="single"/>
        </w:rPr>
        <w:t>Los japoneses somos muy tranquilos, pensamos que los valores éticos son muy importantes, pero hay una tendencia hace unos años difícil de explicar”</w:t>
      </w:r>
      <w:r w:rsidR="00C176A3">
        <w:rPr>
          <w:bCs/>
          <w:u w:val="single"/>
        </w:rPr>
        <w:t>.</w:t>
      </w:r>
    </w:p>
    <w:p w:rsidR="001005DB" w:rsidRDefault="001005DB" w:rsidP="00550638">
      <w:pPr>
        <w:pStyle w:val="NormalWeb"/>
        <w:jc w:val="both"/>
      </w:pPr>
      <w:r>
        <w:t xml:space="preserve">Según un informe del Ministerio de Educación japonés </w:t>
      </w:r>
      <w:r w:rsidRPr="00C176A3">
        <w:rPr>
          <w:bCs/>
        </w:rPr>
        <w:t>sólo en 2007 hubo 52.765 casos de violencia documentados en la escuela pública.</w:t>
      </w:r>
      <w:r>
        <w:rPr>
          <w:b/>
          <w:bCs/>
        </w:rPr>
        <w:t xml:space="preserve"> </w:t>
      </w:r>
      <w:r>
        <w:t xml:space="preserve">Una cifra que no deja de subir año tras año. En muchos de estos incidentes, además, las víctimas eran los profesores. </w:t>
      </w:r>
    </w:p>
    <w:p w:rsidR="001005DB" w:rsidRPr="00470501" w:rsidRDefault="001005DB" w:rsidP="00550638">
      <w:pPr>
        <w:pStyle w:val="NormalWeb"/>
        <w:jc w:val="both"/>
        <w:rPr>
          <w:u w:val="single"/>
        </w:rPr>
      </w:pPr>
      <w:r w:rsidRPr="00470501">
        <w:rPr>
          <w:u w:val="single"/>
        </w:rPr>
        <w:t xml:space="preserve">El Gobierno fue sensible a esta realidad, que comenzó a hacerse evidente a partir del año 2000, e intentó modificar el sistema para que fuera más abierto, menos conservador, aún a riesgo de que el nivel educativo bajara. La realidad es que parece que no se ha logrado gran cosa, debido principalmente, tal como explica Umezawa, a la inestabilidad del sistema político: </w:t>
      </w:r>
      <w:r w:rsidRPr="00C176A3">
        <w:rPr>
          <w:bCs/>
          <w:u w:val="single"/>
        </w:rPr>
        <w:t>“Hasta ahora la economía japonesa era muy fuerte, y los gobiernos eran muy estables, ahora es todo inestable.</w:t>
      </w:r>
      <w:r w:rsidRPr="00470501">
        <w:rPr>
          <w:u w:val="single"/>
        </w:rPr>
        <w:t xml:space="preserve"> Si un Gobierno hace cambios en la política solo duran hasta que llega otro primer ministro”.</w:t>
      </w:r>
    </w:p>
    <w:p w:rsidR="001005DB" w:rsidRDefault="001005DB" w:rsidP="00550638">
      <w:pPr>
        <w:pStyle w:val="NormalWeb"/>
        <w:jc w:val="both"/>
      </w:pPr>
      <w:r w:rsidRPr="00470501">
        <w:rPr>
          <w:u w:val="single"/>
        </w:rPr>
        <w:t xml:space="preserve">Todo esto viene de la mano de un problema demográfico, similar al que se plantea en España: la población japonesa está envejeciendo. </w:t>
      </w:r>
      <w:r w:rsidRPr="00C176A3">
        <w:rPr>
          <w:bCs/>
          <w:u w:val="single"/>
        </w:rPr>
        <w:t>“Tenemos pocos jóvenes y muchos viejos y el Gobierno tiene que asegurarse de que se paguen las pensiones”</w:t>
      </w:r>
      <w:r w:rsidRPr="00470501">
        <w:rPr>
          <w:u w:val="single"/>
        </w:rPr>
        <w:t>, explica el directivo japonés. La realidad, reconoce Umezawa, es que no se quiere invertir en educación: “Sería bueno si hubiera escuelas públicas dónde se impartieran materias en inglés, pero la educación es muy cara, y el porcentaje del presupuesto que invierte el Gobierno japonés no para de bajar.</w:t>
      </w:r>
      <w:r>
        <w:t xml:space="preserve"> El Gobierno no puede pagar la educación, son los padres los que tienen que hacerlo. Pero la economía es mala, y no pueden pagar. He trabajado muy duro para que mi hija pueda acudir a una escuela internacional, y su inglés sea mejor que el del resto, pero hay mucha gente que sólo puede llevar a sus hijos a la escuela pública”.</w:t>
      </w:r>
    </w:p>
    <w:p w:rsidR="001005DB" w:rsidRDefault="001005DB" w:rsidP="00550638">
      <w:pPr>
        <w:pStyle w:val="NormalWeb"/>
        <w:jc w:val="both"/>
      </w:pPr>
      <w:r w:rsidRPr="00C176A3">
        <w:rPr>
          <w:bCs/>
        </w:rPr>
        <w:t>Dada la situación los estudiantes se ven obligados a hacer los test de inglés que acrediten unos conocimientos que no han podido obtener en la escuela.</w:t>
      </w:r>
      <w:r>
        <w:t xml:space="preserve"> No son malos tiempos para las academias de idiomas y los examinadores. La empresa de Umezawa realizó el año pasado 2,3 millones de pruebas. En 2009 hicieron tanto dinero que el Ministerio de Economía les presionó para que bajaran los precios. El directivo se queda muy sorprendido cuando le pregunto sobre el asunto, pero responde rápido y sin ambages: “Somos una organización sin ánimo de lucro, y no podemos tener beneficios, pero movemos mucho dinero y por eso el Gobierno nos pidió bajar los precios”. Su próximo objetivo es introducir los test en las escuelas, y conseguir que el TOEIC y el TOEFL se conviertan en los exámenes estandarizados que acrediten el nivel de inglés. Ahora sólo falta que las escuelas sean capaces de ofrecerlo. </w:t>
      </w:r>
    </w:p>
    <w:p w:rsidR="007E6609" w:rsidRPr="00433A92" w:rsidRDefault="007E6609"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433A92">
        <w:rPr>
          <w:rFonts w:ascii="Times New Roman" w:hAnsi="Times New Roman"/>
          <w:sz w:val="24"/>
          <w:szCs w:val="24"/>
          <w:u w:val="single"/>
        </w:rPr>
        <w:t>La FP dual que Wert quiere imitar: las claves del éxito de Suiza</w:t>
      </w:r>
      <w:r>
        <w:rPr>
          <w:rFonts w:ascii="Times New Roman" w:hAnsi="Times New Roman"/>
          <w:sz w:val="24"/>
          <w:szCs w:val="24"/>
        </w:rPr>
        <w:t xml:space="preserve"> (Libertad Digital - </w:t>
      </w:r>
      <w:r w:rsidRPr="00433A92">
        <w:rPr>
          <w:rFonts w:ascii="Times New Roman" w:hAnsi="Times New Roman"/>
          <w:b/>
          <w:sz w:val="24"/>
          <w:szCs w:val="24"/>
        </w:rPr>
        <w:t>18/11/12</w:t>
      </w:r>
      <w:r>
        <w:rPr>
          <w:rFonts w:ascii="Times New Roman" w:hAnsi="Times New Roman"/>
          <w:sz w:val="24"/>
          <w:szCs w:val="24"/>
        </w:rPr>
        <w:t>)</w:t>
      </w:r>
    </w:p>
    <w:p w:rsidR="007E6609" w:rsidRDefault="007E6609" w:rsidP="00550638">
      <w:pPr>
        <w:spacing w:line="240" w:lineRule="auto"/>
        <w:jc w:val="both"/>
        <w:rPr>
          <w:rFonts w:ascii="Times New Roman" w:hAnsi="Times New Roman"/>
          <w:sz w:val="24"/>
          <w:szCs w:val="24"/>
        </w:rPr>
      </w:pPr>
      <w:r w:rsidRPr="00433A92">
        <w:rPr>
          <w:rFonts w:ascii="Times New Roman" w:hAnsi="Times New Roman"/>
          <w:sz w:val="24"/>
          <w:szCs w:val="24"/>
        </w:rPr>
        <w:t>El país helvético mantiene unas bajísimas tasas de abandono escolar y paro juvenil gracias en buena parte a su modelo educativo.</w:t>
      </w:r>
    </w:p>
    <w:p w:rsidR="007E6609" w:rsidRDefault="007E6609" w:rsidP="00550638">
      <w:pPr>
        <w:spacing w:after="0" w:line="240" w:lineRule="auto"/>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00C23EA3">
        <w:rPr>
          <w:rFonts w:ascii="Times New Roman" w:eastAsia="Times New Roman" w:hAnsi="Times New Roman"/>
          <w:sz w:val="24"/>
          <w:szCs w:val="24"/>
          <w:lang w:eastAsia="es-ES"/>
        </w:rPr>
        <w:t>D</w:t>
      </w:r>
      <w:r w:rsidRPr="00433A92">
        <w:rPr>
          <w:rFonts w:ascii="Times New Roman" w:eastAsia="Times New Roman" w:hAnsi="Times New Roman"/>
          <w:sz w:val="24"/>
          <w:szCs w:val="24"/>
          <w:lang w:eastAsia="es-ES"/>
        </w:rPr>
        <w:t>. S</w:t>
      </w:r>
      <w:r w:rsidR="00C23EA3">
        <w:rPr>
          <w:rFonts w:ascii="Times New Roman" w:eastAsia="Times New Roman" w:hAnsi="Times New Roman"/>
          <w:sz w:val="24"/>
          <w:szCs w:val="24"/>
          <w:lang w:eastAsia="es-ES"/>
        </w:rPr>
        <w:t>oriano)</w:t>
      </w:r>
    </w:p>
    <w:p w:rsidR="00C23EA3" w:rsidRDefault="00C23EA3" w:rsidP="00550638">
      <w:pPr>
        <w:spacing w:after="0" w:line="240" w:lineRule="auto"/>
        <w:rPr>
          <w:rFonts w:ascii="Times New Roman" w:eastAsia="Times New Roman" w:hAnsi="Times New Roman"/>
          <w:sz w:val="24"/>
          <w:szCs w:val="24"/>
          <w:lang w:eastAsia="es-ES"/>
        </w:rPr>
      </w:pPr>
    </w:p>
    <w:p w:rsidR="007E6609" w:rsidRPr="003B70F5" w:rsidRDefault="00C23EA3" w:rsidP="00550638">
      <w:pPr>
        <w:spacing w:after="0"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w:t>
      </w:r>
      <w:r w:rsidR="007E6609" w:rsidRPr="003B70F5">
        <w:rPr>
          <w:rFonts w:ascii="Times New Roman" w:eastAsia="Times New Roman" w:hAnsi="Times New Roman"/>
          <w:sz w:val="24"/>
          <w:szCs w:val="24"/>
          <w:u w:val="single"/>
          <w:lang w:eastAsia="es-ES"/>
        </w:rPr>
        <w:t>Si no quieres estudiar, t</w:t>
      </w:r>
      <w:r>
        <w:rPr>
          <w:rFonts w:ascii="Times New Roman" w:eastAsia="Times New Roman" w:hAnsi="Times New Roman"/>
          <w:sz w:val="24"/>
          <w:szCs w:val="24"/>
          <w:u w:val="single"/>
          <w:lang w:eastAsia="es-ES"/>
        </w:rPr>
        <w:t>e pones a trabajar mañana mismo”</w:t>
      </w:r>
      <w:r w:rsidR="007E6609" w:rsidRPr="003B70F5">
        <w:rPr>
          <w:rFonts w:ascii="Times New Roman" w:eastAsia="Times New Roman" w:hAnsi="Times New Roman"/>
          <w:sz w:val="24"/>
          <w:szCs w:val="24"/>
          <w:u w:val="single"/>
          <w:lang w:eastAsia="es-ES"/>
        </w:rPr>
        <w:t>. ¿Qué padre no ha</w:t>
      </w:r>
      <w:r w:rsidR="007E6609" w:rsidRPr="003B70F5">
        <w:rPr>
          <w:rFonts w:ascii="Times New Roman" w:eastAsia="Times New Roman" w:hAnsi="Times New Roman"/>
          <w:i/>
          <w:iCs/>
          <w:sz w:val="24"/>
          <w:szCs w:val="24"/>
          <w:u w:val="single"/>
          <w:lang w:eastAsia="es-ES"/>
        </w:rPr>
        <w:t xml:space="preserve"> </w:t>
      </w:r>
      <w:r w:rsidR="006A2645">
        <w:rPr>
          <w:rFonts w:ascii="Times New Roman" w:eastAsia="Times New Roman" w:hAnsi="Times New Roman"/>
          <w:iCs/>
          <w:sz w:val="24"/>
          <w:szCs w:val="24"/>
          <w:u w:val="single"/>
          <w:lang w:eastAsia="es-ES"/>
        </w:rPr>
        <w:t>“</w:t>
      </w:r>
      <w:r w:rsidR="007E6609" w:rsidRPr="006A2645">
        <w:rPr>
          <w:rFonts w:ascii="Times New Roman" w:eastAsia="Times New Roman" w:hAnsi="Times New Roman"/>
          <w:iCs/>
          <w:sz w:val="24"/>
          <w:szCs w:val="24"/>
          <w:u w:val="single"/>
          <w:lang w:eastAsia="es-ES"/>
        </w:rPr>
        <w:t>amenazado</w:t>
      </w:r>
      <w:r w:rsidR="006A2645">
        <w:rPr>
          <w:rFonts w:ascii="Times New Roman" w:eastAsia="Times New Roman" w:hAnsi="Times New Roman"/>
          <w:iCs/>
          <w:sz w:val="24"/>
          <w:szCs w:val="24"/>
          <w:u w:val="single"/>
          <w:lang w:eastAsia="es-ES"/>
        </w:rPr>
        <w:t>”</w:t>
      </w:r>
      <w:r w:rsidR="007E6609" w:rsidRPr="003B70F5">
        <w:rPr>
          <w:rFonts w:ascii="Times New Roman" w:eastAsia="Times New Roman" w:hAnsi="Times New Roman"/>
          <w:sz w:val="24"/>
          <w:szCs w:val="24"/>
          <w:u w:val="single"/>
          <w:lang w:eastAsia="es-ES"/>
        </w:rPr>
        <w:t xml:space="preserve"> alguna vez de esta manera a ese hijo que le traía malas notas? Sin embargo, puede lo que en España es una advertencia para los malos alumnos, en realidad sea la clave del éxito de una de las sociedades más avanzadas, ricas y prósperas del mundo.</w:t>
      </w:r>
    </w:p>
    <w:p w:rsidR="007E6609" w:rsidRPr="00433A92"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3B70F5">
        <w:rPr>
          <w:rFonts w:ascii="Times New Roman" w:eastAsia="Times New Roman" w:hAnsi="Times New Roman"/>
          <w:sz w:val="24"/>
          <w:szCs w:val="24"/>
          <w:u w:val="single"/>
          <w:lang w:eastAsia="es-ES"/>
        </w:rPr>
        <w:t xml:space="preserve">En </w:t>
      </w:r>
      <w:r w:rsidRPr="00C176A3">
        <w:rPr>
          <w:rFonts w:ascii="Times New Roman" w:eastAsia="Times New Roman" w:hAnsi="Times New Roman"/>
          <w:bCs/>
          <w:sz w:val="24"/>
          <w:szCs w:val="24"/>
          <w:u w:val="single"/>
          <w:lang w:eastAsia="es-ES"/>
        </w:rPr>
        <w:t>Suiza</w:t>
      </w:r>
      <w:r w:rsidRPr="00C176A3">
        <w:rPr>
          <w:rFonts w:ascii="Times New Roman" w:eastAsia="Times New Roman" w:hAnsi="Times New Roman"/>
          <w:sz w:val="24"/>
          <w:szCs w:val="24"/>
          <w:u w:val="single"/>
          <w:lang w:eastAsia="es-ES"/>
        </w:rPr>
        <w:t>,</w:t>
      </w:r>
      <w:r w:rsidRPr="003B70F5">
        <w:rPr>
          <w:rFonts w:ascii="Times New Roman" w:eastAsia="Times New Roman" w:hAnsi="Times New Roman"/>
          <w:sz w:val="24"/>
          <w:szCs w:val="24"/>
          <w:u w:val="single"/>
          <w:lang w:eastAsia="es-ES"/>
        </w:rPr>
        <w:t xml:space="preserve"> la disyuntiva no es tal. Para la gran mayoría de sus jóvenes, estudiar y trabajar el mismo tiempo es lo habitual. Muchos adolescentes helvéticos se sacan un título al mismo tiempo que aprenden un oficio, sin que vean en ello ninguna incompatibilidad. ¿El resultado?: una </w:t>
      </w:r>
      <w:r w:rsidRPr="00C176A3">
        <w:rPr>
          <w:rFonts w:ascii="Times New Roman" w:eastAsia="Times New Roman" w:hAnsi="Times New Roman"/>
          <w:bCs/>
          <w:sz w:val="24"/>
          <w:szCs w:val="24"/>
          <w:u w:val="single"/>
          <w:lang w:eastAsia="es-ES"/>
        </w:rPr>
        <w:t>tasa de paro juvenil</w:t>
      </w:r>
      <w:r w:rsidRPr="003B70F5">
        <w:rPr>
          <w:rFonts w:ascii="Times New Roman" w:eastAsia="Times New Roman" w:hAnsi="Times New Roman"/>
          <w:sz w:val="24"/>
          <w:szCs w:val="24"/>
          <w:u w:val="single"/>
          <w:lang w:eastAsia="es-ES"/>
        </w:rPr>
        <w:t xml:space="preserve"> ínfima, un abandono escolar entre los más bajos de Europa y un porcentaje de ni-nis mínimo</w:t>
      </w:r>
      <w:r w:rsidRPr="00433A92">
        <w:rPr>
          <w:rFonts w:ascii="Times New Roman" w:eastAsia="Times New Roman" w:hAnsi="Times New Roman"/>
          <w:sz w:val="24"/>
          <w:szCs w:val="24"/>
          <w:lang w:eastAsia="es-ES"/>
        </w:rPr>
        <w:t>. No sólo eso, a pesar de su fama como refugio fiscal y paraíso bancario para los multimillonarios, Suiza es uno de los países del mundo con una industria más pujante, un tejido empresarial más diversificado y una clase media más próspera.</w:t>
      </w:r>
    </w:p>
    <w:p w:rsidR="007E6609" w:rsidRPr="00C23EA3"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bCs/>
          <w:sz w:val="24"/>
          <w:szCs w:val="24"/>
          <w:lang w:eastAsia="es-ES"/>
        </w:rPr>
        <w:t>La FP Dual</w:t>
      </w:r>
    </w:p>
    <w:p w:rsidR="007E6609" w:rsidRPr="00433A92"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433A92">
        <w:rPr>
          <w:rFonts w:ascii="Times New Roman" w:eastAsia="Times New Roman" w:hAnsi="Times New Roman"/>
          <w:sz w:val="24"/>
          <w:szCs w:val="24"/>
          <w:lang w:eastAsia="es-ES"/>
        </w:rPr>
        <w:t xml:space="preserve">Hace unos días, </w:t>
      </w:r>
      <w:hyperlink r:id="rId154" w:history="1">
        <w:r w:rsidRPr="00C23EA3">
          <w:rPr>
            <w:rFonts w:ascii="Times New Roman" w:eastAsia="Times New Roman" w:hAnsi="Times New Roman"/>
            <w:sz w:val="24"/>
            <w:szCs w:val="24"/>
            <w:u w:val="single"/>
            <w:lang w:eastAsia="es-ES"/>
          </w:rPr>
          <w:t>José Ignacio Wert</w:t>
        </w:r>
      </w:hyperlink>
      <w:r w:rsidRPr="00C23EA3">
        <w:rPr>
          <w:rFonts w:ascii="Times New Roman" w:eastAsia="Times New Roman" w:hAnsi="Times New Roman"/>
          <w:sz w:val="24"/>
          <w:szCs w:val="24"/>
          <w:lang w:eastAsia="es-ES"/>
        </w:rPr>
        <w:t xml:space="preserve"> presentó el </w:t>
      </w:r>
      <w:hyperlink r:id="rId155" w:history="1">
        <w:r w:rsidRPr="00C23EA3">
          <w:rPr>
            <w:rFonts w:ascii="Times New Roman" w:eastAsia="Times New Roman" w:hAnsi="Times New Roman"/>
            <w:sz w:val="24"/>
            <w:szCs w:val="24"/>
            <w:u w:val="single"/>
            <w:lang w:eastAsia="es-ES"/>
          </w:rPr>
          <w:t>proyecto de FP Dual</w:t>
        </w:r>
      </w:hyperlink>
      <w:r w:rsidRPr="00433A92">
        <w:rPr>
          <w:rFonts w:ascii="Times New Roman" w:eastAsia="Times New Roman" w:hAnsi="Times New Roman"/>
          <w:sz w:val="24"/>
          <w:szCs w:val="24"/>
          <w:lang w:eastAsia="es-ES"/>
        </w:rPr>
        <w:t xml:space="preserve"> que el Gobierno quiere impulsar. La idea es que los jóvenes españoles entre 16 y 25 años (hasta 30 mientras dure la crisis) compaginen sus estudios de FP con el trabajo en una empresa, que podría </w:t>
      </w:r>
      <w:r w:rsidRPr="00433A92">
        <w:rPr>
          <w:rFonts w:ascii="Times New Roman" w:eastAsia="Times New Roman" w:hAnsi="Times New Roman"/>
          <w:i/>
          <w:iCs/>
          <w:sz w:val="24"/>
          <w:szCs w:val="24"/>
          <w:lang w:eastAsia="es-ES"/>
        </w:rPr>
        <w:t>becarles</w:t>
      </w:r>
      <w:r w:rsidRPr="00433A92">
        <w:rPr>
          <w:rFonts w:ascii="Times New Roman" w:eastAsia="Times New Roman" w:hAnsi="Times New Roman"/>
          <w:sz w:val="24"/>
          <w:szCs w:val="24"/>
          <w:lang w:eastAsia="es-ES"/>
        </w:rPr>
        <w:t xml:space="preserve"> con unos bajos sueldos, que en principio estarán entre 250-500 euros. El objetivo es que aquellos estudiantes que no quieren cursar el bachillerato consigan experiencia laboral y al mismo tiempo se saquen un título oficial.</w:t>
      </w:r>
    </w:p>
    <w:p w:rsidR="007E6609" w:rsidRPr="003B70F5" w:rsidRDefault="007E6609"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3B70F5">
        <w:rPr>
          <w:rFonts w:ascii="Times New Roman" w:eastAsia="Times New Roman" w:hAnsi="Times New Roman"/>
          <w:sz w:val="24"/>
          <w:szCs w:val="24"/>
          <w:u w:val="single"/>
          <w:lang w:eastAsia="es-ES"/>
        </w:rPr>
        <w:t xml:space="preserve">Los modelos que el ministro de Educación tiene en la cabeza son los de los países centroeuropeos más avanzados: </w:t>
      </w:r>
      <w:r w:rsidRPr="00C176A3">
        <w:rPr>
          <w:rFonts w:ascii="Times New Roman" w:eastAsia="Times New Roman" w:hAnsi="Times New Roman"/>
          <w:bCs/>
          <w:sz w:val="24"/>
          <w:szCs w:val="24"/>
          <w:u w:val="single"/>
          <w:lang w:eastAsia="es-ES"/>
        </w:rPr>
        <w:t>Austria, Alemania y Suiza</w:t>
      </w:r>
      <w:r w:rsidRPr="003B70F5">
        <w:rPr>
          <w:rFonts w:ascii="Times New Roman" w:eastAsia="Times New Roman" w:hAnsi="Times New Roman"/>
          <w:sz w:val="24"/>
          <w:szCs w:val="24"/>
          <w:u w:val="single"/>
          <w:lang w:eastAsia="es-ES"/>
        </w:rPr>
        <w:t xml:space="preserve">. Los tres han conseguido lo que parece la cuadratura del círculo. Tienen un abandono escolar bastante bajo, un paro juvenil reducido, un alto porcentaje de titulados medios, un gran tejido industrial, una gran capacidad exportadora y unos altos niveles de vida. Evidentemente, no todo se debe a su modelo de </w:t>
      </w:r>
      <w:hyperlink r:id="rId156" w:history="1">
        <w:r w:rsidRPr="00C23EA3">
          <w:rPr>
            <w:rFonts w:ascii="Times New Roman" w:eastAsia="Times New Roman" w:hAnsi="Times New Roman"/>
            <w:sz w:val="24"/>
            <w:szCs w:val="24"/>
            <w:u w:val="single"/>
            <w:lang w:eastAsia="es-ES"/>
          </w:rPr>
          <w:t>FP Dual</w:t>
        </w:r>
      </w:hyperlink>
      <w:r w:rsidRPr="003B70F5">
        <w:rPr>
          <w:rFonts w:ascii="Times New Roman" w:eastAsia="Times New Roman" w:hAnsi="Times New Roman"/>
          <w:sz w:val="24"/>
          <w:szCs w:val="24"/>
          <w:u w:val="single"/>
          <w:lang w:eastAsia="es-ES"/>
        </w:rPr>
        <w:t>, pero está claro que es una parte importante de un sistema que funciona. Mientras, en España, en las manifestaciones de los últimos meses sobre la reforma educativa, es habitual escuchar c</w:t>
      </w:r>
      <w:r w:rsidR="00C23EA3">
        <w:rPr>
          <w:rFonts w:ascii="Times New Roman" w:eastAsia="Times New Roman" w:hAnsi="Times New Roman"/>
          <w:sz w:val="24"/>
          <w:szCs w:val="24"/>
          <w:u w:val="single"/>
          <w:lang w:eastAsia="es-ES"/>
        </w:rPr>
        <w:t>onsignas sobre la necesidad de “sacar a la empresa de las aulas”</w:t>
      </w:r>
      <w:r w:rsidRPr="003B70F5">
        <w:rPr>
          <w:rFonts w:ascii="Times New Roman" w:eastAsia="Times New Roman" w:hAnsi="Times New Roman"/>
          <w:sz w:val="24"/>
          <w:szCs w:val="24"/>
          <w:u w:val="single"/>
          <w:lang w:eastAsia="es-ES"/>
        </w:rPr>
        <w:t>.</w:t>
      </w:r>
    </w:p>
    <w:p w:rsidR="007E6609" w:rsidRPr="00C23EA3"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bCs/>
          <w:sz w:val="24"/>
          <w:szCs w:val="24"/>
          <w:lang w:eastAsia="es-ES"/>
        </w:rPr>
        <w:t>El modelo suizo</w:t>
      </w:r>
    </w:p>
    <w:p w:rsidR="007E6609" w:rsidRPr="003B70F5" w:rsidRDefault="007E6609"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3B70F5">
        <w:rPr>
          <w:rFonts w:ascii="Times New Roman" w:eastAsia="Times New Roman" w:hAnsi="Times New Roman"/>
          <w:sz w:val="24"/>
          <w:szCs w:val="24"/>
          <w:u w:val="single"/>
          <w:lang w:eastAsia="es-ES"/>
        </w:rPr>
        <w:t>Quizás sea el país helvético el que mejor ha desarrollado el modelo. En Suiza, los chavales con 14 y 15 años deben decidir cuál va a ser su trayectoria profesional. Tienen tres alternativas: FP, bachillerato académico (el modelo más clásico) o bachillerato especializado (dirigido a estudiantes que se quieren dedicar a áreas muy concretas, como medicina o pedagogía).</w:t>
      </w:r>
    </w:p>
    <w:p w:rsidR="007E6609" w:rsidRPr="00C23EA3" w:rsidRDefault="007E6609"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3B70F5">
        <w:rPr>
          <w:rFonts w:ascii="Times New Roman" w:eastAsia="Times New Roman" w:hAnsi="Times New Roman"/>
          <w:sz w:val="24"/>
          <w:szCs w:val="24"/>
          <w:u w:val="single"/>
          <w:lang w:eastAsia="es-ES"/>
        </w:rPr>
        <w:t xml:space="preserve">En 2011, 81.200 suizos comenzaron una </w:t>
      </w:r>
      <w:r w:rsidRPr="00C176A3">
        <w:rPr>
          <w:rFonts w:ascii="Times New Roman" w:eastAsia="Times New Roman" w:hAnsi="Times New Roman"/>
          <w:bCs/>
          <w:sz w:val="24"/>
          <w:szCs w:val="24"/>
          <w:u w:val="single"/>
          <w:lang w:eastAsia="es-ES"/>
        </w:rPr>
        <w:t>formación profesional básica</w:t>
      </w:r>
      <w:r w:rsidRPr="003B70F5">
        <w:rPr>
          <w:rFonts w:ascii="Times New Roman" w:eastAsia="Times New Roman" w:hAnsi="Times New Roman"/>
          <w:sz w:val="24"/>
          <w:szCs w:val="24"/>
          <w:u w:val="single"/>
          <w:lang w:eastAsia="es-ES"/>
        </w:rPr>
        <w:t>, en alguna de las 230 especialidades que se ofertan (las más demandadas son las centradas en el sector del comercio). A cambio, sólo 27.900 siguieron el camino que en España se consideraría como convencional, el del bachillerato académico o especializado. Evidentemente, los jóvenes helvéticos no creen que seguir una rama técnica vaya a suponer un problema en su futuro laboral o unos ingresos reducidos</w:t>
      </w:r>
      <w:r w:rsidRPr="00433A92">
        <w:rPr>
          <w:rFonts w:ascii="Times New Roman" w:eastAsia="Times New Roman" w:hAnsi="Times New Roman"/>
          <w:sz w:val="24"/>
          <w:szCs w:val="24"/>
          <w:lang w:eastAsia="es-ES"/>
        </w:rPr>
        <w:t xml:space="preserve">. </w:t>
      </w:r>
      <w:r w:rsidRPr="003B70F5">
        <w:rPr>
          <w:rFonts w:ascii="Times New Roman" w:eastAsia="Times New Roman" w:hAnsi="Times New Roman"/>
          <w:sz w:val="24"/>
          <w:szCs w:val="24"/>
          <w:u w:val="single"/>
          <w:lang w:eastAsia="es-ES"/>
        </w:rPr>
        <w:t xml:space="preserve">Mientras, nuestro país tiene una de las tasas más bajas de titulados de carácter medio y a cambio tiene uno de los porcentajes más </w:t>
      </w:r>
      <w:r w:rsidRPr="003B70F5">
        <w:rPr>
          <w:rFonts w:ascii="Times New Roman" w:eastAsia="Times New Roman" w:hAnsi="Times New Roman"/>
          <w:sz w:val="24"/>
          <w:szCs w:val="24"/>
          <w:u w:val="single"/>
          <w:lang w:eastAsia="es-ES"/>
        </w:rPr>
        <w:lastRenderedPageBreak/>
        <w:t xml:space="preserve">altos de </w:t>
      </w:r>
      <w:hyperlink r:id="rId157" w:history="1">
        <w:r w:rsidRPr="00C23EA3">
          <w:rPr>
            <w:rFonts w:ascii="Times New Roman" w:eastAsia="Times New Roman" w:hAnsi="Times New Roman"/>
            <w:sz w:val="24"/>
            <w:szCs w:val="24"/>
            <w:u w:val="single"/>
            <w:lang w:eastAsia="es-ES"/>
          </w:rPr>
          <w:t>titulados universitarios</w:t>
        </w:r>
      </w:hyperlink>
      <w:r w:rsidRPr="00C23EA3">
        <w:rPr>
          <w:rFonts w:ascii="Times New Roman" w:eastAsia="Times New Roman" w:hAnsi="Times New Roman"/>
          <w:sz w:val="24"/>
          <w:szCs w:val="24"/>
          <w:u w:val="single"/>
          <w:lang w:eastAsia="es-ES"/>
        </w:rPr>
        <w:t xml:space="preserve"> (que muchas veces acaban en empleos para los que están sobrecualificados).</w:t>
      </w:r>
    </w:p>
    <w:p w:rsidR="007E6609" w:rsidRPr="00C23EA3" w:rsidRDefault="007E6609"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C23EA3">
        <w:rPr>
          <w:rFonts w:ascii="Times New Roman" w:eastAsia="Times New Roman" w:hAnsi="Times New Roman"/>
          <w:sz w:val="24"/>
          <w:szCs w:val="24"/>
          <w:u w:val="single"/>
          <w:lang w:eastAsia="es-ES"/>
        </w:rPr>
        <w:t xml:space="preserve">Ofrecer a los alumnos alternativas que se ajusten a sus gustos tiene consecuencias muy positivas en todos los ámbitos. Por ejemplo, el </w:t>
      </w:r>
      <w:r w:rsidRPr="00C176A3">
        <w:rPr>
          <w:rFonts w:ascii="Times New Roman" w:eastAsia="Times New Roman" w:hAnsi="Times New Roman"/>
          <w:bCs/>
          <w:sz w:val="24"/>
          <w:szCs w:val="24"/>
          <w:u w:val="single"/>
          <w:lang w:eastAsia="es-ES"/>
        </w:rPr>
        <w:t xml:space="preserve">porcentaje de </w:t>
      </w:r>
      <w:r w:rsidR="00822CE7">
        <w:rPr>
          <w:rFonts w:ascii="Times New Roman" w:eastAsia="Times New Roman" w:hAnsi="Times New Roman"/>
          <w:bCs/>
          <w:sz w:val="24"/>
          <w:szCs w:val="24"/>
          <w:u w:val="single"/>
          <w:lang w:eastAsia="es-ES"/>
        </w:rPr>
        <w:t>“</w:t>
      </w:r>
      <w:r w:rsidRPr="00822CE7">
        <w:rPr>
          <w:rFonts w:ascii="Times New Roman" w:eastAsia="Times New Roman" w:hAnsi="Times New Roman"/>
          <w:bCs/>
          <w:iCs/>
          <w:sz w:val="24"/>
          <w:szCs w:val="24"/>
          <w:u w:val="single"/>
          <w:lang w:eastAsia="es-ES"/>
        </w:rPr>
        <w:t>ni-nis</w:t>
      </w:r>
      <w:r w:rsidR="00822CE7">
        <w:rPr>
          <w:rFonts w:ascii="Times New Roman" w:eastAsia="Times New Roman" w:hAnsi="Times New Roman"/>
          <w:bCs/>
          <w:iCs/>
          <w:sz w:val="24"/>
          <w:szCs w:val="24"/>
          <w:u w:val="single"/>
          <w:lang w:eastAsia="es-ES"/>
        </w:rPr>
        <w:t>”</w:t>
      </w:r>
      <w:r w:rsidRPr="00C23EA3">
        <w:rPr>
          <w:rFonts w:ascii="Times New Roman" w:eastAsia="Times New Roman" w:hAnsi="Times New Roman"/>
          <w:sz w:val="24"/>
          <w:szCs w:val="24"/>
          <w:u w:val="single"/>
          <w:lang w:eastAsia="es-ES"/>
        </w:rPr>
        <w:t xml:space="preserve"> (jóvenes entre 15 y 29 años) que ni estudian ni trabajan es inferior al 10% en Suiza, mientras </w:t>
      </w:r>
      <w:hyperlink r:id="rId158" w:history="1">
        <w:r w:rsidRPr="00C23EA3">
          <w:rPr>
            <w:rFonts w:ascii="Times New Roman" w:eastAsia="Times New Roman" w:hAnsi="Times New Roman"/>
            <w:sz w:val="24"/>
            <w:szCs w:val="24"/>
            <w:u w:val="single"/>
            <w:lang w:eastAsia="es-ES"/>
          </w:rPr>
          <w:t>en España</w:t>
        </w:r>
      </w:hyperlink>
      <w:r w:rsidRPr="00C23EA3">
        <w:rPr>
          <w:rFonts w:ascii="Times New Roman" w:eastAsia="Times New Roman" w:hAnsi="Times New Roman"/>
          <w:sz w:val="24"/>
          <w:szCs w:val="24"/>
          <w:u w:val="single"/>
          <w:lang w:eastAsia="es-ES"/>
        </w:rPr>
        <w:t xml:space="preserve"> roza el 25%, unos porcentajes que se repiten cuando se habla de fracaso escolar. Y desde muy jóvenes, empiezan a saber lo que es ganar un sueldo y poder pagarse sus gastos. Los sueldos para los alumnos de FP Dual van de los 450 euros al mes del primer año a los 950 durante el cuarto curso de aprendizaje. Así, es lógico que con menos de 20 años ya haya jóvenes suizos que empiezan a independizarse.</w:t>
      </w:r>
    </w:p>
    <w:p w:rsidR="007E6609" w:rsidRPr="00C23EA3"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sz w:val="24"/>
          <w:szCs w:val="24"/>
          <w:u w:val="single"/>
          <w:lang w:eastAsia="es-ES"/>
        </w:rPr>
        <w:t xml:space="preserve">Además, todo esto tiene un reflejo claro en la más dolorosa de las estadísticas de esta crisis: mientras </w:t>
      </w:r>
      <w:hyperlink r:id="rId159" w:history="1">
        <w:r w:rsidRPr="00C23EA3">
          <w:rPr>
            <w:rFonts w:ascii="Times New Roman" w:eastAsia="Times New Roman" w:hAnsi="Times New Roman"/>
            <w:sz w:val="24"/>
            <w:szCs w:val="24"/>
            <w:u w:val="single"/>
            <w:lang w:eastAsia="es-ES"/>
          </w:rPr>
          <w:t>en España</w:t>
        </w:r>
      </w:hyperlink>
      <w:r w:rsidRPr="00C23EA3">
        <w:rPr>
          <w:rFonts w:ascii="Times New Roman" w:eastAsia="Times New Roman" w:hAnsi="Times New Roman"/>
          <w:sz w:val="24"/>
          <w:szCs w:val="24"/>
          <w:u w:val="single"/>
          <w:lang w:eastAsia="es-ES"/>
        </w:rPr>
        <w:t xml:space="preserve"> el </w:t>
      </w:r>
      <w:hyperlink r:id="rId160" w:history="1">
        <w:r w:rsidRPr="00C23EA3">
          <w:rPr>
            <w:rFonts w:ascii="Times New Roman" w:eastAsia="Times New Roman" w:hAnsi="Times New Roman"/>
            <w:sz w:val="24"/>
            <w:szCs w:val="24"/>
            <w:u w:val="single"/>
            <w:lang w:eastAsia="es-ES"/>
          </w:rPr>
          <w:t>paro juvenil</w:t>
        </w:r>
      </w:hyperlink>
      <w:r w:rsidRPr="00C23EA3">
        <w:rPr>
          <w:rFonts w:ascii="Times New Roman" w:eastAsia="Times New Roman" w:hAnsi="Times New Roman"/>
          <w:sz w:val="24"/>
          <w:szCs w:val="24"/>
          <w:u w:val="single"/>
          <w:lang w:eastAsia="es-ES"/>
        </w:rPr>
        <w:t xml:space="preserve"> supera el 50%, </w:t>
      </w:r>
      <w:hyperlink r:id="rId161" w:history="1">
        <w:r w:rsidRPr="00C23EA3">
          <w:rPr>
            <w:rFonts w:ascii="Times New Roman" w:eastAsia="Times New Roman" w:hAnsi="Times New Roman"/>
            <w:sz w:val="24"/>
            <w:szCs w:val="24"/>
            <w:u w:val="single"/>
            <w:lang w:eastAsia="es-ES"/>
          </w:rPr>
          <w:t>en Suiza</w:t>
        </w:r>
      </w:hyperlink>
      <w:r w:rsidRPr="00C23EA3">
        <w:rPr>
          <w:rFonts w:ascii="Times New Roman" w:eastAsia="Times New Roman" w:hAnsi="Times New Roman"/>
          <w:sz w:val="24"/>
          <w:szCs w:val="24"/>
          <w:u w:val="single"/>
          <w:lang w:eastAsia="es-ES"/>
        </w:rPr>
        <w:t xml:space="preserve"> se mueve entre el 3 y el 5%, incluso en épocas de recesión.</w:t>
      </w:r>
      <w:r w:rsidRPr="00C23EA3">
        <w:rPr>
          <w:rFonts w:ascii="Times New Roman" w:eastAsia="Times New Roman" w:hAnsi="Times New Roman"/>
          <w:sz w:val="24"/>
          <w:szCs w:val="24"/>
          <w:lang w:eastAsia="es-ES"/>
        </w:rPr>
        <w:t xml:space="preserve"> Es decir, mientras un país cercena las posibilidades de sus jóvenes y les cierra alternativas, el otro les ofrece un futuro estable, con una profesión prestigiosa y un mercado laboral abierto.</w:t>
      </w:r>
    </w:p>
    <w:p w:rsidR="007E6609" w:rsidRPr="00C23EA3"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bCs/>
          <w:sz w:val="24"/>
          <w:szCs w:val="24"/>
          <w:lang w:eastAsia="es-ES"/>
        </w:rPr>
        <w:t>Las opciones</w:t>
      </w:r>
    </w:p>
    <w:p w:rsidR="007E6609" w:rsidRPr="00822CE7"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sz w:val="24"/>
          <w:szCs w:val="24"/>
          <w:lang w:eastAsia="es-ES"/>
        </w:rPr>
        <w:t>Para conseguirlo, nadie tien</w:t>
      </w:r>
      <w:r w:rsidR="00C23EA3">
        <w:rPr>
          <w:rFonts w:ascii="Times New Roman" w:eastAsia="Times New Roman" w:hAnsi="Times New Roman"/>
          <w:sz w:val="24"/>
          <w:szCs w:val="24"/>
          <w:lang w:eastAsia="es-ES"/>
        </w:rPr>
        <w:t>e miedo en el país helvético a “meter”</w:t>
      </w:r>
      <w:r w:rsidRPr="00C23EA3">
        <w:rPr>
          <w:rFonts w:ascii="Times New Roman" w:eastAsia="Times New Roman" w:hAnsi="Times New Roman"/>
          <w:sz w:val="24"/>
          <w:szCs w:val="24"/>
          <w:lang w:eastAsia="es-ES"/>
        </w:rPr>
        <w:t xml:space="preserve"> a las empresas en las aulas. El modelo de FP Dual es voluntario, hay algunas especialidades de FP que no implican un trabajo, y absolutamente mayoritario. En principio, esta etapa dura 3 o 4 años, tras los que se obtiene un certificado oficial. El que quiera puede dejar la escuela en este momento e incorporarse plenamente al </w:t>
      </w:r>
      <w:r w:rsidRPr="00C176A3">
        <w:rPr>
          <w:rFonts w:ascii="Times New Roman" w:eastAsia="Times New Roman" w:hAnsi="Times New Roman"/>
          <w:bCs/>
          <w:sz w:val="24"/>
          <w:szCs w:val="24"/>
          <w:lang w:eastAsia="es-ES"/>
        </w:rPr>
        <w:t>mercado laboral</w:t>
      </w:r>
      <w:r w:rsidRPr="00C23EA3">
        <w:rPr>
          <w:rFonts w:ascii="Times New Roman" w:eastAsia="Times New Roman" w:hAnsi="Times New Roman"/>
          <w:sz w:val="24"/>
          <w:szCs w:val="24"/>
          <w:lang w:eastAsia="es-ES"/>
        </w:rPr>
        <w:t xml:space="preserve"> </w:t>
      </w:r>
      <w:r w:rsidR="00822CE7">
        <w:rPr>
          <w:rFonts w:ascii="Times New Roman" w:eastAsia="Times New Roman" w:hAnsi="Times New Roman"/>
          <w:sz w:val="24"/>
          <w:szCs w:val="24"/>
          <w:lang w:eastAsia="es-ES"/>
        </w:rPr>
        <w:t>“</w:t>
      </w:r>
      <w:r w:rsidRPr="00822CE7">
        <w:rPr>
          <w:rFonts w:ascii="Times New Roman" w:eastAsia="Times New Roman" w:hAnsi="Times New Roman"/>
          <w:iCs/>
          <w:sz w:val="24"/>
          <w:szCs w:val="24"/>
          <w:lang w:eastAsia="es-ES"/>
        </w:rPr>
        <w:t>convencional</w:t>
      </w:r>
      <w:r w:rsidR="00822CE7">
        <w:rPr>
          <w:rFonts w:ascii="Times New Roman" w:eastAsia="Times New Roman" w:hAnsi="Times New Roman"/>
          <w:iCs/>
          <w:sz w:val="24"/>
          <w:szCs w:val="24"/>
          <w:lang w:eastAsia="es-ES"/>
        </w:rPr>
        <w:t>”</w:t>
      </w:r>
      <w:r w:rsidRPr="00822CE7">
        <w:rPr>
          <w:rFonts w:ascii="Times New Roman" w:eastAsia="Times New Roman" w:hAnsi="Times New Roman"/>
          <w:sz w:val="24"/>
          <w:szCs w:val="24"/>
          <w:lang w:eastAsia="es-ES"/>
        </w:rPr>
        <w:t>.</w:t>
      </w:r>
    </w:p>
    <w:p w:rsidR="007E6609" w:rsidRPr="00C23EA3"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sz w:val="24"/>
          <w:szCs w:val="24"/>
          <w:lang w:eastAsia="es-ES"/>
        </w:rPr>
        <w:t>Sin embargo, aquellos que quieran continuar su formación también pueden hacerlo mediante el llamado Bachillerato Profesional (el BP es una especie de Formación Profesional avanzada). Desde el BP se puede acceder a las Escuelas Superiores de FP y a las universidades técnicas, que componen la educación superior o terciaria.</w:t>
      </w:r>
    </w:p>
    <w:p w:rsidR="00E73CEC"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3EA3">
        <w:rPr>
          <w:rFonts w:ascii="Times New Roman" w:eastAsia="Times New Roman" w:hAnsi="Times New Roman"/>
          <w:sz w:val="24"/>
          <w:szCs w:val="24"/>
          <w:lang w:eastAsia="es-ES"/>
        </w:rPr>
        <w:t>Esto quiere decir que la FP Dual no es un callejón sin salida para los malos estudiantes. En realidad, es una alternativa más para que los adolescentes puedan escoger la profesión que más les guste. Luego, pueden completar sin problemas una educación superior e incluso ir a la universidad. Y no sólo eso, al final de cada curso existe la posibilidad de cambiar la opción tanto para ir de Bachillerato a FP como para hacer el camino inverso.</w:t>
      </w:r>
    </w:p>
    <w:p w:rsidR="00C23EA3" w:rsidRPr="00462CFF" w:rsidRDefault="00AF37C9" w:rsidP="00550638">
      <w:pPr>
        <w:pStyle w:val="NormalWeb"/>
        <w:jc w:val="both"/>
      </w:pPr>
      <w:r>
        <w:rPr>
          <w:u w:val="single"/>
        </w:rPr>
        <w:t>Un</w:t>
      </w:r>
      <w:r w:rsidR="00462CFF">
        <w:rPr>
          <w:u w:val="single"/>
        </w:rPr>
        <w:t xml:space="preserve"> v</w:t>
      </w:r>
      <w:r w:rsidR="00462CFF" w:rsidRPr="00462CFF">
        <w:rPr>
          <w:u w:val="single"/>
        </w:rPr>
        <w:t xml:space="preserve">iaje a través del infierno </w:t>
      </w:r>
      <w:r w:rsidR="00C23EA3" w:rsidRPr="00462CFF">
        <w:rPr>
          <w:u w:val="single"/>
        </w:rPr>
        <w:t>de los préstamos</w:t>
      </w:r>
      <w:r w:rsidR="00C23EA3" w:rsidRPr="00C23EA3">
        <w:rPr>
          <w:u w:val="single"/>
        </w:rPr>
        <w:t xml:space="preserve"> estudiantiles en EEUU</w:t>
      </w:r>
      <w:r>
        <w:rPr>
          <w:u w:val="single"/>
        </w:rPr>
        <w:t xml:space="preserve"> (deuda sin futuro)</w:t>
      </w:r>
    </w:p>
    <w:p w:rsidR="00C176A3" w:rsidRDefault="00462CFF" w:rsidP="00550638">
      <w:pPr>
        <w:pStyle w:val="NormalWeb"/>
        <w:jc w:val="both"/>
      </w:pPr>
      <w:r>
        <w:rPr>
          <w:i/>
        </w:rPr>
        <w:t>“</w:t>
      </w:r>
      <w:r w:rsidR="007E6609" w:rsidRPr="00462CFF">
        <w:rPr>
          <w:i/>
        </w:rPr>
        <w:t>Ella vive con su pareja en los suburbios de Filadelfia, en un piso de 74 metros cua</w:t>
      </w:r>
      <w:r w:rsidR="00C23EA3" w:rsidRPr="00462CFF">
        <w:rPr>
          <w:i/>
        </w:rPr>
        <w:t>drados sin lavadora. “</w:t>
      </w:r>
      <w:r w:rsidR="007E6609" w:rsidRPr="00462CFF">
        <w:rPr>
          <w:i/>
        </w:rPr>
        <w:t xml:space="preserve">Tengo un doctorado </w:t>
      </w:r>
      <w:r w:rsidR="00C23EA3" w:rsidRPr="00462CFF">
        <w:rPr>
          <w:i/>
        </w:rPr>
        <w:t>y lavo mi ropa en la lavandería”</w:t>
      </w:r>
      <w:r w:rsidRPr="00462CFF">
        <w:rPr>
          <w:i/>
        </w:rPr>
        <w:t xml:space="preserve">, dice. </w:t>
      </w:r>
      <w:r w:rsidR="007E6609" w:rsidRPr="00462CFF">
        <w:rPr>
          <w:i/>
        </w:rPr>
        <w:t>McDevitt tie</w:t>
      </w:r>
      <w:r w:rsidR="00C23EA3" w:rsidRPr="00462CFF">
        <w:rPr>
          <w:i/>
        </w:rPr>
        <w:t>ne una carrera que le encanta -</w:t>
      </w:r>
      <w:r w:rsidR="007E6609" w:rsidRPr="00462CFF">
        <w:rPr>
          <w:i/>
        </w:rPr>
        <w:t>da conferencias, escribe y h</w:t>
      </w:r>
      <w:r w:rsidR="00C23EA3" w:rsidRPr="00462CFF">
        <w:rPr>
          <w:i/>
        </w:rPr>
        <w:t>abla sobre la sexualidad humana</w:t>
      </w:r>
      <w:r w:rsidR="007E6609" w:rsidRPr="00462CFF">
        <w:rPr>
          <w:i/>
        </w:rPr>
        <w:t>- pero como no recibió ninguna ayuda financiera pidió préstamos privados para pagar sus estudios, lo que le deja una deuda mensual de US$</w:t>
      </w:r>
      <w:r w:rsidR="00C23EA3" w:rsidRPr="00462CFF">
        <w:rPr>
          <w:i/>
        </w:rPr>
        <w:t xml:space="preserve"> </w:t>
      </w:r>
      <w:r w:rsidRPr="00462CFF">
        <w:rPr>
          <w:i/>
        </w:rPr>
        <w:t>1.600. “</w:t>
      </w:r>
      <w:r w:rsidR="007E6609" w:rsidRPr="00462CFF">
        <w:rPr>
          <w:i/>
        </w:rPr>
        <w:t>Simpleme</w:t>
      </w:r>
      <w:r w:rsidRPr="00462CFF">
        <w:rPr>
          <w:i/>
        </w:rPr>
        <w:t>nte no puedo pagar esa cantidad”</w:t>
      </w:r>
      <w:r w:rsidR="007E6609" w:rsidRPr="00462CFF">
        <w:rPr>
          <w:i/>
        </w:rPr>
        <w:t>, dice. Luego de haber intentado negociar con varios prestamistas, está</w:t>
      </w:r>
      <w:r w:rsidRPr="00462CFF">
        <w:rPr>
          <w:i/>
        </w:rPr>
        <w:t xml:space="preserve"> perdiendo las ganas de luchar. “Mi crédito va muy mal”, agrega. “</w:t>
      </w:r>
      <w:r w:rsidR="007E6609" w:rsidRPr="00462CFF">
        <w:rPr>
          <w:i/>
        </w:rPr>
        <w:t>¿Cuál es el</w:t>
      </w:r>
      <w:r w:rsidRPr="00462CFF">
        <w:rPr>
          <w:i/>
        </w:rPr>
        <w:t xml:space="preserve"> incentivo si ya estoy acabada?”</w:t>
      </w:r>
      <w:r>
        <w:rPr>
          <w:i/>
        </w:rPr>
        <w:t xml:space="preserve">… </w:t>
      </w:r>
      <w:r w:rsidR="00E73CEC">
        <w:rPr>
          <w:u w:val="single"/>
        </w:rPr>
        <w:t>Préstamos estudiantiles en EEUU</w:t>
      </w:r>
      <w:r w:rsidRPr="00AC0D8E">
        <w:rPr>
          <w:u w:val="single"/>
        </w:rPr>
        <w:t>: la trampa millonaria</w:t>
      </w:r>
      <w:r>
        <w:t xml:space="preserve"> (BBCMundo - </w:t>
      </w:r>
      <w:r w:rsidRPr="00AC0D8E">
        <w:rPr>
          <w:b/>
        </w:rPr>
        <w:t>11/12/12</w:t>
      </w:r>
      <w:r>
        <w:t>)</w:t>
      </w:r>
    </w:p>
    <w:p w:rsidR="007E6609" w:rsidRPr="00AF37C9" w:rsidRDefault="007E6609" w:rsidP="00550638">
      <w:pPr>
        <w:pStyle w:val="NormalWeb"/>
        <w:jc w:val="both"/>
      </w:pPr>
      <w:r w:rsidRPr="00AF37C9">
        <w:lastRenderedPageBreak/>
        <w:t>El caso de McDevitt no es el único. La deuda estudiantil es un dolor de cabeza por valor de un billón de dólares para la economía de Estados U</w:t>
      </w:r>
      <w:r w:rsidR="00462CFF" w:rsidRPr="00AF37C9">
        <w:t xml:space="preserve">nidos, y el problema se agrava. </w:t>
      </w:r>
      <w:r w:rsidRPr="00AF37C9">
        <w:t>A medida que el costo de la educación universitaria se eleva, las tasas de morosidad van en aumento.</w:t>
      </w:r>
      <w:r w:rsidR="00462CFF" w:rsidRPr="00AF37C9">
        <w:t xml:space="preserve"> </w:t>
      </w:r>
      <w:r w:rsidRPr="00AF37C9">
        <w:t>Algunas estimaciones dicen que más de c</w:t>
      </w:r>
      <w:r w:rsidR="00462CFF" w:rsidRPr="00AF37C9">
        <w:t>inco millones de personas en EEUU</w:t>
      </w:r>
      <w:r w:rsidRPr="00AF37C9">
        <w:t xml:space="preserve"> han dejado de pagar sus préstamos estudiantiles. Casi 375.000 personas dejaron de pagar en el último año solamente, según el </w:t>
      </w:r>
      <w:r w:rsidR="00462CFF" w:rsidRPr="00AF37C9">
        <w:t>Departamento de Educación de EEUU</w:t>
      </w:r>
      <w:r w:rsidRPr="00AF37C9">
        <w:t>.</w:t>
      </w:r>
    </w:p>
    <w:p w:rsidR="007E6609" w:rsidRPr="00AF37C9" w:rsidRDefault="007E6609" w:rsidP="00550638">
      <w:pPr>
        <w:pStyle w:val="NormalWeb"/>
        <w:jc w:val="both"/>
      </w:pPr>
      <w:r w:rsidRPr="00AF37C9">
        <w:t>Y los prestatarios pueden enfren</w:t>
      </w:r>
      <w:r w:rsidR="00AF37C9" w:rsidRPr="00AF37C9">
        <w:t xml:space="preserve">tarse a consecuencias nefastas. </w:t>
      </w:r>
      <w:r w:rsidRPr="00AF37C9">
        <w:t xml:space="preserve">El gobierno federal cuenta con herramientas fuertes para cobrar las deudas de los morosos, incluyendo el embargo del 15% de su sueldo y los ingresos de jubilación, de acuerdo con el experto en financiación de la educación Mark Kantrowitz, editor </w:t>
      </w:r>
      <w:r w:rsidR="00AF37C9" w:rsidRPr="00AF37C9">
        <w:t>de los sitios FinAid y Fastweb. “</w:t>
      </w:r>
      <w:r w:rsidRPr="00AF37C9">
        <w:t xml:space="preserve">Es como un viaje a través del infierno, </w:t>
      </w:r>
      <w:r w:rsidR="00AF37C9" w:rsidRPr="00AF37C9">
        <w:t>pero sin luz al final del túnel”, señala</w:t>
      </w:r>
      <w:r w:rsidRPr="00AF37C9">
        <w:t>.</w:t>
      </w:r>
    </w:p>
    <w:p w:rsidR="007E6609" w:rsidRPr="00AF37C9" w:rsidRDefault="007E6609" w:rsidP="00550638">
      <w:pPr>
        <w:pStyle w:val="NormalWeb"/>
        <w:jc w:val="both"/>
      </w:pPr>
      <w:r w:rsidRPr="00AF37C9">
        <w:t>Los prestatarios en mora no pueden obtener una hipoteca o un préstamo para un automóvil. Y su capacidad de crédito estará arruinada, lo que puede afectar a su posibilidad de alquilar un piso o incluso conseguir un trabajo.</w:t>
      </w:r>
    </w:p>
    <w:p w:rsidR="007E6609" w:rsidRPr="00AF37C9" w:rsidRDefault="00AF37C9" w:rsidP="00550638">
      <w:pPr>
        <w:pStyle w:val="NormalWeb"/>
        <w:jc w:val="both"/>
      </w:pPr>
      <w:r w:rsidRPr="00AF37C9">
        <w:t>“</w:t>
      </w:r>
      <w:r w:rsidR="007E6609" w:rsidRPr="00AF37C9">
        <w:t>E</w:t>
      </w:r>
      <w:r w:rsidRPr="00AF37C9">
        <w:t>stamos en un punto de inflexión”</w:t>
      </w:r>
      <w:r w:rsidR="007E6609" w:rsidRPr="00AF37C9">
        <w:t>, dice Anne Johnson, directora de Campus Progress, un grupo</w:t>
      </w:r>
      <w:r w:rsidRPr="00AF37C9">
        <w:t xml:space="preserve"> de defensa de los estudiantes. </w:t>
      </w:r>
      <w:r w:rsidR="007E6609" w:rsidRPr="00AF37C9">
        <w:t>El impacto a largo plazo del fuerte endeudamiento en los jóve</w:t>
      </w:r>
      <w:r w:rsidRPr="00AF37C9">
        <w:t>nes es abrumador, dice Johnson. “</w:t>
      </w:r>
      <w:r w:rsidR="007E6609" w:rsidRPr="00AF37C9">
        <w:t xml:space="preserve">Está cambiando todo el </w:t>
      </w:r>
      <w:r w:rsidRPr="00AF37C9">
        <w:t>panorama económico de su futuro”, dice. “Es un desafío enorme”</w:t>
      </w:r>
      <w:r w:rsidR="007E6609" w:rsidRPr="00AF37C9">
        <w:t>.</w:t>
      </w:r>
    </w:p>
    <w:p w:rsidR="007E6609" w:rsidRPr="00AF37C9" w:rsidRDefault="007E6609" w:rsidP="00550638">
      <w:pPr>
        <w:pStyle w:val="NormalWeb"/>
        <w:jc w:val="both"/>
      </w:pPr>
      <w:r w:rsidRPr="00AF37C9">
        <w:t>Johnson señala que el aumento del costo de la educación superior es una</w:t>
      </w:r>
      <w:r w:rsidR="00AF37C9" w:rsidRPr="00AF37C9">
        <w:t xml:space="preserve"> parte importante del problema. </w:t>
      </w:r>
      <w:r w:rsidRPr="00AF37C9">
        <w:t>En los últimos 30 años, los costos de las matrículas se han incrementado cerca del 1.000%. Una carrera de cuatro años en una universidad privada puede costar cerca de US$</w:t>
      </w:r>
      <w:r w:rsidR="00AF37C9" w:rsidRPr="00AF37C9">
        <w:t xml:space="preserve"> </w:t>
      </w:r>
      <w:r w:rsidRPr="00AF37C9">
        <w:t>150.000.</w:t>
      </w:r>
    </w:p>
    <w:p w:rsidR="007E6609" w:rsidRPr="00AF37C9" w:rsidRDefault="007E6609" w:rsidP="00550638">
      <w:pPr>
        <w:pStyle w:val="NormalWeb"/>
        <w:jc w:val="both"/>
      </w:pPr>
      <w:r w:rsidRPr="00AF37C9">
        <w:t>Los expertos dicen que los estudiantes no siempre son conscientes del costo total de su educación.</w:t>
      </w:r>
      <w:r w:rsidR="00AF37C9" w:rsidRPr="00AF37C9">
        <w:t xml:space="preserve"> “</w:t>
      </w:r>
      <w:r w:rsidRPr="00AF37C9">
        <w:t xml:space="preserve">A consumidores que en otros aspectos son muy conscientes se les puede pasar por alto la cantidad que les va a costar la universidad </w:t>
      </w:r>
      <w:r w:rsidR="00AF37C9" w:rsidRPr="00AF37C9">
        <w:t>y cómo van a pagarla”</w:t>
      </w:r>
      <w:r w:rsidRPr="00AF37C9">
        <w:t>, dice Lauren Asher, presidenta del Instituto de Acceso y Éxito en la Universidad.</w:t>
      </w:r>
    </w:p>
    <w:p w:rsidR="007E6609" w:rsidRPr="00AF37C9" w:rsidRDefault="007E6609" w:rsidP="00550638">
      <w:pPr>
        <w:pStyle w:val="NormalWeb"/>
        <w:jc w:val="both"/>
      </w:pPr>
      <w:r w:rsidRPr="00AF37C9">
        <w:t>Candice Varetoni, de 23 años, flamante graduada universitaria, acumula US$</w:t>
      </w:r>
      <w:r w:rsidR="00AF37C9" w:rsidRPr="00AF37C9">
        <w:t xml:space="preserve"> </w:t>
      </w:r>
      <w:r w:rsidRPr="00AF37C9">
        <w:t>67.000 en deuda, vive con sus padres en el estado de Nueva York y tiene más de una hora de viaje a su trabaj</w:t>
      </w:r>
      <w:r w:rsidR="00AF37C9" w:rsidRPr="00AF37C9">
        <w:t xml:space="preserve">o de marketing en Nueva Jersey. </w:t>
      </w:r>
      <w:r w:rsidRPr="00AF37C9">
        <w:t>Cuando se matriculó en la universidad, no estaba al tanto de to</w:t>
      </w:r>
      <w:r w:rsidR="00AF37C9" w:rsidRPr="00AF37C9">
        <w:t>das sus opciones de préstamos. “</w:t>
      </w:r>
      <w:r w:rsidRPr="00AF37C9">
        <w:t>Para ser honesta, creo que era ignorante sob</w:t>
      </w:r>
      <w:r w:rsidR="00AF37C9" w:rsidRPr="00AF37C9">
        <w:t>re mis opciones en ese entonces”, comenta</w:t>
      </w:r>
      <w:r w:rsidRPr="00AF37C9">
        <w:t>.</w:t>
      </w:r>
    </w:p>
    <w:p w:rsidR="007E6609" w:rsidRPr="00AF37C9" w:rsidRDefault="007E6609" w:rsidP="00550638">
      <w:pPr>
        <w:pStyle w:val="NormalWeb"/>
        <w:jc w:val="both"/>
      </w:pPr>
      <w:r w:rsidRPr="00AF37C9">
        <w:t>Si pudiera volver el tiempo atrás, Varetoni habría comparado las tasas de varios prestamistas, y podría haber considerado una universidad menos costosa para realizar al m</w:t>
      </w:r>
      <w:r w:rsidR="00AF37C9" w:rsidRPr="00AF37C9">
        <w:t>enos una parte de sus estudios. “</w:t>
      </w:r>
      <w:r w:rsidRPr="00AF37C9">
        <w:t xml:space="preserve">En cinco años a partir de ahora espero poder dejar </w:t>
      </w:r>
      <w:r w:rsidR="00AF37C9" w:rsidRPr="00AF37C9">
        <w:t>la casa de mis padres”</w:t>
      </w:r>
      <w:r w:rsidRPr="00AF37C9">
        <w:t>, dice.</w:t>
      </w:r>
    </w:p>
    <w:p w:rsidR="007E6609" w:rsidRPr="00AF37C9" w:rsidRDefault="007E6609" w:rsidP="00550638">
      <w:pPr>
        <w:pStyle w:val="NormalWeb"/>
        <w:jc w:val="both"/>
      </w:pPr>
      <w:r w:rsidRPr="00AF37C9">
        <w:t>Muchos estudiantes ven que una vez que pagan su título de grado, los estudios de posgrado pl</w:t>
      </w:r>
      <w:r w:rsidR="00AF37C9" w:rsidRPr="00AF37C9">
        <w:t xml:space="preserve">antean otro desafío financiero. </w:t>
      </w:r>
      <w:r w:rsidRPr="00AF37C9">
        <w:t>Alan Thomas, de 36 años, se graduó sin deudas y decidió empezar a estudiar leyes en 2007, después de haber oído que los abogados ganaban sueldos de seis cifra</w:t>
      </w:r>
      <w:r w:rsidR="00AF37C9" w:rsidRPr="00AF37C9">
        <w:t>s nada más terminar la carrera. “</w:t>
      </w:r>
      <w:r w:rsidRPr="00AF37C9">
        <w:t xml:space="preserve">Obviamente, esa </w:t>
      </w:r>
      <w:r w:rsidR="00AF37C9" w:rsidRPr="00AF37C9">
        <w:t>imagen ha cambiado por completo”, señala</w:t>
      </w:r>
      <w:r w:rsidRPr="00AF37C9">
        <w:t>.</w:t>
      </w:r>
    </w:p>
    <w:p w:rsidR="007E6609" w:rsidRPr="00AF37C9" w:rsidRDefault="007E6609" w:rsidP="00550638">
      <w:pPr>
        <w:pStyle w:val="NormalWeb"/>
        <w:jc w:val="both"/>
      </w:pPr>
      <w:r w:rsidRPr="00AF37C9">
        <w:lastRenderedPageBreak/>
        <w:t>Thomas ahora debe US$</w:t>
      </w:r>
      <w:r w:rsidR="00AF37C9" w:rsidRPr="00AF37C9">
        <w:t xml:space="preserve"> </w:t>
      </w:r>
      <w:r w:rsidRPr="00AF37C9">
        <w:t>130.</w:t>
      </w:r>
      <w:r w:rsidR="00AF37C9" w:rsidRPr="00AF37C9">
        <w:t xml:space="preserve">000 en préstamos estudiantiles. </w:t>
      </w:r>
      <w:r w:rsidRPr="00AF37C9">
        <w:t>Está pagando 8,25% de interés sobre el dinero que pidió prestado para financiar su matrícula en la Facultad de Derecho y solventar sus gastos, postergando los pagos de su préstamo de estudiante mientras establecía su propio bufete.</w:t>
      </w:r>
      <w:r w:rsidR="00AF37C9" w:rsidRPr="00AF37C9">
        <w:t xml:space="preserve"> </w:t>
      </w:r>
      <w:r w:rsidRPr="00AF37C9">
        <w:t>Pagar sus préstamos en tiempo y forma no le resulta fácil, ya que su factura mensual es de US$</w:t>
      </w:r>
      <w:r w:rsidR="00AF37C9" w:rsidRPr="00AF37C9">
        <w:t xml:space="preserve"> </w:t>
      </w:r>
      <w:r w:rsidRPr="00AF37C9">
        <w:t>1.000.</w:t>
      </w:r>
      <w:r w:rsidR="00AF37C9" w:rsidRPr="00AF37C9">
        <w:t xml:space="preserve"> </w:t>
      </w:r>
      <w:r w:rsidRPr="00AF37C9">
        <w:t xml:space="preserve">Pero trabaja </w:t>
      </w:r>
      <w:r w:rsidR="00AF37C9" w:rsidRPr="00AF37C9">
        <w:t>en casa y controla sus gastos. “Soy muy frugal”</w:t>
      </w:r>
      <w:r w:rsidRPr="00AF37C9">
        <w:t>, dice.</w:t>
      </w:r>
    </w:p>
    <w:p w:rsidR="007E6609" w:rsidRDefault="007E6609" w:rsidP="00550638">
      <w:pPr>
        <w:pStyle w:val="NormalWeb"/>
        <w:jc w:val="both"/>
      </w:pPr>
      <w:r w:rsidRPr="00AF37C9">
        <w:t>Por lo tanto, estará libre de deuda</w:t>
      </w:r>
      <w:r w:rsidR="00AF37C9" w:rsidRPr="00AF37C9">
        <w:t>s en el futuro cercano, evalúa. “</w:t>
      </w:r>
      <w:r w:rsidRPr="00AF37C9">
        <w:t>Yo diría que en cuatro o c</w:t>
      </w:r>
      <w:r w:rsidR="00AF37C9" w:rsidRPr="00AF37C9">
        <w:t>inco años, si soy muy cuidadoso”, dice. “</w:t>
      </w:r>
      <w:r w:rsidRPr="00AF37C9">
        <w:t xml:space="preserve">Probablemente pueda llegar a sacarme de encima todo el problema, y estoy </w:t>
      </w:r>
      <w:r w:rsidR="00AF37C9" w:rsidRPr="00AF37C9">
        <w:t>muy entusiasmado en ese sentido”</w:t>
      </w:r>
      <w:r w:rsidRPr="00AF37C9">
        <w:t>.</w:t>
      </w:r>
    </w:p>
    <w:p w:rsidR="00C24AB4" w:rsidRPr="00C24AB4" w:rsidRDefault="00C24AB4" w:rsidP="00550638">
      <w:pPr>
        <w:spacing w:before="100" w:beforeAutospacing="1" w:after="100" w:afterAutospacing="1" w:line="240" w:lineRule="auto"/>
        <w:jc w:val="both"/>
        <w:outlineLvl w:val="1"/>
        <w:rPr>
          <w:rFonts w:ascii="Times New Roman" w:eastAsia="Times New Roman" w:hAnsi="Times New Roman"/>
          <w:bCs/>
          <w:sz w:val="24"/>
          <w:szCs w:val="24"/>
          <w:u w:val="single"/>
          <w:lang w:eastAsia="es-ES"/>
        </w:rPr>
      </w:pPr>
      <w:r>
        <w:rPr>
          <w:rFonts w:ascii="Times New Roman" w:eastAsia="Times New Roman" w:hAnsi="Times New Roman"/>
          <w:bCs/>
          <w:sz w:val="24"/>
          <w:szCs w:val="24"/>
          <w:u w:val="single"/>
          <w:lang w:eastAsia="es-ES"/>
        </w:rPr>
        <w:t>Made in USA: a</w:t>
      </w:r>
      <w:r w:rsidRPr="00C24AB4">
        <w:rPr>
          <w:rFonts w:ascii="Times New Roman" w:eastAsia="Times New Roman" w:hAnsi="Times New Roman"/>
          <w:bCs/>
          <w:sz w:val="24"/>
          <w:szCs w:val="24"/>
          <w:u w:val="single"/>
          <w:lang w:eastAsia="es-ES"/>
        </w:rPr>
        <w:t>sí cebó</w:t>
      </w:r>
      <w:r>
        <w:rPr>
          <w:rFonts w:ascii="Times New Roman" w:eastAsia="Times New Roman" w:hAnsi="Times New Roman"/>
          <w:bCs/>
          <w:sz w:val="24"/>
          <w:szCs w:val="24"/>
          <w:u w:val="single"/>
          <w:lang w:eastAsia="es-ES"/>
        </w:rPr>
        <w:t xml:space="preserve"> el Estado la burbuja educativa</w:t>
      </w:r>
    </w:p>
    <w:p w:rsidR="007E6609" w:rsidRPr="00C24AB4" w:rsidRDefault="00AF37C9" w:rsidP="00550638">
      <w:pPr>
        <w:pStyle w:val="NormalWeb"/>
        <w:jc w:val="both"/>
      </w:pPr>
      <w:r>
        <w:rPr>
          <w:i/>
        </w:rPr>
        <w:t>“</w:t>
      </w:r>
      <w:r w:rsidR="007E6609" w:rsidRPr="00AF37C9">
        <w:rPr>
          <w:i/>
        </w:rPr>
        <w:t xml:space="preserve">El 45% de los estadounidenses que comienzan una carrera universitaria no se gradúa. Entre quienes sí lo consiguen, </w:t>
      </w:r>
      <w:hyperlink r:id="rId162" w:history="1">
        <w:r w:rsidR="007E6609" w:rsidRPr="00AF37C9">
          <w:rPr>
            <w:i/>
          </w:rPr>
          <w:t>el 85% vuelve a vivir con sus padres</w:t>
        </w:r>
      </w:hyperlink>
      <w:r w:rsidR="007E6609" w:rsidRPr="00AF37C9">
        <w:rPr>
          <w:i/>
        </w:rPr>
        <w:t xml:space="preserve"> después de terminar sus estudios. A sus espaldas cargan una </w:t>
      </w:r>
      <w:r w:rsidR="007E6609" w:rsidRPr="00AF37C9">
        <w:rPr>
          <w:bCs/>
          <w:i/>
        </w:rPr>
        <w:t>deuda promedio</w:t>
      </w:r>
      <w:r w:rsidR="007E6609" w:rsidRPr="00AF37C9">
        <w:rPr>
          <w:i/>
        </w:rPr>
        <w:t xml:space="preserve"> superior a los </w:t>
      </w:r>
      <w:r w:rsidR="007E6609" w:rsidRPr="00AF37C9">
        <w:rPr>
          <w:bCs/>
          <w:i/>
        </w:rPr>
        <w:t>$</w:t>
      </w:r>
      <w:r w:rsidR="006A2645">
        <w:rPr>
          <w:bCs/>
          <w:i/>
        </w:rPr>
        <w:t xml:space="preserve"> </w:t>
      </w:r>
      <w:r w:rsidR="007E6609" w:rsidRPr="00AF37C9">
        <w:rPr>
          <w:bCs/>
          <w:i/>
        </w:rPr>
        <w:t>24.000 dólares</w:t>
      </w:r>
      <w:r w:rsidR="007E6609" w:rsidRPr="00AF37C9">
        <w:rPr>
          <w:i/>
        </w:rPr>
        <w:t>, un 50% más que hace una década</w:t>
      </w:r>
      <w:r>
        <w:rPr>
          <w:i/>
        </w:rPr>
        <w:t>”..</w:t>
      </w:r>
      <w:r w:rsidR="007E6609" w:rsidRPr="00AF37C9">
        <w:rPr>
          <w:i/>
        </w:rPr>
        <w:t>.</w:t>
      </w:r>
      <w:r w:rsidR="00E73CEC">
        <w:t xml:space="preserve"> </w:t>
      </w:r>
      <w:r w:rsidR="00C24AB4" w:rsidRPr="007D3235">
        <w:rPr>
          <w:u w:val="single"/>
        </w:rPr>
        <w:t>EEUU sufre su particular burbuja universitaria</w:t>
      </w:r>
      <w:r w:rsidR="00C24AB4">
        <w:t xml:space="preserve"> (Libertad Digital - </w:t>
      </w:r>
      <w:r w:rsidR="00C24AB4" w:rsidRPr="007D3235">
        <w:rPr>
          <w:b/>
        </w:rPr>
        <w:t>22/12/12</w:t>
      </w:r>
      <w:r w:rsidR="00C24AB4">
        <w:t>)</w:t>
      </w:r>
    </w:p>
    <w:p w:rsidR="007E6609"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Desde hace años, la educación superior estadounidense ha multiplicado su precio de forma acelerada. Así, </w:t>
      </w:r>
      <w:hyperlink r:id="rId163" w:history="1">
        <w:r w:rsidRPr="00C24AB4">
          <w:rPr>
            <w:rFonts w:ascii="Times New Roman" w:eastAsia="Times New Roman" w:hAnsi="Times New Roman"/>
            <w:sz w:val="24"/>
            <w:szCs w:val="24"/>
            <w:lang w:eastAsia="es-ES"/>
          </w:rPr>
          <w:t>una licenciatura vale hoy un 945% más que en 1980</w:t>
        </w:r>
      </w:hyperlink>
      <w:r w:rsidRPr="00C24AB4">
        <w:rPr>
          <w:rFonts w:ascii="Times New Roman" w:eastAsia="Times New Roman" w:hAnsi="Times New Roman"/>
          <w:sz w:val="24"/>
          <w:szCs w:val="24"/>
          <w:lang w:eastAsia="es-ES"/>
        </w:rPr>
        <w:t xml:space="preserve">, un aumento muy superior a la inflación acumulada, que si bien ha sido elevada, no llega al 200% en dicho periodo. </w:t>
      </w:r>
      <w:hyperlink r:id="rId164" w:history="1">
        <w:r w:rsidRPr="00C24AB4">
          <w:rPr>
            <w:rFonts w:ascii="Times New Roman" w:eastAsia="Times New Roman" w:hAnsi="Times New Roman"/>
            <w:sz w:val="24"/>
            <w:szCs w:val="24"/>
            <w:lang w:eastAsia="es-ES"/>
          </w:rPr>
          <w:t>La tendencia también la apreciamos en el precio del servicio de residencia en los campus (comida y habitación),</w:t>
        </w:r>
      </w:hyperlink>
      <w:r w:rsidRPr="00C24AB4">
        <w:rPr>
          <w:rFonts w:ascii="Times New Roman" w:eastAsia="Times New Roman" w:hAnsi="Times New Roman"/>
          <w:sz w:val="24"/>
          <w:szCs w:val="24"/>
          <w:lang w:eastAsia="es-ES"/>
        </w:rPr>
        <w:t xml:space="preserve"> que se ha duplicado durante el mismo periodo.</w:t>
      </w:r>
    </w:p>
    <w:p w:rsidR="00C24AB4" w:rsidRPr="00C24AB4" w:rsidRDefault="00C24AB4"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Estamos hablando, por supuesto, de una burbuja económica de tamaño gigantesco y consecuencias sociales dramáticas. La mentalidad de quienes se encuentran atrapados en este proceso es similar a la de la burbuja inmobiliaria: el “me endeudo porque esta casa será una buena inversión” recuerda irremediablemente al </w:t>
      </w:r>
      <w:r w:rsidRPr="00C24AB4">
        <w:rPr>
          <w:rFonts w:ascii="Times New Roman" w:eastAsia="Times New Roman" w:hAnsi="Times New Roman"/>
          <w:bCs/>
          <w:sz w:val="24"/>
          <w:szCs w:val="24"/>
          <w:lang w:eastAsia="es-ES"/>
        </w:rPr>
        <w:t>“me endeudo porque este título será una buena inversión”</w:t>
      </w:r>
      <w:r w:rsidRPr="00C24AB4">
        <w:rPr>
          <w:rFonts w:ascii="Times New Roman" w:eastAsia="Times New Roman" w:hAnsi="Times New Roman"/>
          <w:sz w:val="24"/>
          <w:szCs w:val="24"/>
          <w:lang w:eastAsia="es-ES"/>
        </w:rPr>
        <w:t>. En ambos casos, el frenazo de la economía estadounidense trae consigo el progresivo pinchazo de la “burbuja”, reventa</w:t>
      </w:r>
      <w:r w:rsidR="00C176A3">
        <w:rPr>
          <w:rFonts w:ascii="Times New Roman" w:eastAsia="Times New Roman" w:hAnsi="Times New Roman"/>
          <w:sz w:val="24"/>
          <w:szCs w:val="24"/>
          <w:lang w:eastAsia="es-ES"/>
        </w:rPr>
        <w:t>ndo la ilusión de rentabilidad.</w:t>
      </w:r>
    </w:p>
    <w:p w:rsidR="00C176A3"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09095735" wp14:editId="46634C8B">
            <wp:extent cx="5376672" cy="2691994"/>
            <wp:effectExtent l="0" t="0" r="0" b="0"/>
            <wp:docPr id="204" name="Imagen 204" descr="bur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bured2"/>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376550" cy="2691933"/>
                    </a:xfrm>
                    <a:prstGeom prst="rect">
                      <a:avLst/>
                    </a:prstGeom>
                    <a:noFill/>
                    <a:ln>
                      <a:noFill/>
                    </a:ln>
                  </pic:spPr>
                </pic:pic>
              </a:graphicData>
            </a:graphic>
          </wp:inline>
        </w:drawing>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lastRenderedPageBreak/>
        <w:t xml:space="preserve">El porcentaje de licenciados que paga su carrera con deuda asciende a dos tercios del total. </w:t>
      </w:r>
      <w:hyperlink r:id="rId166" w:history="1">
        <w:r w:rsidRPr="00C24AB4">
          <w:rPr>
            <w:rFonts w:ascii="Times New Roman" w:eastAsia="Times New Roman" w:hAnsi="Times New Roman"/>
            <w:sz w:val="24"/>
            <w:szCs w:val="24"/>
            <w:lang w:eastAsia="es-ES"/>
          </w:rPr>
          <w:t>El montante total de estas obligaciones es de tres billones de dólares</w:t>
        </w:r>
      </w:hyperlink>
      <w:r w:rsidRPr="00C24AB4">
        <w:rPr>
          <w:rFonts w:ascii="Times New Roman" w:eastAsia="Times New Roman" w:hAnsi="Times New Roman"/>
          <w:sz w:val="24"/>
          <w:szCs w:val="24"/>
          <w:lang w:eastAsia="es-ES"/>
        </w:rPr>
        <w:t>, una cifra que iguala la deuda total de todas las tarjetas de crédito registradas en los Estados Unidos.</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Esta burbuja de la educación superior ha </w:t>
      </w:r>
      <w:r w:rsidRPr="00C24AB4">
        <w:rPr>
          <w:rFonts w:ascii="Times New Roman" w:eastAsia="Times New Roman" w:hAnsi="Times New Roman"/>
          <w:bCs/>
          <w:sz w:val="24"/>
          <w:szCs w:val="24"/>
          <w:lang w:eastAsia="es-ES"/>
        </w:rPr>
        <w:t xml:space="preserve">devaluado el valor de los títulos </w:t>
      </w:r>
      <w:r w:rsidRPr="00C24AB4">
        <w:rPr>
          <w:rFonts w:ascii="Times New Roman" w:eastAsia="Times New Roman" w:hAnsi="Times New Roman"/>
          <w:sz w:val="24"/>
          <w:szCs w:val="24"/>
          <w:lang w:eastAsia="es-ES"/>
        </w:rPr>
        <w:t>universitarios, ya que ha aumentado su oferta de forma significativa. Por cada 12 licenciados en el año 2000 hubo 16 en 2009, pero ocho de cada diez graduados en dicha promoción no encontró trabajo tras la universidad. Incluso aquellos que no sufren la lacra del paro juvenil se han encontrado con un mercado laboral tan deprimido que la mitad de estos nuevos licenciados gana menos de $</w:t>
      </w:r>
      <w:r w:rsidR="00C24AB4">
        <w:rPr>
          <w:rFonts w:ascii="Times New Roman" w:eastAsia="Times New Roman" w:hAnsi="Times New Roman"/>
          <w:sz w:val="24"/>
          <w:szCs w:val="24"/>
          <w:lang w:eastAsia="es-ES"/>
        </w:rPr>
        <w:t xml:space="preserve"> </w:t>
      </w:r>
      <w:r w:rsidRPr="00C24AB4">
        <w:rPr>
          <w:rFonts w:ascii="Times New Roman" w:eastAsia="Times New Roman" w:hAnsi="Times New Roman"/>
          <w:sz w:val="24"/>
          <w:szCs w:val="24"/>
          <w:lang w:eastAsia="es-ES"/>
        </w:rPr>
        <w:t xml:space="preserve">15.000 dólares anuales. </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Los </w:t>
      </w:r>
      <w:r w:rsidRPr="00C24AB4">
        <w:rPr>
          <w:rFonts w:ascii="Times New Roman" w:eastAsia="Times New Roman" w:hAnsi="Times New Roman"/>
          <w:bCs/>
          <w:sz w:val="24"/>
          <w:szCs w:val="24"/>
          <w:lang w:eastAsia="es-ES"/>
        </w:rPr>
        <w:t>cálculos de Barclays</w:t>
      </w:r>
      <w:r w:rsidRPr="00C24AB4">
        <w:rPr>
          <w:rFonts w:ascii="Times New Roman" w:eastAsia="Times New Roman" w:hAnsi="Times New Roman"/>
          <w:sz w:val="24"/>
          <w:szCs w:val="24"/>
          <w:lang w:eastAsia="es-ES"/>
        </w:rPr>
        <w:t xml:space="preserve"> retrasan el </w:t>
      </w:r>
      <w:r w:rsidR="00C24AB4">
        <w:rPr>
          <w:rFonts w:ascii="Times New Roman" w:eastAsia="Times New Roman" w:hAnsi="Times New Roman"/>
          <w:sz w:val="24"/>
          <w:szCs w:val="24"/>
          <w:lang w:eastAsia="es-ES"/>
        </w:rPr>
        <w:t>hundimiento definitivo de esta “burbuja”</w:t>
      </w:r>
      <w:r w:rsidRPr="00C24AB4">
        <w:rPr>
          <w:rFonts w:ascii="Times New Roman" w:eastAsia="Times New Roman" w:hAnsi="Times New Roman"/>
          <w:sz w:val="24"/>
          <w:szCs w:val="24"/>
          <w:lang w:eastAsia="es-ES"/>
        </w:rPr>
        <w:t xml:space="preserve"> hasta </w:t>
      </w:r>
      <w:r w:rsidRPr="00C24AB4">
        <w:rPr>
          <w:rFonts w:ascii="Times New Roman" w:eastAsia="Times New Roman" w:hAnsi="Times New Roman"/>
          <w:bCs/>
          <w:sz w:val="24"/>
          <w:szCs w:val="24"/>
          <w:lang w:eastAsia="es-ES"/>
        </w:rPr>
        <w:t>2020</w:t>
      </w:r>
      <w:r w:rsidRPr="00C24AB4">
        <w:rPr>
          <w:rFonts w:ascii="Times New Roman" w:eastAsia="Times New Roman" w:hAnsi="Times New Roman"/>
          <w:sz w:val="24"/>
          <w:szCs w:val="24"/>
          <w:lang w:eastAsia="es-ES"/>
        </w:rPr>
        <w:t xml:space="preserve">, por lo que la espiral descrita en párrafos anteriores se traducirá en dramáticas consecuencias sociales y económicas a lo largo de los próximos diez años. Citando el informe de la entidad financiera, la cadena de noticias </w:t>
      </w:r>
      <w:r w:rsidRPr="006A2645">
        <w:rPr>
          <w:rFonts w:ascii="Times New Roman" w:eastAsia="Times New Roman" w:hAnsi="Times New Roman"/>
          <w:i/>
          <w:sz w:val="24"/>
          <w:szCs w:val="24"/>
          <w:lang w:eastAsia="es-ES"/>
        </w:rPr>
        <w:t>CNBC</w:t>
      </w:r>
      <w:r w:rsidRPr="00C24AB4">
        <w:rPr>
          <w:rFonts w:ascii="Times New Roman" w:eastAsia="Times New Roman" w:hAnsi="Times New Roman"/>
          <w:sz w:val="24"/>
          <w:szCs w:val="24"/>
          <w:lang w:eastAsia="es-ES"/>
        </w:rPr>
        <w:t xml:space="preserve"> no ha dudado en anticipar que esta situación.</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Evidentemente, la intervención del Estado ha sido el principal factor que ha alimentado esta gigantesca burbuja de la educación superior. La</w:t>
      </w:r>
      <w:r w:rsidRPr="00C24AB4">
        <w:rPr>
          <w:rFonts w:ascii="Times New Roman" w:eastAsia="Times New Roman" w:hAnsi="Times New Roman"/>
          <w:bCs/>
          <w:sz w:val="24"/>
          <w:szCs w:val="24"/>
          <w:lang w:eastAsia="es-ES"/>
        </w:rPr>
        <w:t xml:space="preserve"> barra libre de crédito</w:t>
      </w:r>
      <w:r w:rsidRPr="00C24AB4">
        <w:rPr>
          <w:rFonts w:ascii="Times New Roman" w:eastAsia="Times New Roman" w:hAnsi="Times New Roman"/>
          <w:sz w:val="24"/>
          <w:szCs w:val="24"/>
          <w:lang w:eastAsia="es-ES"/>
        </w:rPr>
        <w:t xml:space="preserve"> implementada por la Reserva Federal desde comienzos del siglo XXI aceleró enormemente el crecimiento de la burbuja que ahora empieza a pincharse.</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Coincidiendo con el expansionismo monetario de la FED, </w:t>
      </w:r>
      <w:hyperlink r:id="rId167" w:history="1">
        <w:r w:rsidRPr="00C24AB4">
          <w:rPr>
            <w:rFonts w:ascii="Times New Roman" w:eastAsia="Times New Roman" w:hAnsi="Times New Roman"/>
            <w:sz w:val="24"/>
            <w:szCs w:val="24"/>
            <w:lang w:eastAsia="es-ES"/>
          </w:rPr>
          <w:t>la deuda universitaria se ha disparado más de un 500%</w:t>
        </w:r>
      </w:hyperlink>
      <w:r w:rsidRPr="00C24AB4">
        <w:rPr>
          <w:rFonts w:ascii="Times New Roman" w:eastAsia="Times New Roman" w:hAnsi="Times New Roman"/>
          <w:sz w:val="24"/>
          <w:szCs w:val="24"/>
          <w:lang w:eastAsia="es-ES"/>
        </w:rPr>
        <w:t xml:space="preserve">. No obstante, el problema viene de lejos: en realidad, el espectacular aumento de los costes de la educación superior no puede explicarse sin detallar los </w:t>
      </w:r>
      <w:r w:rsidRPr="00C24AB4">
        <w:rPr>
          <w:rFonts w:ascii="Times New Roman" w:eastAsia="Times New Roman" w:hAnsi="Times New Roman"/>
          <w:bCs/>
          <w:sz w:val="24"/>
          <w:szCs w:val="24"/>
          <w:lang w:eastAsia="es-ES"/>
        </w:rPr>
        <w:t>avales y garantías</w:t>
      </w:r>
      <w:r w:rsidRPr="00C24AB4">
        <w:rPr>
          <w:rFonts w:ascii="Times New Roman" w:eastAsia="Times New Roman" w:hAnsi="Times New Roman"/>
          <w:sz w:val="24"/>
          <w:szCs w:val="24"/>
          <w:lang w:eastAsia="es-ES"/>
        </w:rPr>
        <w:t xml:space="preserve"> que las </w:t>
      </w:r>
      <w:r w:rsidRPr="00C24AB4">
        <w:rPr>
          <w:rFonts w:ascii="Times New Roman" w:eastAsia="Times New Roman" w:hAnsi="Times New Roman"/>
          <w:bCs/>
          <w:sz w:val="24"/>
          <w:szCs w:val="24"/>
          <w:lang w:eastAsia="es-ES"/>
        </w:rPr>
        <w:t>Administraciones Públicas</w:t>
      </w:r>
      <w:r w:rsidRPr="00C24AB4">
        <w:rPr>
          <w:rFonts w:ascii="Times New Roman" w:eastAsia="Times New Roman" w:hAnsi="Times New Roman"/>
          <w:sz w:val="24"/>
          <w:szCs w:val="24"/>
          <w:lang w:eastAsia="es-ES"/>
        </w:rPr>
        <w:t xml:space="preserve"> estadounidenses han concedido a los estudiantes.</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Las intenciones de esta política eran probablemente nobles, pero el resultado ha sido desastroso. En teoría, la idea era</w:t>
      </w:r>
      <w:r w:rsidRPr="00C24AB4">
        <w:rPr>
          <w:rFonts w:ascii="Times New Roman" w:eastAsia="Times New Roman" w:hAnsi="Times New Roman"/>
          <w:bCs/>
          <w:sz w:val="24"/>
          <w:szCs w:val="24"/>
          <w:lang w:eastAsia="es-ES"/>
        </w:rPr>
        <w:t xml:space="preserve"> facilitar el acceso a financiación</w:t>
      </w:r>
      <w:r w:rsidRPr="00C24AB4">
        <w:rPr>
          <w:rFonts w:ascii="Times New Roman" w:eastAsia="Times New Roman" w:hAnsi="Times New Roman"/>
          <w:sz w:val="24"/>
          <w:szCs w:val="24"/>
          <w:lang w:eastAsia="es-ES"/>
        </w:rPr>
        <w:t xml:space="preserve"> de los estudiantes; en la práctica, lo que ha supuesto esta política es una </w:t>
      </w:r>
      <w:r w:rsidRPr="00C24AB4">
        <w:rPr>
          <w:rFonts w:ascii="Times New Roman" w:eastAsia="Times New Roman" w:hAnsi="Times New Roman"/>
          <w:bCs/>
          <w:sz w:val="24"/>
          <w:szCs w:val="24"/>
          <w:lang w:eastAsia="es-ES"/>
        </w:rPr>
        <w:t>espectacular inflación de los costes educativos</w:t>
      </w:r>
      <w:r w:rsidRPr="00C24AB4">
        <w:rPr>
          <w:rFonts w:ascii="Times New Roman" w:eastAsia="Times New Roman" w:hAnsi="Times New Roman"/>
          <w:sz w:val="24"/>
          <w:szCs w:val="24"/>
          <w:lang w:eastAsia="es-ES"/>
        </w:rPr>
        <w:t xml:space="preserve">. Como las universidades cuentan con que el Estado respaldará estos préstamos, no dudan en aumentar el precio de sus matrículas año tras año. </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Entre el 2000 y el 2012, los préstamos universitarios otorgados directamente por el gobierno se multiplicaron de forma espectacular: pasaron de menos de 100.000 millones de dólares a más de 450.000 en apenas doce años. Desde la llegada del Presidente Obama a la Casa Blanca, el gobierno federal ha profundizado este proceso, </w:t>
      </w:r>
      <w:hyperlink r:id="rId168" w:history="1">
        <w:r w:rsidRPr="00C24AB4">
          <w:rPr>
            <w:rFonts w:ascii="Times New Roman" w:eastAsia="Times New Roman" w:hAnsi="Times New Roman"/>
            <w:sz w:val="24"/>
            <w:szCs w:val="24"/>
            <w:lang w:eastAsia="es-ES"/>
          </w:rPr>
          <w:t>multiplicando en más de un 300% el volumen total de créditos educativos concedidos por el Estado</w:t>
        </w:r>
      </w:hyperlink>
      <w:r w:rsidRPr="00C24AB4">
        <w:rPr>
          <w:rFonts w:ascii="Times New Roman" w:eastAsia="Times New Roman" w:hAnsi="Times New Roman"/>
          <w:sz w:val="24"/>
          <w:szCs w:val="24"/>
          <w:lang w:eastAsia="es-ES"/>
        </w:rPr>
        <w:t>.</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La </w:t>
      </w:r>
      <w:r w:rsidRPr="00C24AB4">
        <w:rPr>
          <w:rFonts w:ascii="Times New Roman" w:eastAsia="Times New Roman" w:hAnsi="Times New Roman"/>
          <w:bCs/>
          <w:sz w:val="24"/>
          <w:szCs w:val="24"/>
          <w:lang w:eastAsia="es-ES"/>
        </w:rPr>
        <w:t xml:space="preserve">masificación de la universidad </w:t>
      </w:r>
      <w:r w:rsidRPr="00C24AB4">
        <w:rPr>
          <w:rFonts w:ascii="Times New Roman" w:eastAsia="Times New Roman" w:hAnsi="Times New Roman"/>
          <w:sz w:val="24"/>
          <w:szCs w:val="24"/>
          <w:lang w:eastAsia="es-ES"/>
        </w:rPr>
        <w:t xml:space="preserve">no tiene justificación laboral, ya </w:t>
      </w:r>
      <w:hyperlink r:id="rId169" w:history="1">
        <w:r w:rsidRPr="00C24AB4">
          <w:rPr>
            <w:rFonts w:ascii="Times New Roman" w:eastAsia="Times New Roman" w:hAnsi="Times New Roman"/>
            <w:sz w:val="24"/>
            <w:szCs w:val="24"/>
            <w:lang w:eastAsia="es-ES"/>
          </w:rPr>
          <w:t>que 17 millon</w:t>
        </w:r>
        <w:r w:rsidR="00C24AB4" w:rsidRPr="00C24AB4">
          <w:rPr>
            <w:rFonts w:ascii="Times New Roman" w:eastAsia="Times New Roman" w:hAnsi="Times New Roman"/>
            <w:sz w:val="24"/>
            <w:szCs w:val="24"/>
            <w:lang w:eastAsia="es-ES"/>
          </w:rPr>
          <w:t>es de estadounidenses están “</w:t>
        </w:r>
        <w:r w:rsidRPr="00C24AB4">
          <w:rPr>
            <w:rFonts w:ascii="Times New Roman" w:eastAsia="Times New Roman" w:hAnsi="Times New Roman"/>
            <w:sz w:val="24"/>
            <w:szCs w:val="24"/>
            <w:lang w:eastAsia="es-ES"/>
          </w:rPr>
          <w:t>sobrecualificados</w:t>
        </w:r>
        <w:r w:rsidR="00C24AB4" w:rsidRPr="00C24AB4">
          <w:rPr>
            <w:rFonts w:ascii="Times New Roman" w:eastAsia="Times New Roman" w:hAnsi="Times New Roman"/>
            <w:sz w:val="24"/>
            <w:szCs w:val="24"/>
            <w:lang w:eastAsia="es-ES"/>
          </w:rPr>
          <w:t xml:space="preserve">” y desempeñan trabajos que exigen una preparación académica inferior a la que han obtenido.  </w:t>
        </w:r>
      </w:hyperlink>
      <w:r w:rsidRPr="00C24AB4">
        <w:rPr>
          <w:rFonts w:ascii="Times New Roman" w:eastAsia="Times New Roman" w:hAnsi="Times New Roman"/>
          <w:sz w:val="24"/>
          <w:szCs w:val="24"/>
          <w:lang w:eastAsia="es-ES"/>
        </w:rPr>
        <w:t xml:space="preserve">Se calcula que a lo largo de la próxima década, los programas de refinanciación del Gobierno acabarán suponiendo </w:t>
      </w:r>
      <w:hyperlink r:id="rId170" w:history="1">
        <w:r w:rsidRPr="00C24AB4">
          <w:rPr>
            <w:rFonts w:ascii="Times New Roman" w:eastAsia="Times New Roman" w:hAnsi="Times New Roman"/>
            <w:sz w:val="24"/>
            <w:szCs w:val="24"/>
            <w:lang w:eastAsia="es-ES"/>
          </w:rPr>
          <w:t>un agujero de 190.000 millones de dólares</w:t>
        </w:r>
      </w:hyperlink>
      <w:r w:rsidRPr="00C24AB4">
        <w:rPr>
          <w:rFonts w:ascii="Times New Roman" w:eastAsia="Times New Roman" w:hAnsi="Times New Roman"/>
          <w:sz w:val="24"/>
          <w:szCs w:val="24"/>
          <w:lang w:eastAsia="es-ES"/>
        </w:rPr>
        <w:t>, que será asumido por los contribuyentes.</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La mentalidad progresista que defiende este tipo de políticas mantiene que la educación superior no debería ser analizada según criterios de mercado. </w:t>
      </w:r>
      <w:hyperlink r:id="rId171" w:history="1">
        <w:r w:rsidRPr="00C24AB4">
          <w:rPr>
            <w:rFonts w:ascii="Times New Roman" w:eastAsia="Times New Roman" w:hAnsi="Times New Roman"/>
            <w:sz w:val="24"/>
            <w:szCs w:val="24"/>
            <w:lang w:eastAsia="es-ES"/>
          </w:rPr>
          <w:t>Esto abre la puerta a la intervención estatal</w:t>
        </w:r>
      </w:hyperlink>
      <w:r w:rsidRPr="00C24AB4">
        <w:rPr>
          <w:rFonts w:ascii="Times New Roman" w:eastAsia="Times New Roman" w:hAnsi="Times New Roman"/>
          <w:sz w:val="24"/>
          <w:szCs w:val="24"/>
          <w:lang w:eastAsia="es-ES"/>
        </w:rPr>
        <w:t xml:space="preserve"> y explica el auge de licenciaturas y cursos de nula aplicación en la </w:t>
      </w:r>
      <w:r w:rsidRPr="00C24AB4">
        <w:rPr>
          <w:rFonts w:ascii="Times New Roman" w:eastAsia="Times New Roman" w:hAnsi="Times New Roman"/>
          <w:sz w:val="24"/>
          <w:szCs w:val="24"/>
          <w:lang w:eastAsia="es-ES"/>
        </w:rPr>
        <w:lastRenderedPageBreak/>
        <w:t>vida real, una fractura que numerosos empresarios llevan años denunciando y que uno puede rep</w:t>
      </w:r>
      <w:r w:rsidR="006E46BA">
        <w:rPr>
          <w:rFonts w:ascii="Times New Roman" w:eastAsia="Times New Roman" w:hAnsi="Times New Roman"/>
          <w:sz w:val="24"/>
          <w:szCs w:val="24"/>
          <w:lang w:eastAsia="es-ES"/>
        </w:rPr>
        <w:t>asando las numerosas listas de “cursos inútiles”</w:t>
      </w:r>
      <w:r w:rsidRPr="00C24AB4">
        <w:rPr>
          <w:rFonts w:ascii="Times New Roman" w:eastAsia="Times New Roman" w:hAnsi="Times New Roman"/>
          <w:sz w:val="24"/>
          <w:szCs w:val="24"/>
          <w:lang w:eastAsia="es-ES"/>
        </w:rPr>
        <w:t xml:space="preserve"> que circulan por la red.</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Existen diversos estudios que apuntan a una </w:t>
      </w:r>
      <w:hyperlink r:id="rId172" w:history="1">
        <w:r w:rsidRPr="00C24AB4">
          <w:rPr>
            <w:rFonts w:ascii="Times New Roman" w:eastAsia="Times New Roman" w:hAnsi="Times New Roman"/>
            <w:sz w:val="24"/>
            <w:szCs w:val="24"/>
            <w:lang w:eastAsia="es-ES"/>
          </w:rPr>
          <w:t>notable degradación de la moral estudiantil</w:t>
        </w:r>
      </w:hyperlink>
      <w:r w:rsidRPr="00C24AB4">
        <w:rPr>
          <w:rFonts w:ascii="Times New Roman" w:eastAsia="Times New Roman" w:hAnsi="Times New Roman"/>
          <w:sz w:val="24"/>
          <w:szCs w:val="24"/>
          <w:lang w:eastAsia="es-ES"/>
        </w:rPr>
        <w:t xml:space="preserve"> estadounidense. Según dichos informes, buena parte de los universitarios parece entender su paso por la educación superior como un periodo de socialización, en vez de como una etapa de aprendizaje.</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Entre las voces más críticas con el actual desempeño de la educación superior estadounidense encontramos a </w:t>
      </w:r>
      <w:r w:rsidRPr="00C24AB4">
        <w:rPr>
          <w:rFonts w:ascii="Times New Roman" w:eastAsia="Times New Roman" w:hAnsi="Times New Roman"/>
          <w:bCs/>
          <w:sz w:val="24"/>
          <w:szCs w:val="24"/>
          <w:lang w:eastAsia="es-ES"/>
        </w:rPr>
        <w:t xml:space="preserve">Peter Thiel </w:t>
      </w:r>
      <w:r w:rsidRPr="00C24AB4">
        <w:rPr>
          <w:rFonts w:ascii="Times New Roman" w:eastAsia="Times New Roman" w:hAnsi="Times New Roman"/>
          <w:sz w:val="24"/>
          <w:szCs w:val="24"/>
          <w:lang w:eastAsia="es-ES"/>
        </w:rPr>
        <w:t xml:space="preserve">(co-fundador de PayPal) o </w:t>
      </w:r>
      <w:r w:rsidRPr="00C24AB4">
        <w:rPr>
          <w:rFonts w:ascii="Times New Roman" w:eastAsia="Times New Roman" w:hAnsi="Times New Roman"/>
          <w:bCs/>
          <w:sz w:val="24"/>
          <w:szCs w:val="24"/>
          <w:lang w:eastAsia="es-ES"/>
        </w:rPr>
        <w:t>Peter Schiff</w:t>
      </w:r>
      <w:r w:rsidRPr="00C24AB4">
        <w:rPr>
          <w:rFonts w:ascii="Times New Roman" w:eastAsia="Times New Roman" w:hAnsi="Times New Roman"/>
          <w:sz w:val="24"/>
          <w:szCs w:val="24"/>
          <w:lang w:eastAsia="es-ES"/>
        </w:rPr>
        <w:t xml:space="preserve"> (CEO de Euro Pacific Capital). Thiel lleva años </w:t>
      </w:r>
      <w:hyperlink r:id="rId173" w:history="1">
        <w:r w:rsidRPr="00C24AB4">
          <w:rPr>
            <w:rFonts w:ascii="Times New Roman" w:eastAsia="Times New Roman" w:hAnsi="Times New Roman"/>
            <w:sz w:val="24"/>
            <w:szCs w:val="24"/>
            <w:lang w:eastAsia="es-ES"/>
          </w:rPr>
          <w:t>anticipando el pinchazo de la burbuja educativa</w:t>
        </w:r>
      </w:hyperlink>
      <w:r w:rsidRPr="00C24AB4">
        <w:rPr>
          <w:rFonts w:ascii="Times New Roman" w:eastAsia="Times New Roman" w:hAnsi="Times New Roman"/>
          <w:sz w:val="24"/>
          <w:szCs w:val="24"/>
          <w:lang w:eastAsia="es-ES"/>
        </w:rPr>
        <w:t xml:space="preserve"> y lanzó recientemente una iniciativa </w:t>
      </w:r>
      <w:hyperlink r:id="rId174" w:history="1">
        <w:r w:rsidRPr="00C24AB4">
          <w:rPr>
            <w:rFonts w:ascii="Times New Roman" w:eastAsia="Times New Roman" w:hAnsi="Times New Roman"/>
            <w:sz w:val="24"/>
            <w:szCs w:val="24"/>
            <w:lang w:eastAsia="es-ES"/>
          </w:rPr>
          <w:t>que apoya y financia a aquellos jóvenes que no quieren cursar estudios universitarios y prefieren lanzar su propio negocio</w:t>
        </w:r>
      </w:hyperlink>
      <w:r w:rsidRPr="00C24AB4">
        <w:rPr>
          <w:rFonts w:ascii="Times New Roman" w:eastAsia="Times New Roman" w:hAnsi="Times New Roman"/>
          <w:sz w:val="24"/>
          <w:szCs w:val="24"/>
          <w:lang w:eastAsia="es-ES"/>
        </w:rPr>
        <w:t xml:space="preserve">. Por su parte, Schiff </w:t>
      </w:r>
      <w:hyperlink r:id="rId175" w:history="1">
        <w:r w:rsidRPr="00C24AB4">
          <w:rPr>
            <w:rFonts w:ascii="Times New Roman" w:eastAsia="Times New Roman" w:hAnsi="Times New Roman"/>
            <w:sz w:val="24"/>
            <w:szCs w:val="24"/>
            <w:lang w:eastAsia="es-ES"/>
          </w:rPr>
          <w:t>lleva años analizando este asunto</w:t>
        </w:r>
      </w:hyperlink>
      <w:r w:rsidRPr="00C24AB4">
        <w:rPr>
          <w:rFonts w:ascii="Times New Roman" w:eastAsia="Times New Roman" w:hAnsi="Times New Roman"/>
          <w:sz w:val="24"/>
          <w:szCs w:val="24"/>
          <w:lang w:eastAsia="es-ES"/>
        </w:rPr>
        <w:t xml:space="preserve"> y </w:t>
      </w:r>
      <w:hyperlink r:id="rId176" w:history="1">
        <w:r w:rsidRPr="00C24AB4">
          <w:rPr>
            <w:rFonts w:ascii="Times New Roman" w:eastAsia="Times New Roman" w:hAnsi="Times New Roman"/>
            <w:sz w:val="24"/>
            <w:szCs w:val="24"/>
            <w:lang w:eastAsia="es-ES"/>
          </w:rPr>
          <w:t>denunciando el despilfarro</w:t>
        </w:r>
      </w:hyperlink>
      <w:r w:rsidRPr="00C24AB4">
        <w:rPr>
          <w:rFonts w:ascii="Times New Roman" w:eastAsia="Times New Roman" w:hAnsi="Times New Roman"/>
          <w:sz w:val="24"/>
          <w:szCs w:val="24"/>
          <w:lang w:eastAsia="es-ES"/>
        </w:rPr>
        <w:t xml:space="preserve"> que supone invertir miles de dólares en licenciaturas que no se ajustan a la realidad económica y social del siglo XXI.</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Aunque estas iniciativas deberían motivar un cambio de mentalidad, numerosos jóvenes siguen sumándose a la burbuja educativa sin siquiera esforzarse por reducir las obligaciones que esto les genera. Muchos ni siquiera compaginan sus estudios superiores con un trabajo a tiempo parcial, </w:t>
      </w:r>
      <w:r w:rsidRPr="00C24AB4">
        <w:rPr>
          <w:rFonts w:ascii="Times New Roman" w:eastAsia="Times New Roman" w:hAnsi="Times New Roman"/>
          <w:bCs/>
          <w:sz w:val="24"/>
          <w:szCs w:val="24"/>
          <w:lang w:eastAsia="es-ES"/>
        </w:rPr>
        <w:t>posponiendo sus deudas</w:t>
      </w:r>
      <w:r w:rsidRPr="00C24AB4">
        <w:rPr>
          <w:rFonts w:ascii="Times New Roman" w:eastAsia="Times New Roman" w:hAnsi="Times New Roman"/>
          <w:sz w:val="24"/>
          <w:szCs w:val="24"/>
          <w:lang w:eastAsia="es-ES"/>
        </w:rPr>
        <w:t xml:space="preserve"> eternamente y renunciando a amortizar rápidamente la deuda y los gastos asumidos.</w:t>
      </w:r>
    </w:p>
    <w:p w:rsidR="007E6609" w:rsidRPr="00C24AB4"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C24AB4">
        <w:rPr>
          <w:rFonts w:ascii="Times New Roman" w:eastAsia="Times New Roman" w:hAnsi="Times New Roman"/>
          <w:sz w:val="24"/>
          <w:szCs w:val="24"/>
          <w:lang w:eastAsia="es-ES"/>
        </w:rPr>
        <w:t xml:space="preserve">Esta actitud no parece preocupar a muchos estudiantes, que simpatizan con la propuesta de </w:t>
      </w:r>
      <w:r w:rsidR="00C24AB4">
        <w:rPr>
          <w:rFonts w:ascii="Times New Roman" w:eastAsia="Times New Roman" w:hAnsi="Times New Roman"/>
          <w:sz w:val="24"/>
          <w:szCs w:val="24"/>
          <w:lang w:eastAsia="es-ES"/>
        </w:rPr>
        <w:t>“</w:t>
      </w:r>
      <w:r w:rsidRPr="00C24AB4">
        <w:rPr>
          <w:rFonts w:ascii="Times New Roman" w:eastAsia="Times New Roman" w:hAnsi="Times New Roman"/>
          <w:iCs/>
          <w:sz w:val="24"/>
          <w:szCs w:val="24"/>
          <w:lang w:eastAsia="es-ES"/>
        </w:rPr>
        <w:t>Ocupa Wall Street</w:t>
      </w:r>
      <w:r w:rsidR="00C24AB4">
        <w:rPr>
          <w:rFonts w:ascii="Times New Roman" w:eastAsia="Times New Roman" w:hAnsi="Times New Roman"/>
          <w:iCs/>
          <w:sz w:val="24"/>
          <w:szCs w:val="24"/>
          <w:lang w:eastAsia="es-ES"/>
        </w:rPr>
        <w:t>”</w:t>
      </w:r>
      <w:r w:rsidRPr="00C24AB4">
        <w:rPr>
          <w:rFonts w:ascii="Times New Roman" w:eastAsia="Times New Roman" w:hAnsi="Times New Roman"/>
          <w:sz w:val="24"/>
          <w:szCs w:val="24"/>
          <w:lang w:eastAsia="es-ES"/>
        </w:rPr>
        <w:t xml:space="preserve"> de</w:t>
      </w:r>
      <w:r w:rsidR="00C24AB4" w:rsidRPr="00C24AB4">
        <w:rPr>
          <w:rFonts w:ascii="Times New Roman" w:eastAsia="Times New Roman" w:hAnsi="Times New Roman"/>
          <w:bCs/>
          <w:sz w:val="24"/>
          <w:szCs w:val="24"/>
          <w:lang w:eastAsia="es-ES"/>
        </w:rPr>
        <w:t xml:space="preserve"> “rescatar”</w:t>
      </w:r>
      <w:r w:rsidRPr="00C24AB4">
        <w:rPr>
          <w:rFonts w:ascii="Times New Roman" w:eastAsia="Times New Roman" w:hAnsi="Times New Roman"/>
          <w:bCs/>
          <w:sz w:val="24"/>
          <w:szCs w:val="24"/>
          <w:lang w:eastAsia="es-ES"/>
        </w:rPr>
        <w:t xml:space="preserve"> a todos los universitarios </w:t>
      </w:r>
      <w:r w:rsidRPr="00C24AB4">
        <w:rPr>
          <w:rFonts w:ascii="Times New Roman" w:eastAsia="Times New Roman" w:hAnsi="Times New Roman"/>
          <w:sz w:val="24"/>
          <w:szCs w:val="24"/>
          <w:lang w:eastAsia="es-ES"/>
        </w:rPr>
        <w:t xml:space="preserve">que han asumido un préstamo que ahora les cuesta devolver. Curiosamente, los </w:t>
      </w:r>
      <w:r w:rsidR="00C24AB4">
        <w:rPr>
          <w:rFonts w:ascii="Times New Roman" w:eastAsia="Times New Roman" w:hAnsi="Times New Roman"/>
          <w:sz w:val="24"/>
          <w:szCs w:val="24"/>
          <w:lang w:eastAsia="es-ES"/>
        </w:rPr>
        <w:t>“</w:t>
      </w:r>
      <w:r w:rsidRPr="00C24AB4">
        <w:rPr>
          <w:rFonts w:ascii="Times New Roman" w:eastAsia="Times New Roman" w:hAnsi="Times New Roman"/>
          <w:iCs/>
          <w:sz w:val="24"/>
          <w:szCs w:val="24"/>
          <w:lang w:eastAsia="es-ES"/>
        </w:rPr>
        <w:t>indignados</w:t>
      </w:r>
      <w:r w:rsidR="00C24AB4">
        <w:rPr>
          <w:rFonts w:ascii="Times New Roman" w:eastAsia="Times New Roman" w:hAnsi="Times New Roman"/>
          <w:iCs/>
          <w:sz w:val="24"/>
          <w:szCs w:val="24"/>
          <w:lang w:eastAsia="es-ES"/>
        </w:rPr>
        <w:t>”</w:t>
      </w:r>
      <w:r w:rsidRPr="00C24AB4">
        <w:rPr>
          <w:rFonts w:ascii="Times New Roman" w:eastAsia="Times New Roman" w:hAnsi="Times New Roman"/>
          <w:i/>
          <w:iCs/>
          <w:sz w:val="24"/>
          <w:szCs w:val="24"/>
          <w:lang w:eastAsia="es-ES"/>
        </w:rPr>
        <w:t xml:space="preserve"> </w:t>
      </w:r>
      <w:r w:rsidRPr="00C24AB4">
        <w:rPr>
          <w:rFonts w:ascii="Times New Roman" w:eastAsia="Times New Roman" w:hAnsi="Times New Roman"/>
          <w:sz w:val="24"/>
          <w:szCs w:val="24"/>
          <w:lang w:eastAsia="es-ES"/>
        </w:rPr>
        <w:t>e</w:t>
      </w:r>
      <w:r w:rsidR="00C24AB4" w:rsidRPr="00C24AB4">
        <w:rPr>
          <w:rFonts w:ascii="Times New Roman" w:eastAsia="Times New Roman" w:hAnsi="Times New Roman"/>
          <w:sz w:val="24"/>
          <w:szCs w:val="24"/>
          <w:lang w:eastAsia="es-ES"/>
        </w:rPr>
        <w:t>stadounidenses se oponen a los “rescates”</w:t>
      </w:r>
      <w:r w:rsidRPr="00C24AB4">
        <w:rPr>
          <w:rFonts w:ascii="Times New Roman" w:eastAsia="Times New Roman" w:hAnsi="Times New Roman"/>
          <w:sz w:val="24"/>
          <w:szCs w:val="24"/>
          <w:lang w:eastAsia="es-ES"/>
        </w:rPr>
        <w:t xml:space="preserve"> a las empresas. Sobre este punto, cabe señalar que, según cálculos de Barclays, el total de </w:t>
      </w:r>
      <w:r w:rsidRPr="00C24AB4">
        <w:rPr>
          <w:rFonts w:ascii="Times New Roman" w:eastAsia="Times New Roman" w:hAnsi="Times New Roman"/>
          <w:bCs/>
          <w:sz w:val="24"/>
          <w:szCs w:val="24"/>
          <w:lang w:eastAsia="es-ES"/>
        </w:rPr>
        <w:t xml:space="preserve">préstamos otorgados por el Gobierno </w:t>
      </w:r>
      <w:r w:rsidRPr="00C24AB4">
        <w:rPr>
          <w:rFonts w:ascii="Times New Roman" w:eastAsia="Times New Roman" w:hAnsi="Times New Roman"/>
          <w:sz w:val="24"/>
          <w:szCs w:val="24"/>
          <w:lang w:eastAsia="es-ES"/>
        </w:rPr>
        <w:t xml:space="preserve">federal estadounidense en la última década asciende a </w:t>
      </w:r>
      <w:r w:rsidRPr="00C24AB4">
        <w:rPr>
          <w:rFonts w:ascii="Times New Roman" w:eastAsia="Times New Roman" w:hAnsi="Times New Roman"/>
          <w:bCs/>
          <w:sz w:val="24"/>
          <w:szCs w:val="24"/>
          <w:lang w:eastAsia="es-ES"/>
        </w:rPr>
        <w:t xml:space="preserve">538.000 millones </w:t>
      </w:r>
      <w:r w:rsidRPr="00C24AB4">
        <w:rPr>
          <w:rFonts w:ascii="Times New Roman" w:eastAsia="Times New Roman" w:hAnsi="Times New Roman"/>
          <w:sz w:val="24"/>
          <w:szCs w:val="24"/>
          <w:lang w:eastAsia="es-ES"/>
        </w:rPr>
        <w:t>de dólares, cifra superior al rescate financiero TARP, que ha sido valorado en 431.000 millones de dólares.</w:t>
      </w:r>
    </w:p>
    <w:p w:rsidR="007E6609" w:rsidRPr="007D3235"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6A7C447D" wp14:editId="3C5C6101">
            <wp:extent cx="5186306" cy="2618841"/>
            <wp:effectExtent l="0" t="0" r="0" b="0"/>
            <wp:docPr id="203" name="Imagen 203" descr="bur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bured1"/>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5186680" cy="2619030"/>
                    </a:xfrm>
                    <a:prstGeom prst="rect">
                      <a:avLst/>
                    </a:prstGeom>
                    <a:noFill/>
                    <a:ln>
                      <a:noFill/>
                    </a:ln>
                  </pic:spPr>
                </pic:pic>
              </a:graphicData>
            </a:graphic>
          </wp:inline>
        </w:drawing>
      </w:r>
    </w:p>
    <w:p w:rsidR="007E6609" w:rsidRPr="007D3235"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7D3235">
        <w:rPr>
          <w:rFonts w:ascii="Times New Roman" w:eastAsia="Times New Roman" w:hAnsi="Times New Roman"/>
          <w:sz w:val="24"/>
          <w:szCs w:val="24"/>
          <w:lang w:eastAsia="es-ES"/>
        </w:rPr>
        <w:t xml:space="preserve">Por último, es innegable los propios centros que hoy se benefician de esta burbuja deben empezar a </w:t>
      </w:r>
      <w:r w:rsidRPr="004165C0">
        <w:rPr>
          <w:rFonts w:ascii="Times New Roman" w:eastAsia="Times New Roman" w:hAnsi="Times New Roman"/>
          <w:bCs/>
          <w:sz w:val="24"/>
          <w:szCs w:val="24"/>
          <w:lang w:eastAsia="es-ES"/>
        </w:rPr>
        <w:t>cambiar su modelo formativo</w:t>
      </w:r>
      <w:r w:rsidRPr="007D3235">
        <w:rPr>
          <w:rFonts w:ascii="Times New Roman" w:eastAsia="Times New Roman" w:hAnsi="Times New Roman"/>
          <w:b/>
          <w:bCs/>
          <w:sz w:val="24"/>
          <w:szCs w:val="24"/>
          <w:lang w:eastAsia="es-ES"/>
        </w:rPr>
        <w:t>.</w:t>
      </w:r>
      <w:r w:rsidRPr="007D3235">
        <w:rPr>
          <w:rFonts w:ascii="Times New Roman" w:eastAsia="Times New Roman" w:hAnsi="Times New Roman"/>
          <w:sz w:val="24"/>
          <w:szCs w:val="24"/>
          <w:lang w:eastAsia="es-ES"/>
        </w:rPr>
        <w:t xml:space="preserve"> Quizá en vez de un centro al que se acude una </w:t>
      </w:r>
      <w:r w:rsidRPr="007D3235">
        <w:rPr>
          <w:rFonts w:ascii="Times New Roman" w:eastAsia="Times New Roman" w:hAnsi="Times New Roman"/>
          <w:sz w:val="24"/>
          <w:szCs w:val="24"/>
          <w:lang w:eastAsia="es-ES"/>
        </w:rPr>
        <w:lastRenderedPageBreak/>
        <w:t>única vez en la vida, de los 18 a los 22 años, la universidad podría convertirse en un centro de formación al que acudir en diferentes etapas de la vida, por periodos más breves y con un enfoque más práctico y especializado. También es importante que los estudiantes puedan elegir un currículo académico más personalizado, individualizando el proceso de aprendizaje de acuerdo con las necesidades de cada uno y fomentando la formación por internet.</w:t>
      </w:r>
    </w:p>
    <w:p w:rsidR="007E6609" w:rsidRDefault="007E6609" w:rsidP="00550638">
      <w:pPr>
        <w:spacing w:before="100" w:beforeAutospacing="1" w:after="100" w:afterAutospacing="1" w:line="240" w:lineRule="auto"/>
        <w:jc w:val="both"/>
        <w:rPr>
          <w:rFonts w:ascii="Times New Roman" w:eastAsia="Times New Roman" w:hAnsi="Times New Roman"/>
          <w:sz w:val="24"/>
          <w:szCs w:val="24"/>
          <w:lang w:eastAsia="es-ES"/>
        </w:rPr>
      </w:pPr>
      <w:r w:rsidRPr="007D3235">
        <w:rPr>
          <w:rFonts w:ascii="Times New Roman" w:eastAsia="Times New Roman" w:hAnsi="Times New Roman"/>
          <w:sz w:val="24"/>
          <w:szCs w:val="24"/>
          <w:lang w:eastAsia="es-ES"/>
        </w:rPr>
        <w:t>Por último, la modernización definitiva pasará inevitablemente por enmarcar todos estos procesos dentro de una gran reforma educativa que apueste por la exigencia académica, la competencia entre centros formativos, la innovación tecnológica y la participación del sector privado.</w:t>
      </w:r>
    </w:p>
    <w:p w:rsidR="004165C0" w:rsidRPr="004165C0" w:rsidRDefault="0055249C"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Una educación como en la familia Ingalls ¿online?</w:t>
      </w:r>
      <w:r w:rsidR="004165C0" w:rsidRPr="004165C0">
        <w:rPr>
          <w:rFonts w:ascii="Times New Roman" w:eastAsia="Times New Roman" w:hAnsi="Times New Roman"/>
          <w:sz w:val="24"/>
          <w:szCs w:val="24"/>
          <w:u w:val="single"/>
          <w:lang w:eastAsia="es-ES"/>
        </w:rPr>
        <w:t xml:space="preserve"> (un debate pendiente</w:t>
      </w:r>
      <w:r>
        <w:rPr>
          <w:rFonts w:ascii="Times New Roman" w:eastAsia="Times New Roman" w:hAnsi="Times New Roman"/>
          <w:sz w:val="24"/>
          <w:szCs w:val="24"/>
          <w:u w:val="single"/>
          <w:lang w:eastAsia="es-ES"/>
        </w:rPr>
        <w:t xml:space="preserve"> </w:t>
      </w:r>
      <w:r w:rsidR="004165C0" w:rsidRPr="004165C0">
        <w:rPr>
          <w:rFonts w:ascii="Times New Roman" w:eastAsia="Times New Roman" w:hAnsi="Times New Roman"/>
          <w:sz w:val="24"/>
          <w:szCs w:val="24"/>
          <w:u w:val="single"/>
          <w:lang w:eastAsia="es-ES"/>
        </w:rPr>
        <w:t>muy saludable)</w:t>
      </w:r>
    </w:p>
    <w:p w:rsidR="007E6609" w:rsidRDefault="007E6609" w:rsidP="00550638">
      <w:pPr>
        <w:pStyle w:val="NormalWeb"/>
        <w:jc w:val="both"/>
      </w:pPr>
      <w:r>
        <w:t xml:space="preserve">- </w:t>
      </w:r>
      <w:r w:rsidRPr="00FE0917">
        <w:rPr>
          <w:u w:val="single"/>
        </w:rPr>
        <w:t>Así será la escuela del futuro (si no desaparece antes)</w:t>
      </w:r>
      <w:r>
        <w:t xml:space="preserve"> (El Confidencial - </w:t>
      </w:r>
      <w:r w:rsidRPr="00FE0917">
        <w:rPr>
          <w:b/>
        </w:rPr>
        <w:t>18/2/13</w:t>
      </w:r>
      <w:r>
        <w:t>)</w:t>
      </w:r>
    </w:p>
    <w:p w:rsidR="007E6609" w:rsidRPr="00FE0917" w:rsidRDefault="007E6609" w:rsidP="00550638">
      <w:pPr>
        <w:pStyle w:val="NormalWeb"/>
        <w:jc w:val="both"/>
      </w:pPr>
      <w:r>
        <w:t>(Por Héctor G. Barnés)</w:t>
      </w:r>
      <w:r w:rsidR="004165C0">
        <w:t xml:space="preserve">                                                                      Lectura recomendada</w:t>
      </w:r>
    </w:p>
    <w:p w:rsidR="007E6609" w:rsidRPr="001D3A69" w:rsidRDefault="007E6609" w:rsidP="00550638">
      <w:pPr>
        <w:pStyle w:val="NormalWeb"/>
        <w:jc w:val="both"/>
        <w:rPr>
          <w:color w:val="FF0000"/>
          <w:u w:val="single"/>
        </w:rPr>
      </w:pPr>
      <w:r w:rsidRPr="00FE0917">
        <w:t>“Las nuevas tecnologías ofrecen una personal</w:t>
      </w:r>
      <w:r w:rsidR="004165C0">
        <w:t>ización que el antiguo sistema -</w:t>
      </w:r>
      <w:r w:rsidRPr="00FE0917">
        <w:t xml:space="preserve">todo el mundo </w:t>
      </w:r>
      <w:r w:rsidR="004165C0">
        <w:t>leyendo a la vez el mismo libro-</w:t>
      </w:r>
      <w:r w:rsidRPr="00FE0917">
        <w:t xml:space="preserve"> no era capaz de ofrecer”. Fue el escritor futurista </w:t>
      </w:r>
      <w:r w:rsidRPr="00C176A3">
        <w:rPr>
          <w:bCs/>
          <w:color w:val="FF0000"/>
        </w:rPr>
        <w:t>Alvin Toffler</w:t>
      </w:r>
      <w:r w:rsidRPr="001D3A69">
        <w:rPr>
          <w:color w:val="FF0000"/>
        </w:rPr>
        <w:t xml:space="preserve"> </w:t>
      </w:r>
      <w:r w:rsidRPr="00FE0917">
        <w:t xml:space="preserve">el que pronunció dicha aseveración la pasada década, en una entrevista a la ya desaparecida revista </w:t>
      </w:r>
      <w:r w:rsidRPr="00FE0917">
        <w:rPr>
          <w:i/>
          <w:iCs/>
        </w:rPr>
        <w:t>Edutopia</w:t>
      </w:r>
      <w:r w:rsidRPr="00FE0917">
        <w:t xml:space="preserve">. Toffler iba aún más allá y aseguraba que </w:t>
      </w:r>
      <w:r w:rsidRPr="00C176A3">
        <w:rPr>
          <w:bCs/>
        </w:rPr>
        <w:t>las formas de aprendizaje están condenadas a la evolución</w:t>
      </w:r>
      <w:r w:rsidRPr="00FE0917">
        <w:t xml:space="preserve"> si no queremos que el hombre sea superado por la tecnología que él mismo ha creado. </w:t>
      </w:r>
      <w:r w:rsidRPr="001D3A69">
        <w:rPr>
          <w:color w:val="FF0000"/>
          <w:u w:val="single"/>
        </w:rPr>
        <w:t xml:space="preserve">El autor de </w:t>
      </w:r>
      <w:r w:rsidRPr="001D3A69">
        <w:rPr>
          <w:i/>
          <w:iCs/>
          <w:color w:val="FF0000"/>
          <w:u w:val="single"/>
        </w:rPr>
        <w:t>La revolución de la riqueza</w:t>
      </w:r>
      <w:r w:rsidRPr="001D3A69">
        <w:rPr>
          <w:color w:val="FF0000"/>
          <w:u w:val="single"/>
        </w:rPr>
        <w:t xml:space="preserve"> (Debate) apostaba por el “cierre de la escuela pública” en Estados Unidos y la proliferación de las </w:t>
      </w:r>
      <w:r w:rsidR="001151D5">
        <w:rPr>
          <w:color w:val="FF0000"/>
          <w:u w:val="single"/>
        </w:rPr>
        <w:t>“</w:t>
      </w:r>
      <w:r w:rsidRPr="001151D5">
        <w:rPr>
          <w:iCs/>
          <w:color w:val="FF0000"/>
          <w:u w:val="single"/>
        </w:rPr>
        <w:t>charter schools</w:t>
      </w:r>
      <w:r w:rsidR="001151D5">
        <w:rPr>
          <w:iCs/>
          <w:color w:val="FF0000"/>
          <w:u w:val="single"/>
        </w:rPr>
        <w:t>”</w:t>
      </w:r>
      <w:r w:rsidRPr="001D3A69">
        <w:rPr>
          <w:color w:val="FF0000"/>
          <w:u w:val="single"/>
        </w:rPr>
        <w:t xml:space="preserve"> (algo así como centros concertados) que, financiadas por dinero público, gozan de una amplia independencia en sus decisiones y programas educativos. </w:t>
      </w:r>
    </w:p>
    <w:p w:rsidR="007E6609" w:rsidRPr="001D3A69" w:rsidRDefault="007E6609" w:rsidP="00550638">
      <w:pPr>
        <w:pStyle w:val="NormalWeb"/>
        <w:jc w:val="both"/>
        <w:rPr>
          <w:color w:val="FF0000"/>
          <w:u w:val="single"/>
        </w:rPr>
      </w:pPr>
      <w:r w:rsidRPr="001D3A69">
        <w:rPr>
          <w:color w:val="FF0000"/>
          <w:u w:val="single"/>
        </w:rPr>
        <w:t>Toffler enunciaba</w:t>
      </w:r>
      <w:r w:rsidRPr="001D3A69">
        <w:rPr>
          <w:color w:val="FF0000"/>
        </w:rPr>
        <w:t xml:space="preserve"> </w:t>
      </w:r>
      <w:r w:rsidRPr="00FE0917">
        <w:t xml:space="preserve">en su intervención </w:t>
      </w:r>
      <w:r w:rsidRPr="001D3A69">
        <w:rPr>
          <w:color w:val="FF0000"/>
          <w:u w:val="single"/>
        </w:rPr>
        <w:t>algunas de las características</w:t>
      </w:r>
      <w:r w:rsidRPr="001D3A69">
        <w:rPr>
          <w:color w:val="FF0000"/>
        </w:rPr>
        <w:t xml:space="preserve"> </w:t>
      </w:r>
      <w:r w:rsidRPr="00FE0917">
        <w:t xml:space="preserve">que los expertos en educación aseguran que marcarán el futuro inmediato de la educación y que, obviamente, se topan a diario con muchos problemas logísticos y de financiación. </w:t>
      </w:r>
      <w:r w:rsidRPr="001D3A69">
        <w:rPr>
          <w:color w:val="FF0000"/>
          <w:u w:val="single"/>
        </w:rPr>
        <w:t xml:space="preserve">Escuelas abiertas las 24 horas del día, compatibilidad del trabajo de los profesores con otras dedicaciones, programas educativos integrados en diferentes disciplinas, experiencias educativas personalizadas…. En definitiva, una flexibilidad que caracteriza a esas </w:t>
      </w:r>
      <w:r w:rsidR="006A2645">
        <w:rPr>
          <w:color w:val="FF0000"/>
          <w:u w:val="single"/>
        </w:rPr>
        <w:t>“</w:t>
      </w:r>
      <w:r w:rsidRPr="006A2645">
        <w:rPr>
          <w:iCs/>
          <w:color w:val="FF0000"/>
          <w:u w:val="single"/>
        </w:rPr>
        <w:t>charter schools</w:t>
      </w:r>
      <w:r w:rsidR="006A2645">
        <w:rPr>
          <w:iCs/>
          <w:color w:val="FF0000"/>
          <w:u w:val="single"/>
        </w:rPr>
        <w:t>”</w:t>
      </w:r>
      <w:r w:rsidRPr="001D3A69">
        <w:rPr>
          <w:i/>
          <w:iCs/>
          <w:color w:val="FF0000"/>
          <w:u w:val="single"/>
        </w:rPr>
        <w:t xml:space="preserve"> </w:t>
      </w:r>
      <w:r w:rsidRPr="001D3A69">
        <w:rPr>
          <w:color w:val="FF0000"/>
          <w:u w:val="single"/>
        </w:rPr>
        <w:t xml:space="preserve">y que, señala el escritor, </w:t>
      </w:r>
      <w:r w:rsidRPr="001D3A69">
        <w:rPr>
          <w:b/>
          <w:bCs/>
          <w:color w:val="FF0000"/>
          <w:u w:val="single"/>
        </w:rPr>
        <w:t xml:space="preserve">ya </w:t>
      </w:r>
      <w:r w:rsidRPr="00C176A3">
        <w:rPr>
          <w:bCs/>
          <w:color w:val="FF0000"/>
          <w:u w:val="single"/>
        </w:rPr>
        <w:t>no responde, como en el pasado, a las necesidades de una sociedad industrial</w:t>
      </w:r>
      <w:r w:rsidRPr="00C176A3">
        <w:rPr>
          <w:color w:val="FF0000"/>
          <w:u w:val="single"/>
        </w:rPr>
        <w:t xml:space="preserve"> </w:t>
      </w:r>
      <w:r w:rsidRPr="001D3A69">
        <w:rPr>
          <w:color w:val="FF0000"/>
          <w:u w:val="single"/>
        </w:rPr>
        <w:t>que había perfilado la escuela tradicional, sino a las de la sociedad del conocimiento en que vivimos.</w:t>
      </w:r>
    </w:p>
    <w:p w:rsidR="007E6609" w:rsidRPr="001D3A69" w:rsidRDefault="007E6609" w:rsidP="00550638">
      <w:pPr>
        <w:pStyle w:val="NormalWeb"/>
        <w:jc w:val="both"/>
        <w:rPr>
          <w:u w:val="single"/>
        </w:rPr>
      </w:pPr>
      <w:r w:rsidRPr="00C176A3">
        <w:rPr>
          <w:bCs/>
          <w:color w:val="FF0000"/>
          <w:u w:val="single"/>
        </w:rPr>
        <w:t>Innovación tecnológica y educación personalizada</w:t>
      </w:r>
      <w:r w:rsidRPr="001D3A69">
        <w:rPr>
          <w:color w:val="FF0000"/>
          <w:u w:val="single"/>
        </w:rPr>
        <w:t xml:space="preserve"> son seguramente los dos grandes pilares de la que será la educación del futuro</w:t>
      </w:r>
      <w:r w:rsidRPr="00FE0917">
        <w:t xml:space="preserve">, en la medida en que la situación financiera actual permita introducir estos cambios. Pero al mismo tiempo, </w:t>
      </w:r>
      <w:r w:rsidRPr="001D3A69">
        <w:rPr>
          <w:color w:val="FF0000"/>
          <w:u w:val="single"/>
        </w:rPr>
        <w:t>se están produciendo ciertos movimientos de carácter mundial que cambiarán para siempre la forma que tenemos de adquirir conocimiento.</w:t>
      </w:r>
      <w:r w:rsidRPr="00FE0917">
        <w:t xml:space="preserve"> Si no somos capaces de adaptarnos a los nuevos retos, alerta Toffler utilizando su habitual retórica apocalíptica, “estamos abocados a la catástrofe”. Quizá sea decir mucho, pero de lo que </w:t>
      </w:r>
      <w:r w:rsidRPr="001D3A69">
        <w:rPr>
          <w:u w:val="single"/>
        </w:rPr>
        <w:t>no cabe duda es que el panorama de la educación se está redibujando. ¿En qué sentido?</w:t>
      </w:r>
    </w:p>
    <w:p w:rsidR="007E6609" w:rsidRPr="00FE0917" w:rsidRDefault="007E6609" w:rsidP="00550638">
      <w:pPr>
        <w:numPr>
          <w:ilvl w:val="0"/>
          <w:numId w:val="6"/>
        </w:numPr>
        <w:spacing w:before="100" w:beforeAutospacing="1" w:after="100" w:afterAutospacing="1" w:line="240" w:lineRule="auto"/>
        <w:jc w:val="both"/>
        <w:rPr>
          <w:rFonts w:ascii="Times New Roman" w:hAnsi="Times New Roman" w:cs="Times New Roman"/>
          <w:sz w:val="24"/>
          <w:szCs w:val="24"/>
        </w:rPr>
      </w:pPr>
      <w:r w:rsidRPr="001D3A69">
        <w:rPr>
          <w:rFonts w:ascii="Times New Roman" w:hAnsi="Times New Roman" w:cs="Times New Roman"/>
          <w:b/>
          <w:bCs/>
          <w:color w:val="FF0000"/>
          <w:sz w:val="24"/>
          <w:szCs w:val="24"/>
        </w:rPr>
        <w:t>La globalización de las universidades</w:t>
      </w:r>
      <w:r w:rsidRPr="00FE0917">
        <w:rPr>
          <w:rFonts w:ascii="Times New Roman" w:hAnsi="Times New Roman" w:cs="Times New Roman"/>
          <w:b/>
          <w:bCs/>
          <w:sz w:val="24"/>
          <w:szCs w:val="24"/>
        </w:rPr>
        <w:t xml:space="preserve">. </w:t>
      </w:r>
      <w:r w:rsidRPr="00FE0917">
        <w:rPr>
          <w:rFonts w:ascii="Times New Roman" w:hAnsi="Times New Roman" w:cs="Times New Roman"/>
          <w:sz w:val="24"/>
          <w:szCs w:val="24"/>
        </w:rPr>
        <w:t xml:space="preserve">La tecnología puede ser la forma más sencilla de conectar lugares muy distantes entre sí, pero también se puede </w:t>
      </w:r>
      <w:r w:rsidRPr="00FE0917">
        <w:rPr>
          <w:rFonts w:ascii="Times New Roman" w:hAnsi="Times New Roman" w:cs="Times New Roman"/>
          <w:sz w:val="24"/>
          <w:szCs w:val="24"/>
        </w:rPr>
        <w:lastRenderedPageBreak/>
        <w:t xml:space="preserve">recurrir a </w:t>
      </w:r>
      <w:r w:rsidRPr="001D3A69">
        <w:rPr>
          <w:rFonts w:ascii="Times New Roman" w:hAnsi="Times New Roman" w:cs="Times New Roman"/>
          <w:sz w:val="24"/>
          <w:szCs w:val="24"/>
          <w:u w:val="single"/>
        </w:rPr>
        <w:t>la vieja estrategia de abrir una sucursal de los centros educativos más importantes en otros países</w:t>
      </w:r>
      <w:r w:rsidRPr="00FE0917">
        <w:rPr>
          <w:rFonts w:ascii="Times New Roman" w:hAnsi="Times New Roman" w:cs="Times New Roman"/>
          <w:sz w:val="24"/>
          <w:szCs w:val="24"/>
        </w:rPr>
        <w:t xml:space="preserve">. Es lo que hizo la Harvard Business School al ofrecer diferentes programas educativos en la India basados en innovación o </w:t>
      </w:r>
      <w:r w:rsidRPr="00FE0917">
        <w:rPr>
          <w:rFonts w:ascii="Times New Roman" w:hAnsi="Times New Roman" w:cs="Times New Roman"/>
          <w:i/>
          <w:iCs/>
          <w:sz w:val="24"/>
          <w:szCs w:val="24"/>
        </w:rPr>
        <w:t>management</w:t>
      </w:r>
      <w:r w:rsidRPr="00FE0917">
        <w:rPr>
          <w:rFonts w:ascii="Times New Roman" w:hAnsi="Times New Roman" w:cs="Times New Roman"/>
          <w:sz w:val="24"/>
          <w:szCs w:val="24"/>
        </w:rPr>
        <w:t xml:space="preserve"> estratégico, con el objetivo de captar a los que serán los grandes emprendedores de esos países emergentes. Como señalaba </w:t>
      </w:r>
      <w:r w:rsidRPr="004302F5">
        <w:rPr>
          <w:rFonts w:ascii="Times New Roman" w:hAnsi="Times New Roman" w:cs="Times New Roman"/>
          <w:bCs/>
          <w:sz w:val="24"/>
          <w:szCs w:val="24"/>
        </w:rPr>
        <w:t>Ben Wildavsky</w:t>
      </w:r>
      <w:r w:rsidRPr="00FE0917">
        <w:rPr>
          <w:rFonts w:ascii="Times New Roman" w:hAnsi="Times New Roman" w:cs="Times New Roman"/>
          <w:sz w:val="24"/>
          <w:szCs w:val="24"/>
        </w:rPr>
        <w:t xml:space="preserve"> en </w:t>
      </w:r>
      <w:r w:rsidRPr="00FE0917">
        <w:rPr>
          <w:rFonts w:ascii="Times New Roman" w:hAnsi="Times New Roman" w:cs="Times New Roman"/>
          <w:i/>
          <w:iCs/>
          <w:sz w:val="24"/>
          <w:szCs w:val="24"/>
        </w:rPr>
        <w:t>The Great Brain Race: How Global Universities Are Reshaping the World</w:t>
      </w:r>
      <w:r w:rsidRPr="00FE0917">
        <w:rPr>
          <w:rFonts w:ascii="Times New Roman" w:hAnsi="Times New Roman" w:cs="Times New Roman"/>
          <w:sz w:val="24"/>
          <w:szCs w:val="24"/>
        </w:rPr>
        <w:t xml:space="preserve"> (Princeton University Press), </w:t>
      </w:r>
      <w:r w:rsidRPr="001D3A69">
        <w:rPr>
          <w:rFonts w:ascii="Times New Roman" w:hAnsi="Times New Roman" w:cs="Times New Roman"/>
          <w:sz w:val="24"/>
          <w:szCs w:val="24"/>
          <w:u w:val="single"/>
        </w:rPr>
        <w:t>no solo hay tres millones de alumnos que cursan su educación superior fuera de sus países de origen, sino que en urbes como Abu Dhabi o Singapur están abriendo sus puertas nuevos centros educativos que pronto competirán con las universidades anglosajonas más importantes</w:t>
      </w:r>
      <w:r w:rsidRPr="00FE0917">
        <w:rPr>
          <w:rFonts w:ascii="Times New Roman" w:hAnsi="Times New Roman" w:cs="Times New Roman"/>
          <w:sz w:val="24"/>
          <w:szCs w:val="24"/>
        </w:rPr>
        <w:t>.</w:t>
      </w:r>
    </w:p>
    <w:p w:rsidR="007E6609" w:rsidRPr="00FE0917" w:rsidRDefault="007E6609" w:rsidP="00550638">
      <w:pPr>
        <w:numPr>
          <w:ilvl w:val="0"/>
          <w:numId w:val="7"/>
        </w:numPr>
        <w:spacing w:before="100" w:beforeAutospacing="1" w:after="100" w:afterAutospacing="1" w:line="240" w:lineRule="auto"/>
        <w:jc w:val="both"/>
        <w:rPr>
          <w:rFonts w:ascii="Times New Roman" w:hAnsi="Times New Roman" w:cs="Times New Roman"/>
          <w:sz w:val="24"/>
          <w:szCs w:val="24"/>
        </w:rPr>
      </w:pPr>
      <w:r w:rsidRPr="001D3A69">
        <w:rPr>
          <w:rFonts w:ascii="Times New Roman" w:hAnsi="Times New Roman" w:cs="Times New Roman"/>
          <w:b/>
          <w:bCs/>
          <w:color w:val="FF0000"/>
          <w:sz w:val="24"/>
          <w:szCs w:val="24"/>
        </w:rPr>
        <w:t>La realidad aumentada, el arma definitiva</w:t>
      </w:r>
      <w:r w:rsidRPr="00FE0917">
        <w:rPr>
          <w:rFonts w:ascii="Times New Roman" w:hAnsi="Times New Roman" w:cs="Times New Roman"/>
          <w:b/>
          <w:bCs/>
          <w:sz w:val="24"/>
          <w:szCs w:val="24"/>
        </w:rPr>
        <w:t xml:space="preserve">. </w:t>
      </w:r>
      <w:r w:rsidRPr="00FE0917">
        <w:rPr>
          <w:rFonts w:ascii="Times New Roman" w:hAnsi="Times New Roman" w:cs="Times New Roman"/>
          <w:sz w:val="24"/>
          <w:szCs w:val="24"/>
        </w:rPr>
        <w:t xml:space="preserve">No hace falta volver a incidir en el papel clave que la tecnología puede jugar a la hora </w:t>
      </w:r>
      <w:r w:rsidRPr="001D3A69">
        <w:rPr>
          <w:rFonts w:ascii="Times New Roman" w:hAnsi="Times New Roman" w:cs="Times New Roman"/>
          <w:sz w:val="24"/>
          <w:szCs w:val="24"/>
          <w:u w:val="single"/>
        </w:rPr>
        <w:t>de conseguir que una nueva generación de nativos digitales se interese por los contenidos de cada materia,</w:t>
      </w:r>
      <w:r w:rsidRPr="00FE0917">
        <w:rPr>
          <w:rFonts w:ascii="Times New Roman" w:hAnsi="Times New Roman" w:cs="Times New Roman"/>
          <w:sz w:val="24"/>
          <w:szCs w:val="24"/>
        </w:rPr>
        <w:t xml:space="preserve"> así como para que sus padres mantengan una relación con los cuerpos docentes. Es decir: </w:t>
      </w:r>
      <w:r w:rsidRPr="001D3A69">
        <w:rPr>
          <w:rFonts w:ascii="Times New Roman" w:hAnsi="Times New Roman" w:cs="Times New Roman"/>
          <w:sz w:val="24"/>
          <w:szCs w:val="24"/>
          <w:u w:val="single"/>
        </w:rPr>
        <w:t xml:space="preserve">adiós a los libros físicos, hola a los ejercicios </w:t>
      </w:r>
      <w:r w:rsidR="00822CE7">
        <w:rPr>
          <w:rFonts w:ascii="Times New Roman" w:hAnsi="Times New Roman" w:cs="Times New Roman"/>
          <w:sz w:val="24"/>
          <w:szCs w:val="24"/>
          <w:u w:val="single"/>
        </w:rPr>
        <w:t>“</w:t>
      </w:r>
      <w:r w:rsidRPr="00822CE7">
        <w:rPr>
          <w:rFonts w:ascii="Times New Roman" w:hAnsi="Times New Roman" w:cs="Times New Roman"/>
          <w:iCs/>
          <w:sz w:val="24"/>
          <w:szCs w:val="24"/>
          <w:u w:val="single"/>
        </w:rPr>
        <w:t>online</w:t>
      </w:r>
      <w:r w:rsidR="00822CE7">
        <w:rPr>
          <w:rFonts w:ascii="Times New Roman" w:hAnsi="Times New Roman" w:cs="Times New Roman"/>
          <w:iCs/>
          <w:sz w:val="24"/>
          <w:szCs w:val="24"/>
          <w:u w:val="single"/>
        </w:rPr>
        <w:t>”</w:t>
      </w:r>
      <w:r w:rsidRPr="001D3A69">
        <w:rPr>
          <w:rFonts w:ascii="Times New Roman" w:hAnsi="Times New Roman" w:cs="Times New Roman"/>
          <w:sz w:val="24"/>
          <w:szCs w:val="24"/>
          <w:u w:val="single"/>
        </w:rPr>
        <w:t>, a las tutorías con los padres a través de la red, a los videojuegos sobre los contenidos impartidos, a las simulaciones virtuales…</w:t>
      </w:r>
      <w:r w:rsidRPr="00FE0917">
        <w:rPr>
          <w:rFonts w:ascii="Times New Roman" w:hAnsi="Times New Roman" w:cs="Times New Roman"/>
          <w:sz w:val="24"/>
          <w:szCs w:val="24"/>
        </w:rPr>
        <w:t xml:space="preserve"> A todo ello hay que añadir </w:t>
      </w:r>
      <w:r w:rsidRPr="001D3A69">
        <w:rPr>
          <w:rFonts w:ascii="Times New Roman" w:hAnsi="Times New Roman" w:cs="Times New Roman"/>
          <w:sz w:val="24"/>
          <w:szCs w:val="24"/>
          <w:u w:val="single"/>
        </w:rPr>
        <w:t>el concepto de “</w:t>
      </w:r>
      <w:r w:rsidRPr="001D3A69">
        <w:rPr>
          <w:rFonts w:ascii="Times New Roman" w:hAnsi="Times New Roman" w:cs="Times New Roman"/>
          <w:color w:val="FF0000"/>
          <w:sz w:val="24"/>
          <w:szCs w:val="24"/>
          <w:u w:val="single"/>
        </w:rPr>
        <w:t>realidad aumentada</w:t>
      </w:r>
      <w:r w:rsidRPr="001D3A69">
        <w:rPr>
          <w:rFonts w:ascii="Times New Roman" w:hAnsi="Times New Roman" w:cs="Times New Roman"/>
          <w:sz w:val="24"/>
          <w:szCs w:val="24"/>
          <w:u w:val="single"/>
        </w:rPr>
        <w:t>”, una tecnología que cada vez aparece con más frecuencia en los centros educativos y que ya no sustituye el mundo real por otro virtual, sino que complementa la percepción del primero.</w:t>
      </w:r>
      <w:r w:rsidRPr="00FE0917">
        <w:rPr>
          <w:rFonts w:ascii="Times New Roman" w:hAnsi="Times New Roman" w:cs="Times New Roman"/>
          <w:sz w:val="24"/>
          <w:szCs w:val="24"/>
        </w:rPr>
        <w:t xml:space="preserve"> Por ejemplo, a través de la reconstrucción en tres dimensiones de escenarios históricos o de simulaciones que permitan a los alumnos llevar a cabo deter</w:t>
      </w:r>
      <w:r w:rsidR="004165C0">
        <w:rPr>
          <w:rFonts w:ascii="Times New Roman" w:hAnsi="Times New Roman" w:cs="Times New Roman"/>
          <w:sz w:val="24"/>
          <w:szCs w:val="24"/>
        </w:rPr>
        <w:t>minadas actividades peligrosas -</w:t>
      </w:r>
      <w:r w:rsidRPr="00FE0917">
        <w:rPr>
          <w:rFonts w:ascii="Times New Roman" w:hAnsi="Times New Roman" w:cs="Times New Roman"/>
          <w:sz w:val="24"/>
          <w:szCs w:val="24"/>
        </w:rPr>
        <w:t xml:space="preserve">por ejemplo, relacionadas con la </w:t>
      </w:r>
      <w:r w:rsidR="004165C0">
        <w:rPr>
          <w:rFonts w:ascii="Times New Roman" w:hAnsi="Times New Roman" w:cs="Times New Roman"/>
          <w:sz w:val="24"/>
          <w:szCs w:val="24"/>
        </w:rPr>
        <w:t>tecnologías-</w:t>
      </w:r>
      <w:r w:rsidRPr="00FE0917">
        <w:rPr>
          <w:rFonts w:ascii="Times New Roman" w:hAnsi="Times New Roman" w:cs="Times New Roman"/>
          <w:sz w:val="24"/>
          <w:szCs w:val="24"/>
        </w:rPr>
        <w:t xml:space="preserve"> sin poner en riesgo su integridad física. </w:t>
      </w:r>
    </w:p>
    <w:p w:rsidR="007E6609" w:rsidRPr="001D3A69" w:rsidRDefault="007E6609" w:rsidP="00550638">
      <w:pPr>
        <w:numPr>
          <w:ilvl w:val="0"/>
          <w:numId w:val="8"/>
        </w:numPr>
        <w:spacing w:before="100" w:beforeAutospacing="1" w:after="100" w:afterAutospacing="1" w:line="240" w:lineRule="auto"/>
        <w:jc w:val="both"/>
        <w:rPr>
          <w:rFonts w:ascii="Times New Roman" w:hAnsi="Times New Roman" w:cs="Times New Roman"/>
          <w:sz w:val="24"/>
          <w:szCs w:val="24"/>
          <w:u w:val="single"/>
        </w:rPr>
      </w:pPr>
      <w:r w:rsidRPr="001D3A69">
        <w:rPr>
          <w:rFonts w:ascii="Times New Roman" w:hAnsi="Times New Roman" w:cs="Times New Roman"/>
          <w:b/>
          <w:bCs/>
          <w:color w:val="FF0000"/>
          <w:sz w:val="24"/>
          <w:szCs w:val="24"/>
        </w:rPr>
        <w:t xml:space="preserve">Una educación </w:t>
      </w:r>
      <w:r w:rsidRPr="001D3A69">
        <w:rPr>
          <w:rFonts w:ascii="Times New Roman" w:hAnsi="Times New Roman" w:cs="Times New Roman"/>
          <w:b/>
          <w:bCs/>
          <w:i/>
          <w:iCs/>
          <w:color w:val="FF0000"/>
          <w:sz w:val="24"/>
          <w:szCs w:val="24"/>
        </w:rPr>
        <w:t>online</w:t>
      </w:r>
      <w:r w:rsidRPr="001D3A69">
        <w:rPr>
          <w:rFonts w:ascii="Times New Roman" w:hAnsi="Times New Roman" w:cs="Times New Roman"/>
          <w:b/>
          <w:bCs/>
          <w:color w:val="FF0000"/>
          <w:sz w:val="24"/>
          <w:szCs w:val="24"/>
        </w:rPr>
        <w:t xml:space="preserve"> gratuita</w:t>
      </w:r>
      <w:r w:rsidRPr="00FE0917">
        <w:rPr>
          <w:rFonts w:ascii="Times New Roman" w:hAnsi="Times New Roman" w:cs="Times New Roman"/>
          <w:b/>
          <w:bCs/>
          <w:sz w:val="24"/>
          <w:szCs w:val="24"/>
        </w:rPr>
        <w:t xml:space="preserve">. </w:t>
      </w:r>
      <w:r w:rsidRPr="001D3A69">
        <w:rPr>
          <w:rFonts w:ascii="Times New Roman" w:hAnsi="Times New Roman" w:cs="Times New Roman"/>
          <w:sz w:val="24"/>
          <w:szCs w:val="24"/>
          <w:u w:val="single"/>
        </w:rPr>
        <w:t>En los últimos años han proliferado iniciativas que, a un bajo precio o incluso de forma totalmente gratuita, permiten a los alumnos acceder a contenidos y clases magistrales de profesores de primera fila que en el pasado sólo unos pocos podrían haber disfrutado</w:t>
      </w:r>
      <w:r w:rsidRPr="00FE0917">
        <w:rPr>
          <w:rFonts w:ascii="Times New Roman" w:hAnsi="Times New Roman" w:cs="Times New Roman"/>
          <w:sz w:val="24"/>
          <w:szCs w:val="24"/>
        </w:rPr>
        <w:t xml:space="preserve">. Uno de los ejemplos más llamativos de esta tendencia que se ha dado en </w:t>
      </w:r>
      <w:r w:rsidRPr="001D3A69">
        <w:rPr>
          <w:rFonts w:ascii="Times New Roman" w:hAnsi="Times New Roman" w:cs="Times New Roman"/>
          <w:color w:val="FF0000"/>
          <w:sz w:val="24"/>
          <w:szCs w:val="24"/>
        </w:rPr>
        <w:t xml:space="preserve">llamar </w:t>
      </w:r>
      <w:hyperlink r:id="rId178" w:tgtFrame="_blank" w:history="1">
        <w:r w:rsidRPr="00822CE7">
          <w:rPr>
            <w:rStyle w:val="Hipervnculo"/>
            <w:rFonts w:ascii="Times New Roman" w:hAnsi="Times New Roman" w:cs="Times New Roman"/>
            <w:color w:val="FF0000"/>
            <w:sz w:val="24"/>
            <w:szCs w:val="24"/>
          </w:rPr>
          <w:t>MOOC (</w:t>
        </w:r>
        <w:r w:rsidRPr="00822CE7">
          <w:rPr>
            <w:rStyle w:val="Hipervnculo"/>
            <w:rFonts w:ascii="Times New Roman" w:hAnsi="Times New Roman" w:cs="Times New Roman"/>
            <w:iCs/>
            <w:color w:val="FF0000"/>
            <w:sz w:val="24"/>
            <w:szCs w:val="24"/>
          </w:rPr>
          <w:t>Massive Online Open Courses</w:t>
        </w:r>
        <w:r w:rsidRPr="00822CE7">
          <w:rPr>
            <w:rStyle w:val="Hipervnculo"/>
            <w:rFonts w:ascii="Times New Roman" w:hAnsi="Times New Roman" w:cs="Times New Roman"/>
            <w:color w:val="FF0000"/>
            <w:sz w:val="24"/>
            <w:szCs w:val="24"/>
          </w:rPr>
          <w:t>)</w:t>
        </w:r>
      </w:hyperlink>
      <w:r w:rsidRPr="00FE0917">
        <w:rPr>
          <w:rFonts w:ascii="Times New Roman" w:hAnsi="Times New Roman" w:cs="Times New Roman"/>
          <w:sz w:val="24"/>
          <w:szCs w:val="24"/>
        </w:rPr>
        <w:t xml:space="preserve">, es el de </w:t>
      </w:r>
      <w:hyperlink r:id="rId179" w:tgtFrame="_blank" w:history="1">
        <w:r w:rsidRPr="001D3A69">
          <w:rPr>
            <w:rStyle w:val="Hipervnculo"/>
            <w:rFonts w:ascii="Times New Roman" w:hAnsi="Times New Roman" w:cs="Times New Roman"/>
            <w:color w:val="FF0000"/>
            <w:sz w:val="24"/>
            <w:szCs w:val="24"/>
          </w:rPr>
          <w:t>Coursera</w:t>
        </w:r>
      </w:hyperlink>
      <w:r w:rsidRPr="00FE0917">
        <w:rPr>
          <w:rFonts w:ascii="Times New Roman" w:hAnsi="Times New Roman" w:cs="Times New Roman"/>
          <w:sz w:val="24"/>
          <w:szCs w:val="24"/>
        </w:rPr>
        <w:t xml:space="preserve">, que ofrece cursos de universidades como la de </w:t>
      </w:r>
      <w:r w:rsidRPr="001D3A69">
        <w:rPr>
          <w:rFonts w:ascii="Times New Roman" w:hAnsi="Times New Roman" w:cs="Times New Roman"/>
          <w:color w:val="FF0000"/>
          <w:sz w:val="24"/>
          <w:szCs w:val="24"/>
        </w:rPr>
        <w:t>Princeton</w:t>
      </w:r>
      <w:r w:rsidRPr="00FE0917">
        <w:rPr>
          <w:rFonts w:ascii="Times New Roman" w:hAnsi="Times New Roman" w:cs="Times New Roman"/>
          <w:sz w:val="24"/>
          <w:szCs w:val="24"/>
        </w:rPr>
        <w:t xml:space="preserve"> o Stanford </w:t>
      </w:r>
      <w:r w:rsidRPr="001D3A69">
        <w:rPr>
          <w:rFonts w:ascii="Times New Roman" w:hAnsi="Times New Roman" w:cs="Times New Roman"/>
          <w:sz w:val="24"/>
          <w:szCs w:val="24"/>
          <w:u w:val="single"/>
        </w:rPr>
        <w:t>de manera totalmente gratuita</w:t>
      </w:r>
      <w:r w:rsidRPr="00FE0917">
        <w:rPr>
          <w:rFonts w:ascii="Times New Roman" w:hAnsi="Times New Roman" w:cs="Times New Roman"/>
          <w:sz w:val="24"/>
          <w:szCs w:val="24"/>
        </w:rPr>
        <w:t xml:space="preserve">. </w:t>
      </w:r>
      <w:r w:rsidRPr="001D3A69">
        <w:rPr>
          <w:rFonts w:ascii="Times New Roman" w:hAnsi="Times New Roman" w:cs="Times New Roman"/>
          <w:sz w:val="24"/>
          <w:szCs w:val="24"/>
          <w:u w:val="single"/>
        </w:rPr>
        <w:t xml:space="preserve">¿La contrapartida? Que sus títulos aún no tienen validez, lo que abre la puerta en el futuro al fin de la llamada “titulitis”, donde lo importante ya no es tanto dónde se ha estudiado o la titulación que se posee como las capacidades que uno haya sido capaz de obtener durante su formación. </w:t>
      </w:r>
    </w:p>
    <w:p w:rsidR="007E6609" w:rsidRPr="00FE0917" w:rsidRDefault="007E6609" w:rsidP="00550638">
      <w:pPr>
        <w:numPr>
          <w:ilvl w:val="0"/>
          <w:numId w:val="9"/>
        </w:numPr>
        <w:spacing w:before="100" w:beforeAutospacing="1" w:after="100" w:afterAutospacing="1" w:line="240" w:lineRule="auto"/>
        <w:jc w:val="both"/>
        <w:rPr>
          <w:rFonts w:ascii="Times New Roman" w:hAnsi="Times New Roman" w:cs="Times New Roman"/>
          <w:sz w:val="24"/>
          <w:szCs w:val="24"/>
        </w:rPr>
      </w:pPr>
      <w:r w:rsidRPr="001D3A69">
        <w:rPr>
          <w:rFonts w:ascii="Times New Roman" w:hAnsi="Times New Roman" w:cs="Times New Roman"/>
          <w:b/>
          <w:bCs/>
          <w:color w:val="FF0000"/>
          <w:sz w:val="24"/>
          <w:szCs w:val="24"/>
        </w:rPr>
        <w:t xml:space="preserve">Francia, </w:t>
      </w:r>
      <w:r w:rsidRPr="001D3A69">
        <w:rPr>
          <w:rFonts w:ascii="Times New Roman" w:hAnsi="Times New Roman" w:cs="Times New Roman"/>
          <w:color w:val="FF0000"/>
          <w:sz w:val="24"/>
          <w:szCs w:val="24"/>
        </w:rPr>
        <w:t>l</w:t>
      </w:r>
      <w:r w:rsidRPr="001D3A69">
        <w:rPr>
          <w:rFonts w:ascii="Times New Roman" w:hAnsi="Times New Roman" w:cs="Times New Roman"/>
          <w:b/>
          <w:bCs/>
          <w:color w:val="FF0000"/>
          <w:sz w:val="24"/>
          <w:szCs w:val="24"/>
        </w:rPr>
        <w:t>a gran apuesta universitaria occidental</w:t>
      </w:r>
      <w:r w:rsidRPr="00FE0917">
        <w:rPr>
          <w:rFonts w:ascii="Times New Roman" w:hAnsi="Times New Roman" w:cs="Times New Roman"/>
          <w:sz w:val="24"/>
          <w:szCs w:val="24"/>
        </w:rPr>
        <w:t xml:space="preserve">. </w:t>
      </w:r>
      <w:r w:rsidRPr="001D3A69">
        <w:rPr>
          <w:rFonts w:ascii="Times New Roman" w:hAnsi="Times New Roman" w:cs="Times New Roman"/>
          <w:sz w:val="24"/>
          <w:szCs w:val="24"/>
          <w:u w:val="single"/>
        </w:rPr>
        <w:t xml:space="preserve">En un momento en el que las universidades inglesas se encuentran en el punto de mira después de aumentar sensiblemente el precio de sus matrículas, provocando que sólo las clases más adineradas puedan acceder a ellas, quizá el viejo sueño de </w:t>
      </w:r>
      <w:r w:rsidRPr="006A2645">
        <w:rPr>
          <w:rFonts w:ascii="Times New Roman" w:hAnsi="Times New Roman" w:cs="Times New Roman"/>
          <w:bCs/>
          <w:sz w:val="24"/>
          <w:szCs w:val="24"/>
          <w:u w:val="single"/>
        </w:rPr>
        <w:t>Nicolas Sarkozy</w:t>
      </w:r>
      <w:r w:rsidRPr="001D3A69">
        <w:rPr>
          <w:rFonts w:ascii="Times New Roman" w:hAnsi="Times New Roman" w:cs="Times New Roman"/>
          <w:sz w:val="24"/>
          <w:szCs w:val="24"/>
          <w:u w:val="single"/>
        </w:rPr>
        <w:t xml:space="preserve"> de convertir a Francia en la gran referencia educativa se cumpla.</w:t>
      </w:r>
      <w:r w:rsidRPr="00FE0917">
        <w:rPr>
          <w:rFonts w:ascii="Times New Roman" w:hAnsi="Times New Roman" w:cs="Times New Roman"/>
          <w:sz w:val="24"/>
          <w:szCs w:val="24"/>
        </w:rPr>
        <w:t xml:space="preserve"> Bajo el nombre de </w:t>
      </w:r>
      <w:r w:rsidRPr="001D3A69">
        <w:rPr>
          <w:rFonts w:ascii="Times New Roman" w:hAnsi="Times New Roman" w:cs="Times New Roman"/>
          <w:color w:val="FF0000"/>
          <w:sz w:val="24"/>
          <w:szCs w:val="24"/>
        </w:rPr>
        <w:t>Initiatives d’Excellence (Idex)</w:t>
      </w:r>
      <w:r w:rsidRPr="00FE0917">
        <w:rPr>
          <w:rFonts w:ascii="Times New Roman" w:hAnsi="Times New Roman" w:cs="Times New Roman"/>
          <w:sz w:val="24"/>
          <w:szCs w:val="24"/>
        </w:rPr>
        <w:t xml:space="preserve">, </w:t>
      </w:r>
      <w:r w:rsidRPr="001D3A69">
        <w:rPr>
          <w:rFonts w:ascii="Times New Roman" w:hAnsi="Times New Roman" w:cs="Times New Roman"/>
          <w:sz w:val="24"/>
          <w:szCs w:val="24"/>
          <w:u w:val="single"/>
        </w:rPr>
        <w:t>el ambicioso proyecto se ha propuesto crear “de cinco a diez centros multidisciplinares” en Francia que se constituyan como el principal conjunto de universidades del Viejo Continente, la contrapartida europea a la Ivy League americana.</w:t>
      </w:r>
      <w:r w:rsidRPr="00FE0917">
        <w:rPr>
          <w:rFonts w:ascii="Times New Roman" w:hAnsi="Times New Roman" w:cs="Times New Roman"/>
          <w:sz w:val="24"/>
          <w:szCs w:val="24"/>
        </w:rPr>
        <w:t xml:space="preserve"> Una inversión de alrededor de 7,7 mil millones de euros apoyará los ocho proyectos ganadores, anunciados entre 2011 y el pasado mes de febrero de 2012: A*MIDEX (Marsella), IPS (Isla de Francia en París), IDEX BOURDEAUX (Burdeos), PSL (París), USPC </w:t>
      </w:r>
      <w:r w:rsidRPr="00FE0917">
        <w:rPr>
          <w:rFonts w:ascii="Times New Roman" w:hAnsi="Times New Roman" w:cs="Times New Roman"/>
          <w:sz w:val="24"/>
          <w:szCs w:val="24"/>
        </w:rPr>
        <w:lastRenderedPageBreak/>
        <w:t xml:space="preserve">(París), SUPER (París), UNITY (Toulouse) y UNISTRA (Estrasburgo). </w:t>
      </w:r>
      <w:r w:rsidRPr="004302F5">
        <w:rPr>
          <w:rFonts w:ascii="Times New Roman" w:hAnsi="Times New Roman" w:cs="Times New Roman"/>
          <w:bCs/>
          <w:sz w:val="24"/>
          <w:szCs w:val="24"/>
        </w:rPr>
        <w:t>François Hollande</w:t>
      </w:r>
      <w:r w:rsidRPr="00FE0917">
        <w:rPr>
          <w:rFonts w:ascii="Times New Roman" w:hAnsi="Times New Roman" w:cs="Times New Roman"/>
          <w:sz w:val="24"/>
          <w:szCs w:val="24"/>
        </w:rPr>
        <w:t xml:space="preserve">, por su parte, parece dispuesto a apoyar el proyecto, que ha sido criticado por partidos de izquierda como el Frente de Izquierda. </w:t>
      </w:r>
    </w:p>
    <w:p w:rsidR="007E6609" w:rsidRPr="00EE5702" w:rsidRDefault="007E6609" w:rsidP="00550638">
      <w:pPr>
        <w:numPr>
          <w:ilvl w:val="0"/>
          <w:numId w:val="10"/>
        </w:numPr>
        <w:spacing w:before="100" w:beforeAutospacing="1" w:after="100" w:afterAutospacing="1" w:line="240" w:lineRule="auto"/>
        <w:jc w:val="both"/>
        <w:rPr>
          <w:rFonts w:ascii="Times New Roman" w:hAnsi="Times New Roman" w:cs="Times New Roman"/>
          <w:sz w:val="24"/>
          <w:szCs w:val="24"/>
          <w:u w:val="single"/>
        </w:rPr>
      </w:pPr>
      <w:r w:rsidRPr="001D3A69">
        <w:rPr>
          <w:rFonts w:ascii="Times New Roman" w:hAnsi="Times New Roman" w:cs="Times New Roman"/>
          <w:b/>
          <w:bCs/>
          <w:color w:val="FF0000"/>
          <w:sz w:val="24"/>
          <w:szCs w:val="24"/>
        </w:rPr>
        <w:t xml:space="preserve">¿El final del abandono escolar o su aumento exponencial? </w:t>
      </w:r>
      <w:r w:rsidRPr="001D3A69">
        <w:rPr>
          <w:rFonts w:ascii="Times New Roman" w:hAnsi="Times New Roman" w:cs="Times New Roman"/>
          <w:sz w:val="24"/>
          <w:szCs w:val="24"/>
          <w:u w:val="single"/>
        </w:rPr>
        <w:t xml:space="preserve">La educación </w:t>
      </w:r>
      <w:r w:rsidR="006A2645">
        <w:rPr>
          <w:rFonts w:ascii="Times New Roman" w:hAnsi="Times New Roman" w:cs="Times New Roman"/>
          <w:sz w:val="24"/>
          <w:szCs w:val="24"/>
          <w:u w:val="single"/>
        </w:rPr>
        <w:t>“</w:t>
      </w:r>
      <w:r w:rsidRPr="006A2645">
        <w:rPr>
          <w:rFonts w:ascii="Times New Roman" w:hAnsi="Times New Roman" w:cs="Times New Roman"/>
          <w:iCs/>
          <w:sz w:val="24"/>
          <w:szCs w:val="24"/>
          <w:u w:val="single"/>
        </w:rPr>
        <w:t>online</w:t>
      </w:r>
      <w:r w:rsidR="006A2645">
        <w:rPr>
          <w:rFonts w:ascii="Times New Roman" w:hAnsi="Times New Roman" w:cs="Times New Roman"/>
          <w:iCs/>
          <w:sz w:val="24"/>
          <w:szCs w:val="24"/>
          <w:u w:val="single"/>
        </w:rPr>
        <w:t>”</w:t>
      </w:r>
      <w:r w:rsidRPr="001D3A69">
        <w:rPr>
          <w:rFonts w:ascii="Times New Roman" w:hAnsi="Times New Roman" w:cs="Times New Roman"/>
          <w:sz w:val="24"/>
          <w:szCs w:val="24"/>
          <w:u w:val="single"/>
        </w:rPr>
        <w:t xml:space="preserve"> es un arma de doble filo en lo referente al abandono escolar.</w:t>
      </w:r>
      <w:r w:rsidRPr="00FE0917">
        <w:rPr>
          <w:rFonts w:ascii="Times New Roman" w:hAnsi="Times New Roman" w:cs="Times New Roman"/>
          <w:sz w:val="24"/>
          <w:szCs w:val="24"/>
        </w:rPr>
        <w:t xml:space="preserve"> Los partidarios de la misma defienden que el acceso directo a la información sin salir de casa y el atractivo que esta puede tener para los niños más proclives al fracaso pueden provocar que sea la solución definitiva al creciente aumento del abandono educativo en primera en países como Estados Unidos. Sin embargo, </w:t>
      </w:r>
      <w:r w:rsidRPr="00EE5702">
        <w:rPr>
          <w:rFonts w:ascii="Times New Roman" w:hAnsi="Times New Roman" w:cs="Times New Roman"/>
          <w:sz w:val="24"/>
          <w:szCs w:val="24"/>
          <w:u w:val="single"/>
        </w:rPr>
        <w:t xml:space="preserve">está demostrado que la educación </w:t>
      </w:r>
      <w:r w:rsidR="00822CE7">
        <w:rPr>
          <w:rFonts w:ascii="Times New Roman" w:hAnsi="Times New Roman" w:cs="Times New Roman"/>
          <w:sz w:val="24"/>
          <w:szCs w:val="24"/>
          <w:u w:val="single"/>
        </w:rPr>
        <w:t>“</w:t>
      </w:r>
      <w:r w:rsidRPr="00822CE7">
        <w:rPr>
          <w:rFonts w:ascii="Times New Roman" w:hAnsi="Times New Roman" w:cs="Times New Roman"/>
          <w:iCs/>
          <w:sz w:val="24"/>
          <w:szCs w:val="24"/>
          <w:u w:val="single"/>
        </w:rPr>
        <w:t>online</w:t>
      </w:r>
      <w:r w:rsidR="00822CE7">
        <w:rPr>
          <w:rFonts w:ascii="Times New Roman" w:hAnsi="Times New Roman" w:cs="Times New Roman"/>
          <w:iCs/>
          <w:sz w:val="24"/>
          <w:szCs w:val="24"/>
          <w:u w:val="single"/>
        </w:rPr>
        <w:t>”</w:t>
      </w:r>
      <w:r w:rsidRPr="00EE5702">
        <w:rPr>
          <w:rFonts w:ascii="Times New Roman" w:hAnsi="Times New Roman" w:cs="Times New Roman"/>
          <w:sz w:val="24"/>
          <w:szCs w:val="24"/>
          <w:u w:val="single"/>
        </w:rPr>
        <w:t xml:space="preserve"> favorece el abandono mucho más que la presencial, ya que no genera lazos psicológicos que sí aparecen cuando se conoce en persona al docente, se hacen amigos entre los compañeros o se genera una rutina diaria en la que se acude al centro educativo.</w:t>
      </w:r>
    </w:p>
    <w:p w:rsidR="007E6609" w:rsidRPr="00FE0917" w:rsidRDefault="007E6609" w:rsidP="00550638">
      <w:pPr>
        <w:numPr>
          <w:ilvl w:val="0"/>
          <w:numId w:val="11"/>
        </w:numPr>
        <w:spacing w:before="100" w:beforeAutospacing="1" w:after="100" w:afterAutospacing="1" w:line="240" w:lineRule="auto"/>
        <w:jc w:val="both"/>
        <w:rPr>
          <w:rFonts w:ascii="Times New Roman" w:hAnsi="Times New Roman" w:cs="Times New Roman"/>
          <w:sz w:val="24"/>
          <w:szCs w:val="24"/>
        </w:rPr>
      </w:pPr>
      <w:r w:rsidRPr="00EE5702">
        <w:rPr>
          <w:rFonts w:ascii="Times New Roman" w:hAnsi="Times New Roman" w:cs="Times New Roman"/>
          <w:b/>
          <w:bCs/>
          <w:color w:val="FF0000"/>
          <w:sz w:val="24"/>
          <w:szCs w:val="24"/>
        </w:rPr>
        <w:t>El retorno de la educación en el campo</w:t>
      </w:r>
      <w:r w:rsidRPr="00FE0917">
        <w:rPr>
          <w:rFonts w:ascii="Times New Roman" w:hAnsi="Times New Roman" w:cs="Times New Roman"/>
          <w:b/>
          <w:bCs/>
          <w:sz w:val="24"/>
          <w:szCs w:val="24"/>
        </w:rPr>
        <w:t>.</w:t>
      </w:r>
      <w:r w:rsidRPr="00FE0917">
        <w:rPr>
          <w:rFonts w:ascii="Times New Roman" w:hAnsi="Times New Roman" w:cs="Times New Roman"/>
          <w:sz w:val="24"/>
          <w:szCs w:val="24"/>
        </w:rPr>
        <w:t xml:space="preserve"> </w:t>
      </w:r>
      <w:r w:rsidRPr="00EE5702">
        <w:rPr>
          <w:rFonts w:ascii="Times New Roman" w:hAnsi="Times New Roman" w:cs="Times New Roman"/>
          <w:sz w:val="24"/>
          <w:szCs w:val="24"/>
          <w:u w:val="single"/>
        </w:rPr>
        <w:t>¿Nos espera una sociedad en la que los niños se encontrarán aislados en su casa, comunicados por una red infinita de ordenadores?</w:t>
      </w:r>
      <w:r w:rsidRPr="00FE0917">
        <w:rPr>
          <w:rFonts w:ascii="Times New Roman" w:hAnsi="Times New Roman" w:cs="Times New Roman"/>
          <w:sz w:val="24"/>
          <w:szCs w:val="24"/>
        </w:rPr>
        <w:t xml:space="preserve"> Muchos educadores han reaccionado ante tal peligro apostando por el viejo concepto de la educación en el campo, especialmente en países con una gran tradición en este aspecto como Estados Unidos, Inglaterra, Australia o Nueva Zelanda, influidos por las ideas de pensadores como </w:t>
      </w:r>
      <w:r w:rsidRPr="004302F5">
        <w:rPr>
          <w:rFonts w:ascii="Times New Roman" w:hAnsi="Times New Roman" w:cs="Times New Roman"/>
          <w:bCs/>
          <w:sz w:val="24"/>
          <w:szCs w:val="24"/>
        </w:rPr>
        <w:t>Henry David Thoreau</w:t>
      </w:r>
      <w:r w:rsidRPr="004302F5">
        <w:rPr>
          <w:rFonts w:ascii="Times New Roman" w:hAnsi="Times New Roman" w:cs="Times New Roman"/>
          <w:sz w:val="24"/>
          <w:szCs w:val="24"/>
        </w:rPr>
        <w:t xml:space="preserve"> o </w:t>
      </w:r>
      <w:r w:rsidRPr="004302F5">
        <w:rPr>
          <w:rFonts w:ascii="Times New Roman" w:hAnsi="Times New Roman" w:cs="Times New Roman"/>
          <w:bCs/>
          <w:sz w:val="24"/>
          <w:szCs w:val="24"/>
        </w:rPr>
        <w:t>John Locke</w:t>
      </w:r>
      <w:r w:rsidRPr="004302F5">
        <w:rPr>
          <w:rFonts w:ascii="Times New Roman" w:hAnsi="Times New Roman" w:cs="Times New Roman"/>
          <w:sz w:val="24"/>
          <w:szCs w:val="24"/>
        </w:rPr>
        <w:t>.</w:t>
      </w:r>
      <w:r w:rsidRPr="00FE0917">
        <w:rPr>
          <w:rFonts w:ascii="Times New Roman" w:hAnsi="Times New Roman" w:cs="Times New Roman"/>
          <w:sz w:val="24"/>
          <w:szCs w:val="24"/>
        </w:rPr>
        <w:t xml:space="preserve"> En muchos casos, este tipo de salidas tienen como objetivo la concienciación sobre el medio ambiente, pero no únicamente: un estudio publicado en 1997 en el </w:t>
      </w:r>
      <w:r w:rsidRPr="00FE0917">
        <w:rPr>
          <w:rFonts w:ascii="Times New Roman" w:hAnsi="Times New Roman" w:cs="Times New Roman"/>
          <w:i/>
          <w:iCs/>
          <w:sz w:val="24"/>
          <w:szCs w:val="24"/>
        </w:rPr>
        <w:t>Review of Educational Research</w:t>
      </w:r>
      <w:r w:rsidRPr="00FE0917">
        <w:rPr>
          <w:rFonts w:ascii="Times New Roman" w:hAnsi="Times New Roman" w:cs="Times New Roman"/>
          <w:sz w:val="24"/>
          <w:szCs w:val="24"/>
        </w:rPr>
        <w:t xml:space="preserve"> puso de manifiesto que este tipo de programas tenían efectos positivos muy evidentes en el desarrollo de las habilidades comunicativas, la capacidad de liderazgo y el autoconcepto de los alumnos. </w:t>
      </w:r>
    </w:p>
    <w:p w:rsidR="007E6609" w:rsidRPr="00EE5702" w:rsidRDefault="007E6609" w:rsidP="00550638">
      <w:pPr>
        <w:numPr>
          <w:ilvl w:val="0"/>
          <w:numId w:val="12"/>
        </w:numPr>
        <w:spacing w:before="100" w:beforeAutospacing="1" w:after="100" w:afterAutospacing="1" w:line="240" w:lineRule="auto"/>
        <w:jc w:val="both"/>
        <w:rPr>
          <w:rFonts w:ascii="Times New Roman" w:hAnsi="Times New Roman" w:cs="Times New Roman"/>
          <w:sz w:val="24"/>
          <w:szCs w:val="24"/>
          <w:u w:val="single"/>
        </w:rPr>
      </w:pPr>
      <w:r w:rsidRPr="00EE5702">
        <w:rPr>
          <w:rFonts w:ascii="Times New Roman" w:hAnsi="Times New Roman" w:cs="Times New Roman"/>
          <w:b/>
          <w:bCs/>
          <w:color w:val="FF0000"/>
          <w:sz w:val="24"/>
          <w:szCs w:val="24"/>
        </w:rPr>
        <w:t>La neurociencia nos dirá cómo aprender</w:t>
      </w:r>
      <w:r w:rsidRPr="00FE0917">
        <w:rPr>
          <w:rFonts w:ascii="Times New Roman" w:hAnsi="Times New Roman" w:cs="Times New Roman"/>
          <w:b/>
          <w:bCs/>
          <w:sz w:val="24"/>
          <w:szCs w:val="24"/>
        </w:rPr>
        <w:t>.</w:t>
      </w:r>
      <w:r w:rsidRPr="00FE0917">
        <w:rPr>
          <w:rFonts w:ascii="Times New Roman" w:hAnsi="Times New Roman" w:cs="Times New Roman"/>
          <w:sz w:val="24"/>
          <w:szCs w:val="24"/>
        </w:rPr>
        <w:t xml:space="preserve"> Los avances en el terreno de la neurociencia resultan prometedores para el mundo de la educación, ya que cada vez sabemos de manera más conc</w:t>
      </w:r>
      <w:r>
        <w:rPr>
          <w:rFonts w:ascii="Times New Roman" w:hAnsi="Times New Roman" w:cs="Times New Roman"/>
          <w:sz w:val="24"/>
          <w:szCs w:val="24"/>
        </w:rPr>
        <w:t>reta</w:t>
      </w:r>
      <w:r w:rsidRPr="00FE0917">
        <w:rPr>
          <w:rFonts w:ascii="Times New Roman" w:hAnsi="Times New Roman" w:cs="Times New Roman"/>
          <w:sz w:val="24"/>
          <w:szCs w:val="24"/>
        </w:rPr>
        <w:t xml:space="preserve"> cómo funciona nuestro cerebro. Diversos centros se han puesto en marcha en todo el planeta para averiguar cuáles son los métodos más útiles de aprendizaje, como son el Centre for Educational Neuroscience en el Reino Unido o diversas iniciativas de la National Academy of Science americana. </w:t>
      </w:r>
      <w:r w:rsidRPr="00EE5702">
        <w:rPr>
          <w:rFonts w:ascii="Times New Roman" w:hAnsi="Times New Roman" w:cs="Times New Roman"/>
          <w:sz w:val="24"/>
          <w:szCs w:val="24"/>
          <w:u w:val="single"/>
        </w:rPr>
        <w:t>Se han llegado a diversas conclusiones en todos los ámbitos de la educación, pero en términos generales, se ha puesto de relieve la importancia de las emociones en el aprendizaje, el papel que ambos hemisferios del cerebro juegan a la hora de adquirir conocimiento y la existencia de modelos muy distintos de inteligencia.</w:t>
      </w:r>
    </w:p>
    <w:p w:rsidR="007E6609" w:rsidRPr="00EE5702" w:rsidRDefault="007E6609" w:rsidP="00550638">
      <w:pPr>
        <w:numPr>
          <w:ilvl w:val="0"/>
          <w:numId w:val="13"/>
        </w:numPr>
        <w:spacing w:before="100" w:beforeAutospacing="1" w:after="100" w:afterAutospacing="1" w:line="240" w:lineRule="auto"/>
        <w:jc w:val="both"/>
        <w:rPr>
          <w:rFonts w:ascii="Times New Roman" w:hAnsi="Times New Roman" w:cs="Times New Roman"/>
          <w:sz w:val="24"/>
          <w:szCs w:val="24"/>
          <w:u w:val="single"/>
        </w:rPr>
      </w:pPr>
      <w:r w:rsidRPr="00EE5702">
        <w:rPr>
          <w:rFonts w:ascii="Times New Roman" w:hAnsi="Times New Roman" w:cs="Times New Roman"/>
          <w:b/>
          <w:bCs/>
          <w:color w:val="FF0000"/>
          <w:sz w:val="24"/>
          <w:szCs w:val="24"/>
        </w:rPr>
        <w:t xml:space="preserve">El final del </w:t>
      </w:r>
      <w:r w:rsidR="00B925D3">
        <w:rPr>
          <w:rFonts w:ascii="Times New Roman" w:hAnsi="Times New Roman" w:cs="Times New Roman"/>
          <w:b/>
          <w:bCs/>
          <w:color w:val="FF0000"/>
          <w:sz w:val="24"/>
          <w:szCs w:val="24"/>
        </w:rPr>
        <w:t>“</w:t>
      </w:r>
      <w:r w:rsidRPr="00B925D3">
        <w:rPr>
          <w:rFonts w:ascii="Times New Roman" w:hAnsi="Times New Roman" w:cs="Times New Roman"/>
          <w:b/>
          <w:bCs/>
          <w:iCs/>
          <w:color w:val="FF0000"/>
          <w:sz w:val="24"/>
          <w:szCs w:val="24"/>
        </w:rPr>
        <w:t>bullying</w:t>
      </w:r>
      <w:r w:rsidR="00B925D3">
        <w:rPr>
          <w:rFonts w:ascii="Times New Roman" w:hAnsi="Times New Roman" w:cs="Times New Roman"/>
          <w:b/>
          <w:bCs/>
          <w:iCs/>
          <w:color w:val="FF0000"/>
          <w:sz w:val="24"/>
          <w:szCs w:val="24"/>
        </w:rPr>
        <w:t>”</w:t>
      </w:r>
      <w:r w:rsidRPr="00FE0917">
        <w:rPr>
          <w:rFonts w:ascii="Times New Roman" w:hAnsi="Times New Roman" w:cs="Times New Roman"/>
          <w:b/>
          <w:bCs/>
          <w:sz w:val="24"/>
          <w:szCs w:val="24"/>
        </w:rPr>
        <w:t>.</w:t>
      </w:r>
      <w:r w:rsidRPr="00FE0917">
        <w:rPr>
          <w:rFonts w:ascii="Times New Roman" w:hAnsi="Times New Roman" w:cs="Times New Roman"/>
          <w:sz w:val="24"/>
          <w:szCs w:val="24"/>
        </w:rPr>
        <w:t xml:space="preserve"> Hasta que a comienzos de los años noventa el psicólogo </w:t>
      </w:r>
      <w:r w:rsidRPr="004302F5">
        <w:rPr>
          <w:rFonts w:ascii="Times New Roman" w:hAnsi="Times New Roman" w:cs="Times New Roman"/>
          <w:bCs/>
          <w:sz w:val="24"/>
          <w:szCs w:val="24"/>
        </w:rPr>
        <w:t>Dan Olweus</w:t>
      </w:r>
      <w:r w:rsidRPr="00FE0917">
        <w:rPr>
          <w:rFonts w:ascii="Times New Roman" w:hAnsi="Times New Roman" w:cs="Times New Roman"/>
          <w:sz w:val="24"/>
          <w:szCs w:val="24"/>
        </w:rPr>
        <w:t xml:space="preserve"> utilizó el concepto de </w:t>
      </w:r>
      <w:r w:rsidR="00822CE7">
        <w:rPr>
          <w:rFonts w:ascii="Times New Roman" w:hAnsi="Times New Roman" w:cs="Times New Roman"/>
          <w:sz w:val="24"/>
          <w:szCs w:val="24"/>
        </w:rPr>
        <w:t>“</w:t>
      </w:r>
      <w:r w:rsidRPr="00822CE7">
        <w:rPr>
          <w:rFonts w:ascii="Times New Roman" w:hAnsi="Times New Roman" w:cs="Times New Roman"/>
          <w:iCs/>
          <w:sz w:val="24"/>
          <w:szCs w:val="24"/>
        </w:rPr>
        <w:t>bullying</w:t>
      </w:r>
      <w:r w:rsidR="00822CE7">
        <w:rPr>
          <w:rFonts w:ascii="Times New Roman" w:hAnsi="Times New Roman" w:cs="Times New Roman"/>
          <w:iCs/>
          <w:sz w:val="24"/>
          <w:szCs w:val="24"/>
        </w:rPr>
        <w:t>”</w:t>
      </w:r>
      <w:r w:rsidRPr="00FE0917">
        <w:rPr>
          <w:rFonts w:ascii="Times New Roman" w:hAnsi="Times New Roman" w:cs="Times New Roman"/>
          <w:sz w:val="24"/>
          <w:szCs w:val="24"/>
        </w:rPr>
        <w:t xml:space="preserve"> para dar nombre a las conductas de agresión, física o psicológica, entre escolares, pocos se habían preocupado por las consecuencias que estos casos, muchas veces calificados como “meras chiquilladas”, podían tener en el desarrollo del niño. La concienciación de la sociedad sobre este problema ha provocado que gran parte de los países occidentales gocen de una mayor legislación sobre este aspecto, y los profesores gozan de una mejor preparación para afrontar estas situaciones. </w:t>
      </w:r>
      <w:r w:rsidRPr="00EE5702">
        <w:rPr>
          <w:rFonts w:ascii="Times New Roman" w:hAnsi="Times New Roman" w:cs="Times New Roman"/>
          <w:sz w:val="24"/>
          <w:szCs w:val="24"/>
          <w:u w:val="single"/>
        </w:rPr>
        <w:t xml:space="preserve">La virtualización de la enseñanza provocará que las agresiones físicas disminuyan, pero al mismo </w:t>
      </w:r>
      <w:r w:rsidRPr="00EE5702">
        <w:rPr>
          <w:rFonts w:ascii="Times New Roman" w:hAnsi="Times New Roman" w:cs="Times New Roman"/>
          <w:sz w:val="24"/>
          <w:szCs w:val="24"/>
          <w:u w:val="single"/>
        </w:rPr>
        <w:lastRenderedPageBreak/>
        <w:t xml:space="preserve">tiempo, </w:t>
      </w:r>
      <w:r w:rsidR="004165C0">
        <w:rPr>
          <w:rFonts w:ascii="Times New Roman" w:hAnsi="Times New Roman" w:cs="Times New Roman"/>
          <w:sz w:val="24"/>
          <w:szCs w:val="24"/>
          <w:u w:val="single"/>
        </w:rPr>
        <w:t>que aumente el tan preocupante -</w:t>
      </w:r>
      <w:r w:rsidRPr="00EE5702">
        <w:rPr>
          <w:rFonts w:ascii="Times New Roman" w:hAnsi="Times New Roman" w:cs="Times New Roman"/>
          <w:sz w:val="24"/>
          <w:szCs w:val="24"/>
          <w:u w:val="single"/>
        </w:rPr>
        <w:t xml:space="preserve">por difícil </w:t>
      </w:r>
      <w:r w:rsidR="004165C0">
        <w:rPr>
          <w:rFonts w:ascii="Times New Roman" w:hAnsi="Times New Roman" w:cs="Times New Roman"/>
          <w:sz w:val="24"/>
          <w:szCs w:val="24"/>
          <w:u w:val="single"/>
        </w:rPr>
        <w:t>de identificar-</w:t>
      </w:r>
      <w:r w:rsidRPr="00EE5702">
        <w:rPr>
          <w:rFonts w:ascii="Times New Roman" w:hAnsi="Times New Roman" w:cs="Times New Roman"/>
          <w:sz w:val="24"/>
          <w:szCs w:val="24"/>
          <w:u w:val="single"/>
        </w:rPr>
        <w:t xml:space="preserve"> </w:t>
      </w:r>
      <w:r w:rsidR="00822CE7">
        <w:rPr>
          <w:rFonts w:ascii="Times New Roman" w:hAnsi="Times New Roman" w:cs="Times New Roman"/>
          <w:sz w:val="24"/>
          <w:szCs w:val="24"/>
          <w:u w:val="single"/>
        </w:rPr>
        <w:t>“</w:t>
      </w:r>
      <w:r w:rsidRPr="00822CE7">
        <w:rPr>
          <w:rFonts w:ascii="Times New Roman" w:hAnsi="Times New Roman" w:cs="Times New Roman"/>
          <w:iCs/>
          <w:sz w:val="24"/>
          <w:szCs w:val="24"/>
          <w:u w:val="single"/>
        </w:rPr>
        <w:t>cyberbullying</w:t>
      </w:r>
      <w:r w:rsidR="00822CE7">
        <w:rPr>
          <w:rFonts w:ascii="Times New Roman" w:hAnsi="Times New Roman" w:cs="Times New Roman"/>
          <w:iCs/>
          <w:sz w:val="24"/>
          <w:szCs w:val="24"/>
          <w:u w:val="single"/>
        </w:rPr>
        <w:t>”</w:t>
      </w:r>
      <w:r w:rsidRPr="00822CE7">
        <w:rPr>
          <w:rFonts w:ascii="Times New Roman" w:hAnsi="Times New Roman" w:cs="Times New Roman"/>
          <w:sz w:val="24"/>
          <w:szCs w:val="24"/>
          <w:u w:val="single"/>
        </w:rPr>
        <w:t>.</w:t>
      </w:r>
      <w:r w:rsidRPr="00EE5702">
        <w:rPr>
          <w:rFonts w:ascii="Times New Roman" w:hAnsi="Times New Roman" w:cs="Times New Roman"/>
          <w:sz w:val="24"/>
          <w:szCs w:val="24"/>
          <w:u w:val="single"/>
        </w:rPr>
        <w:t xml:space="preserve"> </w:t>
      </w:r>
    </w:p>
    <w:p w:rsidR="004302F5" w:rsidRDefault="007E6609" w:rsidP="004302F5">
      <w:pPr>
        <w:numPr>
          <w:ilvl w:val="0"/>
          <w:numId w:val="14"/>
        </w:numPr>
        <w:spacing w:before="100" w:beforeAutospacing="1" w:after="100" w:afterAutospacing="1" w:line="240" w:lineRule="auto"/>
        <w:jc w:val="both"/>
        <w:rPr>
          <w:rFonts w:ascii="Times New Roman" w:hAnsi="Times New Roman" w:cs="Times New Roman"/>
          <w:sz w:val="24"/>
          <w:szCs w:val="24"/>
        </w:rPr>
      </w:pPr>
      <w:r w:rsidRPr="00EE5702">
        <w:rPr>
          <w:rFonts w:ascii="Times New Roman" w:hAnsi="Times New Roman" w:cs="Times New Roman"/>
          <w:b/>
          <w:bCs/>
          <w:color w:val="FF0000"/>
          <w:sz w:val="24"/>
          <w:szCs w:val="24"/>
        </w:rPr>
        <w:t>Una educación definida por las empresas</w:t>
      </w:r>
      <w:r w:rsidRPr="00FE0917">
        <w:rPr>
          <w:rFonts w:ascii="Times New Roman" w:hAnsi="Times New Roman" w:cs="Times New Roman"/>
          <w:b/>
          <w:bCs/>
          <w:sz w:val="24"/>
          <w:szCs w:val="24"/>
        </w:rPr>
        <w:t xml:space="preserve">. </w:t>
      </w:r>
      <w:r w:rsidRPr="00EE5702">
        <w:rPr>
          <w:rFonts w:ascii="Times New Roman" w:hAnsi="Times New Roman" w:cs="Times New Roman"/>
          <w:sz w:val="24"/>
          <w:szCs w:val="24"/>
          <w:u w:val="single"/>
        </w:rPr>
        <w:t>El proceso ya ha comenzado. Ante la constante queja de que el mundo educativo y el mundo laboral recorren caminos separados, el liberalismo económico ha defendido la idea de que la educación ha de adaptarse a la empresa, tanto para garantizar el futuro laboral de los estudiantes (dicen sus partidarios), como para obtener trabajadores ya adaptados a cada perfil demandado (dicen sus críticos).</w:t>
      </w:r>
      <w:r w:rsidRPr="00FE0917">
        <w:rPr>
          <w:rFonts w:ascii="Times New Roman" w:hAnsi="Times New Roman" w:cs="Times New Roman"/>
          <w:sz w:val="24"/>
          <w:szCs w:val="24"/>
        </w:rPr>
        <w:t xml:space="preserve"> En ese sentido, leyes españolas como la de la Formación Profesional Dual, que favorece la participación de las empresas en la educación a través de convenios con cada centro, o diversas directivas de la Comunidad Europea, suponen un importante salto a la hora de que el modelo formativo se adapte al mercado.</w:t>
      </w:r>
    </w:p>
    <w:p w:rsidR="004302F5" w:rsidRPr="004302F5" w:rsidRDefault="007E6609" w:rsidP="004302F5">
      <w:pPr>
        <w:numPr>
          <w:ilvl w:val="0"/>
          <w:numId w:val="14"/>
        </w:numPr>
        <w:spacing w:before="100" w:beforeAutospacing="1" w:after="100" w:afterAutospacing="1" w:line="240" w:lineRule="auto"/>
        <w:jc w:val="both"/>
        <w:rPr>
          <w:rFonts w:ascii="Times New Roman" w:hAnsi="Times New Roman" w:cs="Times New Roman"/>
          <w:sz w:val="24"/>
          <w:szCs w:val="24"/>
        </w:rPr>
      </w:pPr>
      <w:r w:rsidRPr="004302F5">
        <w:rPr>
          <w:rFonts w:ascii="Times New Roman" w:hAnsi="Times New Roman" w:cs="Times New Roman"/>
          <w:b/>
          <w:bCs/>
          <w:color w:val="FF0000"/>
          <w:sz w:val="24"/>
          <w:szCs w:val="24"/>
        </w:rPr>
        <w:t>La desaparición de la escuela</w:t>
      </w:r>
      <w:r w:rsidRPr="004302F5">
        <w:rPr>
          <w:rFonts w:ascii="Times New Roman" w:hAnsi="Times New Roman" w:cs="Times New Roman"/>
          <w:b/>
          <w:bCs/>
          <w:sz w:val="24"/>
          <w:szCs w:val="24"/>
        </w:rPr>
        <w:t>.</w:t>
      </w:r>
      <w:r w:rsidRPr="004302F5">
        <w:rPr>
          <w:rFonts w:ascii="Times New Roman" w:hAnsi="Times New Roman" w:cs="Times New Roman"/>
          <w:sz w:val="24"/>
          <w:szCs w:val="24"/>
        </w:rPr>
        <w:t xml:space="preserve"> </w:t>
      </w:r>
      <w:r w:rsidRPr="004302F5">
        <w:rPr>
          <w:rFonts w:ascii="Times New Roman" w:hAnsi="Times New Roman" w:cs="Times New Roman"/>
          <w:sz w:val="24"/>
          <w:szCs w:val="24"/>
          <w:u w:val="single"/>
        </w:rPr>
        <w:t>En última instancia, cabe la posibilidad de que el colegio, tal y como lo conocemos hoy en día, desaparezca. Algunos afirman que porque el centro escolar como tal desaparecerá, y la educación se trasladará a la esfera privada de cada hogar.</w:t>
      </w:r>
      <w:r w:rsidRPr="004302F5">
        <w:rPr>
          <w:rFonts w:ascii="Times New Roman" w:hAnsi="Times New Roman" w:cs="Times New Roman"/>
          <w:sz w:val="24"/>
          <w:szCs w:val="24"/>
        </w:rPr>
        <w:t xml:space="preserve"> Otros, porque anticipan la aparición de nuevos centros que no se destinarán únicamente a impartir clases, sino donde también los niños podrán realizar deporte, jugar con sus compañeros, comer, cenar, pasar su tiempo libre… </w:t>
      </w:r>
      <w:r w:rsidRPr="004302F5">
        <w:rPr>
          <w:rFonts w:ascii="Times New Roman" w:hAnsi="Times New Roman" w:cs="Times New Roman"/>
          <w:color w:val="FF0000"/>
          <w:sz w:val="24"/>
          <w:szCs w:val="24"/>
          <w:u w:val="single"/>
        </w:rPr>
        <w:t>En cualquier caso, lo que está claro es que, en un sentido u otro, los horarios de nueve a tres están mucho más cerca de extinguirse de lo que pensamos.</w:t>
      </w:r>
    </w:p>
    <w:p w:rsidR="00EA5ECF" w:rsidRPr="00EA5ECF" w:rsidRDefault="00EA5ECF" w:rsidP="00550638">
      <w:pPr>
        <w:pStyle w:val="NormalWeb"/>
        <w:jc w:val="both"/>
        <w:rPr>
          <w:u w:val="single"/>
        </w:rPr>
      </w:pPr>
      <w:r w:rsidRPr="00EA5ECF">
        <w:rPr>
          <w:u w:val="single"/>
        </w:rPr>
        <w:t>Los expertos aseguran que lo más importante para tener un sistema educativo de calidad es atraer a buenos profesores y motivarlos correctamente.</w:t>
      </w:r>
    </w:p>
    <w:p w:rsidR="00EA5ECF" w:rsidRPr="00A8596F" w:rsidRDefault="00EA5ECF" w:rsidP="00550638">
      <w:pPr>
        <w:pStyle w:val="NormalWeb"/>
        <w:jc w:val="both"/>
      </w:pPr>
      <w:r>
        <w:rPr>
          <w:i/>
        </w:rPr>
        <w:t>“</w:t>
      </w:r>
      <w:r w:rsidR="007E6609" w:rsidRPr="00EA5ECF">
        <w:rPr>
          <w:i/>
        </w:rPr>
        <w:t xml:space="preserve">Lo más importante para conseguir una </w:t>
      </w:r>
      <w:r w:rsidR="007E6609" w:rsidRPr="00EA5ECF">
        <w:rPr>
          <w:rStyle w:val="Textoennegrita"/>
          <w:b w:val="0"/>
          <w:i/>
        </w:rPr>
        <w:t>escuela de calidad es tener buenos profesores</w:t>
      </w:r>
      <w:r w:rsidR="007E6609" w:rsidRPr="00EA5ECF">
        <w:rPr>
          <w:i/>
        </w:rPr>
        <w:t>. Parece una verdad de Perogrullo, pero lo cierto es que en el debate sobre el sistema educativo no siempre se tiene en cuenta. En muchas ocasiones, se pone el acento en cuestiones como el gasto total medido en relación con el PIB, el número de alumnos por aula o los diferentes planes educativos. Sin embargo, la mayoría de los estudios internacionales aseguran que estos aspectos son secundarios, aunque hay algo en lo que coinciden todos los modelos de éxito, desde Finlandia a Singapur: tienen unos maestros excelentes</w:t>
      </w:r>
      <w:r>
        <w:rPr>
          <w:i/>
        </w:rPr>
        <w:t>”..</w:t>
      </w:r>
      <w:r w:rsidR="007E6609" w:rsidRPr="00EA5ECF">
        <w:rPr>
          <w:i/>
        </w:rPr>
        <w:t>.</w:t>
      </w:r>
      <w:r>
        <w:rPr>
          <w:i/>
        </w:rPr>
        <w:t xml:space="preserve"> </w:t>
      </w:r>
      <w:r w:rsidRPr="00A8596F">
        <w:rPr>
          <w:u w:val="single"/>
        </w:rPr>
        <w:t>¿Cómo reclutan e incentivan a sus maestros los países más exitosos?</w:t>
      </w:r>
      <w:r>
        <w:t xml:space="preserve"> (Libertad Digital - </w:t>
      </w:r>
      <w:r w:rsidRPr="00A8596F">
        <w:rPr>
          <w:b/>
        </w:rPr>
        <w:t>15/3/13</w:t>
      </w:r>
      <w:r>
        <w:t>)</w:t>
      </w:r>
    </w:p>
    <w:p w:rsidR="007E6609" w:rsidRPr="00E64712" w:rsidRDefault="007E6609" w:rsidP="00550638">
      <w:pPr>
        <w:pStyle w:val="NormalWeb"/>
        <w:jc w:val="both"/>
      </w:pPr>
      <w:r w:rsidRPr="00E64712">
        <w:t xml:space="preserve">La importancia de un buen profesor no debe ser subestimada. En los últimos años, en España, </w:t>
      </w:r>
      <w:hyperlink r:id="rId180" w:history="1">
        <w:r w:rsidRPr="00E64712">
          <w:rPr>
            <w:rStyle w:val="Hipervnculo"/>
            <w:rFonts w:eastAsiaTheme="majorEastAsia"/>
            <w:color w:val="auto"/>
            <w:u w:val="none"/>
          </w:rPr>
          <w:t>Fedea</w:t>
        </w:r>
      </w:hyperlink>
      <w:r w:rsidRPr="00E64712">
        <w:t xml:space="preserve"> (especialmente con los trabajos de </w:t>
      </w:r>
      <w:hyperlink r:id="rId181" w:history="1">
        <w:r w:rsidRPr="00E64712">
          <w:rPr>
            <w:rStyle w:val="Hipervnculo"/>
            <w:rFonts w:eastAsiaTheme="majorEastAsia"/>
            <w:color w:val="auto"/>
            <w:u w:val="none"/>
          </w:rPr>
          <w:t>Antonio Cabrales</w:t>
        </w:r>
      </w:hyperlink>
      <w:r w:rsidRPr="00E64712">
        <w:t xml:space="preserve"> y </w:t>
      </w:r>
      <w:hyperlink r:id="rId182" w:history="1">
        <w:r w:rsidRPr="00E64712">
          <w:rPr>
            <w:rStyle w:val="Hipervnculo"/>
            <w:rFonts w:eastAsiaTheme="majorEastAsia"/>
            <w:color w:val="auto"/>
            <w:u w:val="none"/>
          </w:rPr>
          <w:t>Florentino Felgueroso</w:t>
        </w:r>
      </w:hyperlink>
      <w:r w:rsidRPr="00E64712">
        <w:t xml:space="preserve">) ha sido una de las instituciones que más y </w:t>
      </w:r>
      <w:r w:rsidRPr="00E64712">
        <w:rPr>
          <w:rStyle w:val="Textoennegrita"/>
          <w:b w:val="0"/>
        </w:rPr>
        <w:t>mejor ha investigado, con cifras y un análisis económico serio</w:t>
      </w:r>
      <w:r w:rsidRPr="00E64712">
        <w:t xml:space="preserve">, cuáles son los problemas del sistema educativo. Según sus datos, recogidos en esta </w:t>
      </w:r>
      <w:hyperlink r:id="rId183" w:history="1">
        <w:r w:rsidRPr="00E64712">
          <w:rPr>
            <w:rStyle w:val="Hipervnculo"/>
            <w:rFonts w:eastAsiaTheme="majorEastAsia"/>
            <w:color w:val="auto"/>
            <w:u w:val="none"/>
          </w:rPr>
          <w:t>pequeña presentación</w:t>
        </w:r>
      </w:hyperlink>
      <w:r w:rsidRPr="00E64712">
        <w:t xml:space="preserve">, </w:t>
      </w:r>
      <w:r w:rsidR="005749B0" w:rsidRPr="00E64712">
        <w:t>“</w:t>
      </w:r>
      <w:r w:rsidRPr="00E64712">
        <w:t>sustituir el 10% de profesores peores por profesores en la media de la distribución nos llevaría al nivel de Canadá en PISA; y esto bastaría para subir el crecimiento económi</w:t>
      </w:r>
      <w:r w:rsidR="005749B0" w:rsidRPr="00E64712">
        <w:t>co y doblar la renta en 20 años”</w:t>
      </w:r>
      <w:r w:rsidRPr="00E64712">
        <w:t>.</w:t>
      </w:r>
    </w:p>
    <w:p w:rsidR="007E6609" w:rsidRPr="005749B0" w:rsidRDefault="007E6609" w:rsidP="00550638">
      <w:pPr>
        <w:pStyle w:val="NormalWeb"/>
        <w:jc w:val="both"/>
      </w:pPr>
      <w:r w:rsidRPr="005749B0">
        <w:t xml:space="preserve">A pesar de todo lo que se escucha en los medios en los últimos meses, el último </w:t>
      </w:r>
      <w:hyperlink r:id="rId184" w:anchor="pisa2009_1" w:history="1">
        <w:r w:rsidRPr="005749B0">
          <w:rPr>
            <w:rStyle w:val="Hipervnculo"/>
            <w:rFonts w:eastAsiaTheme="majorEastAsia"/>
            <w:color w:val="auto"/>
            <w:u w:val="none"/>
          </w:rPr>
          <w:t>informe de PISA</w:t>
        </w:r>
      </w:hyperlink>
      <w:r w:rsidRPr="005749B0">
        <w:t xml:space="preserve"> (el </w:t>
      </w:r>
      <w:hyperlink r:id="rId185" w:history="1">
        <w:r w:rsidRPr="005749B0">
          <w:rPr>
            <w:rStyle w:val="Hipervnculo"/>
            <w:rFonts w:eastAsiaTheme="majorEastAsia"/>
            <w:color w:val="auto"/>
            <w:u w:val="none"/>
          </w:rPr>
          <w:t>estudio de la OCDE</w:t>
        </w:r>
      </w:hyperlink>
      <w:r w:rsidRPr="005749B0">
        <w:t xml:space="preserve"> que es considerado la prueba más fiable para comparar los sistemas de los diferentes países) destaca que llegados a un nivel de gasto mínimo, que todos los países occidentales alcanzan, el</w:t>
      </w:r>
      <w:r w:rsidRPr="005749B0">
        <w:rPr>
          <w:rStyle w:val="Textoennegrita"/>
        </w:rPr>
        <w:t xml:space="preserve"> </w:t>
      </w:r>
      <w:r w:rsidRPr="005749B0">
        <w:rPr>
          <w:rStyle w:val="Textoennegrita"/>
          <w:b w:val="0"/>
        </w:rPr>
        <w:t>dinero invertido por alumno no es un factor determinante en los resultados</w:t>
      </w:r>
      <w:r w:rsidRPr="005749B0">
        <w:t>. Mientras tanto, la calidad de los profesores aparece como el elemento más importante para las buenas notas de los estudiantes.</w:t>
      </w:r>
    </w:p>
    <w:p w:rsidR="007E6609" w:rsidRPr="005749B0" w:rsidRDefault="007E6609" w:rsidP="00550638">
      <w:pPr>
        <w:pStyle w:val="NormalWeb"/>
        <w:jc w:val="both"/>
      </w:pPr>
      <w:r w:rsidRPr="005749B0">
        <w:lastRenderedPageBreak/>
        <w:t xml:space="preserve">En el mismo sentido, la consultora </w:t>
      </w:r>
      <w:hyperlink r:id="rId186" w:history="1">
        <w:r w:rsidRPr="005749B0">
          <w:rPr>
            <w:rStyle w:val="Hipervnculo"/>
            <w:rFonts w:eastAsiaTheme="majorEastAsia"/>
            <w:color w:val="auto"/>
            <w:u w:val="none"/>
          </w:rPr>
          <w:t>McKinsey publicó</w:t>
        </w:r>
      </w:hyperlink>
      <w:r w:rsidRPr="005749B0">
        <w:t xml:space="preserve"> en 2007 su </w:t>
      </w:r>
      <w:hyperlink r:id="rId187" w:history="1">
        <w:r w:rsidRPr="005749B0">
          <w:rPr>
            <w:rStyle w:val="Hipervnculo"/>
            <w:rFonts w:eastAsiaTheme="majorEastAsia"/>
            <w:color w:val="auto"/>
            <w:u w:val="none"/>
          </w:rPr>
          <w:t>informe</w:t>
        </w:r>
      </w:hyperlink>
      <w:r w:rsidRPr="005749B0">
        <w:t xml:space="preserve"> </w:t>
      </w:r>
      <w:r w:rsidRPr="005749B0">
        <w:rPr>
          <w:rStyle w:val="nfasis"/>
        </w:rPr>
        <w:t>Cómo hicieron los sistemas educativos con mejor desempeño del mundo para alcanzar sus objetivos</w:t>
      </w:r>
      <w:r w:rsidRPr="005749B0">
        <w:t xml:space="preserve">. Su principal conclusión es que los países con mejores resultados han basado su desempeño en tres claves: 1) </w:t>
      </w:r>
      <w:r w:rsidRPr="005749B0">
        <w:rPr>
          <w:rStyle w:val="Textoennegrita"/>
          <w:b w:val="0"/>
        </w:rPr>
        <w:t>conseguir a las personas más aptas para ejercer la docencia</w:t>
      </w:r>
      <w:r w:rsidRPr="005749B0">
        <w:t>, 2) desarrollarlas hasta convertirlas en instructores eficientes y 3) garantizar que el sistema sea capaz de brindar la mejor instrucc</w:t>
      </w:r>
      <w:r w:rsidR="006E46BA">
        <w:t>ión posible a todos los niños. “</w:t>
      </w:r>
      <w:r w:rsidRPr="005749B0">
        <w:t>La calidad de un sistema educativo tiene como tech</w:t>
      </w:r>
      <w:r w:rsidR="006E46BA">
        <w:t>o la calidad de sus docentes”</w:t>
      </w:r>
      <w:r w:rsidRPr="005749B0">
        <w:t>, aseguran sus autores.</w:t>
      </w:r>
    </w:p>
    <w:p w:rsidR="007E6609" w:rsidRPr="005749B0" w:rsidRDefault="007E6609" w:rsidP="00550638">
      <w:pPr>
        <w:pStyle w:val="NormalWeb"/>
        <w:jc w:val="both"/>
      </w:pPr>
      <w:r w:rsidRPr="005749B0">
        <w:t xml:space="preserve">Una vez que esto está claro, la pregunta que todos nos hacemos es cómo conseguir a estos grandes maestros. La respuesta está en </w:t>
      </w:r>
      <w:r w:rsidRPr="005749B0">
        <w:rPr>
          <w:rStyle w:val="Textoennegrita"/>
          <w:b w:val="0"/>
        </w:rPr>
        <w:t>un buen proceso de selección, que atraiga a los jóvenes más brillantes</w:t>
      </w:r>
      <w:r w:rsidRPr="005749B0">
        <w:t xml:space="preserve"> y con vocación; y en la creación de una carrera profesional con los mejores incentivos, que ayude a progresar a los mejores, les premie y recompense como merecen y esperan. Desgraciadamente, </w:t>
      </w:r>
      <w:hyperlink r:id="rId188" w:history="1">
        <w:r w:rsidRPr="005749B0">
          <w:rPr>
            <w:rStyle w:val="Hipervnculo"/>
            <w:rFonts w:eastAsiaTheme="majorEastAsia"/>
            <w:color w:val="auto"/>
            <w:u w:val="none"/>
          </w:rPr>
          <w:t>España no destaca</w:t>
        </w:r>
      </w:hyperlink>
      <w:r w:rsidRPr="005749B0">
        <w:t xml:space="preserve"> ni en una ni otra cosa y eso se nota en los resultados de las pruebas internacionales como PISA.</w:t>
      </w:r>
    </w:p>
    <w:p w:rsidR="007E6609" w:rsidRPr="005749B0" w:rsidRDefault="007E6609" w:rsidP="00550638">
      <w:pPr>
        <w:pStyle w:val="Ttulo2"/>
        <w:spacing w:line="240" w:lineRule="auto"/>
        <w:jc w:val="both"/>
        <w:rPr>
          <w:rFonts w:ascii="Times New Roman" w:hAnsi="Times New Roman" w:cs="Times New Roman"/>
          <w:color w:val="auto"/>
          <w:sz w:val="24"/>
          <w:szCs w:val="24"/>
        </w:rPr>
      </w:pPr>
      <w:r w:rsidRPr="005749B0">
        <w:rPr>
          <w:rStyle w:val="Textoennegrita"/>
          <w:rFonts w:ascii="Times New Roman" w:hAnsi="Times New Roman" w:cs="Times New Roman"/>
          <w:color w:val="auto"/>
          <w:sz w:val="24"/>
          <w:szCs w:val="24"/>
        </w:rPr>
        <w:t>Las claves</w:t>
      </w:r>
    </w:p>
    <w:p w:rsidR="007E6609" w:rsidRPr="00A8596F" w:rsidRDefault="007E6609" w:rsidP="00550638">
      <w:pPr>
        <w:pStyle w:val="NormalWeb"/>
        <w:jc w:val="both"/>
      </w:pPr>
      <w:r w:rsidRPr="00A8596F">
        <w:t xml:space="preserve">En su </w:t>
      </w:r>
      <w:hyperlink r:id="rId189" w:history="1">
        <w:r w:rsidRPr="00E64712">
          <w:rPr>
            <w:rStyle w:val="Hipervnculo"/>
            <w:rFonts w:eastAsiaTheme="majorEastAsia"/>
            <w:i/>
            <w:iCs/>
            <w:color w:val="auto"/>
            <w:u w:val="none"/>
          </w:rPr>
          <w:t>Manifiesto</w:t>
        </w:r>
      </w:hyperlink>
      <w:r w:rsidRPr="00E64712">
        <w:rPr>
          <w:rStyle w:val="nfasis"/>
        </w:rPr>
        <w:t xml:space="preserve"> para mejorar el rendimiento del sector educativo en España</w:t>
      </w:r>
      <w:r w:rsidRPr="00E64712">
        <w:t xml:space="preserve">, </w:t>
      </w:r>
      <w:r w:rsidRPr="00A8596F">
        <w:t>Fedea toca algunas de las principales claves para captar a los mejores profesores posibles, una exigencia que debería ser compartida por buena parte de la sociedad, puesto que no hay ningún bien que las familias valoren tanto como la educación de sus hijos:</w:t>
      </w:r>
    </w:p>
    <w:p w:rsidR="007E6609" w:rsidRPr="005749B0" w:rsidRDefault="007E6609" w:rsidP="00550638">
      <w:pPr>
        <w:pStyle w:val="NormalWeb"/>
        <w:jc w:val="both"/>
      </w:pPr>
      <w:r w:rsidRPr="005749B0">
        <w:t xml:space="preserve">En la actualidad, la </w:t>
      </w:r>
      <w:r w:rsidRPr="005749B0">
        <w:rPr>
          <w:rStyle w:val="Textoennegrita"/>
          <w:b w:val="0"/>
        </w:rPr>
        <w:t>carrera profesional</w:t>
      </w:r>
      <w:r w:rsidRPr="005749B0">
        <w:t xml:space="preserve"> de los profesores y de los directores de centro depende exclusivamente del mero paso del tiempo y de su participación en actividades formativas regladas. Este esquema no sólo es anómalo en el contexto europeo sino que nos parece regresivo e ineficaz. Los profesionales </w:t>
      </w:r>
      <w:r w:rsidRPr="005749B0">
        <w:rPr>
          <w:rStyle w:val="Textoennegrita"/>
          <w:b w:val="0"/>
        </w:rPr>
        <w:t>deben ver recompensados los resultados</w:t>
      </w:r>
      <w:r w:rsidRPr="005749B0">
        <w:t xml:space="preserve"> conseguidos por sus alumnos, tanto para lograr su acreditación profesional como para su progresión profesional posterior. Los directores de centro deben tener </w:t>
      </w:r>
      <w:r w:rsidRPr="005749B0">
        <w:rPr>
          <w:rStyle w:val="Textoennegrita"/>
          <w:b w:val="0"/>
        </w:rPr>
        <w:t>mayor independencia</w:t>
      </w:r>
      <w:r w:rsidRPr="005749B0">
        <w:t xml:space="preserve"> para configurar sus plantillas y sus estrategias docentes, de nuevo, siempre sujetos a la verificación externa de los resultados conseguidos. Cuando hablamos de resultados es importante no premiar a los profesionales simplemente por tener la suerte de gestionar buenos estudiantes: la </w:t>
      </w:r>
      <w:r w:rsidRPr="005749B0">
        <w:rPr>
          <w:rStyle w:val="Textoennegrita"/>
          <w:b w:val="0"/>
        </w:rPr>
        <w:t>medición de los resultados obtenidos debe centrarse en el valor añadido</w:t>
      </w:r>
      <w:r w:rsidRPr="005749B0">
        <w:t xml:space="preserve"> del profesor o la escuela a las capacitaciones con que acceden los alumnos a la misma.</w:t>
      </w:r>
    </w:p>
    <w:p w:rsidR="007E6609" w:rsidRPr="005749B0" w:rsidRDefault="007E6609" w:rsidP="00550638">
      <w:pPr>
        <w:pStyle w:val="NormalWeb"/>
        <w:jc w:val="both"/>
      </w:pPr>
      <w:r w:rsidRPr="005749B0">
        <w:t>Siguiendo tanto estas indicaciones como los resultados del estudio de McKinsey, podríamos dividir en dos partes lo que un buen sistema debe ofrecer a los maestros:</w:t>
      </w:r>
    </w:p>
    <w:p w:rsidR="007E6609" w:rsidRPr="005749B0" w:rsidRDefault="007E6609" w:rsidP="00550638">
      <w:pPr>
        <w:pStyle w:val="NormalWeb"/>
        <w:jc w:val="both"/>
      </w:pPr>
      <w:r w:rsidRPr="005749B0">
        <w:rPr>
          <w:rStyle w:val="Textoennegrita"/>
          <w:b w:val="0"/>
        </w:rPr>
        <w:t xml:space="preserve">- Selección: </w:t>
      </w:r>
      <w:r w:rsidRPr="005749B0">
        <w:t>el proceso debe ser exigente y atrayente. Los sistemas con mejor desem</w:t>
      </w:r>
      <w:r w:rsidR="005749B0" w:rsidRPr="005749B0">
        <w:t>peño reclutan a los candidatos “</w:t>
      </w:r>
      <w:r w:rsidRPr="005749B0">
        <w:t>en el primer tercio de cada promoción de graduados de sus sistemas educativos: el primer 5% en Corea del Sur, el 10% superior en Finlandia y el 30% s</w:t>
      </w:r>
      <w:r w:rsidR="005749B0" w:rsidRPr="005749B0">
        <w:t>uperior en Singapur y Hong Kong”</w:t>
      </w:r>
      <w:r w:rsidRPr="005749B0">
        <w:t>. Es decir, que los mejores estudiantes de estos países quieren ser maestros. Es una profesión demandada y muy valorada por la sociedad.</w:t>
      </w:r>
    </w:p>
    <w:p w:rsidR="007E6609" w:rsidRPr="005749B0" w:rsidRDefault="007E6609" w:rsidP="00550638">
      <w:pPr>
        <w:pStyle w:val="NormalWeb"/>
        <w:jc w:val="both"/>
      </w:pPr>
      <w:r w:rsidRPr="005749B0">
        <w:t xml:space="preserve">¿Y cómo lo consiguen? Pues para empezar con unos exámenes exigentes que separan el trigo de la paja y premian a los que más se esfuerzan; un proceso normalmente asociado a la </w:t>
      </w:r>
      <w:r w:rsidRPr="005749B0">
        <w:rPr>
          <w:rStyle w:val="Textoennegrita"/>
          <w:b w:val="0"/>
        </w:rPr>
        <w:t>autonomía de los centros para contratar a los maestros</w:t>
      </w:r>
      <w:r w:rsidRPr="005749B0">
        <w:t xml:space="preserve">. En Finlandia, por ejemplo, existe una evaluación a nivel nacional, seguida de filtros por parte de las universidades </w:t>
      </w:r>
      <w:r w:rsidRPr="005749B0">
        <w:lastRenderedPageBreak/>
        <w:t>y, al final, la última decisión de contratación de cada profesor la tiene cada escuela de forma individual.</w:t>
      </w:r>
    </w:p>
    <w:p w:rsidR="007E6609" w:rsidRDefault="007E6609" w:rsidP="00550638">
      <w:pPr>
        <w:pStyle w:val="NormalWeb"/>
        <w:jc w:val="both"/>
      </w:pPr>
      <w:r w:rsidRPr="00A8596F">
        <w:rPr>
          <w:noProof/>
          <w:color w:val="0000FF"/>
        </w:rPr>
        <w:drawing>
          <wp:inline distT="0" distB="0" distL="0" distR="0" wp14:anchorId="3F0224ED" wp14:editId="504F6F77">
            <wp:extent cx="5420560" cy="3306470"/>
            <wp:effectExtent l="0" t="0" r="8890" b="8255"/>
            <wp:docPr id="13" name="Imagen 13" descr="http://s.libertaddigital.com/fotos/noticias/seleccion_profesores_finlandia.jpg">
              <a:hlinkClick xmlns:a="http://schemas.openxmlformats.org/drawingml/2006/main" r:id="rId19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s.libertaddigital.com/fotos/noticias/seleccion_profesores_finlandia.jpg">
                      <a:hlinkClick r:id="rId190"/>
                    </pic:cNvPr>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5422833" cy="3307856"/>
                    </a:xfrm>
                    <a:prstGeom prst="rect">
                      <a:avLst/>
                    </a:prstGeom>
                    <a:noFill/>
                    <a:ln>
                      <a:noFill/>
                    </a:ln>
                  </pic:spPr>
                </pic:pic>
              </a:graphicData>
            </a:graphic>
          </wp:inline>
        </w:drawing>
      </w:r>
    </w:p>
    <w:p w:rsidR="007E6609" w:rsidRPr="005749B0" w:rsidRDefault="007E6609" w:rsidP="00550638">
      <w:pPr>
        <w:pStyle w:val="NormalWeb"/>
        <w:jc w:val="both"/>
      </w:pPr>
      <w:r w:rsidRPr="005749B0">
        <w:t xml:space="preserve">Evidentemente, convencer a los jóvenes más brillantes para que quieran ser maestros requiere incentivarles de manera correcta. </w:t>
      </w:r>
      <w:r w:rsidRPr="005749B0">
        <w:rPr>
          <w:rStyle w:val="Textoennegrita"/>
          <w:b w:val="0"/>
        </w:rPr>
        <w:t>Cuando se habla de incentivos se piensa siempre en sueldos</w:t>
      </w:r>
      <w:r w:rsidRPr="005749B0">
        <w:t>, pero en el caso de los profesores no es lo único que importa. Un salario inicial alto ayuda, como es lógico; pero en una carrera en la que la vocación es tan importante, es fundamental reconocer el mérito más allá de la mera remuneración, con una carrera profesional que la sociedad valore en su justo término (algo en lo que, por otro lado, también el sueldo es un reflejo).</w:t>
      </w:r>
    </w:p>
    <w:p w:rsidR="007E6609" w:rsidRPr="005749B0" w:rsidRDefault="007E6609" w:rsidP="00550638">
      <w:pPr>
        <w:pStyle w:val="NormalWeb"/>
        <w:jc w:val="both"/>
      </w:pPr>
      <w:r w:rsidRPr="005749B0">
        <w:rPr>
          <w:rStyle w:val="Textoennegrita"/>
          <w:b w:val="0"/>
        </w:rPr>
        <w:t>- Carrera profesional:</w:t>
      </w:r>
      <w:r w:rsidRPr="005749B0">
        <w:t xml:space="preserve"> como decíamos antes, los estudios muestran que no tiene mucho sentido atraer talento si luego se desperdicia en una carrera profesional sin expectativas. En España, los profesores son </w:t>
      </w:r>
      <w:hyperlink r:id="rId192" w:history="1">
        <w:r w:rsidRPr="005749B0">
          <w:rPr>
            <w:rStyle w:val="Hipervnculo"/>
            <w:rFonts w:eastAsiaTheme="majorEastAsia"/>
            <w:color w:val="auto"/>
            <w:u w:val="none"/>
          </w:rPr>
          <w:t>funcionarios</w:t>
        </w:r>
      </w:hyperlink>
      <w:r w:rsidRPr="005749B0">
        <w:t xml:space="preserve">, con todo lo que eso implica: unas pruebas de selección que, aunque con un diseño muy mejorable, al menos sirven para premiar a los mejores (en este sentido, es interesante la iniciativa de la Comunidad de Madrid de dar más peso a los exámenes y menos a la antigüedad en el baremo de las oposiciones). El problema es que esta selección luego no tiene continuidad en </w:t>
      </w:r>
      <w:r w:rsidRPr="005749B0">
        <w:rPr>
          <w:rStyle w:val="Textoennegrita"/>
          <w:b w:val="0"/>
        </w:rPr>
        <w:t xml:space="preserve">un modelo que no premia al que lo hace bien </w:t>
      </w:r>
      <w:r w:rsidRPr="005749B0">
        <w:t>y no castiga al que lo hace mal. En general, podríamos decir que los maestros españoles son bastante buenos en potencia, pero se enfrentan a los peores estímulos posibles dentro de un sistema muy mal diseñado.</w:t>
      </w:r>
    </w:p>
    <w:p w:rsidR="007E6609" w:rsidRPr="005749B0" w:rsidRDefault="007E6609" w:rsidP="00550638">
      <w:pPr>
        <w:pStyle w:val="NormalWeb"/>
        <w:jc w:val="both"/>
      </w:pPr>
      <w:r w:rsidRPr="005749B0">
        <w:t>Los países que lo hacen bien motivan los docentes en dos direcciones: reconocimiento de su valía y recompensas para los mejores.</w:t>
      </w:r>
    </w:p>
    <w:p w:rsidR="007E6609" w:rsidRPr="005749B0" w:rsidRDefault="007E6609" w:rsidP="00550638">
      <w:pPr>
        <w:pStyle w:val="NormalWeb"/>
        <w:jc w:val="both"/>
      </w:pPr>
      <w:r w:rsidRPr="005749B0">
        <w:t xml:space="preserve">En cuanto a lo primero, siempre es complicado medir cómo se reconoce el trabajo de un buen maestro más allá de cuestiones monetarias. Un primer paso es, evidentemente, ofrecerle </w:t>
      </w:r>
      <w:r w:rsidRPr="005749B0">
        <w:rPr>
          <w:rStyle w:val="Textoennegrita"/>
          <w:b w:val="0"/>
        </w:rPr>
        <w:t>autonomía para que se organice según sus propios criterios</w:t>
      </w:r>
      <w:r w:rsidRPr="005749B0">
        <w:t xml:space="preserve"> y no de los del ministro de turno. Tanto en cuestiones académicas como disciplinarias, los sistemas más </w:t>
      </w:r>
      <w:r w:rsidRPr="005749B0">
        <w:lastRenderedPageBreak/>
        <w:t>exitosos del mundo dejan gran parte de las decisiones a pie de aula, en manos de los profesores o de los claustros.</w:t>
      </w:r>
    </w:p>
    <w:p w:rsidR="007E6609" w:rsidRPr="005749B0" w:rsidRDefault="007E6609" w:rsidP="00550638">
      <w:pPr>
        <w:pStyle w:val="NormalWeb"/>
        <w:jc w:val="both"/>
      </w:pPr>
      <w:r w:rsidRPr="005749B0">
        <w:t xml:space="preserve">Por supuesto, esta autonomía debe ir acompañada, para tener éxito, de un </w:t>
      </w:r>
      <w:r w:rsidRPr="005749B0">
        <w:rPr>
          <w:rStyle w:val="Textoennegrita"/>
          <w:b w:val="0"/>
        </w:rPr>
        <w:t>control de sus resultados</w:t>
      </w:r>
      <w:r w:rsidRPr="005749B0">
        <w:t xml:space="preserve">, normalmente vía exámenes estandarizados a lo largo de la vida escolar de los alumnos. De esta manera, la rendición de cuentas asegura que tanto los que lo hacen bien como los que lo hacen mal salen en la </w:t>
      </w:r>
      <w:r w:rsidRPr="005749B0">
        <w:rPr>
          <w:rStyle w:val="nfasis"/>
          <w:i w:val="0"/>
        </w:rPr>
        <w:t>foto</w:t>
      </w:r>
      <w:r w:rsidRPr="005749B0">
        <w:t>, con los poderosos efectos que esto tiene y con los estímulos que esto genera para padres, alumnos y profesores.</w:t>
      </w:r>
    </w:p>
    <w:p w:rsidR="007E6609" w:rsidRPr="005749B0" w:rsidRDefault="007E6609" w:rsidP="00550638">
      <w:pPr>
        <w:pStyle w:val="NormalWeb"/>
        <w:jc w:val="both"/>
      </w:pPr>
      <w:r w:rsidRPr="005749B0">
        <w:t xml:space="preserve">En lo que hace referencia a la </w:t>
      </w:r>
      <w:hyperlink r:id="rId193" w:history="1">
        <w:r w:rsidRPr="005749B0">
          <w:rPr>
            <w:rStyle w:val="Hipervnculo"/>
            <w:rFonts w:eastAsiaTheme="majorEastAsia"/>
            <w:color w:val="auto"/>
            <w:u w:val="none"/>
          </w:rPr>
          <w:t>publicación de resultados</w:t>
        </w:r>
      </w:hyperlink>
      <w:r w:rsidRPr="005749B0">
        <w:rPr>
          <w:rStyle w:val="Textoennegrita"/>
          <w:b w:val="0"/>
        </w:rPr>
        <w:t>,</w:t>
      </w:r>
      <w:r w:rsidRPr="005749B0">
        <w:t xml:space="preserve"> lo más acertado parece ser realizarlas por centro y siempre en términos relativos (es decir, teniendo en cuenta el punto de partida de los alumnos). De esta manera, se evita que los profesores intenten evitar a los grupos de alumnos más retrasados o no presten atención a estos estudiantes. Pero, como explican los autores del artículo referenciado, para que esto dé resultado entonces hay que volver a pensar en lo de la autonomía de los centros también en lo que se refiere a la contratación.</w:t>
      </w:r>
    </w:p>
    <w:p w:rsidR="007E6609" w:rsidRPr="005749B0" w:rsidRDefault="007E6609" w:rsidP="00550638">
      <w:pPr>
        <w:pStyle w:val="NormalWeb"/>
        <w:jc w:val="both"/>
      </w:pPr>
      <w:r w:rsidRPr="005749B0">
        <w:t xml:space="preserve">Normalmente, esta clase de reconocimiento social va acompañada de </w:t>
      </w:r>
      <w:r w:rsidRPr="005749B0">
        <w:rPr>
          <w:rStyle w:val="Textoennegrita"/>
          <w:b w:val="0"/>
        </w:rPr>
        <w:t>incentivos salariales más convencionales</w:t>
      </w:r>
      <w:r w:rsidRPr="005749B0">
        <w:t xml:space="preserve">. Es lógico. Por un lado, pagar más es una muy buena forma de agradecerle a alguien su labor en una cuestión tan importante. Además, el sueldo es una recompensa inmediata y tangible que permite que los que se esfuerzan vean recompensado su esfuerzo en el corto plazo. Aunque en España los </w:t>
      </w:r>
      <w:hyperlink r:id="rId194" w:history="1">
        <w:r w:rsidRPr="005749B0">
          <w:rPr>
            <w:rStyle w:val="Hipervnculo"/>
            <w:rFonts w:eastAsiaTheme="majorEastAsia"/>
            <w:color w:val="auto"/>
            <w:u w:val="none"/>
          </w:rPr>
          <w:t>docentes han rechazado</w:t>
        </w:r>
      </w:hyperlink>
      <w:r w:rsidRPr="005749B0">
        <w:t xml:space="preserve"> de forma reiterada ser </w:t>
      </w:r>
      <w:hyperlink r:id="rId195" w:history="1">
        <w:r w:rsidRPr="005749B0">
          <w:rPr>
            <w:rStyle w:val="Hipervnculo"/>
            <w:rFonts w:eastAsiaTheme="majorEastAsia"/>
            <w:color w:val="auto"/>
            <w:u w:val="none"/>
          </w:rPr>
          <w:t>evaluados</w:t>
        </w:r>
      </w:hyperlink>
      <w:r w:rsidRPr="005749B0">
        <w:t xml:space="preserve">, lo cierto es que establecer algún tipo de </w:t>
      </w:r>
      <w:hyperlink r:id="rId196" w:history="1">
        <w:r w:rsidRPr="005749B0">
          <w:rPr>
            <w:rStyle w:val="Hipervnculo"/>
            <w:rFonts w:eastAsiaTheme="majorEastAsia"/>
            <w:color w:val="auto"/>
            <w:u w:val="none"/>
          </w:rPr>
          <w:t>prima en función de sus resultados</w:t>
        </w:r>
      </w:hyperlink>
      <w:r w:rsidRPr="005749B0">
        <w:t xml:space="preserve"> (tanto desde el punto de vista positivo como negativo) se ha demostrado como un buen acicate en la mayoría de los sistemas que lo han puesto en práctica.</w:t>
      </w:r>
    </w:p>
    <w:p w:rsidR="007E6609" w:rsidRPr="007E6609" w:rsidRDefault="007E6609" w:rsidP="00550638">
      <w:pPr>
        <w:pStyle w:val="NormalWeb"/>
        <w:shd w:val="clear" w:color="auto" w:fill="FFFFFF"/>
        <w:jc w:val="both"/>
        <w:rPr>
          <w:color w:val="111111"/>
        </w:rPr>
      </w:pPr>
      <w:r w:rsidRPr="007E6609">
        <w:rPr>
          <w:color w:val="111111"/>
        </w:rPr>
        <w:t xml:space="preserve">La </w:t>
      </w:r>
      <w:hyperlink r:id="rId197" w:history="1">
        <w:r w:rsidRPr="00E64712">
          <w:rPr>
            <w:rStyle w:val="Hipervnculo"/>
            <w:rFonts w:eastAsiaTheme="majorEastAsia"/>
            <w:color w:val="auto"/>
            <w:u w:val="none"/>
          </w:rPr>
          <w:t>IEA</w:t>
        </w:r>
      </w:hyperlink>
      <w:r w:rsidRPr="00E64712">
        <w:t xml:space="preserve"> (una asociación internacional para la evaluación de los logros educativos) ha elaborado </w:t>
      </w:r>
      <w:hyperlink r:id="rId198" w:history="1">
        <w:r w:rsidRPr="00E64712">
          <w:rPr>
            <w:rStyle w:val="Hipervnculo"/>
            <w:rFonts w:eastAsiaTheme="majorEastAsia"/>
            <w:color w:val="auto"/>
            <w:u w:val="none"/>
          </w:rPr>
          <w:t>un estudio (el TEDS-M)</w:t>
        </w:r>
      </w:hyperlink>
      <w:r w:rsidRPr="00E64712">
        <w:rPr>
          <w:color w:val="111111"/>
        </w:rPr>
        <w:t xml:space="preserve"> </w:t>
      </w:r>
      <w:r w:rsidRPr="007E6609">
        <w:rPr>
          <w:color w:val="111111"/>
        </w:rPr>
        <w:t>sobre la formación de los maestros en la parte de matemáticas. El estudio, que se realizó en 2008, ha liberado los datos y elaborado los informes de cada país en 2012. Los datos se organizan en tres partes, una sobre políticas educativas en general, otro sobre currículos de las escuelas de maestros y otra sobre competencias y expectativas de los maestros.</w:t>
      </w:r>
    </w:p>
    <w:p w:rsidR="007E6609" w:rsidRDefault="007E6609" w:rsidP="00550638">
      <w:pPr>
        <w:pStyle w:val="NormalWeb"/>
        <w:shd w:val="clear" w:color="auto" w:fill="FFFFFF"/>
        <w:jc w:val="both"/>
        <w:rPr>
          <w:color w:val="111111"/>
        </w:rPr>
      </w:pPr>
      <w:r w:rsidRPr="007E6609">
        <w:rPr>
          <w:color w:val="111111"/>
        </w:rPr>
        <w:t xml:space="preserve">Los resultados de la prueba conocimientos generales de matemáticas pueden verse en la siguiente tabla. </w:t>
      </w:r>
    </w:p>
    <w:p w:rsidR="00E14B3E" w:rsidRPr="007E6609" w:rsidRDefault="00E14B3E" w:rsidP="00E14B3E">
      <w:pPr>
        <w:pStyle w:val="NormalWeb"/>
        <w:shd w:val="clear" w:color="auto" w:fill="FFFFFF"/>
        <w:jc w:val="both"/>
        <w:rPr>
          <w:color w:val="111111"/>
        </w:rPr>
      </w:pPr>
      <w:r w:rsidRPr="007E6609">
        <w:rPr>
          <w:color w:val="111111"/>
        </w:rPr>
        <w:t>¿Qué puntuación media tiene España? Pues 481, claramente por debajo de la media. Podría ser una coincidencia, pero en PISA 2009 en matemáticas la puntuación media de España fue de 483. Pero hay una diferencia importante. En PISA estamos por debajo de la media en los resultados de los estudiantes, pero también estamos por debajo de la media en el nivel socioeconómico de los padres. Cuando comparamos estudiantes universitarios de magisterio en todos los países ya no es lo mismo. Aun así, podría ser que nuestros aspirantes a profesores tuvieran niveles socioeconómicos muy diferentes a los de otros países. Afortunadamente TEDS-m tiene un cuestionario socioeconómico de contexto, para controlar por este problema. Y usándolo se ve claramente que éste no es el problema. El siguiente gráfico muestra el nivel socioeconómico en el eje horizontal y el resultado de la prueba en el vertical. Como pueden ver, los estudiantes españoles están por debajo de lo que les correspondería según su nivel socioeconómico.</w:t>
      </w:r>
    </w:p>
    <w:p w:rsidR="00E14B3E" w:rsidRPr="007E6609" w:rsidRDefault="00E14B3E" w:rsidP="00550638">
      <w:pPr>
        <w:pStyle w:val="NormalWeb"/>
        <w:shd w:val="clear" w:color="auto" w:fill="FFFFFF"/>
        <w:jc w:val="both"/>
        <w:rPr>
          <w:color w:val="111111"/>
        </w:rPr>
      </w:pPr>
    </w:p>
    <w:p w:rsidR="006E46BA" w:rsidRPr="00E14B3E" w:rsidRDefault="007E6609" w:rsidP="00550638">
      <w:pPr>
        <w:pStyle w:val="NormalWeb"/>
        <w:shd w:val="clear" w:color="auto" w:fill="FFFFFF"/>
        <w:jc w:val="both"/>
        <w:rPr>
          <w:rFonts w:ascii="Georgia" w:hAnsi="Georgia"/>
          <w:color w:val="111111"/>
          <w:sz w:val="21"/>
          <w:szCs w:val="21"/>
        </w:rPr>
      </w:pPr>
      <w:r>
        <w:rPr>
          <w:rFonts w:ascii="Georgia" w:hAnsi="Georgia"/>
          <w:noProof/>
          <w:color w:val="2361A1"/>
          <w:sz w:val="21"/>
          <w:szCs w:val="21"/>
        </w:rPr>
        <w:drawing>
          <wp:inline distT="0" distB="0" distL="0" distR="0" wp14:anchorId="1273FA21" wp14:editId="064F8BEC">
            <wp:extent cx="5705855" cy="4220870"/>
            <wp:effectExtent l="0" t="0" r="9525" b="8255"/>
            <wp:docPr id="85" name="Imagen 85" descr="TEDS-M 1">
              <a:hlinkClick xmlns:a="http://schemas.openxmlformats.org/drawingml/2006/main" r:id="rId19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EDS-M 1">
                      <a:hlinkClick r:id="rId199"/>
                    </pic:cNvPr>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5705855" cy="4220870"/>
                    </a:xfrm>
                    <a:prstGeom prst="rect">
                      <a:avLst/>
                    </a:prstGeom>
                    <a:noFill/>
                    <a:ln>
                      <a:noFill/>
                    </a:ln>
                  </pic:spPr>
                </pic:pic>
              </a:graphicData>
            </a:graphic>
          </wp:inline>
        </w:drawing>
      </w:r>
    </w:p>
    <w:p w:rsidR="007E6609" w:rsidRDefault="007E6609" w:rsidP="00550638">
      <w:pPr>
        <w:pStyle w:val="NormalWeb"/>
        <w:shd w:val="clear" w:color="auto" w:fill="FFFFFF"/>
        <w:jc w:val="both"/>
        <w:rPr>
          <w:rFonts w:ascii="Georgia" w:hAnsi="Georgia"/>
          <w:color w:val="111111"/>
          <w:sz w:val="21"/>
          <w:szCs w:val="21"/>
        </w:rPr>
      </w:pPr>
      <w:r>
        <w:rPr>
          <w:rFonts w:ascii="Georgia" w:hAnsi="Georgia"/>
          <w:noProof/>
          <w:color w:val="2361A1"/>
          <w:sz w:val="21"/>
          <w:szCs w:val="21"/>
        </w:rPr>
        <w:drawing>
          <wp:inline distT="0" distB="0" distL="0" distR="0" wp14:anchorId="34B79E99" wp14:editId="034C2076">
            <wp:extent cx="5716907" cy="3196742"/>
            <wp:effectExtent l="0" t="0" r="0" b="3810"/>
            <wp:docPr id="84" name="Imagen 84" descr="TEDS-M socioec">
              <a:hlinkClick xmlns:a="http://schemas.openxmlformats.org/drawingml/2006/main" r:id="rId2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TEDS-M socioec">
                      <a:hlinkClick r:id="rId201"/>
                    </pic:cNvPr>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5716905" cy="3196741"/>
                    </a:xfrm>
                    <a:prstGeom prst="rect">
                      <a:avLst/>
                    </a:prstGeom>
                    <a:noFill/>
                    <a:ln>
                      <a:noFill/>
                    </a:ln>
                  </pic:spPr>
                </pic:pic>
              </a:graphicData>
            </a:graphic>
          </wp:inline>
        </w:drawing>
      </w:r>
    </w:p>
    <w:p w:rsidR="007E6609" w:rsidRPr="007E6609" w:rsidRDefault="007E6609" w:rsidP="00550638">
      <w:pPr>
        <w:pStyle w:val="NormalWeb"/>
        <w:shd w:val="clear" w:color="auto" w:fill="FFFFFF"/>
        <w:jc w:val="both"/>
        <w:rPr>
          <w:color w:val="111111"/>
        </w:rPr>
      </w:pPr>
      <w:r w:rsidRPr="007E6609">
        <w:rPr>
          <w:color w:val="111111"/>
        </w:rPr>
        <w:t xml:space="preserve">Una primera aproximación a explicar el problema es que nuestros estudiantes estudian mucha pedagogía, y de hecho en conocimientos de didáctica lo hacen marginalmente mejor, con un 492. Pero </w:t>
      </w:r>
      <w:r w:rsidR="00AD34BA" w:rsidRPr="007E6609">
        <w:rPr>
          <w:color w:val="111111"/>
        </w:rPr>
        <w:t>aun</w:t>
      </w:r>
      <w:r w:rsidRPr="007E6609">
        <w:rPr>
          <w:color w:val="111111"/>
        </w:rPr>
        <w:t xml:space="preserve"> así están por debajo de la media, y por debajo de lo esperable para su nivel socioeconómico. Pero de hecho su formación no es tan extraña. </w:t>
      </w:r>
      <w:r w:rsidRPr="007E6609">
        <w:rPr>
          <w:color w:val="111111"/>
        </w:rPr>
        <w:lastRenderedPageBreak/>
        <w:t>La siguiente gráfica compara los temas estudiados por estos chicos en distintos países. Como verán las diferencias son muy pequeñas y no parecen sistemáticas.</w:t>
      </w:r>
    </w:p>
    <w:p w:rsidR="007E6609" w:rsidRDefault="007E6609" w:rsidP="00550638">
      <w:pPr>
        <w:pStyle w:val="NormalWeb"/>
        <w:shd w:val="clear" w:color="auto" w:fill="FFFFFF"/>
        <w:jc w:val="both"/>
        <w:rPr>
          <w:rFonts w:ascii="Georgia" w:hAnsi="Georgia"/>
          <w:color w:val="111111"/>
          <w:sz w:val="21"/>
          <w:szCs w:val="21"/>
        </w:rPr>
      </w:pPr>
      <w:r>
        <w:rPr>
          <w:rFonts w:ascii="Georgia" w:hAnsi="Georgia"/>
          <w:noProof/>
          <w:color w:val="2361A1"/>
          <w:sz w:val="21"/>
          <w:szCs w:val="21"/>
        </w:rPr>
        <w:drawing>
          <wp:inline distT="0" distB="0" distL="0" distR="0" wp14:anchorId="1A861048" wp14:editId="242B6397">
            <wp:extent cx="5716905" cy="4250131"/>
            <wp:effectExtent l="0" t="0" r="0" b="0"/>
            <wp:docPr id="83" name="Imagen 83" descr="TEDS-formacion">
              <a:hlinkClick xmlns:a="http://schemas.openxmlformats.org/drawingml/2006/main" r:id="rId20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TEDS-formacion">
                      <a:hlinkClick r:id="rId203"/>
                    </pic:cNvPr>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5716905" cy="4250131"/>
                    </a:xfrm>
                    <a:prstGeom prst="rect">
                      <a:avLst/>
                    </a:prstGeom>
                    <a:noFill/>
                    <a:ln>
                      <a:noFill/>
                    </a:ln>
                  </pic:spPr>
                </pic:pic>
              </a:graphicData>
            </a:graphic>
          </wp:inline>
        </w:drawing>
      </w:r>
    </w:p>
    <w:p w:rsidR="007E6609" w:rsidRDefault="007E6609" w:rsidP="00550638">
      <w:pPr>
        <w:pStyle w:val="NormalWeb"/>
        <w:shd w:val="clear" w:color="auto" w:fill="FFFFFF"/>
        <w:jc w:val="both"/>
        <w:rPr>
          <w:color w:val="111111"/>
        </w:rPr>
      </w:pPr>
      <w:r w:rsidRPr="007E6609">
        <w:rPr>
          <w:color w:val="111111"/>
        </w:rPr>
        <w:t xml:space="preserve">Una pista más interesante se puede observar en el siguiente gráfico. Los estudiantes españoles de magisterio que estudiaron el bachillerato tecnológico en lugar del de Ciencias Sociales o Humanidades tuvieron un rendimiento claramente superior. Podría pensarse que esto se debe al contenido matemático del examen, pero también puede deberse a que la selección de estudiantes que realizan el bachillerato técnico es mejor. </w:t>
      </w:r>
      <w:r>
        <w:rPr>
          <w:rFonts w:ascii="Georgia" w:hAnsi="Georgia"/>
          <w:noProof/>
          <w:color w:val="2361A1"/>
          <w:sz w:val="21"/>
          <w:szCs w:val="21"/>
        </w:rPr>
        <w:drawing>
          <wp:inline distT="0" distB="0" distL="0" distR="0" wp14:anchorId="2F9862A3" wp14:editId="040CC556">
            <wp:extent cx="5716905" cy="2984601"/>
            <wp:effectExtent l="0" t="0" r="0" b="6350"/>
            <wp:docPr id="82" name="Imagen 82" descr="TEDS-M bachillerato">
              <a:hlinkClick xmlns:a="http://schemas.openxmlformats.org/drawingml/2006/main" r:id="rId2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TEDS-M bachillerato">
                      <a:hlinkClick r:id="rId205"/>
                    </pic:cNvPr>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5716905" cy="2984601"/>
                    </a:xfrm>
                    <a:prstGeom prst="rect">
                      <a:avLst/>
                    </a:prstGeom>
                    <a:noFill/>
                    <a:ln>
                      <a:noFill/>
                    </a:ln>
                  </pic:spPr>
                </pic:pic>
              </a:graphicData>
            </a:graphic>
          </wp:inline>
        </w:drawing>
      </w:r>
      <w:r w:rsidR="00AD34BA">
        <w:rPr>
          <w:color w:val="111111"/>
        </w:rPr>
        <w:lastRenderedPageBreak/>
        <w:t>Los especialistas de Fedea proponen</w:t>
      </w:r>
      <w:r w:rsidRPr="007E6609">
        <w:rPr>
          <w:color w:val="111111"/>
        </w:rPr>
        <w:t xml:space="preserve"> una solución relativamente </w:t>
      </w:r>
      <w:r w:rsidR="00AD34BA">
        <w:rPr>
          <w:color w:val="111111"/>
        </w:rPr>
        <w:t>sencilla al problema de los</w:t>
      </w:r>
      <w:r w:rsidRPr="007E6609">
        <w:rPr>
          <w:color w:val="111111"/>
        </w:rPr>
        <w:t xml:space="preserve"> maestros</w:t>
      </w:r>
      <w:r w:rsidR="00AD34BA">
        <w:rPr>
          <w:color w:val="111111"/>
        </w:rPr>
        <w:t xml:space="preserve"> españoles</w:t>
      </w:r>
      <w:r w:rsidRPr="007E6609">
        <w:rPr>
          <w:color w:val="111111"/>
        </w:rPr>
        <w:t xml:space="preserve"> de primaria. Un “numerus clausus” en las escuelas de magisterio que dé lugar a unas notas de ingreso más elevadas (como ya pasa, por ejemplo, en Finlandia). Al</w:t>
      </w:r>
      <w:r w:rsidR="008077BE">
        <w:rPr>
          <w:color w:val="111111"/>
        </w:rPr>
        <w:t xml:space="preserve">guien puede contestar lo que </w:t>
      </w:r>
      <w:r w:rsidRPr="007E6609">
        <w:rPr>
          <w:color w:val="111111"/>
        </w:rPr>
        <w:t>cuentan que le</w:t>
      </w:r>
      <w:r w:rsidR="008077BE">
        <w:rPr>
          <w:color w:val="111111"/>
        </w:rPr>
        <w:t>s</w:t>
      </w:r>
      <w:r w:rsidRPr="007E6609">
        <w:rPr>
          <w:color w:val="111111"/>
        </w:rPr>
        <w:t xml:space="preserve"> dijeron a los responsables de una comunidad autónoma los decanos de las escuelas de magisterio al proponerles una nota de 6 para entrar en la escuela: “pero es que entonces nos qued</w:t>
      </w:r>
      <w:r w:rsidR="008077BE">
        <w:rPr>
          <w:color w:val="111111"/>
        </w:rPr>
        <w:t>amos sin estudiantes”. Y esto les</w:t>
      </w:r>
      <w:r w:rsidRPr="007E6609">
        <w:rPr>
          <w:color w:val="111111"/>
        </w:rPr>
        <w:t xml:space="preserve"> lleva a la segunda medida. La financiación de las escuelas de magisterio no debería depender del número de estudiantes sino de las notas del TEDS-m o alguna prueba equivalente. Así los decanos no se verían en el dilema de admitir a futuros malos profesores o quedarse sin financiación. Y, ya puestos, que nos den a las demás facultades el mismo tratamiento. Porque es verdad que un mal maestro tiene consecuencias nefastas para la sociedad, pero un mal economista o un funesto banquero son también armas de destrucción social masiva.</w:t>
      </w:r>
    </w:p>
    <w:p w:rsidR="008077BE" w:rsidRPr="008077BE" w:rsidRDefault="008077BE" w:rsidP="00550638">
      <w:pPr>
        <w:pStyle w:val="NormalWeb"/>
        <w:shd w:val="clear" w:color="auto" w:fill="FFFFFF"/>
        <w:jc w:val="both"/>
        <w:rPr>
          <w:rFonts w:ascii="Georgia" w:hAnsi="Georgia"/>
          <w:color w:val="111111"/>
          <w:sz w:val="21"/>
          <w:szCs w:val="21"/>
          <w:u w:val="single"/>
        </w:rPr>
      </w:pPr>
      <w:r w:rsidRPr="008077BE">
        <w:rPr>
          <w:color w:val="111111"/>
          <w:u w:val="single"/>
        </w:rPr>
        <w:t>Otro tema de debate: horas de clase (cantidad) vs desempeño educativo (calidad)</w:t>
      </w:r>
    </w:p>
    <w:p w:rsidR="00F77839" w:rsidRPr="0089779F" w:rsidRDefault="00F77839"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779F">
        <w:rPr>
          <w:rFonts w:ascii="Times New Roman" w:hAnsi="Times New Roman" w:cs="Times New Roman"/>
          <w:sz w:val="24"/>
          <w:szCs w:val="24"/>
          <w:u w:val="single"/>
        </w:rPr>
        <w:t>Horas en Clase y Desempeño Educativo</w:t>
      </w:r>
      <w:r>
        <w:rPr>
          <w:rFonts w:ascii="Times New Roman" w:hAnsi="Times New Roman" w:cs="Times New Roman"/>
          <w:sz w:val="24"/>
          <w:szCs w:val="24"/>
        </w:rPr>
        <w:t xml:space="preserve"> (Fedea - </w:t>
      </w:r>
      <w:r w:rsidRPr="0089779F">
        <w:rPr>
          <w:rFonts w:ascii="Times New Roman" w:hAnsi="Times New Roman" w:cs="Times New Roman"/>
          <w:b/>
          <w:sz w:val="24"/>
          <w:szCs w:val="24"/>
        </w:rPr>
        <w:t>22/4/13</w:t>
      </w:r>
      <w:r>
        <w:rPr>
          <w:rFonts w:ascii="Times New Roman" w:hAnsi="Times New Roman" w:cs="Times New Roman"/>
          <w:sz w:val="24"/>
          <w:szCs w:val="24"/>
        </w:rPr>
        <w:t>)</w:t>
      </w:r>
      <w:r w:rsidR="008077BE">
        <w:rPr>
          <w:rFonts w:ascii="Times New Roman" w:hAnsi="Times New Roman" w:cs="Times New Roman"/>
          <w:sz w:val="24"/>
          <w:szCs w:val="24"/>
        </w:rPr>
        <w:t xml:space="preserve">           Lectura recomendada</w:t>
      </w:r>
    </w:p>
    <w:p w:rsidR="00F77839" w:rsidRDefault="00F77839"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89779F">
        <w:rPr>
          <w:rFonts w:ascii="Times New Roman" w:hAnsi="Times New Roman" w:cs="Times New Roman"/>
          <w:sz w:val="24"/>
          <w:szCs w:val="24"/>
        </w:rPr>
        <w:t>Por Lucas Gortazar y Daniel Kutner (Disclaimer)</w:t>
      </w:r>
    </w:p>
    <w:p w:rsidR="00F77839" w:rsidRPr="0089779F" w:rsidRDefault="00F77839" w:rsidP="00550638">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 xml:space="preserve">Una de las cuestiones que se debaten permanentemente en el ámbito educativo es el número de horas de clase que se deben impartir a los alumnos en cada curso escolar. En muchos lugares muchos se preguntan acerca del tiempo óptimo al día y al año que debe un alumno pasar en el aula. Como ejemplo, el presidente de Estados Unidos Barack Obama, nada más ser elegido en 2009 hizo un llamamiento a los expertos para “repensar la jornada escolar” con el objetivo de añadir más horas de clase. “No podemos permitirnos un calendario académico que fue diseñado cuando EEUU era una nación de granjeros que necesitaban a sus hijos en casa trabajando las tierras al final de cada día. El calendario tal vez tuvo sentido alguna vez, pero hoy, nos posiciona en desventaja a la hora de competir. Nuestros hijos pasan un mes menos en la escuela que los niños en Corea del Sur”. </w:t>
      </w:r>
    </w:p>
    <w:p w:rsidR="00F77839" w:rsidRPr="00582970" w:rsidRDefault="00F77839" w:rsidP="00550638">
      <w:pPr>
        <w:spacing w:line="240" w:lineRule="auto"/>
        <w:jc w:val="both"/>
        <w:rPr>
          <w:rFonts w:ascii="Times New Roman" w:hAnsi="Times New Roman" w:cs="Times New Roman"/>
          <w:sz w:val="24"/>
          <w:szCs w:val="24"/>
          <w:u w:val="single"/>
        </w:rPr>
      </w:pPr>
      <w:r w:rsidRPr="0089779F">
        <w:rPr>
          <w:rFonts w:ascii="Times New Roman" w:hAnsi="Times New Roman" w:cs="Times New Roman"/>
          <w:sz w:val="24"/>
          <w:szCs w:val="24"/>
        </w:rPr>
        <w:t>¿Tiene Obama razón? ¿Se trata de una intervención que va a dar frutos a los estudiantes o puede ser que demasiadas horas aburran a los alumnos? En el caso de que sea una medida positiva, cabe preguntarse, ¿afectará a todos por igual? En este artículo resumiremos los aspectos más importantes de un análisis de la literatura existente que hemos re</w:t>
      </w:r>
      <w:r w:rsidR="008077BE">
        <w:rPr>
          <w:rFonts w:ascii="Times New Roman" w:hAnsi="Times New Roman" w:cs="Times New Roman"/>
          <w:sz w:val="24"/>
          <w:szCs w:val="24"/>
        </w:rPr>
        <w:t>alizado recientemente</w:t>
      </w:r>
      <w:r w:rsidRPr="0089779F">
        <w:rPr>
          <w:rFonts w:ascii="Times New Roman" w:hAnsi="Times New Roman" w:cs="Times New Roman"/>
          <w:sz w:val="24"/>
          <w:szCs w:val="24"/>
        </w:rPr>
        <w:t xml:space="preserve">. </w:t>
      </w:r>
      <w:r w:rsidRPr="00582970">
        <w:rPr>
          <w:rFonts w:ascii="Times New Roman" w:hAnsi="Times New Roman" w:cs="Times New Roman"/>
          <w:sz w:val="24"/>
          <w:szCs w:val="24"/>
          <w:u w:val="single"/>
        </w:rPr>
        <w:t>En la economía de la educación, es frecuente escuchar discusiones sobre inputs de una escuela, como infraestructuras, ratio alumno-profesor, calidad del profesor o autonomía de las escuelas. Sin embargo, existen pocos estudios empíricos que evalúen cuanto importa el tiempo en la escuela tanto en resultados académicos como en otras variables como el abandono escolar o la tasa de repetición.</w:t>
      </w:r>
    </w:p>
    <w:p w:rsidR="00F77839" w:rsidRPr="0089779F" w:rsidRDefault="00F77839" w:rsidP="00550638">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 xml:space="preserve">Una de las grandes dificultades metodológicas para evaluar este tipo de intervención es que hay poca variabilidad y pocas reformas que afecten el tiempo en el aula dentro de un país o región. </w:t>
      </w:r>
      <w:r w:rsidRPr="00582970">
        <w:rPr>
          <w:rFonts w:ascii="Times New Roman" w:hAnsi="Times New Roman" w:cs="Times New Roman"/>
          <w:sz w:val="24"/>
          <w:szCs w:val="24"/>
          <w:u w:val="single"/>
        </w:rPr>
        <w:t>Por otro lado, si comparamos distintos países, nos encontramos que no hay correlación entre las horas en clase y los resultados académicos</w:t>
      </w:r>
      <w:r w:rsidRPr="0089779F">
        <w:rPr>
          <w:rFonts w:ascii="Times New Roman" w:hAnsi="Times New Roman" w:cs="Times New Roman"/>
          <w:sz w:val="24"/>
          <w:szCs w:val="24"/>
        </w:rPr>
        <w:t xml:space="preserve"> (ver figura 1). </w:t>
      </w:r>
      <w:r w:rsidRPr="00582970">
        <w:rPr>
          <w:rFonts w:ascii="Times New Roman" w:hAnsi="Times New Roman" w:cs="Times New Roman"/>
          <w:sz w:val="24"/>
          <w:szCs w:val="24"/>
          <w:u w:val="single"/>
        </w:rPr>
        <w:t>Esto ocurre porque existen infinidad de factores que influyen a la hora de explicar el éxito de algunos países en sus sistemas educativos y por tanto es difícil separar el efecto del tiempo en el aula de otras variables.</w:t>
      </w:r>
      <w:r w:rsidRPr="0089779F">
        <w:rPr>
          <w:rFonts w:ascii="Times New Roman" w:hAnsi="Times New Roman" w:cs="Times New Roman"/>
          <w:sz w:val="24"/>
          <w:szCs w:val="24"/>
        </w:rPr>
        <w:t xml:space="preserve"> Pero en otras ocasiones, una reforma institucional nos permite analizar la causalidad de una manera más sofisticada.</w:t>
      </w:r>
    </w:p>
    <w:p w:rsidR="00F77839" w:rsidRDefault="00F77839" w:rsidP="00550638">
      <w:pPr>
        <w:spacing w:line="240" w:lineRule="auto"/>
      </w:pPr>
      <w:r>
        <w:rPr>
          <w:noProof/>
          <w:color w:val="0000FF"/>
          <w:lang w:eastAsia="es-ES"/>
        </w:rPr>
        <w:lastRenderedPageBreak/>
        <w:drawing>
          <wp:inline distT="0" distB="0" distL="0" distR="0" wp14:anchorId="78FB179B" wp14:editId="53C58B52">
            <wp:extent cx="5420563" cy="3006547"/>
            <wp:effectExtent l="0" t="0" r="8890" b="3810"/>
            <wp:docPr id="471" name="Imagen 10" descr="Fuente: Elaboración de los autores basada en los datos del informe Education at a Glance (OECD, 2012) y los resultados de PISA 2009.">
              <a:hlinkClick xmlns:a="http://schemas.openxmlformats.org/drawingml/2006/main" r:id="rId2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uente: Elaboración de los autores basada en los datos del informe Education at a Glance (OECD, 2012) y los resultados de PISA 2009.">
                      <a:hlinkClick r:id="rId207"/>
                    </pic:cNvPr>
                    <pic:cNvPicPr>
                      <a:picLocks noChangeAspect="1" noChangeArrowheads="1"/>
                    </pic:cNvPicPr>
                  </pic:nvPicPr>
                  <pic:blipFill>
                    <a:blip r:embed="rId208" cstate="print"/>
                    <a:srcRect/>
                    <a:stretch>
                      <a:fillRect/>
                    </a:stretch>
                  </pic:blipFill>
                  <pic:spPr bwMode="auto">
                    <a:xfrm>
                      <a:off x="0" y="0"/>
                      <a:ext cx="5420857" cy="3006710"/>
                    </a:xfrm>
                    <a:prstGeom prst="rect">
                      <a:avLst/>
                    </a:prstGeom>
                    <a:noFill/>
                    <a:ln w="9525">
                      <a:noFill/>
                      <a:miter lim="800000"/>
                      <a:headEnd/>
                      <a:tailEnd/>
                    </a:ln>
                  </pic:spPr>
                </pic:pic>
              </a:graphicData>
            </a:graphic>
          </wp:inline>
        </w:drawing>
      </w:r>
    </w:p>
    <w:p w:rsidR="00F77839" w:rsidRDefault="00F77839" w:rsidP="00550638">
      <w:pPr>
        <w:pStyle w:val="wp-caption-text"/>
      </w:pPr>
      <w:r>
        <w:t xml:space="preserve">Fuente: Elaboración de los autores basada en los datos del informe </w:t>
      </w:r>
      <w:hyperlink r:id="rId209" w:history="1">
        <w:r w:rsidRPr="00E83A87">
          <w:rPr>
            <w:rStyle w:val="Hipervnculo"/>
            <w:rFonts w:eastAsiaTheme="majorEastAsia"/>
            <w:color w:val="auto"/>
          </w:rPr>
          <w:t>Education at a Glance</w:t>
        </w:r>
      </w:hyperlink>
      <w:r w:rsidRPr="00E83A87">
        <w:t xml:space="preserve"> </w:t>
      </w:r>
      <w:r>
        <w:t>(OECD, 2012) y los resultados de PISA 2009.</w:t>
      </w:r>
    </w:p>
    <w:p w:rsidR="00F77839" w:rsidRPr="0089779F" w:rsidRDefault="00F77839" w:rsidP="00550638">
      <w:pPr>
        <w:pStyle w:val="wp-caption-text"/>
        <w:jc w:val="both"/>
      </w:pPr>
      <w:r w:rsidRPr="0089779F">
        <w:t>Nuestro primer ejemplo de evidencia empírica toma nota de la reforma que tuvo lugar en 2003 en Dinamarca, país que cambió su planificación de horas en el aula a través de dos canales: un incremento de horas anuales (de un 4%, de 6540 a 6810) en el aula y la descentralización de la administración de esas horas recae sobre los colegios. Las escuelas podían por tanto elegir entre aumentar el número de días al año en la escuela (margen extensivo) o aumentar el número de horas diarias (margen intensivo) en el aula. El análisis de Jensen (2009) muestra un impacto positivo en los resultados académicos, en especial en matemáticas. Además, las ganancias son aún mayores para el grupo de las niñas y los alumnos cuyos padres solo tenían estudios de secundaria.</w:t>
      </w:r>
    </w:p>
    <w:p w:rsidR="00F77839" w:rsidRPr="0089779F" w:rsidRDefault="00F77839" w:rsidP="00550638">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En el caso de Chile, Pires y Urzua (2011) analizan los cambios educativos de 1997, en la cual el gobierno de Chile implementó una nueva reforma para mejorar la calidad de la educación aumentando la duración de la jornada escolar. El estudio se centra en cómo afecta la reforma a las habilidades cognitivas y no cognitivas, a la probabilidad de acudir a la escuela, a la probabilidad de embarazos adolescentes, a la probabilidad de abandono escolar y al impacto en el mercado laboral. Los resultados muestran cómo el aumento de horas de la jornada en la escuela tiene un impacto positivo en todas las variables mencionadas. Al igual que en el caso anterior, los resultados son mayores para estudiantes cuyos padres con un nivel educativo más bajo.</w:t>
      </w:r>
    </w:p>
    <w:p w:rsidR="00F77839" w:rsidRPr="0089779F" w:rsidRDefault="00F77839" w:rsidP="00550638">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 xml:space="preserve">Lavy (2010) realiza un análisis empírico comparando a nivel internacional los resultados de los exámenes de PISA 2006, con el objetivo de identificar la causalidad entre las horas en clase y el desempeño en dicho examen. Obtiene tres resultados fundamentales: </w:t>
      </w:r>
    </w:p>
    <w:p w:rsidR="00F77839" w:rsidRPr="00582970" w:rsidRDefault="00F77839" w:rsidP="00550638">
      <w:pPr>
        <w:spacing w:line="240" w:lineRule="auto"/>
        <w:jc w:val="both"/>
        <w:rPr>
          <w:rFonts w:ascii="Times New Roman" w:hAnsi="Times New Roman" w:cs="Times New Roman"/>
          <w:sz w:val="24"/>
          <w:szCs w:val="24"/>
          <w:u w:val="single"/>
        </w:rPr>
      </w:pPr>
      <w:r w:rsidRPr="00582970">
        <w:rPr>
          <w:rFonts w:ascii="Times New Roman" w:hAnsi="Times New Roman" w:cs="Times New Roman"/>
          <w:sz w:val="24"/>
          <w:szCs w:val="24"/>
          <w:u w:val="single"/>
        </w:rPr>
        <w:t xml:space="preserve">El efecto causal de las horas de instrucción es positivo y significativo sobre los resultados de los alumnos. El aumento de una hora adicional de clase implica una mejora media de 0.15 desviaciones estándar en los resultados académicos. Se repite también el hecho de que quienes más se benefician de este tipo de intervención son las niñas y en general los estudiantes con un nivel socioeconómico más bajo. </w:t>
      </w:r>
    </w:p>
    <w:p w:rsidR="00F77839" w:rsidRPr="00582970" w:rsidRDefault="00F77839" w:rsidP="00550638">
      <w:pPr>
        <w:spacing w:line="240" w:lineRule="auto"/>
        <w:jc w:val="both"/>
        <w:rPr>
          <w:rFonts w:ascii="Times New Roman" w:hAnsi="Times New Roman" w:cs="Times New Roman"/>
          <w:sz w:val="24"/>
          <w:szCs w:val="24"/>
          <w:u w:val="single"/>
        </w:rPr>
      </w:pPr>
      <w:r w:rsidRPr="00582970">
        <w:rPr>
          <w:rFonts w:ascii="Times New Roman" w:hAnsi="Times New Roman" w:cs="Times New Roman"/>
          <w:sz w:val="24"/>
          <w:szCs w:val="24"/>
          <w:u w:val="single"/>
        </w:rPr>
        <w:lastRenderedPageBreak/>
        <w:t xml:space="preserve">Cuando en la muestra se incluyen países en desarrollo, el efecto disminuye a la mitad, lo cual sugiere que la productividad de una hora adicional en un país en desarrollo es menor. </w:t>
      </w:r>
    </w:p>
    <w:p w:rsidR="00F77839" w:rsidRPr="00582970" w:rsidRDefault="00F77839" w:rsidP="00550638">
      <w:pPr>
        <w:spacing w:line="240" w:lineRule="auto"/>
        <w:jc w:val="both"/>
        <w:rPr>
          <w:rFonts w:ascii="Times New Roman" w:hAnsi="Times New Roman" w:cs="Times New Roman"/>
          <w:color w:val="FF0000"/>
          <w:sz w:val="24"/>
          <w:szCs w:val="24"/>
          <w:u w:val="single"/>
        </w:rPr>
      </w:pPr>
      <w:r w:rsidRPr="00582970">
        <w:rPr>
          <w:rFonts w:ascii="Times New Roman" w:hAnsi="Times New Roman" w:cs="Times New Roman"/>
          <w:color w:val="FF0000"/>
          <w:sz w:val="24"/>
          <w:szCs w:val="24"/>
          <w:u w:val="single"/>
        </w:rPr>
        <w:t xml:space="preserve">Por último, la productividad de las horas de clase es más alta en escuelas que ponen en marcha medidas de rendición de cuentas y promueven una mayor autonomía de los centros, tanto para seleccionar a los docentes como para administrar los recursos disponibles. </w:t>
      </w:r>
    </w:p>
    <w:p w:rsidR="00F77839" w:rsidRPr="00DA4F7C" w:rsidRDefault="00F77839" w:rsidP="00550638">
      <w:pPr>
        <w:spacing w:line="240" w:lineRule="auto"/>
        <w:jc w:val="both"/>
        <w:rPr>
          <w:rFonts w:ascii="Times New Roman" w:hAnsi="Times New Roman" w:cs="Times New Roman"/>
          <w:sz w:val="24"/>
          <w:szCs w:val="24"/>
          <w:u w:val="single"/>
        </w:rPr>
      </w:pPr>
      <w:r w:rsidRPr="0089779F">
        <w:rPr>
          <w:rFonts w:ascii="Times New Roman" w:hAnsi="Times New Roman" w:cs="Times New Roman"/>
          <w:sz w:val="24"/>
          <w:szCs w:val="24"/>
        </w:rPr>
        <w:t xml:space="preserve">Lo que también se puede observar, y con esto no os vamos a descubrir América, es que </w:t>
      </w:r>
      <w:r w:rsidRPr="00DA4F7C">
        <w:rPr>
          <w:rFonts w:ascii="Times New Roman" w:hAnsi="Times New Roman" w:cs="Times New Roman"/>
          <w:color w:val="FF0000"/>
          <w:sz w:val="24"/>
          <w:szCs w:val="24"/>
          <w:u w:val="single"/>
        </w:rPr>
        <w:t>la forma en que los profesores usan las horas en clase es fundamental</w:t>
      </w:r>
      <w:r w:rsidRPr="0089779F">
        <w:rPr>
          <w:rFonts w:ascii="Times New Roman" w:hAnsi="Times New Roman" w:cs="Times New Roman"/>
          <w:sz w:val="24"/>
          <w:szCs w:val="24"/>
        </w:rPr>
        <w:t xml:space="preserve">. El aumento de las horas proporciona el tiempo suficiente para cubrir más materia del </w:t>
      </w:r>
      <w:r w:rsidR="00D44948" w:rsidRPr="0089779F">
        <w:rPr>
          <w:rFonts w:ascii="Times New Roman" w:hAnsi="Times New Roman" w:cs="Times New Roman"/>
          <w:sz w:val="24"/>
          <w:szCs w:val="24"/>
        </w:rPr>
        <w:t>currículo</w:t>
      </w:r>
      <w:r w:rsidRPr="0089779F">
        <w:rPr>
          <w:rFonts w:ascii="Times New Roman" w:hAnsi="Times New Roman" w:cs="Times New Roman"/>
          <w:sz w:val="24"/>
          <w:szCs w:val="24"/>
        </w:rPr>
        <w:t xml:space="preserve"> y con una mayor profundidad (Checkoway et al, 2009, ver aquí). Por su parte, </w:t>
      </w:r>
      <w:r w:rsidRPr="00DA4F7C">
        <w:rPr>
          <w:rFonts w:ascii="Times New Roman" w:hAnsi="Times New Roman" w:cs="Times New Roman"/>
          <w:sz w:val="24"/>
          <w:szCs w:val="24"/>
          <w:u w:val="single"/>
        </w:rPr>
        <w:t>el modelo de es</w:t>
      </w:r>
      <w:r w:rsidR="00E14B3E">
        <w:rPr>
          <w:rFonts w:ascii="Times New Roman" w:hAnsi="Times New Roman" w:cs="Times New Roman"/>
          <w:sz w:val="24"/>
          <w:szCs w:val="24"/>
          <w:u w:val="single"/>
        </w:rPr>
        <w:t>cuela No Excuses</w:t>
      </w:r>
      <w:r w:rsidRPr="00DA4F7C">
        <w:rPr>
          <w:rFonts w:ascii="Times New Roman" w:hAnsi="Times New Roman" w:cs="Times New Roman"/>
          <w:sz w:val="24"/>
          <w:szCs w:val="24"/>
          <w:u w:val="single"/>
        </w:rPr>
        <w:t xml:space="preserve">, incluye el tiempo en clase como uno de sus cinco pilares fundamentales (los demás son </w:t>
      </w:r>
      <w:r w:rsidR="001151D5">
        <w:rPr>
          <w:rFonts w:ascii="Times New Roman" w:hAnsi="Times New Roman" w:cs="Times New Roman"/>
          <w:sz w:val="24"/>
          <w:szCs w:val="24"/>
          <w:u w:val="single"/>
        </w:rPr>
        <w:t>“</w:t>
      </w:r>
      <w:r w:rsidRPr="00DA4F7C">
        <w:rPr>
          <w:rFonts w:ascii="Times New Roman" w:hAnsi="Times New Roman" w:cs="Times New Roman"/>
          <w:sz w:val="24"/>
          <w:szCs w:val="24"/>
          <w:u w:val="single"/>
        </w:rPr>
        <w:t>feedback</w:t>
      </w:r>
      <w:r w:rsidR="001151D5">
        <w:rPr>
          <w:rFonts w:ascii="Times New Roman" w:hAnsi="Times New Roman" w:cs="Times New Roman"/>
          <w:sz w:val="24"/>
          <w:szCs w:val="24"/>
          <w:u w:val="single"/>
        </w:rPr>
        <w:t>”</w:t>
      </w:r>
      <w:r w:rsidRPr="00DA4F7C">
        <w:rPr>
          <w:rFonts w:ascii="Times New Roman" w:hAnsi="Times New Roman" w:cs="Times New Roman"/>
          <w:sz w:val="24"/>
          <w:szCs w:val="24"/>
          <w:u w:val="single"/>
        </w:rPr>
        <w:t xml:space="preserve"> frecuente del profesor, uso de datos para guiar al profesor, numerosas tutorías y altas expectativas): el trabajo de Dobbie y Fryer (2011) concluye la importancia de cuatro de las cinco variables a la hora de explicar los resultados, incluyendo el tiempo en clase. </w:t>
      </w:r>
    </w:p>
    <w:p w:rsidR="00F77839" w:rsidRPr="00DA4F7C" w:rsidRDefault="00F77839" w:rsidP="00550638">
      <w:pPr>
        <w:spacing w:line="240" w:lineRule="auto"/>
        <w:jc w:val="both"/>
        <w:rPr>
          <w:rFonts w:ascii="Times New Roman" w:hAnsi="Times New Roman" w:cs="Times New Roman"/>
          <w:color w:val="FF0000"/>
          <w:sz w:val="24"/>
          <w:szCs w:val="24"/>
          <w:u w:val="single"/>
        </w:rPr>
      </w:pPr>
      <w:r w:rsidRPr="00DA4F7C">
        <w:rPr>
          <w:rFonts w:ascii="Times New Roman" w:hAnsi="Times New Roman" w:cs="Times New Roman"/>
          <w:color w:val="FF0000"/>
          <w:sz w:val="24"/>
          <w:szCs w:val="24"/>
          <w:u w:val="single"/>
        </w:rPr>
        <w:t xml:space="preserve">En general, podemos concluir que aumentar el tiempo en clase es positivo para el desempeño de los estudiantes. En cualquier caso, faltan estudios rigurosos que se centren en los costes y beneficios de este tipo de intervención, ya que estamos hablando de medidas que pueden encarecer el gasto de manera sustancial. </w:t>
      </w:r>
    </w:p>
    <w:p w:rsidR="00F77839" w:rsidRPr="00DA4F7C" w:rsidRDefault="00F77839" w:rsidP="00550638">
      <w:pPr>
        <w:spacing w:line="240" w:lineRule="auto"/>
        <w:jc w:val="both"/>
        <w:rPr>
          <w:rFonts w:ascii="Times New Roman" w:hAnsi="Times New Roman" w:cs="Times New Roman"/>
          <w:color w:val="FF0000"/>
          <w:sz w:val="24"/>
          <w:szCs w:val="24"/>
          <w:u w:val="single"/>
        </w:rPr>
      </w:pPr>
      <w:r w:rsidRPr="0089779F">
        <w:rPr>
          <w:rFonts w:ascii="Times New Roman" w:hAnsi="Times New Roman" w:cs="Times New Roman"/>
          <w:sz w:val="24"/>
          <w:szCs w:val="24"/>
        </w:rPr>
        <w:t xml:space="preserve">Estos análisis coste-beneficio deberán tener en cuenta en todo momento el resultado fundamental de nuestro estudio: </w:t>
      </w:r>
      <w:r w:rsidRPr="00DA4F7C">
        <w:rPr>
          <w:rFonts w:ascii="Times New Roman" w:hAnsi="Times New Roman" w:cs="Times New Roman"/>
          <w:color w:val="FF0000"/>
          <w:sz w:val="24"/>
          <w:szCs w:val="24"/>
          <w:u w:val="single"/>
        </w:rPr>
        <w:t>quienes más se benefician del aumento de horas en clase son los grupos más vulnerables. Los problemas a los cuales se enfrentan los grupos más desfavorecidos pueden ser mitigados muy bien aumentando el tiempo que pasan en la escuela. No sólo les da la oportunidad de aumentar su aprendizaje, sino que reduce su exposición a problemas a los cuales se enfrentan en sus casas y barrios en el día a día. No se debe obviar este resultado a la hora de tomar decisiones de políticas públicas, pues esta medida promueve una mayor justicia hacia los que provienen de entornos socioeconómicos más desfavorecidos.</w:t>
      </w:r>
    </w:p>
    <w:p w:rsidR="00F77839" w:rsidRPr="0089779F" w:rsidRDefault="00F77839" w:rsidP="00550638">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Disclaimer:</w:t>
      </w:r>
    </w:p>
    <w:p w:rsidR="00F77839" w:rsidRDefault="00F77839" w:rsidP="00550638">
      <w:pPr>
        <w:spacing w:line="240" w:lineRule="auto"/>
        <w:jc w:val="both"/>
        <w:rPr>
          <w:rFonts w:ascii="Times New Roman" w:hAnsi="Times New Roman" w:cs="Times New Roman"/>
          <w:sz w:val="24"/>
          <w:szCs w:val="24"/>
        </w:rPr>
      </w:pPr>
      <w:r w:rsidRPr="0089779F">
        <w:rPr>
          <w:rFonts w:ascii="Times New Roman" w:hAnsi="Times New Roman" w:cs="Times New Roman"/>
          <w:sz w:val="24"/>
          <w:szCs w:val="24"/>
        </w:rPr>
        <w:t>Este artículo está basado en un informe realizado como parte de nuestro trabajo en el Departamento de Educación de Europa y Asia Central del Banco Mundial. En ningún caso, los resultados del mismo deben ser considerados como la postura oficial del Banco Mundial en este tema.</w:t>
      </w:r>
    </w:p>
    <w:p w:rsidR="008077BE" w:rsidRPr="008077BE" w:rsidRDefault="008077BE" w:rsidP="00550638">
      <w:pPr>
        <w:spacing w:before="100" w:beforeAutospacing="1" w:after="100" w:afterAutospacing="1" w:line="240" w:lineRule="auto"/>
        <w:jc w:val="both"/>
        <w:rPr>
          <w:rFonts w:ascii="Times New Roman" w:hAnsi="Times New Roman" w:cs="Times New Roman"/>
          <w:sz w:val="24"/>
          <w:szCs w:val="24"/>
          <w:u w:val="single"/>
        </w:rPr>
      </w:pPr>
      <w:r w:rsidRPr="008077BE">
        <w:rPr>
          <w:rFonts w:ascii="Times New Roman" w:hAnsi="Times New Roman" w:cs="Times New Roman"/>
          <w:sz w:val="24"/>
          <w:szCs w:val="24"/>
          <w:u w:val="single"/>
        </w:rPr>
        <w:t xml:space="preserve">Licenciados de EEUU denuncian a sus campus porque la promesa laboral no se cumplió </w:t>
      </w:r>
    </w:p>
    <w:p w:rsidR="008077BE" w:rsidRPr="006717AB" w:rsidRDefault="008077BE" w:rsidP="00550638">
      <w:pPr>
        <w:spacing w:before="100" w:beforeAutospacing="1" w:after="100" w:afterAutospacing="1" w:line="240" w:lineRule="auto"/>
        <w:jc w:val="both"/>
        <w:rPr>
          <w:rFonts w:ascii="Times New Roman" w:hAnsi="Times New Roman" w:cs="Times New Roman"/>
          <w:sz w:val="24"/>
          <w:szCs w:val="24"/>
        </w:rPr>
      </w:pPr>
      <w:r>
        <w:rPr>
          <w:rFonts w:ascii="Times New Roman" w:eastAsia="Times New Roman" w:hAnsi="Times New Roman" w:cs="Times New Roman"/>
          <w:i/>
          <w:sz w:val="24"/>
          <w:szCs w:val="24"/>
        </w:rPr>
        <w:t>“</w:t>
      </w:r>
      <w:r w:rsidR="00F77839" w:rsidRPr="008077BE">
        <w:rPr>
          <w:rFonts w:ascii="Times New Roman" w:eastAsia="Times New Roman" w:hAnsi="Times New Roman" w:cs="Times New Roman"/>
          <w:i/>
          <w:sz w:val="24"/>
          <w:szCs w:val="24"/>
        </w:rPr>
        <w:t xml:space="preserve">Cuanta más educación, menos paro y mejores salarios. Al menos, eso es lo que dicen las estadísticas. Por ejemplo, en España, en lo más duro de la crisis económica, la tasa de desempleo es la mitad entre los titulados superiores (17%) que entre los que tienen estudios obligatorios (34,4%); y entre los que tienen un doctorado es del 4,6%. Además, los licenciados españoles ganan un 49% más que la media, según cifras de la OCDE de 2010. En Estados Unidos, esa diferencia alcanza el 92%. Por eso, no es extraño que muchos jóvenes hagan el esfuerzo de estudiar una carrera, algo que en el país norteamericano supone también un importante desembolso económico (en la pública cuesta casi 6.000 euros al año de media). Pero ¿y si al final no da el resultado </w:t>
      </w:r>
      <w:r w:rsidR="00F77839" w:rsidRPr="008077BE">
        <w:rPr>
          <w:rFonts w:ascii="Times New Roman" w:eastAsia="Times New Roman" w:hAnsi="Times New Roman" w:cs="Times New Roman"/>
          <w:i/>
          <w:sz w:val="24"/>
          <w:szCs w:val="24"/>
        </w:rPr>
        <w:lastRenderedPageBreak/>
        <w:t>prometido? ¿Qué pasa si caes en el lado malo de la estadística? ¿Y si el trabajo es de dependiente en una tienda?</w:t>
      </w:r>
      <w:r>
        <w:rPr>
          <w:rFonts w:ascii="Times New Roman" w:eastAsia="Times New Roman" w:hAnsi="Times New Roman" w:cs="Times New Roman"/>
          <w:i/>
          <w:sz w:val="24"/>
          <w:szCs w:val="24"/>
        </w:rPr>
        <w:t xml:space="preserve">”… </w:t>
      </w:r>
      <w:r w:rsidRPr="00C44E05">
        <w:rPr>
          <w:rFonts w:ascii="Times New Roman" w:hAnsi="Times New Roman" w:cs="Times New Roman"/>
          <w:sz w:val="24"/>
          <w:szCs w:val="24"/>
          <w:u w:val="single"/>
        </w:rPr>
        <w:t>Pagar una carrera para terminar de camarero</w:t>
      </w:r>
      <w:r>
        <w:rPr>
          <w:rFonts w:ascii="Times New Roman" w:hAnsi="Times New Roman" w:cs="Times New Roman"/>
          <w:sz w:val="24"/>
          <w:szCs w:val="24"/>
        </w:rPr>
        <w:t xml:space="preserve"> (El País - </w:t>
      </w:r>
      <w:r w:rsidRPr="00C44E05">
        <w:rPr>
          <w:rFonts w:ascii="Times New Roman" w:hAnsi="Times New Roman" w:cs="Times New Roman"/>
          <w:b/>
          <w:sz w:val="24"/>
          <w:szCs w:val="24"/>
        </w:rPr>
        <w:t>20/5/13</w:t>
      </w:r>
      <w:r>
        <w:rPr>
          <w:rFonts w:ascii="Times New Roman" w:hAnsi="Times New Roman" w:cs="Times New Roman"/>
          <w:sz w:val="24"/>
          <w:szCs w:val="24"/>
        </w:rPr>
        <w:t>)</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Graduados de una veintena de universidades de Estados Unidos han demandado a sus campus por publicidad engañosa. S</w:t>
      </w:r>
      <w:r w:rsidR="008077BE" w:rsidRPr="00E83A87">
        <w:rPr>
          <w:rFonts w:ascii="Times New Roman" w:eastAsia="Times New Roman" w:hAnsi="Times New Roman" w:cs="Times New Roman"/>
          <w:sz w:val="24"/>
          <w:szCs w:val="24"/>
        </w:rPr>
        <w:t>ostienen que las instituciones -</w:t>
      </w:r>
      <w:r w:rsidRPr="00E83A87">
        <w:rPr>
          <w:rFonts w:ascii="Times New Roman" w:eastAsia="Times New Roman" w:hAnsi="Times New Roman" w:cs="Times New Roman"/>
          <w:sz w:val="24"/>
          <w:szCs w:val="24"/>
        </w:rPr>
        <w:t>tod</w:t>
      </w:r>
      <w:r w:rsidR="008077BE" w:rsidRPr="00E83A87">
        <w:rPr>
          <w:rFonts w:ascii="Times New Roman" w:eastAsia="Times New Roman" w:hAnsi="Times New Roman" w:cs="Times New Roman"/>
          <w:sz w:val="24"/>
          <w:szCs w:val="24"/>
        </w:rPr>
        <w:t>as escuelas privadas de Derecho-</w:t>
      </w:r>
      <w:r w:rsidRPr="00E83A87">
        <w:rPr>
          <w:rFonts w:ascii="Times New Roman" w:eastAsia="Times New Roman" w:hAnsi="Times New Roman" w:cs="Times New Roman"/>
          <w:sz w:val="24"/>
          <w:szCs w:val="24"/>
        </w:rPr>
        <w:t xml:space="preserve"> facilitaron a sabiendas cifras de colocación laboral de sus titulados que no se corresponden con la realidad. Y cinco de esas demandas han sido admitidas a trámite en California, las presentadas contra San Francisco’s Golden Gate University, Southwestern, San Diego’s Thomas Jefferson, University of San Francisco y California Western School of Law, donde estudiar cuesta de media 40.000 dólares al año (algo más de 30.000 euros).</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“Si eso es cierto, es lamentable que una universidad pueda utilizar mentiras o estadísticas engañosas de esa manera. No se puede justificar en lo más mínimo, pero creo que muestra la desesperación de unas universidades que han construido una operación de un cierto tamaño que necesita mucho dinero mantener (edificios, salarios, mantenimiento, etcétera)”, señala la profesora de la Universidad de York, en Toronto (Canadá), Sheila Embleton.</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Pero en un país, Estados Unidos, donde los precios de las universidades no han dejado de crecer y crecer en las últimas décadas y los graduados acumulan una deuda de 786.163 millones de euros (el presidente Obama tuvo que lanzar un plan hace dos años para rescatar a muchos de ellos), esta demanda puede ser otro síntoma de algo más grande que la pura publicidad engañosa.</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Hace unos años, el profesor de Derecho de la Universidad de Tennessee Glenn Reynolds popularizó el término “burbuja universitaria”, a semejanza de la inmobiliaria que infló los precios de las viviendas, gracias, entre otras cosas, a la facilidad para obtener créditos. Los precios alcanzaron unas cifras que no se correspondían con su valor real. Algo parecido, sostenía Reynolds, estaba sucediendo con las matrículas universitarias. ¿Y si los estudiantes estaban pagando una cantidad de dinero por algo que en realidad vale mucho menos? “¿Cuál es el valor de una carrera? Obviamente, eso depende de muchas cosas, y la cantidad que se pagó por los estudios y la deuda con la que sale el graduado no es la menor de ellas. Lo ideal sería que no se midiera su valor solo en términos de colocación en el mercado de trabajo y los salarios, pero, siendo realista, es así”, opina Embleton.</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En España, en torno al 70% de las personas que estudian una carrera universitaria lo hacen, en primer lugar, para encontrar un buen trabajo, recuerda el catedrático de Economía de la Universidad Pompeu Fabra José García-Montalvo. Pero en todo sistema educativo, una de las mayores dificultades, si no la mayor, para quien lo administra es buscar el equilibrio entre las esperanzas, deseos, capacidades, gustos y expectativas de millones de individuos, y las necesidades de una sociedad en general y de un mercado laboral en particular.</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 xml:space="preserve">Hace unas semanas, se formó una gran polvareda porque el ministro de Educación, José Ignacio Wert, planteó esa idea del siguiente modo: se debería “inculcar a los alumnos universitarios a que no piensen solo en estudiar lo que les apetece o a seguir las </w:t>
      </w:r>
      <w:r w:rsidRPr="00E83A87">
        <w:rPr>
          <w:rFonts w:ascii="Times New Roman" w:eastAsia="Times New Roman" w:hAnsi="Times New Roman" w:cs="Times New Roman"/>
          <w:sz w:val="24"/>
          <w:szCs w:val="24"/>
        </w:rPr>
        <w:lastRenderedPageBreak/>
        <w:t>tradiciones familiares a la hora de escoger itinerario académico, sino a que piensen en términos de necesidades y de su posible empleabilidad”.</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Lo cierto es que muchísimos ya lo hacen, pero les falta información. El experto de la Unesco Francesc Pedró hablaba hace unos años (entonces, desde la OCDE) de un “sistema ciego” que obliga a los estudiantes a guiarse únicamente “por sus preferencias o intuiciones”, pero sin “contar también con criterios racionales”. De hecho, un informe del anterior Gobierno socialista reclamaba a las universidades más instrumentos de transparencia para poder poner en común y comparar los resultados de las universidades para que todos los actores puedan tomar decisiones “con las máximas garantías de acierto”. En el caso de los alumnos, podrían ser comparativas sobre la tasa de abandono de una carrera o la tasa de inserción laboral una vez titulados.</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“La solución en España sería que una entidad pública se encargue de publicar los resultados en el mercado de trabajo de los graduados por titulaciones y universidades para que no entren engañados en las carreras (tasas de desempleo, salarios medios, niveles de sobrecualificación). Hay quien quiere ir a la universidad a hacerse un ciudadano y no le interesan las salidas del mercado laboral, pero la gran mayoría lo hacen para mejorar su empleabilidad. Estos deberían conocer con rigor y precisión qué les espera cuando salgan dependiendo de la carrera elegida. Aun así, podrían elegir lo que creen que les gusta frente a lo que tiene salidas profesionales, pero al menos la decisión sería informada”, señala García-Montalvo.</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A pesar de todo, la situación en general en Europa, en cuanto a una posible burbuja universitaria, no es comparable a la estadounidense, pues los precios de las carreras son en general mucho menores, exceptuando algunas escuelas de negocio muy caras, recuerda el experto en educación superior de la Universidad de Ámsterdam J. W. M. de Wit. “En Estados Unidos, el problema es que los estudiantes combinan estudio y trabajo para cubrir sus costes, lo que hace que los alumnos tarden más tiempo en hacer la carrera y que descienda la calidad y la excelencia. Además, como hay menos empleos disponibles por la crisis, los préstamos estudiantiles aumentan y también las deudas”, dice De Wit.</w:t>
      </w:r>
    </w:p>
    <w:p w:rsidR="00F77839"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E14B3E" w:rsidRPr="00E83A87" w:rsidRDefault="00E14B3E" w:rsidP="00E14B3E">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Sin embargo, hay desde hace años una fuerte presión desde algunos sectores y algunos especialistas por elevar el precio de las matrículas universitarias, y así ha ocurrido en países como Austria, Hungría o Irlanda (donde se ha duplicado en los últimos años hasta los 2.000 euros anuales), aunque el mayor aumento se ha dado en Inglaterra. Allí, las carreras costaban unos 1.250 euros anuales en 1998; hasta 3.000 en 2003 y hasta 11.250 euros en 2010. Esta última subida se compensa con un sistema de préstamos públicos.</w:t>
      </w:r>
    </w:p>
    <w:p w:rsidR="00E14B3E" w:rsidRPr="00E83A87" w:rsidRDefault="00E14B3E" w:rsidP="00E14B3E">
      <w:pPr>
        <w:shd w:val="clear" w:color="auto" w:fill="FFFFFF"/>
        <w:spacing w:after="0" w:line="240" w:lineRule="auto"/>
        <w:jc w:val="both"/>
        <w:rPr>
          <w:rFonts w:ascii="Times New Roman" w:eastAsia="Times New Roman" w:hAnsi="Times New Roman" w:cs="Times New Roman"/>
          <w:sz w:val="24"/>
          <w:szCs w:val="24"/>
        </w:rPr>
      </w:pPr>
    </w:p>
    <w:p w:rsidR="00E14B3E" w:rsidRPr="00E83A87" w:rsidRDefault="00E14B3E"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bookmarkStart w:id="1" w:name="sumario_1"/>
      <w:bookmarkEnd w:id="1"/>
      <w:r w:rsidRPr="00E83A87">
        <w:rPr>
          <w:rFonts w:ascii="Times New Roman" w:eastAsia="Times New Roman" w:hAnsi="Times New Roman" w:cs="Times New Roman"/>
          <w:noProof/>
          <w:sz w:val="24"/>
          <w:szCs w:val="24"/>
          <w:lang w:eastAsia="es-ES"/>
        </w:rPr>
        <w:lastRenderedPageBreak/>
        <w:drawing>
          <wp:inline distT="0" distB="0" distL="0" distR="0" wp14:anchorId="41BBB13C" wp14:editId="588B1679">
            <wp:extent cx="5332655" cy="5084064"/>
            <wp:effectExtent l="0" t="0" r="1905" b="2540"/>
            <wp:docPr id="95" name="Imagen 95" descr="http://ep01.epimg.net/sociedad/imagenes/2013/05/20/actualidad/1369076543_237797_1369076681_sumario_norm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p01.epimg.net/sociedad/imagenes/2013/05/20/actualidad/1369076543_237797_1369076681_sumario_normal.png"/>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5332730" cy="5084135"/>
                    </a:xfrm>
                    <a:prstGeom prst="rect">
                      <a:avLst/>
                    </a:prstGeom>
                    <a:noFill/>
                    <a:ln>
                      <a:noFill/>
                    </a:ln>
                  </pic:spPr>
                </pic:pic>
              </a:graphicData>
            </a:graphic>
          </wp:inline>
        </w:drawing>
      </w:r>
    </w:p>
    <w:p w:rsidR="00F77839" w:rsidRPr="00E83A87" w:rsidRDefault="00F77839" w:rsidP="00550638">
      <w:pPr>
        <w:shd w:val="clear" w:color="auto" w:fill="FFFFFF"/>
        <w:spacing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Fuente: Observatorio del Sistema Universitario y elaboración propia. / EL PAÍS</w:t>
      </w:r>
    </w:p>
    <w:p w:rsidR="009D0518" w:rsidRPr="00E83A87" w:rsidRDefault="009D0518" w:rsidP="00550638">
      <w:pPr>
        <w:shd w:val="clear" w:color="auto" w:fill="FFFFFF"/>
        <w:spacing w:after="0" w:line="240" w:lineRule="auto"/>
        <w:jc w:val="both"/>
        <w:rPr>
          <w:rFonts w:ascii="Times New Roman" w:eastAsia="Times New Roman" w:hAnsi="Times New Roman" w:cs="Times New Roman"/>
          <w:sz w:val="24"/>
          <w:szCs w:val="24"/>
        </w:rPr>
      </w:pPr>
    </w:p>
    <w:p w:rsidR="009D0518" w:rsidRPr="00E83A87" w:rsidRDefault="009D0518"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En España, el precio de las carreras ha aumentado este curso un 16% de media, hasta alcanzar un promedio de 1.074 euros, desde los 714 euros en Galicia hasta los más de 1.500 en Madrid y Cataluña. En el caso de los repetidores, el coste se multiplica. Y con los másteres, el aumento medio en buena parte de los títulos ha llegado a los 1.000 euros, con precios que van desde entre los 1.590 euros por curso en Galicia hasta los 4.290 en Canarias.</w:t>
      </w:r>
    </w:p>
    <w:p w:rsidR="009D0518" w:rsidRPr="00E83A87" w:rsidRDefault="009D0518"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 xml:space="preserve">“Privatizar la universidad pública y hacer pagar a los </w:t>
      </w:r>
      <w:r w:rsidR="009D0518" w:rsidRPr="00E83A87">
        <w:rPr>
          <w:rFonts w:ascii="Times New Roman" w:eastAsia="Times New Roman" w:hAnsi="Times New Roman" w:cs="Times New Roman"/>
          <w:sz w:val="24"/>
          <w:szCs w:val="24"/>
        </w:rPr>
        <w:t>estudiantes lo que se llama el “coste real”</w:t>
      </w:r>
      <w:r w:rsidRPr="00E83A87">
        <w:rPr>
          <w:rFonts w:ascii="Times New Roman" w:eastAsia="Times New Roman" w:hAnsi="Times New Roman" w:cs="Times New Roman"/>
          <w:sz w:val="24"/>
          <w:szCs w:val="24"/>
        </w:rPr>
        <w:t xml:space="preserve"> de los estudios son, desde luego, propósitos que se expresarán cada vez con menos disimulo y que acabarán cumpliéndose, pero mucho más paulatinamente de lo que gustaría”, opina el catedrático de Filosofía de la Universidad Carlos III de Madrid Antonio Valdecantos. “Tendrá que pasar un par de generaciones, porque la capacidad de resistencia de las universidades públicas españolas es muy superior a la de otros sectores de la sociedad. Por otra parte, las universidades privadas (salvo las eclesiásticas, que son muy tradicionales, y en eso se asemejan, curiosamente, a las públicas de toda la vida) han cosechado un prestigio académico muy escaso, de modo que solo son competitivas como escuelas profesionales y dentro de sectores sociales </w:t>
      </w:r>
      <w:r w:rsidRPr="00E83A87">
        <w:rPr>
          <w:rFonts w:ascii="Times New Roman" w:eastAsia="Times New Roman" w:hAnsi="Times New Roman" w:cs="Times New Roman"/>
          <w:sz w:val="24"/>
          <w:szCs w:val="24"/>
        </w:rPr>
        <w:lastRenderedPageBreak/>
        <w:t>reducidos”, añade. “Lo anterior es compatible, sin embargo, con operaciones muy agresivas, como la tocante a los estudios de máster”.</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De Wit, por su parte, insiste en que e</w:t>
      </w:r>
      <w:r w:rsidR="00E83A87">
        <w:rPr>
          <w:rFonts w:ascii="Times New Roman" w:eastAsia="Times New Roman" w:hAnsi="Times New Roman" w:cs="Times New Roman"/>
          <w:sz w:val="24"/>
          <w:szCs w:val="24"/>
        </w:rPr>
        <w:t>l del precio de las matriculas -</w:t>
      </w:r>
      <w:r w:rsidRPr="00E83A87">
        <w:rPr>
          <w:rFonts w:ascii="Times New Roman" w:eastAsia="Times New Roman" w:hAnsi="Times New Roman" w:cs="Times New Roman"/>
          <w:sz w:val="24"/>
          <w:szCs w:val="24"/>
        </w:rPr>
        <w:t xml:space="preserve">y, por </w:t>
      </w:r>
      <w:r w:rsidR="00E83A87">
        <w:rPr>
          <w:rFonts w:ascii="Times New Roman" w:eastAsia="Times New Roman" w:hAnsi="Times New Roman" w:cs="Times New Roman"/>
          <w:sz w:val="24"/>
          <w:szCs w:val="24"/>
        </w:rPr>
        <w:t>tanto, el de la posible burbuja-</w:t>
      </w:r>
      <w:r w:rsidRPr="00E83A87">
        <w:rPr>
          <w:rFonts w:ascii="Times New Roman" w:eastAsia="Times New Roman" w:hAnsi="Times New Roman" w:cs="Times New Roman"/>
          <w:sz w:val="24"/>
          <w:szCs w:val="24"/>
        </w:rPr>
        <w:t xml:space="preserve"> no es el problema de Europa. Recuerda, por ejemplo, que la mayor parte de Estados de Alemania está eliminando las tasas universitarias para volver a las matrículas gratuitas. “En Europa, la mayor preocupación es la masificación en las carreras de humanidades y Ciencias Sociales, la escasez de ingenieros y Ciencias Exactas o el aumento del desempleo entre los graduados. Todo ello, combinado con los recortes en educación pueden disminuir la calidad, lo que requeriría más selección para entrar en un grado o en un máster y más movilidad de los titulados”, dice el profesor.</w:t>
      </w:r>
    </w:p>
    <w:p w:rsidR="001151D5" w:rsidRPr="00E83A87" w:rsidRDefault="001151D5"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 xml:space="preserve">García-Montalvo, no obstante, opina que el bajo precio que pagan los alumnos en Europa (al menos en comparación con Estados Unidos) no elimina en absoluto el peligro de burbuja. “Es cierto que el coste que paga el estudiante es bajo, pero el coste total es bastante alto. Una carrera de cuatro años no experimental sale por 32.000 euros. Y si a eso le añadimos el coste de oportunidad del alumno se eleva todavía </w:t>
      </w:r>
      <w:r w:rsidR="00E83A87">
        <w:rPr>
          <w:rFonts w:ascii="Times New Roman" w:eastAsia="Times New Roman" w:hAnsi="Times New Roman" w:cs="Times New Roman"/>
          <w:sz w:val="24"/>
          <w:szCs w:val="24"/>
        </w:rPr>
        <w:t>más (en las demandas de EE</w:t>
      </w:r>
      <w:r w:rsidRPr="00E83A87">
        <w:rPr>
          <w:rFonts w:ascii="Times New Roman" w:eastAsia="Times New Roman" w:hAnsi="Times New Roman" w:cs="Times New Roman"/>
          <w:sz w:val="24"/>
          <w:szCs w:val="24"/>
        </w:rPr>
        <w:t>UU un componente fundamental para el cálculo de la indemnización que piden es el coste de oportunidad). Aquí en España el problema es que el contribuyente, que es el que paga la mayor parte de la factura, no pondrá una demanda en los juzgados”.</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Así, vuelve a insistir en la necesidad de transparencia para que los universitarios tomen decisiones informadas. “La información no garantiza que se pinche la burbuja universitaria (a veces la presión social por realizar estudios universitarios es mayor que la lógica económica), pero sí que facilitaría un ajuste más rápido entre oferta y demanda. El ajuste al final acaba produciéndose (pensemos en la espectacular caída de las Humanidades en los últimos 15 años), pero la transición es demasiado larga y deja en la cuenta a demasiados estudiantes que, buscando mejorar su empleabilidad, equivocaron la carrera o incluso iniciaron estudios universitarios”.</w:t>
      </w: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p>
    <w:p w:rsidR="00F77839" w:rsidRPr="00E83A87" w:rsidRDefault="00F77839" w:rsidP="00550638">
      <w:pPr>
        <w:shd w:val="clear" w:color="auto" w:fill="FFFFFF"/>
        <w:spacing w:after="0"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García-Montalvo, el catedrático de la Pompeu Fabra, se refiere al exceso de oferta de titulaciones con muy pocos alumnos de la que se han quejado multitud de expertos desde hace años. Pero la idea de una posible burbuja universitaria en España se ha asociado también desde muchos ámbitos a un “excesivo” número de universidades.</w:t>
      </w:r>
    </w:p>
    <w:p w:rsidR="00F77839" w:rsidRPr="00E83A87" w:rsidRDefault="00F77839" w:rsidP="00550638">
      <w:pPr>
        <w:shd w:val="clear" w:color="auto" w:fill="FFFFFF"/>
        <w:spacing w:line="240" w:lineRule="auto"/>
        <w:jc w:val="both"/>
        <w:rPr>
          <w:rFonts w:ascii="Times New Roman" w:eastAsia="Times New Roman" w:hAnsi="Times New Roman" w:cs="Times New Roman"/>
          <w:sz w:val="24"/>
          <w:szCs w:val="24"/>
        </w:rPr>
      </w:pPr>
      <w:r w:rsidRPr="00E83A87">
        <w:rPr>
          <w:rFonts w:ascii="Times New Roman" w:eastAsia="Times New Roman" w:hAnsi="Times New Roman" w:cs="Times New Roman"/>
          <w:sz w:val="24"/>
          <w:szCs w:val="24"/>
        </w:rPr>
        <w:t>Un lugar común que Valdecantos rechaza completamente. “En cualquier país culto hay más universidades que en España y nadie considera esto un despilfarro. No parece que sea lo mismo que los aeropuertos, por ejemplo”. Para el catedrático de Filosofía, el problema es que “la mayor parte de las universidades públicas nuevas se han concebido con un notorio mimetismo respecto de las privadas, como si una universidad fuese un centro de preparación para profesiones de éxito. El resultado ha sido en muchos casos una enseñanza académicamente pobre e inspirada solo en criterios de rentabilidad. Pero la Universidad solo es tal (y solo puede triunfar) cuando no intenta ser rentable”.</w:t>
      </w:r>
    </w:p>
    <w:p w:rsidR="009D0518" w:rsidRPr="00D97CC1" w:rsidRDefault="00D97CC1" w:rsidP="00550638">
      <w:pPr>
        <w:pStyle w:val="NormalWeb"/>
        <w:jc w:val="both"/>
        <w:rPr>
          <w:u w:val="single"/>
        </w:rPr>
      </w:pPr>
      <w:r w:rsidRPr="00D97CC1">
        <w:rPr>
          <w:u w:val="single"/>
        </w:rPr>
        <w:t>¿Deberíamos inyectarle dinero a las universidades y apoyar a las escuelas y colegios, tal co</w:t>
      </w:r>
      <w:r>
        <w:rPr>
          <w:u w:val="single"/>
        </w:rPr>
        <w:t>mo lo hacemos con los bancos?</w:t>
      </w:r>
    </w:p>
    <w:p w:rsidR="00F77839" w:rsidRPr="00D97CC1" w:rsidRDefault="00B925D3" w:rsidP="00550638">
      <w:pPr>
        <w:pStyle w:val="NormalWeb"/>
        <w:jc w:val="both"/>
      </w:pPr>
      <w:r>
        <w:rPr>
          <w:i/>
        </w:rPr>
        <w:t>“</w:t>
      </w:r>
      <w:r w:rsidR="00F77839" w:rsidRPr="00D97CC1">
        <w:rPr>
          <w:i/>
        </w:rPr>
        <w:t xml:space="preserve">¿Será hora de replantearnos qué es lo que ayuda a crear nuevas industrias y puestos de trabajo? ¿Debería reconocerse que la educación es la clave para la innovación, en </w:t>
      </w:r>
      <w:r w:rsidR="00F77839" w:rsidRPr="00D97CC1">
        <w:rPr>
          <w:i/>
        </w:rPr>
        <w:lastRenderedPageBreak/>
        <w:t>lugar de considerarse una fuga de los recursos públicos?</w:t>
      </w:r>
      <w:r w:rsidR="00D97CC1">
        <w:rPr>
          <w:i/>
        </w:rPr>
        <w:t xml:space="preserve">”… </w:t>
      </w:r>
      <w:r w:rsidR="00D97CC1" w:rsidRPr="0084211D">
        <w:rPr>
          <w:u w:val="single"/>
        </w:rPr>
        <w:t>¿Debe el Estado rescatar a las universidades en vez de a los bancos?</w:t>
      </w:r>
      <w:r w:rsidR="00D97CC1">
        <w:t xml:space="preserve"> (BBCMundo - </w:t>
      </w:r>
      <w:r w:rsidR="00D97CC1" w:rsidRPr="0084211D">
        <w:rPr>
          <w:b/>
        </w:rPr>
        <w:t>12/6/13</w:t>
      </w:r>
      <w:r w:rsidR="00D97CC1">
        <w:t xml:space="preserve">) </w:t>
      </w:r>
    </w:p>
    <w:p w:rsidR="00D97CC1" w:rsidRDefault="00F77839" w:rsidP="00550638">
      <w:pPr>
        <w:pStyle w:val="NormalWeb"/>
        <w:jc w:val="both"/>
      </w:pPr>
      <w:r w:rsidRPr="00D97CC1">
        <w:t>El especialista en educación internacional e influyente pensador de la Organización para la Cooperación y el Desarrollo Económico (OCDE), Andreas Schleicher, cree que las economías occidentales han llegado a un momento decisivo: o mejoran sus habilidad</w:t>
      </w:r>
      <w:r w:rsidR="00D97CC1">
        <w:t>es o deberán reducir su tamaño. “</w:t>
      </w:r>
      <w:r w:rsidRPr="00D97CC1">
        <w:t xml:space="preserve">Hay dos opciones. Competir por lo bajo con China, reduciendo los salarios de los empleos de baja calificación, o tratar de ganar en cuanto </w:t>
      </w:r>
      <w:r w:rsidR="00D97CC1">
        <w:t>a innovación y competitividad”</w:t>
      </w:r>
      <w:r w:rsidRPr="00D97CC1">
        <w:t>.</w:t>
      </w:r>
      <w:r w:rsidR="00D97CC1">
        <w:t xml:space="preserve"> </w:t>
      </w:r>
    </w:p>
    <w:p w:rsidR="00F77839" w:rsidRPr="00D97CC1" w:rsidRDefault="00D97CC1" w:rsidP="00550638">
      <w:pPr>
        <w:pStyle w:val="NormalWeb"/>
        <w:jc w:val="both"/>
      </w:pPr>
      <w:r>
        <w:t>“</w:t>
      </w:r>
      <w:r w:rsidR="00F77839" w:rsidRPr="00D97CC1">
        <w:t>A largo plazo, si no se tienen recursos naturales para vender, las habilidades s</w:t>
      </w:r>
      <w:r>
        <w:t>erán la única forma de competir”. “</w:t>
      </w:r>
      <w:r w:rsidR="00F77839" w:rsidRPr="00D97CC1">
        <w:t>En el pasado, las políticas monetarias y fiscales podían ser vistas como una forma de crecimiento, pero hoy en día, lo que queda es el capital humano. Ya no es posible salir de una crisis con rescates, la única manera de hacerlo es</w:t>
      </w:r>
      <w:r>
        <w:t xml:space="preserve"> ofreciendo mejores habilidades”</w:t>
      </w:r>
      <w:r w:rsidR="00F77839" w:rsidRPr="00D97CC1">
        <w:t>.</w:t>
      </w:r>
    </w:p>
    <w:p w:rsidR="00F77839" w:rsidRPr="00D97CC1" w:rsidRDefault="00F77839" w:rsidP="00550638">
      <w:pPr>
        <w:pStyle w:val="NormalWeb"/>
        <w:jc w:val="both"/>
      </w:pPr>
      <w:r w:rsidRPr="00D97CC1">
        <w:t xml:space="preserve">Esto también significaría llevar a cabo cambios fundamentales en los colegios y sistemas universitarios, dice el experto en educación de </w:t>
      </w:r>
      <w:r w:rsidR="00D97CC1">
        <w:t xml:space="preserve">la OCDE. </w:t>
      </w:r>
      <w:r w:rsidRPr="00D97CC1">
        <w:t>Las escuelas tendrán que dar a todos los alumnos la oportunidad de ser exitosos y tratar de acabar con el nexo entre el ingreso familiar y el rendimiento académico, q</w:t>
      </w:r>
      <w:r w:rsidR="00D97CC1">
        <w:t>ue suele restringir el talento. “</w:t>
      </w:r>
      <w:r w:rsidRPr="00D97CC1">
        <w:t>Europa no puede permitir que el éxito educativo sea tan dependiente de la p</w:t>
      </w:r>
      <w:r w:rsidR="00D97CC1">
        <w:t>rocedencia social del individuo”, asegura Schleicher. “</w:t>
      </w:r>
      <w:r w:rsidRPr="00D97CC1">
        <w:t>Ahí es donde se corta el suministro. No se conseguirá que más gente entre en la universi</w:t>
      </w:r>
      <w:r w:rsidR="00D97CC1">
        <w:t>dad, si no se mejoran las bases”. “</w:t>
      </w:r>
      <w:r w:rsidRPr="00D97CC1">
        <w:t>Las universidades están trabajando al límite, la fue</w:t>
      </w:r>
      <w:r w:rsidR="00D97CC1">
        <w:t>nte de dinero ahora es limitada”</w:t>
      </w:r>
      <w:r w:rsidRPr="00D97CC1">
        <w:t>, dice.</w:t>
      </w:r>
    </w:p>
    <w:p w:rsidR="00D97CC1" w:rsidRDefault="00F77839" w:rsidP="00550638">
      <w:pPr>
        <w:pStyle w:val="NormalWeb"/>
        <w:jc w:val="both"/>
      </w:pPr>
      <w:r w:rsidRPr="00D97CC1">
        <w:t>Según él, el panorama de la educación superior tiene que reinventarse. La universidad debe dejar de ser tradicional y ofrecer una variedad de carreras más rápidas, especializadas y avanzadas, a las que se pueda acceder de una manera mucho más flexible.</w:t>
      </w:r>
      <w:r w:rsidR="00D97CC1">
        <w:t xml:space="preserve"> </w:t>
      </w:r>
      <w:r w:rsidRPr="00D97CC1">
        <w:t>Una vez que el sistema educativo se reconfigure, dice, los políticos tendrán que alentar a las empresas a que apuesten por una mano de obra más calificada y desincentivar a las que opten por trabajadores de baja calificación.</w:t>
      </w:r>
      <w:r w:rsidR="00D97CC1">
        <w:t xml:space="preserve"> </w:t>
      </w:r>
      <w:r w:rsidRPr="00D97CC1">
        <w:t>A modo de ejemplo, el experto apunta que en Singapur, los empleadores tienen un incentivo fiscal para c</w:t>
      </w:r>
      <w:r w:rsidR="00D97CC1">
        <w:t xml:space="preserve">ontratar a personal calificado. </w:t>
      </w:r>
    </w:p>
    <w:p w:rsidR="00F77839" w:rsidRPr="00D97CC1" w:rsidRDefault="00F77839" w:rsidP="00550638">
      <w:pPr>
        <w:pStyle w:val="NormalWeb"/>
        <w:jc w:val="both"/>
      </w:pPr>
      <w:r w:rsidRPr="00D97CC1">
        <w:t>En Hong Kong se ha creado un plan para acabar con la producción de baja calificación y sustituirla po</w:t>
      </w:r>
      <w:r w:rsidR="00D97CC1">
        <w:t>r industrias de más alto valor. “</w:t>
      </w:r>
      <w:r w:rsidRPr="00D97CC1">
        <w:t xml:space="preserve">Quieren ascender en la cadena de valor. En Europa, hacemos lo contrario. Estamos tratando de aferrarnos a los puestos </w:t>
      </w:r>
      <w:r w:rsidR="00D97CC1">
        <w:t xml:space="preserve">de trabajo de baja calificación”. </w:t>
      </w:r>
      <w:r w:rsidRPr="00D97CC1">
        <w:t>Los costos de hundirse en una economía de baja calificación son peligrosamente altos, argumenta.</w:t>
      </w:r>
    </w:p>
    <w:p w:rsidR="00F77839" w:rsidRPr="00D97CC1" w:rsidRDefault="00F77839" w:rsidP="00550638">
      <w:pPr>
        <w:pStyle w:val="NormalWeb"/>
        <w:jc w:val="both"/>
      </w:pPr>
      <w:r w:rsidRPr="00D97CC1">
        <w:t>La investigación realizada por la OCDE muestra que las personas con las habilidades más bajas son empujadas a los márgenes políticos, y terminan desvinculándose y desconfiando en la sociedad. Se trata de un</w:t>
      </w:r>
      <w:r w:rsidR="00D97CC1">
        <w:t>a mezcla explosiva.</w:t>
      </w:r>
    </w:p>
    <w:p w:rsidR="00F77839" w:rsidRPr="00D97CC1" w:rsidRDefault="00F77839" w:rsidP="00550638">
      <w:pPr>
        <w:pStyle w:val="NormalWeb"/>
        <w:jc w:val="both"/>
      </w:pPr>
      <w:r w:rsidRPr="00D97CC1">
        <w:t>Nemat Shafik, subgerente del Fondo Monetario Internacional (FMI), dic</w:t>
      </w:r>
      <w:r w:rsidR="00D97CC1">
        <w:t>e que los gobiernos tienen que “ser más creativos”</w:t>
      </w:r>
      <w:r w:rsidRPr="00D97CC1">
        <w:t xml:space="preserve"> en lo que se refiere al aprovechamiento de la educación para la recuperación económic</w:t>
      </w:r>
      <w:r w:rsidR="00D97CC1">
        <w:t xml:space="preserve">a. </w:t>
      </w:r>
      <w:r w:rsidRPr="00D97CC1">
        <w:t>A ella le preocupa -en particular- el alto nivel de desempleo entre los jóvenes, que se observa de manera más aguda en el sur de Europa, el norte de África y el Medio Oriente.</w:t>
      </w:r>
    </w:p>
    <w:p w:rsidR="00F77839" w:rsidRPr="00D97CC1" w:rsidRDefault="00D97CC1" w:rsidP="00550638">
      <w:pPr>
        <w:pStyle w:val="NormalWeb"/>
        <w:jc w:val="both"/>
      </w:pPr>
      <w:r>
        <w:lastRenderedPageBreak/>
        <w:t>“</w:t>
      </w:r>
      <w:r w:rsidR="00F77839" w:rsidRPr="00D97CC1">
        <w:t>Ese es el fenómeno más preocupante. Y no sólo porque se esté frustrando a la gente joven y desperdiciando su potencial. También se trata de un asunto político y social muy peligroso. Sabemos que las altas tasas de desempleo entre los jóvenes tienen un enorme costo fiscal para los países, también tienen consecuencia en la delincuencia, en tasas más altas de mortalidad, su</w:t>
      </w:r>
      <w:r>
        <w:t>icidio, inestabilidad social...”</w:t>
      </w:r>
      <w:r w:rsidR="00F77839" w:rsidRPr="00D97CC1">
        <w:t>, dice la subgerente del FMI.</w:t>
      </w:r>
    </w:p>
    <w:p w:rsidR="00F77839" w:rsidRPr="00D97CC1" w:rsidRDefault="00F77839" w:rsidP="00550638">
      <w:pPr>
        <w:pStyle w:val="NormalWeb"/>
        <w:jc w:val="both"/>
      </w:pPr>
      <w:r w:rsidRPr="00D97CC1">
        <w:t>Incluso siendo muy optimistas, dice, harán falta años para res</w:t>
      </w:r>
      <w:r w:rsidR="00D97CC1">
        <w:t>olver los niveles de desempleo. “</w:t>
      </w:r>
      <w:r w:rsidRPr="00D97CC1">
        <w:t>Y ello nos lleva a discutir el papel de la educación. Nos parece que algunas ideas creativas sobre el futuro de la educación podrían empezar a co</w:t>
      </w:r>
      <w:r w:rsidR="00D97CC1">
        <w:t>mbatir los índices de desempleo”</w:t>
      </w:r>
      <w:r w:rsidRPr="00D97CC1">
        <w:t>, señala Shafik, quien es de origen egipcio y se desempeñó como vicepresidenta del Banco Mundial.</w:t>
      </w:r>
    </w:p>
    <w:p w:rsidR="00F77839" w:rsidRPr="00D97CC1" w:rsidRDefault="00F77839" w:rsidP="00550638">
      <w:pPr>
        <w:pStyle w:val="NormalWeb"/>
        <w:jc w:val="both"/>
      </w:pPr>
      <w:r w:rsidRPr="00D97CC1">
        <w:t>No sólo se trata de graduar a más gente</w:t>
      </w:r>
      <w:r w:rsidR="00D97CC1">
        <w:t>, dice, sino de proporcionar “habilidades de supervivencia”</w:t>
      </w:r>
      <w:r w:rsidRPr="00D97CC1">
        <w:t xml:space="preserve"> que resulten útiles en un mercado laboral impredecible. La relación entre la educación y el mercado </w:t>
      </w:r>
      <w:r w:rsidR="00D97CC1">
        <w:t xml:space="preserve">laboral puede ser muy compleja. </w:t>
      </w:r>
      <w:r w:rsidRPr="00D97CC1">
        <w:t xml:space="preserve">En Europa y América del Norte, tener un título reduce las posibilidades de quedar desempleado. Sin embargo, en el norte de África, es todo lo contrario: los graduados tienen más probabilidades de estar desempleados que los no graduados, debido a que las oportunidades de </w:t>
      </w:r>
      <w:r w:rsidR="00D97CC1">
        <w:t xml:space="preserve">empleo no están ahí para ellos. </w:t>
      </w:r>
      <w:r w:rsidRPr="00D97CC1">
        <w:t>En la África subsahariana, el problema es aún más esencial: la falta de acceso a la educación básica c</w:t>
      </w:r>
      <w:r w:rsidR="00D97CC1">
        <w:t>rea una barrera para el empleo.</w:t>
      </w:r>
    </w:p>
    <w:p w:rsidR="00F77839" w:rsidRPr="00D97CC1" w:rsidRDefault="00F77839" w:rsidP="00550638">
      <w:pPr>
        <w:pStyle w:val="NormalWeb"/>
        <w:jc w:val="both"/>
      </w:pPr>
      <w:r w:rsidRPr="00D97CC1">
        <w:t>Shafik también quiere que el sistema educativo represente la vanguardia ante los grandes cambios sociales y económi</w:t>
      </w:r>
      <w:r w:rsidR="005750FD">
        <w:t xml:space="preserve">cos </w:t>
      </w:r>
      <w:r w:rsidRPr="00D97CC1">
        <w:t>En los países desarrollados, la gente va a tener que trabajar más tiempo, pero muchos puestos de trabajo desaparecerán antes de que sus ocupantes pued</w:t>
      </w:r>
      <w:r w:rsidR="005750FD">
        <w:t>an darse el lujo de retirarse. “</w:t>
      </w:r>
      <w:r w:rsidRPr="00D97CC1">
        <w:t>Tenemos que pensa</w:t>
      </w:r>
      <w:r w:rsidR="005750FD">
        <w:t xml:space="preserve">r en lo que van a hacer después”, dice. </w:t>
      </w:r>
      <w:r w:rsidRPr="00D97CC1">
        <w:t>Muchos puestos de trabajo de cuello blanco en las capas medias del mercado se van a perder debido a la externalización y los cambios tecnológicos. Las universidades deberían volver a entrenar a estas personas que se encuentran en la mitad de su carrera.</w:t>
      </w:r>
      <w:r w:rsidR="005750FD">
        <w:t xml:space="preserve"> “</w:t>
      </w:r>
      <w:r w:rsidRPr="00D97CC1">
        <w:t>Las universidades tienen que ser lugares en los que las personas entran y salen durante toda su vida. La idea de entrenarse durante tres o cuatro años y pensar que es</w:t>
      </w:r>
      <w:r w:rsidR="005750FD">
        <w:t>o es suficiente, no es realista”</w:t>
      </w:r>
      <w:r w:rsidRPr="00D97CC1">
        <w:t>.</w:t>
      </w:r>
    </w:p>
    <w:p w:rsidR="00F77839" w:rsidRPr="00D97CC1" w:rsidRDefault="00F77839" w:rsidP="00550638">
      <w:pPr>
        <w:pStyle w:val="NormalWeb"/>
        <w:jc w:val="both"/>
      </w:pPr>
      <w:r w:rsidRPr="00D97CC1">
        <w:t xml:space="preserve">Pero durante una recesión, es posible que la marea vaya en dirección opuesta. En el momento en que más se necesitan oportunidades de educación, existe presión para gastar menos. El problema de </w:t>
      </w:r>
      <w:r w:rsidR="005750FD">
        <w:t xml:space="preserve">liquidez es un círculo vicioso. </w:t>
      </w:r>
      <w:r w:rsidRPr="00D97CC1">
        <w:t>En Inglaterra, el aumento en el costo de las matrículas ha ido acompañado de una caída en el número de estudiantes de pregrado a medio tiempo. El descenso total ha sido de un 40% en dos años. Y estos son exactamente el tipo de personas que son buscados para el reentrenamiento.</w:t>
      </w:r>
    </w:p>
    <w:p w:rsidR="00F77839" w:rsidRPr="00D97CC1" w:rsidRDefault="005750FD" w:rsidP="00550638">
      <w:pPr>
        <w:pStyle w:val="NormalWeb"/>
        <w:jc w:val="both"/>
      </w:pPr>
      <w:r>
        <w:t>“</w:t>
      </w:r>
      <w:r w:rsidR="00F77839" w:rsidRPr="00D97CC1">
        <w:t>Somos firmes partidarios de una mayor inversión en educación e infraestructur</w:t>
      </w:r>
      <w:r>
        <w:t>a”, dice. “</w:t>
      </w:r>
      <w:r w:rsidR="00F77839" w:rsidRPr="00D97CC1">
        <w:t>Pero parte del problema de esta crisis ha sido que muchos países han reducido la inversión en educación, infraestructura, investigación y desarrollo e innovación, que son todas las cosas que se van a g</w:t>
      </w:r>
      <w:r>
        <w:t>enerar crecimiento en el futuro”.</w:t>
      </w:r>
    </w:p>
    <w:p w:rsidR="00F77839" w:rsidRPr="00D97CC1" w:rsidRDefault="00F77839" w:rsidP="00550638">
      <w:pPr>
        <w:pStyle w:val="NormalWeb"/>
        <w:jc w:val="both"/>
      </w:pPr>
      <w:r w:rsidRPr="00D97CC1">
        <w:t>La educación también es considerada parte del equipo de recuperación de la crisis económica a través de sus vínculo</w:t>
      </w:r>
      <w:r w:rsidR="005750FD">
        <w:t xml:space="preserve">s con la tecnología innovadora. </w:t>
      </w:r>
      <w:r w:rsidRPr="00D97CC1">
        <w:t xml:space="preserve">Las universidades se han convertido en la gallina de los huevos de oro para las industrias digitales. Google fue un proyecto de tesis doctoral, Facebook se inventó para los estudiantes </w:t>
      </w:r>
      <w:r w:rsidRPr="00D97CC1">
        <w:lastRenderedPageBreak/>
        <w:t>universitarios. Las industrias de alta tecnología se agrupan alrededor de las universidades y muchos países están tratando de copiar el proyecto de Silicon Valley.</w:t>
      </w:r>
    </w:p>
    <w:p w:rsidR="00F77839" w:rsidRPr="00D97CC1" w:rsidRDefault="00F77839" w:rsidP="00550638">
      <w:pPr>
        <w:pStyle w:val="NormalWeb"/>
        <w:jc w:val="both"/>
      </w:pPr>
      <w:r w:rsidRPr="00D97CC1">
        <w:t>El vínculo entre las universidades y el crecimiento industrial será aún más importante, dice Andy Haldane, director ejecutivo de estabilidad financ</w:t>
      </w:r>
      <w:r w:rsidR="005750FD">
        <w:t xml:space="preserve">iera en el Banco de Inglaterra. </w:t>
      </w:r>
      <w:r w:rsidRPr="00D97CC1">
        <w:t>Ellas proporcionan el entorno estable necesario para una inversión a largo plazo, dijo Haldane en la Cumbre Global Universitaria, un evento anual que se realizó a finales de mayo</w:t>
      </w:r>
      <w:r w:rsidR="005750FD">
        <w:t xml:space="preserve"> (2013)</w:t>
      </w:r>
      <w:r w:rsidRPr="00D97CC1">
        <w:t>.</w:t>
      </w:r>
    </w:p>
    <w:p w:rsidR="00F77839" w:rsidRPr="00D97CC1" w:rsidRDefault="005750FD" w:rsidP="00550638">
      <w:pPr>
        <w:pStyle w:val="NormalWeb"/>
        <w:jc w:val="both"/>
      </w:pPr>
      <w:r>
        <w:t>“</w:t>
      </w:r>
      <w:r w:rsidR="00F77839" w:rsidRPr="00D97CC1">
        <w:t>¿Qué se necesita para invertir, para que la innovación florezca? Se necesita paciencia, la voluntad de posponer la gratificación, de experimentar, de fracasar con la misma frecu</w:t>
      </w:r>
      <w:r>
        <w:t xml:space="preserve">encia con la que se tiene éxito”. </w:t>
      </w:r>
      <w:r w:rsidR="00F77839" w:rsidRPr="00D97CC1">
        <w:t xml:space="preserve">Sin embargo, los mercados modernos de </w:t>
      </w:r>
      <w:r>
        <w:t>capitales se engancharon en la “gratificación instantánea”</w:t>
      </w:r>
      <w:r w:rsidR="00F77839" w:rsidRPr="00D97CC1">
        <w:t>, dijo Haldane a los líderes empresariales y universitarios internacionales presentes en la cumbre, organizada</w:t>
      </w:r>
      <w:r>
        <w:t xml:space="preserve"> por la Universidad de Warwick. “</w:t>
      </w:r>
      <w:r w:rsidR="00F77839" w:rsidRPr="00D97CC1">
        <w:t>Los mercados de capitales modernos, al igual que los equipos de fútbol de hoy, son intolerantes ante la experimentación y el fracaso. Son cortoplacistas y tales horizontes son hostiles a la investigación y el desarrollo, y a la vez contraproducentes pa</w:t>
      </w:r>
      <w:r>
        <w:t>ra la inversión y la innovación”</w:t>
      </w:r>
      <w:r w:rsidR="00F77839" w:rsidRPr="00D97CC1">
        <w:t>.</w:t>
      </w:r>
    </w:p>
    <w:p w:rsidR="00F77839" w:rsidRDefault="00F77839" w:rsidP="00550638">
      <w:pPr>
        <w:pStyle w:val="NormalWeb"/>
        <w:jc w:val="both"/>
      </w:pPr>
      <w:r w:rsidRPr="00D97CC1">
        <w:t>Las universidades, por el contrario, operan en escalas de tiempo más largas, nec</w:t>
      </w:r>
      <w:r w:rsidR="005750FD">
        <w:t xml:space="preserve">esarias para la investigación. “Pueden darse el lujo de esperar”, dice. </w:t>
      </w:r>
      <w:r w:rsidRPr="00D97CC1">
        <w:t>Haldane también señaló que hay mucho en juego alrededor de</w:t>
      </w:r>
      <w:r w:rsidR="005750FD">
        <w:t xml:space="preserve"> estas decisiones de inversión. “</w:t>
      </w:r>
      <w:r w:rsidRPr="00D97CC1">
        <w:t>Los economistas solo saben una cosa. Si alguna vez encuentra a un economista y le dice que sa</w:t>
      </w:r>
      <w:r w:rsidR="005750FD">
        <w:t>be dos cosas, estará exagerando”. “</w:t>
      </w:r>
      <w:r w:rsidRPr="00D97CC1">
        <w:t xml:space="preserve">La única cosa es esta: la inversión de </w:t>
      </w:r>
      <w:r w:rsidR="005750FD">
        <w:t>hoy es el crecimiento de mañana”</w:t>
      </w:r>
      <w:r w:rsidRPr="00D97CC1">
        <w:t>.</w:t>
      </w:r>
    </w:p>
    <w:p w:rsidR="005750FD" w:rsidRPr="005750FD" w:rsidRDefault="001D2478" w:rsidP="00550638">
      <w:pPr>
        <w:pStyle w:val="NormalWeb"/>
        <w:jc w:val="both"/>
        <w:rPr>
          <w:u w:val="single"/>
        </w:rPr>
      </w:pPr>
      <w:r>
        <w:rPr>
          <w:u w:val="single"/>
        </w:rPr>
        <w:t>Más sobre el modelo finlandés: e</w:t>
      </w:r>
      <w:r w:rsidR="005750FD" w:rsidRPr="005750FD">
        <w:rPr>
          <w:u w:val="single"/>
        </w:rPr>
        <w:t>l orgullo de ser maestro (tu vales lo que sabes)</w:t>
      </w:r>
    </w:p>
    <w:p w:rsidR="00825706" w:rsidRPr="005750FD" w:rsidRDefault="005750FD" w:rsidP="00550638">
      <w:pPr>
        <w:pStyle w:val="NormalWeb"/>
        <w:jc w:val="both"/>
      </w:pPr>
      <w:r>
        <w:rPr>
          <w:i/>
        </w:rPr>
        <w:t>“</w:t>
      </w:r>
      <w:r w:rsidR="00825706" w:rsidRPr="005750FD">
        <w:rPr>
          <w:i/>
        </w:rPr>
        <w:t>No son los que más invierten en educación (menos del 7% del PIB), ni los que imponen la mayor carga horaria a los niños en las escuelas (608 horas lectivas en primaria en comparación c</w:t>
      </w:r>
      <w:r w:rsidRPr="005750FD">
        <w:rPr>
          <w:i/>
        </w:rPr>
        <w:t xml:space="preserve">on 875 de España, por ejemplo). </w:t>
      </w:r>
      <w:r w:rsidR="00825706" w:rsidRPr="005750FD">
        <w:rPr>
          <w:i/>
        </w:rPr>
        <w:t>Tampoco se inclinan por dar cantidades excesivas de tarea para la casa; y, a la hora de evaluar formalmente el éxito del proceso de aprendizaje, un par de exámenes nacionales cuando los jóvenes dejan la esc</w:t>
      </w:r>
      <w:r w:rsidRPr="005750FD">
        <w:rPr>
          <w:i/>
        </w:rPr>
        <w:t xml:space="preserve">uela, a los 18 años, les basta. </w:t>
      </w:r>
      <w:r w:rsidR="00825706" w:rsidRPr="005750FD">
        <w:rPr>
          <w:i/>
        </w:rPr>
        <w:t>Entonces, ¿cómo es posible que los alumnos finlandeses siempre ocupen los primeros puestos en las listas internacionales que evalúan los niveles educativos?</w:t>
      </w:r>
      <w:r w:rsidR="00B925D3">
        <w:rPr>
          <w:i/>
        </w:rPr>
        <w:t>”</w:t>
      </w:r>
      <w:r w:rsidRPr="005750FD">
        <w:rPr>
          <w:i/>
        </w:rPr>
        <w:t>...</w:t>
      </w:r>
      <w:r>
        <w:rPr>
          <w:u w:val="single"/>
        </w:rPr>
        <w:t xml:space="preserve"> </w:t>
      </w:r>
      <w:r w:rsidRPr="00BA6037">
        <w:rPr>
          <w:u w:val="single"/>
        </w:rPr>
        <w:t>El secreto de uno de los mejores sistemas educativos del mundo</w:t>
      </w:r>
      <w:r>
        <w:t xml:space="preserve"> (BBCMundo - </w:t>
      </w:r>
      <w:r w:rsidRPr="00BA6037">
        <w:rPr>
          <w:b/>
        </w:rPr>
        <w:t>13/6/13</w:t>
      </w:r>
      <w:r>
        <w:t>)</w:t>
      </w:r>
    </w:p>
    <w:p w:rsidR="00825706" w:rsidRPr="001D2478" w:rsidRDefault="00825706" w:rsidP="00550638">
      <w:pPr>
        <w:pStyle w:val="NormalWeb"/>
        <w:jc w:val="both"/>
      </w:pPr>
      <w:r w:rsidRPr="001D2478">
        <w:t>Mientras en América Latina las protestas estudiantiles -más recientemente las de Chile y Colombia- ocurren con frecuencia, Finlandia parece haber encontrado un modelo -de educación gratuita de principio a fin y donde las escuelas privadas casi no existen- que tiene a los maestros y a los estudiantes contento</w:t>
      </w:r>
      <w:r w:rsidR="005750FD" w:rsidRPr="001D2478">
        <w:t>s por igual.</w:t>
      </w:r>
    </w:p>
    <w:p w:rsidR="00825706" w:rsidRPr="001D2478" w:rsidRDefault="00825706" w:rsidP="00550638">
      <w:pPr>
        <w:pStyle w:val="NormalWeb"/>
        <w:jc w:val="both"/>
      </w:pPr>
      <w:r w:rsidRPr="001D2478">
        <w:t xml:space="preserve">Son muchos los factores que hacen que la educación en Finlandia sea una de las mejores del mundo, pero uno de los temas clave, según varios expertos consultados por </w:t>
      </w:r>
      <w:r w:rsidRPr="0059055C">
        <w:rPr>
          <w:i/>
        </w:rPr>
        <w:t>BBC Mundo</w:t>
      </w:r>
      <w:r w:rsidRPr="001D2478">
        <w:t>, es la calidad de los profesores.</w:t>
      </w:r>
    </w:p>
    <w:p w:rsidR="00825706" w:rsidRPr="001D2478" w:rsidRDefault="005750FD" w:rsidP="00550638">
      <w:pPr>
        <w:pStyle w:val="NormalWeb"/>
        <w:jc w:val="both"/>
      </w:pPr>
      <w:r w:rsidRPr="001D2478">
        <w:t>“</w:t>
      </w:r>
      <w:r w:rsidR="00825706" w:rsidRPr="001D2478">
        <w:t>El profesorado tiene un nivel de formación extraordinaria, con una selección previa tan exigente que no se compa</w:t>
      </w:r>
      <w:r w:rsidRPr="001D2478">
        <w:t>ra con ninguna otra en el mundo”</w:t>
      </w:r>
      <w:r w:rsidR="00825706" w:rsidRPr="001D2478">
        <w:t xml:space="preserve">, le explica a </w:t>
      </w:r>
      <w:r w:rsidR="00825706" w:rsidRPr="0059055C">
        <w:rPr>
          <w:i/>
        </w:rPr>
        <w:t>BBC Mundo</w:t>
      </w:r>
      <w:r w:rsidR="00825706" w:rsidRPr="001D2478">
        <w:t xml:space="preserve"> Xavier Melgarejo, un psicólogo y psicopedagogo español que empezó a estudiar el </w:t>
      </w:r>
      <w:r w:rsidR="00825706" w:rsidRPr="001D2478">
        <w:lastRenderedPageBreak/>
        <w:t>sistema educativo en Fi</w:t>
      </w:r>
      <w:r w:rsidRPr="001D2478">
        <w:t>nlandia hace más de una década. “</w:t>
      </w:r>
      <w:r w:rsidR="00825706" w:rsidRPr="001D2478">
        <w:t>Sólo entra en las facultades de educación gente con notas por encima de nueve, nueve y medio sobre diez. Son muy exigentes. Se les hacen pruebas de lectura, sensibilidad artística, de dominio de algún instrumento, de comunicación</w:t>
      </w:r>
      <w:r w:rsidRPr="001D2478">
        <w:t>”</w:t>
      </w:r>
      <w:r w:rsidR="00825706" w:rsidRPr="001D2478">
        <w:t>... Como resultado, las universidades sólo reclutan a un 10% de los estudiantes que se presentan.</w:t>
      </w:r>
      <w:r w:rsidRPr="001D2478">
        <w:t xml:space="preserve"> </w:t>
      </w:r>
      <w:r w:rsidR="00825706" w:rsidRPr="001D2478">
        <w:t>Y para ejercer la docencia todos los maestros necesitan hacer una maestría.</w:t>
      </w:r>
    </w:p>
    <w:p w:rsidR="00825706" w:rsidRPr="001D2478" w:rsidRDefault="00825706" w:rsidP="00550638">
      <w:pPr>
        <w:pStyle w:val="NormalWeb"/>
        <w:jc w:val="both"/>
      </w:pPr>
      <w:r w:rsidRPr="001D2478">
        <w:t>La contraparte de esta exigencia es el reconocimiento. No necesariamente en términos económicos, ya que los sueldos de los educadores no presentan grandes diferencias con el resto de Europa (según la Organización para la Cooperación y el Desarrollo Económico, OECD, el salario básico de una maestro de primaria es de entre US$</w:t>
      </w:r>
      <w:r w:rsidR="005750FD" w:rsidRPr="001D2478">
        <w:t xml:space="preserve"> </w:t>
      </w:r>
      <w:r w:rsidRPr="001D2478">
        <w:t>29.000 y US$</w:t>
      </w:r>
      <w:r w:rsidR="005750FD" w:rsidRPr="001D2478">
        <w:t xml:space="preserve"> </w:t>
      </w:r>
      <w:r w:rsidRPr="001D2478">
        <w:t>39.000 anuales), sino sociales.</w:t>
      </w:r>
    </w:p>
    <w:p w:rsidR="00825706" w:rsidRPr="001D2478" w:rsidRDefault="005750FD" w:rsidP="00550638">
      <w:pPr>
        <w:pStyle w:val="NormalWeb"/>
        <w:jc w:val="both"/>
      </w:pPr>
      <w:r w:rsidRPr="001D2478">
        <w:t>“</w:t>
      </w:r>
      <w:r w:rsidR="00825706" w:rsidRPr="001D2478">
        <w:t xml:space="preserve">Los maestros son considerados profesionales académicos y tienen la responsabilidad de desarrollar su trabajo, por eso no se ejerce </w:t>
      </w:r>
      <w:r w:rsidRPr="001D2478">
        <w:t>sobre ellos un control excesivo”</w:t>
      </w:r>
      <w:r w:rsidR="00825706" w:rsidRPr="001D2478">
        <w:t xml:space="preserve">, le explica a </w:t>
      </w:r>
      <w:r w:rsidR="00825706" w:rsidRPr="001C6E30">
        <w:rPr>
          <w:i/>
        </w:rPr>
        <w:t>BBC Mundo</w:t>
      </w:r>
      <w:r w:rsidR="00825706" w:rsidRPr="001D2478">
        <w:t xml:space="preserve"> Anita Lehikoinen, Secretaria Permanente del Ministerio de Educación y Cultura de Finlandia.</w:t>
      </w:r>
    </w:p>
    <w:p w:rsidR="00825706" w:rsidRPr="001D2478" w:rsidRDefault="005750FD" w:rsidP="00550638">
      <w:pPr>
        <w:pStyle w:val="NormalWeb"/>
        <w:jc w:val="both"/>
      </w:pPr>
      <w:r w:rsidRPr="001D2478">
        <w:t>“</w:t>
      </w:r>
      <w:r w:rsidR="00825706" w:rsidRPr="001D2478">
        <w:t>Esta profesión atrae a tanta gente porque ser maestro es un honor en Finlandia. Probablement</w:t>
      </w:r>
      <w:r w:rsidRPr="001D2478">
        <w:t>e sea la profesión más valorada”</w:t>
      </w:r>
      <w:r w:rsidR="00825706" w:rsidRPr="001D2478">
        <w:t>, acota Melgarejo.</w:t>
      </w:r>
    </w:p>
    <w:p w:rsidR="00825706" w:rsidRPr="001D2478" w:rsidRDefault="005750FD" w:rsidP="00550638">
      <w:pPr>
        <w:pStyle w:val="NormalWeb"/>
        <w:jc w:val="both"/>
      </w:pPr>
      <w:r w:rsidRPr="001D2478">
        <w:t>“</w:t>
      </w:r>
      <w:r w:rsidR="00825706" w:rsidRPr="001D2478">
        <w:t xml:space="preserve">Yo no soñaba con ser profesora, pero ahora me dedico a </w:t>
      </w:r>
      <w:r w:rsidRPr="001D2478">
        <w:t>esta profesión y me gusta mucho”</w:t>
      </w:r>
      <w:r w:rsidR="00825706" w:rsidRPr="001D2478">
        <w:t xml:space="preserve">, explica Hilkka-Roosa Nurmi, una profesora de español e inglés que tiene experiencia como docente de estas </w:t>
      </w:r>
      <w:r w:rsidRPr="001D2478">
        <w:t>lenguas en su país y en España. “</w:t>
      </w:r>
      <w:r w:rsidR="00825706" w:rsidRPr="001D2478">
        <w:t>Aquí no es como en otros sitios, no tenemos tantas normas. Podemos elegir cómo enseñamos. Tenemos más libertad. Pero esto signif</w:t>
      </w:r>
      <w:r w:rsidRPr="001D2478">
        <w:t>ica también más responsabilidad”</w:t>
      </w:r>
      <w:r w:rsidR="00825706" w:rsidRPr="001D2478">
        <w:t>, dice.</w:t>
      </w:r>
    </w:p>
    <w:p w:rsidR="00825706" w:rsidRPr="001D2478" w:rsidRDefault="00825706" w:rsidP="00550638">
      <w:pPr>
        <w:pStyle w:val="NormalWeb"/>
        <w:jc w:val="both"/>
      </w:pPr>
      <w:r w:rsidRPr="001D2478">
        <w:t xml:space="preserve">Otra de las razones por las que el sistema finlandés funciona es, en gran medida, porque la escuela es sólo uno de los engranajes del proceso educativo. Las otras variables de peso son la familia y la sociedad -de tradición luterana- donde hay un elevado sentido de la responsabilidad y </w:t>
      </w:r>
      <w:r w:rsidR="00A55FE1">
        <w:t>donde se valora a las personas “</w:t>
      </w:r>
      <w:r w:rsidRPr="001D2478">
        <w:t xml:space="preserve">por su formación y no </w:t>
      </w:r>
      <w:r w:rsidR="00A55FE1">
        <w:t>por su situación socioeconómica”</w:t>
      </w:r>
      <w:r w:rsidRPr="001D2478">
        <w:t>, dice Melgarejo.</w:t>
      </w:r>
    </w:p>
    <w:p w:rsidR="00825706" w:rsidRPr="001D2478" w:rsidRDefault="005750FD" w:rsidP="00550638">
      <w:pPr>
        <w:pStyle w:val="NormalWeb"/>
        <w:jc w:val="both"/>
      </w:pPr>
      <w:r w:rsidRPr="001D2478">
        <w:t>Para darnos una idea, “</w:t>
      </w:r>
      <w:r w:rsidR="00825706" w:rsidRPr="001D2478">
        <w:t>en la cultura luterana uno se salva cuando lee la Biblia, se llega a Dios</w:t>
      </w:r>
      <w:r w:rsidRPr="001D2478">
        <w:t xml:space="preserve"> a través de la palabra escrita”</w:t>
      </w:r>
      <w:r w:rsidR="00825706" w:rsidRPr="001D2478">
        <w:t>. Y aunque hoy día las iglesias no estén muy llenas, el valor de aprender a leer y escribir ha quedado profundamente arraigado en la cultura finlandesa, agrega Melgarejo.</w:t>
      </w:r>
    </w:p>
    <w:p w:rsidR="00825706" w:rsidRPr="001D2478" w:rsidRDefault="005750FD" w:rsidP="00550638">
      <w:pPr>
        <w:pStyle w:val="NormalWeb"/>
        <w:jc w:val="both"/>
      </w:pPr>
      <w:r w:rsidRPr="001D2478">
        <w:t>En esto coincide Lehikoinen: “</w:t>
      </w:r>
      <w:r w:rsidR="00825706" w:rsidRPr="001D2478">
        <w:t>la mayoría de los hogares están suscritos a uno o varios periódicos y ésta es una tradició</w:t>
      </w:r>
      <w:r w:rsidRPr="001D2478">
        <w:t>n que luego se pasa a los niños”</w:t>
      </w:r>
      <w:r w:rsidR="00825706" w:rsidRPr="001D2478">
        <w:t>, señala.</w:t>
      </w:r>
    </w:p>
    <w:p w:rsidR="00825706" w:rsidRPr="001D2478" w:rsidRDefault="00825706" w:rsidP="00550638">
      <w:pPr>
        <w:pStyle w:val="NormalWeb"/>
        <w:jc w:val="both"/>
      </w:pPr>
      <w:r w:rsidRPr="001D2478">
        <w:t>Los medios indirectamente también ayudan al apren</w:t>
      </w:r>
      <w:r w:rsidR="005750FD" w:rsidRPr="001D2478">
        <w:t>dizaje de la lectura. “</w:t>
      </w:r>
      <w:r w:rsidRPr="001D2478">
        <w:t xml:space="preserve">Todos los programas de televisión en lengua original, la mayoría en inglés, están subtitulados y eso impulsa a los niños a aprender a leer y </w:t>
      </w:r>
      <w:r w:rsidR="005750FD" w:rsidRPr="001D2478">
        <w:t>a aumentar la velocidad lectora”</w:t>
      </w:r>
      <w:r w:rsidRPr="001D2478">
        <w:t>, señala Melgarejo.</w:t>
      </w:r>
    </w:p>
    <w:p w:rsidR="00825706" w:rsidRPr="001D2478" w:rsidRDefault="00825706" w:rsidP="00550638">
      <w:pPr>
        <w:pStyle w:val="NormalWeb"/>
        <w:jc w:val="both"/>
      </w:pPr>
      <w:r w:rsidRPr="001D2478">
        <w:t xml:space="preserve">Pero también los finlandeses apuestan por la educación porque saben que como país pequeño, rodeado de vecinos poderosos como Rusia o Suecia y sin un arsenal de recursos naturales a su disposición, la cultura -su dominio en el ámbito del </w:t>
      </w:r>
      <w:r w:rsidRPr="001D2478">
        <w:lastRenderedPageBreak/>
        <w:t>conocimiento- es lo que lo que les da la posibilidad de competir en una economía global.</w:t>
      </w:r>
    </w:p>
    <w:p w:rsidR="00825706" w:rsidRPr="001D2478" w:rsidRDefault="00825706" w:rsidP="00550638">
      <w:pPr>
        <w:pStyle w:val="NormalWeb"/>
        <w:jc w:val="both"/>
      </w:pPr>
      <w:r w:rsidRPr="001D2478">
        <w:t>Y puertas adentro, la excelencia en</w:t>
      </w:r>
      <w:r w:rsidR="005750FD" w:rsidRPr="001D2478">
        <w:t xml:space="preserve"> el nivel educativo se traduce “</w:t>
      </w:r>
      <w:r w:rsidRPr="001D2478">
        <w:t>en un grado importante de cohesión social, que les permite a los finlandeses sentir que son parte de la socieda</w:t>
      </w:r>
      <w:r w:rsidR="005750FD" w:rsidRPr="001D2478">
        <w:t>d, incluso en tiempos de crisis”</w:t>
      </w:r>
      <w:r w:rsidRPr="001D2478">
        <w:t>, explica Lehiko</w:t>
      </w:r>
      <w:r w:rsidR="001D2478" w:rsidRPr="001D2478">
        <w:t>inen.</w:t>
      </w:r>
    </w:p>
    <w:p w:rsidR="00825706" w:rsidRPr="001D2478" w:rsidRDefault="00825706" w:rsidP="00550638">
      <w:pPr>
        <w:pStyle w:val="NormalWeb"/>
        <w:jc w:val="both"/>
      </w:pPr>
      <w:r w:rsidRPr="001D2478">
        <w:t>Cuando se dieron a conocer los resultados de la primera evaluación PISA (siglas en inglés del Programa Internacional para la Evaluación de Estudiantes de la OECD) en el año 2000, el gobierno se vio inundado de visitas de delegaciones extranjeras que acudían a Finlandia para descubrir los secretos de la maravilla nórdica e implem</w:t>
      </w:r>
      <w:r w:rsidR="001D2478" w:rsidRPr="001D2478">
        <w:t xml:space="preserve">entarlos en sus propios países. </w:t>
      </w:r>
      <w:r w:rsidRPr="001D2478">
        <w:t>Alemania por ejemplo, azorada por sus resultados mediocres en la prueba, tomó nota del programa finlandés e introdujo reformas en su sistema.</w:t>
      </w:r>
    </w:p>
    <w:p w:rsidR="00825706" w:rsidRPr="001D2478" w:rsidRDefault="00825706" w:rsidP="00550638">
      <w:pPr>
        <w:pStyle w:val="NormalWeb"/>
        <w:jc w:val="both"/>
      </w:pPr>
      <w:r w:rsidRPr="001D2478">
        <w:t>¿Pero qué posibilidad tie</w:t>
      </w:r>
      <w:r w:rsidR="001D2478" w:rsidRPr="001D2478">
        <w:t>nen otros países europeos</w:t>
      </w:r>
      <w:r w:rsidRPr="001D2478">
        <w:t>, donde la educación pública está lejos de ser un orgullo, donde el sueldo de los maestros no está a la altura de sus responsabilidades y donde no existe un estado de bienestar como en algunos países europeos, de implementar un sistema educativo como el de Finlandia?</w:t>
      </w:r>
    </w:p>
    <w:p w:rsidR="00825706" w:rsidRPr="001D2478" w:rsidRDefault="001D2478" w:rsidP="00550638">
      <w:pPr>
        <w:pStyle w:val="NormalWeb"/>
        <w:jc w:val="both"/>
      </w:pPr>
      <w:r w:rsidRPr="001D2478">
        <w:t>“</w:t>
      </w:r>
      <w:r w:rsidR="00825706" w:rsidRPr="001D2478">
        <w:t>No puedes c</w:t>
      </w:r>
      <w:r w:rsidRPr="001D2478">
        <w:t>opiar y pegar el sistema entero”</w:t>
      </w:r>
      <w:r w:rsidR="00825706" w:rsidRPr="001D2478">
        <w:t xml:space="preserve">, le dice a </w:t>
      </w:r>
      <w:r w:rsidR="00825706" w:rsidRPr="001C6E30">
        <w:rPr>
          <w:i/>
        </w:rPr>
        <w:t>BBC Mundo</w:t>
      </w:r>
      <w:r w:rsidR="00825706" w:rsidRPr="001D2478">
        <w:t xml:space="preserve"> Andreas Schleicher, respons</w:t>
      </w:r>
      <w:r w:rsidRPr="001D2478">
        <w:t>able de las evaluaciones PISA, “</w:t>
      </w:r>
      <w:r w:rsidR="00825706" w:rsidRPr="001D2478">
        <w:t>pero puedes ver cómo los finlandeses saben quién es un buen maestro, cómo los reclutan, cómo les asignan las clases o cómo se aseguran de que cada niño se</w:t>
      </w:r>
      <w:r w:rsidRPr="001D2478">
        <w:t xml:space="preserve"> beneficie de lo que le enseñan”</w:t>
      </w:r>
      <w:r w:rsidR="00825706" w:rsidRPr="001D2478">
        <w:t>.</w:t>
      </w:r>
    </w:p>
    <w:p w:rsidR="00825706" w:rsidRPr="001D2478" w:rsidRDefault="00825706" w:rsidP="00550638">
      <w:pPr>
        <w:pStyle w:val="NormalWeb"/>
        <w:jc w:val="both"/>
      </w:pPr>
      <w:r w:rsidRPr="001D2478">
        <w:t>Melgarejo también cree que se pueden importar ciertos elementos, como mejorar la selección de buenos maestros, fomentar las bibliotecas públicas -ampliamente concurridas en Finlandia- y hacer que las familias contribuyan al proceso de escolarización.</w:t>
      </w:r>
    </w:p>
    <w:p w:rsidR="00825706" w:rsidRPr="001D2478" w:rsidRDefault="00825706" w:rsidP="00550638">
      <w:pPr>
        <w:pStyle w:val="NormalWeb"/>
        <w:jc w:val="both"/>
      </w:pPr>
      <w:r w:rsidRPr="001D2478">
        <w:t xml:space="preserve">Y quizá una </w:t>
      </w:r>
      <w:r w:rsidR="001D2478" w:rsidRPr="001D2478">
        <w:t>lección útil para otros países</w:t>
      </w:r>
      <w:r w:rsidRPr="001D2478">
        <w:t xml:space="preserve"> sea aprender cómo Finlandia afronta los cambios en el ámbito de la educación.</w:t>
      </w:r>
      <w:r w:rsidR="001D2478" w:rsidRPr="001D2478">
        <w:t xml:space="preserve"> “</w:t>
      </w:r>
      <w:r w:rsidRPr="001D2478">
        <w:t>Todo se basa en la confianza mutua y en la construcción de un consenso. Cuando planteamos grandes reformas educativas, por ejemplo, siempre involucramos a los maestros y a los alumnos, no se trata de órdenes del gobierno que los educadores tienen que acatar, son refo</w:t>
      </w:r>
      <w:r w:rsidR="001D2478" w:rsidRPr="001D2478">
        <w:t>rmas que hemos preparado juntos”</w:t>
      </w:r>
      <w:r w:rsidRPr="001D2478">
        <w:t>, afirma Lehikoinen.</w:t>
      </w:r>
    </w:p>
    <w:p w:rsidR="00825706" w:rsidRPr="001D2478" w:rsidRDefault="00825706" w:rsidP="00550638">
      <w:pPr>
        <w:pStyle w:val="NormalWeb"/>
        <w:jc w:val="both"/>
      </w:pPr>
      <w:r w:rsidRPr="001D2478">
        <w:t>Después esta descripción de Lehikoinen, Melgarejo y Schleicher, uno podría tender a imaginarse una clase en Finlandia como una situación idílica: un grupo de niños obedientes escuchando embelesados una clase magistral que interrumpen de tanto en tanto con una pregunta inteligente.</w:t>
      </w:r>
    </w:p>
    <w:p w:rsidR="00825706" w:rsidRPr="001D2478" w:rsidRDefault="00825706" w:rsidP="00550638">
      <w:pPr>
        <w:pStyle w:val="NormalWeb"/>
        <w:jc w:val="both"/>
      </w:pPr>
      <w:r w:rsidRPr="001D2478">
        <w:t>Nada más lejos de la realidad. Los niños hacen las mismas travesuras que en cualquier part</w:t>
      </w:r>
      <w:r w:rsidR="001D2478" w:rsidRPr="001D2478">
        <w:t>e del mundo. Incluso, a veces, “</w:t>
      </w:r>
      <w:r w:rsidRPr="001D2478">
        <w:t xml:space="preserve">cuando hacen las mediciones de educación es una paradoja porque aunque les va muy bien, cuando les preguntan si les gusta la escuela, siempre dicen que no. Quizá eso se deba al espíritu </w:t>
      </w:r>
      <w:r w:rsidR="001D2478" w:rsidRPr="001D2478">
        <w:t>independiente de nuestros niños”</w:t>
      </w:r>
      <w:r w:rsidRPr="001D2478">
        <w:t>, concluye Lehikoinen.</w:t>
      </w:r>
    </w:p>
    <w:p w:rsidR="00825706" w:rsidRDefault="00825706" w:rsidP="00550638">
      <w:pPr>
        <w:pStyle w:val="NormalWeb"/>
        <w:jc w:val="both"/>
      </w:pPr>
      <w:r>
        <w:t>La educación a grandes rasgos</w:t>
      </w:r>
    </w:p>
    <w:p w:rsidR="00825706" w:rsidRPr="00185C34" w:rsidRDefault="00825706" w:rsidP="00550638">
      <w:pPr>
        <w:pStyle w:val="NormalWeb"/>
        <w:jc w:val="both"/>
        <w:rPr>
          <w:color w:val="FF0000"/>
        </w:rPr>
      </w:pPr>
      <w:r>
        <w:t>•</w:t>
      </w:r>
      <w:r w:rsidRPr="00185C34">
        <w:rPr>
          <w:color w:val="FF0000"/>
        </w:rPr>
        <w:t xml:space="preserve">Idea básica: igualdad de oportunidades. </w:t>
      </w:r>
    </w:p>
    <w:p w:rsidR="00825706" w:rsidRPr="00185C34" w:rsidRDefault="00825706" w:rsidP="00550638">
      <w:pPr>
        <w:pStyle w:val="NormalWeb"/>
        <w:jc w:val="both"/>
        <w:rPr>
          <w:color w:val="FF0000"/>
        </w:rPr>
      </w:pPr>
      <w:r>
        <w:lastRenderedPageBreak/>
        <w:t>•</w:t>
      </w:r>
      <w:r w:rsidRPr="00185C34">
        <w:rPr>
          <w:color w:val="FF0000"/>
        </w:rPr>
        <w:t>Los niños empiezan la escuela a los 7 años.</w:t>
      </w:r>
    </w:p>
    <w:p w:rsidR="00825706" w:rsidRPr="00185C34" w:rsidRDefault="00825706" w:rsidP="00550638">
      <w:pPr>
        <w:pStyle w:val="NormalWeb"/>
        <w:jc w:val="both"/>
        <w:rPr>
          <w:color w:val="FF0000"/>
        </w:rPr>
      </w:pPr>
      <w:r>
        <w:t>•</w:t>
      </w:r>
      <w:r w:rsidRPr="00185C34">
        <w:rPr>
          <w:color w:val="FF0000"/>
        </w:rPr>
        <w:t xml:space="preserve">Casi todas las escuelas son públicas (el número de escuelas privadas es ínfimo). </w:t>
      </w:r>
    </w:p>
    <w:p w:rsidR="00825706" w:rsidRPr="00185C34" w:rsidRDefault="00825706" w:rsidP="00550638">
      <w:pPr>
        <w:pStyle w:val="NormalWeb"/>
        <w:jc w:val="both"/>
        <w:rPr>
          <w:color w:val="FF0000"/>
        </w:rPr>
      </w:pPr>
      <w:r>
        <w:t>•</w:t>
      </w:r>
      <w:r w:rsidRPr="00185C34">
        <w:rPr>
          <w:color w:val="FF0000"/>
        </w:rPr>
        <w:t xml:space="preserve">Toda la educación es gratuita (desde el preescolar hasta la universidad) </w:t>
      </w:r>
    </w:p>
    <w:p w:rsidR="00825706" w:rsidRPr="00185C34" w:rsidRDefault="00825706" w:rsidP="00550638">
      <w:pPr>
        <w:pStyle w:val="NormalWeb"/>
        <w:jc w:val="both"/>
        <w:rPr>
          <w:color w:val="FF0000"/>
        </w:rPr>
      </w:pPr>
      <w:r>
        <w:t>•</w:t>
      </w:r>
      <w:r w:rsidRPr="00185C34">
        <w:rPr>
          <w:color w:val="FF0000"/>
        </w:rPr>
        <w:t>La comida y los materiales de estudio también son gratuitos.</w:t>
      </w:r>
    </w:p>
    <w:p w:rsidR="00825706" w:rsidRPr="00185C34" w:rsidRDefault="00825706" w:rsidP="00550638">
      <w:pPr>
        <w:pStyle w:val="NormalWeb"/>
        <w:jc w:val="both"/>
        <w:rPr>
          <w:color w:val="FF0000"/>
        </w:rPr>
      </w:pPr>
      <w:r>
        <w:t>•</w:t>
      </w:r>
      <w:r w:rsidRPr="00185C34">
        <w:rPr>
          <w:color w:val="FF0000"/>
        </w:rPr>
        <w:t xml:space="preserve">Durante los primeros seis años de primaria es el mismo maestro para casi todas las asignaturas. </w:t>
      </w:r>
    </w:p>
    <w:p w:rsidR="00825706" w:rsidRPr="00185C34" w:rsidRDefault="00825706" w:rsidP="00550638">
      <w:pPr>
        <w:pStyle w:val="NormalWeb"/>
        <w:jc w:val="both"/>
        <w:rPr>
          <w:color w:val="FF0000"/>
        </w:rPr>
      </w:pPr>
      <w:r>
        <w:t>•</w:t>
      </w:r>
      <w:r w:rsidRPr="00185C34">
        <w:rPr>
          <w:color w:val="FF0000"/>
        </w:rPr>
        <w:t xml:space="preserve">Jornada escolar: de 8.30 - 9 a 15 hs., con media hora de almuerzo. </w:t>
      </w:r>
    </w:p>
    <w:p w:rsidR="00825706" w:rsidRPr="00185C34" w:rsidRDefault="00825706" w:rsidP="00550638">
      <w:pPr>
        <w:pStyle w:val="NormalWeb"/>
        <w:jc w:val="both"/>
        <w:rPr>
          <w:color w:val="FF0000"/>
        </w:rPr>
      </w:pPr>
      <w:r>
        <w:t>•</w:t>
      </w:r>
      <w:r w:rsidRPr="00185C34">
        <w:rPr>
          <w:color w:val="FF0000"/>
        </w:rPr>
        <w:t>Exámenes nacionales cuando los alumnos tienen 18 años</w:t>
      </w:r>
    </w:p>
    <w:p w:rsidR="00825706" w:rsidRPr="00185C34" w:rsidRDefault="00825706" w:rsidP="00550638">
      <w:pPr>
        <w:pStyle w:val="NormalWeb"/>
        <w:jc w:val="both"/>
        <w:rPr>
          <w:color w:val="FF0000"/>
        </w:rPr>
      </w:pPr>
      <w:r>
        <w:t>•</w:t>
      </w:r>
      <w:r w:rsidRPr="00185C34">
        <w:rPr>
          <w:color w:val="FF0000"/>
        </w:rPr>
        <w:t>Promedio de alumnos por clase: 23.</w:t>
      </w:r>
    </w:p>
    <w:p w:rsidR="00825706" w:rsidRPr="00185C34" w:rsidRDefault="00825706" w:rsidP="00550638">
      <w:pPr>
        <w:pStyle w:val="NormalWeb"/>
        <w:jc w:val="both"/>
        <w:rPr>
          <w:color w:val="FF0000"/>
        </w:rPr>
      </w:pPr>
      <w:r>
        <w:t>•</w:t>
      </w:r>
      <w:r w:rsidRPr="00185C34">
        <w:rPr>
          <w:color w:val="FF0000"/>
        </w:rPr>
        <w:t xml:space="preserve">Clases mixtas (mujeres y varones, y diferentes grados de capacidad). </w:t>
      </w:r>
    </w:p>
    <w:p w:rsidR="00825706" w:rsidRPr="00185C34" w:rsidRDefault="00825706" w:rsidP="00550638">
      <w:pPr>
        <w:pStyle w:val="NormalWeb"/>
        <w:jc w:val="both"/>
        <w:rPr>
          <w:color w:val="FF0000"/>
        </w:rPr>
      </w:pPr>
      <w:r>
        <w:t>•</w:t>
      </w:r>
      <w:r w:rsidRPr="00185C34">
        <w:rPr>
          <w:color w:val="FF0000"/>
        </w:rPr>
        <w:t xml:space="preserve">Maestros debe tener una maestría para ejercer la docencia. </w:t>
      </w:r>
    </w:p>
    <w:p w:rsidR="00825706" w:rsidRDefault="00825706" w:rsidP="00550638">
      <w:pPr>
        <w:pStyle w:val="NormalWeb"/>
        <w:jc w:val="both"/>
      </w:pPr>
      <w:r>
        <w:t>Gasto público en educación, total (% del PIB)</w:t>
      </w:r>
    </w:p>
    <w:p w:rsidR="00825706" w:rsidRDefault="00825706" w:rsidP="00550638">
      <w:pPr>
        <w:pStyle w:val="NormalWeb"/>
        <w:jc w:val="both"/>
      </w:pPr>
      <w:r>
        <w:t xml:space="preserve">•Finlandia: 6,8% </w:t>
      </w:r>
    </w:p>
    <w:p w:rsidR="00825706" w:rsidRDefault="00825706" w:rsidP="00550638">
      <w:pPr>
        <w:pStyle w:val="NormalWeb"/>
        <w:jc w:val="both"/>
      </w:pPr>
      <w:r>
        <w:t>•Suecia: 7,3%</w:t>
      </w:r>
    </w:p>
    <w:p w:rsidR="00825706" w:rsidRDefault="00825706" w:rsidP="00550638">
      <w:pPr>
        <w:pStyle w:val="NormalWeb"/>
        <w:jc w:val="both"/>
      </w:pPr>
      <w:r>
        <w:t>•Dinamarca: 8,7%</w:t>
      </w:r>
    </w:p>
    <w:p w:rsidR="00825706" w:rsidRDefault="00825706" w:rsidP="00550638">
      <w:pPr>
        <w:pStyle w:val="NormalWeb"/>
        <w:jc w:val="both"/>
      </w:pPr>
      <w:r>
        <w:t>•Argentina: 6%</w:t>
      </w:r>
    </w:p>
    <w:p w:rsidR="00825706" w:rsidRDefault="00825706" w:rsidP="00550638">
      <w:pPr>
        <w:pStyle w:val="NormalWeb"/>
        <w:jc w:val="both"/>
      </w:pPr>
      <w:r>
        <w:t>•Cuba: 13,1%</w:t>
      </w:r>
    </w:p>
    <w:p w:rsidR="00825706" w:rsidRDefault="00825706" w:rsidP="00550638">
      <w:pPr>
        <w:pStyle w:val="NormalWeb"/>
        <w:jc w:val="both"/>
      </w:pPr>
      <w:r>
        <w:t>•Chile: 4,2%</w:t>
      </w:r>
    </w:p>
    <w:p w:rsidR="00825706" w:rsidRDefault="00825706" w:rsidP="00550638">
      <w:pPr>
        <w:pStyle w:val="NormalWeb"/>
        <w:jc w:val="both"/>
      </w:pPr>
      <w:r>
        <w:t>•México: 5,3%</w:t>
      </w:r>
    </w:p>
    <w:p w:rsidR="00825706" w:rsidRDefault="00825706" w:rsidP="00550638">
      <w:pPr>
        <w:pStyle w:val="NormalWeb"/>
        <w:jc w:val="both"/>
      </w:pPr>
      <w:r>
        <w:t>•Estados Unidos: 5,4%</w:t>
      </w:r>
    </w:p>
    <w:p w:rsidR="00825706" w:rsidRDefault="00825706" w:rsidP="00550638">
      <w:pPr>
        <w:pStyle w:val="NormalWeb"/>
        <w:jc w:val="both"/>
      </w:pPr>
      <w:r>
        <w:t>Fuente: Banco Mundial 2009</w:t>
      </w:r>
    </w:p>
    <w:p w:rsidR="001D2478" w:rsidRPr="001D2478" w:rsidRDefault="001D2478" w:rsidP="00550638">
      <w:pPr>
        <w:pStyle w:val="NormalWeb"/>
        <w:jc w:val="both"/>
        <w:rPr>
          <w:u w:val="single"/>
        </w:rPr>
      </w:pPr>
      <w:r w:rsidRPr="001D2478">
        <w:rPr>
          <w:u w:val="single"/>
        </w:rPr>
        <w:t>Panorama de la Educación 2013 de la OCDE</w:t>
      </w:r>
      <w:r>
        <w:rPr>
          <w:u w:val="single"/>
        </w:rPr>
        <w:t xml:space="preserve"> (sobre gastos y resultados)</w:t>
      </w:r>
    </w:p>
    <w:p w:rsidR="001D2478" w:rsidRPr="001D2478" w:rsidRDefault="001D2478" w:rsidP="00550638">
      <w:pPr>
        <w:pStyle w:val="NormalWeb"/>
        <w:jc w:val="both"/>
        <w:rPr>
          <w:i/>
        </w:rPr>
      </w:pPr>
      <w:r>
        <w:rPr>
          <w:rStyle w:val="Textoennegrita"/>
          <w:b w:val="0"/>
          <w:i/>
        </w:rPr>
        <w:t>“</w:t>
      </w:r>
      <w:r w:rsidR="00F77839" w:rsidRPr="001D2478">
        <w:rPr>
          <w:rStyle w:val="Textoennegrita"/>
          <w:b w:val="0"/>
          <w:i/>
        </w:rPr>
        <w:t>Bastante cara, no muy eficiente y más bien injusta</w:t>
      </w:r>
      <w:r w:rsidR="00F77839" w:rsidRPr="001D2478">
        <w:rPr>
          <w:i/>
        </w:rPr>
        <w:t xml:space="preserve">. Así podría definirse la </w:t>
      </w:r>
      <w:hyperlink r:id="rId211" w:history="1">
        <w:r w:rsidR="00F77839" w:rsidRPr="001D2478">
          <w:rPr>
            <w:rStyle w:val="Hipervnculo"/>
            <w:rFonts w:eastAsiaTheme="majorEastAsia"/>
            <w:i/>
            <w:color w:val="auto"/>
            <w:u w:val="none"/>
          </w:rPr>
          <w:t>educación española</w:t>
        </w:r>
      </w:hyperlink>
      <w:r w:rsidR="00F77839" w:rsidRPr="001D2478">
        <w:rPr>
          <w:i/>
        </w:rPr>
        <w:t xml:space="preserve"> si hacemos caso a los datos incluidos en el informe </w:t>
      </w:r>
      <w:hyperlink r:id="rId212" w:history="1">
        <w:r w:rsidR="00F77839" w:rsidRPr="001D2478">
          <w:rPr>
            <w:rStyle w:val="Hipervnculo"/>
            <w:rFonts w:eastAsiaTheme="majorEastAsia"/>
            <w:i/>
            <w:iCs/>
            <w:color w:val="auto"/>
            <w:u w:val="none"/>
          </w:rPr>
          <w:t>Panorama de la Educación 2013</w:t>
        </w:r>
      </w:hyperlink>
      <w:r w:rsidR="00F77839" w:rsidRPr="001D2478">
        <w:rPr>
          <w:i/>
        </w:rPr>
        <w:t xml:space="preserve"> de la OCDE que este martes se ha presentado en Madrid</w:t>
      </w:r>
      <w:r>
        <w:rPr>
          <w:i/>
        </w:rPr>
        <w:t>”..</w:t>
      </w:r>
      <w:r w:rsidR="00F77839" w:rsidRPr="001D2478">
        <w:rPr>
          <w:i/>
        </w:rPr>
        <w:t>.</w:t>
      </w:r>
      <w:r>
        <w:rPr>
          <w:i/>
        </w:rPr>
        <w:t xml:space="preserve"> </w:t>
      </w:r>
      <w:r w:rsidRPr="00603790">
        <w:rPr>
          <w:u w:val="single"/>
        </w:rPr>
        <w:t>La OCDE desmonta los grandes mitos sobre la educación española</w:t>
      </w:r>
      <w:r>
        <w:t xml:space="preserve"> (Libertad Digital - </w:t>
      </w:r>
      <w:r>
        <w:rPr>
          <w:b/>
        </w:rPr>
        <w:t>25</w:t>
      </w:r>
      <w:r w:rsidRPr="00603790">
        <w:rPr>
          <w:b/>
        </w:rPr>
        <w:t>/6/13</w:t>
      </w:r>
      <w:r>
        <w:t>)</w:t>
      </w:r>
    </w:p>
    <w:p w:rsidR="00F77839" w:rsidRPr="001D2478" w:rsidRDefault="00F77839" w:rsidP="00550638">
      <w:pPr>
        <w:pStyle w:val="NormalWeb"/>
        <w:jc w:val="both"/>
      </w:pPr>
      <w:r w:rsidRPr="001D2478">
        <w:t xml:space="preserve">Desde siempre, la principal queja es que España gasta poco en educación. Eso explicaría sus malos resultados en las </w:t>
      </w:r>
      <w:hyperlink r:id="rId213" w:history="1">
        <w:r w:rsidRPr="001D2478">
          <w:rPr>
            <w:rStyle w:val="Hipervnculo"/>
            <w:rFonts w:eastAsiaTheme="majorEastAsia"/>
            <w:color w:val="auto"/>
            <w:u w:val="none"/>
          </w:rPr>
          <w:t>pruebas internacionales como el informe PISA</w:t>
        </w:r>
      </w:hyperlink>
      <w:r w:rsidRPr="001D2478">
        <w:t xml:space="preserve">, en </w:t>
      </w:r>
      <w:r w:rsidRPr="001D2478">
        <w:lastRenderedPageBreak/>
        <w:t>el que tradicionalmente los estudiantes españoles obtienen calificaciones muy por debajo de los alumnos de los países de nuestro entorno.</w:t>
      </w:r>
    </w:p>
    <w:p w:rsidR="00F77839" w:rsidRPr="001D2478" w:rsidRDefault="00F77839" w:rsidP="00550638">
      <w:pPr>
        <w:pStyle w:val="NormalWeb"/>
        <w:jc w:val="both"/>
      </w:pPr>
      <w:r w:rsidRPr="001D2478">
        <w:t xml:space="preserve">Pues bien, habrá que buscarse otra excusa, porque el </w:t>
      </w:r>
      <w:hyperlink r:id="rId214" w:history="1">
        <w:r w:rsidRPr="001D2478">
          <w:rPr>
            <w:rStyle w:val="Hipervnculo"/>
            <w:rFonts w:eastAsiaTheme="majorEastAsia"/>
            <w:color w:val="auto"/>
            <w:u w:val="none"/>
          </w:rPr>
          <w:t>problema no es de dinero</w:t>
        </w:r>
      </w:hyperlink>
      <w:r w:rsidRPr="001D2478">
        <w:t xml:space="preserve">, </w:t>
      </w:r>
      <w:r w:rsidRPr="001D2478">
        <w:rPr>
          <w:rStyle w:val="Textoennegrita"/>
          <w:b w:val="0"/>
        </w:rPr>
        <w:t>sino de cómo se gasta</w:t>
      </w:r>
      <w:r w:rsidRPr="001D2478">
        <w:rPr>
          <w:b/>
        </w:rPr>
        <w:t xml:space="preserve">. </w:t>
      </w:r>
      <w:r w:rsidRPr="001D2478">
        <w:t xml:space="preserve">Según los datos de la </w:t>
      </w:r>
      <w:r w:rsidRPr="001D2478">
        <w:rPr>
          <w:rStyle w:val="Textoennegrita"/>
          <w:b w:val="0"/>
        </w:rPr>
        <w:t>OCDE</w:t>
      </w:r>
      <w:r w:rsidRPr="001D2478">
        <w:t>, las administraciones públicas españolas dedican</w:t>
      </w:r>
      <w:r w:rsidRPr="001D2478">
        <w:rPr>
          <w:rStyle w:val="Textoennegrita"/>
        </w:rPr>
        <w:t xml:space="preserve"> </w:t>
      </w:r>
      <w:r w:rsidRPr="00E83A87">
        <w:rPr>
          <w:rStyle w:val="Textoennegrita"/>
          <w:b w:val="0"/>
        </w:rPr>
        <w:t>7.293 dólares al año por alumno</w:t>
      </w:r>
      <w:r w:rsidRPr="00E83A87">
        <w:rPr>
          <w:b/>
        </w:rPr>
        <w:t xml:space="preserve"> </w:t>
      </w:r>
      <w:r w:rsidRPr="004D2B19">
        <w:t>de</w:t>
      </w:r>
      <w:r w:rsidRPr="00E83A87">
        <w:rPr>
          <w:rStyle w:val="Textoennegrita"/>
          <w:b w:val="0"/>
        </w:rPr>
        <w:t xml:space="preserve"> Educación Infantil</w:t>
      </w:r>
      <w:r w:rsidRPr="00E83A87">
        <w:rPr>
          <w:b/>
        </w:rPr>
        <w:t xml:space="preserve">, </w:t>
      </w:r>
      <w:r w:rsidRPr="00E83A87">
        <w:rPr>
          <w:rStyle w:val="Textoennegrita"/>
          <w:b w:val="0"/>
        </w:rPr>
        <w:t xml:space="preserve">9.559 </w:t>
      </w:r>
      <w:r w:rsidRPr="001D2478">
        <w:t>dólares en</w:t>
      </w:r>
      <w:r w:rsidRPr="001D2478">
        <w:rPr>
          <w:rStyle w:val="Textoennegrita"/>
        </w:rPr>
        <w:t xml:space="preserve"> </w:t>
      </w:r>
      <w:r w:rsidRPr="00E83A87">
        <w:rPr>
          <w:rStyle w:val="Textoennegrita"/>
          <w:b w:val="0"/>
        </w:rPr>
        <w:t>Educación Secundaria</w:t>
      </w:r>
      <w:r w:rsidRPr="001D2478">
        <w:t xml:space="preserve"> (FP y bachillerato) y </w:t>
      </w:r>
      <w:r w:rsidRPr="00E83A87">
        <w:rPr>
          <w:rStyle w:val="Textoennegrita"/>
          <w:b w:val="0"/>
        </w:rPr>
        <w:t xml:space="preserve">11.925 dólares </w:t>
      </w:r>
      <w:r w:rsidRPr="004D2B19">
        <w:t>en</w:t>
      </w:r>
      <w:r w:rsidRPr="00E83A87">
        <w:rPr>
          <w:b/>
        </w:rPr>
        <w:t xml:space="preserve"> </w:t>
      </w:r>
      <w:r w:rsidRPr="00E83A87">
        <w:rPr>
          <w:rStyle w:val="Textoennegrita"/>
          <w:b w:val="0"/>
        </w:rPr>
        <w:t>Terciaria</w:t>
      </w:r>
      <w:r w:rsidRPr="001D2478">
        <w:rPr>
          <w:rStyle w:val="Textoennegrita"/>
        </w:rPr>
        <w:t xml:space="preserve"> </w:t>
      </w:r>
      <w:r w:rsidRPr="001D2478">
        <w:t>(FP superior y universidad). De media, cada estudiante le cuesta al Estado 9.608 dólares al año (</w:t>
      </w:r>
      <w:r w:rsidRPr="00E83A87">
        <w:rPr>
          <w:rStyle w:val="Textoennegrita"/>
          <w:b w:val="0"/>
        </w:rPr>
        <w:t>7.390 euros al año</w:t>
      </w:r>
      <w:r w:rsidRPr="001D2478">
        <w:t>).</w:t>
      </w:r>
    </w:p>
    <w:p w:rsidR="00F77839" w:rsidRPr="001D2478" w:rsidRDefault="00F77839" w:rsidP="00550638">
      <w:pPr>
        <w:pStyle w:val="NormalWeb"/>
        <w:jc w:val="both"/>
      </w:pPr>
      <w:r w:rsidRPr="001D2478">
        <w:t xml:space="preserve">Pues bien, todas estas cifras son superiores tanto a la media de la OCDE (una organización que agrupa a los 34 países más desarrollados) como a la media de la UE-21 (los estados comunitarios que también forman parte de la OCDE). Así, el gasto medio en </w:t>
      </w:r>
      <w:r w:rsidRPr="00E83A87">
        <w:rPr>
          <w:rStyle w:val="Textoennegrita"/>
          <w:b w:val="0"/>
        </w:rPr>
        <w:t>primaria en la OCDE es de 6.725 dólares</w:t>
      </w:r>
      <w:r w:rsidRPr="00E83A87">
        <w:rPr>
          <w:b/>
        </w:rPr>
        <w:t xml:space="preserve">, </w:t>
      </w:r>
      <w:r w:rsidRPr="00E83A87">
        <w:t>de</w:t>
      </w:r>
      <w:r w:rsidRPr="00E83A87">
        <w:rPr>
          <w:rStyle w:val="Textoennegrita"/>
        </w:rPr>
        <w:t xml:space="preserve"> </w:t>
      </w:r>
      <w:r w:rsidRPr="00E83A87">
        <w:rPr>
          <w:rStyle w:val="Textoennegrita"/>
          <w:b w:val="0"/>
        </w:rPr>
        <w:t xml:space="preserve">8.412 dólares en secundaria </w:t>
      </w:r>
      <w:r w:rsidRPr="00E83A87">
        <w:rPr>
          <w:b/>
        </w:rPr>
        <w:t xml:space="preserve">y </w:t>
      </w:r>
      <w:r w:rsidRPr="00E83A87">
        <w:rPr>
          <w:rStyle w:val="Textoennegrita"/>
          <w:b w:val="0"/>
        </w:rPr>
        <w:t>11.382 dólares en terciaria</w:t>
      </w:r>
      <w:r w:rsidRPr="001D2478">
        <w:t>.</w:t>
      </w:r>
    </w:p>
    <w:p w:rsidR="00F77839" w:rsidRDefault="00F77839" w:rsidP="00550638">
      <w:pPr>
        <w:pStyle w:val="NormalWeb"/>
        <w:jc w:val="both"/>
      </w:pPr>
      <w:r>
        <w:rPr>
          <w:noProof/>
          <w:color w:val="0000FF"/>
        </w:rPr>
        <w:drawing>
          <wp:inline distT="0" distB="0" distL="0" distR="0" wp14:anchorId="628C4D79" wp14:editId="3B84F9AB">
            <wp:extent cx="5376672" cy="2253082"/>
            <wp:effectExtent l="0" t="0" r="0" b="0"/>
            <wp:docPr id="123" name="Imagen 123" descr="http://s.libertaddigital.com/fotos/noticias/ocde_educacion_graf_1.jpg">
              <a:hlinkClick xmlns:a="http://schemas.openxmlformats.org/drawingml/2006/main" r:id="rId2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ibertaddigital.com/fotos/noticias/ocde_educacion_graf_1.jpg">
                      <a:hlinkClick r:id="rId215"/>
                    </pic:cNvPr>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5376770" cy="2253123"/>
                    </a:xfrm>
                    <a:prstGeom prst="rect">
                      <a:avLst/>
                    </a:prstGeom>
                    <a:noFill/>
                    <a:ln>
                      <a:noFill/>
                    </a:ln>
                  </pic:spPr>
                </pic:pic>
              </a:graphicData>
            </a:graphic>
          </wp:inline>
        </w:drawing>
      </w:r>
    </w:p>
    <w:p w:rsidR="00F77839" w:rsidRPr="00E83A87" w:rsidRDefault="00F77839" w:rsidP="00550638">
      <w:pPr>
        <w:pStyle w:val="NormalWeb"/>
        <w:jc w:val="both"/>
      </w:pPr>
      <w:r w:rsidRPr="00E83A87">
        <w:t xml:space="preserve">En ocasiones, se ofrece el gasto en educación en España en función del </w:t>
      </w:r>
      <w:r w:rsidRPr="00E83A87">
        <w:rPr>
          <w:rStyle w:val="Textoennegrita"/>
          <w:b w:val="0"/>
        </w:rPr>
        <w:t>PIB</w:t>
      </w:r>
      <w:r w:rsidRPr="00E83A87">
        <w:rPr>
          <w:b/>
        </w:rPr>
        <w:t>.</w:t>
      </w:r>
      <w:r w:rsidRPr="00E83A87">
        <w:t xml:space="preserve"> Y es cierto que esta ratio es algo inferior en nuestro país a la media de la OCDE (5,6% frente al 6,3%). Pero no es por los recortes, sino simplemente porque hay menos alumnos, ya que en las últimas dos décadas, la tasa de natalidad se ha hundido. Pero el gasto por estudiante (que es lo importante) sí está en niveles comparables a los de los países europeos. De hecho, como hemos visto, está por encima.</w:t>
      </w:r>
    </w:p>
    <w:p w:rsidR="00F77839" w:rsidRPr="00E83A87" w:rsidRDefault="00F77839" w:rsidP="00550638">
      <w:pPr>
        <w:pStyle w:val="NormalWeb"/>
        <w:jc w:val="both"/>
      </w:pPr>
      <w:r w:rsidRPr="00E83A87">
        <w:t xml:space="preserve">Si se compara el gasto por alumno en función del PIB per cápita las conclusiones son similares. </w:t>
      </w:r>
      <w:r w:rsidRPr="00E83A87">
        <w:rPr>
          <w:rStyle w:val="Textoennegrita"/>
          <w:b w:val="0"/>
        </w:rPr>
        <w:t>España está por encima de la media de la UE-21</w:t>
      </w:r>
      <w:r w:rsidRPr="00E83A87">
        <w:rPr>
          <w:b/>
        </w:rPr>
        <w:t xml:space="preserve"> </w:t>
      </w:r>
      <w:r w:rsidRPr="00E83A87">
        <w:t xml:space="preserve">y la </w:t>
      </w:r>
      <w:r w:rsidRPr="00E83A87">
        <w:rPr>
          <w:rStyle w:val="Textoennegrita"/>
          <w:b w:val="0"/>
        </w:rPr>
        <w:t>OCDE</w:t>
      </w:r>
      <w:r w:rsidRPr="00E83A87">
        <w:t xml:space="preserve">, con un </w:t>
      </w:r>
      <w:r w:rsidRPr="00E83A87">
        <w:rPr>
          <w:rStyle w:val="Textoennegrita"/>
          <w:b w:val="0"/>
        </w:rPr>
        <w:t>30%</w:t>
      </w:r>
      <w:r w:rsidRPr="00E83A87">
        <w:t>, en este apartado, nos encontramos entre dos países tradicionalm</w:t>
      </w:r>
      <w:r w:rsidR="00BB5AAA">
        <w:t>ente bien clasificados en los ra</w:t>
      </w:r>
      <w:r w:rsidRPr="00E83A87">
        <w:t>nking</w:t>
      </w:r>
      <w:r w:rsidR="00BB5AAA">
        <w:t>s</w:t>
      </w:r>
      <w:r w:rsidRPr="00E83A87">
        <w:t xml:space="preserve"> educativos como </w:t>
      </w:r>
      <w:r w:rsidRPr="00E83A87">
        <w:rPr>
          <w:rStyle w:val="Textoennegrita"/>
          <w:b w:val="0"/>
        </w:rPr>
        <w:t>Suecia y Japón</w:t>
      </w:r>
      <w:r w:rsidRPr="00E83A87">
        <w:t>.</w:t>
      </w:r>
    </w:p>
    <w:p w:rsidR="00F77839" w:rsidRPr="00E83A87" w:rsidRDefault="00F77839" w:rsidP="00550638">
      <w:pPr>
        <w:pStyle w:val="NormalWeb"/>
        <w:jc w:val="both"/>
      </w:pPr>
      <w:r w:rsidRPr="00E83A87">
        <w:t xml:space="preserve">Habrá quien diga que los </w:t>
      </w:r>
      <w:r w:rsidRPr="00E83A87">
        <w:rPr>
          <w:rStyle w:val="Textoennegrita"/>
          <w:b w:val="0"/>
        </w:rPr>
        <w:t>datos del informe son de 2011, antes de los recortes</w:t>
      </w:r>
      <w:r w:rsidRPr="00E83A87">
        <w:t xml:space="preserve">. Y es cierto. Pero los últimos resultados de PISA también lo son. Es decir, </w:t>
      </w:r>
      <w:r w:rsidRPr="00E83A87">
        <w:rPr>
          <w:rStyle w:val="Textoennegrita"/>
          <w:b w:val="0"/>
        </w:rPr>
        <w:t>el incremento en el gasto público en la época de bonanza no sirvió para acercar a España a los países de su entorno</w:t>
      </w:r>
      <w:r w:rsidRPr="00E83A87">
        <w:rPr>
          <w:b/>
        </w:rPr>
        <w:t>.</w:t>
      </w:r>
      <w:r w:rsidRPr="00E83A87">
        <w:t xml:space="preserve"> Tomando un índice de 100 para el año 2005, España gastaba en educación obligatoria (primaria y secundaria) 87 en el año 2000 y 113 en el 2010: 26 puntos de incremento. En realidad, desde 1990 hasta 2010, el gasto por alumno se dobló y no parece que la calidad del sistema se doblase en consonancia.</w:t>
      </w:r>
    </w:p>
    <w:p w:rsidR="00F77839" w:rsidRPr="00E83A87" w:rsidRDefault="00F77839" w:rsidP="00550638">
      <w:pPr>
        <w:pStyle w:val="NormalWeb"/>
        <w:jc w:val="both"/>
        <w:rPr>
          <w:b/>
        </w:rPr>
      </w:pPr>
      <w:r w:rsidRPr="00E83A87">
        <w:lastRenderedPageBreak/>
        <w:t xml:space="preserve">Estos resultados son consistentes con lo apuntado en PISA. Los autores de este estudio dejaron claro en su última edición que una vez alcanzado un nivel de gasto mínimo (que todos los grandes países occidentales cumplen) el rendimiento de un sistema educativo no depende de cuánto más se gaste, sino de cómo se haga. Es decir, </w:t>
      </w:r>
      <w:r w:rsidRPr="00E83A87">
        <w:rPr>
          <w:rStyle w:val="Textoennegrita"/>
          <w:b w:val="0"/>
        </w:rPr>
        <w:t>el problema de España no es de coste, es de diseño del modelo</w:t>
      </w:r>
      <w:r w:rsidRPr="00E83A87">
        <w:rPr>
          <w:b/>
        </w:rPr>
        <w:t>.</w:t>
      </w:r>
    </w:p>
    <w:p w:rsidR="00F77839" w:rsidRPr="00E83A87" w:rsidRDefault="00F77839" w:rsidP="00550638">
      <w:pPr>
        <w:pStyle w:val="NormalWeb"/>
        <w:jc w:val="both"/>
      </w:pPr>
      <w:r w:rsidRPr="00E83A87">
        <w:t xml:space="preserve">Todos los sistemas educativos que funcionan se basan en un gran cuerpo de </w:t>
      </w:r>
      <w:r w:rsidRPr="004D2B19">
        <w:rPr>
          <w:rStyle w:val="Textoennegrita"/>
          <w:b w:val="0"/>
        </w:rPr>
        <w:t>profesores</w:t>
      </w:r>
      <w:r w:rsidRPr="004D2B19">
        <w:rPr>
          <w:b/>
        </w:rPr>
        <w:t>.</w:t>
      </w:r>
      <w:r w:rsidRPr="00E83A87">
        <w:t xml:space="preserve"> En esto coinciden los principales estudios: si quieres tener una buena escuela, tienes que contratar, formar e incentivar a sus maestros. El mito no es ése. El mito en España es que se trate mal a los profesores o que trabajen en peores condiciones que en otros países.</w:t>
      </w:r>
    </w:p>
    <w:p w:rsidR="00F77839" w:rsidRPr="00E83A87" w:rsidRDefault="00F77839" w:rsidP="00550638">
      <w:pPr>
        <w:pStyle w:val="NormalWeb"/>
        <w:jc w:val="both"/>
      </w:pPr>
      <w:r w:rsidRPr="00E83A87">
        <w:t xml:space="preserve">En lo que más importa a los profesionales del ramo, su </w:t>
      </w:r>
      <w:r w:rsidRPr="00E83A87">
        <w:rPr>
          <w:rStyle w:val="Textoennegrita"/>
          <w:b w:val="0"/>
        </w:rPr>
        <w:t>sueldo</w:t>
      </w:r>
      <w:r w:rsidRPr="00E83A87">
        <w:t xml:space="preserve">, no parece haber muchos motivos de queja. La retribución inicial media (siempre en paridad de poder adquisitivo) es de </w:t>
      </w:r>
      <w:r w:rsidRPr="00E83A87">
        <w:rPr>
          <w:rStyle w:val="Textoennegrita"/>
          <w:b w:val="0"/>
        </w:rPr>
        <w:t>35.881 dólares</w:t>
      </w:r>
      <w:r w:rsidRPr="00E83A87">
        <w:rPr>
          <w:b/>
        </w:rPr>
        <w:t xml:space="preserve"> </w:t>
      </w:r>
      <w:r w:rsidRPr="00E83A87">
        <w:t>(unos</w:t>
      </w:r>
      <w:r w:rsidRPr="00E83A87">
        <w:rPr>
          <w:b/>
        </w:rPr>
        <w:t xml:space="preserve"> </w:t>
      </w:r>
      <w:r w:rsidRPr="00E83A87">
        <w:rPr>
          <w:rStyle w:val="Textoennegrita"/>
          <w:b w:val="0"/>
        </w:rPr>
        <w:t>27.600 euros</w:t>
      </w:r>
      <w:r w:rsidRPr="00E83A87">
        <w:t>), por</w:t>
      </w:r>
      <w:r w:rsidRPr="00E83A87">
        <w:rPr>
          <w:b/>
        </w:rPr>
        <w:t xml:space="preserve"> </w:t>
      </w:r>
      <w:r w:rsidRPr="00E83A87">
        <w:rPr>
          <w:rStyle w:val="Textoennegrita"/>
          <w:b w:val="0"/>
        </w:rPr>
        <w:t>28.854 dólares de media en la OCDE</w:t>
      </w:r>
      <w:r w:rsidRPr="00E83A87">
        <w:rPr>
          <w:b/>
        </w:rPr>
        <w:t xml:space="preserve"> y </w:t>
      </w:r>
      <w:r w:rsidRPr="00E83A87">
        <w:rPr>
          <w:rStyle w:val="Textoennegrita"/>
          <w:b w:val="0"/>
        </w:rPr>
        <w:t>29.123 dólares en la UE-21</w:t>
      </w:r>
      <w:r w:rsidRPr="00E83A87">
        <w:rPr>
          <w:b/>
        </w:rPr>
        <w:t xml:space="preserve">. </w:t>
      </w:r>
      <w:r w:rsidRPr="00E83A87">
        <w:t>Sólo en</w:t>
      </w:r>
      <w:r w:rsidRPr="00E83A87">
        <w:rPr>
          <w:b/>
        </w:rPr>
        <w:t xml:space="preserve"> </w:t>
      </w:r>
      <w:r w:rsidRPr="00E83A87">
        <w:rPr>
          <w:rStyle w:val="Textoennegrita"/>
          <w:b w:val="0"/>
        </w:rPr>
        <w:t>EEUU, Alemania y Holanda cobran los nuevos maestros más que en España</w:t>
      </w:r>
      <w:r w:rsidRPr="00E83A87">
        <w:t>. Y la misma tendencia se puede observar en los profesores con 15 años de experiencia y los que cobran el máximo nivel de la escala.</w:t>
      </w:r>
    </w:p>
    <w:p w:rsidR="00F77839" w:rsidRPr="00E83A87" w:rsidRDefault="00F77839" w:rsidP="00550638">
      <w:pPr>
        <w:pStyle w:val="NormalWeb"/>
        <w:jc w:val="both"/>
      </w:pPr>
      <w:r w:rsidRPr="00E83A87">
        <w:t xml:space="preserve">De hecho, España sí ocupa el primer puesto en una lista dentro de este informe. Como puede verse en el siguiente gráfico, </w:t>
      </w:r>
      <w:r w:rsidR="00E83A87" w:rsidRPr="00E83A87">
        <w:rPr>
          <w:b/>
        </w:rPr>
        <w:t>el</w:t>
      </w:r>
      <w:r w:rsidRPr="00E83A87">
        <w:rPr>
          <w:rStyle w:val="Textoennegrita"/>
          <w:b w:val="0"/>
        </w:rPr>
        <w:t xml:space="preserve"> ratio de retribución entre el profesorado y el licenciado universitario medio</w:t>
      </w:r>
      <w:r w:rsidRPr="00E83A87">
        <w:t xml:space="preserve"> es la más alta de los países analizados. Así, </w:t>
      </w:r>
      <w:r w:rsidRPr="00E83A87">
        <w:rPr>
          <w:rStyle w:val="Textoennegrita"/>
          <w:b w:val="0"/>
        </w:rPr>
        <w:t xml:space="preserve">un maestro de secundaria español cobra un 40% más </w:t>
      </w:r>
      <w:r w:rsidRPr="00E83A87">
        <w:t xml:space="preserve">que sus compatriotas con otra titulación terciaria y </w:t>
      </w:r>
      <w:r w:rsidRPr="00E83A87">
        <w:rPr>
          <w:rStyle w:val="Textoennegrita"/>
          <w:b w:val="0"/>
        </w:rPr>
        <w:t>un maestro de primaria un 23% más</w:t>
      </w:r>
      <w:r w:rsidRPr="00E83A87">
        <w:t xml:space="preserve">. Mientras, en la OCDE, lo normal es que los profesores de secundaria cobren un </w:t>
      </w:r>
      <w:r w:rsidRPr="00E83A87">
        <w:rPr>
          <w:rStyle w:val="Textoennegrita"/>
          <w:b w:val="0"/>
        </w:rPr>
        <w:t>11% menos</w:t>
      </w:r>
      <w:r w:rsidRPr="00E83A87">
        <w:t xml:space="preserve"> que los licenciados de su país y los de primaria un</w:t>
      </w:r>
      <w:r w:rsidRPr="00E83A87">
        <w:rPr>
          <w:rStyle w:val="Textoennegrita"/>
        </w:rPr>
        <w:t xml:space="preserve"> </w:t>
      </w:r>
      <w:r w:rsidRPr="00E83A87">
        <w:rPr>
          <w:rStyle w:val="Textoennegrita"/>
          <w:b w:val="0"/>
        </w:rPr>
        <w:t>18% menos</w:t>
      </w:r>
      <w:r w:rsidRPr="00E83A87">
        <w:rPr>
          <w:b/>
        </w:rPr>
        <w:t>.</w:t>
      </w:r>
    </w:p>
    <w:p w:rsidR="00F77839" w:rsidRDefault="00F77839" w:rsidP="00550638">
      <w:pPr>
        <w:pStyle w:val="NormalWeb"/>
        <w:jc w:val="both"/>
      </w:pPr>
      <w:r>
        <w:rPr>
          <w:noProof/>
          <w:color w:val="0000FF"/>
        </w:rPr>
        <w:drawing>
          <wp:inline distT="0" distB="0" distL="0" distR="0" wp14:anchorId="776AF660" wp14:editId="5D7AB83C">
            <wp:extent cx="5617653" cy="2384755"/>
            <wp:effectExtent l="0" t="0" r="2540" b="0"/>
            <wp:docPr id="14" name="Imagen 14" descr="http://s.libertaddigital.com/fotos/noticias/ocde_educacion_graf_2.jpg">
              <a:hlinkClick xmlns:a="http://schemas.openxmlformats.org/drawingml/2006/main" r:id="rId2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ibertaddigital.com/fotos/noticias/ocde_educacion_graf_2.jpg">
                      <a:hlinkClick r:id="rId217"/>
                    </pic:cNvPr>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617852" cy="2384840"/>
                    </a:xfrm>
                    <a:prstGeom prst="rect">
                      <a:avLst/>
                    </a:prstGeom>
                    <a:noFill/>
                    <a:ln>
                      <a:noFill/>
                    </a:ln>
                  </pic:spPr>
                </pic:pic>
              </a:graphicData>
            </a:graphic>
          </wp:inline>
        </w:drawing>
      </w:r>
    </w:p>
    <w:p w:rsidR="00F77839" w:rsidRPr="004D2B19" w:rsidRDefault="00F77839" w:rsidP="00550638">
      <w:pPr>
        <w:pStyle w:val="NormalWeb"/>
        <w:jc w:val="both"/>
      </w:pPr>
      <w:r w:rsidRPr="004D2B19">
        <w:t xml:space="preserve">Del mismo modo, el </w:t>
      </w:r>
      <w:r w:rsidRPr="004D2B19">
        <w:rPr>
          <w:rStyle w:val="Textoennegrita"/>
          <w:b w:val="0"/>
        </w:rPr>
        <w:t>tamaño de la clase</w:t>
      </w:r>
      <w:r w:rsidRPr="004D2B19">
        <w:t xml:space="preserve"> tampoco parece un factor determinante. En España, el</w:t>
      </w:r>
      <w:r w:rsidRPr="004D2B19">
        <w:rPr>
          <w:rStyle w:val="Textoennegrita"/>
        </w:rPr>
        <w:t xml:space="preserve"> </w:t>
      </w:r>
      <w:r w:rsidRPr="004D2B19">
        <w:rPr>
          <w:rStyle w:val="Textoennegrita"/>
          <w:b w:val="0"/>
        </w:rPr>
        <w:t>número de alumnos por aula en primaria</w:t>
      </w:r>
      <w:r w:rsidRPr="004D2B19">
        <w:t xml:space="preserve"> es de 20,1, por debajo de la media de la OCDE (21,3) y casi al mismo nivel que la UE-21 (19,9).</w:t>
      </w:r>
    </w:p>
    <w:p w:rsidR="00F77839" w:rsidRPr="004D2B19" w:rsidRDefault="00F77839" w:rsidP="00550638">
      <w:pPr>
        <w:pStyle w:val="NormalWeb"/>
        <w:jc w:val="both"/>
      </w:pPr>
      <w:r w:rsidRPr="004D2B19">
        <w:t xml:space="preserve">Y en la clasificación del tamaño estimado (tiene en cuenta el número de materias a las que asiste cada alumno) la proporción es incluso mejor. En primaria, por ejemplo, </w:t>
      </w:r>
      <w:r w:rsidRPr="004D2B19">
        <w:rPr>
          <w:rStyle w:val="Textoennegrita"/>
          <w:b w:val="0"/>
        </w:rPr>
        <w:t>el número de alumnos por profesor</w:t>
      </w:r>
      <w:r w:rsidRPr="004D2B19">
        <w:rPr>
          <w:b/>
        </w:rPr>
        <w:t xml:space="preserve"> </w:t>
      </w:r>
      <w:r w:rsidRPr="004D2B19">
        <w:t>es de 13,1 frente al 16,1 de media en la OCDE y la UE-21.</w:t>
      </w:r>
    </w:p>
    <w:p w:rsidR="00F77839" w:rsidRPr="004D2B19" w:rsidRDefault="00F77839" w:rsidP="00550638">
      <w:pPr>
        <w:pStyle w:val="NormalWeb"/>
        <w:jc w:val="both"/>
      </w:pPr>
      <w:r w:rsidRPr="004D2B19">
        <w:lastRenderedPageBreak/>
        <w:t>La pregunta que hay que hacerse es por qué entonces los colegios españoles no acaban de funcionar. Y la respuesta habrá que buscarla en los incentivos que ofrece a sus maestros, su forma de organización o el modelo educativo general, pero no en los sueldos que les pague o en el número total de profesores.</w:t>
      </w:r>
    </w:p>
    <w:p w:rsidR="00F77839" w:rsidRPr="004D2B19" w:rsidRDefault="00F77839" w:rsidP="00550638">
      <w:pPr>
        <w:pStyle w:val="NormalWeb"/>
        <w:jc w:val="both"/>
      </w:pPr>
      <w:r w:rsidRPr="004D2B19">
        <w:t xml:space="preserve">Otra de las afirmaciones más o menos recurrentes que se realizan es que España necesita más licenciados para impulsar la economía. Falso. </w:t>
      </w:r>
      <w:hyperlink r:id="rId219" w:history="1">
        <w:r w:rsidRPr="004D2B19">
          <w:rPr>
            <w:rStyle w:val="Hipervnculo"/>
            <w:rFonts w:eastAsiaTheme="majorEastAsia"/>
            <w:color w:val="auto"/>
            <w:u w:val="none"/>
          </w:rPr>
          <w:t>Según este estudio</w:t>
        </w:r>
      </w:hyperlink>
      <w:r w:rsidRPr="004D2B19">
        <w:t xml:space="preserve">, la realidad es que estamos entre los países de Europa con </w:t>
      </w:r>
      <w:r w:rsidRPr="004D2B19">
        <w:rPr>
          <w:rStyle w:val="Textoennegrita"/>
          <w:b w:val="0"/>
        </w:rPr>
        <w:t>más universitarios</w:t>
      </w:r>
      <w:r w:rsidRPr="004D2B19">
        <w:t xml:space="preserve">, una situación habitual en las últimas décadas. En el informe se puede ver cómo entre todos sus habitantes de entre </w:t>
      </w:r>
      <w:r w:rsidRPr="004D2B19">
        <w:rPr>
          <w:rStyle w:val="Textoennegrita"/>
          <w:b w:val="0"/>
        </w:rPr>
        <w:t>25 y 64 años</w:t>
      </w:r>
      <w:r w:rsidRPr="004D2B19">
        <w:rPr>
          <w:b/>
        </w:rPr>
        <w:t xml:space="preserve">, </w:t>
      </w:r>
      <w:r w:rsidRPr="004D2B19">
        <w:t>un</w:t>
      </w:r>
      <w:r w:rsidRPr="004D2B19">
        <w:rPr>
          <w:b/>
        </w:rPr>
        <w:t xml:space="preserve"> </w:t>
      </w:r>
      <w:r w:rsidRPr="004D2B19">
        <w:rPr>
          <w:rStyle w:val="Textoennegrita"/>
          <w:b w:val="0"/>
        </w:rPr>
        <w:t>32% tienen Educación Terciaria</w:t>
      </w:r>
      <w:r w:rsidRPr="004D2B19">
        <w:rPr>
          <w:b/>
        </w:rPr>
        <w:t xml:space="preserve">, la </w:t>
      </w:r>
      <w:r w:rsidRPr="004D2B19">
        <w:rPr>
          <w:rStyle w:val="Textoennegrita"/>
          <w:b w:val="0"/>
        </w:rPr>
        <w:t xml:space="preserve">misma media que en la OCDE </w:t>
      </w:r>
      <w:r w:rsidRPr="004D2B19">
        <w:t>y un poco superior a la de la UE-21, que baja al 29%.</w:t>
      </w:r>
    </w:p>
    <w:p w:rsidR="00F77839" w:rsidRPr="004D2B19" w:rsidRDefault="00F77839" w:rsidP="00550638">
      <w:pPr>
        <w:pStyle w:val="NormalWeb"/>
        <w:jc w:val="both"/>
        <w:rPr>
          <w:b/>
        </w:rPr>
      </w:pPr>
      <w:r w:rsidRPr="004D2B19">
        <w:t>Mientras, esta situación cambia exponencialmente cuando hablamos de Educación Secundaria no obligatoria (</w:t>
      </w:r>
      <w:r w:rsidRPr="004D2B19">
        <w:rPr>
          <w:rStyle w:val="Textoennegrita"/>
          <w:b w:val="0"/>
        </w:rPr>
        <w:t>Bachillerato-FP de grado medio</w:t>
      </w:r>
      <w:r w:rsidRPr="004D2B19">
        <w:t xml:space="preserve">). </w:t>
      </w:r>
      <w:r w:rsidRPr="004D2B19">
        <w:rPr>
          <w:rStyle w:val="Textoennegrita"/>
          <w:b w:val="0"/>
        </w:rPr>
        <w:t>Tan sólo un 22% de los españoles</w:t>
      </w:r>
      <w:r w:rsidRPr="004D2B19">
        <w:t xml:space="preserve"> tienen alguna de estas titulaciones</w:t>
      </w:r>
      <w:r w:rsidRPr="004D2B19">
        <w:rPr>
          <w:rStyle w:val="Textoennegrita"/>
        </w:rPr>
        <w:t xml:space="preserve"> </w:t>
      </w:r>
      <w:r w:rsidRPr="004D2B19">
        <w:rPr>
          <w:rStyle w:val="Textoennegrita"/>
          <w:b w:val="0"/>
        </w:rPr>
        <w:t>frente a un 48% de media</w:t>
      </w:r>
      <w:r w:rsidRPr="004D2B19">
        <w:t xml:space="preserve"> que sí la poseen entre los países de nuestro entorno (UE-21) y un 44% de la OCDE. Pero quizá el mayor drama de España es que </w:t>
      </w:r>
      <w:r w:rsidRPr="004D2B19">
        <w:rPr>
          <w:rStyle w:val="Textoennegrita"/>
          <w:b w:val="0"/>
        </w:rPr>
        <w:t>en 2010 alrededor del 46% de sus habitantes en edad de trabajar tiene únicamente la titulación de la ESO o ni siquiera</w:t>
      </w:r>
      <w:r w:rsidRPr="004D2B19">
        <w:t>. Esta última cifra baja al</w:t>
      </w:r>
      <w:r w:rsidRPr="004D2B19">
        <w:rPr>
          <w:rStyle w:val="Textoennegrita"/>
        </w:rPr>
        <w:t xml:space="preserve"> </w:t>
      </w:r>
      <w:r w:rsidRPr="004D2B19">
        <w:rPr>
          <w:rStyle w:val="Textoennegrita"/>
          <w:b w:val="0"/>
        </w:rPr>
        <w:t>25% de la OCDE</w:t>
      </w:r>
      <w:r w:rsidRPr="004D2B19">
        <w:rPr>
          <w:rStyle w:val="Textoennegrita"/>
        </w:rPr>
        <w:t xml:space="preserve"> </w:t>
      </w:r>
      <w:r w:rsidRPr="004D2B19">
        <w:t>y a un</w:t>
      </w:r>
      <w:r w:rsidRPr="004D2B19">
        <w:rPr>
          <w:rStyle w:val="Textoennegrita"/>
        </w:rPr>
        <w:t xml:space="preserve"> </w:t>
      </w:r>
      <w:r w:rsidRPr="004D2B19">
        <w:rPr>
          <w:rStyle w:val="Textoennegrita"/>
          <w:b w:val="0"/>
        </w:rPr>
        <w:t>24% de la UE-21</w:t>
      </w:r>
      <w:r w:rsidRPr="004D2B19">
        <w:rPr>
          <w:b/>
        </w:rPr>
        <w:t>.</w:t>
      </w:r>
    </w:p>
    <w:p w:rsidR="00F77839" w:rsidRPr="004D2B19" w:rsidRDefault="00F77839" w:rsidP="00550638">
      <w:pPr>
        <w:pStyle w:val="NormalWeb"/>
        <w:jc w:val="both"/>
      </w:pPr>
      <w:r w:rsidRPr="004D2B19">
        <w:t xml:space="preserve">Es decir, España tiene muchos licenciados, muy pocos técnicos y cuadros medios y muchísimas personas con una titulación muy baja o, directamente, sin ninguna clase de titulación. Mientras, países como </w:t>
      </w:r>
      <w:r w:rsidRPr="004D2B19">
        <w:rPr>
          <w:rStyle w:val="Textoennegrita"/>
          <w:b w:val="0"/>
        </w:rPr>
        <w:t>Alemania, Suecia, Finlandia o EEUU</w:t>
      </w:r>
      <w:r w:rsidRPr="004D2B19">
        <w:rPr>
          <w:rStyle w:val="Textoennegrita"/>
        </w:rPr>
        <w:t xml:space="preserve"> </w:t>
      </w:r>
      <w:r w:rsidRPr="004D2B19">
        <w:t>tienen un enorme ejército de titulados medios.</w:t>
      </w:r>
    </w:p>
    <w:p w:rsidR="00F77839" w:rsidRPr="004D2B19" w:rsidRDefault="00F77839" w:rsidP="00550638">
      <w:pPr>
        <w:pStyle w:val="NormalWeb"/>
        <w:jc w:val="both"/>
        <w:rPr>
          <w:b/>
        </w:rPr>
      </w:pPr>
      <w:r w:rsidRPr="004D2B19">
        <w:t xml:space="preserve">Las </w:t>
      </w:r>
      <w:r w:rsidRPr="004D2B19">
        <w:rPr>
          <w:rStyle w:val="Textoennegrita"/>
          <w:b w:val="0"/>
        </w:rPr>
        <w:t>tasas universitarias</w:t>
      </w:r>
      <w:r w:rsidRPr="004D2B19">
        <w:rPr>
          <w:rStyle w:val="Textoennegrita"/>
        </w:rPr>
        <w:t xml:space="preserve"> </w:t>
      </w:r>
      <w:r w:rsidRPr="004D2B19">
        <w:t xml:space="preserve">son otro de los asuntos polémicos en los últimos días. De hecho, la primera </w:t>
      </w:r>
      <w:r w:rsidRPr="004D2B19">
        <w:rPr>
          <w:rStyle w:val="Textoennegrita"/>
          <w:b w:val="0"/>
        </w:rPr>
        <w:t>gran rebelión contra el Gobierno del PP</w:t>
      </w:r>
      <w:r w:rsidRPr="004D2B19">
        <w:rPr>
          <w:rStyle w:val="Textoennegrita"/>
        </w:rPr>
        <w:t xml:space="preserve"> </w:t>
      </w:r>
      <w:r w:rsidR="004D2B19" w:rsidRPr="004D2B19">
        <w:t>llegó el año 2012</w:t>
      </w:r>
      <w:r w:rsidRPr="004D2B19">
        <w:t xml:space="preserve">, cuando se decretó su subida. Uno de los puntos más llamativos sobre universidades, financiación y gasto por alumno es aquél que destaca que </w:t>
      </w:r>
      <w:r w:rsidRPr="004D2B19">
        <w:rPr>
          <w:rStyle w:val="Textoennegrita"/>
          <w:b w:val="0"/>
        </w:rPr>
        <w:t>en general las tasas</w:t>
      </w:r>
      <w:r w:rsidRPr="004D2B19">
        <w:rPr>
          <w:rStyle w:val="Textoennegrita"/>
        </w:rPr>
        <w:t xml:space="preserve"> </w:t>
      </w:r>
      <w:r w:rsidRPr="004D2B19">
        <w:t xml:space="preserve">que tienen que pagar los estudiantes universitarios españoles </w:t>
      </w:r>
      <w:r w:rsidRPr="004D2B19">
        <w:rPr>
          <w:rStyle w:val="Textoennegrita"/>
          <w:b w:val="0"/>
        </w:rPr>
        <w:t>son bajas en comparación a otros países de la OCDE</w:t>
      </w:r>
      <w:r w:rsidRPr="004D2B19">
        <w:t>. En cambio, el número de matriculados es menor que en países como EEUU o Holanda donde los estudiantes han de pagar más. La experiencia en estos países demuestra que</w:t>
      </w:r>
      <w:r w:rsidRPr="004D2B19">
        <w:rPr>
          <w:rStyle w:val="Textoennegrita"/>
        </w:rPr>
        <w:t xml:space="preserve"> </w:t>
      </w:r>
      <w:r w:rsidRPr="004D2B19">
        <w:rPr>
          <w:rStyle w:val="Textoennegrita"/>
          <w:b w:val="0"/>
        </w:rPr>
        <w:t>las tasas no son una barrera infranqueable para entrar en la Universidad</w:t>
      </w:r>
      <w:r w:rsidRPr="004D2B19">
        <w:rPr>
          <w:b/>
        </w:rPr>
        <w:t>.</w:t>
      </w:r>
    </w:p>
    <w:p w:rsidR="00F77839" w:rsidRPr="004D2B19" w:rsidRDefault="00F77839" w:rsidP="00550638">
      <w:pPr>
        <w:pStyle w:val="NormalWeb"/>
        <w:jc w:val="both"/>
      </w:pPr>
      <w:r w:rsidRPr="004D2B19">
        <w:t xml:space="preserve">Y eso sin tener en cuenta que las tasas están subvencionadas. En el informe </w:t>
      </w:r>
      <w:r w:rsidRPr="004D2B19">
        <w:rPr>
          <w:rStyle w:val="nfasis"/>
        </w:rPr>
        <w:t>La Universidad Española en Cifras</w:t>
      </w:r>
      <w:r w:rsidRPr="004D2B19">
        <w:t xml:space="preserve">, publicado por la </w:t>
      </w:r>
      <w:hyperlink r:id="rId220" w:history="1">
        <w:r w:rsidRPr="004D2B19">
          <w:rPr>
            <w:rStyle w:val="Hipervnculo"/>
            <w:rFonts w:eastAsiaTheme="majorEastAsia"/>
            <w:color w:val="auto"/>
            <w:u w:val="none"/>
          </w:rPr>
          <w:t>Conferencia de Rectores de las Universidades Españolas (CRUE</w:t>
        </w:r>
      </w:hyperlink>
      <w:r w:rsidRPr="004D2B19">
        <w:t xml:space="preserve">), se cogen datos del curso académico </w:t>
      </w:r>
      <w:r w:rsidRPr="00E14B3E">
        <w:rPr>
          <w:rStyle w:val="Textoennegrita"/>
          <w:b w:val="0"/>
        </w:rPr>
        <w:t>2008/09</w:t>
      </w:r>
      <w:r w:rsidRPr="004D2B19">
        <w:rPr>
          <w:rStyle w:val="Textoennegrita"/>
        </w:rPr>
        <w:t xml:space="preserve"> </w:t>
      </w:r>
      <w:r w:rsidRPr="004D2B19">
        <w:t>(antes de la última subida de las tasas):</w:t>
      </w:r>
    </w:p>
    <w:p w:rsidR="00F77839" w:rsidRPr="004D2B19" w:rsidRDefault="00F77839" w:rsidP="00550638">
      <w:pPr>
        <w:numPr>
          <w:ilvl w:val="0"/>
          <w:numId w:val="16"/>
        </w:numPr>
        <w:spacing w:before="100" w:beforeAutospacing="1" w:after="100" w:afterAutospacing="1" w:line="240" w:lineRule="auto"/>
        <w:jc w:val="both"/>
        <w:rPr>
          <w:rFonts w:ascii="Times New Roman" w:hAnsi="Times New Roman" w:cs="Times New Roman"/>
          <w:sz w:val="24"/>
          <w:szCs w:val="24"/>
        </w:rPr>
      </w:pPr>
      <w:r w:rsidRPr="004D2B19">
        <w:rPr>
          <w:rStyle w:val="Textoennegrita"/>
          <w:rFonts w:ascii="Times New Roman" w:hAnsi="Times New Roman" w:cs="Times New Roman"/>
          <w:b w:val="0"/>
          <w:sz w:val="24"/>
          <w:szCs w:val="24"/>
        </w:rPr>
        <w:t>Coste medio primera matrícula</w:t>
      </w:r>
      <w:r w:rsidRPr="004D2B19">
        <w:rPr>
          <w:rFonts w:ascii="Times New Roman" w:hAnsi="Times New Roman" w:cs="Times New Roman"/>
          <w:sz w:val="24"/>
          <w:szCs w:val="24"/>
        </w:rPr>
        <w:t>: 11,48 euros por crédito</w:t>
      </w:r>
    </w:p>
    <w:p w:rsidR="00F77839" w:rsidRPr="004D2B19" w:rsidRDefault="00F77839" w:rsidP="00550638">
      <w:pPr>
        <w:numPr>
          <w:ilvl w:val="0"/>
          <w:numId w:val="16"/>
        </w:numPr>
        <w:spacing w:before="100" w:beforeAutospacing="1" w:after="100" w:afterAutospacing="1" w:line="240" w:lineRule="auto"/>
        <w:jc w:val="both"/>
        <w:rPr>
          <w:rFonts w:ascii="Times New Roman" w:hAnsi="Times New Roman" w:cs="Times New Roman"/>
          <w:sz w:val="24"/>
          <w:szCs w:val="24"/>
        </w:rPr>
      </w:pPr>
      <w:r w:rsidRPr="004D2B19">
        <w:rPr>
          <w:rStyle w:val="Textoennegrita"/>
          <w:rFonts w:ascii="Times New Roman" w:hAnsi="Times New Roman" w:cs="Times New Roman"/>
          <w:b w:val="0"/>
          <w:sz w:val="24"/>
          <w:szCs w:val="24"/>
        </w:rPr>
        <w:t>Gasto real</w:t>
      </w:r>
      <w:r w:rsidRPr="004D2B19">
        <w:rPr>
          <w:rFonts w:ascii="Times New Roman" w:hAnsi="Times New Roman" w:cs="Times New Roman"/>
          <w:sz w:val="24"/>
          <w:szCs w:val="24"/>
        </w:rPr>
        <w:t>: 115 euros por crédito</w:t>
      </w:r>
    </w:p>
    <w:p w:rsidR="00F77839" w:rsidRPr="004D2B19" w:rsidRDefault="00F77839" w:rsidP="00550638">
      <w:pPr>
        <w:numPr>
          <w:ilvl w:val="0"/>
          <w:numId w:val="16"/>
        </w:numPr>
        <w:spacing w:before="100" w:beforeAutospacing="1" w:after="100" w:afterAutospacing="1" w:line="240" w:lineRule="auto"/>
        <w:jc w:val="both"/>
        <w:rPr>
          <w:rFonts w:ascii="Times New Roman" w:hAnsi="Times New Roman" w:cs="Times New Roman"/>
          <w:sz w:val="24"/>
          <w:szCs w:val="24"/>
        </w:rPr>
      </w:pPr>
      <w:r w:rsidRPr="004D2B19">
        <w:rPr>
          <w:rFonts w:ascii="Times New Roman" w:hAnsi="Times New Roman" w:cs="Times New Roman"/>
          <w:sz w:val="24"/>
          <w:szCs w:val="24"/>
        </w:rPr>
        <w:t>Contando con 60 euros por curso, cada universitario pagaba 689 euros en tasas a cambio de una formación que costaba 6.901 euros.</w:t>
      </w:r>
    </w:p>
    <w:p w:rsidR="00F77839" w:rsidRPr="004D2B19" w:rsidRDefault="00F77839" w:rsidP="00550638">
      <w:pPr>
        <w:pStyle w:val="NormalWeb"/>
        <w:jc w:val="both"/>
      </w:pPr>
      <w:r w:rsidRPr="004D2B19">
        <w:t xml:space="preserve">Es decir, </w:t>
      </w:r>
      <w:r w:rsidRPr="004D2B19">
        <w:rPr>
          <w:rStyle w:val="Textoennegrita"/>
          <w:b w:val="0"/>
        </w:rPr>
        <w:t>apenas el 10% del coste de la primera matrícula lo sufragaba el alumno</w:t>
      </w:r>
      <w:r w:rsidRPr="004D2B19">
        <w:rPr>
          <w:b/>
        </w:rPr>
        <w:t>.</w:t>
      </w:r>
      <w:r w:rsidRPr="004D2B19">
        <w:t xml:space="preserve"> El resto era abonado, de una u otra forma, por el contribuyente.</w:t>
      </w:r>
    </w:p>
    <w:p w:rsidR="00F77839" w:rsidRPr="004D2B19" w:rsidRDefault="00F77839" w:rsidP="00550638">
      <w:pPr>
        <w:pStyle w:val="NormalWeb"/>
        <w:jc w:val="both"/>
      </w:pPr>
      <w:r w:rsidRPr="004D2B19">
        <w:t xml:space="preserve">Según resalta el estudio de la OCDE, </w:t>
      </w:r>
      <w:r w:rsidRPr="004D2B19">
        <w:rPr>
          <w:rStyle w:val="Textoennegrita"/>
          <w:b w:val="0"/>
        </w:rPr>
        <w:t>unas mayores tasas</w:t>
      </w:r>
      <w:r w:rsidRPr="004D2B19">
        <w:t xml:space="preserve"> aumentan los recursos en las universidades lo que ayuda a mantener la calidad académica y el desarrollo de nuevos programas. Aunque por otro lado, unas menores tasas de matrícula pueden ayudar a </w:t>
      </w:r>
      <w:r w:rsidRPr="004D2B19">
        <w:lastRenderedPageBreak/>
        <w:t>promover el acceso y la equidad a esta Universidad Terciaria, pero dificulta el mantenimiento de la calidad educativa.</w:t>
      </w:r>
    </w:p>
    <w:p w:rsidR="00F77839" w:rsidRPr="004D2B19" w:rsidRDefault="00F77839" w:rsidP="00550638">
      <w:pPr>
        <w:pStyle w:val="NormalWeb"/>
        <w:jc w:val="both"/>
      </w:pPr>
      <w:r w:rsidRPr="004D2B19">
        <w:t>Además, tal y como hemos comentado, llama la atención cómo España es uno de los países que</w:t>
      </w:r>
      <w:r w:rsidRPr="004D2B19">
        <w:rPr>
          <w:rStyle w:val="Textoennegrita"/>
        </w:rPr>
        <w:t xml:space="preserve"> </w:t>
      </w:r>
      <w:r w:rsidRPr="004D2B19">
        <w:rPr>
          <w:rStyle w:val="Textoennegrita"/>
          <w:b w:val="0"/>
        </w:rPr>
        <w:t>más gasto público por alumno</w:t>
      </w:r>
      <w:r w:rsidRPr="004D2B19">
        <w:t xml:space="preserve"> destina en todos los niveles educativos. En concreto, en la </w:t>
      </w:r>
      <w:r w:rsidRPr="004D2B19">
        <w:rPr>
          <w:rStyle w:val="Textoennegrita"/>
          <w:b w:val="0"/>
        </w:rPr>
        <w:t>Educación Terciaria</w:t>
      </w:r>
      <w:r w:rsidRPr="004D2B19">
        <w:rPr>
          <w:rStyle w:val="Textoennegrita"/>
        </w:rPr>
        <w:t xml:space="preserve"> </w:t>
      </w:r>
      <w:r w:rsidRPr="004D2B19">
        <w:t>(Universidad y FP de grado superior) se alcanza en España un gasto de</w:t>
      </w:r>
      <w:r w:rsidRPr="004D2B19">
        <w:rPr>
          <w:rStyle w:val="Textoennegrita"/>
        </w:rPr>
        <w:t xml:space="preserve"> </w:t>
      </w:r>
      <w:r w:rsidRPr="004D2B19">
        <w:rPr>
          <w:rStyle w:val="Textoennegrita"/>
          <w:b w:val="0"/>
        </w:rPr>
        <w:t>11.925 dólares</w:t>
      </w:r>
      <w:r w:rsidRPr="004D2B19">
        <w:t>, mientras que la media de la OCDE es ligeramente inferior (11.382 dólares) mientras que la de la U</w:t>
      </w:r>
      <w:r w:rsidR="004D2B19" w:rsidRPr="004D2B19">
        <w:t>E-21 disminuye a 9.608 dólares.</w:t>
      </w:r>
    </w:p>
    <w:p w:rsidR="00F77839" w:rsidRPr="004D2B19" w:rsidRDefault="00F77839" w:rsidP="00550638">
      <w:pPr>
        <w:pStyle w:val="NormalWeb"/>
        <w:jc w:val="both"/>
      </w:pPr>
      <w:r w:rsidRPr="004D2B19">
        <w:t xml:space="preserve">Las protestas por los recortes en la educación </w:t>
      </w:r>
      <w:r w:rsidRPr="004D2B19">
        <w:rPr>
          <w:rStyle w:val="Textoennegrita"/>
          <w:b w:val="0"/>
        </w:rPr>
        <w:t xml:space="preserve">tienen un color, el </w:t>
      </w:r>
      <w:r w:rsidR="004D2B19" w:rsidRPr="004D2B19">
        <w:rPr>
          <w:rStyle w:val="Textoennegrita"/>
          <w:b w:val="0"/>
        </w:rPr>
        <w:t>verde, y un lema: “</w:t>
      </w:r>
      <w:r w:rsidRPr="004D2B19">
        <w:rPr>
          <w:rStyle w:val="Textoennegrita"/>
          <w:b w:val="0"/>
        </w:rPr>
        <w:t>Por una escuela pública de tod@s, para tod@s</w:t>
      </w:r>
      <w:r w:rsidR="004D2B19" w:rsidRPr="004D2B19">
        <w:rPr>
          <w:b/>
        </w:rPr>
        <w:t>”</w:t>
      </w:r>
      <w:r w:rsidRPr="004D2B19">
        <w:rPr>
          <w:b/>
        </w:rPr>
        <w:t>.</w:t>
      </w:r>
      <w:r w:rsidRPr="004D2B19">
        <w:t xml:space="preserve"> Cualquiera que lo lea podría pensar que los colegios españoles habían sido, hasta la llegada del Partido Popular, los cimientos para conseguir una sociedad equitativa, con oportunidades para que los que tienen menos recursos salgan adelante por sí mismos. Pero es sólo otro mito. Los datos apuntan a una realidad muy diferente.</w:t>
      </w:r>
    </w:p>
    <w:p w:rsidR="00F77839" w:rsidRPr="004D2B19" w:rsidRDefault="00F77839" w:rsidP="00550638">
      <w:pPr>
        <w:pStyle w:val="NormalWeb"/>
        <w:jc w:val="both"/>
      </w:pPr>
      <w:r w:rsidRPr="004D2B19">
        <w:t xml:space="preserve">Para empezar, habría que recordar que España tiene un </w:t>
      </w:r>
      <w:r w:rsidRPr="004D2B19">
        <w:rPr>
          <w:rStyle w:val="Textoennegrita"/>
          <w:b w:val="0"/>
        </w:rPr>
        <w:t>fracaso escolar que ronda el 30%</w:t>
      </w:r>
      <w:r w:rsidRPr="004D2B19">
        <w:rPr>
          <w:b/>
        </w:rPr>
        <w:t>.</w:t>
      </w:r>
      <w:r w:rsidRPr="004D2B19">
        <w:t xml:space="preserve"> Esta cifra ha caído desde el inicio de la crisis (ahora está alrededor del 25%), pero no por la mejora en la calidad de las clases, sino porque los alumnos no tienen ninguna alternativa en el mercado laboral. Por ejemplo, en </w:t>
      </w:r>
      <w:r w:rsidRPr="004D2B19">
        <w:rPr>
          <w:rStyle w:val="Textoennegrita"/>
          <w:b w:val="0"/>
        </w:rPr>
        <w:t>2007</w:t>
      </w:r>
      <w:r w:rsidRPr="004D2B19">
        <w:t xml:space="preserve">, mucho antes de los recortes, </w:t>
      </w:r>
      <w:hyperlink r:id="rId221" w:history="1">
        <w:r w:rsidRPr="004D2B19">
          <w:rPr>
            <w:rStyle w:val="Hipervnculo"/>
            <w:rFonts w:eastAsiaTheme="majorEastAsia"/>
            <w:color w:val="auto"/>
            <w:u w:val="none"/>
          </w:rPr>
          <w:t>sólo obtenían el título de secundaria</w:t>
        </w:r>
      </w:hyperlink>
      <w:r w:rsidRPr="004D2B19">
        <w:t xml:space="preserve"> (en teoría el mínimo obligatorio por ley) </w:t>
      </w:r>
      <w:r w:rsidRPr="004D2B19">
        <w:rPr>
          <w:rStyle w:val="Textoennegrita"/>
          <w:b w:val="0"/>
        </w:rPr>
        <w:t>el 65% de los alumnos de las escuelas públicas</w:t>
      </w:r>
      <w:r w:rsidRPr="004D2B19">
        <w:t xml:space="preserve">. Entre los </w:t>
      </w:r>
      <w:r w:rsidRPr="004D2B19">
        <w:rPr>
          <w:rStyle w:val="Textoennegrita"/>
          <w:b w:val="0"/>
        </w:rPr>
        <w:t>varones</w:t>
      </w:r>
      <w:r w:rsidRPr="004D2B19">
        <w:t xml:space="preserve">, este porcentaje </w:t>
      </w:r>
      <w:r w:rsidRPr="004D2B19">
        <w:rPr>
          <w:rStyle w:val="Textoennegrita"/>
          <w:b w:val="0"/>
        </w:rPr>
        <w:t>caía al 57%</w:t>
      </w:r>
      <w:r w:rsidRPr="004D2B19">
        <w:rPr>
          <w:b/>
        </w:rPr>
        <w:t>.</w:t>
      </w:r>
      <w:r w:rsidRPr="004D2B19">
        <w:t xml:space="preserve"> Casi la mitad de los chicos salía del colegio sin un título válido para el mercado laboral.</w:t>
      </w:r>
    </w:p>
    <w:p w:rsidR="00F77839" w:rsidRPr="004D2B19" w:rsidRDefault="00F77839" w:rsidP="00550638">
      <w:pPr>
        <w:pStyle w:val="NormalWeb"/>
        <w:jc w:val="both"/>
      </w:pPr>
      <w:r w:rsidRPr="004D2B19">
        <w:t>Claro, luego esto tiene consecuencias. Sólo el 65% de los españoles de entre 25 y 34 años tiene al menos una titulación secundaria, ya sea bachillerato o FP. El resto, un 35%, no tiene nada o apenas el título de la ESO. Por comparar, en la OCDE el porcentaje es del 82% y en la UE-21 del 84%.</w:t>
      </w:r>
    </w:p>
    <w:p w:rsidR="00F77839" w:rsidRDefault="00F77839" w:rsidP="00550638">
      <w:pPr>
        <w:pStyle w:val="NormalWeb"/>
        <w:jc w:val="both"/>
      </w:pPr>
      <w:r>
        <w:rPr>
          <w:noProof/>
        </w:rPr>
        <w:drawing>
          <wp:inline distT="0" distB="0" distL="0" distR="0" wp14:anchorId="47FABD46" wp14:editId="793BFA59">
            <wp:extent cx="5398617" cy="3145536"/>
            <wp:effectExtent l="0" t="0" r="0" b="0"/>
            <wp:docPr id="15" name="Imagen 15" descr="http://s.libertaddigital.com/fotos/noticias/ocde_educacion_graf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libertaddigital.com/fotos/noticias/ocde_educacion_graf_4.jpg"/>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5400040" cy="3146365"/>
                    </a:xfrm>
                    <a:prstGeom prst="rect">
                      <a:avLst/>
                    </a:prstGeom>
                    <a:noFill/>
                    <a:ln>
                      <a:noFill/>
                    </a:ln>
                  </pic:spPr>
                </pic:pic>
              </a:graphicData>
            </a:graphic>
          </wp:inline>
        </w:drawing>
      </w:r>
    </w:p>
    <w:p w:rsidR="00F77839" w:rsidRPr="004D2B19" w:rsidRDefault="00F77839" w:rsidP="00550638">
      <w:pPr>
        <w:pStyle w:val="NormalWeb"/>
        <w:jc w:val="both"/>
      </w:pPr>
      <w:r w:rsidRPr="004D2B19">
        <w:t xml:space="preserve">Evidentemente, la gran mayoría de esos que abandonan la escuela o sólo consiguen el título mínimo pertenecen a las clases bajas. Y luego, estos resultados tienen su reflejo </w:t>
      </w:r>
      <w:r w:rsidRPr="004D2B19">
        <w:lastRenderedPageBreak/>
        <w:t>no sólo mientras están estudiando sino a lo largo de toda la</w:t>
      </w:r>
      <w:r w:rsidRPr="004D2B19">
        <w:rPr>
          <w:rStyle w:val="Textoennegrita"/>
        </w:rPr>
        <w:t xml:space="preserve"> </w:t>
      </w:r>
      <w:r w:rsidRPr="004D2B19">
        <w:rPr>
          <w:rStyle w:val="Textoennegrita"/>
          <w:b w:val="0"/>
        </w:rPr>
        <w:t>vida laboral</w:t>
      </w:r>
      <w:r w:rsidRPr="004D2B19">
        <w:rPr>
          <w:b/>
        </w:rPr>
        <w:t>.</w:t>
      </w:r>
      <w:r w:rsidRPr="004D2B19">
        <w:t xml:space="preserve"> La</w:t>
      </w:r>
      <w:r w:rsidRPr="004D2B19">
        <w:rPr>
          <w:b/>
        </w:rPr>
        <w:t xml:space="preserve"> </w:t>
      </w:r>
      <w:r w:rsidRPr="004D2B19">
        <w:rPr>
          <w:rStyle w:val="Textoennegrita"/>
          <w:b w:val="0"/>
        </w:rPr>
        <w:t>tasa de paro</w:t>
      </w:r>
      <w:r w:rsidRPr="004D2B19">
        <w:rPr>
          <w:rStyle w:val="Textoennegrita"/>
        </w:rPr>
        <w:t xml:space="preserve"> </w:t>
      </w:r>
      <w:r w:rsidRPr="004D2B19">
        <w:t xml:space="preserve">entre las personas con una titulación menor a la secundaria es del </w:t>
      </w:r>
      <w:r w:rsidRPr="004D2B19">
        <w:rPr>
          <w:rStyle w:val="Textoennegrita"/>
          <w:b w:val="0"/>
        </w:rPr>
        <w:t>26%</w:t>
      </w:r>
      <w:r w:rsidRPr="004D2B19">
        <w:rPr>
          <w:b/>
        </w:rPr>
        <w:t xml:space="preserve">, </w:t>
      </w:r>
      <w:r w:rsidRPr="004D2B19">
        <w:t>la</w:t>
      </w:r>
      <w:r w:rsidRPr="004D2B19">
        <w:rPr>
          <w:b/>
        </w:rPr>
        <w:t xml:space="preserve"> </w:t>
      </w:r>
      <w:r w:rsidRPr="004D2B19">
        <w:rPr>
          <w:rStyle w:val="Textoennegrita"/>
          <w:b w:val="0"/>
        </w:rPr>
        <w:t>mayor de ningún país de la OCDE</w:t>
      </w:r>
      <w:r w:rsidRPr="004D2B19">
        <w:rPr>
          <w:b/>
        </w:rPr>
        <w:t>.</w:t>
      </w:r>
      <w:r w:rsidRPr="004D2B19">
        <w:t xml:space="preserve"> El fracaso escolar provoca que el sistema educativo no sólo no sirva como nivel de igualación social o como centro para asegurar una oportunidad para todos, sino que en muchos casos provoca que se acentúen las diferencias.</w:t>
      </w:r>
    </w:p>
    <w:p w:rsidR="00F77839" w:rsidRPr="004D2B19" w:rsidRDefault="00F77839" w:rsidP="00550638">
      <w:pPr>
        <w:pStyle w:val="NormalWeb"/>
        <w:jc w:val="both"/>
      </w:pPr>
      <w:r w:rsidRPr="004D2B19">
        <w:t xml:space="preserve">El reflejo más duro de esta situación se encuentra en el </w:t>
      </w:r>
      <w:r w:rsidRPr="004D2B19">
        <w:rPr>
          <w:rStyle w:val="Textoennegrita"/>
          <w:b w:val="0"/>
        </w:rPr>
        <w:t>número de</w:t>
      </w:r>
      <w:r w:rsidRPr="004D2B19">
        <w:rPr>
          <w:rStyle w:val="Textoennegrita"/>
        </w:rPr>
        <w:t xml:space="preserve"> </w:t>
      </w:r>
      <w:r w:rsidR="00822CE7">
        <w:rPr>
          <w:rStyle w:val="Textoennegrita"/>
        </w:rPr>
        <w:t>“</w:t>
      </w:r>
      <w:r w:rsidRPr="00822CE7">
        <w:rPr>
          <w:rStyle w:val="nfasis"/>
          <w:i w:val="0"/>
        </w:rPr>
        <w:t>ni-nis</w:t>
      </w:r>
      <w:r w:rsidR="00822CE7">
        <w:rPr>
          <w:rStyle w:val="nfasis"/>
          <w:i w:val="0"/>
        </w:rPr>
        <w:t>”</w:t>
      </w:r>
      <w:r w:rsidRPr="00822CE7">
        <w:rPr>
          <w:i/>
        </w:rPr>
        <w:t xml:space="preserve"> </w:t>
      </w:r>
      <w:r w:rsidRPr="004D2B19">
        <w:t xml:space="preserve">(personas que ni estudian ni trabajan). Entre los </w:t>
      </w:r>
      <w:r w:rsidRPr="004D2B19">
        <w:rPr>
          <w:rStyle w:val="Textoennegrita"/>
          <w:b w:val="0"/>
        </w:rPr>
        <w:t>20 y los 24 años, el 29% de los españoles</w:t>
      </w:r>
      <w:r w:rsidRPr="004D2B19">
        <w:t xml:space="preserve"> sufre esta situación. Y entre los </w:t>
      </w:r>
      <w:r w:rsidRPr="004D2B19">
        <w:rPr>
          <w:rStyle w:val="Textoennegrita"/>
          <w:b w:val="0"/>
        </w:rPr>
        <w:t>25 y los 29 años</w:t>
      </w:r>
      <w:r w:rsidRPr="004D2B19">
        <w:rPr>
          <w:rStyle w:val="Textoennegrita"/>
        </w:rPr>
        <w:t>,</w:t>
      </w:r>
      <w:r w:rsidRPr="004D2B19">
        <w:t xml:space="preserve"> este porcentaje alcanza el</w:t>
      </w:r>
      <w:r w:rsidRPr="004D2B19">
        <w:rPr>
          <w:rStyle w:val="Textoennegrita"/>
        </w:rPr>
        <w:t xml:space="preserve"> </w:t>
      </w:r>
      <w:r w:rsidRPr="004D2B19">
        <w:rPr>
          <w:rStyle w:val="Textoennegrita"/>
          <w:b w:val="0"/>
        </w:rPr>
        <w:t>30%</w:t>
      </w:r>
      <w:r w:rsidRPr="004D2B19">
        <w:rPr>
          <w:b/>
        </w:rPr>
        <w:t>.</w:t>
      </w:r>
      <w:r w:rsidRPr="004D2B19">
        <w:t xml:space="preserve"> Mientras la </w:t>
      </w:r>
      <w:r w:rsidRPr="004D2B19">
        <w:rPr>
          <w:rStyle w:val="Textoennegrita"/>
          <w:b w:val="0"/>
        </w:rPr>
        <w:t>media de la OCDE es del 18% y el 20%</w:t>
      </w:r>
      <w:r w:rsidRPr="004D2B19">
        <w:rPr>
          <w:rStyle w:val="Textoennegrita"/>
        </w:rPr>
        <w:t xml:space="preserve"> </w:t>
      </w:r>
      <w:r w:rsidRPr="004D2B19">
        <w:t>en los dos grupos de edad.</w:t>
      </w:r>
    </w:p>
    <w:p w:rsidR="00F77839" w:rsidRPr="00FD0D9C" w:rsidRDefault="004D2B19" w:rsidP="00550638">
      <w:pPr>
        <w:shd w:val="clear" w:color="auto" w:fill="FFFFFF"/>
        <w:spacing w:line="240" w:lineRule="auto"/>
        <w:jc w:val="both"/>
        <w:rPr>
          <w:rFonts w:ascii="Times New Roman" w:hAnsi="Times New Roman" w:cs="Times New Roman"/>
          <w:sz w:val="24"/>
          <w:szCs w:val="24"/>
        </w:rPr>
      </w:pPr>
      <w:r w:rsidRPr="004D2B19">
        <w:rPr>
          <w:rFonts w:ascii="Times New Roman" w:hAnsi="Times New Roman" w:cs="Times New Roman"/>
          <w:sz w:val="24"/>
          <w:szCs w:val="24"/>
          <w:u w:val="single"/>
        </w:rPr>
        <w:t>Una carrera sin incentivos: l</w:t>
      </w:r>
      <w:r w:rsidR="00F77839" w:rsidRPr="004D2B19">
        <w:rPr>
          <w:rFonts w:ascii="Times New Roman" w:hAnsi="Times New Roman" w:cs="Times New Roman"/>
          <w:sz w:val="24"/>
          <w:szCs w:val="24"/>
          <w:u w:val="single"/>
        </w:rPr>
        <w:t>os profesores</w:t>
      </w:r>
      <w:r w:rsidR="00F77839" w:rsidRPr="00FD0D9C">
        <w:rPr>
          <w:rFonts w:ascii="Times New Roman" w:hAnsi="Times New Roman" w:cs="Times New Roman"/>
          <w:sz w:val="24"/>
          <w:szCs w:val="24"/>
          <w:u w:val="single"/>
        </w:rPr>
        <w:t xml:space="preserve"> españoles: bien pagados, mal tratados</w:t>
      </w:r>
      <w:r w:rsidR="00F77839">
        <w:rPr>
          <w:rFonts w:ascii="Times New Roman" w:hAnsi="Times New Roman" w:cs="Times New Roman"/>
          <w:sz w:val="24"/>
          <w:szCs w:val="24"/>
          <w:u w:val="single"/>
        </w:rPr>
        <w:t xml:space="preserve"> </w:t>
      </w:r>
    </w:p>
    <w:p w:rsidR="00F77839" w:rsidRPr="005362C0" w:rsidRDefault="00F77839" w:rsidP="00550638">
      <w:pPr>
        <w:shd w:val="clear" w:color="auto" w:fill="FFFFFF"/>
        <w:spacing w:line="240" w:lineRule="auto"/>
        <w:jc w:val="both"/>
        <w:rPr>
          <w:rFonts w:ascii="Times New Roman" w:hAnsi="Times New Roman" w:cs="Times New Roman"/>
          <w:sz w:val="24"/>
          <w:szCs w:val="24"/>
        </w:rPr>
      </w:pPr>
      <w:r w:rsidRPr="005362C0">
        <w:rPr>
          <w:rFonts w:ascii="Times New Roman" w:hAnsi="Times New Roman" w:cs="Times New Roman"/>
          <w:sz w:val="24"/>
          <w:szCs w:val="24"/>
        </w:rPr>
        <w:t>Los maestros españoles cobran más que sus colegas en otros países; pero, sin estímulos correctos, no se logra una mejor</w:t>
      </w:r>
      <w:r w:rsidR="004D2B19" w:rsidRPr="005362C0">
        <w:rPr>
          <w:rFonts w:ascii="Times New Roman" w:hAnsi="Times New Roman" w:cs="Times New Roman"/>
          <w:sz w:val="24"/>
          <w:szCs w:val="24"/>
        </w:rPr>
        <w:t>a sustancial en los resultados.</w:t>
      </w:r>
    </w:p>
    <w:p w:rsidR="00F77839" w:rsidRPr="005362C0" w:rsidRDefault="00F77839" w:rsidP="00550638">
      <w:pPr>
        <w:pStyle w:val="NormalWeb"/>
        <w:jc w:val="both"/>
      </w:pPr>
      <w:r w:rsidRPr="005362C0">
        <w:t>Si un país quiere tener un sistema educativo de calidad, lo mejor es que cuide a sus maestros. Ésa es la clave, así lo dicen los principales estudios internacionales, c</w:t>
      </w:r>
      <w:r w:rsidR="004D2B19" w:rsidRPr="005362C0">
        <w:t xml:space="preserve">omo el de </w:t>
      </w:r>
      <w:r w:rsidR="005362C0" w:rsidRPr="005362C0">
        <w:t>la OCDE</w:t>
      </w:r>
      <w:r w:rsidRPr="005362C0">
        <w:t xml:space="preserve">. Ni ordenadores, ni pistas de baloncesto, ni más gasto en bruto. </w:t>
      </w:r>
      <w:r w:rsidRPr="005362C0">
        <w:rPr>
          <w:rStyle w:val="Textoennegrita"/>
          <w:b w:val="0"/>
        </w:rPr>
        <w:t>El profesor es lo más importante para conseguir buenos resultados</w:t>
      </w:r>
      <w:r w:rsidRPr="005362C0">
        <w:rPr>
          <w:b/>
        </w:rPr>
        <w:t>.</w:t>
      </w:r>
    </w:p>
    <w:p w:rsidR="00F77839" w:rsidRPr="005362C0" w:rsidRDefault="00F77839" w:rsidP="00550638">
      <w:pPr>
        <w:pStyle w:val="NormalWeb"/>
        <w:jc w:val="both"/>
        <w:rPr>
          <w:b/>
        </w:rPr>
      </w:pPr>
      <w:r w:rsidRPr="005362C0">
        <w:t xml:space="preserve">En este sentido, hay que decir que los datos del informe de la OCDE </w:t>
      </w:r>
      <w:hyperlink r:id="rId223" w:history="1">
        <w:r w:rsidRPr="005362C0">
          <w:rPr>
            <w:rStyle w:val="Hipervnculo"/>
            <w:rFonts w:eastAsiaTheme="majorEastAsia"/>
            <w:i/>
            <w:iCs/>
            <w:color w:val="auto"/>
            <w:u w:val="none"/>
          </w:rPr>
          <w:t>Panorama de la educación 2013</w:t>
        </w:r>
      </w:hyperlink>
      <w:r w:rsidRPr="005362C0">
        <w:t xml:space="preserve"> apuntan una cierta contradicción. Por un lado, los profesores españoles están bien pagados. De hecho, en algunos indicadores son los más privilegiados de la </w:t>
      </w:r>
      <w:hyperlink r:id="rId224" w:history="1">
        <w:r w:rsidRPr="005362C0">
          <w:rPr>
            <w:rStyle w:val="Hipervnculo"/>
            <w:rFonts w:eastAsiaTheme="majorEastAsia"/>
            <w:color w:val="auto"/>
            <w:u w:val="none"/>
          </w:rPr>
          <w:t xml:space="preserve">OCDE </w:t>
        </w:r>
      </w:hyperlink>
      <w:r w:rsidRPr="005362C0">
        <w:t xml:space="preserve">(el grupo que engloba a los 34 países más desarrollados). Pero eso no ha conseguido los resultados buscados: en fracaso escolar, nivel académico y resultados laborales, el sistema educativo no funciona. ¿Qué está pasando? Hay muchas respuestas, pero viendo los datos parece claro que a </w:t>
      </w:r>
      <w:r w:rsidRPr="005362C0">
        <w:rPr>
          <w:rStyle w:val="Textoennegrita"/>
          <w:b w:val="0"/>
        </w:rPr>
        <w:t>los maestros españoles les pagamos relativamente bien, pero les tratamos bastante mal</w:t>
      </w:r>
      <w:r w:rsidR="005362C0" w:rsidRPr="005362C0">
        <w:rPr>
          <w:b/>
        </w:rPr>
        <w:t>.</w:t>
      </w:r>
    </w:p>
    <w:p w:rsidR="00F77839" w:rsidRPr="005362C0" w:rsidRDefault="00F77839" w:rsidP="00550638">
      <w:pPr>
        <w:pStyle w:val="NormalWeb"/>
        <w:jc w:val="both"/>
      </w:pPr>
      <w:r w:rsidRPr="005362C0">
        <w:t xml:space="preserve">Uno de los aspectos que destaca el estudio presentado es el relativo al </w:t>
      </w:r>
      <w:r w:rsidRPr="005362C0">
        <w:rPr>
          <w:rStyle w:val="Textoennegrita"/>
          <w:b w:val="0"/>
        </w:rPr>
        <w:t>sueldo del profesorado</w:t>
      </w:r>
      <w:r w:rsidRPr="005362C0">
        <w:t xml:space="preserve">. Si se compara el salario de los profesores en España con el salario medio en el conjunto de los países de la OCDE y de la UE-21, se observa que en nuestro país </w:t>
      </w:r>
      <w:r w:rsidRPr="005362C0">
        <w:rPr>
          <w:rStyle w:val="Textoennegrita"/>
          <w:b w:val="0"/>
        </w:rPr>
        <w:t>el salario inicial es más alto</w:t>
      </w:r>
      <w:r w:rsidRPr="005362C0">
        <w:t xml:space="preserve"> tanto en Educación Primaria, como en Educación Secundaria. Incluso </w:t>
      </w:r>
      <w:r w:rsidRPr="005362C0">
        <w:rPr>
          <w:rStyle w:val="Textoennegrita"/>
          <w:b w:val="0"/>
        </w:rPr>
        <w:t>después de 15 años de carrera</w:t>
      </w:r>
      <w:r w:rsidRPr="005362C0">
        <w:t>, los salarios están por encima de la media en ambos casos.</w:t>
      </w:r>
    </w:p>
    <w:p w:rsidR="00F77839" w:rsidRPr="00FD0D9C" w:rsidRDefault="00F77839" w:rsidP="00550638">
      <w:pPr>
        <w:pStyle w:val="NormalWeb"/>
        <w:jc w:val="both"/>
      </w:pPr>
      <w:r w:rsidRPr="00FD0D9C">
        <w:rPr>
          <w:noProof/>
          <w:color w:val="0000FF"/>
        </w:rPr>
        <w:drawing>
          <wp:inline distT="0" distB="0" distL="0" distR="0" wp14:anchorId="0D0012F5" wp14:editId="56E406C3">
            <wp:extent cx="5522976" cy="2435962"/>
            <wp:effectExtent l="0" t="0" r="1905" b="2540"/>
            <wp:docPr id="132" name="Imagen 132" descr="http://s.libertaddigital.com/fotos/noticias/grafica-sueldos-1.jpg">
              <a:hlinkClick xmlns:a="http://schemas.openxmlformats.org/drawingml/2006/main" r:id="rId2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libertaddigital.com/fotos/noticias/grafica-sueldos-1.jpg">
                      <a:hlinkClick r:id="rId225"/>
                    </pic:cNvPr>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5523191" cy="2436057"/>
                    </a:xfrm>
                    <a:prstGeom prst="rect">
                      <a:avLst/>
                    </a:prstGeom>
                    <a:noFill/>
                    <a:ln>
                      <a:noFill/>
                    </a:ln>
                  </pic:spPr>
                </pic:pic>
              </a:graphicData>
            </a:graphic>
          </wp:inline>
        </w:drawing>
      </w:r>
    </w:p>
    <w:p w:rsidR="00956980" w:rsidRDefault="00956980" w:rsidP="00550638">
      <w:pPr>
        <w:pStyle w:val="NormalWeb"/>
        <w:jc w:val="both"/>
      </w:pPr>
      <w:r w:rsidRPr="005362C0">
        <w:lastRenderedPageBreak/>
        <w:t xml:space="preserve">La retribución inicial media en 2010 (siempre en paridad de poder adquisitivo) era de 35.881 dólares (unos </w:t>
      </w:r>
      <w:r w:rsidRPr="005362C0">
        <w:rPr>
          <w:rStyle w:val="Textoennegrita"/>
          <w:b w:val="0"/>
        </w:rPr>
        <w:t>27.600 euros</w:t>
      </w:r>
      <w:r w:rsidRPr="005362C0">
        <w:t xml:space="preserve">), por 28.854 dólares de media en la OCDE (unos </w:t>
      </w:r>
      <w:r w:rsidRPr="005362C0">
        <w:rPr>
          <w:rStyle w:val="Textoennegrita"/>
          <w:b w:val="0"/>
        </w:rPr>
        <w:t>22.000 euros</w:t>
      </w:r>
      <w:r w:rsidRPr="005362C0">
        <w:t xml:space="preserve">) y 29.123 dólares en la UE-21 (unos </w:t>
      </w:r>
      <w:r w:rsidRPr="005362C0">
        <w:rPr>
          <w:rStyle w:val="Textoennegrita"/>
          <w:b w:val="0"/>
        </w:rPr>
        <w:t>22.400 euros</w:t>
      </w:r>
      <w:r w:rsidRPr="005362C0">
        <w:t xml:space="preserve">). Sólo en </w:t>
      </w:r>
      <w:r w:rsidRPr="005362C0">
        <w:rPr>
          <w:rStyle w:val="Textoennegrita"/>
          <w:b w:val="0"/>
        </w:rPr>
        <w:t>EEUU, Alemania y Holanda cobran</w:t>
      </w:r>
      <w:r w:rsidRPr="005362C0">
        <w:t xml:space="preserve"> los nuevos maestros más que en España. Y la misma tendencia se puede observar en los profesores con 15 años de experiencia y los que co</w:t>
      </w:r>
      <w:r>
        <w:t>bran el máximo nivel de escala.</w:t>
      </w:r>
    </w:p>
    <w:p w:rsidR="00F77839" w:rsidRPr="005362C0" w:rsidRDefault="00F77839" w:rsidP="00550638">
      <w:pPr>
        <w:pStyle w:val="NormalWeb"/>
        <w:jc w:val="both"/>
        <w:rPr>
          <w:b/>
        </w:rPr>
      </w:pPr>
      <w:r w:rsidRPr="005362C0">
        <w:t xml:space="preserve">Eso sí, también hay que tener en cuenta que en España los profesores de Educación Secundaria alcanzan la retribución máxima en la escala después de </w:t>
      </w:r>
      <w:r w:rsidRPr="005362C0">
        <w:rPr>
          <w:rStyle w:val="Textoennegrita"/>
          <w:b w:val="0"/>
        </w:rPr>
        <w:t>al menos 35 años de carrera</w:t>
      </w:r>
      <w:r w:rsidRPr="005362C0">
        <w:t xml:space="preserve">, al igual que ocurre en países como Hungría, Israel, Italia o Corea. En cambio, en </w:t>
      </w:r>
      <w:r w:rsidRPr="005362C0">
        <w:rPr>
          <w:rStyle w:val="Textoennegrita"/>
          <w:b w:val="0"/>
        </w:rPr>
        <w:t>Australia, Dinamarca, Estonia, Nueva Zelanda o Escocia</w:t>
      </w:r>
      <w:r w:rsidRPr="005362C0">
        <w:t xml:space="preserve">, los profesores pueden lograr el salario máximo en la escala </w:t>
      </w:r>
      <w:r w:rsidRPr="005362C0">
        <w:rPr>
          <w:rStyle w:val="Textoennegrita"/>
          <w:b w:val="0"/>
        </w:rPr>
        <w:t>después de 6-9 años</w:t>
      </w:r>
      <w:r w:rsidRPr="005362C0">
        <w:rPr>
          <w:b/>
        </w:rPr>
        <w:t>.</w:t>
      </w:r>
    </w:p>
    <w:p w:rsidR="00F77839" w:rsidRPr="005362C0" w:rsidRDefault="00F77839" w:rsidP="00550638">
      <w:pPr>
        <w:pStyle w:val="NormalWeb"/>
        <w:jc w:val="both"/>
      </w:pPr>
      <w:r w:rsidRPr="005362C0">
        <w:t xml:space="preserve">Sin embargo, </w:t>
      </w:r>
      <w:r w:rsidRPr="005362C0">
        <w:rPr>
          <w:rStyle w:val="Textoennegrita"/>
          <w:b w:val="0"/>
        </w:rPr>
        <w:t>España no premia con bonos o incentivos</w:t>
      </w:r>
      <w:r w:rsidRPr="005362C0">
        <w:rPr>
          <w:rStyle w:val="Textoennegrita"/>
        </w:rPr>
        <w:t xml:space="preserve"> </w:t>
      </w:r>
      <w:r w:rsidRPr="005362C0">
        <w:t>por distintas características o actividades o a los profesores que lo hagan mejor. La OCDE divide los criterios para determinar los sueldos de los maestros en 16 apartados: alumnado con características especiales, desempeño, realización de cursos de formación, notas de sus alumnos en exámenes externos...</w:t>
      </w:r>
    </w:p>
    <w:p w:rsidR="00F77839" w:rsidRPr="005362C0" w:rsidRDefault="00F77839" w:rsidP="00550638">
      <w:pPr>
        <w:pStyle w:val="NormalWeb"/>
        <w:jc w:val="both"/>
      </w:pPr>
      <w:r w:rsidRPr="005362C0">
        <w:t xml:space="preserve">Pues bien, España es uno de los países en los que menos de esos criterios se utilizan. De hecho, </w:t>
      </w:r>
      <w:r w:rsidRPr="005362C0">
        <w:rPr>
          <w:rStyle w:val="Textoennegrita"/>
          <w:b w:val="0"/>
        </w:rPr>
        <w:t>sólo hay cuatro condicionantes</w:t>
      </w:r>
      <w:r w:rsidRPr="005362C0">
        <w:t xml:space="preserve"> que influyan en el sueldo de un maestro: tiempo en el cargo, responsabilidades de gestión (vamos, ser director o jefe de estudios u otro cargo interno), dar clases extras y demostrar una titulación superior. Nada más.</w:t>
      </w:r>
    </w:p>
    <w:p w:rsidR="00F77839" w:rsidRPr="00FD0D9C" w:rsidRDefault="00F77839" w:rsidP="00550638">
      <w:pPr>
        <w:pStyle w:val="NormalWeb"/>
        <w:jc w:val="both"/>
      </w:pPr>
      <w:r w:rsidRPr="00FD0D9C">
        <w:rPr>
          <w:noProof/>
          <w:color w:val="0000FF"/>
        </w:rPr>
        <w:drawing>
          <wp:inline distT="0" distB="0" distL="0" distR="0" wp14:anchorId="04E444CE" wp14:editId="44303DC5">
            <wp:extent cx="5486400" cy="1872691"/>
            <wp:effectExtent l="0" t="0" r="0" b="0"/>
            <wp:docPr id="133" name="Imagen 133" descr="http://s.libertaddigital.com/fotos/noticias/grafico-sueldos-2.jpg">
              <a:hlinkClick xmlns:a="http://schemas.openxmlformats.org/drawingml/2006/main" r:id="rId2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grafico-sueldos-2.jpg">
                      <a:hlinkClick r:id="rId227"/>
                    </pic:cNvPr>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5486600" cy="1872759"/>
                    </a:xfrm>
                    <a:prstGeom prst="rect">
                      <a:avLst/>
                    </a:prstGeom>
                    <a:noFill/>
                    <a:ln>
                      <a:noFill/>
                    </a:ln>
                  </pic:spPr>
                </pic:pic>
              </a:graphicData>
            </a:graphic>
          </wp:inline>
        </w:drawing>
      </w:r>
    </w:p>
    <w:p w:rsidR="00F77839" w:rsidRPr="005362C0" w:rsidRDefault="00F77839" w:rsidP="00550638">
      <w:pPr>
        <w:pStyle w:val="NormalWeb"/>
        <w:jc w:val="both"/>
      </w:pPr>
      <w:r w:rsidRPr="005362C0">
        <w:t>Como puede verse en el cuadro superior,</w:t>
      </w:r>
      <w:r w:rsidRPr="005362C0">
        <w:rPr>
          <w:rStyle w:val="Textoennegrita"/>
        </w:rPr>
        <w:t xml:space="preserve"> </w:t>
      </w:r>
      <w:r w:rsidRPr="005362C0">
        <w:rPr>
          <w:rStyle w:val="Textoennegrita"/>
          <w:b w:val="0"/>
        </w:rPr>
        <w:t>los salarios de los profesores españoles son altos en comparación con otras profesiones</w:t>
      </w:r>
      <w:r w:rsidRPr="005362C0">
        <w:t xml:space="preserve"> que requieren un nivel de cualificación similar, tanto en Educación Primaria como en Educación Secundaria. Según este informe, son un </w:t>
      </w:r>
      <w:r w:rsidR="005362C0">
        <w:rPr>
          <w:rStyle w:val="Textoennegrita"/>
          <w:b w:val="0"/>
        </w:rPr>
        <w:t>23% y un 40%</w:t>
      </w:r>
      <w:r w:rsidRPr="005362C0">
        <w:rPr>
          <w:rStyle w:val="Textoennegrita"/>
          <w:b w:val="0"/>
        </w:rPr>
        <w:t xml:space="preserve"> respectivamente</w:t>
      </w:r>
      <w:r w:rsidR="005362C0">
        <w:rPr>
          <w:rStyle w:val="Textoennegrita"/>
          <w:b w:val="0"/>
        </w:rPr>
        <w:t>,</w:t>
      </w:r>
      <w:r w:rsidRPr="005362C0">
        <w:t xml:space="preserve"> más altos que los salarios medios de los titulados universitarios que se dedican a otras ocupaciones. Es cierto que en los últimos años, todos los funcionarios han sufrido recortes en sus pagas, pero aun así, él maestro español sigue por encima, en este aspecto, de sus colegas de otros países.</w:t>
      </w:r>
    </w:p>
    <w:p w:rsidR="00F77839" w:rsidRPr="005362C0" w:rsidRDefault="00F77839" w:rsidP="00550638">
      <w:pPr>
        <w:pStyle w:val="NormalWeb"/>
        <w:jc w:val="both"/>
      </w:pPr>
      <w:r w:rsidRPr="005362C0">
        <w:t xml:space="preserve">Por ejemplo, en la </w:t>
      </w:r>
      <w:r w:rsidRPr="005362C0">
        <w:rPr>
          <w:rStyle w:val="Textoennegrita"/>
          <w:b w:val="0"/>
        </w:rPr>
        <w:t>OCDE y la UE-21, los sueldos de los profesores casi siempre están por debajo</w:t>
      </w:r>
      <w:r w:rsidRPr="005362C0">
        <w:rPr>
          <w:rStyle w:val="Textoennegrita"/>
        </w:rPr>
        <w:t xml:space="preserve"> </w:t>
      </w:r>
      <w:r w:rsidRPr="005362C0">
        <w:t xml:space="preserve">de los que cobran sus vecinos con estudios universitarios. En la OCDE, la media nos dice que los </w:t>
      </w:r>
      <w:r w:rsidRPr="005362C0">
        <w:rPr>
          <w:rStyle w:val="Textoennegrita"/>
          <w:b w:val="0"/>
        </w:rPr>
        <w:t>profesores de Secundaria cobran un 11% menos</w:t>
      </w:r>
      <w:r w:rsidRPr="005362C0">
        <w:t xml:space="preserve"> que los licenciados de su país y los de </w:t>
      </w:r>
      <w:r w:rsidRPr="005362C0">
        <w:rPr>
          <w:rStyle w:val="Textoennegrita"/>
          <w:b w:val="0"/>
        </w:rPr>
        <w:t>Primaria un 18% menos</w:t>
      </w:r>
      <w:r w:rsidRPr="005362C0">
        <w:t>.</w:t>
      </w:r>
    </w:p>
    <w:p w:rsidR="00F77839" w:rsidRPr="005362C0" w:rsidRDefault="00F77839" w:rsidP="00550638">
      <w:pPr>
        <w:pStyle w:val="NormalWeb"/>
        <w:jc w:val="both"/>
      </w:pPr>
      <w:r w:rsidRPr="005362C0">
        <w:lastRenderedPageBreak/>
        <w:t>Quizás alguno podría pensar en que las condiciones de trabajo son mucho peores. Pero en las ratios más clásicas tampoco hay mucha diferencia. Por ejemplo, en España, el número de estudiantes por aula en Primaria es de 20,1, por debajo de la media de la OCDE (21,3) y casi al mismo nivel que la UE-21 (19,9).</w:t>
      </w:r>
    </w:p>
    <w:p w:rsidR="00F77839" w:rsidRPr="00FD0D9C" w:rsidRDefault="00F77839" w:rsidP="00550638">
      <w:pPr>
        <w:pStyle w:val="NormalWeb"/>
        <w:jc w:val="both"/>
      </w:pPr>
      <w:r w:rsidRPr="00FD0D9C">
        <w:rPr>
          <w:noProof/>
          <w:color w:val="0000FF"/>
        </w:rPr>
        <w:drawing>
          <wp:inline distT="0" distB="0" distL="0" distR="0" wp14:anchorId="09BE8B7B" wp14:editId="6DF9AA26">
            <wp:extent cx="5501030" cy="2867559"/>
            <wp:effectExtent l="0" t="0" r="4445" b="9525"/>
            <wp:docPr id="134" name="Imagen 134" descr="http://s.libertaddigital.com/fotos/noticias/grafico-alumnos-profesor.jpg">
              <a:hlinkClick xmlns:a="http://schemas.openxmlformats.org/drawingml/2006/main" r:id="rId2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ibertaddigital.com/fotos/noticias/grafico-alumnos-profesor.jpg">
                      <a:hlinkClick r:id="rId229"/>
                    </pic:cNvPr>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501231" cy="2867664"/>
                    </a:xfrm>
                    <a:prstGeom prst="rect">
                      <a:avLst/>
                    </a:prstGeom>
                    <a:noFill/>
                    <a:ln>
                      <a:noFill/>
                    </a:ln>
                  </pic:spPr>
                </pic:pic>
              </a:graphicData>
            </a:graphic>
          </wp:inline>
        </w:drawing>
      </w:r>
    </w:p>
    <w:p w:rsidR="00F77839" w:rsidRPr="005362C0" w:rsidRDefault="00F77839" w:rsidP="00550638">
      <w:pPr>
        <w:pStyle w:val="NormalWeb"/>
        <w:jc w:val="both"/>
      </w:pPr>
      <w:r w:rsidRPr="005362C0">
        <w:t xml:space="preserve">Y en la clasificación del tamaño estimado (tiene en cuenta el número de materias a las que asiste cada alumno) la proporción es incluso mejor. En Primaria, por ejemplo, el número de alumnos por profesor es de </w:t>
      </w:r>
      <w:r w:rsidRPr="00956980">
        <w:rPr>
          <w:rStyle w:val="Textoennegrita"/>
          <w:b w:val="0"/>
        </w:rPr>
        <w:t>13,1</w:t>
      </w:r>
      <w:r w:rsidRPr="005362C0">
        <w:rPr>
          <w:rStyle w:val="Textoennegrita"/>
        </w:rPr>
        <w:t xml:space="preserve"> </w:t>
      </w:r>
      <w:r w:rsidRPr="005362C0">
        <w:rPr>
          <w:rStyle w:val="Textoennegrita"/>
          <w:b w:val="0"/>
        </w:rPr>
        <w:t>frente al 16,1 de media en la OCDE y la UE-21</w:t>
      </w:r>
      <w:r w:rsidRPr="005362C0">
        <w:rPr>
          <w:b/>
        </w:rPr>
        <w:t>.</w:t>
      </w:r>
      <w:r w:rsidRPr="005362C0">
        <w:t xml:space="preserve"> De hecho, sobre el tamaño de la clase y la ratio alumnos/profesor hay distintos estudios que coinciden en señalar que el argumento a favor de suministrar más recursos o reducir el tamaño de las clases para mejorar el rendimiento educativo no parece muy sólido. El tamaño</w:t>
      </w:r>
      <w:r w:rsidRPr="005362C0">
        <w:rPr>
          <w:rStyle w:val="Textoennegrita"/>
        </w:rPr>
        <w:t xml:space="preserve"> </w:t>
      </w:r>
      <w:r w:rsidRPr="005362C0">
        <w:rPr>
          <w:rStyle w:val="Textoennegrita"/>
          <w:b w:val="0"/>
        </w:rPr>
        <w:t xml:space="preserve">de la clase influye negativamente </w:t>
      </w:r>
      <w:r w:rsidRPr="005362C0">
        <w:t>cuando es considerable</w:t>
      </w:r>
      <w:r w:rsidRPr="005362C0">
        <w:rPr>
          <w:b/>
        </w:rPr>
        <w:t xml:space="preserve">, </w:t>
      </w:r>
      <w:r w:rsidRPr="005362C0">
        <w:rPr>
          <w:rStyle w:val="Textoennegrita"/>
          <w:b w:val="0"/>
        </w:rPr>
        <w:t>a partir de unos 40 alumnos</w:t>
      </w:r>
      <w:r w:rsidRPr="005362C0">
        <w:t>, pero es un factor menos significativo cuando el tamaño de partida es reducido.</w:t>
      </w:r>
    </w:p>
    <w:p w:rsidR="00F77839" w:rsidRPr="005362C0" w:rsidRDefault="00F77839" w:rsidP="00550638">
      <w:pPr>
        <w:pStyle w:val="NormalWeb"/>
        <w:jc w:val="both"/>
      </w:pPr>
      <w:r w:rsidRPr="005362C0">
        <w:t xml:space="preserve">Por otro lado, el informe de la OCDE indica que nuestros profesores destacan en el </w:t>
      </w:r>
      <w:r w:rsidRPr="005362C0">
        <w:rPr>
          <w:rStyle w:val="Textoennegrita"/>
          <w:b w:val="0"/>
        </w:rPr>
        <w:t>número de horas que dedican a impartir clase</w:t>
      </w:r>
      <w:r w:rsidRPr="005362C0">
        <w:t>. Este número es más alto que el promedio de la OCDE o de la UE-21, tanto en Pri</w:t>
      </w:r>
      <w:r w:rsidR="005362C0" w:rsidRPr="005362C0">
        <w:t>maria como en Secundaria.</w:t>
      </w:r>
    </w:p>
    <w:p w:rsidR="00F77839" w:rsidRPr="005362C0" w:rsidRDefault="005362C0" w:rsidP="00550638">
      <w:pPr>
        <w:pStyle w:val="NormalWeb"/>
        <w:jc w:val="both"/>
      </w:pPr>
      <w:r w:rsidRPr="005362C0">
        <w:t>En otros</w:t>
      </w:r>
      <w:r w:rsidR="00F77839" w:rsidRPr="005362C0">
        <w:t xml:space="preserve"> países</w:t>
      </w:r>
      <w:r w:rsidRPr="005362C0">
        <w:t>, con sistemas educativos con mejores calificaciones en los exámenes internacionales</w:t>
      </w:r>
      <w:r w:rsidR="00F77839" w:rsidRPr="005362C0">
        <w:t xml:space="preserve">, el acceso a la carrera docente es muy exigente y también lo son las condiciones para permanecer y mejorar en la misma. Es decir, </w:t>
      </w:r>
      <w:r w:rsidR="00F77839" w:rsidRPr="005362C0">
        <w:rPr>
          <w:rStyle w:val="Textoennegrita"/>
          <w:b w:val="0"/>
        </w:rPr>
        <w:t>se busca a los mejores y luego se les paga de acuerdo a su desempeño</w:t>
      </w:r>
      <w:r w:rsidR="00F77839" w:rsidRPr="005362C0">
        <w:t>, incluyendo bonos e incentivos a los que mejor lo hacen.</w:t>
      </w:r>
    </w:p>
    <w:p w:rsidR="00F77839" w:rsidRPr="005362C0" w:rsidRDefault="00F77839" w:rsidP="00550638">
      <w:pPr>
        <w:pStyle w:val="NormalWeb"/>
        <w:jc w:val="both"/>
        <w:rPr>
          <w:b/>
        </w:rPr>
      </w:pPr>
      <w:r w:rsidRPr="005362C0">
        <w:t xml:space="preserve">Además, en una profesión como la de maestro, no sólo importa el sueldo. Éste es un trabajo </w:t>
      </w:r>
      <w:r w:rsidRPr="005362C0">
        <w:rPr>
          <w:rStyle w:val="Textoennegrita"/>
          <w:b w:val="0"/>
        </w:rPr>
        <w:t>muy vocacional</w:t>
      </w:r>
      <w:r w:rsidRPr="005362C0">
        <w:t xml:space="preserve">. La evidencia de los estudios sobre este tema apunta a que los profesores también buscan </w:t>
      </w:r>
      <w:r w:rsidRPr="005362C0">
        <w:rPr>
          <w:rStyle w:val="Textoennegrita"/>
          <w:b w:val="0"/>
        </w:rPr>
        <w:t>otro tipo de incentivos</w:t>
      </w:r>
      <w:r w:rsidRPr="005362C0">
        <w:rPr>
          <w:b/>
        </w:rPr>
        <w:t>.</w:t>
      </w:r>
    </w:p>
    <w:p w:rsidR="00F77839" w:rsidRPr="005362C0" w:rsidRDefault="00F77839" w:rsidP="00550638">
      <w:pPr>
        <w:pStyle w:val="NormalWeb"/>
        <w:jc w:val="both"/>
        <w:rPr>
          <w:b/>
        </w:rPr>
      </w:pPr>
      <w:r w:rsidRPr="005362C0">
        <w:t xml:space="preserve">En </w:t>
      </w:r>
      <w:r w:rsidRPr="005362C0">
        <w:rPr>
          <w:rStyle w:val="Textoennegrita"/>
          <w:b w:val="0"/>
        </w:rPr>
        <w:t>PISA</w:t>
      </w:r>
      <w:r w:rsidRPr="005362C0">
        <w:rPr>
          <w:rStyle w:val="Textoennegrita"/>
        </w:rPr>
        <w:t xml:space="preserve"> </w:t>
      </w:r>
      <w:r w:rsidRPr="005362C0">
        <w:t xml:space="preserve">se repite una y otra vez que los países que mejor lo hace son aquellos que otorgan </w:t>
      </w:r>
      <w:r w:rsidRPr="005362C0">
        <w:rPr>
          <w:rStyle w:val="Textoennegrita"/>
          <w:b w:val="0"/>
        </w:rPr>
        <w:t>autonomía a sus escuelas y que luego controlan sus resultados</w:t>
      </w:r>
      <w:r w:rsidRPr="005362C0">
        <w:t xml:space="preserve">. Es decir, por un lado, se permite a los maestros y a los claustros que se organicen, tanto en lo que hace referencia a cuestiones académicas como disciplinarias. Por otro lado, se mide su </w:t>
      </w:r>
      <w:r w:rsidRPr="005362C0">
        <w:lastRenderedPageBreak/>
        <w:t xml:space="preserve">rendimiento (normalmente con exámenes externos a escala nacional o regional). Y luego se premia a aquellos que lo están haciendo mejor. El </w:t>
      </w:r>
      <w:r w:rsidRPr="005362C0">
        <w:rPr>
          <w:rStyle w:val="Textoennegrita"/>
          <w:b w:val="0"/>
        </w:rPr>
        <w:t>resultado es un maestro feliz</w:t>
      </w:r>
      <w:r w:rsidRPr="005362C0">
        <w:rPr>
          <w:b/>
        </w:rPr>
        <w:t>:</w:t>
      </w:r>
      <w:r w:rsidRPr="005362C0">
        <w:t xml:space="preserve"> reconocido por la sociedad, que tiene confianza en lo que hace porque ha diseñado su trabajo y al mismo tiempo sabe que los buenos resultados tendrán su premio. </w:t>
      </w:r>
      <w:r w:rsidRPr="005362C0">
        <w:rPr>
          <w:rStyle w:val="Textoennegrita"/>
          <w:b w:val="0"/>
        </w:rPr>
        <w:t>Autonomía y control estricto de resultados: ésa es la receta del éxito.</w:t>
      </w:r>
    </w:p>
    <w:p w:rsidR="00F77839" w:rsidRPr="005362C0" w:rsidRDefault="00F77839" w:rsidP="00550638">
      <w:pPr>
        <w:pStyle w:val="NormalWeb"/>
        <w:jc w:val="both"/>
        <w:rPr>
          <w:b/>
        </w:rPr>
      </w:pPr>
      <w:r w:rsidRPr="005362C0">
        <w:t xml:space="preserve">Es evidente que en nuestro país no seguimos estos principios. Sí, no pagamos mal a los maestros, pero luego </w:t>
      </w:r>
      <w:r w:rsidRPr="005362C0">
        <w:rPr>
          <w:rStyle w:val="Textoennegrita"/>
          <w:b w:val="0"/>
        </w:rPr>
        <w:t>no les incentivamos correctamente</w:t>
      </w:r>
      <w:r w:rsidRPr="005362C0">
        <w:t xml:space="preserve">. Las decisiones se toman burocráticamente, en el Ministerio o la Consejería. Y el grado de autonomía es mínimo, tanto en cuestiones académicas como disciplinarias. En nuestro país, presentar a 10 alumnos con sobresaliente a la selectividad o conseguir que una clase de repetidores acabe aprobando y reenganchándose al sistema se recompensa con una cifra redonda: </w:t>
      </w:r>
      <w:r w:rsidRPr="005362C0">
        <w:rPr>
          <w:rStyle w:val="Textoennegrita"/>
          <w:b w:val="0"/>
        </w:rPr>
        <w:t>0 euros.</w:t>
      </w:r>
    </w:p>
    <w:p w:rsidR="00F77839" w:rsidRPr="005362C0" w:rsidRDefault="00F77839" w:rsidP="00550638">
      <w:pPr>
        <w:pStyle w:val="NormalWeb"/>
        <w:jc w:val="both"/>
        <w:rPr>
          <w:b/>
        </w:rPr>
      </w:pPr>
      <w:r w:rsidRPr="005362C0">
        <w:t xml:space="preserve">Todo empieza mal con las oposiciones. Los colegios tienen muy poca capacidad de decisión sobre su fuerza laboral. Además, en muchos casos, cuenta más el número de años trabajando como interino y otras cuestiones similares que la nota del examen. Es decir, </w:t>
      </w:r>
      <w:r w:rsidRPr="005362C0">
        <w:rPr>
          <w:rStyle w:val="Textoennegrita"/>
          <w:b w:val="0"/>
        </w:rPr>
        <w:t>no se premia la capacidad sino otro tipo de criterios</w:t>
      </w:r>
      <w:r w:rsidRPr="005362C0">
        <w:t xml:space="preserve">. Para empezar, esto desincentiva a muchos jóvenes brillantes que podrían querer ser profesores, pero que sienten que tendrán que gastar mucho tiempo para tener una plaza, porque </w:t>
      </w:r>
      <w:r w:rsidRPr="005362C0">
        <w:rPr>
          <w:rStyle w:val="Textoennegrita"/>
          <w:b w:val="0"/>
        </w:rPr>
        <w:t>no tienen los famosos puntos</w:t>
      </w:r>
      <w:r w:rsidRPr="005362C0">
        <w:rPr>
          <w:b/>
        </w:rPr>
        <w:t>.</w:t>
      </w:r>
    </w:p>
    <w:p w:rsidR="00F77839" w:rsidRPr="005362C0" w:rsidRDefault="00F77839" w:rsidP="00550638">
      <w:pPr>
        <w:pStyle w:val="NormalWeb"/>
        <w:jc w:val="both"/>
      </w:pPr>
      <w:r w:rsidRPr="005362C0">
        <w:t xml:space="preserve">Una vez que un profesor ha aprobado una oposición se encuentra con un </w:t>
      </w:r>
      <w:r w:rsidRPr="005362C0">
        <w:rPr>
          <w:rStyle w:val="Textoennegrita"/>
          <w:b w:val="0"/>
        </w:rPr>
        <w:t>sueldo inicial bastante elevado para su edad</w:t>
      </w:r>
      <w:r w:rsidRPr="005362C0">
        <w:t>. Pero ahí se acaban los estímulos. Desde el punto de vista económico, sabe que la mayor parte de su sueldo depende de la antigüedad, no de su desempeño o de las notas de sus alumnos o del grado de mejora de los chicos con peores notas. Y además, verá cómo sus compañeros más desaprensivos se benefician de este mal diseño del sistema: habrá quien trabajando mal siga cobrando el mismo sueldo cada mes.</w:t>
      </w:r>
    </w:p>
    <w:p w:rsidR="00F77839" w:rsidRPr="005362C0" w:rsidRDefault="00F77839" w:rsidP="00550638">
      <w:pPr>
        <w:pStyle w:val="NormalWeb"/>
        <w:jc w:val="both"/>
        <w:rPr>
          <w:b/>
        </w:rPr>
      </w:pPr>
      <w:r w:rsidRPr="005362C0">
        <w:t xml:space="preserve">En lo que hace referencia a </w:t>
      </w:r>
      <w:r w:rsidRPr="005362C0">
        <w:rPr>
          <w:rStyle w:val="Textoennegrita"/>
          <w:b w:val="0"/>
        </w:rPr>
        <w:t>cuestiones no económicas</w:t>
      </w:r>
      <w:r w:rsidRPr="005362C0">
        <w:t xml:space="preserve"> (realización personal, valoración del trabajo bien hecho, respaldo social) tampoco las cosas son mucho mejores. No tiene ninguna herramienta para cambiar las cosas. Ni puede decidir qué se estudia en su aula, ni cómo se estudia ni qué tipo de premios/castigos se merecen los que se porten bien/mal. </w:t>
      </w:r>
      <w:r w:rsidRPr="005362C0">
        <w:rPr>
          <w:rStyle w:val="Textoennegrita"/>
          <w:b w:val="0"/>
        </w:rPr>
        <w:t>Tiene las manos atadas ante el sistema</w:t>
      </w:r>
      <w:r w:rsidRPr="005362C0">
        <w:rPr>
          <w:b/>
        </w:rPr>
        <w:t>.</w:t>
      </w:r>
    </w:p>
    <w:p w:rsidR="00F77839" w:rsidRPr="005362C0" w:rsidRDefault="00F77839" w:rsidP="00550638">
      <w:pPr>
        <w:pStyle w:val="NormalWeb"/>
        <w:jc w:val="both"/>
      </w:pPr>
      <w:r w:rsidRPr="005362C0">
        <w:t>Luego, habrá quien se extrañe que cunda el pesimismo, que sea una de las profesiones con más tasa de absentismo o que personas que llegaron a la profesión con una gran vocación acaben acomodándose. En realidad es la reacción lógica a los estímulos que reciben. Y de esta manera se va cerrando un círculo vicioso:</w:t>
      </w:r>
    </w:p>
    <w:p w:rsidR="00F77839" w:rsidRPr="00F221B3" w:rsidRDefault="00F77839" w:rsidP="00550638">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Los maestros no tienen incentivos para mejorar cada día,</w:t>
      </w:r>
    </w:p>
    <w:p w:rsidR="00F77839" w:rsidRPr="00F221B3" w:rsidRDefault="00F77839" w:rsidP="00550638">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tampoco tienen control sobre lo que hacen,</w:t>
      </w:r>
    </w:p>
    <w:p w:rsidR="00F77839" w:rsidRPr="00F221B3" w:rsidRDefault="00F77839" w:rsidP="00550638">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su rendimiento y el de sus alumnos se ven afectado por estas restricciones,</w:t>
      </w:r>
    </w:p>
    <w:p w:rsidR="00F77839" w:rsidRPr="00F221B3" w:rsidRDefault="00F77839" w:rsidP="00550638">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la sociedad recela de su trabajo porque no ve resultados,</w:t>
      </w:r>
    </w:p>
    <w:p w:rsidR="00F77839" w:rsidRPr="00F221B3" w:rsidRDefault="00F77839" w:rsidP="00550638">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la imagen del profesorado se hunde</w:t>
      </w:r>
    </w:p>
    <w:p w:rsidR="00F77839" w:rsidRDefault="00F77839" w:rsidP="00550638">
      <w:pPr>
        <w:numPr>
          <w:ilvl w:val="0"/>
          <w:numId w:val="17"/>
        </w:numPr>
        <w:spacing w:before="100" w:beforeAutospacing="1" w:after="100" w:afterAutospacing="1" w:line="240" w:lineRule="auto"/>
        <w:jc w:val="both"/>
        <w:rPr>
          <w:rFonts w:ascii="Times New Roman" w:hAnsi="Times New Roman" w:cs="Times New Roman"/>
          <w:color w:val="FF0000"/>
          <w:sz w:val="24"/>
          <w:szCs w:val="24"/>
        </w:rPr>
      </w:pPr>
      <w:r w:rsidRPr="00F221B3">
        <w:rPr>
          <w:rFonts w:ascii="Times New Roman" w:hAnsi="Times New Roman" w:cs="Times New Roman"/>
          <w:color w:val="FF0000"/>
          <w:sz w:val="24"/>
          <w:szCs w:val="24"/>
        </w:rPr>
        <w:t>aún hay menos incentivos para tratar de cambiar la situación</w:t>
      </w:r>
    </w:p>
    <w:p w:rsidR="001151D5" w:rsidRDefault="001151D5" w:rsidP="001151D5">
      <w:pPr>
        <w:spacing w:before="100" w:beforeAutospacing="1" w:after="100" w:afterAutospacing="1" w:line="240" w:lineRule="auto"/>
        <w:jc w:val="both"/>
        <w:rPr>
          <w:rFonts w:ascii="Times New Roman" w:hAnsi="Times New Roman" w:cs="Times New Roman"/>
          <w:color w:val="FF0000"/>
          <w:sz w:val="24"/>
          <w:szCs w:val="24"/>
        </w:rPr>
      </w:pPr>
    </w:p>
    <w:p w:rsidR="00EF66A1" w:rsidRPr="00EF66A1" w:rsidRDefault="00EF66A1" w:rsidP="00550638">
      <w:pPr>
        <w:spacing w:before="100" w:beforeAutospacing="1" w:after="100" w:afterAutospacing="1" w:line="240" w:lineRule="auto"/>
        <w:jc w:val="both"/>
        <w:rPr>
          <w:rFonts w:ascii="Times New Roman" w:hAnsi="Times New Roman" w:cs="Times New Roman"/>
          <w:sz w:val="24"/>
          <w:szCs w:val="24"/>
          <w:u w:val="single"/>
        </w:rPr>
      </w:pPr>
      <w:r w:rsidRPr="00EF66A1">
        <w:rPr>
          <w:rFonts w:ascii="Times New Roman" w:hAnsi="Times New Roman" w:cs="Times New Roman"/>
          <w:sz w:val="24"/>
          <w:szCs w:val="24"/>
          <w:u w:val="single"/>
        </w:rPr>
        <w:lastRenderedPageBreak/>
        <w:t xml:space="preserve">Las consecuencias industriales de la “mala” educación </w:t>
      </w:r>
    </w:p>
    <w:p w:rsidR="00F77839" w:rsidRDefault="00F77839" w:rsidP="00550638">
      <w:pPr>
        <w:pStyle w:val="NormalWeb"/>
        <w:jc w:val="both"/>
      </w:pPr>
      <w:r>
        <w:t xml:space="preserve">- </w:t>
      </w:r>
      <w:r w:rsidRPr="00DA1E64">
        <w:rPr>
          <w:u w:val="single"/>
        </w:rPr>
        <w:t>La industria española, a la cola en formación, competitividad, innovación y empleo</w:t>
      </w:r>
      <w:r>
        <w:t xml:space="preserve"> (Libertad Digital - </w:t>
      </w:r>
      <w:r w:rsidRPr="00DA1E64">
        <w:rPr>
          <w:b/>
        </w:rPr>
        <w:t>18/7/13</w:t>
      </w:r>
      <w:r>
        <w:t>)</w:t>
      </w:r>
    </w:p>
    <w:p w:rsidR="00F77839" w:rsidRDefault="00EF66A1" w:rsidP="00550638">
      <w:pPr>
        <w:pStyle w:val="NormalWeb"/>
        <w:jc w:val="both"/>
      </w:pPr>
      <w:r>
        <w:t xml:space="preserve"> </w:t>
      </w:r>
      <w:r w:rsidR="00F77839">
        <w:t>(Por D. Soriano / L. Quintero)</w:t>
      </w:r>
      <w:r>
        <w:t xml:space="preserve">                          </w:t>
      </w:r>
      <w:r w:rsidR="006E46BA">
        <w:t xml:space="preserve">                               </w:t>
      </w:r>
      <w:r>
        <w:t>Lectura recomendada</w:t>
      </w:r>
    </w:p>
    <w:p w:rsidR="00F77839" w:rsidRPr="00EF66A1" w:rsidRDefault="00F77839" w:rsidP="00550638">
      <w:pPr>
        <w:pStyle w:val="NormalWeb"/>
        <w:jc w:val="both"/>
      </w:pPr>
      <w:r>
        <w:t xml:space="preserve">La industria española se hunde. Como todo, dirán algunos. Quizás un poco más. Todos los sectores lo están pasando mal con la crisis, pero quizás el industrial sea el que más está sufriendo. Servicios y agricultura, mal que bien, están pasando estos años. Pero el sector secundario no reacciona. Así queda reflejado en diferentes estadísticas recogidas en el informe </w:t>
      </w:r>
      <w:hyperlink r:id="rId231" w:history="1">
        <w:r w:rsidRPr="00EF66A1">
          <w:rPr>
            <w:rStyle w:val="Hipervnculo"/>
            <w:rFonts w:eastAsiaTheme="majorEastAsia"/>
            <w:i/>
            <w:iCs/>
            <w:color w:val="auto"/>
          </w:rPr>
          <w:t>Hacia una nueva Industrialización</w:t>
        </w:r>
      </w:hyperlink>
      <w:r w:rsidRPr="00EF66A1">
        <w:t xml:space="preserve"> elaborado por la Comisión de Industria del </w:t>
      </w:r>
      <w:hyperlink r:id="rId232" w:history="1">
        <w:r w:rsidRPr="00EF66A1">
          <w:rPr>
            <w:rStyle w:val="Hipervnculo"/>
            <w:rFonts w:eastAsiaTheme="majorEastAsia"/>
            <w:color w:val="auto"/>
          </w:rPr>
          <w:t>Colegio Oficial de Ingenieros Industriales de Madrid</w:t>
        </w:r>
      </w:hyperlink>
      <w:r w:rsidRPr="00EF66A1">
        <w:t>.</w:t>
      </w:r>
    </w:p>
    <w:p w:rsidR="00F77839" w:rsidRDefault="00F77839" w:rsidP="00550638">
      <w:pPr>
        <w:pStyle w:val="NormalWeb"/>
        <w:jc w:val="both"/>
      </w:pPr>
      <w:r>
        <w:t>Por ejemplo, según datos de Contabilidad Nacional, en el primer trimestre de 2013, la tasa de variación interanual del sector primario (Agricultura, ganadería y pesca) era positiva (un 0,6%). Los servicios caían un 1,3%, sobre todo por el transporte. Mientras, la industria se hundía un 3,9%, con desplomes en algunos de los subsectores, como la construcción (-6,2%).</w:t>
      </w:r>
    </w:p>
    <w:p w:rsidR="00F77839" w:rsidRDefault="00F77839" w:rsidP="00550638">
      <w:pPr>
        <w:pStyle w:val="NormalWeb"/>
        <w:jc w:val="both"/>
      </w:pPr>
      <w:r>
        <w:t xml:space="preserve">Los datos de la </w:t>
      </w:r>
      <w:hyperlink r:id="rId233" w:history="1">
        <w:r w:rsidRPr="00D87D45">
          <w:rPr>
            <w:rStyle w:val="Hipervnculo"/>
            <w:rFonts w:eastAsiaTheme="majorEastAsia"/>
            <w:i/>
            <w:color w:val="auto"/>
          </w:rPr>
          <w:t>Encuesta Industrial a las Empresas</w:t>
        </w:r>
      </w:hyperlink>
      <w:r>
        <w:t xml:space="preserve"> que publica el INE son significativos. A finales de 2011 (último año completo con estadísticas) había en España 2.049.200 personas trabajando en la industria, 600.000 menos que en 2005. Esta fuerza laboral trabaja 3.500 millones de horas, mil millones menos que hace seis años. Y esto se ha notado. El importe neto de la cifra de negocio ha caído de 628.903 hasta 575.046 millones.</w:t>
      </w:r>
    </w:p>
    <w:p w:rsidR="00F77839" w:rsidRPr="00EF66A1" w:rsidRDefault="00F77839" w:rsidP="00550638">
      <w:pPr>
        <w:pStyle w:val="Ttulo3"/>
        <w:spacing w:line="240" w:lineRule="auto"/>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Formación</w:t>
      </w:r>
    </w:p>
    <w:p w:rsidR="00F77839" w:rsidRDefault="00F77839" w:rsidP="00550638">
      <w:pPr>
        <w:pStyle w:val="NormalWeb"/>
        <w:jc w:val="both"/>
      </w:pPr>
      <w:r>
        <w:t>Con estas cifras encima de la mesa, lo lógico es que la sociedad española se pregunte qué está pasando. Evidentemente, en un sector con tantos problemas, no hay una única respuesta. Pero sí hay datos que apuntan a carencias graves, estructurales, que inciden decisivamente en la evolución de la industria. Son imágenes parciales, pero si se ponen todas juntas, casi es posible atisbar la totalidad del cuadro.</w:t>
      </w:r>
    </w:p>
    <w:p w:rsidR="00F77839" w:rsidRDefault="00F77839" w:rsidP="00550638">
      <w:pPr>
        <w:pStyle w:val="NormalWeb"/>
        <w:jc w:val="both"/>
      </w:pPr>
      <w:r>
        <w:t>Lo primero para tener una buena industria es tener buenos profesionales. Y ésta es nuestra primera carencia. No porque los que hay no sean competitivos, sino porque no hay suficientes.</w:t>
      </w:r>
    </w:p>
    <w:p w:rsidR="00F77839" w:rsidRPr="00071B3E" w:rsidRDefault="00F77839" w:rsidP="00550638">
      <w:pPr>
        <w:numPr>
          <w:ilvl w:val="0"/>
          <w:numId w:val="19"/>
        </w:numPr>
        <w:spacing w:before="100" w:beforeAutospacing="1" w:after="100" w:afterAutospacing="1" w:line="240" w:lineRule="auto"/>
        <w:jc w:val="both"/>
        <w:rPr>
          <w:rFonts w:ascii="Times New Roman" w:hAnsi="Times New Roman" w:cs="Times New Roman"/>
          <w:color w:val="FF0000"/>
          <w:sz w:val="24"/>
          <w:szCs w:val="24"/>
        </w:rPr>
      </w:pPr>
      <w:r w:rsidRPr="00071B3E">
        <w:rPr>
          <w:rFonts w:ascii="Times New Roman" w:hAnsi="Times New Roman" w:cs="Times New Roman"/>
          <w:color w:val="FF0000"/>
          <w:sz w:val="24"/>
          <w:szCs w:val="24"/>
        </w:rPr>
        <w:t>Formación básica: en la UE-27, el 23,2% de la población ocupada tiene la formación básica (el equivalente a la ESO) o menos. Mientras, en España ese porcentaje sube al 42,2%.</w:t>
      </w:r>
    </w:p>
    <w:p w:rsidR="00F77839" w:rsidRPr="00071B3E" w:rsidRDefault="00F77839" w:rsidP="00550638">
      <w:pPr>
        <w:numPr>
          <w:ilvl w:val="0"/>
          <w:numId w:val="19"/>
        </w:numPr>
        <w:spacing w:before="100" w:beforeAutospacing="1" w:after="100" w:afterAutospacing="1" w:line="240" w:lineRule="auto"/>
        <w:jc w:val="both"/>
        <w:rPr>
          <w:rFonts w:ascii="Times New Roman" w:hAnsi="Times New Roman" w:cs="Times New Roman"/>
          <w:color w:val="FF0000"/>
          <w:sz w:val="24"/>
          <w:szCs w:val="24"/>
        </w:rPr>
      </w:pPr>
      <w:r w:rsidRPr="00071B3E">
        <w:rPr>
          <w:rFonts w:ascii="Times New Roman" w:hAnsi="Times New Roman" w:cs="Times New Roman"/>
          <w:color w:val="FF0000"/>
          <w:sz w:val="24"/>
          <w:szCs w:val="24"/>
        </w:rPr>
        <w:t>Secundaria: por el contrario, el 48,9% de los ocupados de la UE tiene bachillerato o FP. En nuestro país el porcentaje es menos de la mitad: 23%.</w:t>
      </w:r>
    </w:p>
    <w:p w:rsidR="00F77839" w:rsidRPr="00071B3E" w:rsidRDefault="00F77839" w:rsidP="00550638">
      <w:pPr>
        <w:numPr>
          <w:ilvl w:val="0"/>
          <w:numId w:val="19"/>
        </w:numPr>
        <w:spacing w:before="100" w:beforeAutospacing="1" w:after="100" w:afterAutospacing="1" w:line="240" w:lineRule="auto"/>
        <w:jc w:val="both"/>
        <w:rPr>
          <w:rFonts w:ascii="Times New Roman" w:hAnsi="Times New Roman" w:cs="Times New Roman"/>
          <w:color w:val="FF0000"/>
          <w:sz w:val="24"/>
          <w:szCs w:val="24"/>
        </w:rPr>
      </w:pPr>
      <w:r w:rsidRPr="00071B3E">
        <w:rPr>
          <w:rFonts w:ascii="Times New Roman" w:hAnsi="Times New Roman" w:cs="Times New Roman"/>
          <w:color w:val="FF0000"/>
          <w:sz w:val="24"/>
          <w:szCs w:val="24"/>
        </w:rPr>
        <w:t>Terciaria: curiosamente, el porcentaje de universitarios es mayor en España (34,5%) que en el resto de la UE (27,8%).</w:t>
      </w:r>
    </w:p>
    <w:p w:rsidR="00F77839" w:rsidRPr="00071B3E" w:rsidRDefault="00F77839" w:rsidP="00550638">
      <w:pPr>
        <w:pStyle w:val="NormalWeb"/>
        <w:jc w:val="both"/>
        <w:rPr>
          <w:color w:val="FF0000"/>
          <w:u w:val="single"/>
        </w:rPr>
      </w:pPr>
      <w:r>
        <w:t>La foto muestra un país con muchas personas que no tienen la cualificación mínima que normalmente requiere el mercado laboral</w:t>
      </w:r>
      <w:r w:rsidRPr="00EF66A1">
        <w:t xml:space="preserve">: </w:t>
      </w:r>
      <w:hyperlink r:id="rId234" w:history="1">
        <w:r w:rsidRPr="00EF66A1">
          <w:rPr>
            <w:rStyle w:val="Hipervnculo"/>
            <w:rFonts w:eastAsiaTheme="majorEastAsia"/>
            <w:color w:val="auto"/>
          </w:rPr>
          <w:t>educación secundaria superior</w:t>
        </w:r>
      </w:hyperlink>
      <w:r>
        <w:t xml:space="preserve">. Sin embargo, le </w:t>
      </w:r>
      <w:r>
        <w:rPr>
          <w:rStyle w:val="nfasis"/>
        </w:rPr>
        <w:t>sobran</w:t>
      </w:r>
      <w:r>
        <w:t xml:space="preserve"> infratitulados o universitarios. Y no sólo eso, en lo que hace referencia a la </w:t>
      </w:r>
      <w:r>
        <w:lastRenderedPageBreak/>
        <w:t xml:space="preserve">educación secundaria, </w:t>
      </w:r>
      <w:r w:rsidRPr="00071B3E">
        <w:rPr>
          <w:color w:val="FF0000"/>
          <w:u w:val="single"/>
        </w:rPr>
        <w:t>sólo el 35% de los alumnos españoles escoge FP (la rama más adecuada para luego trabajar en la industria), mientras que en la UE casi el 60% opta por este camino.</w:t>
      </w:r>
    </w:p>
    <w:p w:rsidR="00F77839" w:rsidRPr="00071B3E" w:rsidRDefault="00F77839" w:rsidP="00550638">
      <w:pPr>
        <w:pStyle w:val="NormalWeb"/>
        <w:jc w:val="both"/>
        <w:rPr>
          <w:u w:val="single"/>
        </w:rPr>
      </w:pPr>
      <w:r>
        <w:t xml:space="preserve">Esto no está cambiando en los últimos años. En el último informe de la OCDE sobre educación se puede comprobar que </w:t>
      </w:r>
      <w:r w:rsidRPr="00071B3E">
        <w:rPr>
          <w:u w:val="single"/>
        </w:rPr>
        <w:t>entre los españoles de 25 y 34 años, sólo el 65% tiene educación secundaria superior, frente al 82% de media en los países ricos.</w:t>
      </w:r>
    </w:p>
    <w:p w:rsidR="00F77839" w:rsidRPr="00EF66A1" w:rsidRDefault="00F77839" w:rsidP="00550638">
      <w:pPr>
        <w:pStyle w:val="Ttulo3"/>
        <w:spacing w:line="240" w:lineRule="auto"/>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Mercado laboral</w:t>
      </w:r>
    </w:p>
    <w:p w:rsidR="00F77839" w:rsidRPr="00071B3E" w:rsidRDefault="00F77839" w:rsidP="00550638">
      <w:pPr>
        <w:pStyle w:val="NormalWeb"/>
        <w:jc w:val="both"/>
        <w:rPr>
          <w:u w:val="single"/>
        </w:rPr>
      </w:pPr>
      <w:r>
        <w:t xml:space="preserve">El problema es que las cosas no mejoran especialmente cuando los estudiantes dejan de serlo y pasan a formar parte del mercado laboral. </w:t>
      </w:r>
      <w:r w:rsidRPr="00071B3E">
        <w:rPr>
          <w:u w:val="single"/>
        </w:rPr>
        <w:t>Las empresas españolas, especialmente las del sector industrial, llevan décadas lamentándose de que no existe ningún tipo de relación entre las escuelas y las factorías.</w:t>
      </w:r>
    </w:p>
    <w:p w:rsidR="00F77839" w:rsidRDefault="00F77839" w:rsidP="00550638">
      <w:pPr>
        <w:pStyle w:val="NormalWeb"/>
        <w:jc w:val="both"/>
      </w:pPr>
      <w:r>
        <w:t xml:space="preserve">El Gobierno ha puesto en marcha un </w:t>
      </w:r>
      <w:hyperlink r:id="rId235" w:history="1">
        <w:r w:rsidRPr="00EF66A1">
          <w:rPr>
            <w:rStyle w:val="Hipervnculo"/>
            <w:rFonts w:eastAsiaTheme="majorEastAsia"/>
            <w:color w:val="auto"/>
          </w:rPr>
          <w:t>proyecto de FP-Dual</w:t>
        </w:r>
      </w:hyperlink>
      <w:r>
        <w:t xml:space="preserve"> que en teoría está destinado a paliar esta carencia. La idea es que los chicos de entre 14 y 18 años que escojan FP combinen los estudios en el instituto con su primer empleo, ganándose incluso unos </w:t>
      </w:r>
      <w:r>
        <w:rPr>
          <w:rStyle w:val="nfasis"/>
        </w:rPr>
        <w:t>eurillos</w:t>
      </w:r>
      <w:r>
        <w:t>. Pero habrá que ver cuándo y cómo se pone en marcha, y cuántos alumnos se benefician.</w:t>
      </w:r>
    </w:p>
    <w:p w:rsidR="00F77839" w:rsidRPr="00071B3E" w:rsidRDefault="00F77839" w:rsidP="00550638">
      <w:pPr>
        <w:pStyle w:val="NormalWeb"/>
        <w:jc w:val="both"/>
        <w:rPr>
          <w:u w:val="single"/>
        </w:rPr>
      </w:pPr>
      <w:r w:rsidRPr="00071B3E">
        <w:rPr>
          <w:u w:val="single"/>
        </w:rPr>
        <w:t xml:space="preserve">En cualquier caso, los problemas no se acaban ahí. El </w:t>
      </w:r>
      <w:hyperlink r:id="rId236" w:history="1">
        <w:r w:rsidRPr="00EF66A1">
          <w:rPr>
            <w:rStyle w:val="Hipervnculo"/>
            <w:rFonts w:eastAsiaTheme="majorEastAsia"/>
            <w:color w:val="auto"/>
          </w:rPr>
          <w:t>mercado español de trabajo</w:t>
        </w:r>
      </w:hyperlink>
      <w:r w:rsidRPr="00071B3E">
        <w:rPr>
          <w:u w:val="single"/>
        </w:rPr>
        <w:t xml:space="preserve"> tiene sus propias carencias, de las que la alta temporalidad es una de las más preocupantes. La dualidad de la legislación divide en dos a los trabajadores: indefinidos y no indefinidos, tanto si las tareas que se les encomiendan son verdaderamente para empleaos eventuales (reforzar una campaña puntual) como si son para puestos fijos. Cuando llega una crisis, </w:t>
      </w:r>
      <w:hyperlink r:id="rId237" w:history="1">
        <w:r w:rsidRPr="00EF66A1">
          <w:rPr>
            <w:rStyle w:val="Hipervnculo"/>
            <w:rFonts w:eastAsiaTheme="majorEastAsia"/>
            <w:color w:val="auto"/>
          </w:rPr>
          <w:t>son los temporales</w:t>
        </w:r>
      </w:hyperlink>
      <w:r w:rsidRPr="00071B3E">
        <w:rPr>
          <w:u w:val="single"/>
        </w:rPr>
        <w:t xml:space="preserve"> los que sufren las consecuencias. De hecho, desde 2007, el número de empleos de estas características </w:t>
      </w:r>
      <w:hyperlink r:id="rId238" w:history="1">
        <w:r w:rsidRPr="00EF66A1">
          <w:rPr>
            <w:rStyle w:val="Hipervnculo"/>
            <w:rFonts w:eastAsiaTheme="majorEastAsia"/>
            <w:color w:val="auto"/>
          </w:rPr>
          <w:t>ha caído en casi dos millones</w:t>
        </w:r>
      </w:hyperlink>
      <w:r w:rsidRPr="00EF66A1">
        <w:rPr>
          <w:u w:val="single"/>
        </w:rPr>
        <w:t>,</w:t>
      </w:r>
      <w:r w:rsidRPr="00071B3E">
        <w:rPr>
          <w:u w:val="single"/>
        </w:rPr>
        <w:t xml:space="preserve"> mientras que el número de indefinidos casi permanece constante.</w:t>
      </w:r>
    </w:p>
    <w:p w:rsidR="00F77839" w:rsidRDefault="00F77839" w:rsidP="00550638">
      <w:pPr>
        <w:pStyle w:val="NormalWeb"/>
        <w:jc w:val="both"/>
      </w:pPr>
      <w:r>
        <w:t>En lo que tiene que ver con la industria, hay algunos datos muy significativos. Por ejemplo, España, en 2007, llegó a tener un nivel de empleo para los licenciados en secundaria cercano a la media de la UE: 71,2% frente al 71,5%. Pues bien, desde ese momento, mientras nuestros vecinos veían caer algo esta ratio (hasta el 69,9%), en España se desplomaba hasta el 61,9%. Son casi 10 puntos menos. El descenso es seis veces superior al que sufre el resto de Europa.</w:t>
      </w:r>
    </w:p>
    <w:p w:rsidR="00F77839" w:rsidRPr="00071B3E" w:rsidRDefault="00F77839" w:rsidP="00550638">
      <w:pPr>
        <w:pStyle w:val="NormalWeb"/>
        <w:jc w:val="both"/>
        <w:rPr>
          <w:u w:val="single"/>
        </w:rPr>
      </w:pPr>
      <w:r>
        <w:t xml:space="preserve">Esto tiene unas implicaciones importantísimas para todos los sectores, pero especialmente para la industria. </w:t>
      </w:r>
      <w:r w:rsidRPr="00071B3E">
        <w:rPr>
          <w:u w:val="single"/>
        </w:rPr>
        <w:t xml:space="preserve">Para la productividad de un trabajador, mantener su empleo, tener formación en la empresa y dominar su puesto de trabajo es fundamental. Tomando una terminología en desuso, podríamos decir que lo lógico es que el empleado se esfuerce por pasar de </w:t>
      </w:r>
      <w:r w:rsidR="00822CE7">
        <w:rPr>
          <w:u w:val="single"/>
        </w:rPr>
        <w:t>“</w:t>
      </w:r>
      <w:r w:rsidRPr="00822CE7">
        <w:rPr>
          <w:rStyle w:val="nfasis"/>
          <w:i w:val="0"/>
          <w:u w:val="single"/>
        </w:rPr>
        <w:t>aprendiz a oficial y luego a maestro</w:t>
      </w:r>
      <w:r w:rsidR="00822CE7">
        <w:rPr>
          <w:rStyle w:val="nfasis"/>
          <w:i w:val="0"/>
          <w:u w:val="single"/>
        </w:rPr>
        <w:t>”</w:t>
      </w:r>
      <w:r w:rsidRPr="00071B3E">
        <w:rPr>
          <w:u w:val="single"/>
        </w:rPr>
        <w:t>. Y lo normal es que la empresa lo fomente. Pero la estructura dual del mercado laboral se carga esta evolución y eso tiene consecuencias.</w:t>
      </w:r>
    </w:p>
    <w:p w:rsidR="00F77839" w:rsidRPr="00EF66A1" w:rsidRDefault="00F77839" w:rsidP="00550638">
      <w:pPr>
        <w:pStyle w:val="Ttulo3"/>
        <w:spacing w:line="240" w:lineRule="auto"/>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Peso de la industria</w:t>
      </w:r>
    </w:p>
    <w:p w:rsidR="00F77839" w:rsidRPr="00071B3E" w:rsidRDefault="00F77839" w:rsidP="00550638">
      <w:pPr>
        <w:pStyle w:val="NormalWeb"/>
        <w:jc w:val="both"/>
        <w:rPr>
          <w:u w:val="single"/>
        </w:rPr>
      </w:pPr>
      <w:r w:rsidRPr="00071B3E">
        <w:rPr>
          <w:u w:val="single"/>
        </w:rPr>
        <w:t xml:space="preserve">Así pues, los problemas del sector industrial, buena parte de ellos derivados de los perversos sistemas educativo y laboral de España, queda reflejado las estadísticas. España ocupa los últimos puestos en diferentes ranking de </w:t>
      </w:r>
      <w:r w:rsidRPr="00956980">
        <w:rPr>
          <w:rStyle w:val="Textoennegrita"/>
          <w:b w:val="0"/>
          <w:u w:val="single"/>
        </w:rPr>
        <w:t xml:space="preserve">competitividad, innovación y </w:t>
      </w:r>
      <w:r w:rsidRPr="00956980">
        <w:rPr>
          <w:rStyle w:val="Textoennegrita"/>
          <w:b w:val="0"/>
          <w:u w:val="single"/>
        </w:rPr>
        <w:lastRenderedPageBreak/>
        <w:t>tecnología</w:t>
      </w:r>
      <w:r w:rsidRPr="00956980">
        <w:rPr>
          <w:b/>
          <w:u w:val="single"/>
        </w:rPr>
        <w:t xml:space="preserve"> </w:t>
      </w:r>
      <w:r w:rsidRPr="00071B3E">
        <w:rPr>
          <w:u w:val="single"/>
        </w:rPr>
        <w:t xml:space="preserve">(según datos de 2009). Tanto que, según las tablas que maneja la Oficina de Estadística de la UE, </w:t>
      </w:r>
      <w:hyperlink r:id="rId239" w:history="1">
        <w:r w:rsidRPr="00EF66A1">
          <w:rPr>
            <w:rStyle w:val="Hipervnculo"/>
            <w:rFonts w:eastAsiaTheme="majorEastAsia"/>
            <w:color w:val="auto"/>
          </w:rPr>
          <w:t>Eurostat</w:t>
        </w:r>
      </w:hyperlink>
      <w:r w:rsidRPr="00071B3E">
        <w:rPr>
          <w:u w:val="single"/>
        </w:rPr>
        <w:t xml:space="preserve">, España ocupa el puesto número 22 de los 27 países de la UE </w:t>
      </w:r>
      <w:r w:rsidRPr="00956980">
        <w:rPr>
          <w:b/>
          <w:u w:val="single"/>
        </w:rPr>
        <w:t xml:space="preserve">en </w:t>
      </w:r>
      <w:r w:rsidRPr="00956980">
        <w:rPr>
          <w:rStyle w:val="Textoennegrita"/>
          <w:b w:val="0"/>
          <w:u w:val="single"/>
        </w:rPr>
        <w:t>participación del sector industrial</w:t>
      </w:r>
      <w:r w:rsidRPr="00071B3E">
        <w:rPr>
          <w:u w:val="single"/>
        </w:rPr>
        <w:t xml:space="preserve"> (manufactura, extracción, energía y agua) en el valor añadido del país con el 15,4%.</w:t>
      </w:r>
    </w:p>
    <w:p w:rsidR="00F77839" w:rsidRDefault="00F77839" w:rsidP="00550638">
      <w:pPr>
        <w:pStyle w:val="NormalWeb"/>
        <w:jc w:val="both"/>
      </w:pPr>
      <w:r>
        <w:t xml:space="preserve">Esta posición nos coloca </w:t>
      </w:r>
      <w:r w:rsidRPr="00956980">
        <w:rPr>
          <w:rStyle w:val="Textoennegrita"/>
          <w:b w:val="0"/>
        </w:rPr>
        <w:t>lejos de la media de la UE-27</w:t>
      </w:r>
      <w:r>
        <w:t xml:space="preserve"> (18,1%) y muy lejos de los primeros puestos que ocupan países como República Checa con el 29,3% o Irlanda, con el 26%. Alemania ocupa el octavo lugar con una contribución del sector industrial al valor añadido del país germano del 22,4%. En este caso, Reino Unido y Francia reciben peores calificaciones que España.</w:t>
      </w:r>
    </w:p>
    <w:p w:rsidR="00F77839" w:rsidRPr="00EF66A1" w:rsidRDefault="00F77839" w:rsidP="00550638">
      <w:pPr>
        <w:pStyle w:val="Ttulo3"/>
        <w:spacing w:line="240" w:lineRule="auto"/>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Patentes</w:t>
      </w:r>
    </w:p>
    <w:p w:rsidR="00F77839" w:rsidRDefault="00F77839" w:rsidP="00550638">
      <w:pPr>
        <w:pStyle w:val="NormalWeb"/>
        <w:jc w:val="both"/>
      </w:pPr>
      <w:r w:rsidRPr="00071B3E">
        <w:rPr>
          <w:u w:val="single"/>
        </w:rPr>
        <w:t xml:space="preserve">Uno de los indicadores más significativos del nivel de industrialización y posicionamiento en desarrollo tecnológico y de innovación es el que se refiere al </w:t>
      </w:r>
      <w:r w:rsidRPr="00956980">
        <w:rPr>
          <w:rStyle w:val="Textoennegrita"/>
          <w:b w:val="0"/>
          <w:u w:val="single"/>
        </w:rPr>
        <w:t>número de patentes concedidas</w:t>
      </w:r>
      <w:r w:rsidRPr="00956980">
        <w:rPr>
          <w:b/>
          <w:u w:val="single"/>
        </w:rPr>
        <w:t>.</w:t>
      </w:r>
      <w:r w:rsidRPr="00956980">
        <w:t xml:space="preserve"> </w:t>
      </w:r>
      <w:r>
        <w:t>Este indicador no habla solo de grandes genios o académicos brillantes que después de muchas horas de estudio e investigación y gracias a la mejor tecnología punta logran concebir una innovación tecnológica que patentar. En la mayoría de las ocasiones estas patentes surgen en las cadenas de montaje, donde los profesionales industriales conciben mecanismos, herramientas o métodos de desarrollar mejor, más rápidamente y de forma más segura su trabajo diario.</w:t>
      </w:r>
    </w:p>
    <w:p w:rsidR="00F77839" w:rsidRDefault="00F77839" w:rsidP="00550638">
      <w:pPr>
        <w:pStyle w:val="NormalWeb"/>
        <w:jc w:val="both"/>
      </w:pPr>
      <w:r w:rsidRPr="00956980">
        <w:rPr>
          <w:u w:val="single"/>
        </w:rPr>
        <w:t>Según datos de la OCDE, España ocupa</w:t>
      </w:r>
      <w:r w:rsidRPr="00956980">
        <w:rPr>
          <w:b/>
          <w:u w:val="single"/>
        </w:rPr>
        <w:t xml:space="preserve"> </w:t>
      </w:r>
      <w:r w:rsidRPr="00956980">
        <w:rPr>
          <w:rStyle w:val="Textoennegrita"/>
          <w:b w:val="0"/>
          <w:u w:val="single"/>
        </w:rPr>
        <w:t>los últimos puestos en el ranking de patentes triádicas</w:t>
      </w:r>
      <w:r w:rsidRPr="00071B3E">
        <w:rPr>
          <w:rStyle w:val="Textoennegrita"/>
          <w:u w:val="single"/>
        </w:rPr>
        <w:t xml:space="preserve"> </w:t>
      </w:r>
      <w:r w:rsidRPr="00071B3E">
        <w:rPr>
          <w:u w:val="single"/>
        </w:rPr>
        <w:t>concedidas en porcentaje sobre el total mundial</w:t>
      </w:r>
      <w:r>
        <w:t xml:space="preserve">. </w:t>
      </w:r>
      <w:r w:rsidRPr="00071B3E">
        <w:rPr>
          <w:color w:val="FF0000"/>
          <w:u w:val="single"/>
        </w:rPr>
        <w:t xml:space="preserve">Las patentes triádicas, definidas así por la OCDE, son las que se conceden con efectos conjuntos en la Oficina Europea de </w:t>
      </w:r>
      <w:r w:rsidR="00D44948" w:rsidRPr="00071B3E">
        <w:rPr>
          <w:color w:val="FF0000"/>
          <w:u w:val="single"/>
        </w:rPr>
        <w:t>Patentes</w:t>
      </w:r>
      <w:r w:rsidRPr="00071B3E">
        <w:rPr>
          <w:color w:val="FF0000"/>
          <w:u w:val="single"/>
        </w:rPr>
        <w:t xml:space="preserve">, la Oficina estadounidense de Patentes y Marcas y la Oficina Japonesa de </w:t>
      </w:r>
      <w:r w:rsidR="00D44948" w:rsidRPr="00071B3E">
        <w:rPr>
          <w:color w:val="FF0000"/>
          <w:u w:val="single"/>
        </w:rPr>
        <w:t>Patentes</w:t>
      </w:r>
      <w:r w:rsidRPr="00071B3E">
        <w:rPr>
          <w:color w:val="FF0000"/>
          <w:u w:val="single"/>
        </w:rPr>
        <w:t xml:space="preserve">. </w:t>
      </w:r>
      <w:r>
        <w:t>Son las consideradas de mayor valor comercial. Así, España representaba en 2009 un 0,5% de las patentes sobre el total mundial, frente a la número uno del ranking, Alemania, con el 12% de las patentes, seguida de Francia, Corea y Reino Unido.</w:t>
      </w:r>
    </w:p>
    <w:p w:rsidR="00F77839" w:rsidRPr="00071B3E" w:rsidRDefault="00F77839" w:rsidP="00550638">
      <w:pPr>
        <w:pStyle w:val="NormalWeb"/>
        <w:jc w:val="both"/>
        <w:rPr>
          <w:u w:val="single"/>
        </w:rPr>
      </w:pPr>
      <w:r w:rsidRPr="00071B3E">
        <w:rPr>
          <w:u w:val="single"/>
        </w:rPr>
        <w:t>También estamos a la cola si la estadística es el número de patentes triádicas por millón de habitantes. En el mismo año, 2009, España presenta 5,1 patentes por cada millón de habitantes frente a Suiza con 112,5, Japón con 101,9 y Alemania con 68,2.</w:t>
      </w:r>
    </w:p>
    <w:p w:rsidR="00F77839" w:rsidRDefault="00F77839" w:rsidP="00550638">
      <w:pPr>
        <w:pStyle w:val="NormalWeb"/>
        <w:jc w:val="both"/>
      </w:pPr>
      <w:r>
        <w:rPr>
          <w:noProof/>
        </w:rPr>
        <w:drawing>
          <wp:inline distT="0" distB="0" distL="0" distR="0" wp14:anchorId="1E01640D" wp14:editId="3667FE18">
            <wp:extent cx="5362041" cy="2275028"/>
            <wp:effectExtent l="0" t="0" r="0" b="0"/>
            <wp:docPr id="149" name="Imagen 7" descr="http://s.libertaddigital.com/fotos/noticias/patentes-triadica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ertaddigital.com/fotos/noticias/patentes-triadicas-1.jpg"/>
                    <pic:cNvPicPr>
                      <a:picLocks noChangeAspect="1" noChangeArrowheads="1"/>
                    </pic:cNvPicPr>
                  </pic:nvPicPr>
                  <pic:blipFill>
                    <a:blip r:embed="rId240" cstate="print"/>
                    <a:srcRect/>
                    <a:stretch>
                      <a:fillRect/>
                    </a:stretch>
                  </pic:blipFill>
                  <pic:spPr bwMode="auto">
                    <a:xfrm>
                      <a:off x="0" y="0"/>
                      <a:ext cx="5367178" cy="2277208"/>
                    </a:xfrm>
                    <a:prstGeom prst="rect">
                      <a:avLst/>
                    </a:prstGeom>
                    <a:noFill/>
                    <a:ln w="9525">
                      <a:noFill/>
                      <a:miter lim="800000"/>
                      <a:headEnd/>
                      <a:tailEnd/>
                    </a:ln>
                  </pic:spPr>
                </pic:pic>
              </a:graphicData>
            </a:graphic>
          </wp:inline>
        </w:drawing>
      </w:r>
    </w:p>
    <w:p w:rsidR="00F77839" w:rsidRPr="00071B3E" w:rsidRDefault="00F77839" w:rsidP="00550638">
      <w:pPr>
        <w:pStyle w:val="NormalWeb"/>
        <w:jc w:val="both"/>
        <w:rPr>
          <w:u w:val="single"/>
        </w:rPr>
      </w:pPr>
      <w:r w:rsidRPr="00071B3E">
        <w:rPr>
          <w:u w:val="single"/>
        </w:rPr>
        <w:lastRenderedPageBreak/>
        <w:t xml:space="preserve">Pero si hay una estadística en la que España aparece </w:t>
      </w:r>
      <w:r w:rsidRPr="00956980">
        <w:rPr>
          <w:rStyle w:val="Textoennegrita"/>
          <w:b w:val="0"/>
          <w:u w:val="single"/>
        </w:rPr>
        <w:t xml:space="preserve">en último lugar es la de artículos científicos </w:t>
      </w:r>
      <w:r w:rsidRPr="00071B3E">
        <w:rPr>
          <w:u w:val="single"/>
        </w:rPr>
        <w:t>por millón de habitantes en los países del mundo más productores. En 2010, España sólo presentaba 1.446 artículos científicos por millón de habitantes, frente a los 4.005 de Suiza o los 2.954 de Dinamarca, que encabezan el ranking.</w:t>
      </w:r>
    </w:p>
    <w:p w:rsidR="00F77839" w:rsidRPr="00EF66A1" w:rsidRDefault="00F77839" w:rsidP="00550638">
      <w:pPr>
        <w:pStyle w:val="Ttulo3"/>
        <w:spacing w:line="240" w:lineRule="auto"/>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Inversión en I+D</w:t>
      </w:r>
    </w:p>
    <w:p w:rsidR="00F77839" w:rsidRPr="00071B3E" w:rsidRDefault="00F77839" w:rsidP="00550638">
      <w:pPr>
        <w:pStyle w:val="NormalWeb"/>
        <w:jc w:val="both"/>
        <w:rPr>
          <w:u w:val="single"/>
        </w:rPr>
      </w:pPr>
      <w:r w:rsidRPr="00071B3E">
        <w:rPr>
          <w:u w:val="single"/>
        </w:rPr>
        <w:t xml:space="preserve">Ante esta situación, la inversión en Innovación y Desarrollo tampoco destaca en nuestro país. Según los datos que maneja Eurostat, España es </w:t>
      </w:r>
      <w:r w:rsidRPr="00956980">
        <w:rPr>
          <w:rStyle w:val="Textoennegrita"/>
          <w:b w:val="0"/>
          <w:u w:val="single"/>
        </w:rPr>
        <w:t>de los países que menos invierte en I+D</w:t>
      </w:r>
      <w:r w:rsidRPr="00071B3E">
        <w:rPr>
          <w:rStyle w:val="Textoennegrita"/>
          <w:u w:val="single"/>
        </w:rPr>
        <w:t xml:space="preserve"> </w:t>
      </w:r>
      <w:r w:rsidRPr="00071B3E">
        <w:rPr>
          <w:u w:val="single"/>
        </w:rPr>
        <w:t>de los principales países de la UE-27. En 2010, mientras nuestro país estaba a la cola en esta estadística, EEUU encabezaba el ranking, seguido por la media de los países de la UE-27, Japón, China, Alemania, Francia, Reino Unido, Corea del sur e Italia.</w:t>
      </w:r>
    </w:p>
    <w:p w:rsidR="00F77839" w:rsidRDefault="00F77839" w:rsidP="00550638">
      <w:pPr>
        <w:pStyle w:val="NormalWeb"/>
        <w:jc w:val="both"/>
      </w:pPr>
      <w:r>
        <w:rPr>
          <w:noProof/>
        </w:rPr>
        <w:drawing>
          <wp:inline distT="0" distB="0" distL="0" distR="0" wp14:anchorId="4E8BC179" wp14:editId="628A283B">
            <wp:extent cx="5572204" cy="2150669"/>
            <wp:effectExtent l="0" t="0" r="0" b="2540"/>
            <wp:docPr id="150" name="Imagen 8" descr="http://s.libertaddigital.com/fotos/noticias/gasto-en-imas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ibertaddigital.com/fotos/noticias/gasto-en-imasd-1.jpg"/>
                    <pic:cNvPicPr>
                      <a:picLocks noChangeAspect="1" noChangeArrowheads="1"/>
                    </pic:cNvPicPr>
                  </pic:nvPicPr>
                  <pic:blipFill>
                    <a:blip r:embed="rId241" cstate="print"/>
                    <a:srcRect/>
                    <a:stretch>
                      <a:fillRect/>
                    </a:stretch>
                  </pic:blipFill>
                  <pic:spPr bwMode="auto">
                    <a:xfrm>
                      <a:off x="0" y="0"/>
                      <a:ext cx="5571738" cy="2150489"/>
                    </a:xfrm>
                    <a:prstGeom prst="rect">
                      <a:avLst/>
                    </a:prstGeom>
                    <a:noFill/>
                    <a:ln w="9525">
                      <a:noFill/>
                      <a:miter lim="800000"/>
                      <a:headEnd/>
                      <a:tailEnd/>
                    </a:ln>
                  </pic:spPr>
                </pic:pic>
              </a:graphicData>
            </a:graphic>
          </wp:inline>
        </w:drawing>
      </w:r>
    </w:p>
    <w:p w:rsidR="00F77839" w:rsidRPr="00EF66A1" w:rsidRDefault="00F77839" w:rsidP="00550638">
      <w:pPr>
        <w:pStyle w:val="Ttulo3"/>
        <w:spacing w:line="240" w:lineRule="auto"/>
        <w:jc w:val="both"/>
        <w:rPr>
          <w:rFonts w:ascii="Times New Roman" w:hAnsi="Times New Roman" w:cs="Times New Roman"/>
          <w:b w:val="0"/>
          <w:color w:val="auto"/>
          <w:sz w:val="24"/>
          <w:szCs w:val="24"/>
        </w:rPr>
      </w:pPr>
      <w:r w:rsidRPr="00EF66A1">
        <w:rPr>
          <w:rFonts w:ascii="Times New Roman" w:hAnsi="Times New Roman" w:cs="Times New Roman"/>
          <w:b w:val="0"/>
          <w:color w:val="auto"/>
          <w:sz w:val="24"/>
          <w:szCs w:val="24"/>
        </w:rPr>
        <w:t>Competitividad</w:t>
      </w:r>
    </w:p>
    <w:p w:rsidR="00F77839" w:rsidRPr="00071B3E" w:rsidRDefault="00F77839" w:rsidP="00550638">
      <w:pPr>
        <w:pStyle w:val="NormalWeb"/>
        <w:jc w:val="both"/>
        <w:rPr>
          <w:u w:val="single"/>
        </w:rPr>
      </w:pPr>
      <w:r w:rsidRPr="00071B3E">
        <w:rPr>
          <w:u w:val="single"/>
        </w:rPr>
        <w:t xml:space="preserve">Todo esto hace que la competitividad de nuestra industria haya caído y se encuentre </w:t>
      </w:r>
      <w:r w:rsidRPr="00956980">
        <w:rPr>
          <w:rStyle w:val="Textoennegrita"/>
          <w:b w:val="0"/>
          <w:u w:val="single"/>
        </w:rPr>
        <w:t>en los últimos puestos de los ranking de competitividad</w:t>
      </w:r>
      <w:r w:rsidRPr="00071B3E">
        <w:rPr>
          <w:u w:val="single"/>
        </w:rPr>
        <w:t xml:space="preserve"> entre los países desarrollados. Según el índice de Competitividad Global 2012-2013 España ocupa el puesto número 36 por detrás de países como Puerto Rico, Estonia o Malasia. Suiza, Singapur y Finlandia encabezan este listado donde países de nuestro entorno como Alemania o Reino Unido ocupan los puestos 6 y 8 respectivamente. Estados Uni</w:t>
      </w:r>
      <w:r w:rsidR="00FA7352">
        <w:rPr>
          <w:u w:val="single"/>
        </w:rPr>
        <w:t>d</w:t>
      </w:r>
      <w:r w:rsidRPr="00071B3E">
        <w:rPr>
          <w:u w:val="single"/>
        </w:rPr>
        <w:t>os está en el 7. España, en esto sí, supera a Italia.</w:t>
      </w:r>
    </w:p>
    <w:p w:rsidR="000D423F" w:rsidRDefault="000D423F" w:rsidP="00550638">
      <w:pPr>
        <w:pStyle w:val="NormalWeb"/>
        <w:jc w:val="both"/>
        <w:rPr>
          <w:u w:val="single"/>
        </w:rPr>
      </w:pPr>
      <w:r>
        <w:rPr>
          <w:u w:val="single"/>
        </w:rPr>
        <w:t xml:space="preserve">Reino Unido: </w:t>
      </w:r>
      <w:r w:rsidRPr="006B5048">
        <w:rPr>
          <w:u w:val="single"/>
        </w:rPr>
        <w:t>implicación del sector privado en las escuelas con financiación pública</w:t>
      </w:r>
    </w:p>
    <w:p w:rsidR="00F77839" w:rsidRPr="000D423F" w:rsidRDefault="00F77839" w:rsidP="00550638">
      <w:pPr>
        <w:pStyle w:val="NormalWeb"/>
        <w:jc w:val="both"/>
        <w:rPr>
          <w:u w:val="single"/>
        </w:rPr>
      </w:pPr>
      <w:r w:rsidRPr="000D423F">
        <w:t xml:space="preserve">- </w:t>
      </w:r>
      <w:r w:rsidRPr="000D423F">
        <w:rPr>
          <w:u w:val="single"/>
        </w:rPr>
        <w:t xml:space="preserve">Innovación escolar: </w:t>
      </w:r>
      <w:r w:rsidR="00BB5AAA">
        <w:rPr>
          <w:u w:val="single"/>
        </w:rPr>
        <w:t>“</w:t>
      </w:r>
      <w:r w:rsidRPr="002B206C">
        <w:rPr>
          <w:rStyle w:val="nfasis"/>
          <w:i w:val="0"/>
          <w:u w:val="single"/>
        </w:rPr>
        <w:t>academy schools</w:t>
      </w:r>
      <w:r w:rsidR="00BB5AAA">
        <w:rPr>
          <w:rStyle w:val="nfasis"/>
          <w:i w:val="0"/>
          <w:u w:val="single"/>
        </w:rPr>
        <w:t>”</w:t>
      </w:r>
      <w:r w:rsidRPr="000D423F">
        <w:rPr>
          <w:rStyle w:val="nfasis"/>
        </w:rPr>
        <w:t xml:space="preserve"> </w:t>
      </w:r>
      <w:r w:rsidRPr="000D423F">
        <w:rPr>
          <w:rStyle w:val="nfasis"/>
          <w:i w:val="0"/>
        </w:rPr>
        <w:t xml:space="preserve">(Fedea - </w:t>
      </w:r>
      <w:r w:rsidRPr="000D423F">
        <w:rPr>
          <w:rStyle w:val="nfasis"/>
          <w:b/>
          <w:i w:val="0"/>
        </w:rPr>
        <w:t>9/9/13</w:t>
      </w:r>
      <w:r w:rsidRPr="000D423F">
        <w:rPr>
          <w:rStyle w:val="nfasis"/>
          <w:i w:val="0"/>
        </w:rPr>
        <w:t>)</w:t>
      </w:r>
      <w:r w:rsidR="006E46BA">
        <w:rPr>
          <w:rStyle w:val="nfasis"/>
          <w:i w:val="0"/>
        </w:rPr>
        <w:t xml:space="preserve">              Lectura recomen</w:t>
      </w:r>
      <w:r w:rsidR="000D423F">
        <w:rPr>
          <w:rStyle w:val="nfasis"/>
          <w:i w:val="0"/>
        </w:rPr>
        <w:t>dada</w:t>
      </w:r>
    </w:p>
    <w:p w:rsidR="00F77839" w:rsidRPr="009C5465" w:rsidRDefault="00F77839" w:rsidP="00550638">
      <w:pPr>
        <w:pStyle w:val="headlinemeta"/>
        <w:jc w:val="both"/>
      </w:pPr>
      <w:r>
        <w:t>(</w:t>
      </w:r>
      <w:r w:rsidRPr="009C5465">
        <w:t xml:space="preserve">Por </w:t>
      </w:r>
      <w:hyperlink r:id="rId242" w:history="1">
        <w:r w:rsidRPr="00031D82">
          <w:rPr>
            <w:rStyle w:val="Hipervnculo"/>
            <w:rFonts w:eastAsiaTheme="majorEastAsia"/>
            <w:color w:val="auto"/>
            <w:u w:val="none"/>
          </w:rPr>
          <w:t>Antonio Cabrales</w:t>
        </w:r>
      </w:hyperlink>
      <w:r>
        <w:t>)</w:t>
      </w:r>
    </w:p>
    <w:p w:rsidR="00F77839" w:rsidRDefault="00F77839" w:rsidP="00550638">
      <w:pPr>
        <w:pStyle w:val="NormalWeb"/>
        <w:jc w:val="both"/>
      </w:pPr>
      <w:r>
        <w:t xml:space="preserve">Como mi emigración a Inglaterra se decidió a final de curso no hubo tiempo material para organizar al resto de la familia, de manera que ahora me toca pensar en ellos. Y una de las prioridades, claro, es la escuela de los hijos. Así que he recuperado un artículo que me sugirió Luis hace tiempo que explica los efectos positivos de una innovación escolar importante, introducida por el gobierno laborista en 2002 para dotar de mayor autonomía a las escuelas financiadas con fondos públicos, las </w:t>
      </w:r>
      <w:r w:rsidR="001151D5">
        <w:t>“</w:t>
      </w:r>
      <w:r w:rsidRPr="001151D5">
        <w:rPr>
          <w:rStyle w:val="nfasis"/>
          <w:i w:val="0"/>
        </w:rPr>
        <w:t>academy schools</w:t>
      </w:r>
      <w:r w:rsidR="001151D5">
        <w:rPr>
          <w:rStyle w:val="nfasis"/>
          <w:i w:val="0"/>
        </w:rPr>
        <w:t>”</w:t>
      </w:r>
      <w:r w:rsidRPr="001151D5">
        <w:rPr>
          <w:i/>
        </w:rPr>
        <w:t>.</w:t>
      </w:r>
      <w:r>
        <w:t xml:space="preserve"> Les adelanto la conclusión de los autores: “Nuestros resultados sugieren que </w:t>
      </w:r>
      <w:r>
        <w:lastRenderedPageBreak/>
        <w:t xml:space="preserve">el paso a una estructura escolar más autónoma a través de la conversión en </w:t>
      </w:r>
      <w:r w:rsidR="001151D5">
        <w:t>“</w:t>
      </w:r>
      <w:r w:rsidRPr="001151D5">
        <w:rPr>
          <w:rStyle w:val="nfasis"/>
          <w:i w:val="0"/>
        </w:rPr>
        <w:t>academy schools</w:t>
      </w:r>
      <w:r w:rsidR="001151D5">
        <w:rPr>
          <w:rStyle w:val="nfasis"/>
          <w:i w:val="0"/>
        </w:rPr>
        <w:t>”</w:t>
      </w:r>
      <w:r>
        <w:t xml:space="preserve"> genera una mejora significativa en la calidad de los alumnos que entran en la escuela y una mejora significativa en</w:t>
      </w:r>
      <w:r w:rsidR="00031D82">
        <w:t xml:space="preserve"> el rendimiento de los alumnos”</w:t>
      </w:r>
      <w:r w:rsidR="00041B3A">
        <w:t>.</w:t>
      </w:r>
    </w:p>
    <w:p w:rsidR="00F77839" w:rsidRDefault="00F77839" w:rsidP="00550638">
      <w:pPr>
        <w:pStyle w:val="NormalWeb"/>
        <w:jc w:val="both"/>
      </w:pPr>
      <w:r>
        <w:t xml:space="preserve">El artículo es de </w:t>
      </w:r>
      <w:hyperlink r:id="rId243" w:history="1">
        <w:r w:rsidRPr="000D423F">
          <w:rPr>
            <w:rStyle w:val="Hipervnculo"/>
            <w:rFonts w:eastAsiaTheme="majorEastAsia"/>
            <w:color w:val="auto"/>
            <w:u w:val="none"/>
          </w:rPr>
          <w:t>Steve Machin y James Vernoit</w:t>
        </w:r>
      </w:hyperlink>
      <w:r w:rsidR="000D423F" w:rsidRPr="000D423F">
        <w:t>.</w:t>
      </w:r>
    </w:p>
    <w:p w:rsidR="00F77839" w:rsidRPr="006B5048" w:rsidRDefault="00F77839" w:rsidP="00550638">
      <w:pPr>
        <w:pStyle w:val="NormalWeb"/>
        <w:jc w:val="both"/>
        <w:rPr>
          <w:u w:val="single"/>
        </w:rPr>
      </w:pPr>
      <w:r w:rsidRPr="006B5048">
        <w:rPr>
          <w:u w:val="single"/>
        </w:rPr>
        <w:t>Como les decía al principio una de las cosas más interesantes del artículo es que comienza describiendo los tipos de instituciones que operan en el Reino Unido. En el Reino Unido, el “sector voluntario” en su origen sobre todo religioso ha estado muy implicado en el mundo educativo. El estado fue ganando terreno con el paso del tiempo creando las escuelas públicas estándar (“community schools”), pero ese sector voluntario siempre conservó alguna implicación, con las escuelas que aún se llaman “voluntary aided schools” que tienen financiación pública pero alguna independencia y las escuelas privadas puras (“independent schools”). Pero la ley de educación de 1988 abrió la puerta a otro tipo de implicación del sector privado en las escuelas con financiación pública y es de donde nacen las “academy schools”.</w:t>
      </w:r>
    </w:p>
    <w:p w:rsidR="00F77839" w:rsidRDefault="00F77839" w:rsidP="00550638">
      <w:pPr>
        <w:pStyle w:val="NormalWeb"/>
        <w:jc w:val="both"/>
      </w:pPr>
      <w:r>
        <w:t>En total hay 7 tipos de escuelas y la evolución y porcentajes de los tipos de escuelas que reciben financiación pública se puede ver en la siguiente tabla. Nótese que el número total de escuelas no ha cambiado mucho, y lo que habido es un gran crecimiento de las “foundation schools” y las “academy schools”.</w:t>
      </w:r>
    </w:p>
    <w:p w:rsidR="00F77839" w:rsidRDefault="00F77839" w:rsidP="00550638">
      <w:pPr>
        <w:pStyle w:val="NormalWeb"/>
        <w:jc w:val="both"/>
      </w:pPr>
      <w:r>
        <w:rPr>
          <w:noProof/>
          <w:color w:val="0000FF"/>
        </w:rPr>
        <w:drawing>
          <wp:inline distT="0" distB="0" distL="0" distR="0" wp14:anchorId="69364123" wp14:editId="616DD685">
            <wp:extent cx="5530291" cy="2962656"/>
            <wp:effectExtent l="0" t="0" r="0" b="9525"/>
            <wp:docPr id="496" name="Imagen 496" descr="academy 1">
              <a:hlinkClick xmlns:a="http://schemas.openxmlformats.org/drawingml/2006/main" r:id="rId24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cademy 1">
                      <a:hlinkClick r:id="rId244"/>
                    </pic:cNvPr>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533806" cy="2964539"/>
                    </a:xfrm>
                    <a:prstGeom prst="rect">
                      <a:avLst/>
                    </a:prstGeom>
                    <a:noFill/>
                    <a:ln>
                      <a:noFill/>
                    </a:ln>
                  </pic:spPr>
                </pic:pic>
              </a:graphicData>
            </a:graphic>
          </wp:inline>
        </w:drawing>
      </w:r>
    </w:p>
    <w:p w:rsidR="00F77839" w:rsidRDefault="00F77839" w:rsidP="00550638">
      <w:pPr>
        <w:pStyle w:val="NormalWeb"/>
        <w:jc w:val="both"/>
      </w:pPr>
      <w:r>
        <w:t>Veamos ahora en qué se diferencias los tipos principales de escuela:</w:t>
      </w:r>
    </w:p>
    <w:p w:rsidR="00F77839" w:rsidRPr="009C5465" w:rsidRDefault="00F77839" w:rsidP="00550638">
      <w:pPr>
        <w:numPr>
          <w:ilvl w:val="0"/>
          <w:numId w:val="20"/>
        </w:numPr>
        <w:spacing w:before="100" w:beforeAutospacing="1" w:after="100" w:afterAutospacing="1" w:line="240" w:lineRule="auto"/>
        <w:jc w:val="both"/>
        <w:rPr>
          <w:rFonts w:ascii="Times New Roman" w:hAnsi="Times New Roman" w:cs="Times New Roman"/>
          <w:sz w:val="24"/>
          <w:szCs w:val="24"/>
        </w:rPr>
      </w:pPr>
      <w:r w:rsidRPr="002B206C">
        <w:rPr>
          <w:rStyle w:val="nfasis"/>
          <w:rFonts w:ascii="Times New Roman" w:hAnsi="Times New Roman" w:cs="Times New Roman"/>
          <w:i w:val="0"/>
          <w:color w:val="FF0000"/>
          <w:sz w:val="24"/>
          <w:szCs w:val="24"/>
        </w:rPr>
        <w:t>Independent schools</w:t>
      </w:r>
      <w:r w:rsidRPr="009C5465">
        <w:rPr>
          <w:rStyle w:val="nfasis"/>
          <w:rFonts w:ascii="Times New Roman" w:hAnsi="Times New Roman" w:cs="Times New Roman"/>
          <w:sz w:val="24"/>
          <w:szCs w:val="24"/>
        </w:rPr>
        <w:t>.</w:t>
      </w:r>
      <w:r w:rsidRPr="009C5465">
        <w:rPr>
          <w:rFonts w:ascii="Times New Roman" w:hAnsi="Times New Roman" w:cs="Times New Roman"/>
          <w:sz w:val="24"/>
          <w:szCs w:val="24"/>
        </w:rPr>
        <w:t xml:space="preserve"> </w:t>
      </w:r>
      <w:r w:rsidRPr="006B5048">
        <w:rPr>
          <w:rFonts w:ascii="Times New Roman" w:hAnsi="Times New Roman" w:cs="Times New Roman"/>
          <w:sz w:val="24"/>
          <w:szCs w:val="24"/>
          <w:u w:val="single"/>
        </w:rPr>
        <w:t>Estas escuelas privadas puras</w:t>
      </w:r>
      <w:r w:rsidRPr="009C5465">
        <w:rPr>
          <w:rFonts w:ascii="Times New Roman" w:hAnsi="Times New Roman" w:cs="Times New Roman"/>
          <w:sz w:val="24"/>
          <w:szCs w:val="24"/>
        </w:rPr>
        <w:t xml:space="preserve"> tienen libertad en la admisión de estudiantes, en la imposición de tasas, diseño del currículo (para controlar que los alumnos aprenden están los exámenes de fin de cada ciclo, donde un resultado desastroso puede llevar a revocar la licencia), duración y estructura de la jornada escolar y decisiones sobre el personal.</w:t>
      </w:r>
    </w:p>
    <w:p w:rsidR="00F77839" w:rsidRPr="009C5465" w:rsidRDefault="00F77839" w:rsidP="00550638">
      <w:pPr>
        <w:numPr>
          <w:ilvl w:val="0"/>
          <w:numId w:val="20"/>
        </w:numPr>
        <w:spacing w:before="100" w:beforeAutospacing="1" w:after="100" w:afterAutospacing="1" w:line="240" w:lineRule="auto"/>
        <w:jc w:val="both"/>
        <w:rPr>
          <w:rFonts w:ascii="Times New Roman" w:hAnsi="Times New Roman" w:cs="Times New Roman"/>
          <w:sz w:val="24"/>
          <w:szCs w:val="24"/>
        </w:rPr>
      </w:pPr>
      <w:r w:rsidRPr="002B206C">
        <w:rPr>
          <w:rStyle w:val="nfasis"/>
          <w:rFonts w:ascii="Times New Roman" w:hAnsi="Times New Roman" w:cs="Times New Roman"/>
          <w:i w:val="0"/>
          <w:color w:val="FF0000"/>
          <w:sz w:val="24"/>
          <w:szCs w:val="24"/>
        </w:rPr>
        <w:t>Academy schools</w:t>
      </w:r>
      <w:r w:rsidRPr="009C5465">
        <w:rPr>
          <w:rStyle w:val="nfasis"/>
          <w:rFonts w:ascii="Times New Roman" w:hAnsi="Times New Roman" w:cs="Times New Roman"/>
          <w:sz w:val="24"/>
          <w:szCs w:val="24"/>
        </w:rPr>
        <w:t>.</w:t>
      </w:r>
      <w:r w:rsidRPr="009C5465">
        <w:rPr>
          <w:rFonts w:ascii="Times New Roman" w:hAnsi="Times New Roman" w:cs="Times New Roman"/>
          <w:sz w:val="24"/>
          <w:szCs w:val="24"/>
        </w:rPr>
        <w:t xml:space="preserve"> </w:t>
      </w:r>
      <w:r w:rsidRPr="006B5048">
        <w:rPr>
          <w:rFonts w:ascii="Times New Roman" w:hAnsi="Times New Roman" w:cs="Times New Roman"/>
          <w:sz w:val="24"/>
          <w:szCs w:val="24"/>
          <w:u w:val="single"/>
        </w:rPr>
        <w:t>Estas escuelas tienen financiación pública, pero bastante libertad</w:t>
      </w:r>
      <w:r w:rsidRPr="009C5465">
        <w:rPr>
          <w:rFonts w:ascii="Times New Roman" w:hAnsi="Times New Roman" w:cs="Times New Roman"/>
          <w:sz w:val="24"/>
          <w:szCs w:val="24"/>
        </w:rPr>
        <w:t xml:space="preserve">. Esta es grande, para mí crucialmente, en el diseño del currículo (con excepción de matemáticas, lengua inglesa, y ciencia), duración y estructura de la </w:t>
      </w:r>
      <w:r w:rsidRPr="009C5465">
        <w:rPr>
          <w:rFonts w:ascii="Times New Roman" w:hAnsi="Times New Roman" w:cs="Times New Roman"/>
          <w:sz w:val="24"/>
          <w:szCs w:val="24"/>
        </w:rPr>
        <w:lastRenderedPageBreak/>
        <w:t>jornada escolar y decisiones sobre el personal. Pueden seleccionar hasta 10% de los estudiantes basado en su aptitud y entusiasmo por las especialidades de la escuela, pero para el resto siguen el esquema general de las escuelas con financiación pública, que prima básicamente la cercanía de residencia. No pueden cargar ningún tipo de tasas.</w:t>
      </w:r>
    </w:p>
    <w:p w:rsidR="00F77839" w:rsidRPr="006B5048" w:rsidRDefault="00F77839" w:rsidP="00550638">
      <w:pPr>
        <w:numPr>
          <w:ilvl w:val="0"/>
          <w:numId w:val="20"/>
        </w:numPr>
        <w:spacing w:before="100" w:beforeAutospacing="1" w:after="100" w:afterAutospacing="1" w:line="240" w:lineRule="auto"/>
        <w:jc w:val="both"/>
        <w:rPr>
          <w:rFonts w:ascii="Times New Roman" w:hAnsi="Times New Roman" w:cs="Times New Roman"/>
          <w:sz w:val="24"/>
          <w:szCs w:val="24"/>
          <w:u w:val="single"/>
        </w:rPr>
      </w:pPr>
      <w:r w:rsidRPr="002B206C">
        <w:rPr>
          <w:rStyle w:val="nfasis"/>
          <w:rFonts w:ascii="Times New Roman" w:hAnsi="Times New Roman" w:cs="Times New Roman"/>
          <w:i w:val="0"/>
          <w:color w:val="FF0000"/>
          <w:sz w:val="24"/>
          <w:szCs w:val="24"/>
          <w:lang w:val="en-US"/>
        </w:rPr>
        <w:t>Voluntary-aided school, foundation school y voluntary controlled</w:t>
      </w:r>
      <w:r w:rsidRPr="002B206C">
        <w:rPr>
          <w:rFonts w:ascii="Times New Roman" w:hAnsi="Times New Roman" w:cs="Times New Roman"/>
          <w:i/>
          <w:iCs/>
          <w:color w:val="FF0000"/>
          <w:sz w:val="24"/>
          <w:szCs w:val="24"/>
          <w:lang w:val="en-US"/>
        </w:rPr>
        <w:br/>
      </w:r>
      <w:r w:rsidRPr="002B206C">
        <w:rPr>
          <w:rStyle w:val="nfasis"/>
          <w:rFonts w:ascii="Times New Roman" w:hAnsi="Times New Roman" w:cs="Times New Roman"/>
          <w:i w:val="0"/>
          <w:color w:val="FF0000"/>
          <w:sz w:val="24"/>
          <w:szCs w:val="24"/>
          <w:lang w:val="en-US"/>
        </w:rPr>
        <w:t>school</w:t>
      </w:r>
      <w:r w:rsidRPr="009C5465">
        <w:rPr>
          <w:rStyle w:val="nfasis"/>
          <w:rFonts w:ascii="Times New Roman" w:hAnsi="Times New Roman" w:cs="Times New Roman"/>
          <w:sz w:val="24"/>
          <w:szCs w:val="24"/>
          <w:lang w:val="en-US"/>
        </w:rPr>
        <w:t>.</w:t>
      </w:r>
      <w:r w:rsidRPr="009C5465">
        <w:rPr>
          <w:rFonts w:ascii="Times New Roman" w:hAnsi="Times New Roman" w:cs="Times New Roman"/>
          <w:sz w:val="24"/>
          <w:szCs w:val="24"/>
          <w:lang w:val="en-US"/>
        </w:rPr>
        <w:t xml:space="preserve"> </w:t>
      </w:r>
      <w:r w:rsidRPr="006B5048">
        <w:rPr>
          <w:rFonts w:ascii="Times New Roman" w:hAnsi="Times New Roman" w:cs="Times New Roman"/>
          <w:sz w:val="24"/>
          <w:szCs w:val="24"/>
          <w:u w:val="single"/>
        </w:rPr>
        <w:t>Estas escuelas deben seguir el currículo nacional en todas las asignaturas, y no tienen control sobre la estructura y duración de la jornada escolar y tampoco controlan la admisión. La mayor libertad se encuentra en las decisiones de personal.</w:t>
      </w:r>
    </w:p>
    <w:p w:rsidR="00F77839" w:rsidRPr="006B5048" w:rsidRDefault="00F77839" w:rsidP="00550638">
      <w:pPr>
        <w:numPr>
          <w:ilvl w:val="0"/>
          <w:numId w:val="20"/>
        </w:numPr>
        <w:spacing w:before="100" w:beforeAutospacing="1" w:after="100" w:afterAutospacing="1" w:line="240" w:lineRule="auto"/>
        <w:jc w:val="both"/>
        <w:rPr>
          <w:rFonts w:ascii="Times New Roman" w:hAnsi="Times New Roman" w:cs="Times New Roman"/>
          <w:sz w:val="24"/>
          <w:szCs w:val="24"/>
          <w:u w:val="single"/>
        </w:rPr>
      </w:pPr>
      <w:r w:rsidRPr="002B206C">
        <w:rPr>
          <w:rStyle w:val="nfasis"/>
          <w:rFonts w:ascii="Times New Roman" w:hAnsi="Times New Roman" w:cs="Times New Roman"/>
          <w:i w:val="0"/>
          <w:color w:val="FF0000"/>
          <w:sz w:val="24"/>
          <w:szCs w:val="24"/>
        </w:rPr>
        <w:t>Local community school</w:t>
      </w:r>
      <w:r w:rsidRPr="009C5465">
        <w:rPr>
          <w:rStyle w:val="nfasis"/>
          <w:rFonts w:ascii="Times New Roman" w:hAnsi="Times New Roman" w:cs="Times New Roman"/>
          <w:sz w:val="24"/>
          <w:szCs w:val="24"/>
        </w:rPr>
        <w:t>.</w:t>
      </w:r>
      <w:r w:rsidRPr="009C5465">
        <w:rPr>
          <w:rFonts w:ascii="Times New Roman" w:hAnsi="Times New Roman" w:cs="Times New Roman"/>
          <w:sz w:val="24"/>
          <w:szCs w:val="24"/>
        </w:rPr>
        <w:t xml:space="preserve"> </w:t>
      </w:r>
      <w:r w:rsidRPr="006B5048">
        <w:rPr>
          <w:rFonts w:ascii="Times New Roman" w:hAnsi="Times New Roman" w:cs="Times New Roman"/>
          <w:sz w:val="24"/>
          <w:szCs w:val="24"/>
          <w:u w:val="single"/>
        </w:rPr>
        <w:t>Estas escuelas se rigen totalmente por lo que las autoridades escolares deciden, y no tienen autonomía en ninguna de las áreas mencionadas anteriormente.</w:t>
      </w:r>
    </w:p>
    <w:p w:rsidR="00F77839" w:rsidRDefault="00F77839" w:rsidP="00550638">
      <w:pPr>
        <w:pStyle w:val="NormalWeb"/>
        <w:jc w:val="both"/>
      </w:pPr>
      <w:r>
        <w:t>El artículo analiza los efectos a partir de las bases de datos de características de las escuelas del departamento de educación (que incluyen porcentajes de alumnos con becas de comedor, con necesidades especiales, de diferentes grupos étnicos o ratios alumno/profesor) y las medidas de resultados de los exámenes estandarizados de final de primaria (Key Stage 2, o KS2, a los 11 años) y secundaria (Key Stage 4, o KS4, a los 16 años).</w:t>
      </w:r>
    </w:p>
    <w:p w:rsidR="00F77839" w:rsidRPr="006B5048" w:rsidRDefault="00F77839" w:rsidP="00550638">
      <w:pPr>
        <w:pStyle w:val="NormalWeb"/>
        <w:jc w:val="both"/>
        <w:rPr>
          <w:u w:val="single"/>
        </w:rPr>
      </w:pPr>
      <w:r w:rsidRPr="006B5048">
        <w:rPr>
          <w:u w:val="single"/>
        </w:rPr>
        <w:t xml:space="preserve">Como vimos antes la mayor parte de las “academy schools” son conversiones desde otro tipo de escuela, por lo que el </w:t>
      </w:r>
      <w:r w:rsidR="002B206C">
        <w:rPr>
          <w:u w:val="single"/>
        </w:rPr>
        <w:t>“</w:t>
      </w:r>
      <w:r w:rsidRPr="002B206C">
        <w:rPr>
          <w:rStyle w:val="nfasis"/>
          <w:i w:val="0"/>
          <w:u w:val="single"/>
        </w:rPr>
        <w:t>tratamiento</w:t>
      </w:r>
      <w:r w:rsidR="002B206C">
        <w:rPr>
          <w:rStyle w:val="nfasis"/>
          <w:i w:val="0"/>
          <w:u w:val="single"/>
        </w:rPr>
        <w:t>”</w:t>
      </w:r>
      <w:r w:rsidRPr="006B5048">
        <w:rPr>
          <w:u w:val="single"/>
        </w:rPr>
        <w:t xml:space="preserve"> cuyo efecto se pretende elucidar es la conversión en “academy”. El año en que la autoridad educativa aprueba esta conversión lo consideran los autores el comienzo del tratamiento. El efecto que se pretende medir es sobre los resultados, principalmente en el porcentaje de alumnos con al menos 5 aprobados (notas A* a C incluyendo lengua inglesa y matemáticas) en el KS4, y sobre la demanda de la escuela por las notas medias de KS2 de los solicitantes. Los mismos resultados se miden en las escuelas “cercanas” definido como aquellas en un radio de 3 millas (unos 5 kilómetros) de la escuela convertida.</w:t>
      </w:r>
    </w:p>
    <w:p w:rsidR="00F77839" w:rsidRDefault="00F77839" w:rsidP="00550638">
      <w:pPr>
        <w:pStyle w:val="NormalWeb"/>
        <w:jc w:val="both"/>
      </w:pPr>
      <w:r>
        <w:t>El método empleado para medir el efecto es del de diferencias-en-diferencias. Es decir, miden la diferencia en los resultados antes y después del tratamiento de las escuelas tratadas respecto a un grupo de</w:t>
      </w:r>
      <w:r w:rsidR="000D423F">
        <w:t xml:space="preserve"> control</w:t>
      </w:r>
      <w:r>
        <w:t>. Como siempre con este método hay un peligro serio de que el grupo tratado sea especial y el sesgo de selección anule el resultado. Para minimizar este riesgo, el grupo de control escogido es el de escuelas que se convertirían en “academy” en los años siguientes al finalizar el período de observación, 2008. En la tabla 4 del artículo se puede ver que al menos en las características observables el grupo tratado y el de control se parecen mucho, lo que da una cierta credibilidad a la estrategia, aunque como es natural siempre quedan dudas importantes en cualquier artículo no experimental.</w:t>
      </w:r>
    </w:p>
    <w:p w:rsidR="00F77839" w:rsidRDefault="00F77839" w:rsidP="00550638">
      <w:pPr>
        <w:pStyle w:val="NormalWeb"/>
        <w:jc w:val="both"/>
      </w:pPr>
      <w:r>
        <w:t>Los resultados sobre la demanda de las escuelas se pueden ver en la siguiente tabla. La columna 1 refleja los resultados globales (en desviaciones estándar como es habitual) del tratamiento en los resultados de primaria (KS2) de los demandantes de las escuelas. La columna 2 añade controles, la 3 separa el efecto por el año en que fueron admitidas y la 4 separa las escuelas que llevan más tiempo como “academies” (las primeras cinco cohortes) de las que llevan poco tiempo.</w:t>
      </w:r>
    </w:p>
    <w:p w:rsidR="00F77839" w:rsidRDefault="00F77839" w:rsidP="00550638">
      <w:pPr>
        <w:pStyle w:val="NormalWeb"/>
        <w:jc w:val="both"/>
      </w:pPr>
      <w:r>
        <w:rPr>
          <w:noProof/>
          <w:color w:val="0000FF"/>
        </w:rPr>
        <w:lastRenderedPageBreak/>
        <w:drawing>
          <wp:inline distT="0" distB="0" distL="0" distR="0" wp14:anchorId="4DCBA15B" wp14:editId="17F9EF43">
            <wp:extent cx="5303520" cy="2304288"/>
            <wp:effectExtent l="0" t="0" r="0" b="1270"/>
            <wp:docPr id="497" name="Imagen 497" descr="academy 3-2">
              <a:hlinkClick xmlns:a="http://schemas.openxmlformats.org/drawingml/2006/main" r:id="rId2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cademy 3-2">
                      <a:hlinkClick r:id="rId246"/>
                    </pic:cNvPr>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309069" cy="2306699"/>
                    </a:xfrm>
                    <a:prstGeom prst="rect">
                      <a:avLst/>
                    </a:prstGeom>
                    <a:noFill/>
                    <a:ln>
                      <a:noFill/>
                    </a:ln>
                  </pic:spPr>
                </pic:pic>
              </a:graphicData>
            </a:graphic>
          </wp:inline>
        </w:drawing>
      </w:r>
    </w:p>
    <w:p w:rsidR="00F77839" w:rsidRPr="006B5048" w:rsidRDefault="00F77839" w:rsidP="00550638">
      <w:pPr>
        <w:pStyle w:val="NormalWeb"/>
        <w:jc w:val="both"/>
        <w:rPr>
          <w:u w:val="single"/>
        </w:rPr>
      </w:pPr>
      <w:r w:rsidRPr="006B5048">
        <w:rPr>
          <w:u w:val="single"/>
        </w:rPr>
        <w:t>Como puede observarse el impacto es sustancial, los demandantes son 0.2 desviaciones estándar mejores (20 puntos de PISA, casi la mitad de la distancia entre el mejor y peor de la muestra por países), y además está concentrado en las escuelas que llevan más tiempo convertidas. Esto último es natural, no puede esperarse un efecto mágico inmediato.</w:t>
      </w:r>
    </w:p>
    <w:p w:rsidR="00F77839" w:rsidRDefault="00F77839" w:rsidP="00550638">
      <w:pPr>
        <w:pStyle w:val="NormalWeb"/>
        <w:jc w:val="both"/>
      </w:pPr>
      <w:r>
        <w:t>El efecto sobre los estudiantes se puede ver en la siguiente tabla que tiene una estructura similar a la anterior. La diferencia es que ahora se mide los resultados finales, al acabar la secundaria (el KS4) y añade una columna, la 5, en la que, dado que sabemos que los estudiantes que demandan son mejores en media, controla por los resultados de KS2 (al entrar) de los alumnos.</w:t>
      </w:r>
    </w:p>
    <w:p w:rsidR="00F77839" w:rsidRDefault="00F77839" w:rsidP="00550638">
      <w:pPr>
        <w:pStyle w:val="NormalWeb"/>
        <w:jc w:val="both"/>
      </w:pPr>
      <w:r>
        <w:rPr>
          <w:noProof/>
          <w:color w:val="0000FF"/>
        </w:rPr>
        <w:drawing>
          <wp:inline distT="0" distB="0" distL="0" distR="0" wp14:anchorId="6A5C9097" wp14:editId="7C23D3FB">
            <wp:extent cx="5544921" cy="2713939"/>
            <wp:effectExtent l="0" t="0" r="0" b="0"/>
            <wp:docPr id="498" name="Imagen 498" descr="academy 4-4">
              <a:hlinkClick xmlns:a="http://schemas.openxmlformats.org/drawingml/2006/main" r:id="rId2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cademy 4-4">
                      <a:hlinkClick r:id="rId248"/>
                    </pic:cNvPr>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5550722" cy="2716778"/>
                    </a:xfrm>
                    <a:prstGeom prst="rect">
                      <a:avLst/>
                    </a:prstGeom>
                    <a:noFill/>
                    <a:ln>
                      <a:noFill/>
                    </a:ln>
                  </pic:spPr>
                </pic:pic>
              </a:graphicData>
            </a:graphic>
          </wp:inline>
        </w:drawing>
      </w:r>
    </w:p>
    <w:p w:rsidR="00F77839" w:rsidRPr="006B5048" w:rsidRDefault="00F77839" w:rsidP="00550638">
      <w:pPr>
        <w:pStyle w:val="NormalWeb"/>
        <w:jc w:val="both"/>
        <w:rPr>
          <w:u w:val="single"/>
        </w:rPr>
      </w:pPr>
      <w:r w:rsidRPr="006B5048">
        <w:rPr>
          <w:u w:val="single"/>
        </w:rPr>
        <w:t>Los resultados son también claros. El efecto en media es nulo, pero si vamos a las columnas 4 y 5 puede verse que esto es porque el efecto es claramente positivo en las “academies” que llevan más tiempo y no significativo en las que llevan menos tiempo. El orden de magnitud para las que llevan más tiempo es de 0.18 desviaciones estándar (18 puntos de PISA, algo bastante importante) y permanece incluso si controlamos por la mejora del nivel de los estudiantes cuando empiezan.</w:t>
      </w:r>
    </w:p>
    <w:p w:rsidR="00F77839" w:rsidRPr="006B5048" w:rsidRDefault="00F77839" w:rsidP="00550638">
      <w:pPr>
        <w:pStyle w:val="NormalWeb"/>
        <w:jc w:val="both"/>
        <w:rPr>
          <w:u w:val="single"/>
        </w:rPr>
      </w:pPr>
      <w:r w:rsidRPr="006B5048">
        <w:rPr>
          <w:u w:val="single"/>
        </w:rPr>
        <w:lastRenderedPageBreak/>
        <w:t>El artículo tiene más resultados. Por ejemplo, se ve que las escuelas que más autonomía ganan al cambiar su estatus al de “academy” las “community schools” (o públicas puras) son las que más mejoran. Pero como los autores reconocen, hay muchas más de estas, lo que hace recomendar prudencia al interpretar el resultado.</w:t>
      </w:r>
    </w:p>
    <w:p w:rsidR="00F77839" w:rsidRDefault="00F77839" w:rsidP="00550638">
      <w:pPr>
        <w:pStyle w:val="NormalWeb"/>
        <w:jc w:val="both"/>
        <w:rPr>
          <w:u w:val="single"/>
        </w:rPr>
      </w:pPr>
      <w:r w:rsidRPr="006B5048">
        <w:rPr>
          <w:u w:val="single"/>
        </w:rPr>
        <w:t xml:space="preserve">Me he alargado un poco y solo quiero acabar con dos reflexiones. La primera es que nuestro </w:t>
      </w:r>
      <w:hyperlink r:id="rId250" w:history="1">
        <w:r w:rsidRPr="00671083">
          <w:rPr>
            <w:rStyle w:val="Hipervnculo"/>
            <w:rFonts w:eastAsiaTheme="majorEastAsia"/>
            <w:color w:val="auto"/>
          </w:rPr>
          <w:t>manifiesto sobre educación</w:t>
        </w:r>
      </w:hyperlink>
      <w:r w:rsidRPr="006B5048">
        <w:rPr>
          <w:u w:val="single"/>
        </w:rPr>
        <w:t xml:space="preserve"> ya incluía una petición de mayor autonomía de las escuelas, tanto sobre el currículo, como sobre las decisiones de personal y esta evidencia sugiere (pero no prueba de manera definitiva, es verdad) que es una buena idea y vale la pena innovar en esa línea. La segunda es que es una lástima que la LOMCE parezca empeñada en seguir el modelo dirigista de currículo cuando al mismo tiempo propone exámenes que se parecen mucho a los KS2 y KS4. Si vamos a controlar el resultado, ¿para qué insistir en vigilar los procesos? ¿No sería mejor dejar en paz, al menos a los que lo hagan bien?</w:t>
      </w:r>
    </w:p>
    <w:p w:rsidR="009829B3" w:rsidRPr="009829B3" w:rsidRDefault="009829B3" w:rsidP="00550638">
      <w:pPr>
        <w:pStyle w:val="NormalWeb"/>
        <w:jc w:val="both"/>
        <w:rPr>
          <w:u w:val="single"/>
        </w:rPr>
      </w:pPr>
      <w:r>
        <w:rPr>
          <w:u w:val="single"/>
        </w:rPr>
        <w:t>C</w:t>
      </w:r>
      <w:r w:rsidRPr="009829B3">
        <w:rPr>
          <w:u w:val="single"/>
        </w:rPr>
        <w:t>rónica de una muerte anunciada: dos de las universidades más reconocidas de Grecia se han visto obligadas a cerrar sus puertas debido a l</w:t>
      </w:r>
      <w:r>
        <w:rPr>
          <w:u w:val="single"/>
        </w:rPr>
        <w:t>os recortes del Gobierno heleno</w:t>
      </w:r>
    </w:p>
    <w:p w:rsidR="006D7F3D" w:rsidRPr="009829B3" w:rsidRDefault="00A55FE1" w:rsidP="00550638">
      <w:pPr>
        <w:pStyle w:val="NormalWeb"/>
        <w:jc w:val="both"/>
      </w:pPr>
      <w:r>
        <w:rPr>
          <w:i/>
        </w:rPr>
        <w:t>“</w:t>
      </w:r>
      <w:r w:rsidR="006D7F3D" w:rsidRPr="009829B3">
        <w:rPr>
          <w:i/>
        </w:rPr>
        <w:t>La Universidad Nacional y Capodistriana, ubicada en Atenas, es la más antigua de todo el Mediterráneo oriental -se fundó en 1837- y, en su comunicado oficial, ha argumentado que “cualquier actividad educativa, de investigación o administrativa es objetivamente imposible”, según informa el medio Greek Reporter. Como consecuencia, sus más de 125.000 estudiantes se encuentran a partir de ahora en una complicada situación, puesto que se enfrentan a la imposibilidad de recibir diplomas o realizar más exámenes. La decisión también afecta a sus 2.000 profesores y a los 1.300 profesionales que se ocupan de la administración</w:t>
      </w:r>
      <w:r w:rsidR="009829B3">
        <w:rPr>
          <w:i/>
        </w:rPr>
        <w:t xml:space="preserve">”... </w:t>
      </w:r>
      <w:r w:rsidR="009829B3" w:rsidRPr="004C2442">
        <w:rPr>
          <w:u w:val="single"/>
        </w:rPr>
        <w:t>Dos de las universidades griegas más antiguas cierran por la crisis</w:t>
      </w:r>
      <w:r w:rsidR="009829B3">
        <w:t xml:space="preserve"> (Gaceta.es - </w:t>
      </w:r>
      <w:r w:rsidR="009829B3" w:rsidRPr="004C2442">
        <w:rPr>
          <w:b/>
        </w:rPr>
        <w:t>25/9/13</w:t>
      </w:r>
      <w:r w:rsidR="009829B3">
        <w:t xml:space="preserve">) </w:t>
      </w:r>
    </w:p>
    <w:p w:rsidR="006D7F3D" w:rsidRPr="009829B3" w:rsidRDefault="006D7F3D" w:rsidP="00550638">
      <w:pPr>
        <w:pStyle w:val="NormalWeb"/>
        <w:jc w:val="both"/>
      </w:pPr>
      <w:r w:rsidRPr="00A55FE1">
        <w:t xml:space="preserve">En una situación parecida se encuentra la Universidad Politécnica de Atenas, una institución histórica que fue clave en la resistencia a la dictadura militar griega, entre los años 1967 y 1973, y que también está considerada como la más antigua y prestigiosa de las politécnicas griegas. </w:t>
      </w:r>
      <w:r w:rsidRPr="009829B3">
        <w:t>En este caso, el cese de sus actividades perjudica a unos 10.000 estudiantes y a los 1.000 empleados que actualmente trabajan allí.</w:t>
      </w:r>
    </w:p>
    <w:p w:rsidR="006D7F3D" w:rsidRPr="009829B3" w:rsidRDefault="006D7F3D" w:rsidP="00550638">
      <w:pPr>
        <w:pStyle w:val="NormalWeb"/>
        <w:jc w:val="both"/>
      </w:pPr>
      <w:r w:rsidRPr="009829B3">
        <w:t xml:space="preserve">Las críticas de ambas universidades van dirigidas al Ejecutivo heleno, que, en palabras de la Universidad Nacional y Capodistriana, “ha socavado incomprensiblemente” tanto la “educación superior” como a “los jóvenes”, la “única esperanza para salir de la crisis económica y social”. Por ello, subraya que la estrategia </w:t>
      </w:r>
      <w:r w:rsidR="009829B3">
        <w:t>gubernamental es “inadmisible”.</w:t>
      </w:r>
    </w:p>
    <w:p w:rsidR="006D7F3D" w:rsidRPr="009829B3" w:rsidRDefault="006D7F3D" w:rsidP="00550638">
      <w:pPr>
        <w:pStyle w:val="NormalWeb"/>
        <w:jc w:val="both"/>
      </w:pPr>
      <w:r w:rsidRPr="009829B3">
        <w:t>Varios diarios griegos explican que esta tragedia educativa ha estallado después de que se conociese que el Ministerio de Educación haya decidido que aproximadamente un tercio de los empleados públicos que se ocupan de la administración de las dos instituciones habrán de acogerse al conocido como Plan de Movilidad. Esta iniciativa establece que, mientras no encuentren un nuevo puesto, su salario se verá recortado en un 25%, hasta un límite de ocho meses. Cumplido ese plazo, podrán ser despedidos.</w:t>
      </w:r>
    </w:p>
    <w:p w:rsidR="006D7F3D" w:rsidRDefault="006D7F3D" w:rsidP="00550638">
      <w:pPr>
        <w:pStyle w:val="NormalWeb"/>
        <w:jc w:val="both"/>
      </w:pPr>
      <w:r w:rsidRPr="009829B3">
        <w:t>La medida, que es producto del acuerdo entre el FMI, el BCE y la Comisión Europea, ha provocado las protestas de funcionarios públicos en toda Grecia, que se han manifestado mediante dos huelgas generales en los últimos siete días. La última, durante el martes y el miércoles.</w:t>
      </w:r>
    </w:p>
    <w:p w:rsidR="009829B3" w:rsidRPr="009829B3" w:rsidRDefault="009829B3" w:rsidP="00550638">
      <w:pPr>
        <w:pStyle w:val="NormalWeb"/>
        <w:jc w:val="both"/>
        <w:rPr>
          <w:u w:val="single"/>
        </w:rPr>
      </w:pPr>
      <w:r w:rsidRPr="009829B3">
        <w:rPr>
          <w:u w:val="single"/>
        </w:rPr>
        <w:lastRenderedPageBreak/>
        <w:t>Y al fin</w:t>
      </w:r>
      <w:r>
        <w:rPr>
          <w:u w:val="single"/>
        </w:rPr>
        <w:t>,</w:t>
      </w:r>
      <w:r w:rsidR="00D44948">
        <w:rPr>
          <w:u w:val="single"/>
        </w:rPr>
        <w:t xml:space="preserve"> lo que hemos logrado: un</w:t>
      </w:r>
      <w:r w:rsidRPr="009829B3">
        <w:rPr>
          <w:u w:val="single"/>
        </w:rPr>
        <w:t xml:space="preserve">os </w:t>
      </w:r>
      <w:r w:rsidR="00D44948" w:rsidRPr="009829B3">
        <w:rPr>
          <w:u w:val="single"/>
        </w:rPr>
        <w:t>adolescentes</w:t>
      </w:r>
      <w:r w:rsidRPr="009829B3">
        <w:rPr>
          <w:u w:val="single"/>
        </w:rPr>
        <w:t xml:space="preserve"> eternos</w:t>
      </w:r>
      <w:r w:rsidR="00B94D72">
        <w:rPr>
          <w:u w:val="single"/>
        </w:rPr>
        <w:t xml:space="preserve"> (viviendo con y de lo</w:t>
      </w:r>
      <w:r w:rsidR="00D44948">
        <w:rPr>
          <w:u w:val="single"/>
        </w:rPr>
        <w:t>s</w:t>
      </w:r>
      <w:r w:rsidR="00B94D72">
        <w:rPr>
          <w:u w:val="single"/>
        </w:rPr>
        <w:t xml:space="preserve"> padres)</w:t>
      </w:r>
    </w:p>
    <w:p w:rsidR="006D7F3D" w:rsidRPr="00B94D72" w:rsidRDefault="009829B3" w:rsidP="00550638">
      <w:pPr>
        <w:pStyle w:val="NormalWeb"/>
        <w:jc w:val="both"/>
      </w:pPr>
      <w:r>
        <w:rPr>
          <w:i/>
        </w:rPr>
        <w:t>“</w:t>
      </w:r>
      <w:r w:rsidR="006D7F3D" w:rsidRPr="009829B3">
        <w:rPr>
          <w:i/>
        </w:rPr>
        <w:t>Según las nuevas indicaciones que reciben los psicólogos en el Reino Unido, la adolescencia ahora dura hasta los 25 años de edad, para efectos de determinar la manera de administrar tratamientos a los jóvenes</w:t>
      </w:r>
      <w:r>
        <w:rPr>
          <w:i/>
        </w:rPr>
        <w:t>”..</w:t>
      </w:r>
      <w:r w:rsidR="006D7F3D" w:rsidRPr="009829B3">
        <w:rPr>
          <w:i/>
        </w:rPr>
        <w:t xml:space="preserve">. </w:t>
      </w:r>
      <w:r w:rsidRPr="00182DFC">
        <w:rPr>
          <w:u w:val="single"/>
        </w:rPr>
        <w:t>¿Y si la adolescencia se prolonga hasta los 25 años?</w:t>
      </w:r>
      <w:r>
        <w:t xml:space="preserve"> (BBCMundo - </w:t>
      </w:r>
      <w:r w:rsidRPr="00182DFC">
        <w:rPr>
          <w:b/>
        </w:rPr>
        <w:t>25/9/13</w:t>
      </w:r>
      <w:r w:rsidR="00B94D72">
        <w:t>)</w:t>
      </w:r>
    </w:p>
    <w:p w:rsidR="006D7F3D" w:rsidRPr="00B94D72" w:rsidRDefault="00B94D72" w:rsidP="00550638">
      <w:pPr>
        <w:pStyle w:val="NormalWeb"/>
        <w:jc w:val="both"/>
      </w:pPr>
      <w:r w:rsidRPr="00B94D72">
        <w:t>“</w:t>
      </w:r>
      <w:r w:rsidR="006D7F3D" w:rsidRPr="00B94D72">
        <w:t xml:space="preserve">La idea de que de repente a los 18 años eres un adulto </w:t>
      </w:r>
      <w:r w:rsidRPr="00B94D72">
        <w:t>simplemente no acaba de cuadrar”</w:t>
      </w:r>
      <w:r w:rsidR="006D7F3D" w:rsidRPr="00B94D72">
        <w:t>, dice la psicóloga infantil Laverne Antrobus, que trabaja en l</w:t>
      </w:r>
      <w:r>
        <w:t xml:space="preserve">a Clínica Tavistock de Londres. </w:t>
      </w:r>
      <w:r w:rsidRPr="00B94D72">
        <w:t>“</w:t>
      </w:r>
      <w:r w:rsidR="006D7F3D" w:rsidRPr="00B94D72">
        <w:t xml:space="preserve">Mi experiencia con los jóvenes es que todavía necesitan una cantidad bastante considerable de apoyo </w:t>
      </w:r>
      <w:r w:rsidRPr="00B94D72">
        <w:t>y de ayuda más allá de esa edad”</w:t>
      </w:r>
      <w:r w:rsidR="006D7F3D" w:rsidRPr="00B94D72">
        <w:t>, argumenta.</w:t>
      </w:r>
    </w:p>
    <w:p w:rsidR="006D7F3D" w:rsidRPr="00B94D72" w:rsidRDefault="006D7F3D" w:rsidP="00550638">
      <w:pPr>
        <w:pStyle w:val="NormalWeb"/>
        <w:jc w:val="both"/>
      </w:pPr>
      <w:r w:rsidRPr="00B94D72">
        <w:t>Antrobus cree que a menudo queremos que los jóvenes logren hitos m</w:t>
      </w:r>
      <w:r w:rsidR="00B94D72" w:rsidRPr="00B94D72">
        <w:t>uy rápidamente, pero que ahora “</w:t>
      </w:r>
      <w:r w:rsidRPr="00B94D72">
        <w:t>nos estamos volviendo mucho más conscientes y apr</w:t>
      </w:r>
      <w:r w:rsidR="00B94D72" w:rsidRPr="00B94D72">
        <w:t>eciamos el desarrollo más allá (de los 18 años)</w:t>
      </w:r>
      <w:r w:rsidRPr="00B94D72">
        <w:t xml:space="preserve"> y creo </w:t>
      </w:r>
      <w:r w:rsidR="00B94D72" w:rsidRPr="00B94D72">
        <w:t>que es una muy buena iniciativa”</w:t>
      </w:r>
      <w:r w:rsidRPr="00B94D72">
        <w:t>.</w:t>
      </w:r>
    </w:p>
    <w:p w:rsidR="00E64712" w:rsidRPr="00B94D72" w:rsidRDefault="006D7F3D" w:rsidP="00550638">
      <w:pPr>
        <w:pStyle w:val="NormalWeb"/>
        <w:jc w:val="both"/>
      </w:pPr>
      <w:r w:rsidRPr="00B94D72">
        <w:t>Las nuevas directrices buscan evitar que los jóvenes no queden desamparados por el sistema de salud y educación cuando cumplen 18 años. El cambio llega con la evolución de nuestra comprensión de la madurez emocional, el desarrollo hormonal y particularmente la actividad cerebral.</w:t>
      </w:r>
    </w:p>
    <w:p w:rsidR="006D7F3D" w:rsidRPr="00B94D72" w:rsidRDefault="006D7F3D" w:rsidP="00550638">
      <w:pPr>
        <w:pStyle w:val="NormalWeb"/>
        <w:jc w:val="both"/>
      </w:pPr>
      <w:r w:rsidRPr="00B94D72">
        <w:t>Tres etapas</w:t>
      </w:r>
    </w:p>
    <w:p w:rsidR="006D7F3D" w:rsidRPr="00B94D72" w:rsidRDefault="006D7F3D" w:rsidP="00550638">
      <w:pPr>
        <w:pStyle w:val="NormalWeb"/>
        <w:jc w:val="both"/>
      </w:pPr>
      <w:r w:rsidRPr="00B94D72">
        <w:t>Las tres etapas de la adolescencia son:</w:t>
      </w:r>
    </w:p>
    <w:p w:rsidR="006D7F3D" w:rsidRPr="00B94D72" w:rsidRDefault="006D7F3D" w:rsidP="00550638">
      <w:pPr>
        <w:pStyle w:val="NormalWeb"/>
        <w:jc w:val="both"/>
      </w:pPr>
      <w:r w:rsidRPr="00B94D72">
        <w:t>•adolescencia temprana - de 12 a 14 años,</w:t>
      </w:r>
    </w:p>
    <w:p w:rsidR="006D7F3D" w:rsidRPr="00B94D72" w:rsidRDefault="006D7F3D" w:rsidP="00550638">
      <w:pPr>
        <w:pStyle w:val="NormalWeb"/>
        <w:jc w:val="both"/>
      </w:pPr>
      <w:r w:rsidRPr="00B94D72">
        <w:t>•adolescencia media - de 15 a 17 años,</w:t>
      </w:r>
    </w:p>
    <w:p w:rsidR="006D7F3D" w:rsidRPr="00B94D72" w:rsidRDefault="006D7F3D" w:rsidP="00550638">
      <w:pPr>
        <w:pStyle w:val="NormalWeb"/>
        <w:jc w:val="both"/>
      </w:pPr>
      <w:r w:rsidRPr="00B94D72">
        <w:t>•adolescencia tardía - a partir de los 18 años.</w:t>
      </w:r>
    </w:p>
    <w:p w:rsidR="006D7F3D" w:rsidRPr="00B94D72" w:rsidRDefault="006D7F3D" w:rsidP="00550638">
      <w:pPr>
        <w:pStyle w:val="NormalWeb"/>
        <w:jc w:val="both"/>
      </w:pPr>
      <w:r w:rsidRPr="00B94D72">
        <w:t>La neurociencia ha demostrado que el desarrollo cognitivo de los jóvenes continúa más allá de los 18 años en esta etapa posterior y que su madurez emocional, imagen personal y el propio juicio se verán afectados hasta que la corteza prefrontal del cerebro se desarrolle completamente.</w:t>
      </w:r>
    </w:p>
    <w:p w:rsidR="006D7F3D" w:rsidRPr="00B94D72" w:rsidRDefault="006D7F3D" w:rsidP="00550638">
      <w:pPr>
        <w:pStyle w:val="NormalWeb"/>
        <w:jc w:val="both"/>
      </w:pPr>
      <w:r w:rsidRPr="00B94D72">
        <w:t>Entonces, ¿son los 25 los nuevos 18?</w:t>
      </w:r>
    </w:p>
    <w:p w:rsidR="006D7F3D" w:rsidRPr="00B94D72" w:rsidRDefault="00B94D72" w:rsidP="00550638">
      <w:pPr>
        <w:pStyle w:val="NormalWeb"/>
        <w:jc w:val="both"/>
      </w:pPr>
      <w:r w:rsidRPr="00B94D72">
        <w:t>“</w:t>
      </w:r>
      <w:r w:rsidR="006D7F3D" w:rsidRPr="00B94D72">
        <w:t xml:space="preserve">Junto con el desarrollo del cerebro, la actividad hormonal también continúa </w:t>
      </w:r>
      <w:r w:rsidRPr="00B94D72">
        <w:t>hasta bien entrados los 20 años”</w:t>
      </w:r>
      <w:r>
        <w:t xml:space="preserve">, asegura Antrobus. </w:t>
      </w:r>
      <w:r w:rsidRPr="00B94D72">
        <w:t>Y añade: “</w:t>
      </w:r>
      <w:r w:rsidR="006D7F3D" w:rsidRPr="00B94D72">
        <w:t>Encuentro jóvenes de 16 a 18 años, en los cuales la actividad hormonal es tan grande que imaginar que se calmará al cum</w:t>
      </w:r>
      <w:r w:rsidRPr="00B94D72">
        <w:t>plir 18 es, realmente, un error”</w:t>
      </w:r>
      <w:r w:rsidR="006D7F3D" w:rsidRPr="00B94D72">
        <w:t>, sentencia Antrobus.</w:t>
      </w:r>
    </w:p>
    <w:p w:rsidR="006D7F3D" w:rsidRPr="00B94D72" w:rsidRDefault="006D7F3D" w:rsidP="00550638">
      <w:pPr>
        <w:pStyle w:val="NormalWeb"/>
        <w:jc w:val="both"/>
      </w:pPr>
      <w:r w:rsidRPr="00B94D72">
        <w:t>Para Laverne Antrobus, algunos adolescentes pueden querer quedarse más tiempo con sus familias, ya que necesitan más apoyo durante estos años de formación, y que es importante que los padres se den cuenta de que no todos los jóvenes se desarrollan al mismo ritmo.</w:t>
      </w:r>
    </w:p>
    <w:p w:rsidR="006D7F3D" w:rsidRPr="00B94D72" w:rsidRDefault="006D7F3D" w:rsidP="00550638">
      <w:pPr>
        <w:pStyle w:val="NormalWeb"/>
        <w:jc w:val="both"/>
      </w:pPr>
      <w:r w:rsidRPr="00B94D72">
        <w:t>Pero, ¿existe algún peligro de que pudiéramos estar criando a jóvenes que se resisten a dejar la adolescencia?</w:t>
      </w:r>
    </w:p>
    <w:p w:rsidR="006D7F3D" w:rsidRPr="00B94D72" w:rsidRDefault="006D7F3D" w:rsidP="00550638">
      <w:pPr>
        <w:pStyle w:val="NormalWeb"/>
        <w:jc w:val="both"/>
      </w:pPr>
      <w:r w:rsidRPr="00B94D72">
        <w:lastRenderedPageBreak/>
        <w:t>Solíamos pensar que el cerebro estaba totalmente desarrollado en la adolescencia temprana y ahora nos damos cuenta de que el cerebro no detiene su desarrollo hasta mediados de los 20 años o incluso los 30. Hay mucha más información y pruebas de que en realidad el desarrollo del cerebro en varias formas continúa durante toda la vida.</w:t>
      </w:r>
    </w:p>
    <w:p w:rsidR="006D7F3D" w:rsidRPr="00B94D72" w:rsidRDefault="006D7F3D" w:rsidP="00550638">
      <w:pPr>
        <w:pStyle w:val="NormalWeb"/>
        <w:jc w:val="both"/>
      </w:pPr>
      <w:r w:rsidRPr="00B94D72">
        <w:t>A lo largo de la adolescencia, la forma en que se procesa la información está cambiando drásticamente, y lo que han mostrado nuevas técnicas de exploración nos ha permitido demostrar lo que son los cambios neurológicos.</w:t>
      </w:r>
    </w:p>
    <w:p w:rsidR="006D7F3D" w:rsidRPr="00B94D72" w:rsidRDefault="006D7F3D" w:rsidP="00550638">
      <w:pPr>
        <w:pStyle w:val="NormalWeb"/>
        <w:jc w:val="both"/>
      </w:pPr>
      <w:r w:rsidRPr="00B94D72">
        <w:t>Esto es particularmente importante en términos de razonamiento social, planificación, y comprensión de la solución de un problema. Así que el cerebro se reorganiza a sí mismo, lo que a su vez significa que las diferentes estrategias de pensamiento se utilizan según el cerebro se asemeja más a un cerebro adulto.</w:t>
      </w:r>
    </w:p>
    <w:p w:rsidR="006D7F3D" w:rsidRPr="00B94D72" w:rsidRDefault="006D7F3D" w:rsidP="00550638">
      <w:pPr>
        <w:pStyle w:val="NormalWeb"/>
        <w:jc w:val="both"/>
      </w:pPr>
      <w:r w:rsidRPr="00B94D72">
        <w:t xml:space="preserve">La corteza prefrontal es el área clave que experimenta los cambios más interesantes en la adolescencia, así que si haces estudios de resonancia magnética funcional con niños, adolescentes y adultos, se aprecian diferencias en la forma en que procesan la información. </w:t>
      </w:r>
    </w:p>
    <w:p w:rsidR="006D7F3D" w:rsidRPr="00B94D72" w:rsidRDefault="006D7F3D" w:rsidP="00550638">
      <w:pPr>
        <w:pStyle w:val="NormalWeb"/>
        <w:jc w:val="both"/>
      </w:pPr>
      <w:r w:rsidRPr="00B94D72">
        <w:t>Frank Furedi, profesor de sociología de la Universidad de Kent en Inglaterra, dice que hemos infantilizado a los jóvenes y esto ha dado lugar a un número creciente de hombres y mujeres jóvenes que se acercan a los 30 años y aún viven en el hogar familiar.</w:t>
      </w:r>
    </w:p>
    <w:p w:rsidR="006D7F3D" w:rsidRPr="00B94D72" w:rsidRDefault="00B94D72" w:rsidP="00550638">
      <w:pPr>
        <w:pStyle w:val="NormalWeb"/>
        <w:jc w:val="both"/>
      </w:pPr>
      <w:r w:rsidRPr="00B94D72">
        <w:t>“</w:t>
      </w:r>
      <w:r w:rsidR="006D7F3D" w:rsidRPr="00B94D72">
        <w:t xml:space="preserve">A menudo se ha reivindicado que es por razones económicas, pero </w:t>
      </w:r>
      <w:r w:rsidRPr="00B94D72">
        <w:t>en realidad ese no es el motivo”</w:t>
      </w:r>
      <w:r w:rsidR="006D7F3D" w:rsidRPr="00B94D72">
        <w:t>, di</w:t>
      </w:r>
      <w:r w:rsidRPr="00B94D72">
        <w:t>ce Furedi. “</w:t>
      </w:r>
      <w:r w:rsidR="006D7F3D" w:rsidRPr="00B94D72">
        <w:t>Hay una pérdida de la aspiración a la independencia y salir adelante por propia cuenta. Cuando yo estaba en l</w:t>
      </w:r>
      <w:r w:rsidRPr="00B94D72">
        <w:t>a universidad, habría sido una “muerte social”</w:t>
      </w:r>
      <w:r w:rsidR="006D7F3D" w:rsidRPr="00B94D72">
        <w:t xml:space="preserve"> que se le viera a uno con sus padres, </w:t>
      </w:r>
      <w:r w:rsidRPr="00B94D72">
        <w:t>mientras que ahora es lo normal”</w:t>
      </w:r>
      <w:r w:rsidR="006D7F3D" w:rsidRPr="00B94D72">
        <w:t>, cuenta.</w:t>
      </w:r>
    </w:p>
    <w:p w:rsidR="006D7F3D" w:rsidRPr="00B94D72" w:rsidRDefault="00B94D72" w:rsidP="00550638">
      <w:pPr>
        <w:pStyle w:val="NormalWeb"/>
        <w:jc w:val="both"/>
      </w:pPr>
      <w:r w:rsidRPr="00B94D72">
        <w:t>“</w:t>
      </w:r>
      <w:r w:rsidR="006D7F3D" w:rsidRPr="00B94D72">
        <w:t xml:space="preserve">Este tipo de cambio cultural significa básicamente que la adolescencia se extiende hasta más allá de los 20 años y creo que la psicología, de forma inadvertida, refuerza ese tipo de pasividad, impotencia y </w:t>
      </w:r>
      <w:r w:rsidRPr="00B94D72">
        <w:t>falta de madurez y lo normaliza”</w:t>
      </w:r>
      <w:r w:rsidR="006D7F3D" w:rsidRPr="00B94D72">
        <w:t>.</w:t>
      </w:r>
    </w:p>
    <w:p w:rsidR="006D7F3D" w:rsidRPr="00B94D72" w:rsidRDefault="006D7F3D" w:rsidP="00550638">
      <w:pPr>
        <w:pStyle w:val="NormalWeb"/>
        <w:jc w:val="both"/>
      </w:pPr>
      <w:r w:rsidRPr="00B94D72">
        <w:t>Furedi añade que esta cultura infantilizada ha</w:t>
      </w:r>
      <w:r w:rsidR="00B94D72" w:rsidRPr="00B94D72">
        <w:t xml:space="preserve"> intensificado la sensación de “dependencia pasiva”</w:t>
      </w:r>
      <w:r w:rsidRPr="00B94D72">
        <w:t>, que puede dar lugar a dificultades en las re</w:t>
      </w:r>
      <w:r w:rsidR="00B94D72">
        <w:t xml:space="preserve">laciones entre adultos maduros. </w:t>
      </w:r>
      <w:r w:rsidR="00B94D72" w:rsidRPr="00B94D72">
        <w:t>“</w:t>
      </w:r>
      <w:r w:rsidRPr="00B94D72">
        <w:t xml:space="preserve">Hay un número creciente de adultos que ven </w:t>
      </w:r>
      <w:r w:rsidR="00B94D72" w:rsidRPr="00B94D72">
        <w:t>películas infantiles en el cine”, dice Furedi. “</w:t>
      </w:r>
      <w:r w:rsidRPr="00B94D72">
        <w:t>Si nos fijamos en los canales de televisión dirigidos a menores en Estados Unidos, el 25% de los espectadore</w:t>
      </w:r>
      <w:r w:rsidR="00B94D72" w:rsidRPr="00B94D72">
        <w:t>s son adultos en lugar de niños”</w:t>
      </w:r>
      <w:r w:rsidRPr="00B94D72">
        <w:t>.</w:t>
      </w:r>
    </w:p>
    <w:p w:rsidR="006D7F3D" w:rsidRPr="00B94D72" w:rsidRDefault="006D7F3D" w:rsidP="00550638">
      <w:pPr>
        <w:pStyle w:val="NormalWeb"/>
        <w:jc w:val="both"/>
      </w:pPr>
      <w:r w:rsidRPr="00B94D72">
        <w:t>Furedi no cree que el mundo moderno sea much</w:t>
      </w:r>
      <w:r w:rsidR="00B94D72">
        <w:t xml:space="preserve">o más difícil para los jóvenes. </w:t>
      </w:r>
      <w:r w:rsidR="00B94D72" w:rsidRPr="00B94D72">
        <w:t>“</w:t>
      </w:r>
      <w:r w:rsidRPr="00B94D72">
        <w:t>Creo que, no es que el mundo se haya vuelto más cruel, sino que retenemos a nuestros hijos desde una edad muy temprana. Cuando tienen 11 o 12 años no los dejamos salir solos y cuando tienen 14 o 15 años los aislamos de las experiencias de la vida real. Además, tratamos a los estudiantes universitarios como solíamos tratar a los escolares, por lo que creo que es ese tipo de efecto acumulativo de infanti</w:t>
      </w:r>
      <w:r w:rsidR="00B94D72" w:rsidRPr="00B94D72">
        <w:t>lización el responsable de esto”</w:t>
      </w:r>
      <w:r w:rsidRPr="00B94D72">
        <w:t>.</w:t>
      </w:r>
    </w:p>
    <w:p w:rsidR="006D7F3D" w:rsidRPr="00B94D72" w:rsidRDefault="006D7F3D" w:rsidP="00550638">
      <w:pPr>
        <w:pStyle w:val="NormalWeb"/>
        <w:jc w:val="both"/>
      </w:pPr>
      <w:r w:rsidRPr="00B94D72">
        <w:t xml:space="preserve">Pero, ¿deben los padres alentar a los adolescentes a </w:t>
      </w:r>
      <w:r w:rsidR="004739F1" w:rsidRPr="00B94D72">
        <w:t>construir</w:t>
      </w:r>
      <w:r w:rsidRPr="00B94D72">
        <w:t xml:space="preserve"> su propio camino en el mundo?</w:t>
      </w:r>
    </w:p>
    <w:p w:rsidR="006D7F3D" w:rsidRPr="00B94D72" w:rsidRDefault="006D7F3D" w:rsidP="00550638">
      <w:pPr>
        <w:pStyle w:val="NormalWeb"/>
        <w:jc w:val="both"/>
      </w:pPr>
      <w:r w:rsidRPr="00B94D72">
        <w:lastRenderedPageBreak/>
        <w:t>La serie de tele</w:t>
      </w:r>
      <w:r w:rsidR="00B94D72" w:rsidRPr="00B94D72">
        <w:t>visión “Girls”</w:t>
      </w:r>
      <w:r w:rsidRPr="00B94D72">
        <w:t xml:space="preserve"> (chicas) cuyo personaje principal, Hannah Horvath, lucha cada día con las contradicciones de la edad adulta, ha cap</w:t>
      </w:r>
      <w:r w:rsidR="004739F1">
        <w:t xml:space="preserve">turado el espíritu del momento. </w:t>
      </w:r>
      <w:r w:rsidRPr="00B94D72">
        <w:t>Los padres de Hannah cortaron su financiación y de repente debe vivir por su cuenta y lidiar c</w:t>
      </w:r>
      <w:r w:rsidR="00B94D72" w:rsidRPr="00B94D72">
        <w:t>on sus “20 años”</w:t>
      </w:r>
      <w:r w:rsidRPr="00B94D72">
        <w:t xml:space="preserve">, </w:t>
      </w:r>
      <w:r w:rsidR="004739F1">
        <w:t>cometiendo sus propios errores.</w:t>
      </w:r>
    </w:p>
    <w:p w:rsidR="006D7F3D" w:rsidRPr="00B94D72" w:rsidRDefault="006D7F3D" w:rsidP="00550638">
      <w:pPr>
        <w:pStyle w:val="NormalWeb"/>
        <w:jc w:val="both"/>
      </w:pPr>
      <w:r w:rsidRPr="00B94D72">
        <w:t>Uno de los tradicionales ritos de paso a la edad adulta siempre fue salir de casa, pero la experta en propiedad raíz Sarah Beeny dice que los adolescentes no tienen que salir de la casa de los padres con el fin de aprender a ser independientes y hay enormes ventajas de que varias generaciones convivan juntas.</w:t>
      </w:r>
    </w:p>
    <w:p w:rsidR="006D7F3D" w:rsidRPr="00B94D72" w:rsidRDefault="00B94D72" w:rsidP="00550638">
      <w:pPr>
        <w:pStyle w:val="NormalWeb"/>
        <w:jc w:val="both"/>
      </w:pPr>
      <w:r w:rsidRPr="00B94D72">
        <w:t>“</w:t>
      </w:r>
      <w:r w:rsidR="006D7F3D" w:rsidRPr="00B94D72">
        <w:t xml:space="preserve">La solución para no tener inútiles de 25 (e incluso) 30 años viviendo en casa no está en echarlos, sino en que ellos laven su propia ropa, ayuden a pagar la renta, las facturas, asuman la responsabilidad de </w:t>
      </w:r>
      <w:r w:rsidRPr="00B94D72">
        <w:t>la limpieza de su habitación...”</w:t>
      </w:r>
      <w:r w:rsidR="006D7F3D" w:rsidRPr="00B94D72">
        <w:t>, dice Beeny.</w:t>
      </w:r>
    </w:p>
    <w:p w:rsidR="006D7F3D" w:rsidRPr="00B94D72" w:rsidRDefault="004739F1" w:rsidP="00550638">
      <w:pPr>
        <w:pStyle w:val="NormalWeb"/>
        <w:jc w:val="both"/>
      </w:pPr>
      <w:r>
        <w:t xml:space="preserve">Pero, ¿existen los adultos? </w:t>
      </w:r>
      <w:r w:rsidR="006D7F3D" w:rsidRPr="00B94D72">
        <w:t>Con la adolescencia tomando mucho más tiempo del que pensábamos, ¿cómo vamos a saber cuándo realmente llegamos a la edad adulta?</w:t>
      </w:r>
    </w:p>
    <w:p w:rsidR="006D7F3D" w:rsidRDefault="006D7F3D" w:rsidP="00550638">
      <w:pPr>
        <w:pStyle w:val="NormalWeb"/>
        <w:jc w:val="both"/>
      </w:pPr>
      <w:r w:rsidRPr="00B94D72">
        <w:t xml:space="preserve">Para Antrobus </w:t>
      </w:r>
      <w:r w:rsidR="00B94D72" w:rsidRPr="00B94D72">
        <w:t>ocurre cuando la independencia “</w:t>
      </w:r>
      <w:r w:rsidRPr="00B94D72">
        <w:t>se siente como algo qu</w:t>
      </w:r>
      <w:r w:rsidR="00B94D72" w:rsidRPr="00B94D72">
        <w:t>e se quiere y se puede adquirir”</w:t>
      </w:r>
      <w:r w:rsidRPr="00B94D72">
        <w:t>.</w:t>
      </w:r>
      <w:r w:rsidR="006A5739" w:rsidRPr="00B94D72">
        <w:t xml:space="preserve"> </w:t>
      </w:r>
      <w:r w:rsidRPr="00B94D72">
        <w:t>Pero para los adolescentes eternos, tal vez la definición de Beeny es la apropiada.</w:t>
      </w:r>
      <w:r w:rsidR="006A5739" w:rsidRPr="00B94D72">
        <w:t xml:space="preserve"> </w:t>
      </w:r>
      <w:r w:rsidR="00B94D72" w:rsidRPr="00B94D72">
        <w:t>“Para mí”, dice, “</w:t>
      </w:r>
      <w:r w:rsidRPr="00B94D72">
        <w:t>la edad adu</w:t>
      </w:r>
      <w:r w:rsidR="00B94D72" w:rsidRPr="00B94D72">
        <w:t>lta”</w:t>
      </w:r>
      <w:r w:rsidRPr="00B94D72">
        <w:t xml:space="preserve"> se está dando cuenta de que no existen los adultos como tal y que todos</w:t>
      </w:r>
      <w:r w:rsidR="00B94D72" w:rsidRPr="00B94D72">
        <w:t xml:space="preserve"> los demás estamos improvisando”</w:t>
      </w:r>
      <w:r w:rsidRPr="00B94D72">
        <w:t>, dice Beeny.</w:t>
      </w:r>
    </w:p>
    <w:p w:rsidR="002C64B3" w:rsidRPr="002C64B3" w:rsidRDefault="002C64B3" w:rsidP="00550638">
      <w:pPr>
        <w:pStyle w:val="NormalWeb"/>
        <w:jc w:val="both"/>
        <w:rPr>
          <w:rStyle w:val="Textoennegrita"/>
          <w:b w:val="0"/>
          <w:u w:val="single"/>
        </w:rPr>
      </w:pPr>
      <w:r w:rsidRPr="002C64B3">
        <w:rPr>
          <w:rStyle w:val="Textoennegrita"/>
          <w:b w:val="0"/>
          <w:u w:val="single"/>
        </w:rPr>
        <w:t>El país nórdico consigue, año tras año, los mejores resultados en los informes de PISA, ¿cómo lo hace?</w:t>
      </w:r>
    </w:p>
    <w:p w:rsidR="00E73CEC" w:rsidRDefault="00E73CEC" w:rsidP="00550638">
      <w:pPr>
        <w:pStyle w:val="NormalWeb"/>
        <w:jc w:val="both"/>
        <w:rPr>
          <w:rStyle w:val="Textoennegrita"/>
          <w:b w:val="0"/>
        </w:rPr>
      </w:pPr>
      <w:r>
        <w:rPr>
          <w:rStyle w:val="Textoennegrita"/>
        </w:rPr>
        <w:t xml:space="preserve">- </w:t>
      </w:r>
      <w:r w:rsidRPr="00A55FE1">
        <w:rPr>
          <w:rStyle w:val="Textoennegrita"/>
          <w:b w:val="0"/>
          <w:u w:val="single"/>
        </w:rPr>
        <w:t>Finlandia: las claves del sistema educativo más exitoso de Europa</w:t>
      </w:r>
      <w:r w:rsidRPr="00A55FE1">
        <w:rPr>
          <w:rStyle w:val="Textoennegrita"/>
          <w:b w:val="0"/>
        </w:rPr>
        <w:t xml:space="preserve"> (Libertad Digital</w:t>
      </w:r>
      <w:r>
        <w:rPr>
          <w:rStyle w:val="Textoennegrita"/>
        </w:rPr>
        <w:t xml:space="preserve"> - </w:t>
      </w:r>
      <w:r w:rsidRPr="00826F55">
        <w:rPr>
          <w:rStyle w:val="Textoennegrita"/>
        </w:rPr>
        <w:t>5/10/13</w:t>
      </w:r>
      <w:r>
        <w:rPr>
          <w:rStyle w:val="Textoennegrita"/>
        </w:rPr>
        <w:t>)</w:t>
      </w:r>
    </w:p>
    <w:p w:rsidR="00E73CEC" w:rsidRPr="00826F55" w:rsidRDefault="00E73CEC"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26F55">
        <w:rPr>
          <w:rFonts w:ascii="Times New Roman" w:hAnsi="Times New Roman" w:cs="Times New Roman"/>
          <w:sz w:val="24"/>
          <w:szCs w:val="24"/>
        </w:rPr>
        <w:t>M. Muro</w:t>
      </w:r>
      <w:r>
        <w:rPr>
          <w:rFonts w:ascii="Times New Roman" w:hAnsi="Times New Roman" w:cs="Times New Roman"/>
          <w:sz w:val="24"/>
          <w:szCs w:val="24"/>
        </w:rPr>
        <w:t>)</w:t>
      </w:r>
      <w:r w:rsidR="00A55FE1">
        <w:rPr>
          <w:rFonts w:ascii="Times New Roman" w:hAnsi="Times New Roman" w:cs="Times New Roman"/>
          <w:sz w:val="24"/>
          <w:szCs w:val="24"/>
        </w:rPr>
        <w:t xml:space="preserve">                                                                                   Lectura recomendada</w:t>
      </w:r>
    </w:p>
    <w:p w:rsidR="00E73CEC" w:rsidRPr="002B206C" w:rsidRDefault="00E73CEC" w:rsidP="00550638">
      <w:pPr>
        <w:pStyle w:val="NormalWeb"/>
        <w:jc w:val="both"/>
        <w:rPr>
          <w:b/>
          <w:color w:val="FF0000"/>
          <w:u w:val="single"/>
        </w:rPr>
      </w:pPr>
      <w:r w:rsidRPr="00D62972">
        <w:rPr>
          <w:u w:val="single"/>
        </w:rPr>
        <w:t>Finlandia no siempre ha sido uno de los países más competitivos del mundo. De hecho, al término de la Segunda Guerra Mundial podría decirse que era más bien pobre. Sin embargo, sus ciudadanos han sabido superarse y en no muchos años han logrado construir una economía fuerte que les permite disfrutar de un elevado nivel de vida.</w:t>
      </w:r>
      <w:r>
        <w:t xml:space="preserve"> </w:t>
      </w:r>
      <w:r w:rsidRPr="00D62972">
        <w:rPr>
          <w:color w:val="FF0000"/>
          <w:u w:val="single"/>
        </w:rPr>
        <w:t xml:space="preserve">Para explicar por qué podríamos centrarnos en el buen funcionamiento de sus instituciones públicas, su capacidad de innovación o su buen sistema de salud. Pero, sin duda, una de las razones principales es su </w:t>
      </w:r>
      <w:r w:rsidRPr="002B206C">
        <w:rPr>
          <w:rStyle w:val="Textoennegrita"/>
          <w:b w:val="0"/>
          <w:color w:val="FF0000"/>
          <w:u w:val="single"/>
        </w:rPr>
        <w:t>sistema educativo</w:t>
      </w:r>
      <w:r w:rsidRPr="002B206C">
        <w:rPr>
          <w:b/>
          <w:color w:val="FF0000"/>
          <w:u w:val="single"/>
        </w:rPr>
        <w:t>.</w:t>
      </w:r>
    </w:p>
    <w:p w:rsidR="00E73CEC" w:rsidRPr="00D62972" w:rsidRDefault="00E73CEC" w:rsidP="00550638">
      <w:pPr>
        <w:pStyle w:val="NormalWeb"/>
        <w:jc w:val="both"/>
        <w:rPr>
          <w:color w:val="FF0000"/>
          <w:u w:val="single"/>
        </w:rPr>
      </w:pPr>
      <w:r w:rsidRPr="00D62972">
        <w:rPr>
          <w:u w:val="single"/>
        </w:rPr>
        <w:t xml:space="preserve">Desde hace años, Finlandia se sitúa siempre en los primeros puestos en los resultados del </w:t>
      </w:r>
      <w:hyperlink r:id="rId251" w:history="1">
        <w:r w:rsidRPr="00A55FE1">
          <w:rPr>
            <w:rStyle w:val="Hipervnculo"/>
            <w:rFonts w:eastAsiaTheme="majorEastAsia"/>
            <w:color w:val="auto"/>
          </w:rPr>
          <w:t>Programa Internacional para la Evaluación de Estudiantes (PISA)</w:t>
        </w:r>
      </w:hyperlink>
      <w:r w:rsidRPr="00A55FE1">
        <w:t xml:space="preserve">. </w:t>
      </w:r>
      <w:r>
        <w:t xml:space="preserve">En la última edición, era el país europeo mejor clasificado con cierta diferencia y el único que tenía una puntuación equiparable a los asiáticos más exitosos, como Corea o Singapur. Pero, </w:t>
      </w:r>
      <w:r w:rsidRPr="00D62972">
        <w:rPr>
          <w:color w:val="FF0000"/>
          <w:u w:val="single"/>
        </w:rPr>
        <w:t xml:space="preserve">¿por qué tienen el mejor sistema educativo?, </w:t>
      </w:r>
      <w:r w:rsidRPr="00956980">
        <w:rPr>
          <w:b/>
          <w:color w:val="FF0000"/>
          <w:u w:val="single"/>
        </w:rPr>
        <w:t>¿</w:t>
      </w:r>
      <w:r w:rsidRPr="00956980">
        <w:rPr>
          <w:rStyle w:val="Textoennegrita"/>
          <w:b w:val="0"/>
          <w:color w:val="FF0000"/>
          <w:u w:val="single"/>
        </w:rPr>
        <w:t>qué tiene el modelo finlandés</w:t>
      </w:r>
      <w:r w:rsidRPr="00956980">
        <w:rPr>
          <w:b/>
          <w:color w:val="FF0000"/>
          <w:u w:val="single"/>
        </w:rPr>
        <w:t xml:space="preserve"> </w:t>
      </w:r>
      <w:r w:rsidRPr="00D62972">
        <w:rPr>
          <w:color w:val="FF0000"/>
          <w:u w:val="single"/>
        </w:rPr>
        <w:t>que no tenga el español ni ningún otro?</w:t>
      </w:r>
    </w:p>
    <w:p w:rsidR="00E73CEC" w:rsidRPr="00D62972" w:rsidRDefault="00E73CEC" w:rsidP="00550638">
      <w:pPr>
        <w:pStyle w:val="NormalWeb"/>
        <w:jc w:val="both"/>
        <w:rPr>
          <w:u w:val="single"/>
        </w:rPr>
      </w:pPr>
      <w:r w:rsidRPr="00D62972">
        <w:rPr>
          <w:u w:val="single"/>
        </w:rPr>
        <w:t xml:space="preserve">La verdad es que no podríamos dar una sola razón. Lo primero que hay que apuntar es que no es un tema principalmente económico. Por ejemplo, según datos de la OCDE, en 2010, el país nórdico gastaba (en paridad de poder adquisitivo) </w:t>
      </w:r>
      <w:r w:rsidRPr="00956980">
        <w:rPr>
          <w:rStyle w:val="Textoennegrita"/>
          <w:b w:val="0"/>
          <w:u w:val="single"/>
        </w:rPr>
        <w:t>9.162 dólares por estudiante de secundaria</w:t>
      </w:r>
      <w:r w:rsidRPr="00D62972">
        <w:rPr>
          <w:u w:val="single"/>
        </w:rPr>
        <w:t>; en el mismo año, España gastaba 9.608 dólares por alumno.</w:t>
      </w:r>
    </w:p>
    <w:p w:rsidR="00E73CEC" w:rsidRPr="00D62972" w:rsidRDefault="00E73CEC" w:rsidP="00550638">
      <w:pPr>
        <w:pStyle w:val="NormalWeb"/>
        <w:jc w:val="both"/>
        <w:rPr>
          <w:u w:val="single"/>
        </w:rPr>
      </w:pPr>
      <w:r w:rsidRPr="00D62972">
        <w:rPr>
          <w:u w:val="single"/>
        </w:rPr>
        <w:lastRenderedPageBreak/>
        <w:t>Y no, tampoco es el frío ni la cultura de los países nórdicos lo que les lleva a la excelencia educativa. Sus vecinos, Noruega o Suecia, invierten mucho más dinero en educación y no tienen sus excelentes resultados.</w:t>
      </w:r>
    </w:p>
    <w:p w:rsidR="00E73CEC" w:rsidRPr="00D62972" w:rsidRDefault="00E73CEC" w:rsidP="00550638">
      <w:pPr>
        <w:pStyle w:val="NormalWeb"/>
        <w:jc w:val="both"/>
        <w:rPr>
          <w:color w:val="FF0000"/>
          <w:u w:val="single"/>
        </w:rPr>
      </w:pPr>
      <w:r w:rsidRPr="00D62972">
        <w:rPr>
          <w:color w:val="FF0000"/>
          <w:u w:val="single"/>
        </w:rPr>
        <w:t xml:space="preserve">La realidad es que el país nórdico ha conseguido encajar todas las piezas del rompecabezas y ha creado un </w:t>
      </w:r>
      <w:r w:rsidRPr="00956980">
        <w:rPr>
          <w:rStyle w:val="Textoennegrita"/>
          <w:b w:val="0"/>
          <w:color w:val="FF0000"/>
          <w:u w:val="single"/>
        </w:rPr>
        <w:t>sistema en el que ningún alumno queda excluido</w:t>
      </w:r>
      <w:r w:rsidRPr="00D62972">
        <w:rPr>
          <w:color w:val="FF0000"/>
          <w:u w:val="single"/>
        </w:rPr>
        <w:t>. No lo ha logrado con normas centralizadas, sino a través de un sistema que da una gran autonomía a los centros y en los que sus profesores son los que controlan los planes de estudios. Todo ello, enmarcado en una ley de educación estable, que no se cambia con el color del gobierno de turno.</w:t>
      </w:r>
    </w:p>
    <w:p w:rsidR="00E73CEC" w:rsidRPr="00A55FE1" w:rsidRDefault="00E73CEC" w:rsidP="00550638">
      <w:pPr>
        <w:pStyle w:val="Ttulo3"/>
        <w:spacing w:line="240" w:lineRule="auto"/>
        <w:jc w:val="both"/>
        <w:rPr>
          <w:rFonts w:ascii="Times New Roman" w:hAnsi="Times New Roman" w:cs="Times New Roman"/>
          <w:color w:val="auto"/>
          <w:sz w:val="24"/>
          <w:szCs w:val="24"/>
        </w:rPr>
      </w:pPr>
      <w:r w:rsidRPr="00A55FE1">
        <w:rPr>
          <w:rStyle w:val="Textoennegrita"/>
          <w:rFonts w:ascii="Times New Roman" w:hAnsi="Times New Roman" w:cs="Times New Roman"/>
          <w:color w:val="auto"/>
          <w:sz w:val="24"/>
          <w:szCs w:val="24"/>
        </w:rPr>
        <w:t>Un año más tarde</w:t>
      </w:r>
    </w:p>
    <w:p w:rsidR="00E73CEC" w:rsidRPr="00D62972" w:rsidRDefault="00E73CEC" w:rsidP="00550638">
      <w:pPr>
        <w:pStyle w:val="NormalWeb"/>
        <w:jc w:val="both"/>
        <w:rPr>
          <w:color w:val="FF0000"/>
          <w:u w:val="single"/>
        </w:rPr>
      </w:pPr>
      <w:r w:rsidRPr="00D62972">
        <w:rPr>
          <w:color w:val="FF0000"/>
          <w:u w:val="single"/>
        </w:rPr>
        <w:t>En Finlandia buscan la igualdad de oportunidades, lo que no quiere decir se les dé a todos lo mismo. Los profesores se esfuerzan desde los primeros años para que ningún niño se quede atrás; esto sucede en todos los colegios de Finlandia.</w:t>
      </w:r>
    </w:p>
    <w:p w:rsidR="00E73CEC" w:rsidRPr="00D62972" w:rsidRDefault="00E73CEC" w:rsidP="00550638">
      <w:pPr>
        <w:pStyle w:val="NormalWeb"/>
        <w:jc w:val="both"/>
        <w:rPr>
          <w:color w:val="FF0000"/>
          <w:u w:val="single"/>
        </w:rPr>
      </w:pPr>
      <w:r w:rsidRPr="00D62972">
        <w:rPr>
          <w:color w:val="FF0000"/>
          <w:u w:val="single"/>
        </w:rPr>
        <w:t xml:space="preserve">El </w:t>
      </w:r>
      <w:r w:rsidRPr="00956980">
        <w:rPr>
          <w:rStyle w:val="Textoennegrita"/>
          <w:b w:val="0"/>
          <w:color w:val="FF0000"/>
          <w:u w:val="single"/>
        </w:rPr>
        <w:t>95% de los centros son públicos</w:t>
      </w:r>
      <w:r w:rsidRPr="00D62972">
        <w:rPr>
          <w:color w:val="FF0000"/>
          <w:u w:val="single"/>
        </w:rPr>
        <w:t>. Y la enseñanza es gratuita, así como el material y el comedor. Eso sí, los padres pueden elegir el colegio que más les guste, no el que les toque por cercanía. Si está a más de cinco kilómetros de su domicilio, también se les paga el transporte. Al final, la realidad es que suelen elegir el colegio que está más cerca de su casa, porque saben que cualquiera ofrece un altísimo nivel.</w:t>
      </w:r>
    </w:p>
    <w:p w:rsidR="00E73CEC" w:rsidRPr="00D62972" w:rsidRDefault="00E73CEC" w:rsidP="00550638">
      <w:pPr>
        <w:pStyle w:val="NormalWeb"/>
        <w:jc w:val="both"/>
        <w:rPr>
          <w:color w:val="FF0000"/>
          <w:u w:val="single"/>
        </w:rPr>
      </w:pPr>
      <w:r w:rsidRPr="00D62972">
        <w:rPr>
          <w:color w:val="FF0000"/>
          <w:u w:val="single"/>
        </w:rPr>
        <w:t xml:space="preserve">Para conseguir ser los mejores, los niños finlandeses no están más horas, ni empiezan antes. En este país la educación obligatoria comienza a los siete años, ya que se considera que es entonces cuando el niño comienza a tener una cierta madurez para poder asimilar los conocimientos explicados. Los </w:t>
      </w:r>
      <w:r w:rsidRPr="00956980">
        <w:rPr>
          <w:rStyle w:val="Textoennegrita"/>
          <w:b w:val="0"/>
          <w:color w:val="FF0000"/>
          <w:u w:val="single"/>
        </w:rPr>
        <w:t>alumnos comienzan con las asignaturas más sencillas</w:t>
      </w:r>
      <w:r w:rsidRPr="00D62972">
        <w:rPr>
          <w:color w:val="FF0000"/>
          <w:u w:val="single"/>
        </w:rPr>
        <w:t xml:space="preserve"> como educación física y su lengua, el finés. Más tarde, llegarán las matemáticas, ciencia, historia y lenguas extranjeras. Y es a los diez u once años cuando comienzan a recibir calificaciones numéricas por estas materias. Las notas las pone, durante los primeros años de su educación, un único maestro, que vela por que ningún alumno quede excluido.</w:t>
      </w:r>
    </w:p>
    <w:p w:rsidR="00E73CEC" w:rsidRPr="00A55FE1" w:rsidRDefault="00E73CEC" w:rsidP="00550638">
      <w:pPr>
        <w:pStyle w:val="Ttulo3"/>
        <w:spacing w:line="240" w:lineRule="auto"/>
        <w:jc w:val="both"/>
        <w:rPr>
          <w:rFonts w:ascii="Times New Roman" w:hAnsi="Times New Roman" w:cs="Times New Roman"/>
          <w:color w:val="auto"/>
          <w:sz w:val="24"/>
          <w:szCs w:val="24"/>
        </w:rPr>
      </w:pPr>
      <w:r w:rsidRPr="00A55FE1">
        <w:rPr>
          <w:rStyle w:val="Textoennegrita"/>
          <w:rFonts w:ascii="Times New Roman" w:hAnsi="Times New Roman" w:cs="Times New Roman"/>
          <w:color w:val="auto"/>
          <w:sz w:val="24"/>
          <w:szCs w:val="24"/>
        </w:rPr>
        <w:t>Autonomía en las aulas</w:t>
      </w:r>
    </w:p>
    <w:p w:rsidR="00E73CEC" w:rsidRPr="00D62972" w:rsidRDefault="00E73CEC" w:rsidP="00550638">
      <w:pPr>
        <w:pStyle w:val="NormalWeb"/>
        <w:jc w:val="both"/>
        <w:rPr>
          <w:color w:val="FF0000"/>
          <w:u w:val="single"/>
        </w:rPr>
      </w:pPr>
      <w:r w:rsidRPr="00D62972">
        <w:rPr>
          <w:color w:val="FF0000"/>
          <w:u w:val="single"/>
        </w:rPr>
        <w:t>Una de las características más importantes del sistema finés es que cada colegio tiene su propia organización en función de sus necesidades. Aunque pueda parecer algo desorganizado que cada centro tenga autonomía para decidir acerca de su programa de estudios, no es así.</w:t>
      </w:r>
    </w:p>
    <w:p w:rsidR="00E73CEC" w:rsidRPr="00D62972" w:rsidRDefault="00E73CEC" w:rsidP="00550638">
      <w:pPr>
        <w:pStyle w:val="NormalWeb"/>
        <w:jc w:val="both"/>
        <w:rPr>
          <w:color w:val="FF0000"/>
          <w:u w:val="single"/>
        </w:rPr>
      </w:pPr>
      <w:r>
        <w:t xml:space="preserve">En España los programas educativos los establece prácticamente en su totalidad el gobierno, sea central o autonómico. Pero </w:t>
      </w:r>
      <w:r w:rsidRPr="00D62972">
        <w:rPr>
          <w:color w:val="FF0000"/>
          <w:u w:val="single"/>
        </w:rPr>
        <w:t>en Finlandia, como nos indica Javier Melgarejo, licenciado en Psicología y doctorado en Pedagogía que lleva más de una década intentando descubrir las claves del éxit</w:t>
      </w:r>
      <w:r w:rsidR="00A55FE1">
        <w:rPr>
          <w:color w:val="FF0000"/>
          <w:u w:val="single"/>
        </w:rPr>
        <w:t>o del sistema educativo finés: “</w:t>
      </w:r>
      <w:r w:rsidRPr="00D62972">
        <w:rPr>
          <w:color w:val="FF0000"/>
          <w:u w:val="single"/>
        </w:rPr>
        <w:t xml:space="preserve">El </w:t>
      </w:r>
      <w:r w:rsidRPr="00956980">
        <w:rPr>
          <w:rStyle w:val="Textoennegrita"/>
          <w:b w:val="0"/>
          <w:color w:val="FF0000"/>
          <w:u w:val="single"/>
        </w:rPr>
        <w:t>gobierno central tiene un porcentaje bajo</w:t>
      </w:r>
      <w:r w:rsidRPr="00D62972">
        <w:rPr>
          <w:color w:val="FF0000"/>
          <w:u w:val="single"/>
        </w:rPr>
        <w:t xml:space="preserve"> en la organización del plan curricular. El que toma la decisión sobre lo que se va a hacer es el municipio, y luego el profesor. Por lo tanto, hay una autonomía en cada centro enorme, que permite que la educación se centre en las necesidades de los alumnos. </w:t>
      </w:r>
      <w:r>
        <w:t xml:space="preserve">En España tenemos la sensación de que si todos somos iguales y hacemos el mismo plan será mejor, pero puede que no. </w:t>
      </w:r>
      <w:r w:rsidRPr="00D62972">
        <w:rPr>
          <w:color w:val="FF0000"/>
          <w:u w:val="single"/>
        </w:rPr>
        <w:t>Aunque parezca mentira salen muy bien prepa</w:t>
      </w:r>
      <w:r w:rsidR="00A55FE1">
        <w:rPr>
          <w:color w:val="FF0000"/>
          <w:u w:val="single"/>
        </w:rPr>
        <w:t>rados y de manera muy homogénea”</w:t>
      </w:r>
      <w:r w:rsidRPr="00D62972">
        <w:rPr>
          <w:color w:val="FF0000"/>
          <w:u w:val="single"/>
        </w:rPr>
        <w:t>.</w:t>
      </w:r>
    </w:p>
    <w:p w:rsidR="00E73CEC" w:rsidRPr="00D62972" w:rsidRDefault="00E73CEC" w:rsidP="00550638">
      <w:pPr>
        <w:pStyle w:val="NormalWeb"/>
        <w:jc w:val="both"/>
        <w:rPr>
          <w:u w:val="single"/>
        </w:rPr>
      </w:pPr>
      <w:r w:rsidRPr="00D62972">
        <w:rPr>
          <w:u w:val="single"/>
        </w:rPr>
        <w:lastRenderedPageBreak/>
        <w:t>Al darle autonomía y confianza a cada centro el Gobierno no está pendiente de presentar planes de estudios que se adapten a su ideología o de cambiar los que ha impuesto el anterior Ejecutivo. Además, como</w:t>
      </w:r>
      <w:r w:rsidR="00A55FE1">
        <w:rPr>
          <w:u w:val="single"/>
        </w:rPr>
        <w:t xml:space="preserve"> nos comenta Javier Melgarejo, “</w:t>
      </w:r>
      <w:r w:rsidRPr="00D62972">
        <w:rPr>
          <w:u w:val="single"/>
        </w:rPr>
        <w:t xml:space="preserve">el parlamento finlandés, al igual que el español, tiene muchos grupos políticos, pero se piden dos terceras partes para aprobar las leyes de educación, lo que obliga a los dos grandes grupos a pactar </w:t>
      </w:r>
      <w:r w:rsidR="00A55FE1">
        <w:rPr>
          <w:u w:val="single"/>
        </w:rPr>
        <w:t>y eso da una estabilidad enorme”</w:t>
      </w:r>
      <w:r w:rsidRPr="00D62972">
        <w:rPr>
          <w:u w:val="single"/>
        </w:rPr>
        <w:t>.</w:t>
      </w:r>
    </w:p>
    <w:p w:rsidR="00E73CEC" w:rsidRPr="00D62972" w:rsidRDefault="00E73CEC" w:rsidP="00550638">
      <w:pPr>
        <w:pStyle w:val="NormalWeb"/>
        <w:jc w:val="both"/>
        <w:rPr>
          <w:u w:val="single"/>
        </w:rPr>
      </w:pPr>
      <w:r w:rsidRPr="00D62972">
        <w:rPr>
          <w:u w:val="single"/>
        </w:rPr>
        <w:t>Como nos explica Petja Nyleänen del Institut</w:t>
      </w:r>
      <w:r w:rsidR="00A55FE1">
        <w:rPr>
          <w:u w:val="single"/>
        </w:rPr>
        <w:t>o Iberoamericano de Finlandia: “</w:t>
      </w:r>
      <w:r w:rsidRPr="00D62972">
        <w:rPr>
          <w:u w:val="single"/>
        </w:rPr>
        <w:t xml:space="preserve">Tenemos </w:t>
      </w:r>
      <w:r w:rsidRPr="00956980">
        <w:rPr>
          <w:rStyle w:val="Textoennegrita"/>
          <w:b w:val="0"/>
          <w:u w:val="single"/>
        </w:rPr>
        <w:t>una ley de educación que no se cambia</w:t>
      </w:r>
      <w:r w:rsidRPr="00D62972">
        <w:rPr>
          <w:u w:val="single"/>
        </w:rPr>
        <w:t xml:space="preserve"> comple</w:t>
      </w:r>
      <w:r w:rsidR="00A55FE1">
        <w:rPr>
          <w:u w:val="single"/>
        </w:rPr>
        <w:t>tamente cada cuatro u ocho años”</w:t>
      </w:r>
      <w:r w:rsidRPr="00D62972">
        <w:rPr>
          <w:u w:val="single"/>
        </w:rPr>
        <w:t>.</w:t>
      </w:r>
    </w:p>
    <w:p w:rsidR="00E73CEC" w:rsidRPr="00A55FE1" w:rsidRDefault="00E73CEC" w:rsidP="00550638">
      <w:pPr>
        <w:pStyle w:val="Ttulo3"/>
        <w:spacing w:line="240" w:lineRule="auto"/>
        <w:jc w:val="both"/>
        <w:rPr>
          <w:rFonts w:ascii="Times New Roman" w:hAnsi="Times New Roman" w:cs="Times New Roman"/>
          <w:color w:val="auto"/>
          <w:sz w:val="24"/>
          <w:szCs w:val="24"/>
        </w:rPr>
      </w:pPr>
      <w:r w:rsidRPr="00A55FE1">
        <w:rPr>
          <w:rStyle w:val="Textoennegrita"/>
          <w:rFonts w:ascii="Times New Roman" w:hAnsi="Times New Roman" w:cs="Times New Roman"/>
          <w:color w:val="auto"/>
          <w:sz w:val="24"/>
          <w:szCs w:val="24"/>
        </w:rPr>
        <w:t>La pieza clave</w:t>
      </w:r>
    </w:p>
    <w:p w:rsidR="00E73CEC" w:rsidRPr="00D62972" w:rsidRDefault="00E73CEC" w:rsidP="00550638">
      <w:pPr>
        <w:pStyle w:val="NormalWeb"/>
        <w:jc w:val="both"/>
        <w:rPr>
          <w:color w:val="FF0000"/>
          <w:u w:val="single"/>
        </w:rPr>
      </w:pPr>
      <w:r w:rsidRPr="00D62972">
        <w:rPr>
          <w:color w:val="FF0000"/>
          <w:u w:val="single"/>
        </w:rPr>
        <w:t>Todos los sistemas educativos de éxito se organizan alrededor de los profesores. También en el país nórdico ésta es la pieza que le da sentido al modelo. La formación y la organización del profesorado</w:t>
      </w:r>
      <w:r w:rsidR="00A55FE1">
        <w:rPr>
          <w:color w:val="FF0000"/>
          <w:u w:val="single"/>
        </w:rPr>
        <w:t xml:space="preserve"> es diferente. En primer lugar </w:t>
      </w:r>
      <w:r w:rsidR="00A55FE1" w:rsidRPr="00956980">
        <w:rPr>
          <w:color w:val="FF0000"/>
          <w:u w:val="single"/>
        </w:rPr>
        <w:t>“</w:t>
      </w:r>
      <w:r w:rsidRPr="00956980">
        <w:rPr>
          <w:rStyle w:val="Textoennegrita"/>
          <w:b w:val="0"/>
          <w:color w:val="FF0000"/>
          <w:u w:val="single"/>
        </w:rPr>
        <w:t>para ser maestro en Finlandia</w:t>
      </w:r>
      <w:r w:rsidRPr="00D62972">
        <w:rPr>
          <w:color w:val="FF0000"/>
          <w:u w:val="single"/>
        </w:rPr>
        <w:t xml:space="preserve"> la nota de corte en la Universidad es superior a 9 sobre 10, después tienen que realizar un máster</w:t>
      </w:r>
      <w:r w:rsidR="00A55FE1">
        <w:rPr>
          <w:color w:val="FF0000"/>
          <w:u w:val="single"/>
        </w:rPr>
        <w:t xml:space="preserve"> para poder optar a la docencia”</w:t>
      </w:r>
      <w:r w:rsidRPr="00D62972">
        <w:rPr>
          <w:color w:val="FF0000"/>
          <w:u w:val="single"/>
        </w:rPr>
        <w:t xml:space="preserve"> explica Melgarejo.</w:t>
      </w:r>
    </w:p>
    <w:p w:rsidR="00E73CEC" w:rsidRPr="00D62972" w:rsidRDefault="00E73CEC" w:rsidP="00550638">
      <w:pPr>
        <w:pStyle w:val="NormalWeb"/>
        <w:jc w:val="both"/>
        <w:rPr>
          <w:color w:val="FF0000"/>
          <w:u w:val="single"/>
        </w:rPr>
      </w:pPr>
      <w:r w:rsidRPr="00D62972">
        <w:rPr>
          <w:color w:val="FF0000"/>
          <w:u w:val="single"/>
        </w:rPr>
        <w:t>Y cuando acaban la carrera, ¿qué sucede? Para empezar, hay que explicar que no existe un sistema de oposiciones como el español. Allí cada municipio contrata al director del centro y éste contrata a los profesores. Cuando acaban su formación, los maestros se someten a procesos de formación abiertos, se anuncian vacantes y se seleccionan candidatos. Cada administración educativa es responsable de contratar a su profesor</w:t>
      </w:r>
      <w:r w:rsidR="00A55FE1">
        <w:rPr>
          <w:color w:val="FF0000"/>
          <w:u w:val="single"/>
        </w:rPr>
        <w:t>ado. Melgarejo nos explica que “</w:t>
      </w:r>
      <w:r w:rsidRPr="00956980">
        <w:rPr>
          <w:rStyle w:val="Textoennegrita"/>
          <w:b w:val="0"/>
          <w:color w:val="FF0000"/>
          <w:u w:val="single"/>
        </w:rPr>
        <w:t>allí no son funcionarios</w:t>
      </w:r>
      <w:r w:rsidRPr="00D62972">
        <w:rPr>
          <w:color w:val="FF0000"/>
          <w:u w:val="single"/>
        </w:rPr>
        <w:t xml:space="preserve"> como lo entendemos en España; se les puede despedi</w:t>
      </w:r>
      <w:r w:rsidR="00A55FE1">
        <w:rPr>
          <w:color w:val="FF0000"/>
          <w:u w:val="single"/>
        </w:rPr>
        <w:t>r, aunque no sea algo muy común”</w:t>
      </w:r>
      <w:r w:rsidRPr="00D62972">
        <w:rPr>
          <w:color w:val="FF0000"/>
          <w:u w:val="single"/>
        </w:rPr>
        <w:t>.</w:t>
      </w:r>
    </w:p>
    <w:p w:rsidR="00E73CEC" w:rsidRPr="00D62972" w:rsidRDefault="00E73CEC" w:rsidP="00550638">
      <w:pPr>
        <w:pStyle w:val="NormalWeb"/>
        <w:jc w:val="both"/>
        <w:rPr>
          <w:color w:val="FF0000"/>
          <w:u w:val="single"/>
        </w:rPr>
      </w:pPr>
      <w:r w:rsidRPr="00D62972">
        <w:rPr>
          <w:color w:val="FF0000"/>
          <w:u w:val="single"/>
        </w:rPr>
        <w:t>El objetivo de este procedimiento no es otro que seleccionar a aquellos profesores que estén mejor cualificados para cada puesto en particular. Y si un profesor no realiza su trabajo de forma satisfactor</w:t>
      </w:r>
      <w:r w:rsidR="00A55FE1">
        <w:rPr>
          <w:color w:val="FF0000"/>
          <w:u w:val="single"/>
        </w:rPr>
        <w:t>ia, pueden cambiarlo por otro. “</w:t>
      </w:r>
      <w:r w:rsidRPr="00D62972">
        <w:rPr>
          <w:color w:val="FF0000"/>
          <w:u w:val="single"/>
        </w:rPr>
        <w:t>La escuela pública en Finlandia es diferente</w:t>
      </w:r>
      <w:r w:rsidRPr="00956980">
        <w:rPr>
          <w:b/>
          <w:color w:val="FF0000"/>
          <w:u w:val="single"/>
        </w:rPr>
        <w:t xml:space="preserve">, </w:t>
      </w:r>
      <w:r w:rsidRPr="00956980">
        <w:rPr>
          <w:rStyle w:val="Textoennegrita"/>
          <w:b w:val="0"/>
          <w:color w:val="FF0000"/>
          <w:u w:val="single"/>
        </w:rPr>
        <w:t>es como si cada una fuera de gestión privada</w:t>
      </w:r>
      <w:r w:rsidR="00A55FE1">
        <w:rPr>
          <w:color w:val="FF0000"/>
          <w:u w:val="single"/>
        </w:rPr>
        <w:t>”</w:t>
      </w:r>
      <w:r w:rsidRPr="00D62972">
        <w:rPr>
          <w:color w:val="FF0000"/>
          <w:u w:val="single"/>
        </w:rPr>
        <w:t>.</w:t>
      </w:r>
    </w:p>
    <w:p w:rsidR="00E73CEC" w:rsidRPr="00D62972" w:rsidRDefault="00E73CEC" w:rsidP="00550638">
      <w:pPr>
        <w:pStyle w:val="NormalWeb"/>
        <w:jc w:val="both"/>
        <w:rPr>
          <w:color w:val="FF0000"/>
          <w:u w:val="single"/>
        </w:rPr>
      </w:pPr>
      <w:r w:rsidRPr="00D62972">
        <w:rPr>
          <w:color w:val="FF0000"/>
          <w:u w:val="single"/>
        </w:rPr>
        <w:t>Los profesores son pagados con el dinero que el Estado destina a cada colegio, que depende del número de alumnos que es capaz de atraer. Luego, cada centro organiza su presupuesto como estime conveniente. Con los años, al igual que en España, el salario de los maestros aumenta, aunque no mucho.</w:t>
      </w:r>
    </w:p>
    <w:p w:rsidR="00E73CEC" w:rsidRPr="00D62972" w:rsidRDefault="00E73CEC" w:rsidP="00550638">
      <w:pPr>
        <w:pStyle w:val="NormalWeb"/>
        <w:jc w:val="both"/>
        <w:rPr>
          <w:color w:val="FF0000"/>
          <w:u w:val="single"/>
        </w:rPr>
      </w:pPr>
      <w:r w:rsidRPr="00D62972">
        <w:rPr>
          <w:u w:val="single"/>
        </w:rPr>
        <w:t xml:space="preserve">En realidad, la diferencia con lo que cobran los maestros en nuestro país no es muy grande. De acuerdo a los datos de la OCDE, el sueldo medio anual en paridad de poder adquisitivo para un profesor español era en 2010 de </w:t>
      </w:r>
      <w:r w:rsidRPr="00956980">
        <w:rPr>
          <w:rStyle w:val="Textoennegrita"/>
          <w:b w:val="0"/>
          <w:u w:val="single"/>
        </w:rPr>
        <w:t>41.339 dólares, frente a los 37,886 dólares de los finlandeses</w:t>
      </w:r>
      <w:r w:rsidRPr="00956980">
        <w:rPr>
          <w:b/>
        </w:rPr>
        <w:t>.</w:t>
      </w:r>
      <w:r>
        <w:t xml:space="preserve"> </w:t>
      </w:r>
      <w:r w:rsidRPr="00D62972">
        <w:rPr>
          <w:color w:val="FF0000"/>
          <w:u w:val="single"/>
        </w:rPr>
        <w:t>Lo que sí cambia son los incentivos, tanto monetarios como de reconocimiento social y la forma en la que se premia a los buenos maestros.</w:t>
      </w:r>
    </w:p>
    <w:p w:rsidR="00E73CEC" w:rsidRPr="00CB3B06" w:rsidRDefault="00E73CEC" w:rsidP="00550638">
      <w:pPr>
        <w:pStyle w:val="NormalWeb"/>
        <w:jc w:val="both"/>
        <w:rPr>
          <w:color w:val="FF0000"/>
          <w:u w:val="single"/>
        </w:rPr>
      </w:pPr>
      <w:r>
        <w:t xml:space="preserve">En este sentido, lo que también nos diferencia es el empeño por continuar formando a estos profesores. </w:t>
      </w:r>
      <w:r w:rsidRPr="00CB3B06">
        <w:rPr>
          <w:color w:val="FF0000"/>
          <w:u w:val="single"/>
        </w:rPr>
        <w:t xml:space="preserve">Los </w:t>
      </w:r>
      <w:r w:rsidRPr="00956980">
        <w:rPr>
          <w:rStyle w:val="Textoennegrita"/>
          <w:b w:val="0"/>
          <w:color w:val="FF0000"/>
          <w:u w:val="single"/>
        </w:rPr>
        <w:t>colegios finlandeses buscan motivar a sus docentes</w:t>
      </w:r>
      <w:r w:rsidRPr="00CB3B06">
        <w:rPr>
          <w:color w:val="FF0000"/>
          <w:u w:val="single"/>
        </w:rPr>
        <w:t>, que están muy preocupados por mantenerse al día con los cambios de la sociedad y de su profesión. Los profe</w:t>
      </w:r>
      <w:r w:rsidR="00A55FE1">
        <w:rPr>
          <w:color w:val="FF0000"/>
          <w:u w:val="single"/>
        </w:rPr>
        <w:t>sores tienen una “formación permanente”</w:t>
      </w:r>
      <w:r w:rsidRPr="00CB3B06">
        <w:rPr>
          <w:color w:val="FF0000"/>
          <w:u w:val="single"/>
        </w:rPr>
        <w:t>. Esto no se consigue en un régimen de obligación sino mediante la negociación, el diálogo y un correcto sistema de incentivos.</w:t>
      </w:r>
    </w:p>
    <w:p w:rsidR="00E73CEC" w:rsidRPr="00CB3B06" w:rsidRDefault="00E73CEC" w:rsidP="00550638">
      <w:pPr>
        <w:pStyle w:val="NormalWeb"/>
        <w:jc w:val="both"/>
        <w:rPr>
          <w:color w:val="FF0000"/>
          <w:u w:val="single"/>
        </w:rPr>
      </w:pPr>
      <w:r w:rsidRPr="00CB3B06">
        <w:rPr>
          <w:color w:val="FF0000"/>
          <w:u w:val="single"/>
        </w:rPr>
        <w:lastRenderedPageBreak/>
        <w:t>Otra característica de este sistema es que la figura del profesor es muy respetada dentro de la sociedad finlandesa. Es una de las profesiones mejor consideradas del país y se preocupan de que continúe siendo así.</w:t>
      </w:r>
    </w:p>
    <w:p w:rsidR="00E73CEC" w:rsidRDefault="00E73CEC" w:rsidP="00550638">
      <w:pPr>
        <w:pStyle w:val="NormalWeb"/>
        <w:jc w:val="both"/>
        <w:rPr>
          <w:color w:val="FF0000"/>
          <w:u w:val="single"/>
        </w:rPr>
      </w:pPr>
      <w:r w:rsidRPr="00CB3B06">
        <w:rPr>
          <w:u w:val="single"/>
        </w:rPr>
        <w:t>La relación con el profesor es fundamental y resulta muy cercana</w:t>
      </w:r>
      <w:r>
        <w:t xml:space="preserve">, como nos cuenta Petja Nyleänen del Instituto Iberoamericano de Finlandia </w:t>
      </w:r>
      <w:r w:rsidR="00A55FE1">
        <w:rPr>
          <w:color w:val="FF0000"/>
          <w:u w:val="single"/>
        </w:rPr>
        <w:t>“</w:t>
      </w:r>
      <w:r w:rsidRPr="00CB3B06">
        <w:rPr>
          <w:color w:val="FF0000"/>
          <w:u w:val="single"/>
        </w:rPr>
        <w:t xml:space="preserve">Los </w:t>
      </w:r>
      <w:r w:rsidRPr="00956980">
        <w:rPr>
          <w:rStyle w:val="Textoennegrita"/>
          <w:b w:val="0"/>
          <w:color w:val="FF0000"/>
          <w:u w:val="single"/>
        </w:rPr>
        <w:t>profesores te dan bastante libertad</w:t>
      </w:r>
      <w:r w:rsidRPr="00956980">
        <w:rPr>
          <w:b/>
          <w:color w:val="FF0000"/>
          <w:u w:val="single"/>
        </w:rPr>
        <w:t>,</w:t>
      </w:r>
      <w:r w:rsidRPr="00CB3B06">
        <w:rPr>
          <w:color w:val="FF0000"/>
          <w:u w:val="single"/>
        </w:rPr>
        <w:t xml:space="preserve"> pero desde pequeño te dejan muy claro que el es</w:t>
      </w:r>
      <w:r w:rsidR="00A55FE1">
        <w:rPr>
          <w:color w:val="FF0000"/>
          <w:u w:val="single"/>
        </w:rPr>
        <w:t>tudio es para ti, no para ellos”</w:t>
      </w:r>
      <w:r w:rsidRPr="00CB3B06">
        <w:rPr>
          <w:color w:val="FF0000"/>
          <w:u w:val="single"/>
        </w:rPr>
        <w:t>.</w:t>
      </w:r>
    </w:p>
    <w:p w:rsidR="00A55FE1" w:rsidRPr="00A55FE1" w:rsidRDefault="00A55FE1" w:rsidP="00550638">
      <w:pPr>
        <w:pStyle w:val="NormalWeb"/>
        <w:jc w:val="both"/>
        <w:rPr>
          <w:u w:val="single"/>
        </w:rPr>
      </w:pPr>
      <w:r w:rsidRPr="00A55FE1">
        <w:rPr>
          <w:u w:val="single"/>
        </w:rPr>
        <w:t>El sistema educativo del país nórdico echa por tierra muchas de las soluciones habituales para solucionar los malos res</w:t>
      </w:r>
      <w:r>
        <w:rPr>
          <w:u w:val="single"/>
        </w:rPr>
        <w:t>ultados de la escuela española.</w:t>
      </w:r>
    </w:p>
    <w:p w:rsidR="00E73CEC" w:rsidRPr="00B17518" w:rsidRDefault="00E73CEC" w:rsidP="00550638">
      <w:pPr>
        <w:pStyle w:val="NormalWeb"/>
        <w:jc w:val="both"/>
      </w:pPr>
      <w:r>
        <w:t xml:space="preserve">- </w:t>
      </w:r>
      <w:r w:rsidRPr="00B17518">
        <w:rPr>
          <w:u w:val="single"/>
        </w:rPr>
        <w:t>Siete mitos</w:t>
      </w:r>
      <w:r>
        <w:rPr>
          <w:u w:val="single"/>
        </w:rPr>
        <w:t xml:space="preserve"> (son ocho)</w:t>
      </w:r>
      <w:r w:rsidRPr="00B17518">
        <w:rPr>
          <w:u w:val="single"/>
        </w:rPr>
        <w:t xml:space="preserve"> sobre el sistema educativo que Finlandia desmonta</w:t>
      </w:r>
      <w:r>
        <w:t xml:space="preserve"> (Libertad Digital - </w:t>
      </w:r>
      <w:r w:rsidRPr="00A55FE1">
        <w:rPr>
          <w:b/>
        </w:rPr>
        <w:t>6/10/13</w:t>
      </w:r>
      <w:r>
        <w:t>)</w:t>
      </w:r>
    </w:p>
    <w:p w:rsidR="00E73CEC" w:rsidRPr="002C64B3" w:rsidRDefault="00A55FE1"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(Por M. Muro)                                                                                   Lectura recomendada</w:t>
      </w:r>
    </w:p>
    <w:p w:rsidR="00E73CEC" w:rsidRPr="00B17518" w:rsidRDefault="00E73CEC" w:rsidP="00550638">
      <w:pPr>
        <w:pStyle w:val="NormalWeb"/>
        <w:jc w:val="both"/>
        <w:rPr>
          <w:u w:val="single"/>
        </w:rPr>
      </w:pPr>
      <w:r w:rsidRPr="00B17518">
        <w:rPr>
          <w:u w:val="single"/>
        </w:rPr>
        <w:t>Cuando se conocen los resultados de los informes sobre educación</w:t>
      </w:r>
      <w:r>
        <w:t xml:space="preserve"> y vemos que </w:t>
      </w:r>
      <w:r w:rsidRPr="00956980">
        <w:rPr>
          <w:rStyle w:val="Textoennegrita"/>
          <w:b w:val="0"/>
        </w:rPr>
        <w:t>España no se encuentra en los primeros</w:t>
      </w:r>
      <w:r>
        <w:t xml:space="preserve"> puestos, </w:t>
      </w:r>
      <w:r w:rsidRPr="00B17518">
        <w:rPr>
          <w:u w:val="single"/>
        </w:rPr>
        <w:t>surgen las preguntas del porqué. Políticos, medios de comunicación, comentaristas, padres, sindicatos... Todos ellos dan soluciones para remediar al enfermo crónico. El diagnóstico se repite año tras año: unos piden más horas de estudio, otros más deberes para lo</w:t>
      </w:r>
      <w:r w:rsidR="003713FE">
        <w:rPr>
          <w:u w:val="single"/>
        </w:rPr>
        <w:t>s niños, volver a la educación “de antes”</w:t>
      </w:r>
      <w:r w:rsidRPr="00B17518">
        <w:rPr>
          <w:u w:val="single"/>
        </w:rPr>
        <w:t>, dedicar más fondos, hacer más exigente el paso de curso, más horas de inglés, comenzar la educación obligatoria a una edad más temprana, poner más profesores por alumno,…</w:t>
      </w:r>
    </w:p>
    <w:p w:rsidR="00E73CEC" w:rsidRPr="00B17518" w:rsidRDefault="00E73CEC" w:rsidP="00550638">
      <w:pPr>
        <w:pStyle w:val="NormalWeb"/>
        <w:jc w:val="both"/>
        <w:rPr>
          <w:color w:val="FF0000"/>
          <w:u w:val="single"/>
        </w:rPr>
      </w:pPr>
      <w:r w:rsidRPr="00B17518">
        <w:rPr>
          <w:u w:val="single"/>
        </w:rPr>
        <w:t xml:space="preserve">Sin embargo, el </w:t>
      </w:r>
      <w:hyperlink r:id="rId252" w:history="1">
        <w:r w:rsidRPr="003713FE">
          <w:rPr>
            <w:rStyle w:val="Hipervnculo"/>
            <w:rFonts w:eastAsiaTheme="majorEastAsia"/>
            <w:color w:val="auto"/>
          </w:rPr>
          <w:t>sistema educativo finlandés</w:t>
        </w:r>
      </w:hyperlink>
      <w:r w:rsidRPr="00B17518">
        <w:rPr>
          <w:u w:val="single"/>
        </w:rPr>
        <w:t xml:space="preserve">, el mejor de Europa según sus resultados en PISA, demuestra año a año que muchas de esas respuestas son erróneas. Son sólo mitos, que en España nos parecen incuestionables, pero a los que un análisis detallado hace </w:t>
      </w:r>
      <w:r w:rsidRPr="00956980">
        <w:rPr>
          <w:rStyle w:val="Textoennegrita"/>
          <w:b w:val="0"/>
          <w:u w:val="single"/>
        </w:rPr>
        <w:t>caer por su propio peso</w:t>
      </w:r>
      <w:r>
        <w:t xml:space="preserve">. </w:t>
      </w:r>
      <w:r w:rsidRPr="00B17518">
        <w:rPr>
          <w:u w:val="single"/>
        </w:rPr>
        <w:t xml:space="preserve">Esto no quiere decir que su formato sea el único que garantice el éxito, pero sí desmonta algunas de esas verdades incuestionables que se repiten año tras año en tertulias y columnas de opinión. </w:t>
      </w:r>
      <w:r w:rsidRPr="00B17518">
        <w:rPr>
          <w:color w:val="FF0000"/>
          <w:u w:val="single"/>
        </w:rPr>
        <w:t>¿Qué hacemos diferente a ellos? ¿Cuál es la diferencia con la que ellos consiguen estar en el podio de la educación y nosotros no lo vemos ni de lejos?</w:t>
      </w:r>
    </w:p>
    <w:p w:rsidR="00E73CEC" w:rsidRDefault="00E73CEC" w:rsidP="00550638">
      <w:pPr>
        <w:pStyle w:val="NormalWeb"/>
        <w:jc w:val="both"/>
      </w:pPr>
      <w:r>
        <w:rPr>
          <w:rStyle w:val="Textoennegrita"/>
        </w:rPr>
        <w:t xml:space="preserve">1. </w:t>
      </w:r>
      <w:r w:rsidRPr="00B17518">
        <w:rPr>
          <w:rStyle w:val="Textoennegrita"/>
          <w:color w:val="FF0000"/>
        </w:rPr>
        <w:t>A la escuela con siete años</w:t>
      </w:r>
      <w:r>
        <w:rPr>
          <w:rStyle w:val="Textoennegrita"/>
        </w:rPr>
        <w:t>:</w:t>
      </w:r>
      <w:r>
        <w:t xml:space="preserve"> </w:t>
      </w:r>
      <w:r w:rsidRPr="00B17518">
        <w:rPr>
          <w:u w:val="single"/>
        </w:rPr>
        <w:t>los niños comienzan su educación con siete años</w:t>
      </w:r>
      <w:r>
        <w:t>. Como nos contaba Hannu Arvio, finlandés profesor en Institut Nordic y padre de dos hijos que han estudiado en su país y e</w:t>
      </w:r>
      <w:r w:rsidR="00956980">
        <w:t>n España “</w:t>
      </w:r>
      <w:r>
        <w:t xml:space="preserve">la enseñanza obligatoria empieza un año más tarde que aquí. Los alumnos aprenden contenidos parecidos, pero con un año más de edad. Por ejemplo, </w:t>
      </w:r>
      <w:r w:rsidRPr="00F31E89">
        <w:rPr>
          <w:u w:val="single"/>
        </w:rPr>
        <w:t>los niños finlandeses aprenden a leer generalmente a los siete años</w:t>
      </w:r>
      <w:r>
        <w:t xml:space="preserve">. </w:t>
      </w:r>
      <w:r w:rsidRPr="00F31E89">
        <w:rPr>
          <w:u w:val="single"/>
        </w:rPr>
        <w:t>Las asignaturas instrumentales tienen más peso en ciclo inicial, y luego, eso va disminuyendo dejando espacio a los asignaturas como lenguas</w:t>
      </w:r>
      <w:r>
        <w:t xml:space="preserve">. </w:t>
      </w:r>
      <w:r w:rsidRPr="00F31E89">
        <w:rPr>
          <w:u w:val="single"/>
        </w:rPr>
        <w:t>Resumiendo: empiezas con educación física, finés y matemáticas; y luego continúas con ciencia, historia y lenguas extranjeras.</w:t>
      </w:r>
      <w:r>
        <w:t xml:space="preserve"> </w:t>
      </w:r>
      <w:r w:rsidRPr="00F31E89">
        <w:rPr>
          <w:u w:val="single"/>
        </w:rPr>
        <w:t xml:space="preserve">Eso llega más tarde, </w:t>
      </w:r>
      <w:r w:rsidRPr="00956980">
        <w:rPr>
          <w:rStyle w:val="Textoennegrita"/>
          <w:b w:val="0"/>
          <w:u w:val="single"/>
        </w:rPr>
        <w:t>cuando el alumno tenga la madurez suficiente</w:t>
      </w:r>
      <w:r w:rsidR="00956980" w:rsidRPr="00956980">
        <w:rPr>
          <w:u w:val="single"/>
        </w:rPr>
        <w:t>”</w:t>
      </w:r>
      <w:r w:rsidRPr="00956980">
        <w:rPr>
          <w:b/>
        </w:rPr>
        <w:t>.</w:t>
      </w:r>
      <w:r>
        <w:t xml:space="preserve"> Está demostrado, entre otros por los informes PISA, que a pesar de empezar un año más tarde, </w:t>
      </w:r>
      <w:r w:rsidRPr="00956980">
        <w:rPr>
          <w:rStyle w:val="Textoennegrita"/>
          <w:b w:val="0"/>
        </w:rPr>
        <w:t>su nivel es superior</w:t>
      </w:r>
      <w:r>
        <w:rPr>
          <w:rStyle w:val="Textoennegrita"/>
        </w:rPr>
        <w:t xml:space="preserve"> </w:t>
      </w:r>
      <w:r>
        <w:t>al de prácticamente todos los países de la Unión Europea.</w:t>
      </w:r>
    </w:p>
    <w:p w:rsidR="00E73CEC" w:rsidRDefault="00E73CEC" w:rsidP="00550638">
      <w:pPr>
        <w:pStyle w:val="NormalWeb"/>
        <w:jc w:val="both"/>
      </w:pPr>
      <w:r>
        <w:rPr>
          <w:rStyle w:val="Textoennegrita"/>
        </w:rPr>
        <w:t xml:space="preserve">2. </w:t>
      </w:r>
      <w:r w:rsidRPr="00F31E89">
        <w:rPr>
          <w:rStyle w:val="Textoennegrita"/>
          <w:color w:val="FF0000"/>
        </w:rPr>
        <w:t>Menos deberes</w:t>
      </w:r>
      <w:r>
        <w:rPr>
          <w:rStyle w:val="Textoennegrita"/>
        </w:rPr>
        <w:t>:</w:t>
      </w:r>
      <w:r>
        <w:t xml:space="preserve"> </w:t>
      </w:r>
      <w:r w:rsidRPr="00F31E89">
        <w:rPr>
          <w:u w:val="single"/>
        </w:rPr>
        <w:t>además durante la primaria los niños no tienen muchos deberes para casa, lo que les permite realizar otras actividades</w:t>
      </w:r>
      <w:r>
        <w:t>.</w:t>
      </w:r>
    </w:p>
    <w:p w:rsidR="00E73CEC" w:rsidRPr="00F31E89" w:rsidRDefault="00E73CEC" w:rsidP="00550638">
      <w:pPr>
        <w:pStyle w:val="NormalWeb"/>
        <w:jc w:val="both"/>
        <w:rPr>
          <w:u w:val="single"/>
        </w:rPr>
      </w:pPr>
      <w:r>
        <w:rPr>
          <w:rStyle w:val="Textoennegrita"/>
        </w:rPr>
        <w:lastRenderedPageBreak/>
        <w:t xml:space="preserve">3. </w:t>
      </w:r>
      <w:r w:rsidRPr="00F31E89">
        <w:rPr>
          <w:rStyle w:val="Textoennegrita"/>
          <w:color w:val="FF0000"/>
        </w:rPr>
        <w:t>Inglés, con 9 años</w:t>
      </w:r>
      <w:r>
        <w:rPr>
          <w:rStyle w:val="Textoennegrita"/>
        </w:rPr>
        <w:t>:</w:t>
      </w:r>
      <w:r>
        <w:t xml:space="preserve"> </w:t>
      </w:r>
      <w:r w:rsidRPr="00F31E89">
        <w:rPr>
          <w:u w:val="single"/>
        </w:rPr>
        <w:t xml:space="preserve">en España, los niños comienzan a estudiar inglés desde muy pequeños. En Finlandia no es así. El primer idioma extranjero, normalmente </w:t>
      </w:r>
      <w:r w:rsidRPr="00956980">
        <w:rPr>
          <w:rStyle w:val="Textoennegrita"/>
          <w:b w:val="0"/>
          <w:u w:val="single"/>
        </w:rPr>
        <w:t>el inglés, se empieza a los 9 años</w:t>
      </w:r>
      <w:r w:rsidRPr="00956980">
        <w:rPr>
          <w:b/>
          <w:u w:val="single"/>
        </w:rPr>
        <w:t>.</w:t>
      </w:r>
      <w:r>
        <w:t xml:space="preserve"> </w:t>
      </w:r>
      <w:r w:rsidRPr="00F31E89">
        <w:rPr>
          <w:u w:val="single"/>
        </w:rPr>
        <w:t>Aun así, con 18 años los finlandeses suelen tener un nivel de inglés muy superior al de los jóvenes españoles</w:t>
      </w:r>
      <w:r>
        <w:t xml:space="preserve">. Petja Nyleänen, del </w:t>
      </w:r>
      <w:hyperlink r:id="rId253" w:history="1">
        <w:r w:rsidRPr="003713FE">
          <w:rPr>
            <w:rStyle w:val="Hipervnculo"/>
            <w:rFonts w:eastAsiaTheme="majorEastAsia"/>
            <w:color w:val="auto"/>
          </w:rPr>
          <w:t>Instituto Iberoamericano de Finlandia</w:t>
        </w:r>
      </w:hyperlink>
      <w:r w:rsidRPr="003713FE">
        <w:t>,</w:t>
      </w:r>
      <w:r>
        <w:t xml:space="preserve"> nos cuenta que esta diferencia puede ser causada por la diferente metodología que utilizan: </w:t>
      </w:r>
      <w:r w:rsidR="003713FE">
        <w:rPr>
          <w:u w:val="single"/>
        </w:rPr>
        <w:t>“</w:t>
      </w:r>
      <w:r w:rsidRPr="00F31E89">
        <w:rPr>
          <w:u w:val="single"/>
        </w:rPr>
        <w:t>No nos preocupamos tanto por la gramática al principio</w:t>
      </w:r>
      <w:r w:rsidRPr="00F31E89">
        <w:rPr>
          <w:rStyle w:val="Textoennegrita"/>
          <w:u w:val="single"/>
        </w:rPr>
        <w:t xml:space="preserve"> </w:t>
      </w:r>
      <w:r w:rsidRPr="00956980">
        <w:rPr>
          <w:rStyle w:val="Textoennegrita"/>
          <w:b w:val="0"/>
          <w:u w:val="single"/>
        </w:rPr>
        <w:t>sino por la conversación</w:t>
      </w:r>
      <w:r w:rsidRPr="00F31E89">
        <w:rPr>
          <w:u w:val="single"/>
        </w:rPr>
        <w:t xml:space="preserve">, los profesores son bilingües y todos han pasado varios años estudiando en países de habla inglesa. Además creo que al comenzar más tarde y tener algo más </w:t>
      </w:r>
      <w:r w:rsidR="003713FE">
        <w:rPr>
          <w:u w:val="single"/>
        </w:rPr>
        <w:t>de madurez, lo asimilamos mejor”</w:t>
      </w:r>
      <w:r w:rsidRPr="00F31E89">
        <w:rPr>
          <w:u w:val="single"/>
        </w:rPr>
        <w:t>.</w:t>
      </w:r>
    </w:p>
    <w:p w:rsidR="00E73CEC" w:rsidRPr="00F31E89" w:rsidRDefault="00E73CEC" w:rsidP="00550638">
      <w:pPr>
        <w:pStyle w:val="NormalWeb"/>
        <w:jc w:val="both"/>
        <w:rPr>
          <w:u w:val="single"/>
        </w:rPr>
      </w:pPr>
      <w:r>
        <w:rPr>
          <w:rStyle w:val="Textoennegrita"/>
        </w:rPr>
        <w:t xml:space="preserve">4. </w:t>
      </w:r>
      <w:r w:rsidRPr="00F31E89">
        <w:rPr>
          <w:rStyle w:val="Textoennegrita"/>
          <w:color w:val="FF0000"/>
        </w:rPr>
        <w:t>Menos horas en clase</w:t>
      </w:r>
      <w:r>
        <w:rPr>
          <w:rStyle w:val="Textoennegrita"/>
        </w:rPr>
        <w:t>:</w:t>
      </w:r>
      <w:r>
        <w:t xml:space="preserve"> aunque pueda parecer que para conseguir estos niveles de educación pasan muchas más horas en el colegio, no es así. </w:t>
      </w:r>
      <w:r w:rsidRPr="00F31E89">
        <w:rPr>
          <w:u w:val="single"/>
        </w:rPr>
        <w:t>Hay menos</w:t>
      </w:r>
      <w:r w:rsidRPr="00F31E89">
        <w:rPr>
          <w:rStyle w:val="Textoennegrita"/>
          <w:u w:val="single"/>
        </w:rPr>
        <w:t xml:space="preserve"> </w:t>
      </w:r>
      <w:r w:rsidRPr="00956980">
        <w:rPr>
          <w:rStyle w:val="Textoennegrita"/>
          <w:b w:val="0"/>
          <w:u w:val="single"/>
        </w:rPr>
        <w:t>horas lectivas que en España</w:t>
      </w:r>
      <w:r w:rsidRPr="00F31E89">
        <w:rPr>
          <w:rStyle w:val="Textoennegrita"/>
          <w:u w:val="single"/>
        </w:rPr>
        <w:t>.</w:t>
      </w:r>
      <w:r w:rsidRPr="00F31E89">
        <w:rPr>
          <w:u w:val="single"/>
        </w:rPr>
        <w:t xml:space="preserve"> Como n</w:t>
      </w:r>
      <w:r w:rsidR="003713FE">
        <w:rPr>
          <w:u w:val="single"/>
        </w:rPr>
        <w:t>os cuenta Nyleänen, “</w:t>
      </w:r>
      <w:r w:rsidRPr="00F31E89">
        <w:rPr>
          <w:u w:val="single"/>
        </w:rPr>
        <w:t>los niños tienen menos horas lectivas que en otros países. En primaria había</w:t>
      </w:r>
      <w:r w:rsidR="003713FE">
        <w:rPr>
          <w:u w:val="single"/>
        </w:rPr>
        <w:t xml:space="preserve"> días que sólo tenía tres horas”</w:t>
      </w:r>
      <w:r w:rsidRPr="00F31E89">
        <w:rPr>
          <w:u w:val="single"/>
        </w:rPr>
        <w:t>. En total, suman 608 horas lectivas en primaria, frente a las 875 horas de España.</w:t>
      </w:r>
    </w:p>
    <w:p w:rsidR="00E73CEC" w:rsidRPr="00F31E89" w:rsidRDefault="00E73CEC" w:rsidP="00550638">
      <w:pPr>
        <w:pStyle w:val="NormalWeb"/>
        <w:jc w:val="both"/>
        <w:rPr>
          <w:u w:val="single"/>
        </w:rPr>
      </w:pPr>
      <w:r>
        <w:rPr>
          <w:rStyle w:val="Textoennegrita"/>
        </w:rPr>
        <w:t xml:space="preserve">5. </w:t>
      </w:r>
      <w:r w:rsidRPr="00F31E89">
        <w:rPr>
          <w:rStyle w:val="Textoennegrita"/>
          <w:color w:val="FF0000"/>
        </w:rPr>
        <w:t>Adiós a la memorización</w:t>
      </w:r>
      <w:r>
        <w:rPr>
          <w:rStyle w:val="Textoennegrita"/>
        </w:rPr>
        <w:t>:</w:t>
      </w:r>
      <w:r>
        <w:t xml:space="preserve"> </w:t>
      </w:r>
      <w:r w:rsidRPr="00F31E89">
        <w:rPr>
          <w:u w:val="single"/>
        </w:rPr>
        <w:t>la metodología finlandesa ha abandonado las memorizaciones típicas del sistema educativo de la Ilustración y hace énfasis en la discusión y en la reflexión.</w:t>
      </w:r>
      <w:r>
        <w:t xml:space="preserve"> No es una mera cuestión de memorizar y después transmitir información, sino que, como explica Nyleänen, </w:t>
      </w:r>
      <w:r w:rsidR="003713FE">
        <w:rPr>
          <w:u w:val="single"/>
        </w:rPr>
        <w:t>“</w:t>
      </w:r>
      <w:r w:rsidRPr="00F31E89">
        <w:rPr>
          <w:u w:val="single"/>
        </w:rPr>
        <w:t xml:space="preserve">desde pequeño </w:t>
      </w:r>
      <w:r w:rsidRPr="00956980">
        <w:rPr>
          <w:rStyle w:val="Textoennegrita"/>
          <w:b w:val="0"/>
          <w:u w:val="single"/>
        </w:rPr>
        <w:t>te enseñan a aprender a pensar</w:t>
      </w:r>
      <w:r w:rsidR="003713FE">
        <w:rPr>
          <w:u w:val="single"/>
        </w:rPr>
        <w:t>”. En las clases normales, “</w:t>
      </w:r>
      <w:r w:rsidRPr="00F31E89">
        <w:rPr>
          <w:u w:val="single"/>
        </w:rPr>
        <w:t>hay unos 20 alumnos, pero luego en las optativas y alg</w:t>
      </w:r>
      <w:r w:rsidR="003713FE">
        <w:rPr>
          <w:u w:val="single"/>
        </w:rPr>
        <w:t>unas otras había 8 o 9 personas”</w:t>
      </w:r>
      <w:r w:rsidRPr="00F31E89">
        <w:rPr>
          <w:u w:val="single"/>
        </w:rPr>
        <w:t>.</w:t>
      </w:r>
    </w:p>
    <w:p w:rsidR="00E73CEC" w:rsidRPr="00F31E89" w:rsidRDefault="00E73CEC" w:rsidP="00550638">
      <w:pPr>
        <w:pStyle w:val="NormalWeb"/>
        <w:jc w:val="both"/>
        <w:rPr>
          <w:u w:val="single"/>
        </w:rPr>
      </w:pPr>
      <w:r>
        <w:rPr>
          <w:rStyle w:val="Textoennegrita"/>
        </w:rPr>
        <w:t xml:space="preserve">6. </w:t>
      </w:r>
      <w:r w:rsidRPr="00F31E89">
        <w:rPr>
          <w:rStyle w:val="Textoennegrita"/>
          <w:color w:val="FF0000"/>
        </w:rPr>
        <w:t>A cada uno lo suyo</w:t>
      </w:r>
      <w:r>
        <w:rPr>
          <w:rStyle w:val="Textoennegrita"/>
        </w:rPr>
        <w:t xml:space="preserve">: </w:t>
      </w:r>
      <w:r>
        <w:t xml:space="preserve">por otro lado está su organización, como nos indica </w:t>
      </w:r>
      <w:r w:rsidRPr="00956980">
        <w:rPr>
          <w:rStyle w:val="Textoennegrita"/>
          <w:b w:val="0"/>
        </w:rPr>
        <w:t>Javier Melgarejo</w:t>
      </w:r>
      <w:r>
        <w:t xml:space="preserve">, licenciado en Psicología y doctorado en Pedagogía: </w:t>
      </w:r>
      <w:r w:rsidR="003713FE">
        <w:rPr>
          <w:u w:val="single"/>
        </w:rPr>
        <w:t>“</w:t>
      </w:r>
      <w:r w:rsidRPr="00F31E89">
        <w:rPr>
          <w:u w:val="single"/>
        </w:rPr>
        <w:t xml:space="preserve">En Finlandia el que toma la decisión sobre lo que se va a hacer es el municipio, y luego el profesor, por lo tanto hay una autonomía enorme que permite que </w:t>
      </w:r>
      <w:r w:rsidRPr="00956980">
        <w:rPr>
          <w:rStyle w:val="Textoennegrita"/>
          <w:b w:val="0"/>
          <w:u w:val="single"/>
        </w:rPr>
        <w:t>la educación se centre en las necesidades de los alumnos.</w:t>
      </w:r>
      <w:r>
        <w:t xml:space="preserve"> En España tenemos la sensación de que si todos somos iguales y hacemos el mismo plan será mejor, pero puede que no, hay que adaptars</w:t>
      </w:r>
      <w:r w:rsidR="003713FE">
        <w:t>e a las necesidades de cada uno”</w:t>
      </w:r>
      <w:r>
        <w:t xml:space="preserve"> y es lo que hace Finlandia. </w:t>
      </w:r>
      <w:r w:rsidR="003713FE">
        <w:rPr>
          <w:u w:val="single"/>
        </w:rPr>
        <w:t>“</w:t>
      </w:r>
      <w:r w:rsidRPr="00F31E89">
        <w:rPr>
          <w:u w:val="single"/>
        </w:rPr>
        <w:t>Aunque parezca mentira salen muy bien preparados y de manera muy</w:t>
      </w:r>
      <w:r w:rsidR="003713FE">
        <w:rPr>
          <w:u w:val="single"/>
        </w:rPr>
        <w:t xml:space="preserve"> homogénea”</w:t>
      </w:r>
      <w:r w:rsidRPr="00F31E89">
        <w:rPr>
          <w:u w:val="single"/>
        </w:rPr>
        <w:t>.</w:t>
      </w:r>
    </w:p>
    <w:p w:rsidR="00E73CEC" w:rsidRPr="00F31E89" w:rsidRDefault="00E73CEC" w:rsidP="00550638">
      <w:pPr>
        <w:pStyle w:val="NormalWeb"/>
        <w:jc w:val="both"/>
        <w:rPr>
          <w:u w:val="single"/>
        </w:rPr>
      </w:pPr>
      <w:r>
        <w:rPr>
          <w:rStyle w:val="Textoennegrita"/>
        </w:rPr>
        <w:t xml:space="preserve">7. </w:t>
      </w:r>
      <w:r w:rsidRPr="00F31E89">
        <w:rPr>
          <w:rStyle w:val="Textoennegrita"/>
          <w:color w:val="FF0000"/>
        </w:rPr>
        <w:t>¿Todos a la universidad?</w:t>
      </w:r>
      <w:r w:rsidRPr="00F31E89">
        <w:rPr>
          <w:color w:val="FF0000"/>
        </w:rPr>
        <w:t xml:space="preserve"> </w:t>
      </w:r>
      <w:r w:rsidRPr="00F31E89">
        <w:rPr>
          <w:u w:val="single"/>
        </w:rPr>
        <w:t>Otra de las características que nos diferencian de los finlandeses se encuentra al finalizar la educación primaria. Ellos tienen muy claro que cada persona es buena en lo suyo y por ello</w:t>
      </w:r>
      <w:r w:rsidRPr="00F31E89">
        <w:rPr>
          <w:rStyle w:val="Textoennegrita"/>
          <w:u w:val="single"/>
        </w:rPr>
        <w:t xml:space="preserve"> </w:t>
      </w:r>
      <w:r w:rsidRPr="002852EC">
        <w:rPr>
          <w:rStyle w:val="Textoennegrita"/>
          <w:b w:val="0"/>
          <w:u w:val="single"/>
        </w:rPr>
        <w:t>cada uno dirige su formación donde puede ser mejor.</w:t>
      </w:r>
      <w:r>
        <w:t xml:space="preserve"> </w:t>
      </w:r>
      <w:r w:rsidRPr="00F31E89">
        <w:rPr>
          <w:u w:val="single"/>
        </w:rPr>
        <w:t>Puedes comenzar la secundaria, que ellos los ven como una formación más teórica, o la formación profesional. Cuando optan por los estudios superiores, pueden escoger entre la universidad o la escuela politécnica. En Finlandia</w:t>
      </w:r>
      <w:r w:rsidRPr="001151D5">
        <w:rPr>
          <w:u w:val="single"/>
        </w:rPr>
        <w:t xml:space="preserve"> </w:t>
      </w:r>
      <w:r w:rsidRPr="001151D5">
        <w:rPr>
          <w:rStyle w:val="Textoennegrita"/>
          <w:b w:val="0"/>
          <w:u w:val="single"/>
        </w:rPr>
        <w:t>no hay esa sensación</w:t>
      </w:r>
      <w:r w:rsidRPr="001151D5">
        <w:rPr>
          <w:rStyle w:val="Textoennegrita"/>
          <w:u w:val="single"/>
        </w:rPr>
        <w:t xml:space="preserve"> </w:t>
      </w:r>
      <w:r w:rsidRPr="00F31E89">
        <w:rPr>
          <w:u w:val="single"/>
        </w:rPr>
        <w:t>de que todos tienen que ir a la universidad. Cada uno hace lo que mejor se le da.</w:t>
      </w:r>
    </w:p>
    <w:p w:rsidR="00E73CEC" w:rsidRPr="003713FE" w:rsidRDefault="00E73CEC" w:rsidP="00550638">
      <w:pPr>
        <w:pStyle w:val="NormalWeb"/>
        <w:jc w:val="both"/>
      </w:pPr>
      <w:r>
        <w:rPr>
          <w:rStyle w:val="Textoennegrita"/>
        </w:rPr>
        <w:t xml:space="preserve">8. </w:t>
      </w:r>
      <w:r w:rsidRPr="00F31E89">
        <w:rPr>
          <w:rStyle w:val="Textoennegrita"/>
          <w:color w:val="FF0000"/>
        </w:rPr>
        <w:t>El gran mito: el dinero</w:t>
      </w:r>
      <w:r>
        <w:rPr>
          <w:rStyle w:val="Textoennegrita"/>
        </w:rPr>
        <w:t>:</w:t>
      </w:r>
      <w:r>
        <w:t xml:space="preserve"> éste es el último mito, quizás el que más se repite. El que lo resuelve todo según algunos. El problema de la educación española sería la falta de fondos, lo mal que se paga a los maestros o la cantidad de estudiantes por clases. Pues bien, con los datos en la mano, no se sostiene. Como explicamos en </w:t>
      </w:r>
      <w:hyperlink r:id="rId254" w:history="1">
        <w:r w:rsidRPr="003713FE">
          <w:rPr>
            <w:rStyle w:val="Hipervnculo"/>
            <w:rFonts w:eastAsiaTheme="majorEastAsia"/>
            <w:color w:val="auto"/>
          </w:rPr>
          <w:t>nuestro artículo de este sábado</w:t>
        </w:r>
      </w:hyperlink>
      <w:r w:rsidRPr="003713FE">
        <w:t xml:space="preserve">, de acuerdo a los datos de la OCDE, </w:t>
      </w:r>
      <w:r w:rsidRPr="003713FE">
        <w:rPr>
          <w:u w:val="single"/>
        </w:rPr>
        <w:t>el sueldo medio anual en paridad de poder adquisitivo para un profesor español era en 2010 de </w:t>
      </w:r>
      <w:r w:rsidRPr="002852EC">
        <w:rPr>
          <w:rStyle w:val="Textoennegrita"/>
          <w:b w:val="0"/>
          <w:u w:val="single"/>
        </w:rPr>
        <w:t>41.339 dólares, frente a los 37,886 dólares de los finlandeses</w:t>
      </w:r>
      <w:r w:rsidRPr="003713FE">
        <w:rPr>
          <w:u w:val="single"/>
        </w:rPr>
        <w:t>. Y el gasto por alumno era de</w:t>
      </w:r>
      <w:hyperlink r:id="rId255" w:history="1">
        <w:r w:rsidRPr="003713FE">
          <w:rPr>
            <w:rStyle w:val="Hipervnculo"/>
            <w:rFonts w:eastAsiaTheme="majorEastAsia"/>
            <w:color w:val="auto"/>
          </w:rPr>
          <w:t xml:space="preserve"> </w:t>
        </w:r>
      </w:hyperlink>
      <w:hyperlink r:id="rId256" w:history="1">
        <w:r w:rsidRPr="003713FE">
          <w:rPr>
            <w:rStyle w:val="Hipervnculo"/>
            <w:rFonts w:eastAsiaTheme="majorEastAsia"/>
            <w:color w:val="auto"/>
          </w:rPr>
          <w:t>9.162 dólares por estudiante</w:t>
        </w:r>
      </w:hyperlink>
      <w:r w:rsidRPr="003713FE">
        <w:rPr>
          <w:rStyle w:val="Textoennegrita"/>
          <w:u w:val="single"/>
        </w:rPr>
        <w:t xml:space="preserve"> </w:t>
      </w:r>
      <w:r w:rsidRPr="002852EC">
        <w:rPr>
          <w:rStyle w:val="Textoennegrita"/>
          <w:b w:val="0"/>
          <w:u w:val="single"/>
        </w:rPr>
        <w:t>de secundaria</w:t>
      </w:r>
      <w:r w:rsidRPr="003713FE">
        <w:rPr>
          <w:u w:val="single"/>
        </w:rPr>
        <w:t xml:space="preserve"> mientras que en el mismo año, España gastaba 9.608 dólares por alumno</w:t>
      </w:r>
      <w:r w:rsidRPr="003713FE">
        <w:t xml:space="preserve">. </w:t>
      </w:r>
      <w:r w:rsidRPr="003713FE">
        <w:rPr>
          <w:u w:val="single"/>
        </w:rPr>
        <w:t>Y en cuanto a la</w:t>
      </w:r>
      <w:hyperlink r:id="rId257" w:history="1">
        <w:r w:rsidRPr="003713FE">
          <w:rPr>
            <w:rStyle w:val="Hipervnculo"/>
            <w:rFonts w:eastAsiaTheme="majorEastAsia"/>
            <w:color w:val="auto"/>
          </w:rPr>
          <w:t xml:space="preserve"> ratio alumnos/profesor</w:t>
        </w:r>
      </w:hyperlink>
      <w:r w:rsidRPr="003713FE">
        <w:rPr>
          <w:u w:val="single"/>
        </w:rPr>
        <w:t xml:space="preserve">, en enseñanza primaria es de 13,6 </w:t>
      </w:r>
      <w:r w:rsidRPr="003713FE">
        <w:rPr>
          <w:u w:val="single"/>
        </w:rPr>
        <w:lastRenderedPageBreak/>
        <w:t xml:space="preserve">en Finlandia por 13,2 en España; en secundaria, nos ganan por un poco 9,3 a 10,3. </w:t>
      </w:r>
      <w:r w:rsidRPr="003713FE">
        <w:t>Pero no parecen diferencias significativas para explicar la diferencia de resultados.</w:t>
      </w:r>
    </w:p>
    <w:p w:rsidR="003713FE" w:rsidRPr="003713FE" w:rsidRDefault="003713FE" w:rsidP="00550638">
      <w:pPr>
        <w:pStyle w:val="NormalWeb"/>
        <w:jc w:val="both"/>
        <w:rPr>
          <w:u w:val="single"/>
        </w:rPr>
      </w:pPr>
      <w:r>
        <w:rPr>
          <w:u w:val="single"/>
        </w:rPr>
        <w:t xml:space="preserve">Otra historia de éxito educativo muy sugerente </w:t>
      </w:r>
    </w:p>
    <w:p w:rsidR="002C64B3" w:rsidRDefault="002C64B3"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5E5C">
        <w:rPr>
          <w:rFonts w:ascii="Times New Roman" w:hAnsi="Times New Roman" w:cs="Times New Roman"/>
          <w:sz w:val="24"/>
          <w:szCs w:val="24"/>
          <w:u w:val="single"/>
        </w:rPr>
        <w:t>La clave del éxito de la escuela más sorprendente de Nueva York</w:t>
      </w:r>
      <w:r>
        <w:rPr>
          <w:rFonts w:ascii="Times New Roman" w:hAnsi="Times New Roman" w:cs="Times New Roman"/>
          <w:sz w:val="24"/>
          <w:szCs w:val="24"/>
        </w:rPr>
        <w:t xml:space="preserve"> (El Confidencial - </w:t>
      </w:r>
      <w:r w:rsidRPr="005D5E5C">
        <w:rPr>
          <w:rFonts w:ascii="Times New Roman" w:hAnsi="Times New Roman" w:cs="Times New Roman"/>
          <w:b/>
          <w:sz w:val="24"/>
          <w:szCs w:val="24"/>
        </w:rPr>
        <w:t>9/10/13</w:t>
      </w:r>
      <w:r>
        <w:rPr>
          <w:rFonts w:ascii="Times New Roman" w:hAnsi="Times New Roman" w:cs="Times New Roman"/>
          <w:sz w:val="24"/>
          <w:szCs w:val="24"/>
        </w:rPr>
        <w:t>)</w:t>
      </w:r>
    </w:p>
    <w:p w:rsidR="002C64B3" w:rsidRDefault="002C64B3"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(Por Héctor Barnés)</w:t>
      </w:r>
      <w:r w:rsidR="003713FE">
        <w:rPr>
          <w:rFonts w:ascii="Times New Roman" w:hAnsi="Times New Roman" w:cs="Times New Roman"/>
          <w:sz w:val="24"/>
          <w:szCs w:val="24"/>
        </w:rPr>
        <w:t xml:space="preserve">                                                                          Lectura recomendada</w:t>
      </w:r>
    </w:p>
    <w:p w:rsidR="002C64B3" w:rsidRPr="003713FE" w:rsidRDefault="002C64B3" w:rsidP="00550638">
      <w:pPr>
        <w:pStyle w:val="NormalWeb"/>
        <w:jc w:val="both"/>
      </w:pPr>
      <w:r>
        <w:t xml:space="preserve">Los devastadores datos expuestos por </w:t>
      </w:r>
      <w:hyperlink r:id="rId258" w:history="1">
        <w:r w:rsidRPr="003713FE">
          <w:rPr>
            <w:rStyle w:val="Hipervnculo"/>
            <w:rFonts w:eastAsiaTheme="majorEastAsia"/>
            <w:color w:val="auto"/>
          </w:rPr>
          <w:t>el informe Pisa de adultos realizado por la OCDE</w:t>
        </w:r>
      </w:hyperlink>
      <w:r w:rsidRPr="003713FE">
        <w:t xml:space="preserve">, según los cuales sólo uno de cada tres españoles sabe leer un texto largo o comparar ofertas hacen aún más relevantes las </w:t>
      </w:r>
      <w:r w:rsidRPr="002852EC">
        <w:rPr>
          <w:rStyle w:val="Textoennegrita"/>
          <w:b w:val="0"/>
        </w:rPr>
        <w:t>historias de éxito educativo</w:t>
      </w:r>
      <w:r w:rsidRPr="003713FE">
        <w:t xml:space="preserve"> que afloran en cada uno de los </w:t>
      </w:r>
      <w:hyperlink r:id="rId259" w:history="1">
        <w:r w:rsidRPr="003713FE">
          <w:rPr>
            <w:rStyle w:val="Hipervnculo"/>
            <w:rFonts w:eastAsiaTheme="majorEastAsia"/>
            <w:color w:val="auto"/>
          </w:rPr>
          <w:t>rincones del planeta</w:t>
        </w:r>
      </w:hyperlink>
      <w:r w:rsidRPr="003713FE">
        <w:t>. </w:t>
      </w:r>
    </w:p>
    <w:p w:rsidR="002C64B3" w:rsidRPr="00F50E89" w:rsidRDefault="002C64B3" w:rsidP="00550638">
      <w:pPr>
        <w:pStyle w:val="NormalWeb"/>
        <w:jc w:val="both"/>
        <w:rPr>
          <w:u w:val="single"/>
        </w:rPr>
      </w:pPr>
      <w:r w:rsidRPr="00F50E89">
        <w:rPr>
          <w:u w:val="single"/>
        </w:rPr>
        <w:t xml:space="preserve">Una  de ellas es la de la Young Women’s Leadership School (Escuela de Liderazgo Femenino) situada en el distrito neoyorquino de Brooklyn y dirigida por </w:t>
      </w:r>
      <w:r w:rsidRPr="002852EC">
        <w:rPr>
          <w:rStyle w:val="Textoennegrita"/>
          <w:b w:val="0"/>
          <w:u w:val="single"/>
        </w:rPr>
        <w:t>Talana Bradley</w:t>
      </w:r>
      <w:r w:rsidRPr="00F50E89">
        <w:rPr>
          <w:u w:val="single"/>
        </w:rPr>
        <w:t xml:space="preserve"> desde 2008</w:t>
      </w:r>
      <w:r>
        <w:t xml:space="preserve">, que visitó ayer Madrid para explicar en una nueva edición de los Diálogos de Educación organizados por la COFAPA (Confederación de Padres de Alumnos) cómo </w:t>
      </w:r>
      <w:r w:rsidRPr="00F50E89">
        <w:rPr>
          <w:u w:val="single"/>
        </w:rPr>
        <w:t xml:space="preserve">ha conseguido que </w:t>
      </w:r>
      <w:r w:rsidRPr="002852EC">
        <w:rPr>
          <w:rStyle w:val="Textoennegrita"/>
          <w:b w:val="0"/>
          <w:u w:val="single"/>
        </w:rPr>
        <w:t>el 56% de las alumnas de la YYWLS alcancen la máxima calificación</w:t>
      </w:r>
      <w:r w:rsidRPr="00F50E89">
        <w:rPr>
          <w:u w:val="single"/>
        </w:rPr>
        <w:t xml:space="preserve"> del Departamento de Educación de Nueva York</w:t>
      </w:r>
      <w:r>
        <w:t xml:space="preserve"> y que todas ellas accedan a la universidad, en </w:t>
      </w:r>
      <w:r w:rsidRPr="00F50E89">
        <w:rPr>
          <w:u w:val="single"/>
        </w:rPr>
        <w:t>un país en el que sólo el 24% de los nacidos en zonas pobres gozan de educación superior.</w:t>
      </w:r>
    </w:p>
    <w:p w:rsidR="002C64B3" w:rsidRPr="00F50E89" w:rsidRDefault="00D44948" w:rsidP="00550638">
      <w:pPr>
        <w:pStyle w:val="NormalWeb"/>
        <w:jc w:val="both"/>
        <w:rPr>
          <w:u w:val="single"/>
        </w:rPr>
      </w:pPr>
      <w:r>
        <w:t>Como explica Bra</w:t>
      </w:r>
      <w:r w:rsidR="002C64B3">
        <w:t xml:space="preserve">dley a </w:t>
      </w:r>
      <w:r w:rsidR="002C64B3">
        <w:rPr>
          <w:rStyle w:val="nfasis"/>
          <w:rFonts w:eastAsiaTheme="majorEastAsia"/>
        </w:rPr>
        <w:t>El Confidencial</w:t>
      </w:r>
      <w:r w:rsidR="002C64B3">
        <w:t xml:space="preserve">, sus alumnas tienen que afrontar tanto los problemas que afectan a todas las jóvenes de Occidente, como es “la presión de los medios de  comunicación en su imagen, que las empuja a reforzar los mismos estereotipos”, como otros añadidos, como son </w:t>
      </w:r>
      <w:r w:rsidR="002C64B3" w:rsidRPr="002852EC">
        <w:rPr>
          <w:rStyle w:val="Textoennegrita"/>
          <w:b w:val="0"/>
          <w:u w:val="single"/>
        </w:rPr>
        <w:t>los problemas económicos de muchas de sus alumnas</w:t>
      </w:r>
      <w:r w:rsidR="002C64B3" w:rsidRPr="00F50E89">
        <w:rPr>
          <w:u w:val="single"/>
        </w:rPr>
        <w:t>, que en algunos casos, “tienen que ser alimentadas en el colegio porque no tienen qué comer en casa”.</w:t>
      </w:r>
      <w:r w:rsidR="002C64B3">
        <w:t xml:space="preserve"> </w:t>
      </w:r>
      <w:r w:rsidR="002C64B3" w:rsidRPr="00F50E89">
        <w:rPr>
          <w:u w:val="single"/>
        </w:rPr>
        <w:t>El centro forma para de la Young Women’s Leadership’s Network, una iniciativa surgida para apoyar a las chicas en situaciones más desfavorecidas.</w:t>
      </w:r>
    </w:p>
    <w:p w:rsidR="002C64B3" w:rsidRPr="00F50E89" w:rsidRDefault="002C64B3" w:rsidP="00550638">
      <w:pPr>
        <w:pStyle w:val="NormalWeb"/>
        <w:jc w:val="both"/>
        <w:rPr>
          <w:color w:val="FF0000"/>
          <w:u w:val="single"/>
        </w:rPr>
      </w:pPr>
      <w:r w:rsidRPr="00F50E89">
        <w:rPr>
          <w:u w:val="single"/>
        </w:rPr>
        <w:t xml:space="preserve">El objetivo final es que todas las alumnas lleguen a la universidad y disfruten de “una educación excelente”. Con el hándicap de haber abierto sus puertas en un distrito como Brooklyn, donde el 11% de la población se encuentra por debajo del umbral de la pobreza, un porcentaje que se eleva al 34% en el caso de las menores de 16 años. Como indica la directora, </w:t>
      </w:r>
      <w:r w:rsidRPr="00F50E89">
        <w:rPr>
          <w:color w:val="FF0000"/>
          <w:u w:val="single"/>
        </w:rPr>
        <w:t>lo importante es “que tu código postal no determine tu futuro”.</w:t>
      </w:r>
    </w:p>
    <w:p w:rsidR="002C64B3" w:rsidRPr="003713FE" w:rsidRDefault="002C64B3" w:rsidP="00550638">
      <w:pPr>
        <w:pStyle w:val="NormalWeb"/>
        <w:jc w:val="both"/>
        <w:rPr>
          <w:b/>
        </w:rPr>
      </w:pPr>
      <w:r w:rsidRPr="003713FE">
        <w:rPr>
          <w:rStyle w:val="Textoennegrita"/>
          <w:b w:val="0"/>
        </w:rPr>
        <w:t>La separación entre sexos, clave</w:t>
      </w:r>
    </w:p>
    <w:p w:rsidR="002C64B3" w:rsidRPr="00F50E89" w:rsidRDefault="002C64B3" w:rsidP="00550638">
      <w:pPr>
        <w:pStyle w:val="NormalWeb"/>
        <w:jc w:val="both"/>
        <w:rPr>
          <w:color w:val="FF0000"/>
          <w:u w:val="single"/>
        </w:rPr>
      </w:pPr>
      <w:r w:rsidRPr="00F50E89">
        <w:rPr>
          <w:color w:val="FF0000"/>
          <w:u w:val="single"/>
        </w:rPr>
        <w:t xml:space="preserve">Un milagro que parece aún mayor dado que la YMLS es una escuela pública, en la que la mayor parte de la inversión proviene del gobierno federal, si bien algunos programas concretos gozan de otro tipo de financiación. No obstante, Bradley recuerda que </w:t>
      </w:r>
      <w:r w:rsidRPr="002852EC">
        <w:rPr>
          <w:color w:val="FF0000"/>
          <w:u w:val="single"/>
        </w:rPr>
        <w:t>“</w:t>
      </w:r>
      <w:r w:rsidRPr="002852EC">
        <w:rPr>
          <w:rStyle w:val="Textoennegrita"/>
          <w:b w:val="0"/>
          <w:color w:val="FF0000"/>
          <w:u w:val="single"/>
        </w:rPr>
        <w:t>el dinero es importante, pero no es lo único</w:t>
      </w:r>
      <w:r w:rsidRPr="002852EC">
        <w:rPr>
          <w:color w:val="FF0000"/>
          <w:u w:val="single"/>
        </w:rPr>
        <w:t>”</w:t>
      </w:r>
      <w:r w:rsidRPr="002852EC">
        <w:rPr>
          <w:b/>
          <w:color w:val="FF0000"/>
          <w:u w:val="single"/>
        </w:rPr>
        <w:t>.</w:t>
      </w:r>
      <w:r w:rsidRPr="00F50E89">
        <w:rPr>
          <w:color w:val="FF0000"/>
          <w:u w:val="single"/>
        </w:rPr>
        <w:t xml:space="preserve"> En ese sentido, el papel tanto de padres como docentes es vital; entre estos últimos, la mitad han accedido a su puesto tras estudiar magisterio, y la otra mitad son profesionales de otros ámbitos que acceden a la enseñanza a través de programas como el de Teachers of America.</w:t>
      </w:r>
    </w:p>
    <w:p w:rsidR="002C64B3" w:rsidRPr="00F50E89" w:rsidRDefault="002C64B3" w:rsidP="00550638">
      <w:pPr>
        <w:pStyle w:val="NormalWeb"/>
        <w:jc w:val="both"/>
        <w:rPr>
          <w:b/>
          <w:color w:val="FF0000"/>
          <w:u w:val="single"/>
        </w:rPr>
      </w:pPr>
      <w:r w:rsidRPr="00F50E89">
        <w:rPr>
          <w:b/>
          <w:color w:val="FF0000"/>
          <w:u w:val="single"/>
        </w:rPr>
        <w:lastRenderedPageBreak/>
        <w:t xml:space="preserve">Uno de los factores que diferencian el centro de otros de la zona es la </w:t>
      </w:r>
      <w:r w:rsidRPr="00F50E89">
        <w:rPr>
          <w:rStyle w:val="Textoennegrita"/>
          <w:color w:val="FF0000"/>
          <w:u w:val="single"/>
        </w:rPr>
        <w:t>separación por sexos</w:t>
      </w:r>
      <w:r w:rsidRPr="00F50E89">
        <w:rPr>
          <w:b/>
          <w:color w:val="FF0000"/>
          <w:u w:val="single"/>
        </w:rPr>
        <w:t xml:space="preserve">, que en un principio no convencía a Bradley, hasta que apenas un par de horas después de su llegada al centro cayó enamorada “por la manera en que las alumnas se expresaban, </w:t>
      </w:r>
      <w:r w:rsidRPr="00F50E89">
        <w:rPr>
          <w:rStyle w:val="Textoennegrita"/>
          <w:color w:val="FF0000"/>
          <w:u w:val="single"/>
        </w:rPr>
        <w:t>la libertad que sentían</w:t>
      </w:r>
      <w:r w:rsidRPr="00F50E89">
        <w:rPr>
          <w:b/>
          <w:color w:val="FF0000"/>
          <w:u w:val="single"/>
        </w:rPr>
        <w:t>, cómo hacían su trabajo”, especialmente en comparación con su formación como mujer en un centro mixto.</w:t>
      </w:r>
    </w:p>
    <w:p w:rsidR="002C64B3" w:rsidRPr="00F50E89" w:rsidRDefault="002C64B3" w:rsidP="00550638">
      <w:pPr>
        <w:pStyle w:val="NormalWeb"/>
        <w:jc w:val="both"/>
        <w:rPr>
          <w:b/>
          <w:color w:val="FF0000"/>
          <w:u w:val="single"/>
        </w:rPr>
      </w:pPr>
      <w:r w:rsidRPr="00F50E89">
        <w:rPr>
          <w:b/>
          <w:color w:val="FF0000"/>
          <w:u w:val="single"/>
        </w:rPr>
        <w:t xml:space="preserve">La ausencia de chicos no es, en opinión de la autora, una limitación en la formación de las jóvenes, sino una manera de sortear distracciones, y también de evitar que las chicas se plieguen a la consolidada y poderosa cultura masculina. Por eso en la escuela inciden especialmente en </w:t>
      </w:r>
      <w:r w:rsidRPr="00F50E89">
        <w:rPr>
          <w:rStyle w:val="Textoennegrita"/>
          <w:color w:val="FF0000"/>
          <w:u w:val="single"/>
        </w:rPr>
        <w:t>materias como matemáticas o ciencias</w:t>
      </w:r>
      <w:r w:rsidRPr="00F50E89">
        <w:rPr>
          <w:b/>
          <w:color w:val="FF0000"/>
          <w:u w:val="single"/>
        </w:rPr>
        <w:t>, puesto que son aquellas en las que las mujeres tienen una menor presencia en el mercado laboral.</w:t>
      </w:r>
    </w:p>
    <w:p w:rsidR="002C64B3" w:rsidRPr="00F50E89" w:rsidRDefault="002C64B3" w:rsidP="00550638">
      <w:pPr>
        <w:pStyle w:val="NormalWeb"/>
        <w:jc w:val="both"/>
        <w:rPr>
          <w:color w:val="FF0000"/>
          <w:u w:val="single"/>
        </w:rPr>
      </w:pPr>
      <w:r w:rsidRPr="00F50E89">
        <w:rPr>
          <w:color w:val="FF0000"/>
          <w:u w:val="single"/>
        </w:rPr>
        <w:t>Por el contrario, el lema escrito en la ropa de las estudiantes (“</w:t>
      </w:r>
      <w:r w:rsidRPr="002B206C">
        <w:rPr>
          <w:rStyle w:val="nfasis"/>
          <w:rFonts w:eastAsiaTheme="majorEastAsia"/>
          <w:i w:val="0"/>
          <w:color w:val="FF0000"/>
          <w:u w:val="single"/>
        </w:rPr>
        <w:t>girls rule</w:t>
      </w:r>
      <w:r w:rsidRPr="00F50E89">
        <w:rPr>
          <w:color w:val="FF0000"/>
          <w:u w:val="single"/>
        </w:rPr>
        <w:t xml:space="preserve">”, es decir, “las chicas mandan”) deja claro que esta es </w:t>
      </w:r>
      <w:r w:rsidRPr="002852EC">
        <w:rPr>
          <w:rStyle w:val="Textoennegrita"/>
          <w:b w:val="0"/>
          <w:color w:val="FF0000"/>
          <w:u w:val="single"/>
        </w:rPr>
        <w:t>una escuela de mujeres para mujeres</w:t>
      </w:r>
      <w:r w:rsidRPr="00F50E89">
        <w:rPr>
          <w:color w:val="FF0000"/>
          <w:u w:val="single"/>
        </w:rPr>
        <w:t xml:space="preserve"> que han de llegar lejos. Como aseguran algunas de las alumnas en un documental realizado por el centro, esta ausencia del sexo masculino en las aulas las permite estar más concentradas, "no tener que preocuparme por mi aspecto físico”, “sentirnos más poderosas”, “no tener que competir por la atención de un hombre”, etc.</w:t>
      </w:r>
    </w:p>
    <w:p w:rsidR="002C64B3" w:rsidRPr="00F50E89" w:rsidRDefault="002C64B3" w:rsidP="00550638">
      <w:pPr>
        <w:pStyle w:val="NormalWeb"/>
        <w:jc w:val="both"/>
        <w:rPr>
          <w:color w:val="FF0000"/>
          <w:u w:val="single"/>
        </w:rPr>
      </w:pPr>
      <w:r w:rsidRPr="00F50E89">
        <w:rPr>
          <w:b/>
          <w:color w:val="FF0000"/>
          <w:u w:val="single"/>
        </w:rPr>
        <w:t>La implantación de este sistema no sería posible sin la gran autonomía que el sistema educativo americano permite a cada uno de sus centros, más allá de la consecución de unos objetivos establecidos a nivel nacional. Pero, c</w:t>
      </w:r>
      <w:r w:rsidR="002B206C">
        <w:rPr>
          <w:b/>
          <w:color w:val="FF0000"/>
          <w:u w:val="single"/>
        </w:rPr>
        <w:t>omo recuerda Bradley, “no es un “haz lo que quieras”</w:t>
      </w:r>
      <w:r w:rsidRPr="00F50E89">
        <w:rPr>
          <w:b/>
          <w:color w:val="FF0000"/>
          <w:u w:val="single"/>
        </w:rPr>
        <w:t>; si los resultados no son buenos, no tienes libertad y</w:t>
      </w:r>
      <w:r w:rsidRPr="00F50E89">
        <w:rPr>
          <w:color w:val="FF0000"/>
          <w:u w:val="single"/>
        </w:rPr>
        <w:t xml:space="preserve"> </w:t>
      </w:r>
      <w:r w:rsidRPr="00F50E89">
        <w:rPr>
          <w:rStyle w:val="Textoennegrita"/>
          <w:color w:val="FF0000"/>
          <w:u w:val="single"/>
        </w:rPr>
        <w:t>el centro cierra</w:t>
      </w:r>
      <w:r w:rsidRPr="00F50E89">
        <w:rPr>
          <w:color w:val="FF0000"/>
          <w:u w:val="single"/>
        </w:rPr>
        <w:t>”.</w:t>
      </w:r>
    </w:p>
    <w:p w:rsidR="002C64B3" w:rsidRPr="003713FE" w:rsidRDefault="002C64B3" w:rsidP="00550638">
      <w:pPr>
        <w:pStyle w:val="NormalWeb"/>
        <w:jc w:val="both"/>
        <w:rPr>
          <w:b/>
        </w:rPr>
      </w:pPr>
      <w:r w:rsidRPr="003713FE">
        <w:rPr>
          <w:rStyle w:val="Textoennegrita"/>
          <w:b w:val="0"/>
        </w:rPr>
        <w:t>Calidad y excelencia, pero para todos</w:t>
      </w:r>
    </w:p>
    <w:p w:rsidR="002C64B3" w:rsidRPr="002852EC" w:rsidRDefault="002C64B3" w:rsidP="00550638">
      <w:pPr>
        <w:pStyle w:val="NormalWeb"/>
        <w:jc w:val="both"/>
        <w:rPr>
          <w:b/>
          <w:color w:val="FF0000"/>
          <w:u w:val="single"/>
        </w:rPr>
      </w:pPr>
      <w:r w:rsidRPr="002A359C">
        <w:rPr>
          <w:u w:val="single"/>
        </w:rPr>
        <w:t xml:space="preserve">La YMLS parece salir de la peligrosa disyuntiva en la que se encuentran la mayor parte de </w:t>
      </w:r>
      <w:hyperlink r:id="rId260" w:history="1">
        <w:r w:rsidRPr="003713FE">
          <w:rPr>
            <w:rStyle w:val="Hipervnculo"/>
            <w:rFonts w:eastAsiaTheme="majorEastAsia"/>
            <w:color w:val="auto"/>
          </w:rPr>
          <w:t>discusiones sobre educación en España</w:t>
        </w:r>
      </w:hyperlink>
      <w:r w:rsidRPr="002A359C">
        <w:rPr>
          <w:u w:val="single"/>
        </w:rPr>
        <w:t>, según la cual, y simplificando, la educación universal y la excelencia académica son términos excluyentes: si queremos llegar a todos, tendremos que bajar sensiblemente el listón, y si queremos calidad, tendremos que separar a los alumnos menos válidos</w:t>
      </w:r>
      <w:r>
        <w:t xml:space="preserve">. </w:t>
      </w:r>
      <w:r w:rsidRPr="002A359C">
        <w:rPr>
          <w:color w:val="FF0000"/>
          <w:u w:val="single"/>
        </w:rPr>
        <w:t xml:space="preserve">Por el contrario, la YWLS demuestra que ambas cosas son posibles. Como indica Bradley, </w:t>
      </w:r>
      <w:r w:rsidRPr="002852EC">
        <w:rPr>
          <w:b/>
          <w:color w:val="FF0000"/>
          <w:u w:val="single"/>
        </w:rPr>
        <w:t>“</w:t>
      </w:r>
      <w:r w:rsidRPr="002852EC">
        <w:rPr>
          <w:rStyle w:val="Textoennegrita"/>
          <w:b w:val="0"/>
          <w:color w:val="FF0000"/>
          <w:u w:val="single"/>
        </w:rPr>
        <w:t>seas pobre o rico, mereces lo mejor</w:t>
      </w:r>
      <w:r w:rsidRPr="002852EC">
        <w:rPr>
          <w:b/>
          <w:color w:val="FF0000"/>
          <w:u w:val="single"/>
        </w:rPr>
        <w:t>”.</w:t>
      </w:r>
    </w:p>
    <w:p w:rsidR="002C64B3" w:rsidRPr="002A359C" w:rsidRDefault="002C64B3" w:rsidP="00550638">
      <w:pPr>
        <w:pStyle w:val="NormalWeb"/>
        <w:jc w:val="both"/>
        <w:rPr>
          <w:color w:val="FF0000"/>
          <w:u w:val="single"/>
        </w:rPr>
      </w:pPr>
      <w:r w:rsidRPr="002A359C">
        <w:rPr>
          <w:color w:val="FF0000"/>
          <w:u w:val="single"/>
        </w:rPr>
        <w:t xml:space="preserve">En ese sentido, tanto el esfuerzo del alumno como el empeño del profesor son clave: “No permitimos que un alumno diga ‘ya está, no puedo hacer nada’ o ‘es suficiente’, </w:t>
      </w:r>
      <w:r w:rsidRPr="002852EC">
        <w:rPr>
          <w:rStyle w:val="Textoennegrita"/>
          <w:b w:val="0"/>
          <w:color w:val="FF0000"/>
          <w:u w:val="single"/>
        </w:rPr>
        <w:t>no puede fracasar ninguno</w:t>
      </w:r>
      <w:r w:rsidRPr="002852EC">
        <w:rPr>
          <w:b/>
          <w:color w:val="FF0000"/>
          <w:u w:val="single"/>
        </w:rPr>
        <w:t>”</w:t>
      </w:r>
      <w:r w:rsidRPr="002A359C">
        <w:rPr>
          <w:color w:val="FF0000"/>
          <w:u w:val="single"/>
        </w:rPr>
        <w:t>. Los profesores no niegan la alta exigencia que piden al estudiante, pero también la que ellos mismos sienten. “Los profesores que no trabajan mucho no duran”, recuerda la directora. “Los propios estudiantes han aprendido que tienen derecho a lo mejor”.</w:t>
      </w:r>
    </w:p>
    <w:p w:rsidR="002C64B3" w:rsidRPr="002A359C" w:rsidRDefault="002C64B3" w:rsidP="00550638">
      <w:pPr>
        <w:pStyle w:val="NormalWeb"/>
        <w:jc w:val="both"/>
        <w:rPr>
          <w:color w:val="FF0000"/>
          <w:u w:val="single"/>
        </w:rPr>
      </w:pPr>
      <w:r w:rsidRPr="002A359C">
        <w:rPr>
          <w:color w:val="FF0000"/>
          <w:u w:val="single"/>
        </w:rPr>
        <w:t xml:space="preserve">Para ello han creado los COPR Angels, acrónimo de “confident”, “open minded”, “responsible” y “respectful”, es decir, “seguro”, “de mente abierta”, “responsable” y “respetuoso”, tutores que no tienen como objetivo la transmisión de conocimientos sino </w:t>
      </w:r>
      <w:r w:rsidRPr="002852EC">
        <w:rPr>
          <w:rStyle w:val="Textoennegrita"/>
          <w:b w:val="0"/>
          <w:color w:val="FF0000"/>
          <w:u w:val="single"/>
        </w:rPr>
        <w:t>la formación “de buenas personas”</w:t>
      </w:r>
      <w:r w:rsidRPr="002852EC">
        <w:rPr>
          <w:b/>
          <w:color w:val="FF0000"/>
          <w:u w:val="single"/>
        </w:rPr>
        <w:t>.</w:t>
      </w:r>
      <w:r w:rsidRPr="002A359C">
        <w:rPr>
          <w:color w:val="FF0000"/>
          <w:u w:val="single"/>
        </w:rPr>
        <w:t xml:space="preserve"> El último factor de la ecuación son los padres, a los que Bradley define como “socios” y a los que se pide que “aunque no tengan por qué estar de acuerdo en todo, mantengan sus discrepancias al margen de los hijos, para que el mensaje que transmiten el colegio y los padres sea el mismo”.</w:t>
      </w:r>
    </w:p>
    <w:p w:rsidR="002C64B3" w:rsidRPr="003713FE" w:rsidRDefault="002C64B3" w:rsidP="00550638">
      <w:pPr>
        <w:pStyle w:val="NormalWeb"/>
        <w:jc w:val="both"/>
        <w:rPr>
          <w:b/>
        </w:rPr>
      </w:pPr>
      <w:r w:rsidRPr="003713FE">
        <w:rPr>
          <w:rStyle w:val="Textoennegrita"/>
          <w:b w:val="0"/>
        </w:rPr>
        <w:lastRenderedPageBreak/>
        <w:t>Un viejo modelo para nuevos tiempos</w:t>
      </w:r>
    </w:p>
    <w:p w:rsidR="002C64B3" w:rsidRPr="002A359C" w:rsidRDefault="002C64B3" w:rsidP="00550638">
      <w:pPr>
        <w:pStyle w:val="NormalWeb"/>
        <w:jc w:val="both"/>
        <w:rPr>
          <w:u w:val="single"/>
        </w:rPr>
      </w:pPr>
      <w:r>
        <w:t xml:space="preserve">La de Brooklyn no es la primera de las escuelas abiertas de la Young Women’s Leadership School, sino la del barrio de Harlem en Nueva York, fundada en 1996. </w:t>
      </w:r>
      <w:r w:rsidRPr="002A359C">
        <w:rPr>
          <w:u w:val="single"/>
        </w:rPr>
        <w:t xml:space="preserve">La educación diferenciada ha existido desde hace siglos, pero este retorno no obedece a la </w:t>
      </w:r>
      <w:r w:rsidRPr="002B206C">
        <w:rPr>
          <w:rStyle w:val="Textoennegrita"/>
          <w:b w:val="0"/>
          <w:u w:val="single"/>
        </w:rPr>
        <w:t>nostalgia por lo tradicional</w:t>
      </w:r>
      <w:r w:rsidRPr="002A359C">
        <w:rPr>
          <w:u w:val="single"/>
        </w:rPr>
        <w:t>, sino a una reacción moderna frente a las complejidades de la vida contemporánea.</w:t>
      </w:r>
    </w:p>
    <w:p w:rsidR="002C64B3" w:rsidRPr="002A359C" w:rsidRDefault="002C64B3" w:rsidP="00550638">
      <w:pPr>
        <w:pStyle w:val="NormalWeb"/>
        <w:jc w:val="both"/>
        <w:rPr>
          <w:color w:val="FF0000"/>
          <w:u w:val="single"/>
        </w:rPr>
      </w:pPr>
      <w:r>
        <w:t xml:space="preserve">Como explicó la profesora de derecho de la Universidad de Saint Jones de Nueva York </w:t>
      </w:r>
      <w:r w:rsidRPr="002852EC">
        <w:rPr>
          <w:rStyle w:val="Textoennegrita"/>
          <w:b w:val="0"/>
        </w:rPr>
        <w:t>Rosemary C. Salomone</w:t>
      </w:r>
      <w:r>
        <w:t xml:space="preserve"> a </w:t>
      </w:r>
      <w:r>
        <w:rPr>
          <w:rStyle w:val="nfasis"/>
          <w:rFonts w:eastAsiaTheme="majorEastAsia"/>
        </w:rPr>
        <w:t>El Confidencial</w:t>
      </w:r>
      <w:r>
        <w:t xml:space="preserve"> “</w:t>
      </w:r>
      <w:hyperlink r:id="rId261" w:history="1">
        <w:r w:rsidRPr="003713FE">
          <w:rPr>
            <w:rStyle w:val="Hipervnculo"/>
            <w:rFonts w:eastAsiaTheme="majorEastAsia"/>
            <w:color w:val="auto"/>
          </w:rPr>
          <w:t xml:space="preserve">las nuevas escuelas diferenciadas </w:t>
        </w:r>
      </w:hyperlink>
      <w:hyperlink r:id="rId262" w:history="1">
        <w:r w:rsidRPr="003713FE">
          <w:rPr>
            <w:rStyle w:val="Hipervnculo"/>
            <w:rFonts w:eastAsiaTheme="majorEastAsia"/>
            <w:color w:val="auto"/>
          </w:rPr>
          <w:t>mejoran a la mujer</w:t>
        </w:r>
      </w:hyperlink>
      <w:r w:rsidRPr="002A359C">
        <w:rPr>
          <w:rStyle w:val="Textoennegrita"/>
          <w:u w:val="single"/>
        </w:rPr>
        <w:t xml:space="preserve">, </w:t>
      </w:r>
      <w:r w:rsidRPr="002852EC">
        <w:rPr>
          <w:rStyle w:val="Textoennegrita"/>
          <w:b w:val="0"/>
          <w:u w:val="single"/>
        </w:rPr>
        <w:t>porque la hacen más fuerte</w:t>
      </w:r>
      <w:r w:rsidRPr="002852EC">
        <w:rPr>
          <w:b/>
          <w:u w:val="single"/>
        </w:rPr>
        <w:t>”</w:t>
      </w:r>
      <w:r>
        <w:t xml:space="preserve">. La mirada externa de la que goza Salomone la ayuda a enunciar de manera más explícita el pensamiento de la organización: </w:t>
      </w:r>
      <w:r w:rsidRPr="002A359C">
        <w:rPr>
          <w:color w:val="FF0000"/>
          <w:u w:val="single"/>
        </w:rPr>
        <w:t>“Hay un punto en la vida de toda chica que tiene que elegir entre ser inteligente y ser popular”.</w:t>
      </w:r>
    </w:p>
    <w:p w:rsidR="002C64B3" w:rsidRDefault="002C64B3" w:rsidP="00550638">
      <w:pPr>
        <w:pStyle w:val="NormalWeb"/>
        <w:jc w:val="both"/>
        <w:rPr>
          <w:color w:val="FF0000"/>
          <w:u w:val="single"/>
        </w:rPr>
      </w:pPr>
      <w:r>
        <w:t xml:space="preserve">Estas chicas no han de sacrificar una cosa u otra, sino que pueden ser ambas al mismo tiempo. </w:t>
      </w:r>
      <w:r w:rsidRPr="002A359C">
        <w:rPr>
          <w:color w:val="FF0000"/>
          <w:u w:val="single"/>
        </w:rPr>
        <w:t xml:space="preserve">Sin embargo, ni Bradley ni ninguno de sus compañeros defienden que el suyo debe ser el modelo a seguir por todos los centros, sino una alternativa más para aquellos que creen en ella. Como explica Bradley, “no podemos cambiar todas las escuelas, pero sí ofrecer </w:t>
      </w:r>
      <w:r w:rsidRPr="002852EC">
        <w:rPr>
          <w:rStyle w:val="Textoennegrita"/>
          <w:b w:val="0"/>
          <w:color w:val="FF0000"/>
          <w:u w:val="single"/>
        </w:rPr>
        <w:t>una alternativa pública de calidad</w:t>
      </w:r>
      <w:r w:rsidRPr="002852EC">
        <w:rPr>
          <w:b/>
          <w:color w:val="FF0000"/>
          <w:u w:val="single"/>
        </w:rPr>
        <w:t>”.</w:t>
      </w:r>
    </w:p>
    <w:p w:rsidR="00B42B2E" w:rsidRDefault="00B42B2E" w:rsidP="00550638">
      <w:pPr>
        <w:pStyle w:val="NormalWeb"/>
        <w:jc w:val="both"/>
        <w:rPr>
          <w:rStyle w:val="nfasis"/>
          <w:rFonts w:eastAsiaTheme="majorEastAsia"/>
          <w:i w:val="0"/>
          <w:u w:val="single"/>
        </w:rPr>
      </w:pPr>
      <w:r w:rsidRPr="00B42B2E">
        <w:rPr>
          <w:u w:val="single"/>
        </w:rPr>
        <w:t xml:space="preserve">Otra aportación sugerente de Fedea: </w:t>
      </w:r>
      <w:r w:rsidRPr="00B42B2E">
        <w:rPr>
          <w:i/>
          <w:u w:val="single"/>
        </w:rPr>
        <w:t>“</w:t>
      </w:r>
      <w:r w:rsidRPr="00B42B2E">
        <w:rPr>
          <w:rStyle w:val="nfasis"/>
          <w:rFonts w:eastAsiaTheme="majorEastAsia"/>
          <w:i w:val="0"/>
          <w:u w:val="single"/>
        </w:rPr>
        <w:t>teaching to the test”</w:t>
      </w:r>
    </w:p>
    <w:p w:rsidR="00B42B2E" w:rsidRPr="00B42B2E" w:rsidRDefault="00B42B2E" w:rsidP="00550638">
      <w:pPr>
        <w:pStyle w:val="NormalWeb"/>
        <w:jc w:val="both"/>
        <w:rPr>
          <w:i/>
          <w:u w:val="single"/>
        </w:rPr>
      </w:pPr>
      <w:r>
        <w:t xml:space="preserve">- </w:t>
      </w:r>
      <w:r w:rsidRPr="00CE0424">
        <w:rPr>
          <w:u w:val="single"/>
        </w:rPr>
        <w:t xml:space="preserve">Exámenes externos, resultados y </w:t>
      </w:r>
      <w:r w:rsidRPr="002B206C">
        <w:rPr>
          <w:rStyle w:val="nfasis"/>
          <w:rFonts w:eastAsiaTheme="majorEastAsia"/>
          <w:i w:val="0"/>
          <w:u w:val="single"/>
        </w:rPr>
        <w:t>teaching to the test</w:t>
      </w:r>
      <w:r>
        <w:rPr>
          <w:rStyle w:val="nfasis"/>
          <w:rFonts w:eastAsiaTheme="majorEastAsia"/>
          <w:b/>
        </w:rPr>
        <w:t xml:space="preserve"> </w:t>
      </w:r>
      <w:r w:rsidRPr="00B42B2E">
        <w:rPr>
          <w:rStyle w:val="nfasis"/>
          <w:rFonts w:eastAsiaTheme="majorEastAsia"/>
          <w:i w:val="0"/>
        </w:rPr>
        <w:t xml:space="preserve">(Fedea - </w:t>
      </w:r>
      <w:r w:rsidRPr="00B42B2E">
        <w:rPr>
          <w:rStyle w:val="nfasis"/>
          <w:rFonts w:eastAsiaTheme="majorEastAsia"/>
          <w:b/>
          <w:i w:val="0"/>
        </w:rPr>
        <w:t>28/10/13</w:t>
      </w:r>
      <w:r w:rsidRPr="00B42B2E">
        <w:rPr>
          <w:rStyle w:val="nfasis"/>
          <w:rFonts w:eastAsiaTheme="majorEastAsia"/>
          <w:i w:val="0"/>
        </w:rPr>
        <w:t>)</w:t>
      </w:r>
    </w:p>
    <w:p w:rsidR="00B42B2E" w:rsidRPr="00CE0424" w:rsidRDefault="00B42B2E" w:rsidP="00550638">
      <w:pPr>
        <w:pStyle w:val="headlinemeta"/>
        <w:jc w:val="both"/>
      </w:pPr>
      <w:r>
        <w:t>(</w:t>
      </w:r>
      <w:r w:rsidRPr="00CE0424">
        <w:t xml:space="preserve">Por </w:t>
      </w:r>
      <w:hyperlink r:id="rId263" w:history="1">
        <w:r w:rsidRPr="00B42B2E">
          <w:rPr>
            <w:rStyle w:val="Hipervnculo"/>
            <w:rFonts w:eastAsiaTheme="majorEastAsia"/>
            <w:color w:val="auto"/>
            <w:u w:val="none"/>
          </w:rPr>
          <w:t>Antonio Cabrales</w:t>
        </w:r>
      </w:hyperlink>
      <w:r>
        <w:t>)                                                                     Lectura recomendada</w:t>
      </w:r>
    </w:p>
    <w:p w:rsidR="00B42B2E" w:rsidRDefault="00B42B2E" w:rsidP="00550638">
      <w:pPr>
        <w:pStyle w:val="NormalWeb"/>
        <w:jc w:val="both"/>
      </w:pPr>
      <w:r>
        <w:t xml:space="preserve">Ya aprobada la LOMCE quizá no tiene mucho sentido comentarla más, sino esperar a que vaya generando resultados. Pero quizá vale la pena que quede por escrito una predicción, para que luego alguien pueda venir a sacarme los colores cuando se haga el análisis. De todo lo que hay en esa ley lo que me parece más probable que tenga un efecto duradero, y probablemente positivo, son los exámenes de fin de ciclo (también llamados CBEEE por su acrónimo en inglés), particularmente el examen de final de la secundaria. Y no solo eso, también será interesante averiguar si estos exámenes tendrán efectos negativos en actividades no cubiertas por el examen. Yo creo, énfasis en </w:t>
      </w:r>
      <w:r>
        <w:rPr>
          <w:rStyle w:val="nfasis"/>
          <w:rFonts w:eastAsiaTheme="majorEastAsia"/>
        </w:rPr>
        <w:t>creo</w:t>
      </w:r>
      <w:r>
        <w:t xml:space="preserve"> porque la evidencia de esto es más circunstancial, que no, siempre y cuando las pruebas se diseñen bien. </w:t>
      </w:r>
    </w:p>
    <w:p w:rsidR="00B42B2E" w:rsidRDefault="00B42B2E" w:rsidP="00550638">
      <w:pPr>
        <w:pStyle w:val="NormalWeb"/>
        <w:jc w:val="both"/>
      </w:pPr>
      <w:r>
        <w:t>Alguna de la evidencia relevante ya la hemos comentado aquí. El gráfico que sigue ha salido en varias entradas de este blog. Lo que recoge es la diferencia de resultados individuales entre países (después de controlar por las variables observables relevantes de TIMSS) divididos en cuatro bloques. Las columnas en azul representan los resultados de países con exámenes externos de fin de ciclo, las columnas en amarillo los de países sin exámenes externos. Las columnas de la derecha representan países con cierta autonomía en la gestión de recursos humanos en las escuelas. Las de la izquierda, países sin autonomía. Como se puede ver los exámenes externos tienen una influencia importante, y cuando existen la autonomía todavía ayuda algo. Por el contrario, si no hay exámenes, la autonomía es, de hecho, negativa. Mi interpretación es que exámenes comparables objetivamente crean un entorno de rendición de cuentas, en el que la autonomía permite optimizar mejor, con el conocimiento del terreno. Por el contrario, dar libertad sin pedir cuentas es una receta para el desastre.</w:t>
      </w:r>
    </w:p>
    <w:p w:rsidR="00B42B2E" w:rsidRDefault="00B42B2E" w:rsidP="00550638">
      <w:pPr>
        <w:pStyle w:val="NormalWeb"/>
        <w:jc w:val="both"/>
      </w:pPr>
      <w:r>
        <w:rPr>
          <w:noProof/>
          <w:color w:val="0000FF"/>
        </w:rPr>
        <w:lastRenderedPageBreak/>
        <w:drawing>
          <wp:inline distT="0" distB="0" distL="0" distR="0" wp14:anchorId="0588504E" wp14:editId="597D6739">
            <wp:extent cx="5091379" cy="2494483"/>
            <wp:effectExtent l="0" t="0" r="0" b="1270"/>
            <wp:docPr id="114" name="Imagen 114" descr="cbeee1">
              <a:hlinkClick xmlns:a="http://schemas.openxmlformats.org/drawingml/2006/main" r:id="rId26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beee1">
                      <a:hlinkClick r:id="rId264"/>
                    </pic:cNvPr>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5091622" cy="2494602"/>
                    </a:xfrm>
                    <a:prstGeom prst="rect">
                      <a:avLst/>
                    </a:prstGeom>
                    <a:noFill/>
                    <a:ln>
                      <a:noFill/>
                    </a:ln>
                  </pic:spPr>
                </pic:pic>
              </a:graphicData>
            </a:graphic>
          </wp:inline>
        </w:drawing>
      </w:r>
    </w:p>
    <w:p w:rsidR="00B42B2E" w:rsidRDefault="00B42B2E" w:rsidP="00550638">
      <w:pPr>
        <w:pStyle w:val="NormalWeb"/>
        <w:jc w:val="both"/>
      </w:pPr>
      <w:r>
        <w:t>Es legítimo pensar que con esta evidencia no es suficiente para concluir que los exámenes serán beneficiosos. Los países se distinguen en muchas cosas entre sí y aunque las que observa TIMSS ya están controladas en la regresión (incluyendo renta del país y de las familias, recursos de la escuela, inmigración y otros sospechosos habituales), siempre podría ser que los países especialmente motivados por la educación, o mejor gestionados en general, fueran los que impusieran estos exámenes, y lo que estuviéramos capturando fuera simplemente ese plus de motivación o buena organización.</w:t>
      </w:r>
    </w:p>
    <w:p w:rsidR="00B42B2E" w:rsidRDefault="00B42B2E" w:rsidP="00550638">
      <w:pPr>
        <w:pStyle w:val="NormalWeb"/>
        <w:jc w:val="both"/>
      </w:pPr>
      <w:r>
        <w:t xml:space="preserve">Por esto vale la pena mirar a otros estudios. </w:t>
      </w:r>
      <w:hyperlink r:id="rId266" w:history="1">
        <w:r w:rsidRPr="00B42B2E">
          <w:rPr>
            <w:rStyle w:val="Hipervnculo"/>
            <w:rFonts w:eastAsiaTheme="majorEastAsia"/>
            <w:color w:val="auto"/>
          </w:rPr>
          <w:t>Ludger Woessman</w:t>
        </w:r>
      </w:hyperlink>
      <w:r>
        <w:t xml:space="preserve"> ha estudiado las diferencias de resultados entre estados alemanes en PISA. Aunque muchas de las críticas al estudio anterior se pueden repetir para este, dentro de un país hay muchas más cosas no observables que se pueden mantener constantes, como la cultura, la lengua o el marco de bienestar y legal. Los resultados por estados controlando por las variables observables más importantes (estatus socioeconómico y profesional de los padres) se pueden ver en el gráfico que sigue.</w:t>
      </w:r>
    </w:p>
    <w:p w:rsidR="00B42B2E" w:rsidRDefault="00B42B2E" w:rsidP="00550638">
      <w:pPr>
        <w:pStyle w:val="NormalWeb"/>
        <w:jc w:val="both"/>
      </w:pPr>
      <w:r>
        <w:rPr>
          <w:noProof/>
          <w:color w:val="0000FF"/>
        </w:rPr>
        <w:drawing>
          <wp:inline distT="0" distB="0" distL="0" distR="0" wp14:anchorId="3AEDD9F6" wp14:editId="51CF8D8E">
            <wp:extent cx="5193792" cy="2662733"/>
            <wp:effectExtent l="0" t="0" r="6985" b="4445"/>
            <wp:docPr id="113" name="Imagen 113" descr="cbeee2">
              <a:hlinkClick xmlns:a="http://schemas.openxmlformats.org/drawingml/2006/main" r:id="rId2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beee2">
                      <a:hlinkClick r:id="rId267"/>
                    </pic:cNvPr>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5194089" cy="2662885"/>
                    </a:xfrm>
                    <a:prstGeom prst="rect">
                      <a:avLst/>
                    </a:prstGeom>
                    <a:noFill/>
                    <a:ln>
                      <a:noFill/>
                    </a:ln>
                  </pic:spPr>
                </pic:pic>
              </a:graphicData>
            </a:graphic>
          </wp:inline>
        </w:drawing>
      </w:r>
    </w:p>
    <w:p w:rsidR="00B42B2E" w:rsidRPr="00883676" w:rsidRDefault="00B42B2E" w:rsidP="00550638">
      <w:pPr>
        <w:pStyle w:val="NormalWeb"/>
        <w:jc w:val="both"/>
        <w:rPr>
          <w:color w:val="FF0000"/>
          <w:u w:val="single"/>
        </w:rPr>
      </w:pPr>
      <w:r w:rsidRPr="00883676">
        <w:rPr>
          <w:color w:val="FF0000"/>
          <w:u w:val="single"/>
        </w:rPr>
        <w:t xml:space="preserve">Los efectos son de una magnitud algo inferior, pero nada despreciables. Cerca de 30 puntos de PISA. Igual me pongo pesado con esto, pero si 100 puntos más de PISA son 2 </w:t>
      </w:r>
      <w:r w:rsidRPr="00883676">
        <w:rPr>
          <w:color w:val="FF0000"/>
          <w:u w:val="single"/>
        </w:rPr>
        <w:lastRenderedPageBreak/>
        <w:t>puntos más de crecimiento, como sugieren algunas estimaciones, 30 puntos son… hagan la cuenta, que luego viene el tío PIAAC con la rebaja. En todo caso, quién los pillara.</w:t>
      </w:r>
    </w:p>
    <w:p w:rsidR="00B42B2E" w:rsidRDefault="00B42B2E" w:rsidP="00550638">
      <w:pPr>
        <w:pStyle w:val="NormalWeb"/>
        <w:jc w:val="both"/>
      </w:pPr>
      <w:r>
        <w:t xml:space="preserve">¿Será esto algo que solamente pasa en Alemania? Vamos a ver que no, usando datos de Estados Unidos y Canadá. Seguramente el mejor estudio sobre exámenes externos es el de </w:t>
      </w:r>
      <w:hyperlink r:id="rId269" w:history="1">
        <w:r w:rsidRPr="00B42B2E">
          <w:rPr>
            <w:rStyle w:val="Hipervnculo"/>
            <w:rFonts w:eastAsiaTheme="majorEastAsia"/>
            <w:color w:val="auto"/>
          </w:rPr>
          <w:t>Dee y Jacob</w:t>
        </w:r>
      </w:hyperlink>
      <w:r w:rsidRPr="00B42B2E">
        <w:t xml:space="preserve">, que estudia el impacto de la ley </w:t>
      </w:r>
      <w:hyperlink r:id="rId270" w:history="1">
        <w:r w:rsidRPr="00B42B2E">
          <w:rPr>
            <w:rStyle w:val="Hipervnculo"/>
            <w:rFonts w:eastAsiaTheme="majorEastAsia"/>
            <w:color w:val="auto"/>
          </w:rPr>
          <w:t xml:space="preserve">NCLB (No Child Left Behind, </w:t>
        </w:r>
      </w:hyperlink>
      <w:r w:rsidRPr="00B42B2E">
        <w:t xml:space="preserve">o </w:t>
      </w:r>
      <w:r>
        <w:t>Ningún Niño Rezagado) que se aprobó en el congreso americano en 2001, ya bajo el mandato de George Bush, aunque había sido diseñada bajo la administración Clinton, con un apoyo de los dos partidos muy poco habitual. La ley pretendía mejorar los resultados de las escuelas exigiendo que los estados pusieran unos estándares mínimos para cada escuela pública medidos por exámenes externos, con premios y castigos para las escuelas que no los satisficieran.</w:t>
      </w:r>
    </w:p>
    <w:p w:rsidR="00B42B2E" w:rsidRDefault="00B42B2E" w:rsidP="00550638">
      <w:pPr>
        <w:pStyle w:val="NormalWeb"/>
        <w:jc w:val="both"/>
      </w:pPr>
      <w:r>
        <w:t xml:space="preserve">El artículo explota el hecho de que algunos estados ya habían implementado reformas en la dirección de mayor rendición de cuentas bastantes años antes de que la ley entrara en efecto. Y compara la evolución de los resultados de los estudiantes en los estados que ya habían impuesto exámenes externos con consecuencias, con la de los que solamente la implementaron como consecuencia de NCLB. Crucialmente, el efecto se estudia con un examen que </w:t>
      </w:r>
      <w:r w:rsidR="002B206C">
        <w:t>“</w:t>
      </w:r>
      <w:r w:rsidRPr="002B206C">
        <w:rPr>
          <w:rStyle w:val="nfasis"/>
          <w:rFonts w:eastAsiaTheme="majorEastAsia"/>
          <w:i w:val="0"/>
        </w:rPr>
        <w:t>no tiene consecuencias</w:t>
      </w:r>
      <w:r w:rsidR="002B206C">
        <w:rPr>
          <w:rStyle w:val="nfasis"/>
          <w:rFonts w:eastAsiaTheme="majorEastAsia"/>
          <w:i w:val="0"/>
        </w:rPr>
        <w:t>”</w:t>
      </w:r>
      <w:r>
        <w:t>, y que es una pura evaluación de diagnóstico (el NAEP o Evaluación Nacional del Progreso Educativo). Esto es importante porque el examen con consecuencias ha sido manipulado en algunos estados que vieron en las evaluaciones iniciales que los resultados eran muy malos. Además NAEP goza de buena reputación por sus propiedades psicométricas.</w:t>
      </w:r>
    </w:p>
    <w:p w:rsidR="00B42B2E" w:rsidRDefault="00B42B2E" w:rsidP="00550638">
      <w:pPr>
        <w:pStyle w:val="NormalWeb"/>
        <w:jc w:val="both"/>
      </w:pPr>
      <w:r>
        <w:t>Aunque el análisis econométrico es más complicado, el siguiente gráfico no indica ya bastante bien los resultados:</w:t>
      </w:r>
    </w:p>
    <w:p w:rsidR="002852EC" w:rsidRDefault="002852EC" w:rsidP="00550638">
      <w:pPr>
        <w:pStyle w:val="NormalWeb"/>
        <w:jc w:val="both"/>
      </w:pPr>
    </w:p>
    <w:p w:rsidR="00B42B2E" w:rsidRDefault="00B42B2E" w:rsidP="00550638">
      <w:pPr>
        <w:pStyle w:val="NormalWeb"/>
        <w:jc w:val="both"/>
      </w:pPr>
      <w:r>
        <w:rPr>
          <w:noProof/>
        </w:rPr>
        <w:drawing>
          <wp:inline distT="0" distB="0" distL="0" distR="0" wp14:anchorId="22765C9A" wp14:editId="31CB3585">
            <wp:extent cx="5397608" cy="2494483"/>
            <wp:effectExtent l="0" t="0" r="0" b="1270"/>
            <wp:docPr id="115" name="Imagen 115" descr="http://www.fedeablogs.net/economia/wp-content/uploads/cbee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www.fedeablogs.net/economia/wp-content/uploads/cbeee3.jpg"/>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5400040" cy="2495607"/>
                    </a:xfrm>
                    <a:prstGeom prst="rect">
                      <a:avLst/>
                    </a:prstGeom>
                    <a:noFill/>
                    <a:ln>
                      <a:noFill/>
                    </a:ln>
                  </pic:spPr>
                </pic:pic>
              </a:graphicData>
            </a:graphic>
          </wp:inline>
        </w:drawing>
      </w:r>
    </w:p>
    <w:p w:rsidR="00B42B2E" w:rsidRDefault="00B42B2E" w:rsidP="00550638">
      <w:pPr>
        <w:pStyle w:val="NormalWeb"/>
        <w:jc w:val="both"/>
      </w:pPr>
      <w:r>
        <w:lastRenderedPageBreak/>
        <w:br/>
      </w:r>
      <w:r>
        <w:rPr>
          <w:noProof/>
          <w:color w:val="0000FF"/>
        </w:rPr>
        <w:drawing>
          <wp:inline distT="0" distB="0" distL="0" distR="0" wp14:anchorId="5BD10449" wp14:editId="7C9E3D9B">
            <wp:extent cx="5793633" cy="2428646"/>
            <wp:effectExtent l="0" t="0" r="0" b="0"/>
            <wp:docPr id="473" name="Imagen 473" descr="cbeee4">
              <a:hlinkClick xmlns:a="http://schemas.openxmlformats.org/drawingml/2006/main" r:id="rId27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beee4">
                      <a:hlinkClick r:id="rId272"/>
                    </pic:cNvPr>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5793740" cy="2428691"/>
                    </a:xfrm>
                    <a:prstGeom prst="rect">
                      <a:avLst/>
                    </a:prstGeom>
                    <a:noFill/>
                    <a:ln>
                      <a:noFill/>
                    </a:ln>
                  </pic:spPr>
                </pic:pic>
              </a:graphicData>
            </a:graphic>
          </wp:inline>
        </w:drawing>
      </w:r>
    </w:p>
    <w:p w:rsidR="002852EC" w:rsidRDefault="002852EC" w:rsidP="00550638">
      <w:pPr>
        <w:pStyle w:val="NormalWeb"/>
        <w:jc w:val="both"/>
      </w:pPr>
    </w:p>
    <w:p w:rsidR="00B42B2E" w:rsidRDefault="00B42B2E" w:rsidP="00550638">
      <w:pPr>
        <w:pStyle w:val="NormalWeb"/>
        <w:jc w:val="both"/>
      </w:pPr>
      <w:r>
        <w:t>Los gráficos señalan las tendencias de resultados en cuarto curso los estados que ya habían adoptado exámenes externos en 1998 con círculos, y los que lo hicieron después de 2002 con triángulos, primero en matemáticas y luego en lectura. Como se puede ver las tendencias positivas se acentúan más fuertemente en los estados que entran en NCLB en 2002, y esto mismo es lo que recoge el análisis econométrico más sofisticado. Lógicamente puede haber problemas. Quizá los estados más susceptibles a una mejora adoptaron antes los exámenes, pero eso de hecho haría que los efectos aquí identificados subestimaran los efectos.</w:t>
      </w:r>
    </w:p>
    <w:p w:rsidR="00B42B2E" w:rsidRDefault="00B42B2E" w:rsidP="00550638">
      <w:pPr>
        <w:pStyle w:val="NormalWeb"/>
        <w:jc w:val="both"/>
      </w:pPr>
      <w:r>
        <w:t>El estudio también comprueba que los efectos son más importantes en los estudiantes más desfavorecidos, algo esperable dado que la ley se enfoca en aquellas escuelas con resultados muy pobres para empezar en términos absolutos, no en valor añadido. Los autores también comprueban que aunque los exámenes se centran en lectura y matemáticas, no parece haber efectos negativos en ciencia, que también se mide con el NAEP. Ojo, tampoco encuentra efectos positivos en ciencia, por tanto el que la ley se enfoque solamente en matemáticas y lectura puede hacer que se pierda algún efecto positivo potencial.</w:t>
      </w:r>
    </w:p>
    <w:p w:rsidR="00B42B2E" w:rsidRDefault="00B42B2E" w:rsidP="00550638">
      <w:pPr>
        <w:pStyle w:val="NormalWeb"/>
        <w:jc w:val="both"/>
      </w:pPr>
      <w:r>
        <w:t xml:space="preserve">Aún me queda un artículo más que discutir. Este </w:t>
      </w:r>
      <w:hyperlink r:id="rId274" w:history="1">
        <w:r w:rsidRPr="00B42B2E">
          <w:rPr>
            <w:rStyle w:val="Hipervnculo"/>
            <w:rFonts w:eastAsiaTheme="majorEastAsia"/>
            <w:color w:val="auto"/>
          </w:rPr>
          <w:t>artículo de Bishop</w:t>
        </w:r>
      </w:hyperlink>
      <w:r w:rsidRPr="00B42B2E">
        <w:t>,</w:t>
      </w:r>
      <w:r>
        <w:t xml:space="preserve"> utiliza datos de Canadá, de un examen internacional de 1991 el IAEP (Evaluación Internacional de Progreso Educativo). La estrategia empírica es parecida a la del artículo de Woessman que ya hemos discutido (como sus problemas), pero usando la variación entre estados de Canadá.</w:t>
      </w:r>
    </w:p>
    <w:p w:rsidR="00B42B2E" w:rsidRDefault="00B42B2E" w:rsidP="00550638">
      <w:pPr>
        <w:pStyle w:val="NormalWeb"/>
        <w:jc w:val="both"/>
      </w:pPr>
      <w:r>
        <w:t>El artículo, sin embargo, me interesa por otro motivo, porque permite ver cómo varían otros resultados y estrategias didácticas además del examen. Esto hace posible saber si la mejora de resultados viene a expensas de otras actividades deseables (el odioso “teach to the test”). Y la buena noticias es que parece que no. Como se ve en el siguiente cuadro, los chicos que están expuestos a los CBEEE ven menos la televisión, leen más por placer y miran más programas de ciencia.</w:t>
      </w:r>
    </w:p>
    <w:p w:rsidR="00B42B2E" w:rsidRDefault="00B42B2E" w:rsidP="00550638">
      <w:pPr>
        <w:pStyle w:val="NormalWeb"/>
        <w:jc w:val="both"/>
      </w:pPr>
      <w:r>
        <w:rPr>
          <w:noProof/>
          <w:color w:val="0000FF"/>
        </w:rPr>
        <w:lastRenderedPageBreak/>
        <w:drawing>
          <wp:inline distT="0" distB="0" distL="0" distR="0" wp14:anchorId="5DAE6263" wp14:editId="06014C35">
            <wp:extent cx="5508625" cy="1331595"/>
            <wp:effectExtent l="0" t="0" r="0" b="1905"/>
            <wp:docPr id="48" name="Imagen 48" descr="cbeee5">
              <a:hlinkClick xmlns:a="http://schemas.openxmlformats.org/drawingml/2006/main" r:id="rId27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beee5">
                      <a:hlinkClick r:id="rId275"/>
                    </pic:cNvPr>
                    <pic:cNvPicPr>
                      <a:picLocks noChangeAspect="1" noChangeArrowheads="1"/>
                    </pic:cNvPicPr>
                  </pic:nvPicPr>
                  <pic:blipFill>
                    <a:blip r:embed="rId276">
                      <a:extLst>
                        <a:ext uri="{28A0092B-C50C-407E-A947-70E740481C1C}">
                          <a14:useLocalDpi xmlns:a14="http://schemas.microsoft.com/office/drawing/2010/main" val="0"/>
                        </a:ext>
                      </a:extLst>
                    </a:blip>
                    <a:srcRect/>
                    <a:stretch>
                      <a:fillRect/>
                    </a:stretch>
                  </pic:blipFill>
                  <pic:spPr bwMode="auto">
                    <a:xfrm>
                      <a:off x="0" y="0"/>
                      <a:ext cx="5508625" cy="1331595"/>
                    </a:xfrm>
                    <a:prstGeom prst="rect">
                      <a:avLst/>
                    </a:prstGeom>
                    <a:noFill/>
                    <a:ln>
                      <a:noFill/>
                    </a:ln>
                  </pic:spPr>
                </pic:pic>
              </a:graphicData>
            </a:graphic>
          </wp:inline>
        </w:drawing>
      </w:r>
    </w:p>
    <w:p w:rsidR="00B42B2E" w:rsidRDefault="00B42B2E" w:rsidP="00550638">
      <w:pPr>
        <w:pStyle w:val="NormalWeb"/>
        <w:jc w:val="both"/>
      </w:pPr>
    </w:p>
    <w:p w:rsidR="00B42B2E" w:rsidRDefault="00B42B2E" w:rsidP="00550638">
      <w:pPr>
        <w:pStyle w:val="NormalWeb"/>
        <w:jc w:val="both"/>
      </w:pPr>
      <w:r>
        <w:t>Tampoco parece que las estrategias de los profesores sean peores en estos estados. Los estudiantes hacen más experimentos (¡en cuarto de primaria, señores! Mi hijo hizo su primer experimento en primero de la ESO como un trabajo extra y porque su padre es un “freaky” que se dedica a esto profesionalmente.) en los estados expuestos a los CBEEE y enfatizan menos los cálculos con números enteros, una competencia que se considera más apropiada para quinto curso.</w:t>
      </w:r>
    </w:p>
    <w:p w:rsidR="00B42B2E" w:rsidRDefault="00B42B2E" w:rsidP="00550638">
      <w:pPr>
        <w:pStyle w:val="NormalWeb"/>
        <w:jc w:val="both"/>
      </w:pPr>
      <w:r>
        <w:rPr>
          <w:noProof/>
          <w:color w:val="0000FF"/>
        </w:rPr>
        <w:drawing>
          <wp:inline distT="0" distB="0" distL="0" distR="0" wp14:anchorId="7AD5315E" wp14:editId="5FD3D21E">
            <wp:extent cx="5274310" cy="1257935"/>
            <wp:effectExtent l="0" t="0" r="2540" b="0"/>
            <wp:docPr id="50" name="Imagen 50" descr="cbeee6">
              <a:hlinkClick xmlns:a="http://schemas.openxmlformats.org/drawingml/2006/main" r:id="rId27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beee6">
                      <a:hlinkClick r:id="rId277"/>
                    </pic:cNvPr>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5274310" cy="1257935"/>
                    </a:xfrm>
                    <a:prstGeom prst="rect">
                      <a:avLst/>
                    </a:prstGeom>
                    <a:noFill/>
                    <a:ln>
                      <a:noFill/>
                    </a:ln>
                  </pic:spPr>
                </pic:pic>
              </a:graphicData>
            </a:graphic>
          </wp:inline>
        </w:drawing>
      </w:r>
    </w:p>
    <w:p w:rsidR="00B42B2E" w:rsidRDefault="00B42B2E" w:rsidP="00550638">
      <w:pPr>
        <w:pStyle w:val="NormalWeb"/>
        <w:jc w:val="both"/>
      </w:pPr>
    </w:p>
    <w:p w:rsidR="00B42B2E" w:rsidRDefault="00B42B2E" w:rsidP="00550638">
      <w:pPr>
        <w:pStyle w:val="NormalWeb"/>
        <w:jc w:val="both"/>
      </w:pPr>
      <w:r>
        <w:t>Una forma (parcial e incompleta) de ver si las provincias que adoptan exámenes son las más motivadas es ver si se diferencian en alguna dimensión previsiblemente relacionada con la motivación. La respuesta es que no. Los problemas de disciplina que tienen son parecidos a los de otros estados y de hecho tienen más absentismo de los estudiantes que las que no tienen CBEEE.</w:t>
      </w:r>
    </w:p>
    <w:p w:rsidR="00B42B2E" w:rsidRDefault="00B42B2E" w:rsidP="00550638">
      <w:pPr>
        <w:pStyle w:val="NormalWeb"/>
        <w:jc w:val="both"/>
      </w:pPr>
      <w:r>
        <w:rPr>
          <w:noProof/>
          <w:color w:val="0000FF"/>
        </w:rPr>
        <w:drawing>
          <wp:inline distT="0" distB="0" distL="0" distR="0" wp14:anchorId="5C30A330" wp14:editId="50F13D8E">
            <wp:extent cx="5625465" cy="812165"/>
            <wp:effectExtent l="0" t="0" r="0" b="6985"/>
            <wp:docPr id="108" name="Imagen 108" descr="cbeee7">
              <a:hlinkClick xmlns:a="http://schemas.openxmlformats.org/drawingml/2006/main" r:id="rId27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beee7">
                      <a:hlinkClick r:id="rId279"/>
                    </pic:cNvPr>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5625465" cy="812165"/>
                    </a:xfrm>
                    <a:prstGeom prst="rect">
                      <a:avLst/>
                    </a:prstGeom>
                    <a:noFill/>
                    <a:ln>
                      <a:noFill/>
                    </a:ln>
                  </pic:spPr>
                </pic:pic>
              </a:graphicData>
            </a:graphic>
          </wp:inline>
        </w:drawing>
      </w:r>
    </w:p>
    <w:p w:rsidR="00B42B2E" w:rsidRDefault="00B42B2E" w:rsidP="00550638">
      <w:pPr>
        <w:pStyle w:val="NormalWeb"/>
        <w:jc w:val="both"/>
      </w:pPr>
      <w:r>
        <w:t>Ninguna de esta evidencia es totalmente convincente porque no es experimental, pero tanta acumulación de evidencia circunstancial nos sugiere que hay algo detrás. Particularmente cuando la lógica económica detrás del resultado es contundente. Si las acciones de los individuos tienen consecuencias es natural que estos como mínimo intenten que las consecuencias sean favorables.</w:t>
      </w:r>
    </w:p>
    <w:p w:rsidR="00B42B2E" w:rsidRDefault="00B42B2E" w:rsidP="00550638">
      <w:pPr>
        <w:pStyle w:val="NormalWeb"/>
        <w:jc w:val="both"/>
      </w:pPr>
      <w:r>
        <w:t xml:space="preserve">Esta misma lógica sugiere por cierto, que por el mismo motivo el </w:t>
      </w:r>
      <w:r w:rsidR="002B206C">
        <w:t>“</w:t>
      </w:r>
      <w:r w:rsidRPr="002B206C">
        <w:rPr>
          <w:rStyle w:val="nfasis"/>
          <w:rFonts w:eastAsiaTheme="majorEastAsia"/>
          <w:i w:val="0"/>
        </w:rPr>
        <w:t>teach to the test</w:t>
      </w:r>
      <w:r w:rsidR="002B206C">
        <w:rPr>
          <w:rStyle w:val="nfasis"/>
          <w:rFonts w:eastAsiaTheme="majorEastAsia"/>
          <w:i w:val="0"/>
        </w:rPr>
        <w:t>”</w:t>
      </w:r>
      <w:r>
        <w:t xml:space="preserve"> debe ser una preocupación. Preocupación que comparto, y por esto el primer paso es que el “test” tiene que estar muy bien diseñado. Todos los profesores evaluamos, de una u otra manera, y por tanto todos enseñamos para el “test”. La cuestión es que procuramos pensar mucho en el tipo de examen que ponemos. La otra observación es </w:t>
      </w:r>
      <w:r>
        <w:lastRenderedPageBreak/>
        <w:t xml:space="preserve">que las competencias cognitivas compiten menos entre ellos de lo que podríamos pensar. Por esto los resultados de ciencia no empeoran por efecto del NCLB y los chicos en Canadá no dejaron de ver NOVA por hacer CBEEE. Una posible excepción, claro, es la memoria. Si vamos a diseñar exámenes memorísticos sí que veo posible que enfocarnos en dos asignaturas puede ir en detrimento de las demás. Pero si se trata de resolver problemas novedosos es incluso posible que trabajar en ciencia ayude en la resolución de matemáticas o al revés. Por esto pienso que el </w:t>
      </w:r>
      <w:r w:rsidR="002B206C">
        <w:t>“</w:t>
      </w:r>
      <w:r w:rsidRPr="002B206C">
        <w:rPr>
          <w:rStyle w:val="nfasis"/>
          <w:rFonts w:eastAsiaTheme="majorEastAsia"/>
          <w:i w:val="0"/>
        </w:rPr>
        <w:t>teach to the test</w:t>
      </w:r>
      <w:r w:rsidR="002B206C">
        <w:rPr>
          <w:rStyle w:val="nfasis"/>
          <w:rFonts w:eastAsiaTheme="majorEastAsia"/>
          <w:i w:val="0"/>
        </w:rPr>
        <w:t>”</w:t>
      </w:r>
      <w:r>
        <w:t xml:space="preserve"> no será tan grave problema si se diseñan bien los exámenes.</w:t>
      </w:r>
    </w:p>
    <w:p w:rsidR="00A066EF" w:rsidRPr="00A066EF" w:rsidRDefault="00A066EF" w:rsidP="00550638">
      <w:pPr>
        <w:pStyle w:val="NormalWeb"/>
        <w:jc w:val="both"/>
        <w:rPr>
          <w:u w:val="single"/>
        </w:rPr>
      </w:pPr>
      <w:r w:rsidRPr="00A066EF">
        <w:rPr>
          <w:u w:val="single"/>
        </w:rPr>
        <w:t xml:space="preserve">Cómo liderar el Informe PISA </w:t>
      </w:r>
      <w:r>
        <w:rPr>
          <w:u w:val="single"/>
        </w:rPr>
        <w:t>(lo mismo de siempre, pero mejor</w:t>
      </w:r>
      <w:r w:rsidRPr="00A066EF">
        <w:rPr>
          <w:u w:val="single"/>
        </w:rPr>
        <w:t>)</w:t>
      </w:r>
    </w:p>
    <w:p w:rsidR="00A066EF" w:rsidRPr="00A066EF" w:rsidRDefault="00A066EF" w:rsidP="00550638">
      <w:pPr>
        <w:pStyle w:val="NormalWeb"/>
        <w:jc w:val="both"/>
        <w:rPr>
          <w:i/>
        </w:rPr>
      </w:pPr>
      <w:r>
        <w:rPr>
          <w:i/>
        </w:rPr>
        <w:t>“</w:t>
      </w:r>
      <w:r w:rsidRPr="00A066EF">
        <w:rPr>
          <w:i/>
        </w:rPr>
        <w:t xml:space="preserve">Cuando en el año 2009 el informe PISA (Programa Internacional para la Evolución de Estudiantes) señaló que </w:t>
      </w:r>
      <w:r w:rsidRPr="00A066EF">
        <w:rPr>
          <w:rStyle w:val="Textoennegrita"/>
          <w:rFonts w:eastAsiaTheme="majorEastAsia"/>
          <w:b w:val="0"/>
          <w:i/>
        </w:rPr>
        <w:t>las escuelas secundarias públic</w:t>
      </w:r>
      <w:r>
        <w:rPr>
          <w:rStyle w:val="Textoennegrita"/>
          <w:rFonts w:eastAsiaTheme="majorEastAsia"/>
          <w:b w:val="0"/>
          <w:i/>
        </w:rPr>
        <w:t>as de la ciudad china de Shanghá</w:t>
      </w:r>
      <w:r w:rsidRPr="00A066EF">
        <w:rPr>
          <w:rStyle w:val="Textoennegrita"/>
          <w:rFonts w:eastAsiaTheme="majorEastAsia"/>
          <w:b w:val="0"/>
          <w:i/>
        </w:rPr>
        <w:t>i</w:t>
      </w:r>
      <w:r w:rsidRPr="00A066EF">
        <w:rPr>
          <w:i/>
        </w:rPr>
        <w:t xml:space="preserve"> ocupaban el primer puesto en el </w:t>
      </w:r>
      <w:r w:rsidRPr="00A066EF">
        <w:rPr>
          <w:rStyle w:val="nfasis"/>
          <w:i w:val="0"/>
        </w:rPr>
        <w:t>ranking</w:t>
      </w:r>
      <w:r w:rsidRPr="00A066EF">
        <w:rPr>
          <w:i/>
        </w:rPr>
        <w:t xml:space="preserve"> mundial, muchos se llevaron las manos a la cabeza, sorprendidos. ¿Cómo podía ser que ese país que hace apenas unas décadas no destacaba precisamente por su nivel educativo se hubiese encaramado de la noche a la mañana a los puestos preeminentes? ¿Qué nos estábamos perdiendo de su sistema educativo? Y sobre todo, ¿qué podemos aprender de dichas escuelas que podamos aplicar en nuestros países?</w:t>
      </w:r>
      <w:r>
        <w:rPr>
          <w:i/>
        </w:rPr>
        <w:t xml:space="preserve">”… </w:t>
      </w:r>
      <w:r w:rsidRPr="00267A35">
        <w:rPr>
          <w:u w:val="single"/>
        </w:rPr>
        <w:t>La ecuación ganadora de Shanghái</w:t>
      </w:r>
      <w:r>
        <w:t xml:space="preserve"> (El Confidencial - </w:t>
      </w:r>
      <w:r w:rsidRPr="00267A35">
        <w:rPr>
          <w:b/>
        </w:rPr>
        <w:t>5/11/13</w:t>
      </w:r>
      <w:r>
        <w:t>)</w:t>
      </w:r>
    </w:p>
    <w:p w:rsidR="00A066EF" w:rsidRDefault="00A066EF" w:rsidP="00550638">
      <w:pPr>
        <w:pStyle w:val="NormalWeb"/>
        <w:jc w:val="both"/>
      </w:pPr>
      <w:r>
        <w:t xml:space="preserve">A finales de octubre (2013), el tres veces ganador del Premio Pulitzer </w:t>
      </w:r>
      <w:r w:rsidRPr="00A066EF">
        <w:rPr>
          <w:rStyle w:val="Textoennegrita"/>
          <w:rFonts w:eastAsiaTheme="majorEastAsia"/>
          <w:b w:val="0"/>
        </w:rPr>
        <w:t>Thomas L. Friedman</w:t>
      </w:r>
      <w:r>
        <w:t xml:space="preserve">, autor de </w:t>
      </w:r>
      <w:r>
        <w:rPr>
          <w:rStyle w:val="nfasis"/>
        </w:rPr>
        <w:t xml:space="preserve">La tierra es plana, una breve historia del siglo XXI </w:t>
      </w:r>
      <w:r>
        <w:t xml:space="preserve">(Martínez Roca), señalaba en su columna en </w:t>
      </w:r>
      <w:r>
        <w:rPr>
          <w:rStyle w:val="nfasis"/>
        </w:rPr>
        <w:t xml:space="preserve">The New York Times </w:t>
      </w:r>
      <w:r>
        <w:t xml:space="preserve">que había descubierto el secreto que se escondía detrás del </w:t>
      </w:r>
      <w:r w:rsidRPr="00A066EF">
        <w:rPr>
          <w:rStyle w:val="Textoennegrita"/>
          <w:rFonts w:eastAsiaTheme="majorEastAsia"/>
          <w:b w:val="0"/>
        </w:rPr>
        <w:t>milagro educativo chino</w:t>
      </w:r>
      <w:r>
        <w:t>, y era simple y llanamente, que no había ningún secreto. No se trata de que hagan algo esencialmente distinto a lo que la mayor parte de expertos considera que contribuye a mejorar la educación en un país, sino que lo hacen mejor que nadie.</w:t>
      </w:r>
    </w:p>
    <w:p w:rsidR="00A066EF" w:rsidRDefault="00A066EF" w:rsidP="00550638">
      <w:pPr>
        <w:pStyle w:val="NormalWeb"/>
        <w:jc w:val="both"/>
      </w:pPr>
      <w:r>
        <w:t>Friedman ha visitado recientemente China junto con parte del equipo de “</w:t>
      </w:r>
      <w:hyperlink r:id="rId281" w:history="1">
        <w:r w:rsidRPr="00A066EF">
          <w:rPr>
            <w:rStyle w:val="Hipervnculo"/>
            <w:rFonts w:eastAsiaTheme="majorEastAsia"/>
            <w:color w:val="auto"/>
            <w:u w:val="none"/>
          </w:rPr>
          <w:t>Teach for America</w:t>
        </w:r>
      </w:hyperlink>
      <w:r>
        <w:t>”</w:t>
      </w:r>
      <w:r w:rsidRPr="00A066EF">
        <w:t>,</w:t>
      </w:r>
      <w:r>
        <w:t xml:space="preserve"> una organización estadounidense sin ánimo de lucro fundada por </w:t>
      </w:r>
      <w:r w:rsidRPr="00A066EF">
        <w:rPr>
          <w:rStyle w:val="Textoennegrita"/>
          <w:rFonts w:eastAsiaTheme="majorEastAsia"/>
          <w:b w:val="0"/>
        </w:rPr>
        <w:t>Wendy Klopp</w:t>
      </w:r>
      <w:r>
        <w:rPr>
          <w:rStyle w:val="Textoennegrita"/>
          <w:rFonts w:eastAsiaTheme="majorEastAsia"/>
        </w:rPr>
        <w:t xml:space="preserve"> </w:t>
      </w:r>
      <w:r>
        <w:t xml:space="preserve">que tiene como objetivo mejorar la educación americana y que, para ello, envía a profesionales a </w:t>
      </w:r>
      <w:r w:rsidRPr="00A066EF">
        <w:rPr>
          <w:rStyle w:val="Textoennegrita"/>
          <w:rFonts w:eastAsiaTheme="majorEastAsia"/>
          <w:b w:val="0"/>
        </w:rPr>
        <w:t>32 países diferentes</w:t>
      </w:r>
      <w:r>
        <w:rPr>
          <w:rStyle w:val="Textoennegrita"/>
          <w:rFonts w:eastAsiaTheme="majorEastAsia"/>
        </w:rPr>
        <w:t xml:space="preserve"> </w:t>
      </w:r>
      <w:r>
        <w:t xml:space="preserve">para que investiguen los modelos de aprendizaje que utiliza cada región. Para el escritor, los buenos resultados de </w:t>
      </w:r>
      <w:r w:rsidR="00D44948">
        <w:t>Shanghái</w:t>
      </w:r>
      <w:r>
        <w:t xml:space="preserve"> son la consecuencia lógica de “30 años de inversión en educación e infraestructuras”.</w:t>
      </w:r>
    </w:p>
    <w:p w:rsidR="00A066EF" w:rsidRDefault="00A066EF" w:rsidP="00550638">
      <w:pPr>
        <w:pStyle w:val="NormalWeb"/>
        <w:jc w:val="both"/>
      </w:pPr>
      <w:r>
        <w:t xml:space="preserve">El veterano periodista sintetiza con la siguiente sentencia todo aquello que marca la diferencia en la ciudad más poblada de China: “Un profundo compromiso con la formación de los profesores, el aprendizaje entre compañeros y la implicación de los padres en la formación de sus hijos, </w:t>
      </w:r>
      <w:r w:rsidRPr="00132E54">
        <w:rPr>
          <w:rStyle w:val="Textoennegrita"/>
          <w:rFonts w:eastAsiaTheme="majorEastAsia"/>
          <w:b w:val="0"/>
        </w:rPr>
        <w:t>la insistencia de cada centro en conseguir los estándares más altos</w:t>
      </w:r>
      <w:r>
        <w:t xml:space="preserve"> y una cultura que premia la educación y respeta a los profesores”.</w:t>
      </w:r>
    </w:p>
    <w:p w:rsidR="00A066EF" w:rsidRDefault="00A066EF" w:rsidP="00550638">
      <w:pPr>
        <w:pStyle w:val="NormalWeb"/>
        <w:jc w:val="both"/>
      </w:pPr>
      <w:r>
        <w:t xml:space="preserve">Es decir, nada </w:t>
      </w:r>
      <w:r w:rsidRPr="00132E54">
        <w:t xml:space="preserve">de </w:t>
      </w:r>
      <w:hyperlink r:id="rId282" w:history="1">
        <w:r w:rsidRPr="00132E54">
          <w:rPr>
            <w:rStyle w:val="Hipervnculo"/>
            <w:rFonts w:eastAsiaTheme="majorEastAsia"/>
            <w:color w:val="auto"/>
            <w:u w:val="none"/>
          </w:rPr>
          <w:t>tecnologías de ultimísima generación</w:t>
        </w:r>
      </w:hyperlink>
      <w:r w:rsidRPr="00132E54">
        <w:t xml:space="preserve"> ni de la rápida implantación de </w:t>
      </w:r>
      <w:hyperlink r:id="rId283" w:history="1">
        <w:r w:rsidRPr="00132E54">
          <w:rPr>
            <w:rStyle w:val="Hipervnculo"/>
            <w:rFonts w:eastAsiaTheme="majorEastAsia"/>
            <w:color w:val="auto"/>
            <w:u w:val="none"/>
          </w:rPr>
          <w:t>nuevas tendencias educativas</w:t>
        </w:r>
      </w:hyperlink>
      <w:r>
        <w:t xml:space="preserve">: la fórmula es bien conocida por todos, si bien raramente se aplica, debido quizá a los altos costes económicos que implicaría. Quién sabe si los docentes estarían dispuestos a dedicar gran parte de su día a aprender, y no a enseñar, algo que suelen hacer la mayor parte de los docentes chinos. Friedman señala que “los profesores </w:t>
      </w:r>
      <w:r w:rsidRPr="00132E54">
        <w:rPr>
          <w:rStyle w:val="Textoennegrita"/>
          <w:rFonts w:eastAsiaTheme="majorEastAsia"/>
          <w:b w:val="0"/>
        </w:rPr>
        <w:t>pasan el 70% de su jornada enseñando</w:t>
      </w:r>
      <w:r>
        <w:t xml:space="preserve"> y el 30% restante desarrollando sus habilidades y planificando sus clases”.</w:t>
      </w:r>
    </w:p>
    <w:p w:rsidR="00A066EF" w:rsidRDefault="00A066EF" w:rsidP="00550638">
      <w:pPr>
        <w:pStyle w:val="NormalWeb"/>
        <w:jc w:val="both"/>
      </w:pPr>
      <w:r>
        <w:lastRenderedPageBreak/>
        <w:t xml:space="preserve">Como recuerda Friedman, “los expertos están de acuerdo en que, de todas las cosas que mejoran una escuela, no hay nada (ni el tamaño de la clase ni la duración de la jornada escolar) que resulte más rentable que darle a los profesores el tiempo necesario para la revisión entre pares y la retroalimentación positiva, </w:t>
      </w:r>
      <w:r w:rsidRPr="00132E54">
        <w:rPr>
          <w:rStyle w:val="Textoennegrita"/>
          <w:rFonts w:eastAsiaTheme="majorEastAsia"/>
          <w:b w:val="0"/>
        </w:rPr>
        <w:t>la exposición a la mejor forma de enseñanza</w:t>
      </w:r>
      <w:r>
        <w:rPr>
          <w:rStyle w:val="Textoennegrita"/>
          <w:rFonts w:eastAsiaTheme="majorEastAsia"/>
        </w:rPr>
        <w:t xml:space="preserve"> </w:t>
      </w:r>
      <w:r>
        <w:t>y el tiempo para profundizar en su conocimiento de lo que están enseñando”.</w:t>
      </w:r>
    </w:p>
    <w:p w:rsidR="00A066EF" w:rsidRDefault="00A066EF" w:rsidP="00550638">
      <w:pPr>
        <w:pStyle w:val="NormalWeb"/>
        <w:jc w:val="both"/>
      </w:pPr>
      <w:r>
        <w:t xml:space="preserve">El modelo constructivista del aprendizaje defendido por </w:t>
      </w:r>
      <w:r w:rsidRPr="00132E54">
        <w:rPr>
          <w:rStyle w:val="Textoennegrita"/>
          <w:rFonts w:eastAsiaTheme="majorEastAsia"/>
          <w:b w:val="0"/>
        </w:rPr>
        <w:t>Albert Bandura</w:t>
      </w:r>
      <w:r>
        <w:t xml:space="preserve">, entre otros, defendía la necesidad de proporcionar al alumno las herramientas necesarias para que pudiera convertirse en el protagonista de su proceso de aprendizaje; en este caso, ocurre algo semejante, pero con la figura del profesor. Su tiempo fuera del aula </w:t>
      </w:r>
      <w:r w:rsidRPr="00132E54">
        <w:rPr>
          <w:rStyle w:val="Textoennegrita"/>
          <w:rFonts w:eastAsiaTheme="majorEastAsia"/>
          <w:b w:val="0"/>
        </w:rPr>
        <w:t>no se destina exclusivamente a corregir exámenes y trabajos</w:t>
      </w:r>
      <w:r>
        <w:t>, sino a compartir con sus colegas sus experiencias.</w:t>
      </w:r>
    </w:p>
    <w:p w:rsidR="00A066EF" w:rsidRDefault="00A066EF" w:rsidP="00550638">
      <w:pPr>
        <w:pStyle w:val="NormalWeb"/>
        <w:jc w:val="both"/>
      </w:pPr>
      <w:r>
        <w:t xml:space="preserve">Ello implica que algunos profesores pasen gran parte de tiempo </w:t>
      </w:r>
      <w:r w:rsidRPr="00132E54">
        <w:rPr>
          <w:rStyle w:val="Textoennegrita"/>
          <w:rFonts w:eastAsiaTheme="majorEastAsia"/>
          <w:b w:val="0"/>
        </w:rPr>
        <w:t>observando las clases de sus compañeros</w:t>
      </w:r>
      <w:r>
        <w:t>, un método ideal para comprobar lo que mejor y peor funciona en cada circunstancia. También se mantienen en contacto por internet con sus compañeros y dialogan con ellos, especialmente con los más veteranos, para ver de qué manera pueden superar los problemas que encuentran en el día a día.</w:t>
      </w:r>
    </w:p>
    <w:p w:rsidR="00132E54" w:rsidRDefault="00A066EF" w:rsidP="00550638">
      <w:pPr>
        <w:pStyle w:val="NormalWeb"/>
        <w:jc w:val="both"/>
      </w:pPr>
      <w:r>
        <w:t>¿El último factor que hace de esta una ecuación ganadora? Los padres, por supuesto, que se implican en la educación de sus hijos de una manera mucho más profunda que la que es habitual en España. Friedman asegura que “</w:t>
      </w:r>
      <w:r w:rsidRPr="00132E54">
        <w:rPr>
          <w:rStyle w:val="Textoennegrita"/>
          <w:rFonts w:eastAsiaTheme="majorEastAsia"/>
          <w:b w:val="0"/>
        </w:rPr>
        <w:t>los padres acuden al centro educativo de tres a cinco veces</w:t>
      </w:r>
      <w:r>
        <w:t xml:space="preserve"> cada semestre para desarrollar habilidades informáticas que les permitan ayudar a sus hijos con los deberes”.</w:t>
      </w:r>
    </w:p>
    <w:p w:rsidR="00A066EF" w:rsidRDefault="00A066EF" w:rsidP="00550638">
      <w:pPr>
        <w:pStyle w:val="NormalWeb"/>
        <w:jc w:val="both"/>
      </w:pPr>
      <w:r>
        <w:t xml:space="preserve">En el mismo artículo, </w:t>
      </w:r>
      <w:r w:rsidRPr="00132E54">
        <w:rPr>
          <w:rStyle w:val="Textoennegrita"/>
          <w:rFonts w:eastAsiaTheme="majorEastAsia"/>
          <w:b w:val="0"/>
        </w:rPr>
        <w:t>Andreas Schleicher</w:t>
      </w:r>
      <w:r>
        <w:t xml:space="preserve">, el máximo encargado de la realización de los informes PISA, hacía referencia a la increíble mejora que había experimentado la educación china en apenas un decenio, al mismo tiempo que </w:t>
      </w:r>
      <w:r w:rsidRPr="00132E54">
        <w:rPr>
          <w:rStyle w:val="Textoennegrita"/>
          <w:rFonts w:eastAsiaTheme="majorEastAsia"/>
          <w:b w:val="0"/>
        </w:rPr>
        <w:t>ha reducido la brecha entre los mejores centros y los peores</w:t>
      </w:r>
      <w:r w:rsidRPr="00132E54">
        <w:rPr>
          <w:b/>
        </w:rPr>
        <w:t>.</w:t>
      </w:r>
      <w:r>
        <w:t xml:space="preserve"> El experto cree que ello se debe al propio mecanismo de mejora colectiva que caracteriza la educación china, y que ayuda a que los más avanzados tiren de los rezagados.</w:t>
      </w:r>
    </w:p>
    <w:p w:rsidR="00A066EF" w:rsidRDefault="00A066EF" w:rsidP="00550638">
      <w:pPr>
        <w:pStyle w:val="NormalWeb"/>
        <w:jc w:val="both"/>
      </w:pPr>
      <w:r>
        <w:t xml:space="preserve"> “El sistema es muy adecuado para atraer a la gente m</w:t>
      </w:r>
      <w:r w:rsidR="009D1533">
        <w:t>edia y hacerlos muy productivos”</w:t>
      </w:r>
      <w:r>
        <w:t xml:space="preserve">, señala Schleicher, también subdirector de la OCDE: “Pone a los mejores profesores al frente de las clases más conflictivas”. En una entrevista previa concedida a la BBC, Schleicher ya había señalado que lo que distingue a los estudiantes chinos es </w:t>
      </w:r>
      <w:r w:rsidRPr="00132E54">
        <w:rPr>
          <w:rStyle w:val="Textoennegrita"/>
          <w:rFonts w:eastAsiaTheme="majorEastAsia"/>
          <w:b w:val="0"/>
        </w:rPr>
        <w:t>su “resiliencia” a la hora de afrontar las dificultades</w:t>
      </w:r>
      <w:r w:rsidRPr="00132E54">
        <w:t>:</w:t>
      </w:r>
      <w:r>
        <w:t xml:space="preserve"> “En China, la idea de que la educación es la llave de la movilidad social del éxito está muy enraizada”.</w:t>
      </w:r>
    </w:p>
    <w:p w:rsidR="00A066EF" w:rsidRDefault="00A066EF" w:rsidP="00550638">
      <w:pPr>
        <w:pStyle w:val="NormalWeb"/>
        <w:jc w:val="both"/>
      </w:pPr>
      <w:r>
        <w:t xml:space="preserve">No obstante, algunos han advertido de que los resultados se limitan únicamente a </w:t>
      </w:r>
      <w:r w:rsidR="00D44948">
        <w:t>Shanghái</w:t>
      </w:r>
      <w:r>
        <w:t xml:space="preserve"> y que la situación en las regiones rurales del país, mucho más pobres, es sensiblemente distinta, ya que el informe PISA tan sólo se detiene en doce provincias particularmente exitosas. </w:t>
      </w:r>
      <w:r w:rsidRPr="00132E54">
        <w:rPr>
          <w:rStyle w:val="Textoennegrita"/>
          <w:rFonts w:eastAsiaTheme="majorEastAsia"/>
          <w:b w:val="0"/>
        </w:rPr>
        <w:t>El porcent</w:t>
      </w:r>
      <w:r w:rsidR="00132E54">
        <w:rPr>
          <w:rStyle w:val="Textoennegrita"/>
          <w:rFonts w:eastAsiaTheme="majorEastAsia"/>
          <w:b w:val="0"/>
        </w:rPr>
        <w:t>aje de universitarios en Shanghá</w:t>
      </w:r>
      <w:r w:rsidRPr="00132E54">
        <w:rPr>
          <w:rStyle w:val="Textoennegrita"/>
          <w:rFonts w:eastAsiaTheme="majorEastAsia"/>
          <w:b w:val="0"/>
        </w:rPr>
        <w:t>i es del 84%</w:t>
      </w:r>
      <w:r w:rsidRPr="00132E54">
        <w:rPr>
          <w:b/>
        </w:rPr>
        <w:t>,</w:t>
      </w:r>
      <w:r>
        <w:t xml:space="preserve"> mientras que en el resto del país se encuentra en el 24%. Además, la inversión de los padres shanghaianos en la educación de sus hijos es mucho más alta que la media del país.</w:t>
      </w:r>
    </w:p>
    <w:p w:rsidR="00A066EF" w:rsidRDefault="00A066EF" w:rsidP="00550638">
      <w:pPr>
        <w:pStyle w:val="NormalWeb"/>
        <w:jc w:val="both"/>
      </w:pPr>
      <w:r>
        <w:t xml:space="preserve">Aun así, Schleicher ha querido recordar que </w:t>
      </w:r>
      <w:r w:rsidR="00132E54">
        <w:rPr>
          <w:rStyle w:val="Textoennegrita"/>
          <w:rFonts w:eastAsiaTheme="majorEastAsia"/>
          <w:b w:val="0"/>
        </w:rPr>
        <w:t>la mentalidad de Shanghá</w:t>
      </w:r>
      <w:r w:rsidRPr="00132E54">
        <w:rPr>
          <w:rStyle w:val="Textoennegrita"/>
          <w:rFonts w:eastAsiaTheme="majorEastAsia"/>
          <w:b w:val="0"/>
        </w:rPr>
        <w:t>i sobre la educación se extiende a todo el país</w:t>
      </w:r>
      <w:r>
        <w:t xml:space="preserve"> y que es ello lo que distingue al gigante asiático de los países occidentales. “En Europa, todo consiste en la herencia social: ‘Mi padre era </w:t>
      </w:r>
      <w:r>
        <w:lastRenderedPageBreak/>
        <w:t>fontanero, así que yo también lo voy a ser’”, señalaba el alemán. “En China, nueve de cada diez niños te dirían ‘si estudio mucho y me esfuerzo, puedo alcanzar el éxito’”.</w:t>
      </w:r>
    </w:p>
    <w:p w:rsidR="00A066EF" w:rsidRPr="00CD47E5" w:rsidRDefault="00A066EF" w:rsidP="00550638">
      <w:pPr>
        <w:pStyle w:val="NormalWeb"/>
        <w:jc w:val="both"/>
        <w:rPr>
          <w:color w:val="FF0000"/>
        </w:rPr>
      </w:pPr>
      <w:r w:rsidRPr="00CD47E5">
        <w:rPr>
          <w:color w:val="FF0000"/>
        </w:rPr>
        <w:t xml:space="preserve">Me he prometido a mí mismo, por respeto a los lectores y para no condicionar su valoración, no hacer acotaciones, comentarios o agregados a la información de hemeroteca, pero casi al final, perdonen ustedes, no quiero dejar de resaltar, los aspectos claves </w:t>
      </w:r>
      <w:r w:rsidR="00132E54">
        <w:rPr>
          <w:color w:val="FF0000"/>
        </w:rPr>
        <w:t>del éxito d</w:t>
      </w:r>
      <w:r w:rsidRPr="00CD47E5">
        <w:rPr>
          <w:color w:val="FF0000"/>
        </w:rPr>
        <w:t>el sistema de educación “moderno” en los países “tri</w:t>
      </w:r>
      <w:r w:rsidR="005F304D">
        <w:rPr>
          <w:color w:val="FF0000"/>
        </w:rPr>
        <w:t>unfadores”: “volver al origen” (</w:t>
      </w:r>
      <w:r w:rsidRPr="00CD47E5">
        <w:rPr>
          <w:color w:val="FF0000"/>
        </w:rPr>
        <w:t>casi, casi, el “mismo sistema” con el que estudié hace 60 años</w:t>
      </w:r>
      <w:r w:rsidR="005F304D">
        <w:rPr>
          <w:color w:val="FF0000"/>
        </w:rPr>
        <w:t>)</w:t>
      </w:r>
      <w:r w:rsidRPr="00CD47E5">
        <w:rPr>
          <w:color w:val="FF0000"/>
        </w:rPr>
        <w:t xml:space="preserve">.   </w:t>
      </w:r>
    </w:p>
    <w:p w:rsidR="00A066EF" w:rsidRPr="009C1A8E" w:rsidRDefault="00A066EF" w:rsidP="00550638">
      <w:pPr>
        <w:spacing w:line="240" w:lineRule="auto"/>
        <w:jc w:val="both"/>
        <w:rPr>
          <w:rStyle w:val="contenido-apoyo"/>
          <w:rFonts w:ascii="Times New Roman" w:hAnsi="Times New Roman" w:cs="Times New Roman"/>
          <w:color w:val="FF0000"/>
          <w:sz w:val="24"/>
          <w:szCs w:val="24"/>
        </w:rPr>
      </w:pPr>
      <w:r w:rsidRPr="009C1A8E">
        <w:rPr>
          <w:rStyle w:val="contenido-apoyo"/>
          <w:rFonts w:ascii="Times New Roman" w:hAnsi="Times New Roman" w:cs="Times New Roman"/>
          <w:color w:val="FF0000"/>
          <w:sz w:val="24"/>
          <w:szCs w:val="24"/>
        </w:rPr>
        <w:t>Los padres se implican en la educación de sus hijos de una forma más profunda que en occidente</w:t>
      </w:r>
    </w:p>
    <w:p w:rsidR="00A066EF" w:rsidRPr="009C1A8E" w:rsidRDefault="00A066EF" w:rsidP="00550638">
      <w:pPr>
        <w:spacing w:line="240" w:lineRule="auto"/>
        <w:jc w:val="both"/>
        <w:rPr>
          <w:rStyle w:val="contenido-apoyo"/>
          <w:rFonts w:ascii="Times New Roman" w:hAnsi="Times New Roman" w:cs="Times New Roman"/>
          <w:color w:val="FF0000"/>
          <w:sz w:val="24"/>
          <w:szCs w:val="24"/>
        </w:rPr>
      </w:pPr>
      <w:r w:rsidRPr="009C1A8E">
        <w:rPr>
          <w:rStyle w:val="contenido-apoyo"/>
          <w:rFonts w:ascii="Times New Roman" w:hAnsi="Times New Roman" w:cs="Times New Roman"/>
          <w:color w:val="FF0000"/>
          <w:sz w:val="24"/>
          <w:szCs w:val="24"/>
        </w:rPr>
        <w:t>En China, la idea de que la educación es la llave de la movilidad social del éxito está muy enraizada</w:t>
      </w:r>
    </w:p>
    <w:p w:rsidR="00A066EF" w:rsidRDefault="00A066EF" w:rsidP="00550638">
      <w:pPr>
        <w:spacing w:line="240" w:lineRule="auto"/>
        <w:jc w:val="both"/>
        <w:rPr>
          <w:rStyle w:val="contenido-apoyo"/>
          <w:rFonts w:ascii="Times New Roman" w:hAnsi="Times New Roman" w:cs="Times New Roman"/>
          <w:color w:val="FF0000"/>
          <w:sz w:val="24"/>
          <w:szCs w:val="24"/>
        </w:rPr>
      </w:pPr>
      <w:r w:rsidRPr="009C1A8E">
        <w:rPr>
          <w:rStyle w:val="contenido-apoyo"/>
          <w:rFonts w:ascii="Times New Roman" w:hAnsi="Times New Roman" w:cs="Times New Roman"/>
          <w:color w:val="FF0000"/>
          <w:sz w:val="24"/>
          <w:szCs w:val="24"/>
        </w:rPr>
        <w:t>En China, los niños piensan que si estudian mucho y se esfuerzan, pueden alcanzar el éxito</w:t>
      </w:r>
    </w:p>
    <w:p w:rsidR="00A066EF" w:rsidRDefault="00A066EF" w:rsidP="00550638">
      <w:pPr>
        <w:spacing w:line="240" w:lineRule="auto"/>
        <w:jc w:val="both"/>
        <w:rPr>
          <w:rStyle w:val="contenido-apoyo"/>
          <w:rFonts w:ascii="Times New Roman" w:hAnsi="Times New Roman" w:cs="Times New Roman"/>
          <w:color w:val="FF0000"/>
          <w:sz w:val="24"/>
          <w:szCs w:val="24"/>
        </w:rPr>
      </w:pPr>
      <w:r>
        <w:rPr>
          <w:rStyle w:val="contenido-apoyo"/>
          <w:rFonts w:ascii="Times New Roman" w:hAnsi="Times New Roman" w:cs="Times New Roman"/>
          <w:color w:val="FF0000"/>
          <w:sz w:val="24"/>
          <w:szCs w:val="24"/>
        </w:rPr>
        <w:t>Si reemplazamos China por Argentina, la “puñetera” verdad sobre la educación era la misma. No había milagros, ni atajos, ni relativismo: solo trabajo, respeto, y exigencia.</w:t>
      </w:r>
    </w:p>
    <w:p w:rsidR="005F304D" w:rsidRPr="005F304D" w:rsidRDefault="00A066EF" w:rsidP="00550638">
      <w:pPr>
        <w:spacing w:line="240" w:lineRule="auto"/>
        <w:jc w:val="both"/>
        <w:rPr>
          <w:rStyle w:val="contenido-apoyo"/>
          <w:rFonts w:ascii="Times New Roman" w:hAnsi="Times New Roman" w:cs="Times New Roman"/>
          <w:color w:val="FF0000"/>
          <w:sz w:val="24"/>
          <w:szCs w:val="24"/>
        </w:rPr>
      </w:pPr>
      <w:r>
        <w:rPr>
          <w:rStyle w:val="contenido-apoyo"/>
          <w:rFonts w:ascii="Times New Roman" w:hAnsi="Times New Roman" w:cs="Times New Roman"/>
          <w:color w:val="FF0000"/>
          <w:sz w:val="24"/>
          <w:szCs w:val="24"/>
        </w:rPr>
        <w:t>Todo esto se fue a la “mierda”</w:t>
      </w:r>
      <w:r w:rsidR="007C1F24">
        <w:rPr>
          <w:rStyle w:val="contenido-apoyo"/>
          <w:rFonts w:ascii="Times New Roman" w:hAnsi="Times New Roman" w:cs="Times New Roman"/>
          <w:color w:val="FF0000"/>
          <w:sz w:val="24"/>
          <w:szCs w:val="24"/>
        </w:rPr>
        <w:t>,</w:t>
      </w:r>
      <w:r>
        <w:rPr>
          <w:rStyle w:val="contenido-apoyo"/>
          <w:rFonts w:ascii="Times New Roman" w:hAnsi="Times New Roman" w:cs="Times New Roman"/>
          <w:color w:val="FF0000"/>
          <w:sz w:val="24"/>
          <w:szCs w:val="24"/>
        </w:rPr>
        <w:t xml:space="preserve"> cuando se toleró</w:t>
      </w:r>
      <w:r w:rsidR="005F304D">
        <w:rPr>
          <w:rStyle w:val="contenido-apoyo"/>
          <w:rFonts w:ascii="Times New Roman" w:hAnsi="Times New Roman" w:cs="Times New Roman"/>
          <w:color w:val="FF0000"/>
          <w:sz w:val="24"/>
          <w:szCs w:val="24"/>
        </w:rPr>
        <w:t xml:space="preserve"> </w:t>
      </w:r>
      <w:r w:rsidR="005F304D">
        <w:rPr>
          <w:rFonts w:ascii="Times New Roman" w:hAnsi="Times New Roman" w:cs="Times New Roman"/>
          <w:color w:val="FF0000"/>
          <w:sz w:val="24"/>
          <w:szCs w:val="24"/>
        </w:rPr>
        <w:t>“</w:t>
      </w:r>
      <w:r w:rsidR="005F304D" w:rsidRPr="005F304D">
        <w:rPr>
          <w:rFonts w:ascii="Times New Roman" w:hAnsi="Times New Roman" w:cs="Times New Roman"/>
          <w:color w:val="FF0000"/>
          <w:sz w:val="24"/>
          <w:szCs w:val="24"/>
        </w:rPr>
        <w:t>la insoportable levedad del cortoplacism</w:t>
      </w:r>
      <w:r w:rsidR="005F304D">
        <w:rPr>
          <w:rFonts w:ascii="Times New Roman" w:hAnsi="Times New Roman" w:cs="Times New Roman"/>
          <w:color w:val="FF0000"/>
          <w:sz w:val="24"/>
          <w:szCs w:val="24"/>
        </w:rPr>
        <w:t>o de la política con minúsculas”</w:t>
      </w:r>
      <w:r w:rsidR="007C1F24">
        <w:rPr>
          <w:rFonts w:ascii="Times New Roman" w:hAnsi="Times New Roman" w:cs="Times New Roman"/>
          <w:color w:val="FF0000"/>
          <w:sz w:val="24"/>
          <w:szCs w:val="24"/>
        </w:rPr>
        <w:t xml:space="preserve">, </w:t>
      </w:r>
      <w:r w:rsidR="005F304D">
        <w:rPr>
          <w:rFonts w:ascii="Times New Roman" w:hAnsi="Times New Roman" w:cs="Times New Roman"/>
          <w:color w:val="FF0000"/>
          <w:sz w:val="24"/>
          <w:szCs w:val="24"/>
        </w:rPr>
        <w:t>que prefirió</w:t>
      </w:r>
      <w:r w:rsidR="006A1AC0">
        <w:rPr>
          <w:rFonts w:ascii="Times New Roman" w:hAnsi="Times New Roman" w:cs="Times New Roman"/>
          <w:color w:val="FF0000"/>
          <w:sz w:val="24"/>
          <w:szCs w:val="24"/>
        </w:rPr>
        <w:t xml:space="preserve"> opciones mediocres, populistas</w:t>
      </w:r>
      <w:r w:rsidR="005F304D">
        <w:rPr>
          <w:rFonts w:ascii="Times New Roman" w:hAnsi="Times New Roman" w:cs="Times New Roman"/>
          <w:color w:val="FF0000"/>
          <w:sz w:val="24"/>
          <w:szCs w:val="24"/>
        </w:rPr>
        <w:t>, clientelares,</w:t>
      </w:r>
      <w:r w:rsidR="00FA7DB6">
        <w:rPr>
          <w:rFonts w:ascii="Times New Roman" w:hAnsi="Times New Roman" w:cs="Times New Roman"/>
          <w:color w:val="FF0000"/>
          <w:sz w:val="24"/>
          <w:szCs w:val="24"/>
        </w:rPr>
        <w:t xml:space="preserve"> </w:t>
      </w:r>
      <w:r w:rsidR="005F304D">
        <w:rPr>
          <w:rFonts w:ascii="Times New Roman" w:hAnsi="Times New Roman" w:cs="Times New Roman"/>
          <w:color w:val="FF0000"/>
          <w:sz w:val="24"/>
          <w:szCs w:val="24"/>
        </w:rPr>
        <w:t>c</w:t>
      </w:r>
      <w:r w:rsidR="00FA7DB6">
        <w:rPr>
          <w:rFonts w:ascii="Times New Roman" w:hAnsi="Times New Roman" w:cs="Times New Roman"/>
          <w:color w:val="FF0000"/>
          <w:sz w:val="24"/>
          <w:szCs w:val="24"/>
        </w:rPr>
        <w:t xml:space="preserve">orporativistas, </w:t>
      </w:r>
      <w:r w:rsidR="006A1AC0">
        <w:rPr>
          <w:rFonts w:ascii="Times New Roman" w:hAnsi="Times New Roman" w:cs="Times New Roman"/>
          <w:color w:val="FF0000"/>
          <w:sz w:val="24"/>
          <w:szCs w:val="24"/>
        </w:rPr>
        <w:t>de menor coste electoral</w:t>
      </w:r>
      <w:r w:rsidR="009E13A1">
        <w:rPr>
          <w:rFonts w:ascii="Times New Roman" w:hAnsi="Times New Roman" w:cs="Times New Roman"/>
          <w:color w:val="FF0000"/>
          <w:sz w:val="24"/>
          <w:szCs w:val="24"/>
        </w:rPr>
        <w:t xml:space="preserve"> y mayor rentabilidad mediática</w:t>
      </w:r>
      <w:r w:rsidR="006A1AC0">
        <w:rPr>
          <w:rFonts w:ascii="Times New Roman" w:hAnsi="Times New Roman" w:cs="Times New Roman"/>
          <w:color w:val="FF0000"/>
          <w:sz w:val="24"/>
          <w:szCs w:val="24"/>
        </w:rPr>
        <w:t>,</w:t>
      </w:r>
      <w:r w:rsidR="00FA7DB6">
        <w:rPr>
          <w:rFonts w:ascii="Times New Roman" w:hAnsi="Times New Roman" w:cs="Times New Roman"/>
          <w:color w:val="FF0000"/>
          <w:sz w:val="24"/>
          <w:szCs w:val="24"/>
        </w:rPr>
        <w:t xml:space="preserve"> confundiendo </w:t>
      </w:r>
      <w:r w:rsidR="00C7207D">
        <w:rPr>
          <w:rFonts w:ascii="Times New Roman" w:hAnsi="Times New Roman" w:cs="Times New Roman"/>
          <w:color w:val="FF0000"/>
          <w:sz w:val="24"/>
          <w:szCs w:val="24"/>
        </w:rPr>
        <w:t>la “des-educación</w:t>
      </w:r>
      <w:r w:rsidR="00C313A0">
        <w:rPr>
          <w:rFonts w:ascii="Times New Roman" w:hAnsi="Times New Roman" w:cs="Times New Roman"/>
          <w:color w:val="FF0000"/>
          <w:sz w:val="24"/>
          <w:szCs w:val="24"/>
        </w:rPr>
        <w:t>”</w:t>
      </w:r>
      <w:r w:rsidR="00FA7DB6">
        <w:rPr>
          <w:rFonts w:ascii="Times New Roman" w:hAnsi="Times New Roman" w:cs="Times New Roman"/>
          <w:color w:val="FF0000"/>
          <w:sz w:val="24"/>
          <w:szCs w:val="24"/>
        </w:rPr>
        <w:t>, con</w:t>
      </w:r>
      <w:r w:rsidR="00C7207D">
        <w:rPr>
          <w:rFonts w:ascii="Times New Roman" w:hAnsi="Times New Roman" w:cs="Times New Roman"/>
          <w:color w:val="FF0000"/>
          <w:sz w:val="24"/>
          <w:szCs w:val="24"/>
        </w:rPr>
        <w:t xml:space="preserve"> la</w:t>
      </w:r>
      <w:r w:rsidR="00FA7DB6">
        <w:rPr>
          <w:rFonts w:ascii="Times New Roman" w:hAnsi="Times New Roman" w:cs="Times New Roman"/>
          <w:color w:val="FF0000"/>
          <w:sz w:val="24"/>
          <w:szCs w:val="24"/>
        </w:rPr>
        <w:t xml:space="preserve"> </w:t>
      </w:r>
      <w:r w:rsidR="00C313A0">
        <w:rPr>
          <w:rFonts w:ascii="Times New Roman" w:hAnsi="Times New Roman" w:cs="Times New Roman"/>
          <w:color w:val="FF0000"/>
          <w:sz w:val="24"/>
          <w:szCs w:val="24"/>
        </w:rPr>
        <w:t>“</w:t>
      </w:r>
      <w:r w:rsidR="00FA7DB6">
        <w:rPr>
          <w:rFonts w:ascii="Times New Roman" w:hAnsi="Times New Roman" w:cs="Times New Roman"/>
          <w:color w:val="FF0000"/>
          <w:sz w:val="24"/>
          <w:szCs w:val="24"/>
        </w:rPr>
        <w:t>igualdad de oportunidades</w:t>
      </w:r>
      <w:r w:rsidR="00C313A0">
        <w:rPr>
          <w:rFonts w:ascii="Times New Roman" w:hAnsi="Times New Roman" w:cs="Times New Roman"/>
          <w:color w:val="FF0000"/>
          <w:sz w:val="24"/>
          <w:szCs w:val="24"/>
        </w:rPr>
        <w:t>”</w:t>
      </w:r>
      <w:r w:rsidR="006A1AC0">
        <w:rPr>
          <w:rFonts w:ascii="Times New Roman" w:hAnsi="Times New Roman" w:cs="Times New Roman"/>
          <w:color w:val="FF0000"/>
          <w:sz w:val="24"/>
          <w:szCs w:val="24"/>
        </w:rPr>
        <w:t xml:space="preserve">. </w:t>
      </w:r>
    </w:p>
    <w:p w:rsidR="00A97A17" w:rsidRDefault="00A066EF" w:rsidP="00550638">
      <w:pPr>
        <w:spacing w:line="240" w:lineRule="auto"/>
        <w:jc w:val="both"/>
        <w:rPr>
          <w:rStyle w:val="contenido-apoyo"/>
          <w:rFonts w:ascii="Times New Roman" w:hAnsi="Times New Roman" w:cs="Times New Roman"/>
          <w:color w:val="FF0000"/>
          <w:sz w:val="24"/>
          <w:szCs w:val="24"/>
        </w:rPr>
      </w:pPr>
      <w:r>
        <w:rPr>
          <w:rStyle w:val="contenido-apoyo"/>
          <w:rFonts w:ascii="Times New Roman" w:hAnsi="Times New Roman" w:cs="Times New Roman"/>
          <w:color w:val="FF0000"/>
          <w:sz w:val="24"/>
          <w:szCs w:val="24"/>
        </w:rPr>
        <w:t xml:space="preserve">¿Para qué seguir dando vueltas, y vueltas, si ya está todo inventado? </w:t>
      </w:r>
      <w:r w:rsidRPr="004D0D7D">
        <w:rPr>
          <w:rStyle w:val="contenido-apoyo"/>
          <w:rFonts w:ascii="Times New Roman" w:hAnsi="Times New Roman" w:cs="Times New Roman"/>
          <w:b/>
          <w:color w:val="FF0000"/>
          <w:sz w:val="24"/>
          <w:szCs w:val="24"/>
        </w:rPr>
        <w:t>“</w:t>
      </w:r>
      <w:r w:rsidRPr="002B206C">
        <w:rPr>
          <w:rStyle w:val="contenido-apoyo"/>
          <w:rFonts w:ascii="Times New Roman" w:hAnsi="Times New Roman" w:cs="Times New Roman"/>
          <w:color w:val="FF0000"/>
          <w:sz w:val="24"/>
          <w:szCs w:val="24"/>
        </w:rPr>
        <w:t>Fly to quality</w:t>
      </w:r>
      <w:r w:rsidRPr="004D0D7D">
        <w:rPr>
          <w:rStyle w:val="contenido-apoyo"/>
          <w:rFonts w:ascii="Times New Roman" w:hAnsi="Times New Roman" w:cs="Times New Roman"/>
          <w:b/>
          <w:color w:val="FF0000"/>
          <w:sz w:val="24"/>
          <w:szCs w:val="24"/>
        </w:rPr>
        <w:t>”</w:t>
      </w:r>
      <w:r w:rsidRPr="004D0D7D">
        <w:rPr>
          <w:rStyle w:val="contenido-apoyo"/>
          <w:rFonts w:ascii="Times New Roman" w:hAnsi="Times New Roman" w:cs="Times New Roman"/>
          <w:color w:val="FF0000"/>
          <w:sz w:val="24"/>
          <w:szCs w:val="24"/>
        </w:rPr>
        <w:t>.</w:t>
      </w:r>
      <w:r>
        <w:rPr>
          <w:rStyle w:val="contenido-apoyo"/>
          <w:rFonts w:ascii="Times New Roman" w:hAnsi="Times New Roman" w:cs="Times New Roman"/>
          <w:color w:val="FF0000"/>
          <w:sz w:val="24"/>
          <w:szCs w:val="24"/>
        </w:rPr>
        <w:t xml:space="preserve"> </w:t>
      </w:r>
    </w:p>
    <w:p w:rsidR="006E46BA" w:rsidRPr="00A97A17" w:rsidRDefault="006E46BA" w:rsidP="00550638">
      <w:pPr>
        <w:spacing w:line="240" w:lineRule="auto"/>
        <w:jc w:val="both"/>
        <w:rPr>
          <w:rFonts w:ascii="Times New Roman" w:hAnsi="Times New Roman" w:cs="Times New Roman"/>
          <w:color w:val="FF0000"/>
          <w:sz w:val="24"/>
          <w:szCs w:val="24"/>
        </w:rPr>
      </w:pPr>
      <w:r>
        <w:rPr>
          <w:rFonts w:ascii="Times New Roman" w:hAnsi="Times New Roman" w:cs="Times New Roman"/>
          <w:b/>
          <w:bCs/>
          <w:sz w:val="24"/>
          <w:szCs w:val="24"/>
        </w:rPr>
        <w:t>Informe espe</w:t>
      </w:r>
      <w:r w:rsidR="00576B44">
        <w:rPr>
          <w:rFonts w:ascii="Times New Roman" w:hAnsi="Times New Roman" w:cs="Times New Roman"/>
          <w:b/>
          <w:bCs/>
          <w:sz w:val="24"/>
          <w:szCs w:val="24"/>
        </w:rPr>
        <w:t>cial (I) - El caso español: cua</w:t>
      </w:r>
      <w:r>
        <w:rPr>
          <w:rFonts w:ascii="Times New Roman" w:hAnsi="Times New Roman" w:cs="Times New Roman"/>
          <w:b/>
          <w:bCs/>
          <w:sz w:val="24"/>
          <w:szCs w:val="24"/>
        </w:rPr>
        <w:t>ndo los maestros son “analfabetos funcionales”</w:t>
      </w:r>
      <w:r w:rsidR="00576B44">
        <w:rPr>
          <w:rFonts w:ascii="Times New Roman" w:hAnsi="Times New Roman" w:cs="Times New Roman"/>
          <w:b/>
          <w:bCs/>
          <w:sz w:val="24"/>
          <w:szCs w:val="24"/>
        </w:rPr>
        <w:t>…</w:t>
      </w:r>
      <w:r>
        <w:rPr>
          <w:rFonts w:ascii="Times New Roman" w:hAnsi="Times New Roman" w:cs="Times New Roman"/>
          <w:b/>
          <w:bCs/>
          <w:sz w:val="24"/>
          <w:szCs w:val="24"/>
        </w:rPr>
        <w:t xml:space="preserve"> </w:t>
      </w:r>
      <w:r w:rsidR="00576B44">
        <w:rPr>
          <w:rFonts w:ascii="Times New Roman" w:hAnsi="Times New Roman" w:cs="Times New Roman"/>
          <w:b/>
          <w:bCs/>
          <w:sz w:val="24"/>
          <w:szCs w:val="24"/>
        </w:rPr>
        <w:t>¿</w:t>
      </w:r>
      <w:r>
        <w:rPr>
          <w:rFonts w:ascii="Times New Roman" w:hAnsi="Times New Roman" w:cs="Times New Roman"/>
          <w:b/>
          <w:bCs/>
          <w:sz w:val="24"/>
          <w:szCs w:val="24"/>
        </w:rPr>
        <w:t>qué futuro le espera a la educación?</w:t>
      </w:r>
    </w:p>
    <w:p w:rsidR="006E46BA" w:rsidRPr="00255631" w:rsidRDefault="006E46BA" w:rsidP="00550638">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Españoles, el PSOE no ha muerto</w:t>
      </w:r>
      <w:r w:rsidR="00B42B2E">
        <w:rPr>
          <w:rFonts w:ascii="Times New Roman" w:hAnsi="Times New Roman" w:cs="Times New Roman"/>
          <w:sz w:val="24"/>
          <w:szCs w:val="24"/>
        </w:rPr>
        <w:t>,</w:t>
      </w:r>
      <w:r>
        <w:rPr>
          <w:rFonts w:ascii="Times New Roman" w:hAnsi="Times New Roman" w:cs="Times New Roman"/>
          <w:sz w:val="24"/>
          <w:szCs w:val="24"/>
        </w:rPr>
        <w:t xml:space="preserve"> y el</w:t>
      </w:r>
      <w:r w:rsidR="00B42B2E">
        <w:rPr>
          <w:rFonts w:ascii="Times New Roman" w:hAnsi="Times New Roman" w:cs="Times New Roman"/>
          <w:sz w:val="24"/>
          <w:szCs w:val="24"/>
        </w:rPr>
        <w:t xml:space="preserve"> PP</w:t>
      </w:r>
      <w:r>
        <w:rPr>
          <w:rFonts w:ascii="Times New Roman" w:hAnsi="Times New Roman" w:cs="Times New Roman"/>
          <w:sz w:val="24"/>
          <w:szCs w:val="24"/>
        </w:rPr>
        <w:t xml:space="preserve"> </w:t>
      </w:r>
      <w:r w:rsidR="00B42B2E">
        <w:rPr>
          <w:rFonts w:ascii="Times New Roman" w:hAnsi="Times New Roman" w:cs="Times New Roman"/>
          <w:sz w:val="24"/>
          <w:szCs w:val="24"/>
        </w:rPr>
        <w:t xml:space="preserve">(o </w:t>
      </w:r>
      <w:r>
        <w:rPr>
          <w:rFonts w:ascii="Times New Roman" w:hAnsi="Times New Roman" w:cs="Times New Roman"/>
          <w:sz w:val="24"/>
          <w:szCs w:val="24"/>
        </w:rPr>
        <w:t>PePoe</w:t>
      </w:r>
      <w:r w:rsidR="00B42B2E">
        <w:rPr>
          <w:rFonts w:ascii="Times New Roman" w:hAnsi="Times New Roman" w:cs="Times New Roman"/>
          <w:sz w:val="24"/>
          <w:szCs w:val="24"/>
        </w:rPr>
        <w:t>)</w:t>
      </w:r>
      <w:r>
        <w:rPr>
          <w:rFonts w:ascii="Times New Roman" w:hAnsi="Times New Roman" w:cs="Times New Roman"/>
          <w:sz w:val="24"/>
          <w:szCs w:val="24"/>
        </w:rPr>
        <w:t xml:space="preserve"> le hace respiración a</w:t>
      </w:r>
      <w:r w:rsidR="004739F1">
        <w:rPr>
          <w:rFonts w:ascii="Times New Roman" w:hAnsi="Times New Roman" w:cs="Times New Roman"/>
          <w:sz w:val="24"/>
          <w:szCs w:val="24"/>
        </w:rPr>
        <w:t>sistida: analfabetos de obligado cumplimiento</w:t>
      </w:r>
      <w:r w:rsidR="003713FE">
        <w:rPr>
          <w:rFonts w:ascii="Times New Roman" w:hAnsi="Times New Roman" w:cs="Times New Roman"/>
          <w:sz w:val="24"/>
          <w:szCs w:val="24"/>
        </w:rPr>
        <w:t xml:space="preserve"> </w:t>
      </w:r>
      <w:r>
        <w:rPr>
          <w:rFonts w:ascii="Times New Roman" w:hAnsi="Times New Roman" w:cs="Times New Roman"/>
          <w:sz w:val="24"/>
          <w:szCs w:val="24"/>
        </w:rPr>
        <w:t xml:space="preserve">(gracias al profesorado del pesebre socialista), además de borregos (por lógica consecuencia). El fin (silencio de los corderos), justifica los medios (ni estudiar, ni trabajar,… ni pensar). La </w:t>
      </w:r>
      <w:r w:rsidR="004739F1">
        <w:rPr>
          <w:rFonts w:ascii="Times New Roman" w:hAnsi="Times New Roman" w:cs="Times New Roman"/>
          <w:sz w:val="24"/>
          <w:szCs w:val="24"/>
        </w:rPr>
        <w:t>“</w:t>
      </w:r>
      <w:r>
        <w:rPr>
          <w:rFonts w:ascii="Times New Roman" w:hAnsi="Times New Roman" w:cs="Times New Roman"/>
          <w:sz w:val="24"/>
          <w:szCs w:val="24"/>
        </w:rPr>
        <w:t>paz</w:t>
      </w:r>
      <w:r w:rsidR="004739F1">
        <w:rPr>
          <w:rFonts w:ascii="Times New Roman" w:hAnsi="Times New Roman" w:cs="Times New Roman"/>
          <w:sz w:val="24"/>
          <w:szCs w:val="24"/>
        </w:rPr>
        <w:t>” del corral.</w:t>
      </w:r>
      <w:r>
        <w:rPr>
          <w:rFonts w:ascii="Times New Roman" w:hAnsi="Times New Roman" w:cs="Times New Roman"/>
          <w:sz w:val="24"/>
          <w:szCs w:val="24"/>
        </w:rPr>
        <w:t xml:space="preserve"> </w:t>
      </w:r>
    </w:p>
    <w:p w:rsidR="006E46BA" w:rsidRPr="00862589" w:rsidRDefault="006E46BA" w:rsidP="00550638">
      <w:pPr>
        <w:pStyle w:val="NormalWeb"/>
        <w:jc w:val="both"/>
      </w:pPr>
      <w:r w:rsidRPr="00862589">
        <w:t xml:space="preserve"> (Así lo cuenta </w:t>
      </w:r>
      <w:r w:rsidR="004739F1">
        <w:t>“</w:t>
      </w:r>
      <w:r w:rsidRPr="00862589">
        <w:t>El País</w:t>
      </w:r>
      <w:r w:rsidR="004739F1">
        <w:t>”</w:t>
      </w:r>
      <w:r w:rsidRPr="00862589">
        <w:t>, gran apoyo mediático del PSOE y cómplice necesario en el vaciamiento intelectual de España. Todo sea por el progresismo absurdo de la izquierda)</w:t>
      </w:r>
    </w:p>
    <w:p w:rsidR="006E46BA" w:rsidRDefault="006E46BA" w:rsidP="00550638">
      <w:pPr>
        <w:pStyle w:val="NormalWeb"/>
        <w:jc w:val="both"/>
      </w:pPr>
      <w:r>
        <w:t xml:space="preserve">- </w:t>
      </w:r>
      <w:r w:rsidRPr="00862589">
        <w:rPr>
          <w:u w:val="single"/>
        </w:rPr>
        <w:t>Maestros suspensos en primaria</w:t>
      </w:r>
      <w:r>
        <w:t xml:space="preserve"> (El País - </w:t>
      </w:r>
      <w:r w:rsidRPr="00862589">
        <w:rPr>
          <w:b/>
        </w:rPr>
        <w:t>14/3/13</w:t>
      </w:r>
      <w:r>
        <w:t>)</w:t>
      </w:r>
    </w:p>
    <w:p w:rsidR="006E46BA" w:rsidRDefault="006E46BA" w:rsidP="00550638">
      <w:pPr>
        <w:pStyle w:val="NormalWeb"/>
        <w:jc w:val="both"/>
      </w:pPr>
      <w:r>
        <w:t xml:space="preserve"> (Por Pilar Álvarez)</w:t>
      </w:r>
    </w:p>
    <w:p w:rsidR="006E46BA" w:rsidRPr="00C767ED" w:rsidRDefault="006E46BA" w:rsidP="00550638">
      <w:pPr>
        <w:pStyle w:val="NormalWeb"/>
        <w:jc w:val="both"/>
        <w:rPr>
          <w:color w:val="FF0000"/>
          <w:u w:val="single"/>
        </w:rPr>
      </w:pPr>
      <w:r w:rsidRPr="00C767ED">
        <w:rPr>
          <w:color w:val="FF0000"/>
          <w:u w:val="single"/>
        </w:rPr>
        <w:t xml:space="preserve">¿Por qué provincias pasan los ríos Duero, Ebro y Guadalquivir? Apenas el 2% de aspirantes a una plaza de maestro en las últimas oposiciones celebradas en Madrid respondió correctamente. ¿Cuál es el equivalente en gramos a dos kilogramos y 30 gramos? El 93% no supo trasladar esta unidad de medidas y otras similares (metros cuadrados y minutos). El 86% de los 14.110 aspirantes suspendieron la llamada prueba de conocimiento que incluye preguntas con el nivel equivalente a un alumno de 12 años. Aprobaron 1.913 personas, según cifras oficiales. </w:t>
      </w:r>
    </w:p>
    <w:p w:rsidR="006E46BA" w:rsidRPr="00C767ED" w:rsidRDefault="006E46BA" w:rsidP="00550638">
      <w:pPr>
        <w:pStyle w:val="NormalWeb"/>
        <w:jc w:val="both"/>
        <w:rPr>
          <w:color w:val="FF0000"/>
          <w:u w:val="single"/>
        </w:rPr>
      </w:pPr>
      <w:r w:rsidRPr="00C767ED">
        <w:rPr>
          <w:u w:val="single"/>
        </w:rPr>
        <w:lastRenderedPageBreak/>
        <w:t xml:space="preserve">Madrid convocó las últimas oposiciones a maestro en noviembre de 2011, con 489 plazas. </w:t>
      </w:r>
      <w:r w:rsidRPr="00C767ED">
        <w:rPr>
          <w:color w:val="FF0000"/>
          <w:u w:val="single"/>
        </w:rPr>
        <w:t>Los candidatos debían aprobar todas las fases de la oposición, que por primera vez eran eliminatorias, para obtener una de esas plazas. Pero no para formar parte de la lista de interinos. Unos 3.800 integrantes de esa lista fueron contratados a lo largo del curso a pesar de haber suspendido esta prueba, según estimaciones oficiales.</w:t>
      </w:r>
    </w:p>
    <w:p w:rsidR="006E46BA" w:rsidRPr="006D4ACA" w:rsidRDefault="006E46BA" w:rsidP="00550638">
      <w:pPr>
        <w:pStyle w:val="NormalWeb"/>
        <w:jc w:val="both"/>
      </w:pPr>
      <w:r>
        <w:t xml:space="preserve">El examen de oposición a maestro de primaria constaba de dos partes. En primer lugar, una prueba de conocimientos que también era nueva. Incluía una parte práctica con preguntas de nivel de primaria y la exposición de un tema. </w:t>
      </w:r>
      <w:r w:rsidRPr="00C767ED">
        <w:rPr>
          <w:u w:val="single"/>
        </w:rPr>
        <w:t>Educación solicitó un informe a la inspección sobre ese examen una vez resuelta la prueba. Los resultados de ese trabajo, que ha permanecido inédito hasta ahora, arrojan datos demoledores: faltas de ortografía, dificultades en el análisis morfológico...</w:t>
      </w:r>
      <w:r w:rsidRPr="00255631">
        <w:t xml:space="preserve"> </w:t>
      </w:r>
    </w:p>
    <w:p w:rsidR="006E46BA" w:rsidRDefault="006E46BA" w:rsidP="00550638">
      <w:pPr>
        <w:pStyle w:val="NormalWeb"/>
        <w:jc w:val="both"/>
      </w:pPr>
      <w:r w:rsidRPr="00C767ED">
        <w:rPr>
          <w:color w:val="FF0000"/>
          <w:u w:val="single"/>
        </w:rPr>
        <w:t>La evaluación sale a la luz en mitad del debate sobre el cambio de la lista de interinos, en la que Madrid aspira a que la nota prime por encima del tiempo de servicio y de experiencia de los docentes. Los sindicatos replican que, con este informe del que se ha hecho público parte del contenido, la Consejería quiere “someter a escarnio público” y “hacer guerra sucia” a los docentes</w:t>
      </w:r>
      <w:r>
        <w:t>. “No justificamos que un maestro tenga faltas de ortografía, pero hay conocimientos que no se adquieren en secundaria y que el docente no vuelve a ver en la carrera de Magisterio por lo que puede olvidar, como cualquier titulado, el recorrido de un río”, dice Francisco Melcón, de ANPE Madrid.</w:t>
      </w:r>
    </w:p>
    <w:p w:rsidR="006E46BA" w:rsidRPr="00C767ED" w:rsidRDefault="006E46BA" w:rsidP="00550638">
      <w:pPr>
        <w:pStyle w:val="NormalWeb"/>
        <w:jc w:val="both"/>
        <w:rPr>
          <w:u w:val="single"/>
        </w:rPr>
      </w:pPr>
      <w:r w:rsidRPr="00C767ED">
        <w:rPr>
          <w:color w:val="FF0000"/>
          <w:u w:val="single"/>
        </w:rPr>
        <w:t>Las centrales no han tenido acceso al contenido de este informe que Isabel Galvín,</w:t>
      </w:r>
      <w:r w:rsidR="002852EC">
        <w:rPr>
          <w:color w:val="FF0000"/>
          <w:u w:val="single"/>
        </w:rPr>
        <w:t xml:space="preserve"> responsable de Educación en CC</w:t>
      </w:r>
      <w:r w:rsidRPr="00C767ED">
        <w:rPr>
          <w:color w:val="FF0000"/>
          <w:u w:val="single"/>
        </w:rPr>
        <w:t>OO de Madrid, considera “un arma arrojadiza”.</w:t>
      </w:r>
      <w:r w:rsidRPr="00C767ED">
        <w:rPr>
          <w:color w:val="FF0000"/>
        </w:rPr>
        <w:t xml:space="preserve"> </w:t>
      </w:r>
      <w:r w:rsidRPr="00C767ED">
        <w:rPr>
          <w:color w:val="FF0000"/>
          <w:u w:val="single"/>
        </w:rPr>
        <w:t>“La prueba de conocimiento se fijó apenas cinco meses antes de las oposiciones y con un temario muy amplio”, explica Galvín,</w:t>
      </w:r>
      <w:r w:rsidRPr="00C767ED">
        <w:rPr>
          <w:u w:val="single"/>
        </w:rPr>
        <w:t xml:space="preserve"> que reclama a la Consejería que le facilite los resultados por especialidad, por perfiles de los candidatos y orden de las preguntas. “Denunciamos muchas irregularidades en aquel momento y nos llegaron miles de correos de quejas”, añade la representante sindical. “Imaginábamos que iban a sacar esta información como arma arrojadiza”, añade.</w:t>
      </w:r>
    </w:p>
    <w:p w:rsidR="006E46BA" w:rsidRPr="00C767ED" w:rsidRDefault="006E46BA" w:rsidP="00550638">
      <w:pPr>
        <w:pStyle w:val="NormalWeb"/>
        <w:jc w:val="both"/>
        <w:rPr>
          <w:b/>
          <w:color w:val="FF0000"/>
          <w:u w:val="single"/>
        </w:rPr>
      </w:pPr>
      <w:r w:rsidRPr="00C767ED">
        <w:rPr>
          <w:u w:val="single"/>
        </w:rPr>
        <w:t xml:space="preserve">La Comunidad de Madrid lleva más de un año de reuniones con los sindicatos del sector educativo para reordenar </w:t>
      </w:r>
      <w:r w:rsidRPr="00C767ED">
        <w:rPr>
          <w:color w:val="FF0000"/>
          <w:u w:val="single"/>
        </w:rPr>
        <w:t>la lista preferente de docentes interinos, de la que forman parte unas 11.000 personas entre maestros de primaria y profesores de secundaria</w:t>
      </w:r>
      <w:r>
        <w:t xml:space="preserve">. </w:t>
      </w:r>
      <w:r w:rsidRPr="00C767ED">
        <w:rPr>
          <w:b/>
          <w:color w:val="FF0000"/>
          <w:u w:val="single"/>
        </w:rPr>
        <w:t>Quiere que la nota prime por encima del tiempo de servicio y de experiencia de los docentes.</w:t>
      </w:r>
    </w:p>
    <w:p w:rsidR="006E46BA" w:rsidRDefault="006E46BA" w:rsidP="00550638">
      <w:pPr>
        <w:pStyle w:val="NormalWeb"/>
        <w:jc w:val="both"/>
      </w:pPr>
      <w:r w:rsidRPr="00C767ED">
        <w:rPr>
          <w:u w:val="single"/>
        </w:rPr>
        <w:t>Hasta la fecha, no es necesario aprobar todas las partes del examen para integrar la lista de interinos de la que se nutren a lo largo del curso para cubrir cualquier vacante que surja</w:t>
      </w:r>
      <w:r>
        <w:t xml:space="preserve">. </w:t>
      </w:r>
      <w:r w:rsidRPr="00C767ED">
        <w:rPr>
          <w:b/>
          <w:color w:val="FF0000"/>
          <w:u w:val="single"/>
        </w:rPr>
        <w:t>Prima la antigüedad, con un peso del 46,8%, seguido de la nota del examen (36,01%) y de otros méritos (16,1%).</w:t>
      </w:r>
      <w:r w:rsidRPr="00C767ED">
        <w:rPr>
          <w:color w:val="FF0000"/>
        </w:rPr>
        <w:t xml:space="preserve"> </w:t>
      </w:r>
      <w:r w:rsidRPr="00C767ED">
        <w:rPr>
          <w:u w:val="single"/>
        </w:rPr>
        <w:t>La Consejería de Educación le dará la vuelta a ese baremo</w:t>
      </w:r>
      <w:r>
        <w:t xml:space="preserve"> en un decreto que espera aprobar antes de las próximas oposiciones, previstas en verano. </w:t>
      </w:r>
      <w:r w:rsidRPr="00C767ED">
        <w:rPr>
          <w:b/>
          <w:color w:val="FF0000"/>
          <w:u w:val="single"/>
        </w:rPr>
        <w:t>Su intención es reservar un 80% del resultado final a la nota y dejar reducida al mínimo la experiencia (15%) más otro 5% de otros méritos, entre los que se valoran, sobre todo, los diplomas de inglés</w:t>
      </w:r>
      <w:r>
        <w:t xml:space="preserve">. Madrid, que comenzó con una propuesta en la que se reservaba toda la puntuación al examen, ha </w:t>
      </w:r>
      <w:r w:rsidR="004739F1">
        <w:t>lanzado</w:t>
      </w:r>
      <w:r>
        <w:t xml:space="preserve"> el mensaje desde que comenzó los cambios en las oposiciones de que quiere seleccionar “a los mejores maestros y profesores”.</w:t>
      </w:r>
    </w:p>
    <w:p w:rsidR="006E46BA" w:rsidRPr="00C767ED" w:rsidRDefault="006E46BA" w:rsidP="00550638">
      <w:pPr>
        <w:pStyle w:val="NormalWeb"/>
        <w:jc w:val="both"/>
        <w:rPr>
          <w:color w:val="FF0000"/>
          <w:u w:val="single"/>
        </w:rPr>
      </w:pPr>
      <w:r w:rsidRPr="00C767ED">
        <w:rPr>
          <w:u w:val="single"/>
        </w:rPr>
        <w:lastRenderedPageBreak/>
        <w:t>Desde Educación ar</w:t>
      </w:r>
      <w:r>
        <w:rPr>
          <w:u w:val="single"/>
        </w:rPr>
        <w:t>gumentan que no debe dar clase -</w:t>
      </w:r>
      <w:r w:rsidRPr="00C767ED">
        <w:rPr>
          <w:u w:val="single"/>
        </w:rPr>
        <w:t>n</w:t>
      </w:r>
      <w:r>
        <w:rPr>
          <w:u w:val="single"/>
        </w:rPr>
        <w:t>i como titular ni como interino-</w:t>
      </w:r>
      <w:r w:rsidRPr="00C767ED">
        <w:rPr>
          <w:u w:val="single"/>
        </w:rPr>
        <w:t xml:space="preserve"> ningún docente que no esté al día de los conocimientos mínimos de un alumno de primaria, aunque</w:t>
      </w:r>
      <w:r w:rsidRPr="00C767ED">
        <w:rPr>
          <w:color w:val="FF0000"/>
          <w:u w:val="single"/>
        </w:rPr>
        <w:t xml:space="preserve"> reconocen que el principal fallo está en la formación de los docentes en las facultades</w:t>
      </w:r>
      <w:r w:rsidRPr="00C767ED">
        <w:rPr>
          <w:color w:val="FF0000"/>
        </w:rPr>
        <w:t xml:space="preserve">. </w:t>
      </w:r>
      <w:r w:rsidRPr="00C767ED">
        <w:rPr>
          <w:color w:val="FF0000"/>
          <w:u w:val="single"/>
        </w:rPr>
        <w:t xml:space="preserve">Como primera criba, no podrá integrar la lista de interinos ningún aspirante que suspenda cualquiera de las partes del examen. En segundo lugar, han decidido que la nota académica casi triplique el peso actual que tiene en el resultado final y que la experiencia docente se quede en menos de la mitad. Tampoco han justificado por qué el cambio afectará también a la lista de interinos de secundaria, cuyo orden se modificará cuando se convoquen oposiciones. </w:t>
      </w:r>
    </w:p>
    <w:p w:rsidR="006E46BA" w:rsidRDefault="006E46BA" w:rsidP="00550638">
      <w:pPr>
        <w:pStyle w:val="NormalWeb"/>
        <w:jc w:val="both"/>
      </w:pPr>
      <w:r w:rsidRPr="00C767ED">
        <w:rPr>
          <w:u w:val="single"/>
        </w:rPr>
        <w:t>Si su decreto sale adelante, Madrid será la primera región que haga un cambio de este calado</w:t>
      </w:r>
      <w:r>
        <w:t xml:space="preserve">, en un gesto en el que espera volver a marcar el camino y ser secundada por regiones como la Comunidad Valenciana o Castilla-La Mancha. </w:t>
      </w:r>
      <w:r w:rsidRPr="00C767ED">
        <w:rPr>
          <w:u w:val="single"/>
        </w:rPr>
        <w:t>Andalucía intentó aplicar una fórmula similar en la que la nota pesara más que la antigüedad, pero tuvo que dar marcha atrás. La Junta aprobó en 2010 un baremo, el llamado decreto 302, que acabó desechando en marzo de 2012 por el rechazo de la mayoría de sindicatos y ante las protestas que un grupo de interinos protagonizó durante meses</w:t>
      </w:r>
      <w:r>
        <w:t xml:space="preserve">. En Madrid, </w:t>
      </w:r>
      <w:r w:rsidRPr="00C767ED">
        <w:rPr>
          <w:u w:val="single"/>
        </w:rPr>
        <w:t>los sindicatos también han mostrado una oposición frontal a que deje de primar el tiempo de servicio de los profesores.</w:t>
      </w:r>
      <w:r>
        <w:t xml:space="preserve"> Apelan a que el anterior acuerdo sectorial que regulaba esta cuestión, prorrogado hasta finales de 2012, fue consensuado por todas las centrales y la Administración.</w:t>
      </w:r>
    </w:p>
    <w:p w:rsidR="004739F1" w:rsidRDefault="006E46BA" w:rsidP="00550638">
      <w:pPr>
        <w:pStyle w:val="NormalWeb"/>
        <w:jc w:val="both"/>
      </w:pPr>
      <w:r w:rsidRPr="00B47F43">
        <w:rPr>
          <w:u w:val="single"/>
        </w:rPr>
        <w:t>La formación de los docentes es un debate abierto desde hace años entre distintas sensibilidades políticas</w:t>
      </w:r>
      <w:r>
        <w:t xml:space="preserve">. El secretario general del PSOE, Alfredo Pérez Rubalcaba llegó a solicitar una prueba similar al MIR de los </w:t>
      </w:r>
      <w:r w:rsidR="002852EC">
        <w:t>médicos para elegir profesores.</w:t>
      </w:r>
    </w:p>
    <w:p w:rsidR="006E46BA" w:rsidRDefault="006E46BA" w:rsidP="00550638">
      <w:pPr>
        <w:pStyle w:val="NormalWeb"/>
        <w:jc w:val="both"/>
      </w:pPr>
      <w:r>
        <w:t>Barbaridades en las respuestas</w:t>
      </w:r>
    </w:p>
    <w:p w:rsidR="006E46BA" w:rsidRDefault="006E46BA" w:rsidP="00550638">
      <w:pPr>
        <w:pStyle w:val="NormalWeb"/>
        <w:jc w:val="both"/>
      </w:pPr>
      <w:r>
        <w:rPr>
          <w:noProof/>
          <w:color w:val="009A95"/>
        </w:rPr>
        <w:drawing>
          <wp:inline distT="0" distB="0" distL="0" distR="0" wp14:anchorId="51D3579D" wp14:editId="33D4F282">
            <wp:extent cx="5332780" cy="2955341"/>
            <wp:effectExtent l="0" t="0" r="1270" b="0"/>
            <wp:docPr id="6" name="Imagen 6" descr="http://ep01.epimg.net/sociedad/imagenes/2013/03/13/actualidad/1363202478_209351_1363249139_sumario_normal.jpg">
              <a:hlinkClick xmlns:a="http://schemas.openxmlformats.org/drawingml/2006/main" r:id="rId284" tooltip="&quot;ampliar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ep01.epimg.net/sociedad/imagenes/2013/03/13/actualidad/1363202478_209351_1363249139_sumario_normal.jpg">
                      <a:hlinkClick r:id="rId284" tooltip="&quot;ampliar foto&quot;"/>
                    </pic:cNvPr>
                    <pic:cNvPicPr>
                      <a:picLocks noChangeAspect="1" noChangeArrowheads="1"/>
                    </pic:cNvPicPr>
                  </pic:nvPicPr>
                  <pic:blipFill>
                    <a:blip r:embed="rId285">
                      <a:extLst>
                        <a:ext uri="{28A0092B-C50C-407E-A947-70E740481C1C}">
                          <a14:useLocalDpi xmlns:a14="http://schemas.microsoft.com/office/drawing/2010/main" val="0"/>
                        </a:ext>
                      </a:extLst>
                    </a:blip>
                    <a:srcRect/>
                    <a:stretch>
                      <a:fillRect/>
                    </a:stretch>
                  </pic:blipFill>
                  <pic:spPr bwMode="auto">
                    <a:xfrm>
                      <a:off x="0" y="0"/>
                      <a:ext cx="5335270" cy="2956721"/>
                    </a:xfrm>
                    <a:prstGeom prst="rect">
                      <a:avLst/>
                    </a:prstGeom>
                    <a:noFill/>
                    <a:ln>
                      <a:noFill/>
                    </a:ln>
                  </pic:spPr>
                </pic:pic>
              </a:graphicData>
            </a:graphic>
          </wp:inline>
        </w:drawing>
      </w:r>
      <w:r>
        <w:t xml:space="preserve"> </w:t>
      </w:r>
    </w:p>
    <w:p w:rsidR="006E46BA" w:rsidRDefault="006E46BA" w:rsidP="00550638">
      <w:pPr>
        <w:pStyle w:val="NormalWeb"/>
        <w:jc w:val="both"/>
      </w:pPr>
      <w:r>
        <w:t xml:space="preserve">Ejercicio de lengua. </w:t>
      </w:r>
    </w:p>
    <w:p w:rsidR="006E46BA" w:rsidRDefault="006E46BA" w:rsidP="00550638">
      <w:pPr>
        <w:pStyle w:val="NormalWeb"/>
        <w:jc w:val="both"/>
      </w:pPr>
      <w:r>
        <w:rPr>
          <w:rFonts w:ascii="Arial" w:hAnsi="Arial" w:cs="Arial"/>
        </w:rPr>
        <w:t>■</w:t>
      </w:r>
      <w:r>
        <w:t>Ortograf</w:t>
      </w:r>
      <w:r>
        <w:rPr>
          <w:rFonts w:ascii="Calibri" w:hAnsi="Calibri" w:cs="Calibri"/>
        </w:rPr>
        <w:t>í</w:t>
      </w:r>
      <w:r>
        <w:t xml:space="preserve">a. </w:t>
      </w:r>
      <w:r w:rsidR="00587466">
        <w:t>Conpetencias</w:t>
      </w:r>
      <w:r>
        <w:t xml:space="preserve"> / Deriban / Anbito / Veverlo / Adsequible / Nabarra / Incapie / Conduzta / Aprendizage / Gerarquia / Bolcán / Hurano / Valladoliz.</w:t>
      </w:r>
    </w:p>
    <w:p w:rsidR="006E46BA" w:rsidRPr="006D4ACA" w:rsidRDefault="006E46BA" w:rsidP="00550638">
      <w:pPr>
        <w:pStyle w:val="NormalWeb"/>
        <w:jc w:val="both"/>
      </w:pPr>
      <w:r>
        <w:lastRenderedPageBreak/>
        <w:t xml:space="preserve"> </w:t>
      </w:r>
      <w:r>
        <w:rPr>
          <w:rFonts w:ascii="Arial" w:hAnsi="Arial" w:cs="Arial"/>
        </w:rPr>
        <w:t>■</w:t>
      </w:r>
      <w:r>
        <w:t>Definiciones. Escr</w:t>
      </w:r>
      <w:r>
        <w:rPr>
          <w:rFonts w:ascii="Calibri" w:hAnsi="Calibri" w:cs="Calibri"/>
        </w:rPr>
        <w:t>ú</w:t>
      </w:r>
      <w:r>
        <w:t xml:space="preserve">pulo: </w:t>
      </w:r>
      <w:r w:rsidRPr="006D4ACA">
        <w:t>“Salida del sol”, “Atardecer” / Adjetivo basta: “Se refiere a una persona que es muy basta, incluso mal educada” / Disertación: “Dividir una cosa en partes más pequeñas”, “irse por las ramas” / Extasiar: “Agobiar a alguien”, “Dejar a alguien sin aliento”.</w:t>
      </w:r>
    </w:p>
    <w:p w:rsidR="006E46BA" w:rsidRDefault="006E46BA" w:rsidP="00550638">
      <w:pPr>
        <w:pStyle w:val="NormalWeb"/>
        <w:jc w:val="both"/>
      </w:pPr>
      <w:r>
        <w:t xml:space="preserve"> </w:t>
      </w:r>
      <w:r>
        <w:rPr>
          <w:rFonts w:ascii="Arial" w:hAnsi="Arial" w:cs="Arial"/>
        </w:rPr>
        <w:t>■</w:t>
      </w:r>
      <w:r>
        <w:t>Provincias por las que pasan los r</w:t>
      </w:r>
      <w:r>
        <w:rPr>
          <w:rFonts w:ascii="Calibri" w:hAnsi="Calibri" w:cs="Calibri"/>
        </w:rPr>
        <w:t>í</w:t>
      </w:r>
      <w:r>
        <w:t>os. El Duero, Ebro y Guadalquivir pasan por Madrid.</w:t>
      </w:r>
    </w:p>
    <w:p w:rsidR="006E46BA" w:rsidRDefault="006E46BA" w:rsidP="00550638">
      <w:pPr>
        <w:pStyle w:val="NormalWeb"/>
        <w:jc w:val="both"/>
      </w:pPr>
      <w:r>
        <w:t xml:space="preserve"> </w:t>
      </w:r>
      <w:r>
        <w:rPr>
          <w:rFonts w:ascii="Arial" w:hAnsi="Arial" w:cs="Arial"/>
        </w:rPr>
        <w:t>■</w:t>
      </w:r>
      <w:r>
        <w:t>Comunidades aut</w:t>
      </w:r>
      <w:r>
        <w:rPr>
          <w:rFonts w:ascii="Calibri" w:hAnsi="Calibri" w:cs="Calibri"/>
        </w:rPr>
        <w:t>ó</w:t>
      </w:r>
      <w:r>
        <w:t>nomas. Soria es una comunidad autónoma / Albacete, Ciudad Real y Badajoz son provincias andaluzas.</w:t>
      </w:r>
    </w:p>
    <w:p w:rsidR="006E46BA" w:rsidRPr="006D4ACA" w:rsidRDefault="006E46BA" w:rsidP="00550638">
      <w:pPr>
        <w:pStyle w:val="NormalWeb"/>
        <w:jc w:val="both"/>
      </w:pPr>
      <w:r>
        <w:t xml:space="preserve"> </w:t>
      </w:r>
      <w:r>
        <w:rPr>
          <w:rFonts w:ascii="Arial" w:hAnsi="Arial" w:cs="Arial"/>
        </w:rPr>
        <w:t>■</w:t>
      </w:r>
      <w:r>
        <w:t>Clasificaci</w:t>
      </w:r>
      <w:r>
        <w:rPr>
          <w:rFonts w:ascii="Calibri" w:hAnsi="Calibri" w:cs="Calibri"/>
        </w:rPr>
        <w:t>ó</w:t>
      </w:r>
      <w:r>
        <w:t>n de los animales</w:t>
      </w:r>
      <w:r w:rsidRPr="006D4ACA">
        <w:t>. “El caracol es un... crustáceo” / “La gallina es un... mamífero” / “El gato es un... astuto” / “La serpiente es una... peligrosa” / “El gavilán es un... viajero”.</w:t>
      </w:r>
    </w:p>
    <w:p w:rsidR="006E46BA" w:rsidRPr="0094286E" w:rsidRDefault="006E46BA" w:rsidP="00550638">
      <w:pPr>
        <w:pStyle w:val="NormalWeb"/>
        <w:jc w:val="both"/>
      </w:pPr>
      <w:r>
        <w:t xml:space="preserve"> </w:t>
      </w:r>
      <w:r>
        <w:rPr>
          <w:rFonts w:ascii="Arial" w:hAnsi="Arial" w:cs="Arial"/>
        </w:rPr>
        <w:t>■</w:t>
      </w:r>
      <w:r>
        <w:t>Funciones vitales de los reptiles. Reproducci</w:t>
      </w:r>
      <w:r>
        <w:rPr>
          <w:rFonts w:ascii="Calibri" w:hAnsi="Calibri" w:cs="Calibri"/>
        </w:rPr>
        <w:t>ó</w:t>
      </w:r>
      <w:r>
        <w:t xml:space="preserve">n: </w:t>
      </w:r>
      <w:r w:rsidR="0094286E" w:rsidRPr="0094286E">
        <w:t>“</w:t>
      </w:r>
      <w:r w:rsidRPr="0094286E">
        <w:t>De tipo sexual</w:t>
      </w:r>
      <w:r w:rsidR="0094286E">
        <w:t>”</w:t>
      </w:r>
      <w:r w:rsidRPr="0094286E">
        <w:t>. / Nutrición: “Se nutren de todos aquellos elementos de las aguas estancadas”.</w:t>
      </w:r>
    </w:p>
    <w:p w:rsidR="006E46BA" w:rsidRDefault="006E46BA" w:rsidP="00550638">
      <w:pPr>
        <w:pStyle w:val="NormalWeb"/>
        <w:jc w:val="both"/>
      </w:pPr>
      <w:r>
        <w:t xml:space="preserve"> </w:t>
      </w:r>
      <w:r>
        <w:rPr>
          <w:rFonts w:ascii="Arial" w:hAnsi="Arial" w:cs="Arial"/>
        </w:rPr>
        <w:t>■</w:t>
      </w:r>
      <w:r>
        <w:t>Problema. Unas gafas cuestan 185 euros m</w:t>
      </w:r>
      <w:r>
        <w:rPr>
          <w:rFonts w:ascii="Calibri" w:hAnsi="Calibri" w:cs="Calibri"/>
        </w:rPr>
        <w:t>á</w:t>
      </w:r>
      <w:r>
        <w:t>s que su funda. Las gafas y la funda cuestan 235 euros. ¿Cuánto cuestan las gafas? “Las gafas cuestan 235 euros porque siempre se regala la funda”.</w:t>
      </w:r>
    </w:p>
    <w:p w:rsidR="006E46BA" w:rsidRPr="006D4ACA" w:rsidRDefault="006E46BA" w:rsidP="00550638">
      <w:pPr>
        <w:pStyle w:val="NormalWeb"/>
        <w:jc w:val="both"/>
        <w:rPr>
          <w:b/>
        </w:rPr>
      </w:pPr>
      <w:r w:rsidRPr="006D4ACA">
        <w:rPr>
          <w:b/>
        </w:rPr>
        <w:t>Importantes lagunas en lengua y literatura</w:t>
      </w:r>
    </w:p>
    <w:p w:rsidR="006E46BA" w:rsidRPr="006D4ACA" w:rsidRDefault="006E46BA" w:rsidP="00550638">
      <w:pPr>
        <w:spacing w:after="15" w:line="240" w:lineRule="auto"/>
        <w:outlineLvl w:val="2"/>
        <w:rPr>
          <w:rFonts w:ascii="Times New Roman" w:hAnsi="Times New Roman" w:cs="Times New Roman"/>
          <w:bCs/>
          <w:color w:val="333333"/>
          <w:sz w:val="24"/>
          <w:szCs w:val="24"/>
        </w:rPr>
      </w:pPr>
      <w:r w:rsidRPr="006D4ACA">
        <w:rPr>
          <w:rFonts w:ascii="Times New Roman" w:hAnsi="Times New Roman" w:cs="Times New Roman"/>
          <w:bCs/>
          <w:color w:val="333333"/>
          <w:sz w:val="24"/>
          <w:szCs w:val="24"/>
        </w:rPr>
        <w:t>Tan solo el 13% pudo reconocer correctamente las formas gramaticales en una oración</w:t>
      </w:r>
    </w:p>
    <w:p w:rsidR="006E46BA" w:rsidRPr="00B47F43" w:rsidRDefault="006E46BA" w:rsidP="00550638">
      <w:pPr>
        <w:pStyle w:val="NormalWeb"/>
        <w:shd w:val="clear" w:color="auto" w:fill="FFFFFF"/>
        <w:jc w:val="both"/>
        <w:rPr>
          <w:u w:val="single"/>
        </w:rPr>
      </w:pPr>
      <w:r>
        <w:t xml:space="preserve">Los opositores a maestro de la última convocatoria pública en Madrid demostraron </w:t>
      </w:r>
      <w:r w:rsidRPr="00B47F43">
        <w:rPr>
          <w:u w:val="single"/>
        </w:rPr>
        <w:t>importantes lagunas en el conocimiento de su propia lengua</w:t>
      </w:r>
      <w:r>
        <w:t xml:space="preserve">. En una de las preguntas de la prueba de conocimiento, se les pedía que expresaran la persona, el número, el tiempo y la conjugación de los verbos en una oración. </w:t>
      </w:r>
      <w:r w:rsidRPr="00B47F43">
        <w:rPr>
          <w:u w:val="single"/>
        </w:rPr>
        <w:t>Tan solo el 13,44% lo hizo bien. Los adverbios, las preposiciones o las conjunciones también se les resistieron: solo un 16,32% los identificó.</w:t>
      </w:r>
    </w:p>
    <w:p w:rsidR="006E46BA" w:rsidRPr="00B47F43" w:rsidRDefault="006E46BA" w:rsidP="00550638">
      <w:pPr>
        <w:pStyle w:val="NormalWeb"/>
        <w:shd w:val="clear" w:color="auto" w:fill="FFFFFF"/>
        <w:jc w:val="both"/>
        <w:rPr>
          <w:u w:val="single"/>
        </w:rPr>
      </w:pPr>
      <w:r w:rsidRPr="00B47F43">
        <w:rPr>
          <w:u w:val="single"/>
        </w:rPr>
        <w:t>El examen reveló además una gran pobreza de vocabulario entre los opositores. Solo un 31,58% explicó correctamente el significado de palabras como 'escrúpulo', 'disertación', 'extasiar' o 'pronóstico'.</w:t>
      </w:r>
    </w:p>
    <w:p w:rsidR="006E46BA" w:rsidRPr="00B47F43" w:rsidRDefault="006E46BA" w:rsidP="00550638">
      <w:pPr>
        <w:pStyle w:val="NormalWeb"/>
        <w:shd w:val="clear" w:color="auto" w:fill="FFFFFF"/>
        <w:jc w:val="both"/>
        <w:rPr>
          <w:u w:val="single"/>
        </w:rPr>
      </w:pPr>
      <w:r w:rsidRPr="00B47F43">
        <w:rPr>
          <w:u w:val="single"/>
        </w:rPr>
        <w:t>El 55,56 % pudo explicar el significado de la palabra 'basta' dentro del contexto de una frase. También logró expresar la diferencia entre 'basta' y 'vasta'. Casi el 58 % acertó en subrayar todos los verbos que se encontraban en un párrafo y en extraer de ese mismo párrafo un complemento directo, circunstancial o circunstancial de lugar.</w:t>
      </w:r>
    </w:p>
    <w:tbl>
      <w:tblPr>
        <w:tblW w:w="5000" w:type="pct"/>
        <w:tblInd w:w="-1500" w:type="dxa"/>
        <w:tblCellMar>
          <w:top w:w="15" w:type="dxa"/>
          <w:left w:w="15" w:type="dxa"/>
          <w:bottom w:w="15" w:type="dxa"/>
          <w:right w:w="15" w:type="dxa"/>
        </w:tblCellMar>
        <w:tblLook w:val="04A0" w:firstRow="1" w:lastRow="0" w:firstColumn="1" w:lastColumn="0" w:noHBand="0" w:noVBand="1"/>
        <w:tblDescription w:val="tabla"/>
      </w:tblPr>
      <w:tblGrid>
        <w:gridCol w:w="301"/>
        <w:gridCol w:w="2105"/>
        <w:gridCol w:w="1117"/>
        <w:gridCol w:w="5086"/>
      </w:tblGrid>
      <w:tr w:rsidR="006E46BA" w:rsidTr="006E46BA">
        <w:tc>
          <w:tcPr>
            <w:tcW w:w="302" w:type="dxa"/>
            <w:tcBorders>
              <w:bottom w:val="single" w:sz="6" w:space="0" w:color="DDDDDD"/>
            </w:tcBorders>
            <w:shd w:val="clear" w:color="auto" w:fill="FFFFCC"/>
            <w:tcMar>
              <w:top w:w="105" w:type="dxa"/>
              <w:left w:w="0" w:type="dxa"/>
              <w:bottom w:w="105" w:type="dxa"/>
              <w:right w:w="105" w:type="dxa"/>
            </w:tcMar>
            <w:hideMark/>
          </w:tcPr>
          <w:p w:rsidR="006E46BA" w:rsidRDefault="006E46BA" w:rsidP="00550638">
            <w:pPr>
              <w:spacing w:before="150" w:line="240" w:lineRule="auto"/>
              <w:rPr>
                <w:rFonts w:ascii="Arial" w:hAnsi="Arial" w:cs="Arial"/>
                <w:b/>
                <w:bCs/>
                <w:sz w:val="18"/>
                <w:szCs w:val="18"/>
              </w:rPr>
            </w:pPr>
            <w:r>
              <w:rPr>
                <w:rFonts w:ascii="Arial" w:hAnsi="Arial" w:cs="Arial"/>
                <w:b/>
                <w:bCs/>
                <w:sz w:val="18"/>
                <w:szCs w:val="18"/>
              </w:rPr>
              <w:t>Nº</w:t>
            </w:r>
          </w:p>
        </w:tc>
        <w:tc>
          <w:tcPr>
            <w:tcW w:w="2103" w:type="dxa"/>
            <w:tcBorders>
              <w:bottom w:val="single" w:sz="6" w:space="0" w:color="DDDDDD"/>
            </w:tcBorders>
            <w:shd w:val="clear" w:color="auto" w:fill="FFFFCC"/>
            <w:tcMar>
              <w:top w:w="105" w:type="dxa"/>
              <w:left w:w="0" w:type="dxa"/>
              <w:bottom w:w="105" w:type="dxa"/>
              <w:right w:w="105" w:type="dxa"/>
            </w:tcMar>
            <w:hideMark/>
          </w:tcPr>
          <w:p w:rsidR="006E46BA" w:rsidRDefault="006E46BA" w:rsidP="00550638">
            <w:pPr>
              <w:spacing w:before="150" w:line="240" w:lineRule="auto"/>
              <w:rPr>
                <w:rFonts w:ascii="Arial" w:hAnsi="Arial" w:cs="Arial"/>
                <w:b/>
                <w:bCs/>
                <w:sz w:val="18"/>
                <w:szCs w:val="18"/>
              </w:rPr>
            </w:pPr>
            <w:r>
              <w:rPr>
                <w:rFonts w:ascii="Arial" w:hAnsi="Arial" w:cs="Arial"/>
                <w:b/>
                <w:bCs/>
                <w:sz w:val="18"/>
                <w:szCs w:val="18"/>
              </w:rPr>
              <w:t>PREGUNTA</w:t>
            </w:r>
          </w:p>
        </w:tc>
        <w:tc>
          <w:tcPr>
            <w:tcW w:w="1124" w:type="dxa"/>
            <w:tcBorders>
              <w:bottom w:val="single" w:sz="6" w:space="0" w:color="DDDDDD"/>
            </w:tcBorders>
            <w:shd w:val="clear" w:color="auto" w:fill="FFFFCC"/>
            <w:tcMar>
              <w:top w:w="105" w:type="dxa"/>
              <w:left w:w="0" w:type="dxa"/>
              <w:bottom w:w="105" w:type="dxa"/>
              <w:right w:w="105" w:type="dxa"/>
            </w:tcMar>
            <w:hideMark/>
          </w:tcPr>
          <w:p w:rsidR="006E46BA" w:rsidRDefault="006E46BA" w:rsidP="00550638">
            <w:pPr>
              <w:spacing w:before="150" w:line="240" w:lineRule="auto"/>
              <w:rPr>
                <w:rFonts w:ascii="Arial" w:hAnsi="Arial" w:cs="Arial"/>
                <w:b/>
                <w:bCs/>
                <w:sz w:val="18"/>
                <w:szCs w:val="18"/>
              </w:rPr>
            </w:pPr>
            <w:r>
              <w:rPr>
                <w:rFonts w:ascii="Arial" w:hAnsi="Arial" w:cs="Arial"/>
                <w:b/>
                <w:bCs/>
                <w:sz w:val="18"/>
                <w:szCs w:val="18"/>
              </w:rPr>
              <w:t>Respuestas correctas</w:t>
            </w:r>
          </w:p>
        </w:tc>
        <w:tc>
          <w:tcPr>
            <w:tcW w:w="5080" w:type="dxa"/>
            <w:tcBorders>
              <w:bottom w:val="single" w:sz="6" w:space="0" w:color="DDDDDD"/>
            </w:tcBorders>
            <w:shd w:val="clear" w:color="auto" w:fill="FFFFCC"/>
            <w:tcMar>
              <w:top w:w="105" w:type="dxa"/>
              <w:left w:w="0" w:type="dxa"/>
              <w:bottom w:w="105" w:type="dxa"/>
              <w:right w:w="105" w:type="dxa"/>
            </w:tcMar>
            <w:hideMark/>
          </w:tcPr>
          <w:p w:rsidR="006E46BA" w:rsidRDefault="006E46BA" w:rsidP="00550638">
            <w:pPr>
              <w:spacing w:before="150" w:line="240" w:lineRule="auto"/>
              <w:rPr>
                <w:rFonts w:ascii="Arial" w:hAnsi="Arial" w:cs="Arial"/>
                <w:b/>
                <w:bCs/>
                <w:sz w:val="18"/>
                <w:szCs w:val="18"/>
              </w:rPr>
            </w:pPr>
            <w:r>
              <w:rPr>
                <w:rFonts w:ascii="Arial" w:hAnsi="Arial" w:cs="Arial"/>
                <w:b/>
                <w:bCs/>
                <w:sz w:val="18"/>
                <w:szCs w:val="18"/>
              </w:rPr>
              <w:t>SOLUCIÓN</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Fonts w:ascii="Arial" w:hAnsi="Arial" w:cs="Arial"/>
                <w:sz w:val="18"/>
                <w:szCs w:val="18"/>
              </w:rPr>
              <w:t>1</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Style w:val="Textoennegrita"/>
                <w:rFonts w:ascii="Arial" w:hAnsi="Arial" w:cs="Arial"/>
                <w:sz w:val="18"/>
                <w:szCs w:val="18"/>
              </w:rPr>
              <w:t>Resuma el contenido del texto. El resumen máximo 10 líneas</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Style w:val="Textoennegrita"/>
                <w:rFonts w:ascii="Arial" w:hAnsi="Arial" w:cs="Arial"/>
                <w:sz w:val="18"/>
                <w:szCs w:val="18"/>
              </w:rPr>
              <w:t>69,58 %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Fonts w:ascii="Arial" w:hAnsi="Arial" w:cs="Arial"/>
                <w:sz w:val="18"/>
                <w:szCs w:val="18"/>
              </w:rPr>
              <w:lastRenderedPageBreak/>
              <w:t>2</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¿Se consideraba Pío Baroja un buen lector?</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Justifique la respuesta</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Comprensión Lectora</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84,32 %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3</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A. En la frase del texto “y con entenderla me “basta”, ¿qué significa la palabra “basta”?</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B. ¿Qué significado tienen los adjetivos “basta” y “vasta”?</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55,56 %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Fonts w:ascii="Arial" w:hAnsi="Arial" w:cs="Arial"/>
                <w:sz w:val="18"/>
                <w:szCs w:val="18"/>
              </w:rPr>
              <w:t>A. “Basta”: Del verbo bastar.</w:t>
            </w:r>
          </w:p>
          <w:p w:rsidR="006E46BA" w:rsidRDefault="006E46BA" w:rsidP="00550638">
            <w:pPr>
              <w:spacing w:after="105" w:line="240" w:lineRule="auto"/>
              <w:rPr>
                <w:rFonts w:ascii="Arial" w:hAnsi="Arial" w:cs="Arial"/>
                <w:sz w:val="18"/>
                <w:szCs w:val="18"/>
              </w:rPr>
            </w:pPr>
            <w:r>
              <w:rPr>
                <w:rFonts w:ascii="Arial" w:hAnsi="Arial" w:cs="Arial"/>
                <w:sz w:val="18"/>
                <w:szCs w:val="18"/>
              </w:rPr>
              <w:t>B. “Basta”: Del verbo bastar. Grosera.</w:t>
            </w:r>
          </w:p>
          <w:p w:rsidR="006E46BA" w:rsidRDefault="006E46BA" w:rsidP="00550638">
            <w:pPr>
              <w:spacing w:after="105" w:line="240" w:lineRule="auto"/>
              <w:rPr>
                <w:rFonts w:ascii="Arial" w:hAnsi="Arial" w:cs="Arial"/>
                <w:sz w:val="18"/>
                <w:szCs w:val="18"/>
              </w:rPr>
            </w:pPr>
            <w:r>
              <w:rPr>
                <w:rFonts w:ascii="Arial" w:hAnsi="Arial" w:cs="Arial"/>
                <w:sz w:val="18"/>
                <w:szCs w:val="18"/>
              </w:rPr>
              <w:t>“Vasta”:</w:t>
            </w:r>
            <w:r w:rsidR="00D44948">
              <w:rPr>
                <w:rFonts w:ascii="Arial" w:hAnsi="Arial" w:cs="Arial"/>
                <w:sz w:val="18"/>
                <w:szCs w:val="18"/>
              </w:rPr>
              <w:t xml:space="preserve"> </w:t>
            </w:r>
            <w:r>
              <w:rPr>
                <w:rFonts w:ascii="Arial" w:hAnsi="Arial" w:cs="Arial"/>
                <w:sz w:val="18"/>
                <w:szCs w:val="18"/>
              </w:rPr>
              <w:t>Muy grande</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4</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Explique el significado de las siguientes palabras: Escrúpulo, Disertación, Extasiar, Pronóstico.</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31,58 %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 xml:space="preserve">Escrúpulo: (Del lat. </w:t>
            </w:r>
            <w:r>
              <w:rPr>
                <w:rStyle w:val="nfasis"/>
                <w:rFonts w:ascii="Arial" w:hAnsi="Arial" w:cs="Arial"/>
                <w:sz w:val="18"/>
                <w:szCs w:val="18"/>
              </w:rPr>
              <w:t>scrupŭlus</w:t>
            </w:r>
            <w:r>
              <w:rPr>
                <w:rStyle w:val="Textoennegrita"/>
                <w:rFonts w:ascii="Arial" w:hAnsi="Arial" w:cs="Arial"/>
                <w:sz w:val="18"/>
                <w:szCs w:val="18"/>
              </w:rPr>
              <w:t>, piedrecilla).</w:t>
            </w:r>
            <w:r>
              <w:rPr>
                <w:rFonts w:ascii="Arial" w:hAnsi="Arial" w:cs="Arial"/>
                <w:sz w:val="18"/>
                <w:szCs w:val="18"/>
              </w:rPr>
              <w:t xml:space="preserve"> 1. m. Duda o recelo que punza la conciencia sobre si algo es o no cierto, si es bueno o malo, si obliga o no obliga; lo que trae inquieto y desasosegado el ánimo. 2. m. Aprensión, asco hacia algo, especialmente alimentos. 3. m. Exactitud en la averiguación o en el cumplimiento de un cargo o encargo. 4. m. China que se mete en el zapato y lastima el pie. 5. m.</w:t>
            </w:r>
            <w:r>
              <w:rPr>
                <w:rStyle w:val="nfasis"/>
                <w:rFonts w:ascii="Arial" w:hAnsi="Arial" w:cs="Arial"/>
                <w:sz w:val="18"/>
                <w:szCs w:val="18"/>
              </w:rPr>
              <w:t xml:space="preserve"> Astr.</w:t>
            </w:r>
            <w:r>
              <w:rPr>
                <w:rFonts w:ascii="Arial" w:hAnsi="Arial" w:cs="Arial"/>
                <w:sz w:val="18"/>
                <w:szCs w:val="18"/>
              </w:rPr>
              <w:t xml:space="preserve"> Cada una de las 60 partes en que se divide un grado de círculo. 6. m.</w:t>
            </w:r>
            <w:r>
              <w:rPr>
                <w:rStyle w:val="nfasis"/>
                <w:rFonts w:ascii="Arial" w:hAnsi="Arial" w:cs="Arial"/>
                <w:sz w:val="18"/>
                <w:szCs w:val="18"/>
              </w:rPr>
              <w:t xml:space="preserve"> Med.</w:t>
            </w:r>
            <w:r>
              <w:rPr>
                <w:rFonts w:ascii="Arial" w:hAnsi="Arial" w:cs="Arial"/>
                <w:sz w:val="18"/>
                <w:szCs w:val="18"/>
              </w:rPr>
              <w:t xml:space="preserve"> Medida de peso antigua, utilizada en farmacia y equivalente a 24 granos, o sea 1198 mg.</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 xml:space="preserve">Disertación: (Del lat. </w:t>
            </w:r>
            <w:r>
              <w:rPr>
                <w:rStyle w:val="nfasis"/>
                <w:rFonts w:ascii="Arial" w:hAnsi="Arial" w:cs="Arial"/>
                <w:sz w:val="18"/>
                <w:szCs w:val="18"/>
              </w:rPr>
              <w:t>dissertatĭo, -ōnis</w:t>
            </w:r>
            <w:r>
              <w:rPr>
                <w:rStyle w:val="Textoennegrita"/>
                <w:rFonts w:ascii="Arial" w:hAnsi="Arial" w:cs="Arial"/>
                <w:sz w:val="18"/>
                <w:szCs w:val="18"/>
              </w:rPr>
              <w:t>).</w:t>
            </w:r>
            <w:r>
              <w:rPr>
                <w:rFonts w:ascii="Arial" w:hAnsi="Arial" w:cs="Arial"/>
                <w:sz w:val="18"/>
                <w:szCs w:val="18"/>
              </w:rPr>
              <w:t xml:space="preserve"> 1. f. Acción y efecto de disertar. 2. f. Escrito, lección o conferencia en que se diserta.</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 xml:space="preserve">Extasiar: (De </w:t>
            </w:r>
            <w:r>
              <w:rPr>
                <w:rStyle w:val="nfasis"/>
                <w:rFonts w:ascii="Arial" w:hAnsi="Arial" w:cs="Arial"/>
                <w:sz w:val="18"/>
                <w:szCs w:val="18"/>
              </w:rPr>
              <w:t>éxtasis</w:t>
            </w:r>
            <w:r>
              <w:rPr>
                <w:rStyle w:val="Textoennegrita"/>
                <w:rFonts w:ascii="Arial" w:hAnsi="Arial" w:cs="Arial"/>
                <w:sz w:val="18"/>
                <w:szCs w:val="18"/>
              </w:rPr>
              <w:t>).</w:t>
            </w:r>
            <w:r>
              <w:rPr>
                <w:rFonts w:ascii="Arial" w:hAnsi="Arial" w:cs="Arial"/>
                <w:sz w:val="18"/>
                <w:szCs w:val="18"/>
              </w:rPr>
              <w:t xml:space="preserve"> </w:t>
            </w:r>
            <w:r>
              <w:rPr>
                <w:rStyle w:val="Textoennegrita"/>
                <w:rFonts w:ascii="Arial" w:hAnsi="Arial" w:cs="Arial"/>
                <w:sz w:val="18"/>
                <w:szCs w:val="18"/>
              </w:rPr>
              <w:t xml:space="preserve">1. </w:t>
            </w:r>
            <w:r>
              <w:rPr>
                <w:rFonts w:ascii="Arial" w:hAnsi="Arial" w:cs="Arial"/>
                <w:sz w:val="18"/>
                <w:szCs w:val="18"/>
              </w:rPr>
              <w:t xml:space="preserve">tr. </w:t>
            </w:r>
            <w:hyperlink r:id="rId286" w:anchor="0_1" w:history="1">
              <w:r w:rsidRPr="002B206C">
                <w:rPr>
                  <w:rStyle w:val="Hipervnculo"/>
                  <w:rFonts w:ascii="Arial" w:hAnsi="Arial" w:cs="Arial"/>
                  <w:color w:val="auto"/>
                  <w:sz w:val="18"/>
                  <w:szCs w:val="18"/>
                </w:rPr>
                <w:t>embelesar.</w:t>
              </w:r>
            </w:hyperlink>
            <w:r w:rsidRPr="002B206C">
              <w:rPr>
                <w:rFonts w:ascii="Arial" w:hAnsi="Arial" w:cs="Arial"/>
                <w:sz w:val="18"/>
                <w:szCs w:val="18"/>
              </w:rPr>
              <w:t xml:space="preserve"> </w:t>
            </w:r>
            <w:r>
              <w:rPr>
                <w:rFonts w:ascii="Arial" w:hAnsi="Arial" w:cs="Arial"/>
                <w:sz w:val="18"/>
                <w:szCs w:val="18"/>
              </w:rPr>
              <w:t>Suspender, arrebatar, cautivar los sentidos.</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 xml:space="preserve">Pronóstico: (Del lat. </w:t>
            </w:r>
            <w:r>
              <w:rPr>
                <w:rStyle w:val="nfasis"/>
                <w:rFonts w:ascii="Arial" w:hAnsi="Arial" w:cs="Arial"/>
                <w:sz w:val="18"/>
                <w:szCs w:val="18"/>
              </w:rPr>
              <w:t>prognostĭcum,</w:t>
            </w:r>
            <w:r>
              <w:rPr>
                <w:rStyle w:val="Textoennegrita"/>
                <w:rFonts w:ascii="Arial" w:hAnsi="Arial" w:cs="Arial"/>
                <w:sz w:val="18"/>
                <w:szCs w:val="18"/>
              </w:rPr>
              <w:t xml:space="preserve"> y este del gr. προγνωστικόν).</w:t>
            </w:r>
            <w:r>
              <w:rPr>
                <w:rFonts w:ascii="Arial" w:hAnsi="Arial" w:cs="Arial"/>
                <w:sz w:val="18"/>
                <w:szCs w:val="18"/>
              </w:rPr>
              <w:t xml:space="preserve"> 1. m. Acción y efecto de pronosticar. 2. m. Señal por donde se conjetura o adivina algo futuro. 3. m. Calendario en que se incluye el anuncio de los fenómenos astronómicos y meteorológicos.</w:t>
            </w:r>
          </w:p>
        </w:tc>
      </w:tr>
    </w:tbl>
    <w:p w:rsidR="006E46BA" w:rsidRPr="006D4ACA" w:rsidRDefault="006E46BA" w:rsidP="00550638">
      <w:pPr>
        <w:pStyle w:val="Ttulo1"/>
        <w:shd w:val="clear" w:color="auto" w:fill="FFFFFF"/>
        <w:spacing w:line="240" w:lineRule="auto"/>
        <w:rPr>
          <w:rFonts w:ascii="Times New Roman" w:hAnsi="Times New Roman" w:cs="Times New Roman"/>
          <w:color w:val="auto"/>
          <w:sz w:val="24"/>
          <w:szCs w:val="24"/>
        </w:rPr>
      </w:pPr>
      <w:r w:rsidRPr="006D4ACA">
        <w:rPr>
          <w:rFonts w:ascii="Times New Roman" w:hAnsi="Times New Roman" w:cs="Times New Roman"/>
          <w:color w:val="auto"/>
          <w:sz w:val="24"/>
          <w:szCs w:val="24"/>
        </w:rPr>
        <w:t>Despistados en conocimiento del medio</w:t>
      </w:r>
    </w:p>
    <w:p w:rsidR="006E46BA" w:rsidRDefault="006E46BA" w:rsidP="00550638">
      <w:pPr>
        <w:spacing w:after="15" w:line="240" w:lineRule="auto"/>
        <w:outlineLvl w:val="2"/>
        <w:rPr>
          <w:rFonts w:ascii="Times New Roman" w:hAnsi="Times New Roman" w:cs="Times New Roman"/>
          <w:bCs/>
          <w:color w:val="333333"/>
          <w:sz w:val="24"/>
          <w:szCs w:val="24"/>
        </w:rPr>
      </w:pPr>
    </w:p>
    <w:p w:rsidR="006E46BA" w:rsidRDefault="006E46BA" w:rsidP="00550638">
      <w:pPr>
        <w:spacing w:after="15" w:line="240" w:lineRule="auto"/>
        <w:outlineLvl w:val="2"/>
        <w:rPr>
          <w:rFonts w:ascii="Times New Roman" w:hAnsi="Times New Roman" w:cs="Times New Roman"/>
          <w:bCs/>
          <w:color w:val="333333"/>
          <w:sz w:val="24"/>
          <w:szCs w:val="24"/>
        </w:rPr>
      </w:pPr>
      <w:r w:rsidRPr="006D4ACA">
        <w:rPr>
          <w:rFonts w:ascii="Times New Roman" w:hAnsi="Times New Roman" w:cs="Times New Roman"/>
          <w:bCs/>
          <w:color w:val="333333"/>
          <w:sz w:val="24"/>
          <w:szCs w:val="24"/>
        </w:rPr>
        <w:t>Solo un 1,83% logró escribir el nombre de las provincias por las que pasan los ríos Duero, Ebro y Guadalquivir</w:t>
      </w:r>
    </w:p>
    <w:p w:rsidR="006E46BA" w:rsidRPr="006D4ACA" w:rsidRDefault="006E46BA" w:rsidP="00550638">
      <w:pPr>
        <w:spacing w:after="15" w:line="240" w:lineRule="auto"/>
        <w:outlineLvl w:val="2"/>
        <w:rPr>
          <w:rFonts w:ascii="Times New Roman" w:hAnsi="Times New Roman" w:cs="Times New Roman"/>
          <w:bCs/>
          <w:color w:val="333333"/>
          <w:sz w:val="24"/>
          <w:szCs w:val="24"/>
        </w:rPr>
      </w:pPr>
    </w:p>
    <w:p w:rsidR="006E46BA" w:rsidRPr="00B47F43" w:rsidRDefault="006E46BA" w:rsidP="00550638">
      <w:pPr>
        <w:spacing w:after="15" w:line="240" w:lineRule="auto"/>
        <w:jc w:val="both"/>
        <w:outlineLvl w:val="2"/>
        <w:rPr>
          <w:rFonts w:ascii="Times New Roman" w:hAnsi="Times New Roman" w:cs="Times New Roman"/>
          <w:b/>
          <w:bCs/>
          <w:color w:val="333333"/>
          <w:sz w:val="24"/>
          <w:szCs w:val="24"/>
          <w:u w:val="single"/>
        </w:rPr>
      </w:pPr>
      <w:r w:rsidRPr="00C328FB">
        <w:rPr>
          <w:rFonts w:ascii="Times New Roman" w:hAnsi="Times New Roman" w:cs="Times New Roman"/>
          <w:sz w:val="24"/>
          <w:szCs w:val="24"/>
        </w:rPr>
        <w:t xml:space="preserve">Los candidatos a una plaza de maestro </w:t>
      </w:r>
      <w:r w:rsidRPr="00B47F43">
        <w:rPr>
          <w:rFonts w:ascii="Times New Roman" w:hAnsi="Times New Roman" w:cs="Times New Roman"/>
          <w:sz w:val="24"/>
          <w:szCs w:val="24"/>
          <w:u w:val="single"/>
        </w:rPr>
        <w:t>demostraron escaso conocimiento de la naturaleza y de la geografía española</w:t>
      </w:r>
      <w:r w:rsidRPr="00C328FB">
        <w:rPr>
          <w:rFonts w:ascii="Times New Roman" w:hAnsi="Times New Roman" w:cs="Times New Roman"/>
          <w:sz w:val="24"/>
          <w:szCs w:val="24"/>
        </w:rPr>
        <w:t xml:space="preserve">. </w:t>
      </w:r>
      <w:r w:rsidRPr="00B47F43">
        <w:rPr>
          <w:rFonts w:ascii="Times New Roman" w:hAnsi="Times New Roman" w:cs="Times New Roman"/>
          <w:sz w:val="24"/>
          <w:szCs w:val="24"/>
          <w:u w:val="single"/>
        </w:rPr>
        <w:t>Solo un 1,83% atinó a decir las provincias por las que pasan los ríos Duero, Ebro y Guadalquivir y un 38% a situar correctamente Ávila y Pamplona en el mapa. Cuando se les pidió que marcaran los límites de las comunidades y las ciudades autónomas y que escribieran el nombre de todas ellas sobre un mapa, solo el 31% logró hacerlo.</w:t>
      </w:r>
    </w:p>
    <w:p w:rsidR="006E46BA" w:rsidRPr="00B47F43" w:rsidRDefault="006E46BA" w:rsidP="00550638">
      <w:pPr>
        <w:pStyle w:val="NormalWeb"/>
        <w:shd w:val="clear" w:color="auto" w:fill="FFFFFF"/>
        <w:jc w:val="both"/>
        <w:rPr>
          <w:u w:val="single"/>
        </w:rPr>
      </w:pPr>
      <w:r w:rsidRPr="00B47F43">
        <w:rPr>
          <w:u w:val="single"/>
        </w:rPr>
        <w:t>Los resultados no fueron mucho mejores en conocimiento sobre el reino animal. Solo un 10,32% expresó correctamente las funciones de relación, nutrición y reproducción de los reptiles y casi el 32% fue incapaz de clasificar a especies como la serpiente, el gavilán, el caracol, la gallina o el gato.</w:t>
      </w:r>
    </w:p>
    <w:tbl>
      <w:tblPr>
        <w:tblW w:w="5000" w:type="pct"/>
        <w:tblInd w:w="-1500" w:type="dxa"/>
        <w:tblCellMar>
          <w:top w:w="15" w:type="dxa"/>
          <w:left w:w="15" w:type="dxa"/>
          <w:bottom w:w="15" w:type="dxa"/>
          <w:right w:w="15" w:type="dxa"/>
        </w:tblCellMar>
        <w:tblLook w:val="04A0" w:firstRow="1" w:lastRow="0" w:firstColumn="1" w:lastColumn="0" w:noHBand="0" w:noVBand="1"/>
        <w:tblDescription w:val="tabla"/>
      </w:tblPr>
      <w:tblGrid>
        <w:gridCol w:w="302"/>
        <w:gridCol w:w="2211"/>
        <w:gridCol w:w="1210"/>
        <w:gridCol w:w="4886"/>
      </w:tblGrid>
      <w:tr w:rsidR="006E46BA" w:rsidTr="006E46BA">
        <w:trPr>
          <w:tblHeader/>
        </w:trPr>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b/>
                <w:bCs/>
                <w:sz w:val="18"/>
                <w:szCs w:val="18"/>
              </w:rPr>
            </w:pPr>
            <w:r>
              <w:rPr>
                <w:rFonts w:ascii="Arial" w:hAnsi="Arial" w:cs="Arial"/>
                <w:b/>
                <w:bCs/>
                <w:sz w:val="18"/>
                <w:szCs w:val="18"/>
              </w:rPr>
              <w:lastRenderedPageBreak/>
              <w:t>Nº</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b/>
                <w:bCs/>
                <w:sz w:val="18"/>
                <w:szCs w:val="18"/>
              </w:rPr>
            </w:pPr>
            <w:r>
              <w:rPr>
                <w:rFonts w:ascii="Arial" w:hAnsi="Arial" w:cs="Arial"/>
                <w:b/>
                <w:bCs/>
                <w:sz w:val="18"/>
                <w:szCs w:val="18"/>
              </w:rPr>
              <w:t>PREGUNTA</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b/>
                <w:bCs/>
                <w:sz w:val="18"/>
                <w:szCs w:val="18"/>
              </w:rPr>
            </w:pPr>
            <w:r>
              <w:rPr>
                <w:rFonts w:ascii="Arial" w:hAnsi="Arial" w:cs="Arial"/>
                <w:b/>
                <w:bCs/>
                <w:sz w:val="18"/>
                <w:szCs w:val="18"/>
              </w:rPr>
              <w:t>Respuestas correctas</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b/>
                <w:bCs/>
                <w:sz w:val="18"/>
                <w:szCs w:val="18"/>
              </w:rPr>
            </w:pPr>
            <w:r>
              <w:rPr>
                <w:rFonts w:ascii="Arial" w:hAnsi="Arial" w:cs="Arial"/>
                <w:b/>
                <w:bCs/>
                <w:sz w:val="18"/>
                <w:szCs w:val="18"/>
              </w:rPr>
              <w:t>SOLUCIÓN</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Fonts w:ascii="Arial" w:hAnsi="Arial" w:cs="Arial"/>
                <w:sz w:val="18"/>
                <w:szCs w:val="18"/>
              </w:rPr>
              <w:t>1</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Style w:val="Textoennegrita"/>
                <w:rFonts w:ascii="Arial" w:hAnsi="Arial" w:cs="Arial"/>
                <w:sz w:val="18"/>
                <w:szCs w:val="18"/>
              </w:rPr>
              <w:t xml:space="preserve">Clasifique los siguientes animales que se citan en el texto: serpiente, gavilán, caracol, gallina, gato.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Style w:val="Textoennegrita"/>
                <w:rFonts w:ascii="Arial" w:hAnsi="Arial" w:cs="Arial"/>
                <w:sz w:val="18"/>
                <w:szCs w:val="18"/>
              </w:rPr>
              <w:t>31,88 %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Style w:val="Textoennegrita"/>
                <w:rFonts w:ascii="Arial" w:hAnsi="Arial" w:cs="Arial"/>
                <w:sz w:val="18"/>
                <w:szCs w:val="18"/>
              </w:rPr>
              <w:t>Serpiente</w:t>
            </w:r>
            <w:r>
              <w:rPr>
                <w:rFonts w:ascii="Arial" w:hAnsi="Arial" w:cs="Arial"/>
                <w:sz w:val="18"/>
                <w:szCs w:val="18"/>
              </w:rPr>
              <w:t>: vertebrado, reptil.</w:t>
            </w:r>
            <w:r>
              <w:rPr>
                <w:rFonts w:ascii="Arial" w:hAnsi="Arial" w:cs="Arial"/>
                <w:sz w:val="18"/>
                <w:szCs w:val="18"/>
              </w:rPr>
              <w:br/>
            </w:r>
            <w:r>
              <w:rPr>
                <w:rStyle w:val="Textoennegrita"/>
                <w:rFonts w:ascii="Arial" w:hAnsi="Arial" w:cs="Arial"/>
                <w:sz w:val="18"/>
                <w:szCs w:val="18"/>
              </w:rPr>
              <w:t>Gavilán</w:t>
            </w:r>
            <w:r>
              <w:rPr>
                <w:rFonts w:ascii="Arial" w:hAnsi="Arial" w:cs="Arial"/>
                <w:sz w:val="18"/>
                <w:szCs w:val="18"/>
              </w:rPr>
              <w:t>: vertebrado, ave.</w:t>
            </w:r>
            <w:r>
              <w:rPr>
                <w:rFonts w:ascii="Arial" w:hAnsi="Arial" w:cs="Arial"/>
                <w:sz w:val="18"/>
                <w:szCs w:val="18"/>
              </w:rPr>
              <w:br/>
            </w:r>
            <w:r>
              <w:rPr>
                <w:rStyle w:val="Textoennegrita"/>
                <w:rFonts w:ascii="Arial" w:hAnsi="Arial" w:cs="Arial"/>
                <w:sz w:val="18"/>
                <w:szCs w:val="18"/>
              </w:rPr>
              <w:t>Caracol</w:t>
            </w:r>
            <w:r>
              <w:rPr>
                <w:rFonts w:ascii="Arial" w:hAnsi="Arial" w:cs="Arial"/>
                <w:sz w:val="18"/>
                <w:szCs w:val="18"/>
              </w:rPr>
              <w:t>: invertebrado, molusco.</w:t>
            </w:r>
            <w:r>
              <w:rPr>
                <w:rFonts w:ascii="Arial" w:hAnsi="Arial" w:cs="Arial"/>
                <w:sz w:val="18"/>
                <w:szCs w:val="18"/>
              </w:rPr>
              <w:br/>
            </w:r>
            <w:r>
              <w:rPr>
                <w:rStyle w:val="Textoennegrita"/>
                <w:rFonts w:ascii="Arial" w:hAnsi="Arial" w:cs="Arial"/>
                <w:sz w:val="18"/>
                <w:szCs w:val="18"/>
              </w:rPr>
              <w:t>Gallina</w:t>
            </w:r>
            <w:r>
              <w:rPr>
                <w:rFonts w:ascii="Arial" w:hAnsi="Arial" w:cs="Arial"/>
                <w:sz w:val="18"/>
                <w:szCs w:val="18"/>
              </w:rPr>
              <w:t>: vertebrado, ave.</w:t>
            </w:r>
            <w:r>
              <w:rPr>
                <w:rFonts w:ascii="Arial" w:hAnsi="Arial" w:cs="Arial"/>
                <w:sz w:val="18"/>
                <w:szCs w:val="18"/>
              </w:rPr>
              <w:br/>
            </w:r>
            <w:r>
              <w:rPr>
                <w:rStyle w:val="Textoennegrita"/>
                <w:rFonts w:ascii="Arial" w:hAnsi="Arial" w:cs="Arial"/>
                <w:sz w:val="18"/>
                <w:szCs w:val="18"/>
              </w:rPr>
              <w:t>Gato</w:t>
            </w:r>
            <w:r>
              <w:rPr>
                <w:rFonts w:ascii="Arial" w:hAnsi="Arial" w:cs="Arial"/>
                <w:sz w:val="18"/>
                <w:szCs w:val="18"/>
              </w:rPr>
              <w:t>: vertebrado, mamífero.</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Fonts w:ascii="Arial" w:hAnsi="Arial" w:cs="Arial"/>
                <w:sz w:val="18"/>
                <w:szCs w:val="18"/>
              </w:rPr>
              <w:t>2</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Style w:val="Textoennegrita"/>
                <w:rFonts w:ascii="Arial" w:hAnsi="Arial" w:cs="Arial"/>
                <w:sz w:val="18"/>
                <w:szCs w:val="18"/>
              </w:rPr>
              <w:t>Explique las funciones de relación, nutrición y reproducción de los reptiles.</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line="240" w:lineRule="auto"/>
              <w:rPr>
                <w:rFonts w:ascii="Arial" w:hAnsi="Arial" w:cs="Arial"/>
                <w:sz w:val="18"/>
                <w:szCs w:val="18"/>
              </w:rPr>
            </w:pPr>
            <w:r>
              <w:rPr>
                <w:rStyle w:val="Textoennegrita"/>
                <w:rFonts w:ascii="Arial" w:hAnsi="Arial" w:cs="Arial"/>
                <w:sz w:val="18"/>
                <w:szCs w:val="18"/>
              </w:rPr>
              <w:t>10,32 %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Función de relación en los reptiles:</w:t>
            </w:r>
            <w:r w:rsidR="00D44948">
              <w:rPr>
                <w:rStyle w:val="Textoennegrita"/>
                <w:rFonts w:ascii="Arial" w:hAnsi="Arial" w:cs="Arial"/>
                <w:sz w:val="18"/>
                <w:szCs w:val="18"/>
              </w:rPr>
              <w:t xml:space="preserve"> </w:t>
            </w:r>
            <w:r>
              <w:rPr>
                <w:rFonts w:ascii="Arial" w:hAnsi="Arial" w:cs="Arial"/>
                <w:sz w:val="18"/>
                <w:szCs w:val="18"/>
              </w:rPr>
              <w:t>Los reptiles tienen la capacidad de controlar su temperatura corporal a través de su conducta. Pueden, por ejemplo, tenderse al sol para calentarse o refugiarse en madrigueras o nadar para enfriarse.</w:t>
            </w:r>
          </w:p>
          <w:p w:rsidR="006E46BA" w:rsidRDefault="006E46BA" w:rsidP="00550638">
            <w:pPr>
              <w:spacing w:after="105" w:line="240" w:lineRule="auto"/>
              <w:rPr>
                <w:rFonts w:ascii="Arial" w:hAnsi="Arial" w:cs="Arial"/>
                <w:sz w:val="18"/>
                <w:szCs w:val="18"/>
              </w:rPr>
            </w:pPr>
            <w:r>
              <w:rPr>
                <w:rFonts w:ascii="Arial" w:hAnsi="Arial" w:cs="Arial"/>
                <w:sz w:val="18"/>
                <w:szCs w:val="18"/>
              </w:rPr>
              <w:t>Respecto al sistema nervioso, en general el encéfalo de un reptil se asemeja al del anfibio aunque su cerebro y cerebelo son de mayor tamaño.</w:t>
            </w:r>
          </w:p>
          <w:p w:rsidR="006E46BA" w:rsidRDefault="006E46BA" w:rsidP="00550638">
            <w:pPr>
              <w:spacing w:after="105" w:line="240" w:lineRule="auto"/>
              <w:rPr>
                <w:rFonts w:ascii="Arial" w:hAnsi="Arial" w:cs="Arial"/>
                <w:sz w:val="18"/>
                <w:szCs w:val="18"/>
              </w:rPr>
            </w:pPr>
            <w:r>
              <w:rPr>
                <w:rFonts w:ascii="Arial" w:hAnsi="Arial" w:cs="Arial"/>
                <w:sz w:val="18"/>
                <w:szCs w:val="18"/>
              </w:rPr>
              <w:t>Algunos reptiles, como la serpiente, tienen un olfato muy desarrollado. Además de las fosas nasales, muchos reptiles disponen de unos órganos sensoriales en el paladar. También disponen de numerosas papilas gustativas y táctiles en la lengua.</w:t>
            </w:r>
          </w:p>
          <w:p w:rsidR="006E46BA" w:rsidRDefault="006E46BA" w:rsidP="00550638">
            <w:pPr>
              <w:spacing w:after="105" w:line="240" w:lineRule="auto"/>
              <w:rPr>
                <w:rFonts w:ascii="Arial" w:hAnsi="Arial" w:cs="Arial"/>
                <w:sz w:val="18"/>
                <w:szCs w:val="18"/>
              </w:rPr>
            </w:pPr>
            <w:r>
              <w:rPr>
                <w:rFonts w:ascii="Arial" w:hAnsi="Arial" w:cs="Arial"/>
                <w:sz w:val="18"/>
                <w:szCs w:val="18"/>
              </w:rPr>
              <w:t>Los ojos de los reptiles pueden presentar párpados móviles.</w:t>
            </w:r>
          </w:p>
          <w:p w:rsidR="006E46BA" w:rsidRDefault="006E46BA" w:rsidP="00550638">
            <w:pPr>
              <w:spacing w:after="105" w:line="240" w:lineRule="auto"/>
              <w:rPr>
                <w:rFonts w:ascii="Arial" w:hAnsi="Arial" w:cs="Arial"/>
                <w:sz w:val="18"/>
                <w:szCs w:val="18"/>
              </w:rPr>
            </w:pPr>
            <w:r>
              <w:rPr>
                <w:rFonts w:ascii="Arial" w:hAnsi="Arial" w:cs="Arial"/>
                <w:sz w:val="18"/>
                <w:szCs w:val="18"/>
              </w:rPr>
              <w:t>Tienen oídos simples con un tímpano externo. El sonido es conducido al oído interno por un único hueso.</w:t>
            </w:r>
          </w:p>
          <w:p w:rsidR="006E46BA" w:rsidRDefault="006E46BA" w:rsidP="00550638">
            <w:pPr>
              <w:spacing w:after="0" w:line="240" w:lineRule="auto"/>
              <w:rPr>
                <w:rFonts w:ascii="Arial" w:hAnsi="Arial" w:cs="Arial"/>
                <w:sz w:val="18"/>
                <w:szCs w:val="18"/>
              </w:rPr>
            </w:pPr>
            <w:r>
              <w:rPr>
                <w:rStyle w:val="Textoennegrita"/>
                <w:rFonts w:ascii="Arial" w:hAnsi="Arial" w:cs="Arial"/>
                <w:sz w:val="18"/>
                <w:szCs w:val="18"/>
              </w:rPr>
              <w:t>Función de nutrición de los reptiles</w:t>
            </w:r>
            <w:r>
              <w:rPr>
                <w:rFonts w:ascii="Arial" w:hAnsi="Arial" w:cs="Arial"/>
                <w:sz w:val="18"/>
                <w:szCs w:val="18"/>
              </w:rPr>
              <w:t>: El tipo de alimentación de los reptiles varía de unos reptiles a otros por lo que es difícil generalizar aunque una mayoría de reptiles, al que pertenecen las serpientes y los cocodrilos, son carnívoros. Las presas de los reptiles carnívoros son otros animales vertebrados (muchos de ellos de gran tamaño) e invertebrados. Las serpientes, por ejemplo, tragan enteras a sus presas; los cocodrilos las trituran algo antes de engullirlas pero sin que se produzca una masticación completa.</w:t>
            </w:r>
          </w:p>
          <w:p w:rsidR="006E46BA" w:rsidRDefault="006E46BA" w:rsidP="00550638">
            <w:pPr>
              <w:spacing w:after="105" w:line="240" w:lineRule="auto"/>
              <w:rPr>
                <w:rFonts w:ascii="Arial" w:hAnsi="Arial" w:cs="Arial"/>
                <w:sz w:val="18"/>
                <w:szCs w:val="18"/>
              </w:rPr>
            </w:pPr>
            <w:r>
              <w:rPr>
                <w:rFonts w:ascii="Arial" w:hAnsi="Arial" w:cs="Arial"/>
                <w:sz w:val="18"/>
                <w:szCs w:val="18"/>
              </w:rPr>
              <w:t>Otros reptiles, como la tortuga, la lagartija o la iguana, son fundamentalmente herbívoros, aunque dado que muchos de ellos se alimentan también de insectos y pequeños invertebrados (como arañas) se consideran también omnívoros.</w:t>
            </w:r>
          </w:p>
          <w:p w:rsidR="006E46BA" w:rsidRDefault="006E46BA" w:rsidP="00550638">
            <w:pPr>
              <w:spacing w:after="0" w:line="240" w:lineRule="auto"/>
              <w:rPr>
                <w:rFonts w:ascii="Arial" w:hAnsi="Arial" w:cs="Arial"/>
                <w:sz w:val="18"/>
                <w:szCs w:val="18"/>
              </w:rPr>
            </w:pPr>
            <w:r>
              <w:rPr>
                <w:rStyle w:val="Textoennegrita"/>
                <w:rFonts w:ascii="Arial" w:hAnsi="Arial" w:cs="Arial"/>
                <w:sz w:val="18"/>
                <w:szCs w:val="18"/>
              </w:rPr>
              <w:t>Función de reproducción de los reptiles</w:t>
            </w:r>
            <w:r>
              <w:rPr>
                <w:rFonts w:ascii="Arial" w:hAnsi="Arial" w:cs="Arial"/>
                <w:sz w:val="18"/>
                <w:szCs w:val="18"/>
              </w:rPr>
              <w:t>: En general, en los reptiles los sexos están separados y diferenciados. Presentan fecundación interna según la cual los espermatozoides del macho fecundan el óvulo de la hembra en el interior de su aparato reproductor. Ya en el exterior, el huevo se recubre de membranas protectoras impermeables, permitiendo el desarrollo del embrión en la tierra y protegiéndolo así de la desecación. Hay también casos de hermafroditismo.</w:t>
            </w:r>
          </w:p>
          <w:p w:rsidR="006E46BA" w:rsidRDefault="006E46BA" w:rsidP="00550638">
            <w:pPr>
              <w:spacing w:after="105" w:line="240" w:lineRule="auto"/>
              <w:rPr>
                <w:rFonts w:ascii="Arial" w:hAnsi="Arial" w:cs="Arial"/>
                <w:sz w:val="18"/>
                <w:szCs w:val="18"/>
              </w:rPr>
            </w:pPr>
            <w:r>
              <w:rPr>
                <w:rFonts w:ascii="Arial" w:hAnsi="Arial" w:cs="Arial"/>
                <w:sz w:val="18"/>
                <w:szCs w:val="18"/>
              </w:rPr>
              <w:t>Los reptiles ponen sus huevos en un nido que preparan en la tierra, en alguna grieta o cavidad apropiada. El lugar elegido tiene que reunir buenas condiciones de temperatura, luz, humedad, etc. Cuando el reptil nace del huevo es ya similar al adulto.</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3</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nfasis"/>
                <w:rFonts w:ascii="Arial" w:hAnsi="Arial" w:cs="Arial"/>
                <w:sz w:val="18"/>
                <w:szCs w:val="18"/>
              </w:rPr>
              <w:t>Dado el siguiente mapa</w:t>
            </w:r>
            <w:r>
              <w:rPr>
                <w:rFonts w:ascii="Arial" w:hAnsi="Arial" w:cs="Arial"/>
                <w:sz w:val="18"/>
                <w:szCs w:val="18"/>
              </w:rPr>
              <w:br/>
            </w:r>
            <w:r>
              <w:rPr>
                <w:rStyle w:val="Textoennegrita"/>
                <w:rFonts w:ascii="Arial" w:hAnsi="Arial" w:cs="Arial"/>
                <w:sz w:val="18"/>
                <w:szCs w:val="18"/>
              </w:rPr>
              <w:t xml:space="preserve">A. Marque sobre el mapa los límites de las </w:t>
            </w:r>
            <w:r>
              <w:rPr>
                <w:rStyle w:val="Textoennegrita"/>
                <w:rFonts w:ascii="Arial" w:hAnsi="Arial" w:cs="Arial"/>
                <w:sz w:val="18"/>
                <w:szCs w:val="18"/>
              </w:rPr>
              <w:lastRenderedPageBreak/>
              <w:t>comunidades y ciudades autónomas y escriba el nombre de todas ellas</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lastRenderedPageBreak/>
              <w:t>31,11 %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Sobre el mapa</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lastRenderedPageBreak/>
              <w:t>4</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A. Sitúe en el mapa las siguientes ciudades que cita Pío Baroja: Ávila, y Pamplona.</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38,15 %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Sobre el mapa</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5</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A. Escriba el nombre de las provincias por las que pasan los ríos: Duero, Ebro y Guadalquivir.</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1,83 %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Duero</w:t>
            </w:r>
            <w:r>
              <w:rPr>
                <w:rFonts w:ascii="Arial" w:hAnsi="Arial" w:cs="Arial"/>
                <w:sz w:val="18"/>
                <w:szCs w:val="18"/>
              </w:rPr>
              <w:t>: Soria, Burgos, Valladolid, Zamora y Salamanca.</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Ebro</w:t>
            </w:r>
            <w:r>
              <w:rPr>
                <w:rFonts w:ascii="Arial" w:hAnsi="Arial" w:cs="Arial"/>
                <w:sz w:val="18"/>
                <w:szCs w:val="18"/>
              </w:rPr>
              <w:t>: Cantabria, Palencia (se adentra en Palencia solo 3000 metros, por lo que se puede valorar dar por válida la pregunta aunque no se consigne esta provincia), Burgos, La Rioja, Álava, Navarra, Zaragoza y Tarragona.</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Guadalquivir</w:t>
            </w:r>
            <w:r>
              <w:rPr>
                <w:rFonts w:ascii="Arial" w:hAnsi="Arial" w:cs="Arial"/>
                <w:sz w:val="18"/>
                <w:szCs w:val="18"/>
              </w:rPr>
              <w:t>: Jaén, Córdoba, Sevilla, Cádiz y Huelva.</w:t>
            </w:r>
          </w:p>
        </w:tc>
      </w:tr>
    </w:tbl>
    <w:p w:rsidR="006E46BA" w:rsidRPr="006D4ACA" w:rsidRDefault="006E46BA" w:rsidP="00550638">
      <w:pPr>
        <w:pStyle w:val="Ttulo1"/>
        <w:shd w:val="clear" w:color="auto" w:fill="FFFFFF"/>
        <w:spacing w:line="240" w:lineRule="auto"/>
        <w:rPr>
          <w:rFonts w:ascii="Times New Roman" w:hAnsi="Times New Roman" w:cs="Times New Roman"/>
          <w:color w:val="auto"/>
          <w:sz w:val="24"/>
          <w:szCs w:val="24"/>
        </w:rPr>
      </w:pPr>
      <w:r w:rsidRPr="006D4ACA">
        <w:rPr>
          <w:rFonts w:ascii="Times New Roman" w:hAnsi="Times New Roman" w:cs="Times New Roman"/>
          <w:color w:val="auto"/>
          <w:sz w:val="24"/>
          <w:szCs w:val="24"/>
        </w:rPr>
        <w:t>Las matemáticas se resisten</w:t>
      </w:r>
    </w:p>
    <w:p w:rsidR="006E46BA" w:rsidRDefault="006E46BA" w:rsidP="00550638">
      <w:pPr>
        <w:spacing w:after="15" w:line="240" w:lineRule="auto"/>
        <w:outlineLvl w:val="2"/>
        <w:rPr>
          <w:rFonts w:ascii="Times New Roman" w:hAnsi="Times New Roman" w:cs="Times New Roman"/>
          <w:bCs/>
          <w:color w:val="333333"/>
          <w:sz w:val="24"/>
          <w:szCs w:val="24"/>
        </w:rPr>
      </w:pPr>
    </w:p>
    <w:p w:rsidR="006E46BA" w:rsidRPr="006D4ACA" w:rsidRDefault="006E46BA" w:rsidP="00550638">
      <w:pPr>
        <w:spacing w:after="15" w:line="240" w:lineRule="auto"/>
        <w:outlineLvl w:val="2"/>
        <w:rPr>
          <w:rFonts w:ascii="Times New Roman" w:hAnsi="Times New Roman" w:cs="Times New Roman"/>
          <w:bCs/>
          <w:color w:val="333333"/>
          <w:sz w:val="24"/>
          <w:szCs w:val="24"/>
        </w:rPr>
      </w:pPr>
      <w:r w:rsidRPr="006D4ACA">
        <w:rPr>
          <w:rFonts w:ascii="Times New Roman" w:hAnsi="Times New Roman" w:cs="Times New Roman"/>
          <w:bCs/>
          <w:color w:val="333333"/>
          <w:sz w:val="24"/>
          <w:szCs w:val="24"/>
        </w:rPr>
        <w:t>Solo un 7% completó con éxito una tabla de equivalencia en el sistema métrico decimal y en la medida del tiempo</w:t>
      </w:r>
    </w:p>
    <w:p w:rsidR="006E46BA" w:rsidRPr="00B47F43" w:rsidRDefault="006E46BA" w:rsidP="00550638">
      <w:pPr>
        <w:pStyle w:val="NormalWeb"/>
        <w:shd w:val="clear" w:color="auto" w:fill="FFFFFF"/>
        <w:jc w:val="both"/>
        <w:rPr>
          <w:u w:val="single"/>
        </w:rPr>
      </w:pPr>
      <w:r w:rsidRPr="00B47F43">
        <w:rPr>
          <w:u w:val="single"/>
        </w:rPr>
        <w:t>Las matemáticas son una pesadilla para muchos titulados en magisterio</w:t>
      </w:r>
      <w:r>
        <w:t>, a tenor de los resultados arrojados por el examen de las oposiciones a maestro en Madrid. Los candidatos lo pasaron mal para completar una tabla en la que figuraban cálculos de equivalencia en el sistema métrico decimal y en la medida del tiempo</w:t>
      </w:r>
      <w:r w:rsidRPr="00B47F43">
        <w:rPr>
          <w:u w:val="single"/>
        </w:rPr>
        <w:t>. Solo el 7,09% lo hizo bien. Sus resultados fueron también deficientes cuando se les pidió que calcularan la circunferencia del círculo o el área del mismo: solo un 21 % lo logró.</w:t>
      </w:r>
    </w:p>
    <w:tbl>
      <w:tblPr>
        <w:tblW w:w="5000" w:type="pct"/>
        <w:tblCellMar>
          <w:top w:w="15" w:type="dxa"/>
          <w:left w:w="15" w:type="dxa"/>
          <w:bottom w:w="15" w:type="dxa"/>
          <w:right w:w="15" w:type="dxa"/>
        </w:tblCellMar>
        <w:tblLook w:val="04A0" w:firstRow="1" w:lastRow="0" w:firstColumn="1" w:lastColumn="0" w:noHBand="0" w:noVBand="1"/>
        <w:tblDescription w:val="tabla"/>
      </w:tblPr>
      <w:tblGrid>
        <w:gridCol w:w="307"/>
        <w:gridCol w:w="4085"/>
        <w:gridCol w:w="1355"/>
        <w:gridCol w:w="2862"/>
      </w:tblGrid>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Nº</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PREGUNTA</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Porcentaje respuesta correcta</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SOLUCIÓN</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1</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Calcular el valor de</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43,23 %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Fonts w:ascii="Arial" w:hAnsi="Arial" w:cs="Arial"/>
                <w:sz w:val="18"/>
                <w:szCs w:val="18"/>
              </w:rPr>
              <w:t xml:space="preserve">a) 2/3 + 3/5 = </w:t>
            </w:r>
            <w:r>
              <w:rPr>
                <w:rStyle w:val="Textoennegrita"/>
                <w:rFonts w:ascii="Arial" w:hAnsi="Arial" w:cs="Arial"/>
                <w:sz w:val="18"/>
                <w:szCs w:val="18"/>
              </w:rPr>
              <w:t>19/15</w:t>
            </w:r>
          </w:p>
          <w:p w:rsidR="006E46BA" w:rsidRDefault="006E46BA" w:rsidP="00550638">
            <w:pPr>
              <w:spacing w:after="105" w:line="240" w:lineRule="auto"/>
              <w:rPr>
                <w:rFonts w:ascii="Arial" w:hAnsi="Arial" w:cs="Arial"/>
                <w:sz w:val="18"/>
                <w:szCs w:val="18"/>
              </w:rPr>
            </w:pPr>
            <w:r>
              <w:rPr>
                <w:rFonts w:ascii="Arial" w:hAnsi="Arial" w:cs="Arial"/>
                <w:sz w:val="18"/>
                <w:szCs w:val="18"/>
              </w:rPr>
              <w:t xml:space="preserve">b) 0,075 x 0,2 = </w:t>
            </w:r>
            <w:r>
              <w:rPr>
                <w:rStyle w:val="Textoennegrita"/>
                <w:rFonts w:ascii="Arial" w:hAnsi="Arial" w:cs="Arial"/>
                <w:sz w:val="18"/>
                <w:szCs w:val="18"/>
              </w:rPr>
              <w:t>0,015</w:t>
            </w:r>
          </w:p>
          <w:p w:rsidR="006E46BA" w:rsidRDefault="006E46BA" w:rsidP="00550638">
            <w:pPr>
              <w:spacing w:after="105" w:line="240" w:lineRule="auto"/>
              <w:rPr>
                <w:rFonts w:ascii="Arial" w:hAnsi="Arial" w:cs="Arial"/>
                <w:sz w:val="18"/>
                <w:szCs w:val="18"/>
              </w:rPr>
            </w:pPr>
            <w:r>
              <w:rPr>
                <w:rFonts w:ascii="Arial" w:hAnsi="Arial" w:cs="Arial"/>
                <w:sz w:val="18"/>
                <w:szCs w:val="18"/>
              </w:rPr>
              <w:t xml:space="preserve">c) 3,008 – 1,95 = </w:t>
            </w:r>
            <w:r>
              <w:rPr>
                <w:rStyle w:val="Textoennegrita"/>
                <w:rFonts w:ascii="Arial" w:hAnsi="Arial" w:cs="Arial"/>
                <w:sz w:val="18"/>
                <w:szCs w:val="18"/>
              </w:rPr>
              <w:t>1,058</w:t>
            </w:r>
          </w:p>
          <w:p w:rsidR="006E46BA" w:rsidRDefault="006E46BA" w:rsidP="00550638">
            <w:pPr>
              <w:spacing w:line="240" w:lineRule="auto"/>
              <w:rPr>
                <w:rFonts w:ascii="Arial" w:hAnsi="Arial" w:cs="Arial"/>
                <w:sz w:val="18"/>
                <w:szCs w:val="18"/>
              </w:rPr>
            </w:pPr>
            <w:r>
              <w:rPr>
                <w:rFonts w:ascii="Arial" w:hAnsi="Arial" w:cs="Arial"/>
                <w:sz w:val="18"/>
                <w:szCs w:val="18"/>
              </w:rPr>
              <w:t xml:space="preserve">1 + 2/3 = </w:t>
            </w:r>
            <w:r>
              <w:rPr>
                <w:rStyle w:val="Textoennegrita"/>
                <w:rFonts w:ascii="Arial" w:hAnsi="Arial" w:cs="Arial"/>
                <w:sz w:val="18"/>
                <w:szCs w:val="18"/>
              </w:rPr>
              <w:t>5/3</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2</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Ordenar los siguientes números de mayor a menor:</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33,21 %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Fonts w:ascii="Arial" w:hAnsi="Arial" w:cs="Arial"/>
                <w:sz w:val="18"/>
                <w:szCs w:val="18"/>
              </w:rPr>
              <w:t xml:space="preserve">a. 0,332; 0,233; 0,32; 0,3 ------ </w:t>
            </w:r>
            <w:r>
              <w:rPr>
                <w:rStyle w:val="Textoennegrita"/>
                <w:rFonts w:ascii="Arial" w:hAnsi="Arial" w:cs="Arial"/>
                <w:sz w:val="18"/>
                <w:szCs w:val="18"/>
              </w:rPr>
              <w:t>0,332; 0,32; 0,3; 0,233</w:t>
            </w:r>
          </w:p>
          <w:p w:rsidR="006E46BA" w:rsidRDefault="006E46BA" w:rsidP="00550638">
            <w:pPr>
              <w:spacing w:after="105" w:line="240" w:lineRule="auto"/>
              <w:rPr>
                <w:rFonts w:ascii="Arial" w:hAnsi="Arial" w:cs="Arial"/>
                <w:sz w:val="18"/>
                <w:szCs w:val="18"/>
              </w:rPr>
            </w:pPr>
            <w:r>
              <w:rPr>
                <w:rFonts w:ascii="Arial" w:hAnsi="Arial" w:cs="Arial"/>
                <w:sz w:val="18"/>
                <w:szCs w:val="18"/>
              </w:rPr>
              <w:t xml:space="preserve">b. 7/9; 1/2; 3/5; 4/5 ----- </w:t>
            </w:r>
            <w:r>
              <w:rPr>
                <w:rStyle w:val="Textoennegrita"/>
                <w:rFonts w:ascii="Arial" w:hAnsi="Arial" w:cs="Arial"/>
                <w:sz w:val="18"/>
                <w:szCs w:val="18"/>
              </w:rPr>
              <w:t>4/5; 7/9; 3/5; 1/2</w:t>
            </w:r>
          </w:p>
          <w:p w:rsidR="006E46BA" w:rsidRDefault="006E46BA" w:rsidP="00550638">
            <w:pPr>
              <w:spacing w:after="105" w:line="240" w:lineRule="auto"/>
              <w:rPr>
                <w:rFonts w:ascii="Arial" w:hAnsi="Arial" w:cs="Arial"/>
                <w:sz w:val="18"/>
                <w:szCs w:val="18"/>
              </w:rPr>
            </w:pPr>
            <w:r>
              <w:rPr>
                <w:rFonts w:ascii="Arial" w:hAnsi="Arial" w:cs="Arial"/>
                <w:sz w:val="18"/>
                <w:szCs w:val="18"/>
              </w:rPr>
              <w:t xml:space="preserve">c. 0,25; 2/5, 1/3, 0,3 ------ </w:t>
            </w:r>
            <w:r>
              <w:rPr>
                <w:rStyle w:val="Textoennegrita"/>
                <w:rFonts w:ascii="Arial" w:hAnsi="Arial" w:cs="Arial"/>
                <w:sz w:val="18"/>
                <w:szCs w:val="18"/>
              </w:rPr>
              <w:t>2/5; 1/3; 0,3; 0,25</w:t>
            </w:r>
          </w:p>
          <w:p w:rsidR="006E46BA" w:rsidRDefault="006E46BA" w:rsidP="00550638">
            <w:pPr>
              <w:spacing w:line="240" w:lineRule="auto"/>
              <w:rPr>
                <w:rFonts w:ascii="Arial" w:hAnsi="Arial" w:cs="Arial"/>
                <w:sz w:val="18"/>
                <w:szCs w:val="18"/>
              </w:rPr>
            </w:pPr>
            <w:r>
              <w:rPr>
                <w:rFonts w:ascii="Arial" w:hAnsi="Arial" w:cs="Arial"/>
                <w:sz w:val="18"/>
                <w:szCs w:val="18"/>
              </w:rPr>
              <w:t xml:space="preserve">0,99; 9/10; 999/1000, 0,099 -- </w:t>
            </w:r>
            <w:r>
              <w:rPr>
                <w:rStyle w:val="Textoennegrita"/>
                <w:rFonts w:ascii="Arial" w:hAnsi="Arial" w:cs="Arial"/>
                <w:sz w:val="18"/>
                <w:szCs w:val="18"/>
              </w:rPr>
              <w:lastRenderedPageBreak/>
              <w:t>999/1000; 0,99; 9/10; 0,099</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lastRenderedPageBreak/>
              <w:t>3</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Escribe en forma de fracción irreducible los números decimales siguientes:</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21,69 %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Fonts w:ascii="Arial" w:hAnsi="Arial" w:cs="Arial"/>
                <w:sz w:val="18"/>
                <w:szCs w:val="18"/>
              </w:rPr>
              <w:t>0,32 0,75 0,0002 1,02</w:t>
            </w:r>
          </w:p>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8/25 3/4 1/5000 51/50</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4</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Escribe en forma decimal las fracciones siguientes:</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57,75 %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Fonts w:ascii="Arial" w:hAnsi="Arial" w:cs="Arial"/>
                <w:sz w:val="18"/>
                <w:szCs w:val="18"/>
              </w:rPr>
              <w:t>1/5 3/100 10/3 7/5</w:t>
            </w:r>
          </w:p>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0,2 0,03 3,33 1,4</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5</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Si a + 2b = 5 y c = 3, ¿cuál es el valor de a + 2 (b + c)?:</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45,46 %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 xml:space="preserve">a + 2 (b + c) = </w:t>
            </w:r>
            <w:r>
              <w:rPr>
                <w:rStyle w:val="Textoennegrita"/>
                <w:rFonts w:ascii="Arial" w:hAnsi="Arial" w:cs="Arial"/>
                <w:sz w:val="18"/>
                <w:szCs w:val="18"/>
              </w:rPr>
              <w:t>11</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6</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Calcular el valor de n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24,13 %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Fonts w:ascii="Arial" w:hAnsi="Arial" w:cs="Arial"/>
                <w:sz w:val="18"/>
                <w:szCs w:val="18"/>
              </w:rPr>
              <w:t xml:space="preserve">5000 x n = 50 </w:t>
            </w:r>
            <w:r>
              <w:rPr>
                <w:rStyle w:val="Textoennegrita"/>
                <w:rFonts w:ascii="Arial" w:hAnsi="Arial" w:cs="Arial"/>
                <w:sz w:val="18"/>
                <w:szCs w:val="18"/>
              </w:rPr>
              <w:t>n = 0,01</w:t>
            </w:r>
          </w:p>
          <w:p w:rsidR="006E46BA" w:rsidRDefault="006E46BA" w:rsidP="00550638">
            <w:pPr>
              <w:spacing w:after="105" w:line="240" w:lineRule="auto"/>
              <w:rPr>
                <w:rFonts w:ascii="Arial" w:hAnsi="Arial" w:cs="Arial"/>
                <w:sz w:val="18"/>
                <w:szCs w:val="18"/>
              </w:rPr>
            </w:pPr>
            <w:r>
              <w:rPr>
                <w:rFonts w:ascii="Arial" w:hAnsi="Arial" w:cs="Arial"/>
                <w:sz w:val="18"/>
                <w:szCs w:val="18"/>
              </w:rPr>
              <w:t xml:space="preserve">0,005 x n = 50 </w:t>
            </w:r>
            <w:r>
              <w:rPr>
                <w:rStyle w:val="Textoennegrita"/>
                <w:rFonts w:ascii="Arial" w:hAnsi="Arial" w:cs="Arial"/>
                <w:sz w:val="18"/>
                <w:szCs w:val="18"/>
              </w:rPr>
              <w:t>n = 10.000</w:t>
            </w:r>
          </w:p>
          <w:p w:rsidR="006E46BA" w:rsidRDefault="006E46BA" w:rsidP="00550638">
            <w:pPr>
              <w:spacing w:after="105" w:line="240" w:lineRule="auto"/>
              <w:rPr>
                <w:rFonts w:ascii="Arial" w:hAnsi="Arial" w:cs="Arial"/>
                <w:sz w:val="18"/>
                <w:szCs w:val="18"/>
              </w:rPr>
            </w:pPr>
            <w:r>
              <w:rPr>
                <w:rFonts w:ascii="Arial" w:hAnsi="Arial" w:cs="Arial"/>
                <w:sz w:val="18"/>
                <w:szCs w:val="18"/>
              </w:rPr>
              <w:t xml:space="preserve">1- n = 0,09 </w:t>
            </w:r>
            <w:r>
              <w:rPr>
                <w:rStyle w:val="Textoennegrita"/>
                <w:rFonts w:ascii="Arial" w:hAnsi="Arial" w:cs="Arial"/>
                <w:sz w:val="18"/>
                <w:szCs w:val="18"/>
              </w:rPr>
              <w:t>n = 0,91</w:t>
            </w:r>
          </w:p>
          <w:p w:rsidR="006E46BA" w:rsidRDefault="006E46BA" w:rsidP="00550638">
            <w:pPr>
              <w:spacing w:line="240" w:lineRule="auto"/>
              <w:rPr>
                <w:rFonts w:ascii="Arial" w:hAnsi="Arial" w:cs="Arial"/>
                <w:sz w:val="18"/>
                <w:szCs w:val="18"/>
              </w:rPr>
            </w:pPr>
            <w:r>
              <w:rPr>
                <w:rFonts w:ascii="Arial" w:hAnsi="Arial" w:cs="Arial"/>
                <w:sz w:val="18"/>
                <w:szCs w:val="18"/>
              </w:rPr>
              <w:t xml:space="preserve">0,02 : n = 2 </w:t>
            </w:r>
            <w:r>
              <w:rPr>
                <w:rStyle w:val="Textoennegrita"/>
                <w:rFonts w:ascii="Arial" w:hAnsi="Arial" w:cs="Arial"/>
                <w:sz w:val="18"/>
                <w:szCs w:val="18"/>
              </w:rPr>
              <w:t>n = 0,01</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7</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Completar la tabla: Completar una tabla en la que figuran cálculos de porcentajes, su expresión decimal y su enunciado como fracción irreducible. 6 respuestas correctas:</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25,84 %</w:t>
            </w:r>
          </w:p>
        </w:tc>
        <w:tc>
          <w:tcPr>
            <w:tcW w:w="0" w:type="auto"/>
            <w:tcBorders>
              <w:bottom w:val="single" w:sz="6" w:space="0" w:color="DDDDDD"/>
            </w:tcBorders>
            <w:tcMar>
              <w:top w:w="105" w:type="dxa"/>
              <w:left w:w="0" w:type="dxa"/>
              <w:bottom w:w="105" w:type="dxa"/>
              <w:right w:w="105" w:type="dxa"/>
            </w:tcMar>
            <w:hideMark/>
          </w:tcPr>
          <w:tbl>
            <w:tblPr>
              <w:tblW w:w="5000" w:type="pct"/>
              <w:tblCellMar>
                <w:top w:w="15" w:type="dxa"/>
                <w:left w:w="15" w:type="dxa"/>
                <w:bottom w:w="15" w:type="dxa"/>
                <w:right w:w="15" w:type="dxa"/>
              </w:tblCellMar>
              <w:tblLook w:val="04A0" w:firstRow="1" w:lastRow="0" w:firstColumn="1" w:lastColumn="0" w:noHBand="0" w:noVBand="1"/>
              <w:tblDescription w:val="tabla"/>
            </w:tblPr>
            <w:tblGrid>
              <w:gridCol w:w="1495"/>
              <w:gridCol w:w="796"/>
              <w:gridCol w:w="466"/>
            </w:tblGrid>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Fracción irreducible</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Decimal</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½</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0,5</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50%</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¼</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0,25</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25%</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3/5</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0,6</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60%</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8/25</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0,32</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32%</w:t>
                  </w:r>
                </w:p>
              </w:tc>
            </w:tr>
          </w:tbl>
          <w:p w:rsidR="006E46BA" w:rsidRDefault="006E46BA" w:rsidP="00550638">
            <w:pPr>
              <w:spacing w:line="240" w:lineRule="auto"/>
              <w:rPr>
                <w:rFonts w:ascii="Arial" w:hAnsi="Arial" w:cs="Arial"/>
                <w:sz w:val="18"/>
                <w:szCs w:val="18"/>
              </w:rPr>
            </w:pP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8</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Completar la tabla:</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Completar una tabla en la que figuran cálculos de equivalencia en el sistema métrico decimal y en la medida del tiempo.</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7,09 %</w:t>
            </w:r>
          </w:p>
        </w:tc>
        <w:tc>
          <w:tcPr>
            <w:tcW w:w="0" w:type="auto"/>
            <w:tcBorders>
              <w:bottom w:val="single" w:sz="6" w:space="0" w:color="DDDDDD"/>
            </w:tcBorders>
            <w:tcMar>
              <w:top w:w="105" w:type="dxa"/>
              <w:left w:w="0" w:type="dxa"/>
              <w:bottom w:w="105" w:type="dxa"/>
              <w:right w:w="105" w:type="dxa"/>
            </w:tcMar>
            <w:hideMark/>
          </w:tcPr>
          <w:tbl>
            <w:tblPr>
              <w:tblW w:w="5000" w:type="pct"/>
              <w:tblCellMar>
                <w:top w:w="15" w:type="dxa"/>
                <w:left w:w="15" w:type="dxa"/>
                <w:bottom w:w="15" w:type="dxa"/>
                <w:right w:w="15" w:type="dxa"/>
              </w:tblCellMar>
              <w:tblLook w:val="04A0" w:firstRow="1" w:lastRow="0" w:firstColumn="1" w:lastColumn="0" w:noHBand="0" w:noVBand="1"/>
              <w:tblDescription w:val="tabla"/>
            </w:tblPr>
            <w:tblGrid>
              <w:gridCol w:w="1164"/>
              <w:gridCol w:w="698"/>
              <w:gridCol w:w="895"/>
            </w:tblGrid>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2 kg 30 g</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2,03 Kg</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2.030 g</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10 Ha</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0,1 km</w:t>
                  </w:r>
                  <w:r>
                    <w:rPr>
                      <w:rStyle w:val="Textoennegrita"/>
                      <w:rFonts w:ascii="Arial" w:hAnsi="Arial" w:cs="Arial"/>
                      <w:sz w:val="18"/>
                      <w:szCs w:val="18"/>
                      <w:vertAlign w:val="superscript"/>
                    </w:rPr>
                    <w:t>2</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100.000 m</w:t>
                  </w:r>
                  <w:r>
                    <w:rPr>
                      <w:rStyle w:val="Textoennegrita"/>
                      <w:rFonts w:ascii="Arial" w:hAnsi="Arial" w:cs="Arial"/>
                      <w:sz w:val="18"/>
                      <w:szCs w:val="18"/>
                      <w:vertAlign w:val="superscript"/>
                    </w:rPr>
                    <w:t>2</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t>3horas 24 minutos</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3,40 h</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204 min</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Fonts w:ascii="Arial" w:hAnsi="Arial" w:cs="Arial"/>
                      <w:sz w:val="18"/>
                      <w:szCs w:val="18"/>
                    </w:rPr>
                    <w:lastRenderedPageBreak/>
                    <w:t>2,2 h</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2h 12 min</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before="150" w:after="375" w:line="240" w:lineRule="auto"/>
                    <w:rPr>
                      <w:rFonts w:ascii="Arial" w:hAnsi="Arial" w:cs="Arial"/>
                      <w:sz w:val="18"/>
                      <w:szCs w:val="18"/>
                    </w:rPr>
                  </w:pPr>
                  <w:r>
                    <w:rPr>
                      <w:rStyle w:val="Textoennegrita"/>
                      <w:rFonts w:ascii="Arial" w:hAnsi="Arial" w:cs="Arial"/>
                      <w:sz w:val="18"/>
                      <w:szCs w:val="18"/>
                    </w:rPr>
                    <w:t>132 min</w:t>
                  </w:r>
                </w:p>
              </w:tc>
            </w:tr>
          </w:tbl>
          <w:p w:rsidR="006E46BA" w:rsidRDefault="006E46BA" w:rsidP="00550638">
            <w:pPr>
              <w:spacing w:line="240" w:lineRule="auto"/>
              <w:rPr>
                <w:rFonts w:ascii="Arial" w:hAnsi="Arial" w:cs="Arial"/>
                <w:sz w:val="18"/>
                <w:szCs w:val="18"/>
              </w:rPr>
            </w:pP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lastRenderedPageBreak/>
              <w:t>9</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A) ¿Cuál es la longitud de la circunferencia?</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B) ¿Cuál es el área del círculo?</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21,44 %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6,28 cm</w:t>
            </w:r>
          </w:p>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3,14 cm</w:t>
            </w:r>
            <w:r>
              <w:rPr>
                <w:rStyle w:val="Textoennegrita"/>
                <w:rFonts w:ascii="Arial" w:hAnsi="Arial" w:cs="Arial"/>
                <w:sz w:val="18"/>
                <w:szCs w:val="18"/>
                <w:vertAlign w:val="superscript"/>
              </w:rPr>
              <w:t>2</w:t>
            </w:r>
          </w:p>
        </w:tc>
      </w:tr>
      <w:tr w:rsidR="006E46BA" w:rsidTr="006E46BA">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Fonts w:ascii="Arial" w:hAnsi="Arial" w:cs="Arial"/>
                <w:sz w:val="18"/>
                <w:szCs w:val="18"/>
              </w:rPr>
              <w:t>10</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A) ¿Cuál es el perímetro del trapecio?</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B) ¿Cuál es el área del trapecio?</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line="240" w:lineRule="auto"/>
              <w:rPr>
                <w:rFonts w:ascii="Arial" w:hAnsi="Arial" w:cs="Arial"/>
                <w:sz w:val="18"/>
                <w:szCs w:val="18"/>
              </w:rPr>
            </w:pPr>
            <w:r>
              <w:rPr>
                <w:rStyle w:val="Textoennegrita"/>
                <w:rFonts w:ascii="Arial" w:hAnsi="Arial" w:cs="Arial"/>
                <w:sz w:val="18"/>
                <w:szCs w:val="18"/>
              </w:rPr>
              <w:t>23,79 %</w:t>
            </w:r>
          </w:p>
        </w:tc>
        <w:tc>
          <w:tcPr>
            <w:tcW w:w="0" w:type="auto"/>
            <w:tcBorders>
              <w:bottom w:val="single" w:sz="6" w:space="0" w:color="DDDDDD"/>
            </w:tcBorders>
            <w:tcMar>
              <w:top w:w="105" w:type="dxa"/>
              <w:left w:w="0" w:type="dxa"/>
              <w:bottom w:w="105" w:type="dxa"/>
              <w:right w:w="105" w:type="dxa"/>
            </w:tcMar>
            <w:hideMark/>
          </w:tcPr>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44 cm</w:t>
            </w:r>
          </w:p>
          <w:p w:rsidR="006E46BA" w:rsidRDefault="006E46BA" w:rsidP="00550638">
            <w:pPr>
              <w:spacing w:after="105" w:line="240" w:lineRule="auto"/>
              <w:rPr>
                <w:rFonts w:ascii="Arial" w:hAnsi="Arial" w:cs="Arial"/>
                <w:sz w:val="18"/>
                <w:szCs w:val="18"/>
              </w:rPr>
            </w:pPr>
            <w:r>
              <w:rPr>
                <w:rStyle w:val="Textoennegrita"/>
                <w:rFonts w:ascii="Arial" w:hAnsi="Arial" w:cs="Arial"/>
                <w:sz w:val="18"/>
                <w:szCs w:val="18"/>
              </w:rPr>
              <w:t>104 cm</w:t>
            </w:r>
            <w:r>
              <w:rPr>
                <w:rStyle w:val="Textoennegrita"/>
                <w:rFonts w:ascii="Arial" w:hAnsi="Arial" w:cs="Arial"/>
                <w:sz w:val="18"/>
                <w:szCs w:val="18"/>
                <w:vertAlign w:val="superscript"/>
              </w:rPr>
              <w:t>2</w:t>
            </w:r>
          </w:p>
        </w:tc>
      </w:tr>
    </w:tbl>
    <w:p w:rsidR="006E46BA" w:rsidRDefault="006E46BA" w:rsidP="00550638">
      <w:pPr>
        <w:pStyle w:val="NormalWeb"/>
        <w:jc w:val="both"/>
      </w:pPr>
      <w:r>
        <w:t>(Los hipócritas de</w:t>
      </w:r>
      <w:r w:rsidR="004739F1">
        <w:t xml:space="preserve"> “E</w:t>
      </w:r>
      <w:r>
        <w:t>l País</w:t>
      </w:r>
      <w:r w:rsidR="004739F1">
        <w:t>”</w:t>
      </w:r>
      <w:r>
        <w:t xml:space="preserve"> lo llaman “patinazo” y “asignatura pendiente”. Anda</w:t>
      </w:r>
      <w:r w:rsidR="004739F1">
        <w:t>,</w:t>
      </w:r>
      <w:r>
        <w:t xml:space="preserve"> que si no… Cómo retuerce la izquierda “progre” la evidencia, antes de reconocer que lo único que han logrado es “igualar hacia abajo”. Prefieren tener profesores endogámicos de izquierda, analfabetos (del pesebre político-sindical), que correr el riesgo de perder  “clientelismo” y “sectarismo”, en beneficio de una mejor calidad de la enseñanza)</w:t>
      </w:r>
    </w:p>
    <w:p w:rsidR="006E46BA" w:rsidRDefault="006E46BA" w:rsidP="00550638">
      <w:pPr>
        <w:pStyle w:val="NormalWeb"/>
        <w:jc w:val="both"/>
      </w:pPr>
      <w:r>
        <w:t xml:space="preserve">- </w:t>
      </w:r>
      <w:r w:rsidRPr="00065964">
        <w:rPr>
          <w:u w:val="single"/>
        </w:rPr>
        <w:t>Un fallo docente desde la base</w:t>
      </w:r>
      <w:r>
        <w:t xml:space="preserve"> (El País - </w:t>
      </w:r>
      <w:r w:rsidRPr="00065964">
        <w:rPr>
          <w:b/>
        </w:rPr>
        <w:t>14/3/13</w:t>
      </w:r>
      <w:r>
        <w:t>)</w:t>
      </w:r>
    </w:p>
    <w:p w:rsidR="006E46BA" w:rsidRPr="00B47F43" w:rsidRDefault="006E46BA" w:rsidP="00550638">
      <w:pPr>
        <w:pStyle w:val="NormalWeb"/>
        <w:jc w:val="both"/>
        <w:rPr>
          <w:color w:val="FF0000"/>
        </w:rPr>
      </w:pPr>
      <w:r>
        <w:rPr>
          <w:color w:val="FF0000"/>
        </w:rPr>
        <w:t>El “patinazo”</w:t>
      </w:r>
      <w:r w:rsidRPr="00B47F43">
        <w:rPr>
          <w:color w:val="FF0000"/>
        </w:rPr>
        <w:t xml:space="preserve"> de un grupo de opositores a maestro saca a la luz las carencias en la formación primaria y la selección de los candidatos en España</w:t>
      </w:r>
    </w:p>
    <w:p w:rsidR="006E46BA" w:rsidRDefault="006E46BA" w:rsidP="00550638">
      <w:pPr>
        <w:pStyle w:val="NormalWeb"/>
        <w:jc w:val="both"/>
      </w:pPr>
      <w:r>
        <w:t xml:space="preserve">(Por Pilar Álvarez) </w:t>
      </w:r>
    </w:p>
    <w:p w:rsidR="006E46BA" w:rsidRDefault="006E46BA" w:rsidP="00550638">
      <w:pPr>
        <w:pStyle w:val="NormalWeb"/>
        <w:jc w:val="both"/>
      </w:pPr>
      <w:r w:rsidRPr="00B47F43">
        <w:rPr>
          <w:u w:val="single"/>
        </w:rPr>
        <w:t>“Hay una especie de foco de sospecha sobre los profesores. Pero dígame, ¿cuántos de nuestros políticos, médicos o abogados pasarían una prueba de cultura general si se les hiciera hoy mismo?”. Juan Manuel Escudero, catedrático de Didáctica y Organización Escolar de la Universidad de Murcia, reflexiona un segundo y pone el dedo en la llaga.</w:t>
      </w:r>
      <w:r>
        <w:t xml:space="preserve"> La reciente publicación de unos resultados parciales de las oposiciones a maestro que Madrid hizo en 2011, deja a los pies de los caballos a parte del colectivo. </w:t>
      </w:r>
    </w:p>
    <w:p w:rsidR="006E46BA" w:rsidRDefault="006E46BA" w:rsidP="00550638">
      <w:pPr>
        <w:pStyle w:val="NormalWeb"/>
        <w:jc w:val="both"/>
      </w:pPr>
      <w:r w:rsidRPr="00B47F43">
        <w:rPr>
          <w:u w:val="single"/>
        </w:rPr>
        <w:t>El 86% de los examinados suspendió una prueba que incluía preguntas sobre los conocimientos que debe tener un alumno de sexto de primaria, con 12 años.</w:t>
      </w:r>
      <w:r>
        <w:t xml:space="preserve"> </w:t>
      </w:r>
      <w:r w:rsidRPr="00B47F43">
        <w:rPr>
          <w:u w:val="single"/>
        </w:rPr>
        <w:t>Muchos de ellos, según la información facilitada por la Consejería de Educación madrileña, no supieron responder qué tipo de animal es una serpiente, cuál es la longitud de una circunferencia con un centímetro de radio, cuál es el significado de escrúpulo...</w:t>
      </w:r>
      <w:r>
        <w:t xml:space="preserve"> </w:t>
      </w:r>
      <w:r w:rsidRPr="00B47F43">
        <w:rPr>
          <w:u w:val="single"/>
        </w:rPr>
        <w:t>Desde los sindicatos les acusan de intentar “hacer escarnio público” con los docentes</w:t>
      </w:r>
      <w:r>
        <w:t xml:space="preserve"> al dar solo datos parciales de la prueba. La actuación de Madrid, inmersa en un cambio de los criterios para baremar a sus interinos, reabre un debate antiguo.</w:t>
      </w:r>
    </w:p>
    <w:p w:rsidR="006E46BA" w:rsidRPr="00B47F43" w:rsidRDefault="006E46BA" w:rsidP="00550638">
      <w:pPr>
        <w:pStyle w:val="NormalWeb"/>
        <w:jc w:val="both"/>
        <w:rPr>
          <w:u w:val="single"/>
        </w:rPr>
      </w:pPr>
      <w:r w:rsidRPr="00B47F43">
        <w:rPr>
          <w:color w:val="FF0000"/>
          <w:u w:val="single"/>
        </w:rPr>
        <w:t>¿Reciben nuestros profesores la mejor preparación? ¿Se elige bien y a los mejores? ¿Reciben el respaldo necesario de las Administraciones? España tiene una asignatura pendiente en la formación de sus docentes igual que con otro tipo de profesionales, esos a los que alude el profesor Escudero, seguro de que previsiblemente no pasarían un examen de primaria</w:t>
      </w:r>
      <w:r>
        <w:t xml:space="preserve">. </w:t>
      </w:r>
      <w:r w:rsidRPr="00B47F43">
        <w:rPr>
          <w:u w:val="single"/>
        </w:rPr>
        <w:t xml:space="preserve">Distintos expertos también alertan de que, durante años, la entrada a las facultades de Magisterio era más una cuestión de supervivencia que de vocación (a la búsqueda de un puesto fijo tras tres años de carrera), los procesos de selección posteriores varían entre comunidades y casi de un año a otro y, además, el colectivo no goza del reconocimiento social y económico que merece. </w:t>
      </w:r>
    </w:p>
    <w:p w:rsidR="006E46BA" w:rsidRPr="00B47F43" w:rsidRDefault="006E46BA" w:rsidP="00550638">
      <w:pPr>
        <w:pStyle w:val="NormalWeb"/>
        <w:jc w:val="both"/>
        <w:rPr>
          <w:color w:val="FF0000"/>
          <w:u w:val="single"/>
        </w:rPr>
      </w:pPr>
      <w:r w:rsidRPr="00B47F43">
        <w:rPr>
          <w:color w:val="FF0000"/>
          <w:u w:val="single"/>
        </w:rPr>
        <w:lastRenderedPageBreak/>
        <w:t>“El nivel educativo de cualquier país depende de su capacidad para formar y motivar adecuadamente a sus profesores”, dice una de las máximas del informe de la consultora estadounidense McKinsey and Company, que analiza las cuestiones comunes entre los sistemas mejor parados en el informe PISA.</w:t>
      </w:r>
    </w:p>
    <w:p w:rsidR="006E46BA" w:rsidRDefault="006E46BA" w:rsidP="00550638">
      <w:pPr>
        <w:pStyle w:val="NormalWeb"/>
        <w:jc w:val="both"/>
      </w:pPr>
      <w:r>
        <w:t>El catedrático Juan Manuel Escudero cree que el primer gran problema para evaluar con profundidad la calidad de la docencia es que no hay datos suficientes en España. “No existen informes fiables, uno de los agujeros negros en nuestro sistema educativo es que no conocemos qué pasa por dentro”, señala el experto en Didáctica. “No hay datos ni evidencias contrastadas, seguramente tanto por desidia de la Administración como de los propios investigadores”, añade entonando el mea culpa.</w:t>
      </w:r>
    </w:p>
    <w:p w:rsidR="006E46BA" w:rsidRPr="00B47F43" w:rsidRDefault="006E46BA" w:rsidP="00550638">
      <w:pPr>
        <w:pStyle w:val="NormalWeb"/>
        <w:jc w:val="both"/>
        <w:rPr>
          <w:u w:val="single"/>
        </w:rPr>
      </w:pPr>
      <w:r w:rsidRPr="00B47F43">
        <w:rPr>
          <w:color w:val="FF0000"/>
          <w:u w:val="single"/>
        </w:rPr>
        <w:t>La preparación de los maestros comienza en las facultades, pero la de los ciudadanos arranca mucho antes. “Es fácil echar la culpa al último, pero arrastramos déficits previos. Esto no se arregla con muchos exámenes porque estamos en un momento en el que, en general, ni se lee ni se escribe”, reflexiona Rosalía Aranda, decana de la Facultad de Formación del Profesorado y Educación de la Universidad Autónoma de Madrid (UAM).</w:t>
      </w:r>
      <w:r w:rsidRPr="00B47F43">
        <w:rPr>
          <w:color w:val="FF0000"/>
        </w:rPr>
        <w:t xml:space="preserve"> </w:t>
      </w:r>
      <w:r>
        <w:t xml:space="preserve">Uno de los temas en discusión sobre la formación de docentes es la necesidad de buscar a los mejores haciendo que entren en las facultades solo aquellos con expedientes brillantes y notas muy altas. </w:t>
      </w:r>
      <w:r w:rsidRPr="00B47F43">
        <w:rPr>
          <w:u w:val="single"/>
        </w:rPr>
        <w:t>“Antiguamente quizá había alumnos que acababan en Magisterio porque no tenían nota para otra cosa, pero eso ya no es así”, indica la decana. Durante los dos últimos cursos, la nota de corte en su facultad ha rondado un siete. “Ahora vienen los que de verdad quieren”. Otra cuestión es que, aunque tengan buenos expedientes lleguen bien preparados. “Hay alumnos, aunque no se puede generalizar, que vienen sin conocimientos básicos que tendrían que haber adquirido en primaria y secundaria. Es un lastre que traen y que aquí no se trata, porque en una facultad en lo que hay que profundizar es en didáctica”.</w:t>
      </w:r>
    </w:p>
    <w:p w:rsidR="006E46BA" w:rsidRPr="00B47F43" w:rsidRDefault="006E46BA" w:rsidP="00550638">
      <w:pPr>
        <w:pStyle w:val="NormalWeb"/>
        <w:jc w:val="both"/>
        <w:rPr>
          <w:u w:val="single"/>
        </w:rPr>
      </w:pPr>
      <w:r w:rsidRPr="00B47F43">
        <w:rPr>
          <w:u w:val="single"/>
        </w:rPr>
        <w:t>En el examen de Madrid, según la información facilitada por la Consejería regional, hubo también graves faltas de ortografía (ánbito, adsequible, Nabarra...) que, según la decana de la Autónoma, se ven a diario en las aulas. “La cadena se tendría que romper aquí: que no les permitiéramos aprobar sin una falta de ortografía, pero eso lo regula cada profesor”, añade. No cree que se arregle con pruebas sino con un cambio de costumbres: “Nuestros alumnos no leen, nuestros ciudadanos no leen”.</w:t>
      </w:r>
    </w:p>
    <w:p w:rsidR="006E46BA" w:rsidRPr="00B47F43" w:rsidRDefault="006E46BA" w:rsidP="00550638">
      <w:pPr>
        <w:pStyle w:val="NormalWeb"/>
        <w:jc w:val="both"/>
        <w:rPr>
          <w:color w:val="FF0000"/>
          <w:u w:val="single"/>
        </w:rPr>
      </w:pPr>
      <w:r w:rsidRPr="00B47F43">
        <w:rPr>
          <w:color w:val="FF0000"/>
          <w:u w:val="single"/>
        </w:rPr>
        <w:t>“La formación de los docentes es francamente mejorable”, admite Francesc Imbernón, catedrático de Pedagogía de la Universidad de Barcelona. Critica en primer lugar que los planes de estudio difieran de forma considerable de una facultad a otra y también que se dé “una formación muy teórica y muy general” en lugar de primar la práctica.</w:t>
      </w:r>
    </w:p>
    <w:p w:rsidR="006E46BA" w:rsidRDefault="006E46BA" w:rsidP="00550638">
      <w:pPr>
        <w:pStyle w:val="NormalWeb"/>
        <w:jc w:val="both"/>
      </w:pPr>
      <w:r w:rsidRPr="00117142">
        <w:rPr>
          <w:u w:val="single"/>
        </w:rPr>
        <w:t>Imbernón reclama una “especie de MIR del profesorado” posterior a las oposiciones para que los docentes culminen mejor su formación. También pide un reconocimiento social y económico para los profesores, aunque al más de medio millón de docentes de las aulas públicas españoles (entre maestros y profesores de secundaria) les ha ocurrido justo lo contrario en los últimos años: cada vez trabajan más horas, con más alumnos en las aulas y cobrando menos sueldo.</w:t>
      </w:r>
      <w:r>
        <w:t xml:space="preserve"> El catedrático de Pedagogía solicita por último una mejora en la selección de los candidatos. Lo recomienda también el informe McKinsey en su edición de 2010: para mejorar en sistema hay que asegurar que la docencia se equipare con otras profesiones como la medicina, en la que participen profesionales </w:t>
      </w:r>
      <w:r>
        <w:lastRenderedPageBreak/>
        <w:t xml:space="preserve">altamente especializados. “Pero la formación inicial que adquieran en las facultades nunca será completa”, añade Imbernón. </w:t>
      </w:r>
    </w:p>
    <w:p w:rsidR="006E46BA" w:rsidRDefault="006E46BA" w:rsidP="00550638">
      <w:pPr>
        <w:pStyle w:val="NormalWeb"/>
        <w:jc w:val="both"/>
      </w:pPr>
      <w:r w:rsidRPr="00117142">
        <w:rPr>
          <w:color w:val="FF0000"/>
          <w:u w:val="single"/>
        </w:rPr>
        <w:t>“El examen que ha sacado a la luz Madrid no tiene nada que ver con ser pedagogo. A mí no me tendrían que preguntar los ríos de España, es mucho más importante que evalúen mi capacidad para enseñárselos a un niño ciego”. El argumento es de Nieves Díaz, de 33 años, maestra interina de educación especial en Madrid</w:t>
      </w:r>
      <w:r>
        <w:t xml:space="preserve">. </w:t>
      </w:r>
      <w:r w:rsidRPr="00117142">
        <w:rPr>
          <w:u w:val="single"/>
        </w:rPr>
        <w:t xml:space="preserve">Se presentó a las oposiciones de Madrid de 2011. No obtuvo plaza. La oferta era de 489 vacantes para 14.110 aspirantes, con 23 en su especialidad, Pedagogía </w:t>
      </w:r>
      <w:r w:rsidR="00D44948" w:rsidRPr="00117142">
        <w:rPr>
          <w:u w:val="single"/>
        </w:rPr>
        <w:t>Terapéutica</w:t>
      </w:r>
      <w:r w:rsidRPr="00117142">
        <w:rPr>
          <w:u w:val="single"/>
        </w:rPr>
        <w:t>. Pero recuerda que sí aprobó el polémico examen sobre el currículo de primaria. Ver los resultados en la prensa le ha indignado: “Me parece demagógico y descarado que faciliten esos datos”.</w:t>
      </w:r>
      <w:r>
        <w:t xml:space="preserve"> El agujero, señala, está en otro lado. Para aprender el lenguaje de signos que necesitaba manejar en sus clases, pagó de su bolsillo tres cursos de 500 euros cada uno, porque el currículo reglado no lo incluía. “Mi formación me la he trabajado yo y, como la mayoría de mis compañeros, la pago de mi bolsillo”, denuncia.</w:t>
      </w:r>
    </w:p>
    <w:p w:rsidR="006E46BA" w:rsidRDefault="006E46BA" w:rsidP="00550638">
      <w:pPr>
        <w:pStyle w:val="NormalWeb"/>
        <w:jc w:val="both"/>
      </w:pPr>
      <w:r w:rsidRPr="00117142">
        <w:rPr>
          <w:u w:val="single"/>
        </w:rPr>
        <w:t>La docente, integrante de una plataforma de defensa de los interinos, respalda que se mejore la preparación de su colectivo “antes de empezar a trabajar y cuando ya se está en las aulas”. El dinero público para la formación continua de los maestros y profesores es otra de las partidas que ha sufrido un recorte considerable durante la crisis</w:t>
      </w:r>
      <w:r>
        <w:t xml:space="preserve">. El Ministerio de Educación dio un tajo de 2.000 millones en 2010 en sueldos, las actividades extraescolares, las becas y formación. Madrid, avanzadilla en las cuestiones educativas más polémicas, desmanteló ya en 2008, dos años antes, la red de formación del profesorado. Solo dejó cinco de los 28 existentes. </w:t>
      </w:r>
    </w:p>
    <w:p w:rsidR="006E46BA" w:rsidRPr="00117142" w:rsidRDefault="006E46BA" w:rsidP="00550638">
      <w:pPr>
        <w:pStyle w:val="NormalWeb"/>
        <w:jc w:val="both"/>
        <w:rPr>
          <w:u w:val="single"/>
        </w:rPr>
      </w:pPr>
      <w:r>
        <w:t xml:space="preserve">La mayoría de los cambios en un colectivo tan sensible para el futuro de un país como el de los docentes se hace más a golpe de decisiones políticas, sin abrir un debate sosegado y amplio en el que participe el mayor número de implicados posible. </w:t>
      </w:r>
      <w:r w:rsidRPr="00117142">
        <w:rPr>
          <w:u w:val="single"/>
        </w:rPr>
        <w:t>Los futuros maestros y profesores llevan más de un año castigados con los vaivenes de unas oposiciones menguantes. Casi todas las comunidades, por imposición nacional, rebajaron la oferta a cantidades 10 veces inferiores y, en casos como el de Madrid, las últimas de 2011 fueron anunciadas y desconvocadas en varias ocasiones.</w:t>
      </w:r>
    </w:p>
    <w:p w:rsidR="006E46BA" w:rsidRDefault="006E46BA" w:rsidP="00550638">
      <w:pPr>
        <w:pStyle w:val="NormalWeb"/>
        <w:jc w:val="both"/>
      </w:pPr>
      <w:r w:rsidRPr="00117142">
        <w:rPr>
          <w:u w:val="single"/>
        </w:rPr>
        <w:t>Donde también hay vaivenes es en los criterios que deben primar a la hora de seleccionar a esos docentes y de ordenarlos en las listas de interinos. En principio, prima la antigüedad y la experiencia sobre la nota, aunque cada región va por libre.</w:t>
      </w:r>
      <w:r>
        <w:t xml:space="preserve"> </w:t>
      </w:r>
      <w:r w:rsidRPr="00A950A9">
        <w:rPr>
          <w:color w:val="FF0000"/>
          <w:u w:val="single"/>
        </w:rPr>
        <w:t>Andalucía intentó darle un vuelco a ese criterio en 2010. Llegó a aprobar una normativa, el decreto 302, que echaron atrás los tribunales y las movilizaciones de los sindicatos y los interinos</w:t>
      </w:r>
      <w:r>
        <w:t xml:space="preserve">. </w:t>
      </w:r>
      <w:r w:rsidRPr="00A950A9">
        <w:rPr>
          <w:u w:val="single"/>
        </w:rPr>
        <w:t>La Consejería de Educación de Madrid presentó ayer en el Consejo de Gobierno un acuerdo en el que dinamitan los años de experiencia para dar más peso a la nota pura y dura. La Comunidad de Madrid desdeña la antigüedad, con un aumento del peso de la nota hasta un 80% (alrededor del triple que ahora) y restando casi a la mitad el peso de la experiencia docente (14%). Los sindicatos han plantado cara durante más de un año porque consideran que los años de dedicación deben pesar</w:t>
      </w:r>
      <w:r>
        <w:t xml:space="preserve">. La consejera Lucía Figar pidió ayer además en una comparecencia pública al Ministerio de Educación que revise los planes de estudio y los temarios de las oposiciones a maestro porque existen “lagunas tremendas” en su formación. Desde el Ministerio guardan silencio. El asunto será abordado en un próximo asalto, señala un portavoz. Cuando terminen la tramitación de la Ley Orgánica para la Mejora de la Calidad Educativa (la LOMCE, comúnmente conocida como Ley Wert), se pondrán manos a la obra con el </w:t>
      </w:r>
      <w:r>
        <w:lastRenderedPageBreak/>
        <w:t>estatuto docente. Y en ese documento de líneas rojas para el profesorado tratarán, entre otros asuntos, la formación y selección de los profesores aunque no ha trascendido mucho más.</w:t>
      </w:r>
    </w:p>
    <w:p w:rsidR="006E46BA" w:rsidRPr="00A950A9" w:rsidRDefault="006E46BA" w:rsidP="00550638">
      <w:pPr>
        <w:pStyle w:val="NormalWeb"/>
        <w:jc w:val="both"/>
        <w:rPr>
          <w:u w:val="single"/>
        </w:rPr>
      </w:pPr>
      <w:r w:rsidRPr="00A950A9">
        <w:rPr>
          <w:u w:val="single"/>
        </w:rPr>
        <w:t xml:space="preserve">¿Cuándo y por dónde empezamos el cambio? El informe McKinsey señala que la mayoría de los países se pusieron en marcha por dos de estos tres factores: una crisis económica o política, malos resultados del sistema en algún informe nacional e internacional o una iniciativa política fuerte de un alto responsable político. España cumple ya los dos primeros criterios. </w:t>
      </w:r>
    </w:p>
    <w:p w:rsidR="006E46BA" w:rsidRDefault="006E46BA" w:rsidP="00550638">
      <w:pPr>
        <w:pStyle w:val="NormalWeb"/>
        <w:jc w:val="both"/>
      </w:pPr>
      <w:r>
        <w:t>(¿Un tímido “mea culpa” del grupo PRISA? gran valedor del PSOE y principal beneficiado en el negocio de los libros de texto -que en España se cambian todos los años, ¡obligatoriamente!-, gracias al entente edit</w:t>
      </w:r>
      <w:r w:rsidR="004739F1">
        <w:t>or-partido gobernante). PRISOE.</w:t>
      </w:r>
    </w:p>
    <w:p w:rsidR="006E46BA" w:rsidRDefault="006E46BA" w:rsidP="00550638">
      <w:pPr>
        <w:pStyle w:val="NormalWeb"/>
        <w:jc w:val="both"/>
      </w:pPr>
      <w:r>
        <w:t xml:space="preserve">- </w:t>
      </w:r>
      <w:r w:rsidRPr="00C328FB">
        <w:rPr>
          <w:u w:val="single"/>
        </w:rPr>
        <w:t>La generación más preparada</w:t>
      </w:r>
      <w:r>
        <w:t xml:space="preserve"> (El País - </w:t>
      </w:r>
      <w:r w:rsidRPr="00C328FB">
        <w:rPr>
          <w:b/>
        </w:rPr>
        <w:t>15/3/13</w:t>
      </w:r>
      <w:r>
        <w:t>)</w:t>
      </w:r>
    </w:p>
    <w:p w:rsidR="006E46BA" w:rsidRPr="00A950A9" w:rsidRDefault="006E46BA" w:rsidP="00550638">
      <w:pPr>
        <w:pStyle w:val="NormalWeb"/>
        <w:jc w:val="both"/>
        <w:rPr>
          <w:color w:val="FF0000"/>
        </w:rPr>
      </w:pPr>
      <w:r w:rsidRPr="00A950A9">
        <w:rPr>
          <w:color w:val="FF0000"/>
        </w:rPr>
        <w:t>Un examen para aspirantes a maestros cuestiona el mito de una juventud supercualificada</w:t>
      </w:r>
    </w:p>
    <w:p w:rsidR="006E46BA" w:rsidRDefault="006E46BA" w:rsidP="00550638">
      <w:pPr>
        <w:pStyle w:val="NormalWeb"/>
        <w:jc w:val="both"/>
      </w:pPr>
      <w:r w:rsidRPr="00A950A9">
        <w:rPr>
          <w:u w:val="single"/>
        </w:rPr>
        <w:t>Estamos acostumbrados a las antologías de los disparates cometidos por estudiantes y hasta nos divierten, en vez de horrorizarnos. Pero los esquemas se trastocan al descubrir que un buen número de aspirantes a profesores cometen errores graves respecto a contenidos del currículo de educación primaria, como lo muestran los resultados de una prueba efectuada a 14.110 aspirantes a maestro en la Comunidad de Madrid</w:t>
      </w:r>
      <w:r>
        <w:t xml:space="preserve">. Si la gran mayoría de ellos ignora cuál es el equivalente en gramos a dos kilogramos y 30 gramos, la consejera de Educación, Lucía Figar, no es la única persona con motivos sobrados para estremecerse. Si suponen que el Ebro pasa por Madrid o menos de un tercio marcó bien los límites de las comunidades autónomas y sus nombres sobre un mapa, para qué adentrarse en el proceloso mar de las faltas de ortografía. </w:t>
      </w:r>
    </w:p>
    <w:p w:rsidR="006E46BA" w:rsidRPr="00A950A9" w:rsidRDefault="006E46BA" w:rsidP="00550638">
      <w:pPr>
        <w:pStyle w:val="NormalWeb"/>
        <w:jc w:val="both"/>
        <w:rPr>
          <w:u w:val="single"/>
        </w:rPr>
      </w:pPr>
      <w:r w:rsidRPr="00A950A9">
        <w:rPr>
          <w:u w:val="single"/>
        </w:rPr>
        <w:t>La Comunidad madrileña relaciona la desastrosa preparación de muchos aspirantes con su estrategia de primar la nota del examen por encima de la experiencia y del tiempo de servicio, a la hora de contratar profesores. Pero el gran valor de su iniciativa es el de desvelar el espantoso estado en que parece encontrarse la educación, y no solo en Madrid, dado que las pruebas estaban abiertas a participantes de toda España.</w:t>
      </w:r>
    </w:p>
    <w:p w:rsidR="006E46BA" w:rsidRPr="00A950A9" w:rsidRDefault="006E46BA" w:rsidP="00550638">
      <w:pPr>
        <w:pStyle w:val="NormalWeb"/>
        <w:jc w:val="both"/>
        <w:rPr>
          <w:color w:val="FF0000"/>
          <w:u w:val="single"/>
        </w:rPr>
      </w:pPr>
      <w:r w:rsidRPr="00A950A9">
        <w:rPr>
          <w:color w:val="FF0000"/>
          <w:u w:val="single"/>
        </w:rPr>
        <w:t xml:space="preserve">Así pues, ¿se hunde el mito de la “generación más preparada” de nuestra historia? Como mínimo, ese lugar común queda malparado y cuestiona la extendida idea de que los jóvenes se ven abocados al paro, la precariedad o la emigración a otras latitudes por falta de oportunidades profesionales, pese a la sobrada preparación general. </w:t>
      </w:r>
    </w:p>
    <w:p w:rsidR="006E46BA" w:rsidRPr="00A950A9" w:rsidRDefault="006E46BA" w:rsidP="00550638">
      <w:pPr>
        <w:pStyle w:val="NormalWeb"/>
        <w:jc w:val="both"/>
        <w:rPr>
          <w:u w:val="single"/>
        </w:rPr>
      </w:pPr>
      <w:r w:rsidRPr="00A950A9">
        <w:rPr>
          <w:u w:val="single"/>
        </w:rPr>
        <w:t>Conviene que los árboles dejen ver el bosque. La cualificación alcanzada por una parte de nuestra juventud, las titulaciones que reúne o su competencia en idiomas es indiscutiblemente mayor que la de generaciones precedentes</w:t>
      </w:r>
      <w:r>
        <w:t xml:space="preserve">. Pero esa parte no es representativa del paro juvenil en su conjunto, ni del estado de preparación de toda una generación. </w:t>
      </w:r>
      <w:r w:rsidRPr="00A950A9">
        <w:rPr>
          <w:u w:val="single"/>
        </w:rPr>
        <w:t>Es grave que los más cualificados tropiecen con dificultades tras los estudios, pero aún es peor el fallo de base revelado por los datos madrileños.</w:t>
      </w:r>
    </w:p>
    <w:p w:rsidR="006E46BA" w:rsidRPr="00CC0758" w:rsidRDefault="006E46BA" w:rsidP="00550638">
      <w:pPr>
        <w:pStyle w:val="NormalWeb"/>
        <w:jc w:val="both"/>
      </w:pPr>
      <w:r>
        <w:t>(Así presentaban el tema algunos periódicos de derecha -el primero- o liberales -el segundo-. No puedo menos que coincidir, con sus juicios de valor)</w:t>
      </w:r>
    </w:p>
    <w:p w:rsidR="006E46BA" w:rsidRDefault="006E46BA" w:rsidP="00550638">
      <w:pPr>
        <w:pStyle w:val="NormalWeb"/>
        <w:jc w:val="both"/>
      </w:pPr>
      <w:r>
        <w:lastRenderedPageBreak/>
        <w:t xml:space="preserve">- </w:t>
      </w:r>
      <w:r w:rsidRPr="00C61D6A">
        <w:rPr>
          <w:u w:val="single"/>
        </w:rPr>
        <w:t>El 86% de los aspirantes a profesores no aprobaría un examen de primaria</w:t>
      </w:r>
      <w:r>
        <w:t xml:space="preserve"> (Gaceta.es - </w:t>
      </w:r>
      <w:r w:rsidRPr="00C61D6A">
        <w:rPr>
          <w:b/>
        </w:rPr>
        <w:t>15/3/13</w:t>
      </w:r>
      <w:r>
        <w:t>)</w:t>
      </w:r>
    </w:p>
    <w:p w:rsidR="006E46BA" w:rsidRPr="00A950A9" w:rsidRDefault="006E46BA" w:rsidP="00550638">
      <w:pPr>
        <w:pStyle w:val="NormalWeb"/>
        <w:jc w:val="both"/>
        <w:rPr>
          <w:color w:val="FF0000"/>
          <w:u w:val="single"/>
        </w:rPr>
      </w:pPr>
      <w:r w:rsidRPr="00A950A9">
        <w:rPr>
          <w:color w:val="FF0000"/>
          <w:u w:val="single"/>
        </w:rPr>
        <w:t xml:space="preserve">Faltas de ortografía, suspenso en matemáticas, geografía y Conocimiento del Medio. Los opositores a una plaza de docente en Madrid suspenderían un examen para niños de 12 años. </w:t>
      </w:r>
    </w:p>
    <w:p w:rsidR="006E46BA" w:rsidRPr="00A950A9" w:rsidRDefault="006E46BA" w:rsidP="00550638">
      <w:pPr>
        <w:pStyle w:val="NormalWeb"/>
        <w:jc w:val="both"/>
        <w:rPr>
          <w:color w:val="FF0000"/>
          <w:u w:val="single"/>
        </w:rPr>
      </w:pPr>
      <w:r w:rsidRPr="00A950A9">
        <w:rPr>
          <w:color w:val="FF0000"/>
          <w:u w:val="single"/>
        </w:rPr>
        <w:t>L</w:t>
      </w:r>
      <w:r>
        <w:rPr>
          <w:color w:val="FF0000"/>
          <w:u w:val="single"/>
        </w:rPr>
        <w:t>os gatos ya no son felinos son “astutos”; las gallinas, “mamíferos”; las serpientes, “peligrosas”; el gavilán, “un viajero” o el caracol, un “crustáceo”</w:t>
      </w:r>
      <w:r w:rsidRPr="00A950A9">
        <w:rPr>
          <w:color w:val="FF0000"/>
          <w:u w:val="single"/>
        </w:rPr>
        <w:t>. Estas no son respuestas de alumnos de primaria o EGB, son respuestas de exámenes realizados por profesores interinos en la Comunidad de Madrid en 2011.</w:t>
      </w:r>
    </w:p>
    <w:p w:rsidR="006E46BA" w:rsidRPr="00A950A9" w:rsidRDefault="006E46BA" w:rsidP="00550638">
      <w:pPr>
        <w:pStyle w:val="NormalWeb"/>
        <w:jc w:val="both"/>
        <w:rPr>
          <w:color w:val="FF0000"/>
          <w:u w:val="single"/>
        </w:rPr>
      </w:pPr>
      <w:r>
        <w:t xml:space="preserve">La Consejería de Educación de la Comunidad de Madrid, dirigida por Lucía Figar, considera que tras estos resultados no puede prevalecer el criterio de antigüedad frente al de conocimiento. Y es que, </w:t>
      </w:r>
      <w:r w:rsidRPr="00A950A9">
        <w:rPr>
          <w:u w:val="single"/>
        </w:rPr>
        <w:t>sólo el 1,83% de los que opositaron al Cuerpo de Maestros en 2011 respondieron correctamente a las provincias que transcurren el Ebro, Duero, Guadalquivir.</w:t>
      </w:r>
      <w:r>
        <w:t xml:space="preserve"> </w:t>
      </w:r>
      <w:r w:rsidRPr="00A950A9">
        <w:rPr>
          <w:u w:val="single"/>
        </w:rPr>
        <w:t>Además, sólo algo más del 30% conoce los límites de las comunidades autónomas además de poner bien el nombre en cada una de ellas</w:t>
      </w:r>
      <w:r>
        <w:t xml:space="preserve">. </w:t>
      </w:r>
      <w:r w:rsidRPr="00A950A9">
        <w:rPr>
          <w:color w:val="FF0000"/>
          <w:u w:val="single"/>
        </w:rPr>
        <w:t xml:space="preserve">Sólo 1.913 de los 14.110 opositores lograron superar la primera fase del proceso selectivo, que incluye una prueba de conocimiento. </w:t>
      </w:r>
    </w:p>
    <w:p w:rsidR="006E46BA" w:rsidRPr="00A950A9" w:rsidRDefault="006E46BA" w:rsidP="00550638">
      <w:pPr>
        <w:pStyle w:val="NormalWeb"/>
        <w:jc w:val="both"/>
        <w:rPr>
          <w:b/>
          <w:color w:val="FF0000"/>
          <w:u w:val="single"/>
        </w:rPr>
      </w:pPr>
      <w:r w:rsidRPr="00A950A9">
        <w:rPr>
          <w:b/>
          <w:color w:val="FF0000"/>
          <w:u w:val="single"/>
        </w:rPr>
        <w:t>Consejería de Educación está ultimando un decreto para que el nivel de conocimientos se valore en un 80% y que la experiencia pase a contar solo un 1</w:t>
      </w:r>
      <w:r>
        <w:rPr>
          <w:b/>
          <w:color w:val="FF0000"/>
          <w:u w:val="single"/>
        </w:rPr>
        <w:t>5%. El 5% restante vendría por “otros méritos”</w:t>
      </w:r>
      <w:r w:rsidRPr="00A950A9">
        <w:rPr>
          <w:b/>
          <w:color w:val="FF0000"/>
          <w:u w:val="single"/>
        </w:rPr>
        <w:t xml:space="preserve">. </w:t>
      </w:r>
    </w:p>
    <w:p w:rsidR="006E46BA" w:rsidRPr="00A950A9" w:rsidRDefault="006E46BA" w:rsidP="00550638">
      <w:pPr>
        <w:pStyle w:val="NormalWeb"/>
        <w:jc w:val="both"/>
        <w:rPr>
          <w:b/>
          <w:color w:val="FF0000"/>
          <w:u w:val="single"/>
        </w:rPr>
      </w:pPr>
      <w:r w:rsidRPr="00A950A9">
        <w:rPr>
          <w:b/>
          <w:color w:val="FF0000"/>
          <w:u w:val="single"/>
        </w:rPr>
        <w:t>Los sindicatos de la enseñanza madrileña reclaman a la Consejería de Educación, en la Mesa Sectorial convocada para este viernes, que se mantenga la actual regulación de las listas de docentes interinos. La puntuación hasta ahora es que el conocimiento equivale al 36% de la oposición, mientras que la experiencia docente llegaba el</w:t>
      </w:r>
      <w:r>
        <w:rPr>
          <w:b/>
          <w:color w:val="FF0000"/>
          <w:u w:val="single"/>
        </w:rPr>
        <w:t xml:space="preserve"> 46,8%. El 16,1% se sitúa para “otros méritos”</w:t>
      </w:r>
      <w:r w:rsidRPr="00A950A9">
        <w:rPr>
          <w:b/>
          <w:color w:val="FF0000"/>
          <w:u w:val="single"/>
        </w:rPr>
        <w:t xml:space="preserve">. </w:t>
      </w:r>
    </w:p>
    <w:p w:rsidR="006E46BA" w:rsidRPr="00A950A9" w:rsidRDefault="006E46BA" w:rsidP="00550638">
      <w:pPr>
        <w:pStyle w:val="NormalWeb"/>
        <w:jc w:val="both"/>
        <w:rPr>
          <w:u w:val="single"/>
        </w:rPr>
      </w:pPr>
      <w:r>
        <w:t xml:space="preserve">La consejería ya planteó en diciembre modificar el funcionamiento de las listas para primar la nota obtenida en las oposiciones sobre la experiencia docente, lo que </w:t>
      </w:r>
      <w:r w:rsidRPr="00A950A9">
        <w:rPr>
          <w:u w:val="single"/>
        </w:rPr>
        <w:t>los cuatro sindicatos de la Mesa -CCOO, ANPE, CSIF y UGT- rechazan de modo unánime, por considerar que el sistema actual de ordenación puntúa de forma equilibrada la formación, experiencia y nota en las oposiciones.</w:t>
      </w:r>
    </w:p>
    <w:p w:rsidR="006E46BA" w:rsidRPr="00A950A9" w:rsidRDefault="006E46BA" w:rsidP="00550638">
      <w:pPr>
        <w:pStyle w:val="NormalWeb"/>
        <w:jc w:val="both"/>
        <w:rPr>
          <w:color w:val="FF0000"/>
          <w:u w:val="single"/>
        </w:rPr>
      </w:pPr>
      <w:r w:rsidRPr="00A950A9">
        <w:rPr>
          <w:color w:val="FF0000"/>
          <w:u w:val="single"/>
        </w:rPr>
        <w:t>Figar defiende que con estos nuev</w:t>
      </w:r>
      <w:r>
        <w:rPr>
          <w:color w:val="FF0000"/>
          <w:u w:val="single"/>
        </w:rPr>
        <w:t>os baremos se evitaría que los “</w:t>
      </w:r>
      <w:r w:rsidRPr="00A950A9">
        <w:rPr>
          <w:color w:val="FF0000"/>
          <w:u w:val="single"/>
        </w:rPr>
        <w:t>candidatos que logran excelentes calificaciones en las oposiciones queden fuera del sistema educativo al prevalecer como mérito los años d</w:t>
      </w:r>
      <w:r>
        <w:rPr>
          <w:color w:val="FF0000"/>
          <w:u w:val="single"/>
        </w:rPr>
        <w:t>e interinidad”</w:t>
      </w:r>
      <w:r w:rsidRPr="00A950A9">
        <w:rPr>
          <w:color w:val="FF0000"/>
          <w:u w:val="single"/>
        </w:rPr>
        <w:t>.</w:t>
      </w:r>
    </w:p>
    <w:p w:rsidR="006E46BA" w:rsidRDefault="006E46BA" w:rsidP="00550638">
      <w:pPr>
        <w:pStyle w:val="NormalWeb"/>
        <w:jc w:val="both"/>
      </w:pPr>
      <w:r>
        <w:t xml:space="preserve">- </w:t>
      </w:r>
      <w:r w:rsidRPr="00766A70">
        <w:rPr>
          <w:u w:val="single"/>
        </w:rPr>
        <w:t>Opositores a maestro: Ávila está en La Coruña y la gallina es un mamífero</w:t>
      </w:r>
      <w:r>
        <w:t xml:space="preserve"> (Libertad Digital - </w:t>
      </w:r>
      <w:r w:rsidRPr="00766A70">
        <w:rPr>
          <w:b/>
        </w:rPr>
        <w:t>14/3/13</w:t>
      </w:r>
      <w:r>
        <w:t>)</w:t>
      </w:r>
    </w:p>
    <w:p w:rsidR="006E46BA" w:rsidRDefault="006E46BA" w:rsidP="00550638">
      <w:pPr>
        <w:pStyle w:val="NormalWeb"/>
        <w:jc w:val="both"/>
      </w:pPr>
      <w:r>
        <w:t>La Comunidad de Madrid quiere cambiar los criterios de selección en las oposiciones a profesor, para que pese más el examen que la experiencia.</w:t>
      </w:r>
    </w:p>
    <w:p w:rsidR="006E46BA" w:rsidRPr="00A950A9" w:rsidRDefault="006E46BA" w:rsidP="00550638">
      <w:pPr>
        <w:pStyle w:val="NormalWeb"/>
        <w:jc w:val="both"/>
        <w:rPr>
          <w:u w:val="single"/>
        </w:rPr>
      </w:pPr>
      <w:r w:rsidRPr="00A950A9">
        <w:rPr>
          <w:u w:val="single"/>
        </w:rPr>
        <w:t>La Consejería de Educación de la Comunidad de Madrid ha presentado este jueves el informe con los cambios que pretende implantar en las oposiciones a maestro. El objetivo del Go</w:t>
      </w:r>
      <w:r>
        <w:rPr>
          <w:u w:val="single"/>
        </w:rPr>
        <w:t>bierno regional es que lleguen “los mejores”</w:t>
      </w:r>
      <w:r w:rsidRPr="00A950A9">
        <w:rPr>
          <w:u w:val="single"/>
        </w:rPr>
        <w:t xml:space="preserve"> a los colegios madrileños. </w:t>
      </w:r>
      <w:r w:rsidRPr="00A950A9">
        <w:rPr>
          <w:u w:val="single"/>
        </w:rPr>
        <w:lastRenderedPageBreak/>
        <w:t xml:space="preserve">De esta manera, lo que primará más en la selección del profesorado será la calificación de la prueba de conocimiento, antes que la experiencia de los aspirantes o sus títulos oficiales. </w:t>
      </w:r>
    </w:p>
    <w:p w:rsidR="006E46BA" w:rsidRPr="00A950A9" w:rsidRDefault="006E46BA" w:rsidP="00550638">
      <w:pPr>
        <w:pStyle w:val="NormalWeb"/>
        <w:jc w:val="both"/>
        <w:rPr>
          <w:color w:val="FF0000"/>
          <w:u w:val="single"/>
        </w:rPr>
      </w:pPr>
      <w:r w:rsidRPr="00A950A9">
        <w:rPr>
          <w:b/>
          <w:color w:val="FF0000"/>
          <w:u w:val="single"/>
        </w:rPr>
        <w:t>Según ha anunciado la consejera, Lucía Figar, en la última convocatoria, 3.800 opositores suspendidos entraron en la lista de interinos frente a 336 aprobados que, paradójicamente, quedaron fuera</w:t>
      </w:r>
      <w:r>
        <w:t xml:space="preserve">. </w:t>
      </w:r>
      <w:r w:rsidRPr="00A950A9">
        <w:rPr>
          <w:color w:val="FF0000"/>
          <w:u w:val="single"/>
        </w:rPr>
        <w:t xml:space="preserve">Esto es así porque, con el sistema actual, no es necesario aprobar todos los apartados del examen para estar en la lista de interinos que cubre las vacantes. En este sistema de puntos prima la antigüedad (46,8%), después la nota del </w:t>
      </w:r>
      <w:r>
        <w:rPr>
          <w:color w:val="FF0000"/>
          <w:u w:val="single"/>
        </w:rPr>
        <w:t>examen (36,1%) y otros méritos -</w:t>
      </w:r>
      <w:r w:rsidRPr="00A950A9">
        <w:rPr>
          <w:color w:val="FF0000"/>
          <w:u w:val="single"/>
        </w:rPr>
        <w:t xml:space="preserve">cursos y </w:t>
      </w:r>
      <w:r w:rsidR="00D44948" w:rsidRPr="00A950A9">
        <w:rPr>
          <w:color w:val="FF0000"/>
          <w:u w:val="single"/>
        </w:rPr>
        <w:t>masters</w:t>
      </w:r>
      <w:r w:rsidRPr="00A950A9">
        <w:rPr>
          <w:color w:val="FF0000"/>
          <w:u w:val="single"/>
        </w:rPr>
        <w:t xml:space="preserve">- (16,1%). </w:t>
      </w:r>
    </w:p>
    <w:p w:rsidR="006E46BA" w:rsidRPr="00A950A9" w:rsidRDefault="006E46BA" w:rsidP="00550638">
      <w:pPr>
        <w:pStyle w:val="NormalWeb"/>
        <w:jc w:val="both"/>
        <w:rPr>
          <w:u w:val="single"/>
        </w:rPr>
      </w:pPr>
      <w:r w:rsidRPr="00A950A9">
        <w:rPr>
          <w:u w:val="single"/>
        </w:rPr>
        <w:t>La intención de la Consejería es que, a partir de ahora, cambien los baremos de puntuación. De acuerdo a estos nuevos criterios, el 80% de la nota final dependerá del resultado del examen, un 15% de la experiencia, un 2,5% de la formación académica y un 2,5% de la acreditación de idiomas.</w:t>
      </w:r>
    </w:p>
    <w:p w:rsidR="006E46BA" w:rsidRPr="00E916DB" w:rsidRDefault="006E46BA" w:rsidP="00550638">
      <w:pPr>
        <w:pStyle w:val="NormalWeb"/>
        <w:jc w:val="both"/>
        <w:rPr>
          <w:color w:val="FF0000"/>
          <w:u w:val="single"/>
        </w:rPr>
      </w:pPr>
      <w:r w:rsidRPr="00E916DB">
        <w:rPr>
          <w:color w:val="FF0000"/>
          <w:u w:val="single"/>
        </w:rPr>
        <w:t xml:space="preserve">La prueba de conocimiento examina a los aspirantes con preguntas de nivel básico de ortografía, geografía o lengua. Sin embargo, muchos aspirantes no logran superarla o cometen errores imperdonables. Pero como este examen, en la actualidad, pesa menos que la experiencia, eso no es obstáculo para que acaben en las aulas dando clase, como interinos, opositores que confunden las comunidades autónomas o no saben realizar operaciones matemáticas básicas. </w:t>
      </w:r>
    </w:p>
    <w:p w:rsidR="006E46BA" w:rsidRDefault="006E46BA" w:rsidP="00550638">
      <w:pPr>
        <w:pStyle w:val="NormalWeb"/>
        <w:jc w:val="both"/>
      </w:pPr>
      <w:r>
        <w:t>Por eso, la Comunidad de Madrid ha insistido en que las novedades en las oposiciones presentadas este jueves buscan la “excelencia académica”, para primar el "principio de igualdad" en la función pública. Los cambios previstos han puesto en pie de guerra a los sindicatos porque, si finalmente se llevan adelante, los años de interinidad dejarán de ser el factor decisivo a la hora de seleccionar a los opositores.</w:t>
      </w:r>
    </w:p>
    <w:p w:rsidR="006E46BA" w:rsidRDefault="006E46BA" w:rsidP="00550638">
      <w:pPr>
        <w:pStyle w:val="NormalWeb"/>
        <w:jc w:val="both"/>
      </w:pPr>
      <w:r>
        <w:t xml:space="preserve">“Soria, comunidad autónoma” </w:t>
      </w:r>
    </w:p>
    <w:p w:rsidR="006E46BA" w:rsidRPr="00E916DB" w:rsidRDefault="006E46BA" w:rsidP="00550638">
      <w:pPr>
        <w:pStyle w:val="NormalWeb"/>
        <w:jc w:val="both"/>
        <w:rPr>
          <w:u w:val="single"/>
        </w:rPr>
      </w:pPr>
      <w:r>
        <w:t xml:space="preserve">La Comunidad ha entregado este jueves un resumen de las respuestas al examen. En este documento, destacan varios errores graves cometidos por algunos de los opositores. Pero quizás aún más significativo sea el bajo porcentaje de los aspirantes que dio la respuesta correcta a cada una de las preguntas. De esta manera, </w:t>
      </w:r>
      <w:r w:rsidRPr="00E916DB">
        <w:rPr>
          <w:u w:val="single"/>
        </w:rPr>
        <w:t>aunque los titulares de la prensa se los llevarán las contestaciones o los errores más llamativos, lo preocupante es que una mayoría de los futuros maestros no tenga unos conocimientos básicos (del nivel requerido para un alumno de 12 años) en Lengua, Matemáticas o Conocimiento del Medio.</w:t>
      </w:r>
    </w:p>
    <w:p w:rsidR="006E46BA" w:rsidRPr="00E916DB" w:rsidRDefault="006E46BA" w:rsidP="00550638">
      <w:pPr>
        <w:pStyle w:val="NormalWeb"/>
        <w:jc w:val="both"/>
        <w:rPr>
          <w:color w:val="FF0000"/>
          <w:u w:val="single"/>
        </w:rPr>
      </w:pPr>
      <w:r w:rsidRPr="00E916DB">
        <w:rPr>
          <w:color w:val="FF0000"/>
          <w:u w:val="single"/>
        </w:rPr>
        <w:t xml:space="preserve">Por ejemplo, en la prueba de Conocimiento del Medio (las antiguas Ciencias Sociales), se pedía a los opositores que sobre un mapa de España dibujasen las comunidades autónomas y les dieran nombre. Pues </w:t>
      </w:r>
      <w:r>
        <w:rPr>
          <w:color w:val="FF0000"/>
          <w:u w:val="single"/>
        </w:rPr>
        <w:t>bien, hubo quien respondió que “Soria es una comunidad autónoma” o que “</w:t>
      </w:r>
      <w:r w:rsidRPr="00E916DB">
        <w:rPr>
          <w:color w:val="FF0000"/>
          <w:u w:val="single"/>
        </w:rPr>
        <w:t>Albacete, Ciudad Real y B</w:t>
      </w:r>
      <w:r>
        <w:rPr>
          <w:color w:val="FF0000"/>
          <w:u w:val="single"/>
        </w:rPr>
        <w:t>adajoz son provincias andaluzas”</w:t>
      </w:r>
      <w:r w:rsidRPr="00E916DB">
        <w:rPr>
          <w:color w:val="FF0000"/>
          <w:u w:val="single"/>
        </w:rPr>
        <w:t xml:space="preserve"> y fueron numerosos los que cambiaron de lugar en el mapa a Ceuta y Melilla. Y algún opositor respondió, en preguntas para clasi</w:t>
      </w:r>
      <w:r>
        <w:rPr>
          <w:color w:val="FF0000"/>
          <w:u w:val="single"/>
        </w:rPr>
        <w:t>ficar animales, que el gato es “astuto”, la gallina es un “mamífero” o que el gavilán es un “viajero”</w:t>
      </w:r>
      <w:r w:rsidRPr="00E916DB">
        <w:rPr>
          <w:color w:val="FF0000"/>
          <w:u w:val="single"/>
        </w:rPr>
        <w:t xml:space="preserve">. </w:t>
      </w:r>
    </w:p>
    <w:p w:rsidR="006E46BA" w:rsidRPr="00E916DB" w:rsidRDefault="006E46BA" w:rsidP="00550638">
      <w:pPr>
        <w:pStyle w:val="NormalWeb"/>
        <w:jc w:val="both"/>
        <w:rPr>
          <w:color w:val="FF0000"/>
          <w:u w:val="single"/>
        </w:rPr>
      </w:pPr>
      <w:r w:rsidRPr="00E916DB">
        <w:rPr>
          <w:color w:val="FF0000"/>
          <w:u w:val="single"/>
        </w:rPr>
        <w:t>En el examen de Matemáticas, quizás la respuesta más llamativa la ofreció un candidato que, ant</w:t>
      </w:r>
      <w:r>
        <w:rPr>
          <w:color w:val="FF0000"/>
          <w:u w:val="single"/>
        </w:rPr>
        <w:t>e un problema con el enunciado “</w:t>
      </w:r>
      <w:r w:rsidRPr="00E916DB">
        <w:rPr>
          <w:color w:val="FF0000"/>
          <w:u w:val="single"/>
        </w:rPr>
        <w:t xml:space="preserve">unas gafas cuestan 185 euros más que su </w:t>
      </w:r>
      <w:r w:rsidRPr="00E916DB">
        <w:rPr>
          <w:color w:val="FF0000"/>
          <w:u w:val="single"/>
        </w:rPr>
        <w:lastRenderedPageBreak/>
        <w:t>funda; las gafas y la funda cuestan 235 eur</w:t>
      </w:r>
      <w:r>
        <w:rPr>
          <w:color w:val="FF0000"/>
          <w:u w:val="single"/>
        </w:rPr>
        <w:t>os; diga el precio de las gafas”, contestó que “</w:t>
      </w:r>
      <w:r w:rsidRPr="00E916DB">
        <w:rPr>
          <w:color w:val="FF0000"/>
          <w:u w:val="single"/>
        </w:rPr>
        <w:t>las gafas cuestan 235 euros po</w:t>
      </w:r>
      <w:r>
        <w:rPr>
          <w:color w:val="FF0000"/>
          <w:u w:val="single"/>
        </w:rPr>
        <w:t>rque siempre se regala la funda”</w:t>
      </w:r>
      <w:r w:rsidRPr="00E916DB">
        <w:rPr>
          <w:color w:val="FF0000"/>
          <w:u w:val="single"/>
        </w:rPr>
        <w:t xml:space="preserve">. </w:t>
      </w:r>
    </w:p>
    <w:p w:rsidR="006E46BA" w:rsidRPr="00E916DB" w:rsidRDefault="006E46BA" w:rsidP="00550638">
      <w:pPr>
        <w:pStyle w:val="NormalWeb"/>
        <w:jc w:val="both"/>
        <w:rPr>
          <w:color w:val="FF0000"/>
          <w:u w:val="single"/>
        </w:rPr>
      </w:pPr>
      <w:r w:rsidRPr="00E916DB">
        <w:rPr>
          <w:color w:val="FF0000"/>
          <w:u w:val="single"/>
        </w:rPr>
        <w:t xml:space="preserve">Además, los encargados de corregir los exámenes se encontraron con errores ortográficos clamorosos como: deriban, vagaje, anbito, veverlo, volcán, inportancia o creacción. </w:t>
      </w:r>
    </w:p>
    <w:p w:rsidR="006E46BA" w:rsidRDefault="006E46BA" w:rsidP="00550638">
      <w:pPr>
        <w:pStyle w:val="NormalWeb"/>
        <w:jc w:val="both"/>
      </w:pPr>
      <w:r>
        <w:t xml:space="preserve">Los aprobados </w:t>
      </w:r>
    </w:p>
    <w:p w:rsidR="006E46BA" w:rsidRPr="00E916DB" w:rsidRDefault="006E46BA" w:rsidP="00550638">
      <w:pPr>
        <w:pStyle w:val="NormalWeb"/>
        <w:jc w:val="both"/>
        <w:rPr>
          <w:u w:val="single"/>
        </w:rPr>
      </w:pPr>
      <w:r w:rsidRPr="00E916DB">
        <w:rPr>
          <w:u w:val="single"/>
        </w:rPr>
        <w:t xml:space="preserve">Pero como decíamos antes, lo más preocupante no son estas respuestas, aunque llamen mucho la atención. Al fin y al cabo, si sólo 20 </w:t>
      </w:r>
      <w:r w:rsidR="00D44948" w:rsidRPr="00E916DB">
        <w:rPr>
          <w:u w:val="single"/>
        </w:rPr>
        <w:t>o</w:t>
      </w:r>
      <w:r w:rsidRPr="00E916DB">
        <w:rPr>
          <w:u w:val="single"/>
        </w:rPr>
        <w:t xml:space="preserve"> 30 de los más de 14.000 opositores hubieran cometido estos errores, mientras sus compañeros hacían unos excelentes exámenes, todo habría quedado en una anécdota más o menos curiosa. </w:t>
      </w:r>
    </w:p>
    <w:p w:rsidR="006E46BA" w:rsidRPr="00E916DB" w:rsidRDefault="006E46BA" w:rsidP="00550638">
      <w:pPr>
        <w:pStyle w:val="NormalWeb"/>
        <w:jc w:val="both"/>
        <w:rPr>
          <w:color w:val="FF0000"/>
          <w:u w:val="single"/>
        </w:rPr>
      </w:pPr>
      <w:r w:rsidRPr="00E916DB">
        <w:rPr>
          <w:u w:val="single"/>
        </w:rPr>
        <w:t xml:space="preserve">Desde el punto de vista de los resultados, lo importante es el porcentaje de candidatos que aprobó cada una de las pruebas. Y el problema es que tampoco en este caso los datos son como para tirar cohetes. </w:t>
      </w:r>
      <w:r w:rsidRPr="00E916DB">
        <w:rPr>
          <w:color w:val="FF0000"/>
          <w:u w:val="single"/>
        </w:rPr>
        <w:t>Sólo el 13% de los opositores aprobó el examen (1.911 de 14.000 aspirantes):</w:t>
      </w:r>
    </w:p>
    <w:p w:rsidR="006E46BA" w:rsidRPr="00E916DB" w:rsidRDefault="006E46BA" w:rsidP="00550638">
      <w:pPr>
        <w:pStyle w:val="NormalWeb"/>
        <w:jc w:val="both"/>
        <w:rPr>
          <w:color w:val="FF0000"/>
        </w:rPr>
      </w:pPr>
      <w:r>
        <w:t xml:space="preserve"> • </w:t>
      </w:r>
      <w:r w:rsidRPr="00E916DB">
        <w:rPr>
          <w:color w:val="FF0000"/>
        </w:rPr>
        <w:t>En Matemáticas, sólo un 7% de los examinados supo decir a cuánto equivalían, en gramos, 2 kilos y 30 gramos y otras equivalencias referidas a longitud y tiempo.</w:t>
      </w:r>
    </w:p>
    <w:p w:rsidR="006E46BA" w:rsidRPr="00E916DB" w:rsidRDefault="006E46BA" w:rsidP="00550638">
      <w:pPr>
        <w:pStyle w:val="NormalWeb"/>
        <w:jc w:val="both"/>
        <w:rPr>
          <w:color w:val="FF0000"/>
        </w:rPr>
      </w:pPr>
      <w:r>
        <w:t xml:space="preserve">• </w:t>
      </w:r>
      <w:r w:rsidRPr="00E916DB">
        <w:rPr>
          <w:color w:val="FF0000"/>
        </w:rPr>
        <w:t>Sólo el 23% calculó correctamente el perímetro y el área de un trapecio del que tenían la longitud de los cuatro lados.</w:t>
      </w:r>
    </w:p>
    <w:p w:rsidR="006E46BA" w:rsidRPr="00E916DB" w:rsidRDefault="006E46BA" w:rsidP="00550638">
      <w:pPr>
        <w:pStyle w:val="NormalWeb"/>
        <w:jc w:val="both"/>
        <w:rPr>
          <w:color w:val="FF0000"/>
        </w:rPr>
      </w:pPr>
      <w:r>
        <w:t xml:space="preserve">• </w:t>
      </w:r>
      <w:r w:rsidRPr="00E916DB">
        <w:rPr>
          <w:color w:val="FF0000"/>
        </w:rPr>
        <w:t>En Lengua y Literatura, un 70% no supo</w:t>
      </w:r>
      <w:r>
        <w:rPr>
          <w:color w:val="FF0000"/>
        </w:rPr>
        <w:t xml:space="preserve"> dar definiciones correctas de “escrúpulo”, “disertación”, “extasiar” y “pronóstico”</w:t>
      </w:r>
      <w:r w:rsidRPr="00E916DB">
        <w:rPr>
          <w:color w:val="FF0000"/>
        </w:rPr>
        <w:t xml:space="preserve"> y casi la mitad no sabía explicar la diferencia</w:t>
      </w:r>
      <w:r>
        <w:rPr>
          <w:color w:val="FF0000"/>
        </w:rPr>
        <w:t xml:space="preserve"> entre “basta” y “vasta”</w:t>
      </w:r>
      <w:r w:rsidRPr="00E916DB">
        <w:rPr>
          <w:color w:val="FF0000"/>
        </w:rPr>
        <w:t>. En este apartado, destacan algunas de las respuestas a</w:t>
      </w:r>
      <w:r>
        <w:rPr>
          <w:color w:val="FF0000"/>
        </w:rPr>
        <w:t xml:space="preserve"> la definición de “escrúpulo”: “Salida del sol”, “atardecer” y “</w:t>
      </w:r>
      <w:r w:rsidRPr="00E916DB">
        <w:rPr>
          <w:color w:val="FF0000"/>
        </w:rPr>
        <w:t>que no eres capaz d</w:t>
      </w:r>
      <w:r>
        <w:rPr>
          <w:color w:val="FF0000"/>
        </w:rPr>
        <w:t>e tocar las algas con las manos”</w:t>
      </w:r>
      <w:r w:rsidRPr="00E916DB">
        <w:rPr>
          <w:color w:val="FF0000"/>
        </w:rPr>
        <w:t>.</w:t>
      </w:r>
    </w:p>
    <w:p w:rsidR="006E46BA" w:rsidRPr="00E916DB" w:rsidRDefault="006E46BA" w:rsidP="00550638">
      <w:pPr>
        <w:pStyle w:val="NormalWeb"/>
        <w:jc w:val="both"/>
        <w:rPr>
          <w:color w:val="FF0000"/>
        </w:rPr>
      </w:pPr>
      <w:r>
        <w:t xml:space="preserve">• </w:t>
      </w:r>
      <w:r w:rsidRPr="00E916DB">
        <w:rPr>
          <w:color w:val="FF0000"/>
        </w:rPr>
        <w:t>Más del 80% no supo identificar los adverbios, conjunciones, pronombres y conjunciones en una frase.</w:t>
      </w:r>
    </w:p>
    <w:p w:rsidR="006E46BA" w:rsidRPr="00E916DB" w:rsidRDefault="006E46BA" w:rsidP="00550638">
      <w:pPr>
        <w:pStyle w:val="NormalWeb"/>
        <w:jc w:val="both"/>
        <w:rPr>
          <w:color w:val="FF0000"/>
        </w:rPr>
      </w:pPr>
      <w:r>
        <w:t xml:space="preserve">• </w:t>
      </w:r>
      <w:r w:rsidRPr="00E916DB">
        <w:rPr>
          <w:color w:val="FF0000"/>
        </w:rPr>
        <w:t>En Conocimiento del Medio, hasta el 69% de los examinados no situó de forma correcta los límites y nombres de las comunidades autónomas en un mapa; y sólo el 38% situó correctamente las ciudades de Ávila y Pamplona.</w:t>
      </w:r>
    </w:p>
    <w:p w:rsidR="006E46BA" w:rsidRPr="00E916DB" w:rsidRDefault="006E46BA" w:rsidP="00550638">
      <w:pPr>
        <w:pStyle w:val="NormalWeb"/>
        <w:jc w:val="both"/>
        <w:rPr>
          <w:color w:val="FF0000"/>
        </w:rPr>
      </w:pPr>
      <w:r>
        <w:t xml:space="preserve">• </w:t>
      </w:r>
      <w:r w:rsidRPr="00E916DB">
        <w:rPr>
          <w:color w:val="FF0000"/>
        </w:rPr>
        <w:t xml:space="preserve">Sólo el 1,8% supo el nombre de las provincias por las que pasan los ríos Duero, Ebro y Guadalquivir (ésta fue la pregunta con un porcentaje menor de aciertos). Algunos llegaron a decir que los tres ríos pasan por Madrid, cuando es la comunidad en la que pretenden dar clase. </w:t>
      </w:r>
    </w:p>
    <w:p w:rsidR="006E46BA" w:rsidRDefault="006E46BA" w:rsidP="00550638">
      <w:pPr>
        <w:pStyle w:val="NormalWeb"/>
        <w:jc w:val="both"/>
      </w:pPr>
      <w:r>
        <w:t xml:space="preserve">Petición a Wert </w:t>
      </w:r>
    </w:p>
    <w:p w:rsidR="006E46BA" w:rsidRPr="00E916DB" w:rsidRDefault="006E46BA" w:rsidP="00550638">
      <w:pPr>
        <w:pStyle w:val="NormalWeb"/>
        <w:jc w:val="both"/>
        <w:rPr>
          <w:color w:val="FF0000"/>
          <w:u w:val="single"/>
        </w:rPr>
      </w:pPr>
      <w:r>
        <w:t xml:space="preserve">En la presentación de estos resultados, Lucía Figar ha anunciado este jueves que va a pedir al Ministerio de Educación una revisión de los planes de estudio de Magisterio, así como de los temarios que se estudian los profesores y maestros a la hora de opositar. </w:t>
      </w:r>
      <w:r>
        <w:rPr>
          <w:color w:val="FF0000"/>
          <w:u w:val="single"/>
        </w:rPr>
        <w:t>Los datos son “estremecedores”</w:t>
      </w:r>
      <w:r w:rsidRPr="00E916DB">
        <w:rPr>
          <w:color w:val="FF0000"/>
          <w:u w:val="single"/>
        </w:rPr>
        <w:t>, ha indicado Figar en rueda de prensa posterior al Consejo de Gobierno, donde ha indicado que el hecho de que un 8</w:t>
      </w:r>
      <w:r>
        <w:rPr>
          <w:color w:val="FF0000"/>
          <w:u w:val="single"/>
        </w:rPr>
        <w:t xml:space="preserve">6 por ciento de los </w:t>
      </w:r>
      <w:r>
        <w:rPr>
          <w:color w:val="FF0000"/>
          <w:u w:val="single"/>
        </w:rPr>
        <w:lastRenderedPageBreak/>
        <w:t>opositores “</w:t>
      </w:r>
      <w:r w:rsidRPr="00E916DB">
        <w:rPr>
          <w:color w:val="FF0000"/>
          <w:u w:val="single"/>
        </w:rPr>
        <w:t>no tenga el nivel de conocimiento de los alumnos a los que t</w:t>
      </w:r>
      <w:r>
        <w:rPr>
          <w:color w:val="FF0000"/>
          <w:u w:val="single"/>
        </w:rPr>
        <w:t>iene que dar clase es muy grave”. “</w:t>
      </w:r>
      <w:r w:rsidRPr="00E916DB">
        <w:rPr>
          <w:color w:val="FF0000"/>
          <w:u w:val="single"/>
        </w:rPr>
        <w:t>No todos tenemos por qué sabernos las provincias por las que pasa el Ebro pero</w:t>
      </w:r>
      <w:r>
        <w:rPr>
          <w:color w:val="FF0000"/>
          <w:u w:val="single"/>
        </w:rPr>
        <w:t xml:space="preserve"> sí el que lo tiene que enseñar”</w:t>
      </w:r>
      <w:r w:rsidRPr="00E916DB">
        <w:rPr>
          <w:color w:val="FF0000"/>
          <w:u w:val="single"/>
        </w:rPr>
        <w:t>, ha considerado.</w:t>
      </w:r>
    </w:p>
    <w:p w:rsidR="006E46BA" w:rsidRPr="00E916DB" w:rsidRDefault="006E46BA" w:rsidP="00550638">
      <w:pPr>
        <w:pStyle w:val="NormalWeb"/>
        <w:jc w:val="both"/>
        <w:rPr>
          <w:u w:val="single"/>
        </w:rPr>
      </w:pPr>
      <w:r>
        <w:rPr>
          <w:u w:val="single"/>
        </w:rPr>
        <w:t>“</w:t>
      </w:r>
      <w:r w:rsidRPr="00E916DB">
        <w:rPr>
          <w:u w:val="single"/>
        </w:rPr>
        <w:t>Hay lagunas tremendas que nos llevan a hacer una reflexión, hay que revisar los planes de estudio de las facultades de Magisterio y los temarios de las oposiciones que se están preparando y dar otra vuelta y volver a revisar los sistem</w:t>
      </w:r>
      <w:r>
        <w:rPr>
          <w:u w:val="single"/>
        </w:rPr>
        <w:t>as de selección del profesorado”</w:t>
      </w:r>
      <w:r w:rsidRPr="00E916DB">
        <w:rPr>
          <w:u w:val="single"/>
        </w:rPr>
        <w:t xml:space="preserve">, ha apuntado Figar, quien ha señalado que así se lo trasladará al ministro responsable en la materia, José Ignacio Wert. </w:t>
      </w:r>
    </w:p>
    <w:p w:rsidR="006E46BA" w:rsidRDefault="006E46BA" w:rsidP="00550638">
      <w:pPr>
        <w:pStyle w:val="NormalWeb"/>
        <w:jc w:val="both"/>
      </w:pPr>
      <w:r w:rsidRPr="00E916DB">
        <w:rPr>
          <w:u w:val="single"/>
        </w:rPr>
        <w:t>En este sentido, ha concretado que aunque los datos correspondan a las oposiciones en Madrid no significa que sea un problema de los profesores madrileños porque en el último proceso, precisamente por ser una de las poca</w:t>
      </w:r>
      <w:r>
        <w:rPr>
          <w:u w:val="single"/>
        </w:rPr>
        <w:t>s regiones que celebraron uno, “</w:t>
      </w:r>
      <w:r w:rsidRPr="00E916DB">
        <w:rPr>
          <w:u w:val="single"/>
        </w:rPr>
        <w:t>se presentaron candid</w:t>
      </w:r>
      <w:r>
        <w:rPr>
          <w:u w:val="single"/>
        </w:rPr>
        <w:t>atos procedentes de toda España”. “</w:t>
      </w:r>
      <w:r w:rsidRPr="00E916DB">
        <w:rPr>
          <w:u w:val="single"/>
        </w:rPr>
        <w:t>Vienen personas de toda España.</w:t>
      </w:r>
      <w:r>
        <w:t xml:space="preserve"> Esto nos hace pensar que es una situación general, ocurre en Madrid y en toda España y hay que revisar lo que se está estudiando en las facultades”, ha insistido Figar, quien ha señalado que ha hablado con rectores y decanos y que “todos coinciden” en que existen “lagunas”.</w:t>
      </w:r>
    </w:p>
    <w:p w:rsidR="006E46BA" w:rsidRDefault="006E46BA" w:rsidP="00550638">
      <w:pPr>
        <w:pStyle w:val="NormalWeb"/>
        <w:jc w:val="both"/>
      </w:pPr>
      <w:r>
        <w:t xml:space="preserve">- </w:t>
      </w:r>
      <w:r w:rsidRPr="00A8596F">
        <w:rPr>
          <w:u w:val="single"/>
        </w:rPr>
        <w:t>La gallina es un mamífero</w:t>
      </w:r>
      <w:r>
        <w:t xml:space="preserve"> (Libertad Digital - </w:t>
      </w:r>
      <w:r w:rsidRPr="00A8596F">
        <w:rPr>
          <w:b/>
        </w:rPr>
        <w:t>14/3/13</w:t>
      </w:r>
      <w:r>
        <w:t>)</w:t>
      </w:r>
    </w:p>
    <w:p w:rsidR="006E46BA" w:rsidRDefault="006E46BA" w:rsidP="00550638">
      <w:pPr>
        <w:pStyle w:val="NormalWeb"/>
        <w:jc w:val="both"/>
      </w:pPr>
      <w:r>
        <w:t>(Por José García Domínguez)</w:t>
      </w:r>
    </w:p>
    <w:p w:rsidR="006E46BA" w:rsidRPr="00E916DB" w:rsidRDefault="006E46BA" w:rsidP="00550638">
      <w:pPr>
        <w:pStyle w:val="NormalWeb"/>
        <w:jc w:val="both"/>
        <w:rPr>
          <w:color w:val="FF0000"/>
          <w:u w:val="single"/>
        </w:rPr>
      </w:pPr>
      <w:r w:rsidRPr="00E916DB">
        <w:rPr>
          <w:color w:val="FF0000"/>
          <w:u w:val="single"/>
        </w:rPr>
        <w:t xml:space="preserve">La gallina es un mamífero; Ávila, una bucólica villa costera de pescadores ubicada en la provincia de La Coruña; y Soria, el nombre oficial de una comunidad autónoma, acaso nacionalidad histórica. Eso piensa, parece, un número estadísticamente significativo de diplomados en Magisterio </w:t>
      </w:r>
      <w:r>
        <w:rPr>
          <w:color w:val="FF0000"/>
          <w:u w:val="single"/>
        </w:rPr>
        <w:t>pertenecientes a la ya célebre “</w:t>
      </w:r>
      <w:r w:rsidRPr="00E916DB">
        <w:rPr>
          <w:color w:val="FF0000"/>
          <w:u w:val="single"/>
        </w:rPr>
        <w:t>generación mejor pre</w:t>
      </w:r>
      <w:r>
        <w:rPr>
          <w:color w:val="FF0000"/>
          <w:u w:val="single"/>
        </w:rPr>
        <w:t>parada de la historia de España”</w:t>
      </w:r>
      <w:r w:rsidRPr="00E916DB">
        <w:rPr>
          <w:color w:val="FF0000"/>
          <w:u w:val="single"/>
        </w:rPr>
        <w:t xml:space="preserve">. Miseria intelectual, la de tantos maestros Ciruela que, para sonrojo colectivo, acaba de airear la Consejería de Educación de Madrid. Otro testimonio de una asombrosa incompetencia, la de la red de instrucción pública, que no se explica con rutinarias apelaciones a las deficiencias técnicas de tal o cual ley educativa votada por el Parlamento. </w:t>
      </w:r>
    </w:p>
    <w:p w:rsidR="006E46BA" w:rsidRPr="00E916DB" w:rsidRDefault="006E46BA" w:rsidP="00550638">
      <w:pPr>
        <w:pStyle w:val="NormalWeb"/>
        <w:jc w:val="both"/>
        <w:rPr>
          <w:b/>
          <w:color w:val="FF0000"/>
          <w:u w:val="single"/>
        </w:rPr>
      </w:pPr>
      <w:r w:rsidRPr="00E916DB">
        <w:rPr>
          <w:b/>
          <w:color w:val="FF0000"/>
          <w:u w:val="single"/>
        </w:rPr>
        <w:t>Porque el Chernobyl cultural español posee raíces más antiguas y más hondas</w:t>
      </w:r>
      <w:r>
        <w:t xml:space="preserve">. </w:t>
      </w:r>
      <w:r w:rsidRPr="00E916DB">
        <w:rPr>
          <w:color w:val="FF0000"/>
          <w:u w:val="single"/>
        </w:rPr>
        <w:t>A fin de cuentas, esos pobres analfabetos que imparten docencia en las aulas infantiles no son mucho más ignorantes que otros que sientan cátedra a diario sobre lo humano y lo divino en los foros audiovisuales</w:t>
      </w:r>
      <w:r>
        <w:t xml:space="preserve">. </w:t>
      </w:r>
      <w:r w:rsidRPr="00E916DB">
        <w:rPr>
          <w:b/>
          <w:color w:val="FF0000"/>
          <w:u w:val="single"/>
        </w:rPr>
        <w:t xml:space="preserve">España, y no cabe achacarlo a la Logse, es hoy la sociedad más democrática de Europa. Ningún país occidental tolera menos las jerarquías que el nuestro. Ninguno. El peor insulto aquí tal vez sea tildar a alguien de elitista. De ahí que tantas gentes instruidas se esfuercen por disimular su condición emulando el lenguaje burdo y los modos toscos propios de cuanto se tiene por popular. </w:t>
      </w:r>
    </w:p>
    <w:p w:rsidR="006E46BA" w:rsidRDefault="006E46BA" w:rsidP="00550638">
      <w:pPr>
        <w:pStyle w:val="NormalWeb"/>
        <w:jc w:val="both"/>
        <w:rPr>
          <w:b/>
          <w:color w:val="FF0000"/>
          <w:u w:val="single"/>
        </w:rPr>
      </w:pPr>
      <w:r w:rsidRPr="00E916DB">
        <w:rPr>
          <w:b/>
          <w:color w:val="FF0000"/>
          <w:u w:val="single"/>
        </w:rPr>
        <w:t>Bien saben que el elemental respeto a la sintaxis comienza a pasar por pretenciosa pedantería, cuando no por intolerable clasismo. Solo lo basto, y mejor cuanto más zafio, ofrece garantías de unánime celebración y general aplauso</w:t>
      </w:r>
      <w:r>
        <w:t xml:space="preserve">. Por algo las supremas celebridades del papel </w:t>
      </w:r>
      <w:r w:rsidR="00587466">
        <w:t>cuché</w:t>
      </w:r>
      <w:r>
        <w:t xml:space="preserve">, novísimos modelos del éxito social, surgen de la cantera del fracaso escolar. </w:t>
      </w:r>
      <w:r w:rsidRPr="00E916DB">
        <w:rPr>
          <w:color w:val="FF0000"/>
          <w:u w:val="single"/>
        </w:rPr>
        <w:t xml:space="preserve">Va para un siglo y medio, cuando parecía que habíamos tocado fondo, una generación de intelectuales se planteó como misión primera la de redimir a España de su incultura. Creían ellos, y no andaban lejos de la verdad, que el </w:t>
      </w:r>
      <w:r w:rsidRPr="00E916DB">
        <w:rPr>
          <w:color w:val="FF0000"/>
          <w:u w:val="single"/>
        </w:rPr>
        <w:lastRenderedPageBreak/>
        <w:t>problema español era, ante todo, un problema de educación</w:t>
      </w:r>
      <w:r>
        <w:t xml:space="preserve">. </w:t>
      </w:r>
      <w:r w:rsidRPr="00E916DB">
        <w:rPr>
          <w:b/>
          <w:color w:val="FF0000"/>
          <w:u w:val="single"/>
        </w:rPr>
        <w:t>Recuérdese, tan reproducido, el diálogo entre Joaq</w:t>
      </w:r>
      <w:r>
        <w:rPr>
          <w:b/>
          <w:color w:val="FF0000"/>
          <w:u w:val="single"/>
        </w:rPr>
        <w:t>uín Costa y Giner de los Ríos. “Giner, necesitamos un hombre”</w:t>
      </w:r>
      <w:r w:rsidRPr="00E916DB">
        <w:rPr>
          <w:b/>
          <w:color w:val="FF0000"/>
          <w:u w:val="single"/>
        </w:rPr>
        <w:t>, dijo Costa. A lo que el</w:t>
      </w:r>
      <w:r>
        <w:rPr>
          <w:b/>
          <w:color w:val="FF0000"/>
          <w:u w:val="single"/>
        </w:rPr>
        <w:t xml:space="preserve"> pedagogo krausista respondió: “</w:t>
      </w:r>
      <w:r w:rsidRPr="00E916DB">
        <w:rPr>
          <w:b/>
          <w:color w:val="FF0000"/>
          <w:u w:val="single"/>
        </w:rPr>
        <w:t xml:space="preserve">Joaquín, lo </w:t>
      </w:r>
      <w:r>
        <w:rPr>
          <w:b/>
          <w:color w:val="FF0000"/>
          <w:u w:val="single"/>
        </w:rPr>
        <w:t>que nos hace falta es un pueblo”</w:t>
      </w:r>
      <w:r w:rsidRPr="00E916DB">
        <w:rPr>
          <w:b/>
          <w:color w:val="FF0000"/>
          <w:u w:val="single"/>
        </w:rPr>
        <w:t>. Y en ésas seguimos. Lo de los maestros, desengañémonos, apenas es un síntoma.</w:t>
      </w:r>
    </w:p>
    <w:p w:rsidR="006E46BA" w:rsidRDefault="006E46BA" w:rsidP="00550638">
      <w:pPr>
        <w:pStyle w:val="NormalWeb"/>
        <w:jc w:val="both"/>
      </w:pPr>
      <w:r>
        <w:t xml:space="preserve">(Post data: solo me falta agregar que, de seguir este nivel de calidad en el sistema educativo, cuando nazcan las futuras generaciones en España, la matrona podrá decirles, con seguridad, a los padres: les felicito han tenido un niño “analfabeto” involuntario) </w:t>
      </w:r>
    </w:p>
    <w:p w:rsidR="006E46BA" w:rsidRPr="00F77839" w:rsidRDefault="006E46BA" w:rsidP="00550638">
      <w:pPr>
        <w:pStyle w:val="NormalWeb"/>
        <w:jc w:val="both"/>
        <w:rPr>
          <w:rStyle w:val="nfasis"/>
          <w:i w:val="0"/>
          <w:color w:val="FF0000"/>
        </w:rPr>
      </w:pPr>
      <w:r>
        <w:rPr>
          <w:b/>
          <w:bCs/>
        </w:rPr>
        <w:t>In</w:t>
      </w:r>
      <w:r w:rsidR="00576B44">
        <w:rPr>
          <w:b/>
          <w:bCs/>
        </w:rPr>
        <w:t>forme especial (II) - El retorno</w:t>
      </w:r>
      <w:r>
        <w:rPr>
          <w:b/>
          <w:bCs/>
        </w:rPr>
        <w:t xml:space="preserve"> de los “burros” (pobres alumnos, pobre España)</w:t>
      </w:r>
      <w:r w:rsidRPr="00F77839">
        <w:rPr>
          <w:rStyle w:val="nfasis"/>
          <w:i w:val="0"/>
          <w:color w:val="FF0000"/>
        </w:rPr>
        <w:t xml:space="preserve"> </w:t>
      </w:r>
    </w:p>
    <w:p w:rsidR="006E46BA" w:rsidRDefault="006E46BA" w:rsidP="00550638">
      <w:pPr>
        <w:pStyle w:val="NormalWeb"/>
        <w:jc w:val="both"/>
      </w:pPr>
      <w:r>
        <w:t xml:space="preserve">- </w:t>
      </w:r>
      <w:r>
        <w:rPr>
          <w:u w:val="single"/>
        </w:rPr>
        <w:t>“</w:t>
      </w:r>
      <w:r w:rsidRPr="00FE1FBA">
        <w:rPr>
          <w:u w:val="single"/>
        </w:rPr>
        <w:t xml:space="preserve">Los ríos de España se los tienen que saber, </w:t>
      </w:r>
      <w:r>
        <w:rPr>
          <w:u w:val="single"/>
        </w:rPr>
        <w:t>no son ecuaciones diferenciales”</w:t>
      </w:r>
      <w:r>
        <w:t xml:space="preserve"> (Libertad Digital - </w:t>
      </w:r>
      <w:r w:rsidRPr="00FE1FBA">
        <w:rPr>
          <w:b/>
        </w:rPr>
        <w:t>2/9/13</w:t>
      </w:r>
      <w:r>
        <w:t>)                                                                                 Lectura recomendada</w:t>
      </w:r>
    </w:p>
    <w:p w:rsidR="006E46BA" w:rsidRPr="00270D3C" w:rsidRDefault="006E46BA" w:rsidP="00550638">
      <w:pPr>
        <w:pStyle w:val="NormalWeb"/>
        <w:jc w:val="both"/>
        <w:rPr>
          <w:color w:val="FF0000"/>
          <w:u w:val="single"/>
        </w:rPr>
      </w:pPr>
      <w:r w:rsidRPr="00270D3C">
        <w:rPr>
          <w:color w:val="FF0000"/>
          <w:u w:val="single"/>
        </w:rPr>
        <w:t>Más del 70 por ciento de los maestros que se han presentado a las oposiciones han suspendido el examen.</w:t>
      </w:r>
    </w:p>
    <w:p w:rsidR="006E46BA" w:rsidRDefault="006E46BA" w:rsidP="00550638">
      <w:pPr>
        <w:pStyle w:val="NormalWeb"/>
        <w:jc w:val="both"/>
      </w:pPr>
      <w:r>
        <w:t xml:space="preserve">El Gobierno de la Comunidad de Madrid ha anunciado una </w:t>
      </w:r>
      <w:hyperlink r:id="rId287" w:history="1">
        <w:r w:rsidRPr="00031D82">
          <w:rPr>
            <w:rStyle w:val="Hipervnculo"/>
            <w:rFonts w:eastAsiaTheme="majorEastAsia"/>
            <w:color w:val="auto"/>
          </w:rPr>
          <w:t>reforma en los contenidos que se estudian en Magisterio</w:t>
        </w:r>
      </w:hyperlink>
      <w:r w:rsidRPr="00031D82">
        <w:t xml:space="preserve"> </w:t>
      </w:r>
      <w:r>
        <w:t xml:space="preserve">después de que más del </w:t>
      </w:r>
      <w:r w:rsidRPr="002852EC">
        <w:rPr>
          <w:rStyle w:val="Textoennegrita"/>
          <w:b w:val="0"/>
        </w:rPr>
        <w:t>70 por ciento</w:t>
      </w:r>
      <w:r>
        <w:t xml:space="preserve"> de los maestros que se han presentado a las oposiciones hayan </w:t>
      </w:r>
      <w:r w:rsidRPr="002852EC">
        <w:rPr>
          <w:rStyle w:val="Textoennegrita"/>
          <w:b w:val="0"/>
        </w:rPr>
        <w:t>suspendido el examen</w:t>
      </w:r>
      <w:r w:rsidRPr="002852EC">
        <w:rPr>
          <w:b/>
        </w:rPr>
        <w:t>.</w:t>
      </w:r>
    </w:p>
    <w:p w:rsidR="006E46BA" w:rsidRPr="00270D3C" w:rsidRDefault="006E46BA" w:rsidP="00550638">
      <w:pPr>
        <w:pStyle w:val="NormalWeb"/>
        <w:jc w:val="both"/>
        <w:rPr>
          <w:u w:val="single"/>
        </w:rPr>
      </w:pPr>
      <w:r>
        <w:rPr>
          <w:u w:val="single"/>
        </w:rPr>
        <w:t>“</w:t>
      </w:r>
      <w:r w:rsidRPr="00270D3C">
        <w:rPr>
          <w:u w:val="single"/>
        </w:rPr>
        <w:t xml:space="preserve">En una prueba de contenidos de sexto de primaria, lo que tienen que enseñar diariamente en clase", ha explicado la viceconsejera de Educación de la Comunidad de Madrid, Alicia Delibes, en </w:t>
      </w:r>
      <w:r w:rsidRPr="0094286E">
        <w:rPr>
          <w:rStyle w:val="Textoennegrita"/>
          <w:b w:val="0"/>
          <w:i/>
          <w:u w:val="single"/>
        </w:rPr>
        <w:t>esNoticia</w:t>
      </w:r>
      <w:r w:rsidRPr="002852EC">
        <w:rPr>
          <w:rStyle w:val="Textoennegrita"/>
          <w:b w:val="0"/>
          <w:u w:val="single"/>
        </w:rPr>
        <w:t xml:space="preserve"> de </w:t>
      </w:r>
      <w:r w:rsidRPr="0094286E">
        <w:rPr>
          <w:rStyle w:val="Textoennegrita"/>
          <w:b w:val="0"/>
          <w:i/>
          <w:u w:val="single"/>
        </w:rPr>
        <w:t>esRadio</w:t>
      </w:r>
      <w:r w:rsidRPr="0094286E">
        <w:rPr>
          <w:b/>
          <w:i/>
          <w:u w:val="single"/>
        </w:rPr>
        <w:t>.</w:t>
      </w:r>
      <w:r w:rsidRPr="002852EC">
        <w:rPr>
          <w:b/>
          <w:u w:val="single"/>
        </w:rPr>
        <w:t xml:space="preserve"> “</w:t>
      </w:r>
      <w:r w:rsidRPr="002852EC">
        <w:rPr>
          <w:rStyle w:val="Textoennegrita"/>
          <w:b w:val="0"/>
          <w:u w:val="single"/>
        </w:rPr>
        <w:t>Se tienen que saber las capitales de Europa, los ríos de España... no son ecuaciones diferenciales</w:t>
      </w:r>
      <w:r w:rsidRPr="002852EC">
        <w:rPr>
          <w:b/>
          <w:u w:val="single"/>
        </w:rPr>
        <w:t>.</w:t>
      </w:r>
      <w:r w:rsidRPr="00270D3C">
        <w:rPr>
          <w:u w:val="single"/>
        </w:rPr>
        <w:t xml:space="preserve"> Ahí no puede fallar un maestro y suspende u</w:t>
      </w:r>
      <w:r>
        <w:rPr>
          <w:u w:val="single"/>
        </w:rPr>
        <w:t>n 72%. Es increíble pero es así”</w:t>
      </w:r>
      <w:r w:rsidRPr="00270D3C">
        <w:rPr>
          <w:u w:val="single"/>
        </w:rPr>
        <w:t>.</w:t>
      </w:r>
    </w:p>
    <w:p w:rsidR="006E46BA" w:rsidRPr="00920A5E" w:rsidRDefault="006E46BA" w:rsidP="00550638">
      <w:pPr>
        <w:pStyle w:val="NormalWeb"/>
        <w:jc w:val="both"/>
        <w:rPr>
          <w:b/>
          <w:u w:val="single"/>
        </w:rPr>
      </w:pPr>
      <w:r>
        <w:t xml:space="preserve">Alicia Delibes dijo que en Ciencias de la Educación tiene más peso la investigación pedagógica que asignaturas que tiene que enseñar un profesor de niños, por lo que la Comunidad pretende reunir a los decanos de las facultades y revisar los planes de estudio. </w:t>
      </w:r>
      <w:r>
        <w:rPr>
          <w:u w:val="single"/>
        </w:rPr>
        <w:t>“</w:t>
      </w:r>
      <w:r w:rsidRPr="00270D3C">
        <w:rPr>
          <w:u w:val="single"/>
        </w:rPr>
        <w:t>Hay que reforzar sus conocimientos porque han hecho bachillerato, pero si no refuerzan conocimientos</w:t>
      </w:r>
      <w:r w:rsidRPr="00270D3C">
        <w:rPr>
          <w:rStyle w:val="Textoennegrita"/>
          <w:u w:val="single"/>
        </w:rPr>
        <w:t xml:space="preserve"> </w:t>
      </w:r>
      <w:r w:rsidRPr="00920A5E">
        <w:rPr>
          <w:rStyle w:val="Textoennegrita"/>
          <w:b w:val="0"/>
          <w:u w:val="single"/>
        </w:rPr>
        <w:t>adolecen de preparación</w:t>
      </w:r>
      <w:r w:rsidRPr="00920A5E">
        <w:rPr>
          <w:b/>
          <w:u w:val="single"/>
        </w:rPr>
        <w:t>”.</w:t>
      </w:r>
    </w:p>
    <w:p w:rsidR="006E46BA" w:rsidRPr="00D34783" w:rsidRDefault="006E46BA"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E1FBA">
        <w:rPr>
          <w:rFonts w:ascii="Times New Roman" w:hAnsi="Times New Roman" w:cs="Times New Roman"/>
          <w:sz w:val="24"/>
          <w:szCs w:val="24"/>
          <w:u w:val="single"/>
        </w:rPr>
        <w:t>P</w:t>
      </w:r>
      <w:r>
        <w:rPr>
          <w:rFonts w:ascii="Times New Roman" w:hAnsi="Times New Roman" w:cs="Times New Roman"/>
          <w:sz w:val="24"/>
          <w:szCs w:val="24"/>
          <w:u w:val="single"/>
        </w:rPr>
        <w:t>or qué los maestros pueden ser “burros”</w:t>
      </w:r>
      <w:r>
        <w:rPr>
          <w:rFonts w:ascii="Times New Roman" w:hAnsi="Times New Roman" w:cs="Times New Roman"/>
          <w:sz w:val="24"/>
          <w:szCs w:val="24"/>
        </w:rPr>
        <w:t xml:space="preserve"> (Libertad Digital - </w:t>
      </w:r>
      <w:r w:rsidRPr="00FE1FBA">
        <w:rPr>
          <w:rFonts w:ascii="Times New Roman" w:hAnsi="Times New Roman" w:cs="Times New Roman"/>
          <w:b/>
          <w:sz w:val="24"/>
          <w:szCs w:val="24"/>
        </w:rPr>
        <w:t>2/9/13</w:t>
      </w:r>
      <w:r>
        <w:rPr>
          <w:rFonts w:ascii="Times New Roman" w:hAnsi="Times New Roman" w:cs="Times New Roman"/>
          <w:sz w:val="24"/>
          <w:szCs w:val="24"/>
        </w:rPr>
        <w:t>)</w:t>
      </w:r>
    </w:p>
    <w:p w:rsidR="006E46BA" w:rsidRDefault="006E46BA"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34783">
        <w:rPr>
          <w:rFonts w:ascii="Times New Roman" w:hAnsi="Times New Roman" w:cs="Times New Roman"/>
          <w:sz w:val="24"/>
          <w:szCs w:val="24"/>
        </w:rPr>
        <w:t>Cristina Losada</w:t>
      </w:r>
      <w:r>
        <w:rPr>
          <w:rFonts w:ascii="Times New Roman" w:hAnsi="Times New Roman" w:cs="Times New Roman"/>
          <w:sz w:val="24"/>
          <w:szCs w:val="24"/>
        </w:rPr>
        <w:t>)</w:t>
      </w:r>
      <w:r w:rsidR="006964D5">
        <w:rPr>
          <w:rFonts w:ascii="Times New Roman" w:hAnsi="Times New Roman" w:cs="Times New Roman"/>
          <w:sz w:val="24"/>
          <w:szCs w:val="24"/>
        </w:rPr>
        <w:t xml:space="preserve">                                                                        Lectura recomendada</w:t>
      </w:r>
    </w:p>
    <w:p w:rsidR="006E46BA" w:rsidRPr="00270D3C" w:rsidRDefault="006E46BA" w:rsidP="00550638">
      <w:pPr>
        <w:pStyle w:val="NormalWeb"/>
        <w:jc w:val="both"/>
        <w:rPr>
          <w:color w:val="FF0000"/>
          <w:u w:val="single"/>
        </w:rPr>
      </w:pPr>
      <w:r w:rsidRPr="00270D3C">
        <w:rPr>
          <w:color w:val="FF0000"/>
          <w:u w:val="single"/>
        </w:rPr>
        <w:t>Ha vuelto a causar sensación</w:t>
      </w:r>
      <w:r w:rsidRPr="00270D3C">
        <w:rPr>
          <w:rStyle w:val="Textoennegrita"/>
          <w:color w:val="FF0000"/>
          <w:u w:val="single"/>
        </w:rPr>
        <w:t xml:space="preserve"> </w:t>
      </w:r>
      <w:r w:rsidRPr="00920A5E">
        <w:rPr>
          <w:rStyle w:val="Textoennegrita"/>
          <w:b w:val="0"/>
          <w:color w:val="FF0000"/>
          <w:u w:val="single"/>
        </w:rPr>
        <w:t>la abultada nómina de suspensos en las oposiciones a maestro</w:t>
      </w:r>
      <w:r w:rsidRPr="00270D3C">
        <w:rPr>
          <w:color w:val="FF0000"/>
          <w:u w:val="single"/>
        </w:rPr>
        <w:t xml:space="preserve"> que convoca la Comunidad de Madrid. En concreto, en la prueba de conocimientos generales, que ha cateado el 72,4 por ciento de los aspirantes. Este examen alcanzó celebridad desde que la Consejería de Educación publicó una muestra de los resultados. Era una bonita antología del disparate: la gallina era un mamífero; el caracol, un crustáceo; escrúpulo significaba salida del sol (en el mejor de los casos); el Ebro y el Guadalquivir pasaban por Madrid; Albacete y Badajoz eran provincias andaluzas; Ceuta se situaba en Melilla en el mapa y viceversa; y tres cuartos de lo mismo en geometría y aritmética elementales (ay, los quebrados).</w:t>
      </w:r>
    </w:p>
    <w:p w:rsidR="006E46BA" w:rsidRPr="00920A5E" w:rsidRDefault="006E46BA" w:rsidP="00550638">
      <w:pPr>
        <w:pStyle w:val="NormalWeb"/>
        <w:jc w:val="both"/>
        <w:rPr>
          <w:b/>
          <w:u w:val="single"/>
        </w:rPr>
      </w:pPr>
      <w:r>
        <w:t xml:space="preserve">Esta sorpresa ante las lagunas culturales de los aspirantes a maestros públicos demuestra una cosa. Demuestra, siento decirlo, que no se ha entendido aún para qué están los </w:t>
      </w:r>
      <w:r>
        <w:lastRenderedPageBreak/>
        <w:t xml:space="preserve">enseñantes de los peques. </w:t>
      </w:r>
      <w:r w:rsidRPr="00270D3C">
        <w:rPr>
          <w:u w:val="single"/>
        </w:rPr>
        <w:t xml:space="preserve">Los asombrados siguen sin percatarse de que en la enseñanza ha habido, digamos, una revolución y que la función del maestro ya no es impartir conocimientos. ¡Por Dios!, eso es pura antigualla, un anacronismo que sólo pervive en la casposa mentalidad del reaccionario. Ahora, y es un decir porque esto viene de lejos, no se forma al futuro docente para que sepa aquello que maneja con soltura cualquier participante en un concurso de la tele. No se instruye a los maestros para que jueguen al </w:t>
      </w:r>
      <w:r w:rsidRPr="00270D3C">
        <w:rPr>
          <w:rStyle w:val="nfasis"/>
          <w:u w:val="single"/>
        </w:rPr>
        <w:t>Trivial</w:t>
      </w:r>
      <w:r w:rsidRPr="00270D3C">
        <w:rPr>
          <w:u w:val="single"/>
        </w:rPr>
        <w:t>. Se les capacita para que entiendan al niño, desarrollen su personalidad, despierten su sensibilidad y sean, en fin</w:t>
      </w:r>
      <w:r w:rsidRPr="00920A5E">
        <w:rPr>
          <w:b/>
          <w:u w:val="single"/>
        </w:rPr>
        <w:t>,</w:t>
      </w:r>
      <w:r w:rsidRPr="00920A5E">
        <w:rPr>
          <w:rStyle w:val="Textoennegrita"/>
          <w:b w:val="0"/>
          <w:u w:val="single"/>
        </w:rPr>
        <w:t xml:space="preserve"> una especie de asistentes sociales.</w:t>
      </w:r>
    </w:p>
    <w:p w:rsidR="006E46BA" w:rsidRPr="00920A5E" w:rsidRDefault="006E46BA" w:rsidP="00550638">
      <w:pPr>
        <w:pStyle w:val="NormalWeb"/>
        <w:jc w:val="both"/>
        <w:rPr>
          <w:b/>
          <w:color w:val="FF0000"/>
          <w:u w:val="single"/>
        </w:rPr>
      </w:pPr>
      <w:r w:rsidRPr="00A76C40">
        <w:rPr>
          <w:color w:val="FF0000"/>
          <w:u w:val="single"/>
        </w:rPr>
        <w:t>Pedagogía y psicología son los puntales de su formación. Lo demás es accesorio</w:t>
      </w:r>
      <w:r>
        <w:t xml:space="preserve">. </w:t>
      </w:r>
      <w:r w:rsidRPr="00A76C40">
        <w:rPr>
          <w:color w:val="FF0000"/>
          <w:u w:val="single"/>
        </w:rPr>
        <w:t>Por pura economía, ¿para qué va a saberse un maestro las capitales europeas, las provincias españolas, los ríos y las cuatro reglas? ¿Para qué ha de escribir sin faltas de ortografía y dominar un vocabulario? Tal popurrí de menudencias no sólo es innecesario: es contraproducente. Abrumaría al pobre alumno. Lo convertiría en una atracción circense. En uno de esos niños repipis que imitan a los adultos. Y, ante todo, claro,</w:t>
      </w:r>
      <w:r w:rsidRPr="00A76C40">
        <w:rPr>
          <w:rStyle w:val="Textoennegrita"/>
          <w:color w:val="FF0000"/>
          <w:u w:val="single"/>
        </w:rPr>
        <w:t xml:space="preserve"> </w:t>
      </w:r>
      <w:r w:rsidRPr="00920A5E">
        <w:rPr>
          <w:rStyle w:val="Textoennegrita"/>
          <w:b w:val="0"/>
          <w:color w:val="FF0000"/>
          <w:u w:val="single"/>
        </w:rPr>
        <w:t>no queremos adultos.</w:t>
      </w:r>
    </w:p>
    <w:p w:rsidR="006E46BA" w:rsidRDefault="006E46BA" w:rsidP="00550638">
      <w:pPr>
        <w:pStyle w:val="NormalWeb"/>
        <w:jc w:val="both"/>
        <w:rPr>
          <w:u w:val="single"/>
        </w:rPr>
      </w:pPr>
      <w:r w:rsidRPr="00A76C40">
        <w:rPr>
          <w:color w:val="FF0000"/>
          <w:u w:val="single"/>
        </w:rPr>
        <w:t>Podrá alegarse que no existe discrepancia alguna entre el desarrollo de la personalidad y atesorar conocimientos. Es más, si uno es suficientemente anticuado, como yo, dirá que lo uno y lo otro marchan juntos. Pero esto no lo ve así la pedagogía progresista. Para ella, hacer hincapié (con hache) en la importancia de los conocimientos –y del conocimiento– es un residuo de la vieja escuela</w:t>
      </w:r>
      <w:r>
        <w:t>. Aquella escuela que, desde la Grecia clásica hasta el siglo XX, trataba de iniciar al recién llegado,</w:t>
      </w:r>
      <w:r w:rsidR="00920A5E">
        <w:t xml:space="preserve"> de forma seria y ordenada, en “</w:t>
      </w:r>
      <w:r>
        <w:t>una herencia intelectual,</w:t>
      </w:r>
      <w:r w:rsidR="00920A5E">
        <w:t xml:space="preserve"> imaginativa, moral y emocional”</w:t>
      </w:r>
      <w:r>
        <w:t xml:space="preserve">, por decirlo en palabras de </w:t>
      </w:r>
      <w:r w:rsidRPr="00920A5E">
        <w:rPr>
          <w:rStyle w:val="Textoennegrita"/>
          <w:b w:val="0"/>
        </w:rPr>
        <w:t>Michael Oakeshott</w:t>
      </w:r>
      <w:r>
        <w:t xml:space="preserve">. Pero Oakeshott, naturalmente, era un filósofo conservador y esa clase de aprendizaje -y de enseñanza- requiere esfuerzo, ¡maldita sea! </w:t>
      </w:r>
      <w:r w:rsidRPr="00A76C40">
        <w:rPr>
          <w:u w:val="single"/>
        </w:rPr>
        <w:t>Así, conscientes de cuál es el espíritu de la época, el resto de comunidades autónomas se abstienen, prudentes, de hacer pruebas de conocimientos generales a sus maestros.</w:t>
      </w:r>
    </w:p>
    <w:p w:rsidR="00294750" w:rsidRDefault="00294750" w:rsidP="00550638">
      <w:pPr>
        <w:pStyle w:val="NormalWeb"/>
        <w:jc w:val="both"/>
        <w:rPr>
          <w:u w:val="single"/>
        </w:rPr>
      </w:pPr>
      <w:r>
        <w:rPr>
          <w:u w:val="single"/>
        </w:rPr>
        <w:t>El corporativismo, el sectarismo y el igualitarismo, generan “burócratas y analfabetos”</w:t>
      </w:r>
    </w:p>
    <w:p w:rsidR="00294750" w:rsidRPr="00F84D06" w:rsidRDefault="00294750" w:rsidP="00550638">
      <w:pPr>
        <w:pStyle w:val="NormalWeb"/>
        <w:jc w:val="both"/>
        <w:rPr>
          <w:u w:val="single"/>
        </w:rPr>
      </w:pPr>
      <w:r>
        <w:rPr>
          <w:i/>
        </w:rPr>
        <w:t>“</w:t>
      </w:r>
      <w:r w:rsidRPr="00F84D06">
        <w:rPr>
          <w:i/>
        </w:rPr>
        <w:t>El director del Programa para la Evaluación Internacional de Alumnos (PISA) de la Organización para la Cooperación y el Desarrollo Económico (</w:t>
      </w:r>
      <w:hyperlink r:id="rId288" w:history="1">
        <w:r w:rsidRPr="00F648B9">
          <w:rPr>
            <w:rStyle w:val="Hipervnculo"/>
            <w:rFonts w:eastAsiaTheme="majorEastAsia"/>
            <w:i/>
            <w:color w:val="auto"/>
            <w:u w:val="none"/>
          </w:rPr>
          <w:t>OCDE</w:t>
        </w:r>
      </w:hyperlink>
      <w:r w:rsidRPr="00F84D06">
        <w:rPr>
          <w:i/>
        </w:rPr>
        <w:t>), Andreas Schleicher, opina que en España</w:t>
      </w:r>
      <w:r w:rsidRPr="00F84D06">
        <w:rPr>
          <w:rStyle w:val="Textoennegrita"/>
          <w:i/>
        </w:rPr>
        <w:t xml:space="preserve"> </w:t>
      </w:r>
      <w:r w:rsidRPr="00F84D06">
        <w:rPr>
          <w:rStyle w:val="Textoennegrita"/>
          <w:b w:val="0"/>
          <w:i/>
        </w:rPr>
        <w:t>hay “muchos” profesores en relación al número de alumnos</w:t>
      </w:r>
      <w:r w:rsidRPr="00F84D06">
        <w:rPr>
          <w:rStyle w:val="Textoennegrita"/>
          <w:i/>
        </w:rPr>
        <w:t xml:space="preserve"> </w:t>
      </w:r>
      <w:r w:rsidRPr="00F84D06">
        <w:rPr>
          <w:i/>
        </w:rPr>
        <w:t>y considera que no se debe pagar a todos lo mismo, sino “atraer a los mejores” con incentivos</w:t>
      </w:r>
      <w:r>
        <w:rPr>
          <w:i/>
        </w:rPr>
        <w:t>”..</w:t>
      </w:r>
      <w:r w:rsidRPr="00F84D06">
        <w:rPr>
          <w:i/>
        </w:rPr>
        <w:t>.</w:t>
      </w:r>
      <w:r>
        <w:rPr>
          <w:i/>
        </w:rPr>
        <w:t xml:space="preserve"> </w:t>
      </w:r>
      <w:r>
        <w:rPr>
          <w:u w:val="single"/>
        </w:rPr>
        <w:t>El director de PISA: “</w:t>
      </w:r>
      <w:r w:rsidRPr="007430A9">
        <w:rPr>
          <w:u w:val="single"/>
        </w:rPr>
        <w:t xml:space="preserve">No se debería pagar </w:t>
      </w:r>
      <w:r>
        <w:rPr>
          <w:u w:val="single"/>
        </w:rPr>
        <w:t>lo mismo a todos los profesores”</w:t>
      </w:r>
      <w:r w:rsidRPr="007430A9">
        <w:rPr>
          <w:u w:val="single"/>
        </w:rPr>
        <w:t xml:space="preserve"> en España</w:t>
      </w:r>
      <w:r>
        <w:t xml:space="preserve"> (Libertad Digital - </w:t>
      </w:r>
      <w:r w:rsidRPr="007430A9">
        <w:rPr>
          <w:b/>
        </w:rPr>
        <w:t>9/9/13</w:t>
      </w:r>
      <w:r>
        <w:t>)</w:t>
      </w:r>
    </w:p>
    <w:p w:rsidR="00294750" w:rsidRPr="00F84D06" w:rsidRDefault="00294750" w:rsidP="00550638">
      <w:pPr>
        <w:pStyle w:val="NormalWeb"/>
        <w:jc w:val="both"/>
      </w:pPr>
      <w:r w:rsidRPr="00F84D06">
        <w:t xml:space="preserve">Durante su participación en un Encuentro de la Universidad Internacional Menéndez Pelayo (UIMP), ha opinado que </w:t>
      </w:r>
      <w:r>
        <w:rPr>
          <w:rStyle w:val="Textoennegrita"/>
          <w:b w:val="0"/>
        </w:rPr>
        <w:t>se debe “reconocer y recompensar”</w:t>
      </w:r>
      <w:r w:rsidRPr="00F84D06">
        <w:rPr>
          <w:rStyle w:val="Textoennegrita"/>
          <w:b w:val="0"/>
        </w:rPr>
        <w:t xml:space="preserve"> el talento</w:t>
      </w:r>
      <w:r w:rsidRPr="00F84D06">
        <w:rPr>
          <w:rStyle w:val="Textoennegrita"/>
        </w:rPr>
        <w:t xml:space="preserve"> </w:t>
      </w:r>
      <w:r w:rsidRPr="00F84D06">
        <w:t>y que los profesores deben de</w:t>
      </w:r>
      <w:r>
        <w:t xml:space="preserve"> asumir un papel “más activo” en los centros y “tiene que haber incentivos”</w:t>
      </w:r>
      <w:r w:rsidRPr="00F84D06">
        <w:t>.</w:t>
      </w:r>
    </w:p>
    <w:p w:rsidR="00294750" w:rsidRPr="00F84D06" w:rsidRDefault="00294750" w:rsidP="00550638">
      <w:pPr>
        <w:pStyle w:val="NormalWeb"/>
        <w:jc w:val="both"/>
      </w:pPr>
      <w:r w:rsidRPr="00F84D06">
        <w:t xml:space="preserve">En este sentido, ha señalado que </w:t>
      </w:r>
      <w:r>
        <w:t>en España hay, a su juicio, un “gran nivel de aislamiento”</w:t>
      </w:r>
      <w:r w:rsidRPr="00F84D06">
        <w:t xml:space="preserve"> y el </w:t>
      </w:r>
      <w:r>
        <w:t>grado de autonomía del docente “es muy reducido”, por lo que es un ámbito que “</w:t>
      </w:r>
      <w:r w:rsidRPr="00F84D06">
        <w:t>tie</w:t>
      </w:r>
      <w:r>
        <w:t>ne que mejorar”</w:t>
      </w:r>
      <w:r w:rsidRPr="00F84D06">
        <w:t>.</w:t>
      </w:r>
    </w:p>
    <w:p w:rsidR="00294750" w:rsidRPr="00F84D06" w:rsidRDefault="00294750" w:rsidP="00550638">
      <w:pPr>
        <w:pStyle w:val="NormalWeb"/>
        <w:jc w:val="both"/>
      </w:pPr>
      <w:r w:rsidRPr="00F84D06">
        <w:t xml:space="preserve">En su exposición, ha subrayado que en </w:t>
      </w:r>
      <w:hyperlink r:id="rId289" w:history="1">
        <w:r w:rsidRPr="00F84D06">
          <w:rPr>
            <w:rStyle w:val="Hipervnculo"/>
            <w:rFonts w:eastAsiaTheme="majorEastAsia"/>
            <w:color w:val="auto"/>
            <w:u w:val="none"/>
          </w:rPr>
          <w:t>otros países con mejores resultados</w:t>
        </w:r>
      </w:hyperlink>
      <w:r w:rsidRPr="00F84D06">
        <w:t xml:space="preserve"> en PISA, como Corea, se aboga por tener menos profesores, mejor pagados y mejor preparados, priorizando su calidad sobre el número.</w:t>
      </w:r>
    </w:p>
    <w:p w:rsidR="00294750" w:rsidRPr="00F84D06" w:rsidRDefault="00294750" w:rsidP="00550638">
      <w:pPr>
        <w:pStyle w:val="NormalWeb"/>
        <w:jc w:val="both"/>
      </w:pPr>
      <w:r w:rsidRPr="00F84D06">
        <w:rPr>
          <w:b/>
        </w:rPr>
        <w:lastRenderedPageBreak/>
        <w:t>“</w:t>
      </w:r>
      <w:r w:rsidRPr="00F84D06">
        <w:rPr>
          <w:rStyle w:val="Textoennegrita"/>
          <w:b w:val="0"/>
        </w:rPr>
        <w:t>No puede haber mejor sistema educativo que sus docentes</w:t>
      </w:r>
      <w:r w:rsidRPr="00F84D06">
        <w:rPr>
          <w:b/>
        </w:rPr>
        <w:t>”</w:t>
      </w:r>
      <w:r w:rsidRPr="00F84D06">
        <w:t xml:space="preserve">, ha afirmado Schleicher en el Encuentro de la UIMP 'Educar en el siglo XXI: buenas prácticas en el sistema educativo español', durante el que ha </w:t>
      </w:r>
      <w:r>
        <w:t>definido a los profesores como “el corazón”</w:t>
      </w:r>
      <w:r w:rsidRPr="00F84D06">
        <w:t xml:space="preserve"> del mismo.</w:t>
      </w:r>
    </w:p>
    <w:p w:rsidR="00294750" w:rsidRPr="00F84D06" w:rsidRDefault="00294750" w:rsidP="00550638">
      <w:pPr>
        <w:pStyle w:val="NormalWeb"/>
        <w:jc w:val="both"/>
      </w:pPr>
      <w:r w:rsidRPr="00F84D06">
        <w:t xml:space="preserve">Así, y a partir de los datos que obtienen </w:t>
      </w:r>
      <w:r w:rsidRPr="00F648B9">
        <w:t xml:space="preserve">los </w:t>
      </w:r>
      <w:hyperlink r:id="rId290" w:history="1">
        <w:r w:rsidRPr="00F648B9">
          <w:rPr>
            <w:rStyle w:val="Hipervnculo"/>
            <w:rFonts w:eastAsiaTheme="majorEastAsia"/>
            <w:color w:val="auto"/>
            <w:u w:val="none"/>
          </w:rPr>
          <w:t>distintos países en el informe PISA</w:t>
        </w:r>
      </w:hyperlink>
      <w:r w:rsidRPr="00F84D06">
        <w:t>, ha abogado por seguir también el</w:t>
      </w:r>
      <w:r w:rsidRPr="00F84D06">
        <w:rPr>
          <w:rStyle w:val="Textoennegrita"/>
        </w:rPr>
        <w:t xml:space="preserve"> </w:t>
      </w:r>
      <w:r w:rsidRPr="00F84D06">
        <w:rPr>
          <w:rStyle w:val="Textoennegrita"/>
          <w:b w:val="0"/>
        </w:rPr>
        <w:t>ejemplo de Finlandia, Canadá o Singapur</w:t>
      </w:r>
      <w:r w:rsidRPr="00F84D06">
        <w:t>, d</w:t>
      </w:r>
      <w:r>
        <w:t>onde los profesores se sienten “parte del sistema”, se dedican a “desarrollarlo” y tienen un “papel” en el “diseño”</w:t>
      </w:r>
      <w:r w:rsidRPr="00F84D06">
        <w:t xml:space="preserve"> de lo </w:t>
      </w:r>
      <w:r>
        <w:t>que enseñan y no sólo imparten “conocimientos prefabricados”</w:t>
      </w:r>
      <w:r w:rsidRPr="00F84D06">
        <w:t>, algo que, a su juicio, contribuye a aprovechar su talento.</w:t>
      </w:r>
    </w:p>
    <w:p w:rsidR="00294750" w:rsidRPr="00F84D06" w:rsidRDefault="00294750" w:rsidP="00550638">
      <w:pPr>
        <w:pStyle w:val="NormalWeb"/>
        <w:jc w:val="both"/>
      </w:pPr>
      <w:r w:rsidRPr="00F84D06">
        <w:t>Además, ha opinado que, a diferencia de algunos de estos países,</w:t>
      </w:r>
      <w:r>
        <w:rPr>
          <w:rStyle w:val="Textoennegrita"/>
        </w:rPr>
        <w:t xml:space="preserve"> </w:t>
      </w:r>
      <w:r w:rsidRPr="009829B3">
        <w:rPr>
          <w:rStyle w:val="Textoennegrita"/>
          <w:b w:val="0"/>
        </w:rPr>
        <w:t>en España hay “mucho aislamiento entre centros”</w:t>
      </w:r>
      <w:r w:rsidRPr="00F84D06">
        <w:t xml:space="preserve">, que desconocen cómo se enseña en otros de su entorno, lo mismo que ocurre con los profesores, citando países </w:t>
      </w:r>
      <w:r>
        <w:t>que, como Canadá, han dedicado “esfuerzos”</w:t>
      </w:r>
      <w:r w:rsidRPr="00F84D06">
        <w:t xml:space="preserve"> a que los profesores trabajen juntos, destinando una serie de horas a reciclarse y a conocer qué hacen otros docentes.</w:t>
      </w:r>
    </w:p>
    <w:p w:rsidR="00294750" w:rsidRPr="00F84D06" w:rsidRDefault="00294750" w:rsidP="00550638">
      <w:pPr>
        <w:pStyle w:val="NormalWeb"/>
        <w:jc w:val="both"/>
      </w:pPr>
      <w:r w:rsidRPr="00F84D06">
        <w:t>Además, ha citado otros ejemplos como China, un país en el que hay cuatro niveles en la carrera profesional y si quieren avanza</w:t>
      </w:r>
      <w:r>
        <w:t>r en ella tienen que demostrar “que pueden cambiar las cosas” y “dar la vuelta”</w:t>
      </w:r>
      <w:r w:rsidRPr="00F84D06">
        <w:t xml:space="preserve"> a centros que rinden mal o que pueden desenvolverse en entornos educativos difíciles.</w:t>
      </w:r>
    </w:p>
    <w:p w:rsidR="00294750" w:rsidRPr="00F84D06" w:rsidRDefault="00294750" w:rsidP="00550638">
      <w:pPr>
        <w:pStyle w:val="NormalWeb"/>
        <w:jc w:val="both"/>
      </w:pPr>
      <w:r>
        <w:t>“</w:t>
      </w:r>
      <w:r w:rsidRPr="00F84D06">
        <w:t xml:space="preserve">De lo que </w:t>
      </w:r>
      <w:r w:rsidRPr="009829B3">
        <w:rPr>
          <w:rStyle w:val="Textoennegrita"/>
          <w:b w:val="0"/>
        </w:rPr>
        <w:t>se trata es que el sistema educativo evolucione”,</w:t>
      </w:r>
      <w:r w:rsidRPr="00F84D06">
        <w:rPr>
          <w:rStyle w:val="Textoennegrita"/>
        </w:rPr>
        <w:t xml:space="preserve"> </w:t>
      </w:r>
      <w:r w:rsidRPr="00F84D06">
        <w:t>ha afirmado el director de PISA, quien, por o</w:t>
      </w:r>
      <w:r>
        <w:t>tra parte, ha asegurado que el “éxito” de los mismos “no sólo”</w:t>
      </w:r>
      <w:r w:rsidRPr="00F84D06">
        <w:t xml:space="preserve"> depende de los recursos económicos que se destinen </w:t>
      </w:r>
      <w:r>
        <w:t>sino también del “tipo de políticas”</w:t>
      </w:r>
      <w:r w:rsidRPr="00F84D06">
        <w:t xml:space="preserve"> que se apliquen y en qué se elige gastar el dinero.</w:t>
      </w:r>
    </w:p>
    <w:p w:rsidR="00294750" w:rsidRPr="00F84D06" w:rsidRDefault="00294750" w:rsidP="00550638">
      <w:pPr>
        <w:pStyle w:val="NormalWeb"/>
        <w:jc w:val="both"/>
      </w:pPr>
      <w:r w:rsidRPr="00F84D06">
        <w:t>En este sentido, ha asegurado que</w:t>
      </w:r>
      <w:r>
        <w:rPr>
          <w:rStyle w:val="Textoennegrita"/>
        </w:rPr>
        <w:t xml:space="preserve"> </w:t>
      </w:r>
      <w:r w:rsidRPr="009829B3">
        <w:rPr>
          <w:rStyle w:val="Textoennegrita"/>
          <w:b w:val="0"/>
        </w:rPr>
        <w:t>España gasta “bastante” en educación en relación con su Producto Interior Bruto</w:t>
      </w:r>
      <w:r w:rsidRPr="009829B3">
        <w:rPr>
          <w:b/>
        </w:rPr>
        <w:t xml:space="preserve"> </w:t>
      </w:r>
      <w:r w:rsidRPr="00F84D06">
        <w:t>(PIB), si bien ha apuntado que uno de sus factores de coste es lo que dirige a pagar a sus profesores.</w:t>
      </w:r>
    </w:p>
    <w:p w:rsidR="00294750" w:rsidRPr="00F84D06" w:rsidRDefault="00294750" w:rsidP="00550638">
      <w:pPr>
        <w:pStyle w:val="NormalWeb"/>
        <w:jc w:val="both"/>
      </w:pPr>
      <w:r w:rsidRPr="00F84D06">
        <w:t xml:space="preserve">También ha señalado que, a la hora de gastar sus recursos, España lo encamina a reducir el número de alumnos por aula mientras que otros países con mejores resultados en PISA, como </w:t>
      </w:r>
      <w:r w:rsidRPr="009829B3">
        <w:rPr>
          <w:rStyle w:val="Textoennegrita"/>
          <w:b w:val="0"/>
        </w:rPr>
        <w:t>Corea, con 40 o 50 alumnos en cada aula</w:t>
      </w:r>
      <w:r>
        <w:t>, “</w:t>
      </w:r>
      <w:r w:rsidRPr="00F84D06">
        <w:t>prior</w:t>
      </w:r>
      <w:r>
        <w:t>izan la calidad de la enseñanza”</w:t>
      </w:r>
      <w:r w:rsidRPr="00F84D06">
        <w:t xml:space="preserve"> sobre el número de estudiantes por clase.</w:t>
      </w:r>
    </w:p>
    <w:p w:rsidR="00294750" w:rsidRPr="00F84D06" w:rsidRDefault="00294750" w:rsidP="00550638">
      <w:pPr>
        <w:pStyle w:val="NormalWeb"/>
        <w:jc w:val="both"/>
      </w:pPr>
      <w:r w:rsidRPr="00F84D06">
        <w:t xml:space="preserve">En su conferencia, seguida, entre otros, por la secretaria de Estado de Educación, </w:t>
      </w:r>
      <w:r w:rsidRPr="009829B3">
        <w:rPr>
          <w:rStyle w:val="Textoennegrita"/>
          <w:b w:val="0"/>
        </w:rPr>
        <w:t>Montserrat Gomendio</w:t>
      </w:r>
      <w:r w:rsidRPr="00F84D06">
        <w:t xml:space="preserve">, Schleicher ha opinado que en España los centros tienen </w:t>
      </w:r>
      <w:r>
        <w:t>“muy poca capacidad de maniobra” y “</w:t>
      </w:r>
      <w:r w:rsidRPr="00F84D06">
        <w:t>no configuran s</w:t>
      </w:r>
      <w:r>
        <w:t>u propio entorno de aprendizaje”</w:t>
      </w:r>
      <w:r w:rsidRPr="00F84D06">
        <w:t>.</w:t>
      </w:r>
    </w:p>
    <w:p w:rsidR="00294750" w:rsidRDefault="00294750" w:rsidP="00550638">
      <w:pPr>
        <w:pStyle w:val="NormalWeb"/>
        <w:jc w:val="both"/>
      </w:pPr>
      <w:r w:rsidRPr="00F84D06">
        <w:t>En este sentido</w:t>
      </w:r>
      <w:r>
        <w:t>, ha señalado que, según PISA, “el rendimiento más alto”</w:t>
      </w:r>
      <w:r w:rsidRPr="00F84D06">
        <w:t xml:space="preserve"> se consigue en aquellos sistemas donde se combina esta autonomía de los centros con una cultura de la transparencia en la rendición de resultados.</w:t>
      </w:r>
    </w:p>
    <w:p w:rsidR="00600257" w:rsidRPr="007D3C54" w:rsidRDefault="00600257" w:rsidP="00550638">
      <w:pPr>
        <w:pStyle w:val="NormalWeb"/>
        <w:jc w:val="both"/>
        <w:rPr>
          <w:u w:val="single"/>
        </w:rPr>
      </w:pPr>
      <w:r w:rsidRPr="007D3C54">
        <w:rPr>
          <w:u w:val="single"/>
        </w:rPr>
        <w:t>Los resultados del conocido como PISA para adultos muestran el efecto negativo de la LOGSE para el avance educativo de España. </w:t>
      </w:r>
    </w:p>
    <w:p w:rsidR="002C64B3" w:rsidRPr="00600257" w:rsidRDefault="00600257" w:rsidP="00550638">
      <w:pPr>
        <w:pStyle w:val="NormalWeb"/>
        <w:jc w:val="both"/>
      </w:pPr>
      <w:r>
        <w:rPr>
          <w:i/>
        </w:rPr>
        <w:t>“</w:t>
      </w:r>
      <w:r w:rsidR="002C64B3" w:rsidRPr="00600257">
        <w:rPr>
          <w:i/>
        </w:rPr>
        <w:t xml:space="preserve">No sólo nuestros estudiantes de 15 años obtienen unos malos resultados en las </w:t>
      </w:r>
      <w:hyperlink r:id="rId291" w:history="1">
        <w:r w:rsidR="002C64B3" w:rsidRPr="00600257">
          <w:rPr>
            <w:rStyle w:val="Textoennegrita"/>
            <w:b w:val="0"/>
            <w:i/>
          </w:rPr>
          <w:t>pruebas PISA</w:t>
        </w:r>
      </w:hyperlink>
      <w:r w:rsidR="002C64B3" w:rsidRPr="00600257">
        <w:rPr>
          <w:b/>
          <w:i/>
        </w:rPr>
        <w:t>,</w:t>
      </w:r>
      <w:r w:rsidR="002C64B3" w:rsidRPr="00600257">
        <w:rPr>
          <w:i/>
        </w:rPr>
        <w:t xml:space="preserve"> que se fijan en tres variables: lectura, matemáticas y ciencias, también los adultos españoles. </w:t>
      </w:r>
      <w:r w:rsidR="002C64B3" w:rsidRPr="00F648B9">
        <w:rPr>
          <w:i/>
        </w:rPr>
        <w:t>El</w:t>
      </w:r>
      <w:r w:rsidR="002C64B3" w:rsidRPr="00F648B9">
        <w:t xml:space="preserve"> </w:t>
      </w:r>
      <w:hyperlink r:id="rId292" w:history="1">
        <w:r w:rsidR="002C64B3" w:rsidRPr="00F648B9">
          <w:rPr>
            <w:rStyle w:val="nfasis"/>
            <w:rFonts w:eastAsiaTheme="majorEastAsia"/>
          </w:rPr>
          <w:t xml:space="preserve">Programa Internacional para la Evaluación de la </w:t>
        </w:r>
        <w:r w:rsidR="002C64B3" w:rsidRPr="00F648B9">
          <w:rPr>
            <w:rStyle w:val="nfasis"/>
            <w:rFonts w:eastAsiaTheme="majorEastAsia"/>
          </w:rPr>
          <w:lastRenderedPageBreak/>
          <w:t>Competencia de los Adultos</w:t>
        </w:r>
        <w:r w:rsidR="002C64B3" w:rsidRPr="00600257">
          <w:rPr>
            <w:rStyle w:val="nfasis"/>
            <w:rFonts w:eastAsiaTheme="majorEastAsia"/>
            <w:i w:val="0"/>
          </w:rPr>
          <w:t xml:space="preserve"> </w:t>
        </w:r>
      </w:hyperlink>
      <w:r w:rsidR="002C64B3" w:rsidRPr="00600257">
        <w:rPr>
          <w:i/>
        </w:rPr>
        <w:t>(</w:t>
      </w:r>
      <w:r w:rsidR="002C64B3" w:rsidRPr="00600257">
        <w:rPr>
          <w:rStyle w:val="Textoennegrita"/>
          <w:b w:val="0"/>
          <w:i/>
        </w:rPr>
        <w:t>PIAAC, por sus siglas en inglés</w:t>
      </w:r>
      <w:r w:rsidR="002C64B3" w:rsidRPr="00600257">
        <w:rPr>
          <w:i/>
        </w:rPr>
        <w:t>) arroja incluso peores resultados</w:t>
      </w:r>
      <w:r>
        <w:rPr>
          <w:i/>
        </w:rPr>
        <w:t>”..</w:t>
      </w:r>
      <w:r w:rsidR="002C64B3" w:rsidRPr="00600257">
        <w:rPr>
          <w:i/>
        </w:rPr>
        <w:t>.</w:t>
      </w:r>
      <w:r>
        <w:rPr>
          <w:i/>
        </w:rPr>
        <w:t xml:space="preserve"> </w:t>
      </w:r>
      <w:r w:rsidRPr="00587B7E">
        <w:rPr>
          <w:u w:val="single"/>
        </w:rPr>
        <w:t>Los adultos españoles, a la cola de la OCDE en comprensión lectora y matemáticas</w:t>
      </w:r>
      <w:r>
        <w:t xml:space="preserve"> (Libertad Digital - </w:t>
      </w:r>
      <w:r w:rsidRPr="00587B7E">
        <w:rPr>
          <w:b/>
        </w:rPr>
        <w:t>8/10/13</w:t>
      </w:r>
      <w:r>
        <w:t>)</w:t>
      </w:r>
    </w:p>
    <w:p w:rsidR="002C64B3" w:rsidRPr="00600257" w:rsidRDefault="002C64B3" w:rsidP="00550638">
      <w:pPr>
        <w:pStyle w:val="NormalWeb"/>
        <w:jc w:val="both"/>
      </w:pPr>
      <w:r w:rsidRPr="00600257">
        <w:t xml:space="preserve">El también conocido como </w:t>
      </w:r>
      <w:r w:rsidR="00600257">
        <w:t>“</w:t>
      </w:r>
      <w:r w:rsidRPr="00600257">
        <w:rPr>
          <w:rStyle w:val="nfasis"/>
          <w:rFonts w:eastAsiaTheme="majorEastAsia"/>
          <w:i w:val="0"/>
        </w:rPr>
        <w:t>PISA para adultos</w:t>
      </w:r>
      <w:r w:rsidR="00600257">
        <w:rPr>
          <w:rStyle w:val="nfasis"/>
          <w:rFonts w:eastAsiaTheme="majorEastAsia"/>
          <w:i w:val="0"/>
        </w:rPr>
        <w:t>”</w:t>
      </w:r>
      <w:r w:rsidRPr="00600257">
        <w:t xml:space="preserve">, que evalúa el rendimiento en </w:t>
      </w:r>
      <w:r w:rsidRPr="00600257">
        <w:rPr>
          <w:rStyle w:val="Textoennegrita"/>
          <w:b w:val="0"/>
        </w:rPr>
        <w:t>comprensión lectora y matemática</w:t>
      </w:r>
      <w:r w:rsidRPr="00600257">
        <w:t xml:space="preserve"> </w:t>
      </w:r>
      <w:hyperlink r:id="rId293" w:history="1">
        <w:r w:rsidRPr="00600257">
          <w:rPr>
            <w:rStyle w:val="Hipervnculo"/>
            <w:rFonts w:eastAsiaTheme="majorEastAsia"/>
            <w:color w:val="auto"/>
            <w:u w:val="none"/>
          </w:rPr>
          <w:t xml:space="preserve">entre la población de </w:t>
        </w:r>
        <w:r w:rsidRPr="00600257">
          <w:rPr>
            <w:rStyle w:val="Textoennegrita"/>
            <w:b w:val="0"/>
          </w:rPr>
          <w:t>16 y 65 años</w:t>
        </w:r>
      </w:hyperlink>
      <w:r w:rsidRPr="00600257">
        <w:t xml:space="preserve">, sitúa a España en los últimos puestos entre los países de la </w:t>
      </w:r>
      <w:r w:rsidRPr="00600257">
        <w:rPr>
          <w:rStyle w:val="Textoennegrita"/>
          <w:b w:val="0"/>
        </w:rPr>
        <w:t>OCDE</w:t>
      </w:r>
      <w:r w:rsidRPr="00600257">
        <w:t xml:space="preserve">. Los españoles examinados, 6.055, obtuvieron 252 puntos en comprensión lectora, 21 por debajo del promedio de la </w:t>
      </w:r>
      <w:hyperlink r:id="rId294" w:history="1">
        <w:r w:rsidRPr="00600257">
          <w:rPr>
            <w:rStyle w:val="Hipervnculo"/>
            <w:rFonts w:eastAsiaTheme="majorEastAsia"/>
            <w:color w:val="auto"/>
            <w:u w:val="none"/>
          </w:rPr>
          <w:t>OCDE</w:t>
        </w:r>
      </w:hyperlink>
      <w:r w:rsidRPr="00600257">
        <w:t xml:space="preserve"> y 19 por debajo de la </w:t>
      </w:r>
      <w:hyperlink r:id="rId295" w:history="1">
        <w:r w:rsidRPr="00600257">
          <w:rPr>
            <w:rStyle w:val="Hipervnculo"/>
            <w:rFonts w:eastAsiaTheme="majorEastAsia"/>
            <w:color w:val="auto"/>
            <w:u w:val="none"/>
          </w:rPr>
          <w:t>Unión Europea</w:t>
        </w:r>
      </w:hyperlink>
      <w:r w:rsidRPr="00600257">
        <w:t xml:space="preserve">. </w:t>
      </w:r>
      <w:r w:rsidRPr="00600257">
        <w:rPr>
          <w:rStyle w:val="Textoennegrita"/>
          <w:b w:val="0"/>
        </w:rPr>
        <w:t xml:space="preserve">Sólo a los italianos les cuesta más </w:t>
      </w:r>
      <w:r w:rsidRPr="00600257">
        <w:t xml:space="preserve">que a nosotros extraer conclusiones de una lectura y se pierden en un texto de cierta complejidad como el Quijote. Por contra, los países mejor posicionados a este respecto son </w:t>
      </w:r>
      <w:r w:rsidRPr="00600257">
        <w:rPr>
          <w:rStyle w:val="Textoennegrita"/>
          <w:b w:val="0"/>
        </w:rPr>
        <w:t>Japón, Finlandia y los Países Bajos</w:t>
      </w:r>
      <w:r w:rsidRPr="00600257">
        <w:t>.</w:t>
      </w:r>
    </w:p>
    <w:p w:rsidR="002C64B3" w:rsidRPr="00600257" w:rsidRDefault="002C64B3" w:rsidP="00550638">
      <w:pPr>
        <w:pStyle w:val="NormalWeb"/>
        <w:jc w:val="both"/>
      </w:pPr>
      <w:r w:rsidRPr="00600257">
        <w:t xml:space="preserve">Pero si en comprensión lectora estamos muy por debajo de la media de los países de nuestro entorno, en </w:t>
      </w:r>
      <w:r w:rsidRPr="00600257">
        <w:rPr>
          <w:rStyle w:val="Textoennegrita"/>
          <w:b w:val="0"/>
        </w:rPr>
        <w:t>matemáticas es aún peor</w:t>
      </w:r>
      <w:r w:rsidRPr="00600257">
        <w:t xml:space="preserve">. Hay que resaltar que en las pruebas - que en España tuvieron lugar entre el 1 de septiembre de 2011 y el 1 de mayo de 2012 - no se incluyeron complejas ecuaciones matemáticas sino </w:t>
      </w:r>
      <w:r w:rsidRPr="00600257">
        <w:rPr>
          <w:rStyle w:val="Textoennegrita"/>
          <w:b w:val="0"/>
        </w:rPr>
        <w:t xml:space="preserve">cálculos sencillos, de simple manejo en la vida cotidiana </w:t>
      </w:r>
      <w:r w:rsidRPr="00600257">
        <w:t>(entender el gráfico del recibo de la luz, comparar precios de hoteles o hallar el precio final de la compra).</w:t>
      </w:r>
    </w:p>
    <w:p w:rsidR="002C64B3" w:rsidRPr="00600257" w:rsidRDefault="002C64B3" w:rsidP="00550638">
      <w:pPr>
        <w:pStyle w:val="NormalWeb"/>
        <w:jc w:val="both"/>
      </w:pPr>
      <w:r w:rsidRPr="00600257">
        <w:t xml:space="preserve">Aquí España obtuvo 246 puntos, 23 por debajo del promedio de la OCDE y 22 por debajo de la UE: el </w:t>
      </w:r>
      <w:r w:rsidRPr="00600257">
        <w:rPr>
          <w:rStyle w:val="Textoennegrita"/>
          <w:b w:val="0"/>
        </w:rPr>
        <w:t>último puesto</w:t>
      </w:r>
      <w:r w:rsidRPr="00600257">
        <w:t xml:space="preserve"> entre las naciones examinadas (157.000 adultos de 23 países). Japón, Finlandia y los Países Bajos vuelven a ocupar las posiciones más altas.</w:t>
      </w:r>
    </w:p>
    <w:p w:rsidR="002C64B3" w:rsidRPr="00600257" w:rsidRDefault="002C64B3" w:rsidP="00550638">
      <w:pPr>
        <w:pStyle w:val="NormalWeb"/>
        <w:jc w:val="both"/>
      </w:pPr>
      <w:r w:rsidRPr="00600257">
        <w:t>Pero es que, además, en algunos países los</w:t>
      </w:r>
      <w:r w:rsidRPr="00600257">
        <w:rPr>
          <w:rStyle w:val="Textoennegrita"/>
          <w:b w:val="0"/>
        </w:rPr>
        <w:t xml:space="preserve"> </w:t>
      </w:r>
      <w:r w:rsidRPr="00600257">
        <w:t xml:space="preserve">titulados en Bachillerato y Formación Profesional de Grado Medio obtienen </w:t>
      </w:r>
      <w:r w:rsidRPr="00600257">
        <w:rPr>
          <w:rStyle w:val="Textoennegrita"/>
          <w:b w:val="0"/>
        </w:rPr>
        <w:t>mejores resultados que los universitarios españoles</w:t>
      </w:r>
      <w:r w:rsidRPr="00600257">
        <w:t xml:space="preserve">. En concreto, en comprensión lectora, los </w:t>
      </w:r>
      <w:r w:rsidRPr="00600257">
        <w:rPr>
          <w:rStyle w:val="Textoennegrita"/>
          <w:b w:val="0"/>
        </w:rPr>
        <w:t xml:space="preserve">japoneses </w:t>
      </w:r>
      <w:r w:rsidRPr="00600257">
        <w:t>titulados en Bachillerato y FP obtienen 289 puntos; los de los</w:t>
      </w:r>
      <w:r w:rsidRPr="00600257">
        <w:rPr>
          <w:rStyle w:val="Textoennegrita"/>
          <w:b w:val="0"/>
        </w:rPr>
        <w:t xml:space="preserve"> Países Bajos</w:t>
      </w:r>
      <w:r w:rsidRPr="00600257">
        <w:t xml:space="preserve"> 287 y los de </w:t>
      </w:r>
      <w:r w:rsidRPr="00600257">
        <w:rPr>
          <w:rStyle w:val="Textoennegrita"/>
          <w:b w:val="0"/>
        </w:rPr>
        <w:t xml:space="preserve">Australia </w:t>
      </w:r>
      <w:r w:rsidRPr="00600257">
        <w:t>282. Estos últimos consiguen la misma puntuación que los universitarios españoles.</w:t>
      </w:r>
    </w:p>
    <w:p w:rsidR="002C64B3" w:rsidRPr="00600257" w:rsidRDefault="002C64B3" w:rsidP="00550638">
      <w:pPr>
        <w:pStyle w:val="NormalWeb"/>
        <w:jc w:val="both"/>
      </w:pPr>
      <w:r w:rsidRPr="00600257">
        <w:t xml:space="preserve">El PIAAC ha permitido además realizar un análisis global de la </w:t>
      </w:r>
      <w:r w:rsidRPr="00600257">
        <w:rPr>
          <w:rStyle w:val="Textoennegrita"/>
          <w:b w:val="0"/>
        </w:rPr>
        <w:t>evolución de nuestro sistema educativo</w:t>
      </w:r>
      <w:r w:rsidRPr="00600257">
        <w:t>. Puesto que examina en un momento determinado a adultos de entre 16 y 65 años, proporciona una idea de cómo ha progresado la adquisición de competencias de los españoles nacidos entre 1947 y 1996. Esto es, pone de manifiesto un avance muy significativo respecto a la generación anterior de quienes estudiaron en la década de los sesenta, gracias a la escolarización de una parte de la población. Asimismo, señala cómo el avance continúa, aunque en menor medida, gracias a la educación postobligatoria de la década de los ochenta.</w:t>
      </w:r>
    </w:p>
    <w:p w:rsidR="002C64B3" w:rsidRDefault="002C64B3" w:rsidP="00550638">
      <w:pPr>
        <w:pStyle w:val="NormalWeb"/>
        <w:jc w:val="both"/>
      </w:pPr>
      <w:r w:rsidRPr="00600257">
        <w:t xml:space="preserve">Pero también muestra cómo </w:t>
      </w:r>
      <w:r w:rsidRPr="00600257">
        <w:rPr>
          <w:rStyle w:val="Textoennegrita"/>
          <w:b w:val="0"/>
        </w:rPr>
        <w:t>a partir de los noventa el avance educativo se estanca</w:t>
      </w:r>
      <w:r w:rsidRPr="00600257">
        <w:t xml:space="preserve"> para quienes estudiaron tras la entrada en vigor de la LOGSE: apenas si se avanza en comprensión lectora y matemática.</w:t>
      </w:r>
    </w:p>
    <w:p w:rsidR="00600257" w:rsidRPr="00600257" w:rsidRDefault="00600257" w:rsidP="00550638">
      <w:pPr>
        <w:pStyle w:val="NormalWeb"/>
        <w:jc w:val="both"/>
        <w:rPr>
          <w:u w:val="single"/>
        </w:rPr>
      </w:pPr>
      <w:r w:rsidRPr="00600257">
        <w:rPr>
          <w:u w:val="single"/>
        </w:rPr>
        <w:t>Informe sobre</w:t>
      </w:r>
      <w:r w:rsidR="00512C6C">
        <w:rPr>
          <w:u w:val="single"/>
        </w:rPr>
        <w:t xml:space="preserve"> los</w:t>
      </w:r>
      <w:r w:rsidRPr="00600257">
        <w:rPr>
          <w:u w:val="single"/>
        </w:rPr>
        <w:t xml:space="preserve"> “burros”</w:t>
      </w:r>
      <w:r w:rsidR="00512C6C">
        <w:rPr>
          <w:u w:val="single"/>
        </w:rPr>
        <w:t xml:space="preserve"> adultos: un círculo vicioso de difícil salida</w:t>
      </w:r>
    </w:p>
    <w:p w:rsidR="002C64B3" w:rsidRDefault="002C64B3"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1C0B9E">
        <w:rPr>
          <w:rFonts w:ascii="Times New Roman" w:eastAsia="Times New Roman" w:hAnsi="Times New Roman" w:cs="Times New Roman"/>
          <w:sz w:val="24"/>
          <w:szCs w:val="24"/>
          <w:u w:val="single"/>
        </w:rPr>
        <w:t>Sólo uno de cada tres españoles sabe leer un texto largo o comparar ofertas</w:t>
      </w:r>
      <w:r>
        <w:rPr>
          <w:rFonts w:ascii="Times New Roman" w:eastAsia="Times New Roman" w:hAnsi="Times New Roman" w:cs="Times New Roman"/>
          <w:sz w:val="24"/>
          <w:szCs w:val="24"/>
        </w:rPr>
        <w:t xml:space="preserve"> (El Confidencial - </w:t>
      </w:r>
      <w:r w:rsidRPr="001C0B9E">
        <w:rPr>
          <w:rFonts w:ascii="Times New Roman" w:eastAsia="Times New Roman" w:hAnsi="Times New Roman" w:cs="Times New Roman"/>
          <w:b/>
          <w:sz w:val="24"/>
          <w:szCs w:val="24"/>
        </w:rPr>
        <w:t>8/10/13</w:t>
      </w:r>
      <w:r>
        <w:rPr>
          <w:rFonts w:ascii="Times New Roman" w:eastAsia="Times New Roman" w:hAnsi="Times New Roman" w:cs="Times New Roman"/>
          <w:sz w:val="24"/>
          <w:szCs w:val="24"/>
        </w:rPr>
        <w:t>)</w:t>
      </w:r>
    </w:p>
    <w:p w:rsidR="002C64B3" w:rsidRDefault="002C64B3"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Miguel Ayuso)</w:t>
      </w:r>
      <w:r w:rsidR="00600257">
        <w:rPr>
          <w:rFonts w:ascii="Times New Roman" w:eastAsia="Times New Roman" w:hAnsi="Times New Roman" w:cs="Times New Roman"/>
          <w:sz w:val="24"/>
          <w:szCs w:val="24"/>
        </w:rPr>
        <w:t xml:space="preserve">                                                                          Lectura recomendada</w:t>
      </w:r>
    </w:p>
    <w:p w:rsidR="002C64B3" w:rsidRDefault="002C64B3" w:rsidP="00550638">
      <w:pPr>
        <w:pStyle w:val="NormalWeb"/>
        <w:jc w:val="both"/>
      </w:pPr>
      <w:r>
        <w:lastRenderedPageBreak/>
        <w:t xml:space="preserve">La Organización para la Cooperación y el Desarrollo Económicos (OCDE) presentó anoche el Programa Internacional para la Evaluación de la Competencia de los Adultos (PIAAC, por sus siglas en inglés), más conocido como el informe PISA para adultos. </w:t>
      </w:r>
      <w:r w:rsidRPr="00920A5E">
        <w:rPr>
          <w:rStyle w:val="Textoennegrita"/>
          <w:b w:val="0"/>
        </w:rPr>
        <w:t>El estudio evalúa el rendimiento en comprensión lectora y en comprensión matemática entre la población de 16 a 65 años de 23 países de la organización.</w:t>
      </w:r>
      <w:r>
        <w:t xml:space="preserve"> Y los españoles no salimos muy bien parados: somos los últimos en matemáticas y los penúltimos en compresión lectora.</w:t>
      </w:r>
    </w:p>
    <w:p w:rsidR="002C64B3" w:rsidRDefault="002C64B3" w:rsidP="00550638">
      <w:pPr>
        <w:pStyle w:val="NormalWeb"/>
        <w:jc w:val="both"/>
      </w:pPr>
      <w:r>
        <w:t xml:space="preserve">Según el informe PIACC, en el que han participado 6.055 españoles entre un total de 157.000 adultos de 23 países, </w:t>
      </w:r>
      <w:r w:rsidRPr="00920A5E">
        <w:rPr>
          <w:rStyle w:val="Textoennegrita"/>
          <w:b w:val="0"/>
        </w:rPr>
        <w:t>sólo los italianos muestran una peor comprensión lectora que los españoles</w:t>
      </w:r>
      <w:r w:rsidRPr="00920A5E">
        <w:rPr>
          <w:b/>
        </w:rPr>
        <w:t>,</w:t>
      </w:r>
      <w:r>
        <w:t xml:space="preserve"> que han obtenido una puntuación de 252, 21 puntos por debajo del promedio de la OCDE y 19 puntos por debajo del promedio de la Unión Europea (UE). </w:t>
      </w:r>
    </w:p>
    <w:p w:rsidR="00600257" w:rsidRDefault="002C64B3" w:rsidP="00550638">
      <w:pPr>
        <w:pStyle w:val="NormalWeb"/>
        <w:jc w:val="both"/>
        <w:rPr>
          <w:rStyle w:val="contenido-apoyo"/>
        </w:rPr>
      </w:pPr>
      <w:r>
        <w:rPr>
          <w:rStyle w:val="contenido-apoyo"/>
        </w:rPr>
        <w:t>La gran mayoría de los españoles tienen dificultades para extraer información matemática de situaciones reales</w:t>
      </w:r>
    </w:p>
    <w:p w:rsidR="002C64B3" w:rsidRDefault="002C64B3" w:rsidP="00550638">
      <w:pPr>
        <w:pStyle w:val="NormalWeb"/>
        <w:jc w:val="both"/>
      </w:pPr>
      <w:r>
        <w:t>En España, el 71,7% de los adultos pueden realizar con soltura tareas lectoras de nivel 2 (de los seis que hay el inferior a 1 es el peor y el 5 el mejor). Eso implica que pueden comprender textos sencillos, pero les cuesta mucho extraer conclusiones de una lectura y se pierden en un texto de cierta profundidad y riqueza, como puede ser cualquier novela más o menos extensa</w:t>
      </w:r>
      <w:r>
        <w:rPr>
          <w:rStyle w:val="Textoennegrita"/>
        </w:rPr>
        <w:t xml:space="preserve">. </w:t>
      </w:r>
      <w:r>
        <w:t>Menos de uno de cada tres españoles (un 27,5%) alcanzan el nivel 3, necesario para en comprender un texto largo.</w:t>
      </w:r>
      <w:r>
        <w:rPr>
          <w:rStyle w:val="Textoennegrita"/>
        </w:rPr>
        <w:t> </w:t>
      </w:r>
      <w:r w:rsidRPr="00920A5E">
        <w:rPr>
          <w:rStyle w:val="Textoennegrita"/>
          <w:b w:val="0"/>
        </w:rPr>
        <w:t>Sólo el 5% de los españoles alcanzan los niveles 4 y 5 en comprensión lectora</w:t>
      </w:r>
      <w:r>
        <w:t>, cuando la media de la OCDE es del 12%.</w:t>
      </w:r>
    </w:p>
    <w:p w:rsidR="002C64B3" w:rsidRDefault="002C64B3" w:rsidP="00550638">
      <w:pPr>
        <w:pStyle w:val="NormalWeb"/>
        <w:jc w:val="both"/>
      </w:pPr>
      <w:r w:rsidRPr="00920A5E">
        <w:rPr>
          <w:rStyle w:val="Textoennegrita"/>
          <w:b w:val="0"/>
        </w:rPr>
        <w:t>Según el informe, la mayoría de los españoles, en el nivel 2, tiene dificultades para leer textos complejos</w:t>
      </w:r>
      <w:r>
        <w:rPr>
          <w:rStyle w:val="Textoennegrita"/>
        </w:rPr>
        <w:t>,</w:t>
      </w:r>
      <w:r>
        <w:t xml:space="preserve"> como puede ser los prospectos de medicamentos, y para manejar textos digitales, como este reportaje. Hay muchos que ni siquiera llegan a esto: </w:t>
      </w:r>
      <w:r w:rsidRPr="00920A5E">
        <w:rPr>
          <w:rStyle w:val="Textoennegrita"/>
          <w:b w:val="0"/>
        </w:rPr>
        <w:t>el 27% de los españoles no pasa del nivel 1</w:t>
      </w:r>
      <w:r>
        <w:rPr>
          <w:rStyle w:val="Textoennegrita"/>
        </w:rPr>
        <w:t>,</w:t>
      </w:r>
      <w:r>
        <w:t xml:space="preserve"> el necesario para leer cualquier cosa que vaya más allá de un eslogan publicitario.</w:t>
      </w:r>
    </w:p>
    <w:p w:rsidR="00920A5E" w:rsidRDefault="00920A5E" w:rsidP="00920A5E">
      <w:pPr>
        <w:pStyle w:val="NormalWeb"/>
        <w:jc w:val="both"/>
      </w:pPr>
      <w:r>
        <w:t>Los españoles suspendemos en comprensión lectora pero</w:t>
      </w:r>
      <w:r>
        <w:rPr>
          <w:rStyle w:val="Textoennegrita"/>
        </w:rPr>
        <w:t xml:space="preserve"> </w:t>
      </w:r>
      <w:r w:rsidRPr="00920A5E">
        <w:rPr>
          <w:rStyle w:val="Textoennegrita"/>
          <w:b w:val="0"/>
        </w:rPr>
        <w:t>aún sacamos peor nota en lo que respecta a la comprensión matemática,</w:t>
      </w:r>
      <w:r>
        <w:rPr>
          <w:rStyle w:val="Textoennegrita"/>
        </w:rPr>
        <w:t xml:space="preserve"> </w:t>
      </w:r>
      <w:r>
        <w:t xml:space="preserve">competencia en la que ocupamos la última posición dentro de las naciones examinadas. En matemáticas, España obtiene 246 puntos; 23 por debajo del promedio de la OCDE y 22 por debajo del promedio de la UE. </w:t>
      </w:r>
      <w:r w:rsidRPr="00920A5E">
        <w:rPr>
          <w:rStyle w:val="Textoennegrita"/>
          <w:b w:val="0"/>
        </w:rPr>
        <w:t>Sólo el 68,6% de los adultos españoles alcanzan el nivel 2, que equivale a la capacidad realizar cálculos matemáticos sencillos</w:t>
      </w:r>
      <w:r>
        <w:t xml:space="preserve"> y tan sólo el 24,5% alcanza el nivel tres, necesario, por ejemplo, para interpretar una estadística, una gráfica o resolver problemas de varios pasos. Sólo el 4% de los españoles alcanzan los niveles 4 y 5, la media de adultos de la OCDE que alcanzan estos niveles es del 13%.</w:t>
      </w:r>
    </w:p>
    <w:p w:rsidR="00920A5E" w:rsidRDefault="00920A5E" w:rsidP="00920A5E">
      <w:pPr>
        <w:pStyle w:val="NormalWeb"/>
        <w:jc w:val="both"/>
      </w:pPr>
      <w:r>
        <w:t>Según el informe la gran mayoría de los españoles, que sólo alcanzan el nivel dos, tienen dificultades para extraer información matemática de situaciones reales, como comparar paquetes de ofertas turísticas; para resolver problemas de varios pasos, como calcular el precio final de una compra o calcular lo que puede costarnos una oferta de 3x2; y para interpretar estadísticas, como puede ser valorar el gráfico que aparece en los recibos de la luz.</w:t>
      </w:r>
    </w:p>
    <w:p w:rsidR="00920A5E" w:rsidRDefault="00920A5E" w:rsidP="00920A5E">
      <w:pPr>
        <w:pStyle w:val="NormalWeb"/>
        <w:jc w:val="both"/>
      </w:pPr>
      <w:r w:rsidRPr="00920A5E">
        <w:rPr>
          <w:rStyle w:val="Textoennegrita"/>
          <w:b w:val="0"/>
        </w:rPr>
        <w:lastRenderedPageBreak/>
        <w:t>El 31% de los españoles ni siquiera supera el nivel 1, el necesario para sumar cantidades de más de dos cifras</w:t>
      </w:r>
      <w:r>
        <w:t>. De media, sólo el 19% de los participantes en el estudio se estancaron en este nivel.</w:t>
      </w:r>
    </w:p>
    <w:p w:rsidR="00920A5E" w:rsidRDefault="00920A5E" w:rsidP="00550638">
      <w:pPr>
        <w:pStyle w:val="NormalWeb"/>
        <w:jc w:val="both"/>
      </w:pPr>
    </w:p>
    <w:p w:rsidR="002C64B3" w:rsidRDefault="002C64B3" w:rsidP="00550638">
      <w:pPr>
        <w:pStyle w:val="NormalWeb"/>
        <w:jc w:val="both"/>
      </w:pPr>
      <w:r>
        <w:rPr>
          <w:noProof/>
        </w:rPr>
        <w:drawing>
          <wp:inline distT="0" distB="0" distL="0" distR="0" wp14:anchorId="0B684237" wp14:editId="39C0FB6B">
            <wp:extent cx="5947094" cy="4242816"/>
            <wp:effectExtent l="0" t="0" r="0" b="5715"/>
            <wp:docPr id="474" name="Imagen 474" descr="Puntuaciones en matemáticas y compresión lectora del informe piaac. (me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untuaciones en matemáticas y compresión lectora del informe piaac. (mecd)"/>
                    <pic:cNvPicPr>
                      <a:picLocks noChangeAspect="1" noChangeArrowheads="1"/>
                    </pic:cNvPicPr>
                  </pic:nvPicPr>
                  <pic:blipFill>
                    <a:blip r:embed="rId296">
                      <a:extLst>
                        <a:ext uri="{28A0092B-C50C-407E-A947-70E740481C1C}">
                          <a14:useLocalDpi xmlns:a14="http://schemas.microsoft.com/office/drawing/2010/main" val="0"/>
                        </a:ext>
                      </a:extLst>
                    </a:blip>
                    <a:srcRect/>
                    <a:stretch>
                      <a:fillRect/>
                    </a:stretch>
                  </pic:blipFill>
                  <pic:spPr bwMode="auto">
                    <a:xfrm>
                      <a:off x="0" y="0"/>
                      <a:ext cx="5947475" cy="4243088"/>
                    </a:xfrm>
                    <a:prstGeom prst="rect">
                      <a:avLst/>
                    </a:prstGeom>
                    <a:noFill/>
                    <a:ln>
                      <a:noFill/>
                    </a:ln>
                  </pic:spPr>
                </pic:pic>
              </a:graphicData>
            </a:graphic>
          </wp:inline>
        </w:drawing>
      </w:r>
      <w:r>
        <w:rPr>
          <w:rStyle w:val="transparent"/>
        </w:rPr>
        <w:t>Puntuaciones en matemáticas y compresión lectora del informe piaac. (mecd)</w:t>
      </w:r>
    </w:p>
    <w:p w:rsidR="002C64B3" w:rsidRDefault="002C64B3" w:rsidP="00550638">
      <w:pPr>
        <w:pStyle w:val="NormalWeb"/>
        <w:jc w:val="both"/>
      </w:pPr>
      <w:r>
        <w:rPr>
          <w:noProof/>
        </w:rPr>
        <w:drawing>
          <wp:inline distT="0" distB="0" distL="0" distR="0" wp14:anchorId="3B79FDA1" wp14:editId="5203E773">
            <wp:extent cx="5712697" cy="1784909"/>
            <wp:effectExtent l="0" t="0" r="2540" b="6350"/>
            <wp:docPr id="46" name="Imagen 46" descr="Rendimiento de los adultos españoles en el informe PIAAC. (ME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ndimiento de los adultos españoles en el informe PIAAC. (MECD)"/>
                    <pic:cNvPicPr>
                      <a:picLocks noChangeAspect="1" noChangeArrowheads="1"/>
                    </pic:cNvPicPr>
                  </pic:nvPicPr>
                  <pic:blipFill>
                    <a:blip r:embed="rId297">
                      <a:extLst>
                        <a:ext uri="{28A0092B-C50C-407E-A947-70E740481C1C}">
                          <a14:useLocalDpi xmlns:a14="http://schemas.microsoft.com/office/drawing/2010/main" val="0"/>
                        </a:ext>
                      </a:extLst>
                    </a:blip>
                    <a:srcRect/>
                    <a:stretch>
                      <a:fillRect/>
                    </a:stretch>
                  </pic:blipFill>
                  <pic:spPr bwMode="auto">
                    <a:xfrm>
                      <a:off x="0" y="0"/>
                      <a:ext cx="5713219" cy="1785072"/>
                    </a:xfrm>
                    <a:prstGeom prst="rect">
                      <a:avLst/>
                    </a:prstGeom>
                    <a:noFill/>
                    <a:ln>
                      <a:noFill/>
                    </a:ln>
                  </pic:spPr>
                </pic:pic>
              </a:graphicData>
            </a:graphic>
          </wp:inline>
        </w:drawing>
      </w:r>
      <w:r>
        <w:rPr>
          <w:rStyle w:val="transparent"/>
        </w:rPr>
        <w:t>Rendimiento de los adultos españoles en el informe PIAAC. (MECD)</w:t>
      </w:r>
    </w:p>
    <w:p w:rsidR="002C64B3" w:rsidRPr="00600257" w:rsidRDefault="002C64B3" w:rsidP="00550638">
      <w:pPr>
        <w:pStyle w:val="NormalWeb"/>
        <w:jc w:val="both"/>
        <w:rPr>
          <w:b/>
        </w:rPr>
      </w:pPr>
      <w:r w:rsidRPr="00600257">
        <w:rPr>
          <w:rStyle w:val="Textoennegrita"/>
          <w:b w:val="0"/>
        </w:rPr>
        <w:t>Unos resultados que no son tan malos</w:t>
      </w:r>
    </w:p>
    <w:p w:rsidR="002C64B3" w:rsidRDefault="002C64B3" w:rsidP="00550638">
      <w:pPr>
        <w:pStyle w:val="NormalWeb"/>
        <w:jc w:val="both"/>
      </w:pPr>
      <w:r>
        <w:t>Pese a los resultados aparentemente tan malos del informe, una de las autora</w:t>
      </w:r>
      <w:r w:rsidR="00600257">
        <w:t>s</w:t>
      </w:r>
      <w:r>
        <w:t xml:space="preserve"> del mismo, </w:t>
      </w:r>
      <w:r w:rsidRPr="00920A5E">
        <w:rPr>
          <w:rStyle w:val="Textoennegrita"/>
          <w:b w:val="0"/>
        </w:rPr>
        <w:t>Marta Encinas-Martin</w:t>
      </w:r>
      <w:r>
        <w:t xml:space="preserve">, analista en temas educativos de la OCDE, ha explicado a </w:t>
      </w:r>
      <w:r>
        <w:rPr>
          <w:rStyle w:val="nfasis"/>
          <w:rFonts w:eastAsiaTheme="majorEastAsia"/>
        </w:rPr>
        <w:t xml:space="preserve">El Confidencial </w:t>
      </w:r>
      <w:r>
        <w:t xml:space="preserve">que España ha sacado una nota mejor de la esperada. La investigadora puntualiza que en esta primera ronda del estudio han participado los países con mayor </w:t>
      </w:r>
      <w:r>
        <w:lastRenderedPageBreak/>
        <w:t>nivel educativo de la organización:</w:t>
      </w:r>
      <w:r>
        <w:rPr>
          <w:rStyle w:val="Textoennegrita"/>
        </w:rPr>
        <w:t> </w:t>
      </w:r>
      <w:r w:rsidRPr="00920A5E">
        <w:rPr>
          <w:rStyle w:val="Textoennegrita"/>
          <w:b w:val="0"/>
        </w:rPr>
        <w:t>“España competía con los países norteamericanos, nórdicos y asiáticos.</w:t>
      </w:r>
      <w:r>
        <w:t xml:space="preserve"> Sabíamos que los países con un nivel más bajo iban a ser Italia y España. Lo que más nos sorprendió fueron los resultados de Francia. Ellos no han tenido dictadura y están a 10 puntos de España, que no es una diferencia relevante”. </w:t>
      </w:r>
    </w:p>
    <w:p w:rsidR="002C64B3" w:rsidRDefault="002C64B3" w:rsidP="00550638">
      <w:pPr>
        <w:pStyle w:val="NormalWeb"/>
        <w:jc w:val="both"/>
      </w:pPr>
      <w:r>
        <w:t xml:space="preserve">“El país tampoco está tan mal”, asegura Encinas-Martin. “En España los jóvenes son los que están más cerca de la media de la OCDE y superan a países más avanzados como EEUU. La igualdad de género es total, no existe desigualdad entre los jóvenes, y en Alemania, Suecia y Noruega sí. En España uno puede tener padres sin educación y </w:t>
      </w:r>
      <w:r w:rsidR="00D44948">
        <w:t>aun</w:t>
      </w:r>
      <w:r>
        <w:t xml:space="preserve"> así ir a la universidad y formarse, en Reino Unido es prácticamente imposible”.</w:t>
      </w:r>
    </w:p>
    <w:p w:rsidR="002C64B3" w:rsidRPr="00600257" w:rsidRDefault="002C64B3" w:rsidP="00550638">
      <w:pPr>
        <w:pStyle w:val="NormalWeb"/>
        <w:jc w:val="both"/>
        <w:rPr>
          <w:b/>
        </w:rPr>
      </w:pPr>
      <w:r w:rsidRPr="00600257">
        <w:rPr>
          <w:rStyle w:val="Textoennegrita"/>
          <w:b w:val="0"/>
        </w:rPr>
        <w:t>¿Podemos culpar a la LOGSE?</w:t>
      </w:r>
    </w:p>
    <w:p w:rsidR="002C64B3" w:rsidRDefault="002C64B3" w:rsidP="00550638">
      <w:pPr>
        <w:pStyle w:val="NormalWeb"/>
        <w:jc w:val="both"/>
      </w:pPr>
      <w:r>
        <w:t xml:space="preserve">Pese a que los españoles evaluados estudiaron en torno al periodo comprendido entre 1956 y 2000, por lo que sólo los gobiernos </w:t>
      </w:r>
      <w:r w:rsidRPr="006964D5">
        <w:t>de</w:t>
      </w:r>
      <w:r w:rsidRPr="00920A5E">
        <w:rPr>
          <w:rStyle w:val="Textoennegrita"/>
          <w:b w:val="0"/>
        </w:rPr>
        <w:t> Zapatero</w:t>
      </w:r>
      <w:r w:rsidRPr="00920A5E">
        <w:rPr>
          <w:b/>
        </w:rPr>
        <w:t> y </w:t>
      </w:r>
      <w:r w:rsidRPr="00920A5E">
        <w:rPr>
          <w:rStyle w:val="Textoennegrita"/>
          <w:b w:val="0"/>
        </w:rPr>
        <w:t>Rajoy</w:t>
      </w:r>
      <w:r>
        <w:t> pueden eludir su responsabilidad en el asunto, en nota de prensa </w:t>
      </w:r>
      <w:r w:rsidRPr="00920A5E">
        <w:rPr>
          <w:rStyle w:val="Textoennegrita"/>
          <w:b w:val="0"/>
        </w:rPr>
        <w:t>el ministerio de Educación, Cultura y Deporte culpa a los gobiernos socialistas de los fatídicos resultados</w:t>
      </w:r>
      <w:r>
        <w:t>: “Este espacio de tiempo está caracterizado por dos grandes leyes educativas. La primera es la Ley General de Educación, de 1970, muchas veces enmendada. La segunda es la LOGSE, Ley Orgánica General del Sistema Educativo, de 1990, en sustancia vigente a pesar de los retoques que llegaron con la LOE, la Ley Orgánica de Educación, de 2006. Tanto la LOGSE como la LOE fueron aprobadas por gobiernos socialistas”.</w:t>
      </w:r>
    </w:p>
    <w:p w:rsidR="002C64B3" w:rsidRDefault="002C64B3" w:rsidP="00550638">
      <w:pPr>
        <w:pStyle w:val="NormalWeb"/>
        <w:jc w:val="both"/>
      </w:pPr>
      <w:r>
        <w:t>En opinión del ministerio, a partir de los noventa el avance educativo se estancó para quienes estudiaron tras la entrada en vigor de la LOGSE, según se desprende de los estudios econométricos de los resultados del PIAAC. </w:t>
      </w:r>
      <w:r w:rsidRPr="00920A5E">
        <w:rPr>
          <w:rStyle w:val="Textoennegrita"/>
          <w:b w:val="0"/>
        </w:rPr>
        <w:t>“Con la LOGSE se produce un cambio de tendencia: apenas si se avanza en competencia lectora y en competencia matemática”</w:t>
      </w:r>
      <w:r>
        <w:rPr>
          <w:rStyle w:val="Textoennegrita"/>
        </w:rPr>
        <w:t>,</w:t>
      </w:r>
      <w:r>
        <w:t> se asegura en el comunicado.</w:t>
      </w:r>
    </w:p>
    <w:p w:rsidR="002C64B3" w:rsidRDefault="002C64B3" w:rsidP="00550638">
      <w:pPr>
        <w:pStyle w:val="NormalWeb"/>
        <w:jc w:val="both"/>
      </w:pPr>
      <w:r>
        <w:t>Martín-Encinas, no obstante, niega que se puedan sacar estas conclusiones del informe:</w:t>
      </w:r>
      <w:r>
        <w:rPr>
          <w:rStyle w:val="Textoennegrita"/>
        </w:rPr>
        <w:t> </w:t>
      </w:r>
      <w:r w:rsidRPr="00920A5E">
        <w:rPr>
          <w:rStyle w:val="Textoennegrita"/>
          <w:b w:val="0"/>
        </w:rPr>
        <w:t>“Asociar los resultados a una ley no tiene sentido.</w:t>
      </w:r>
      <w:r>
        <w:t> Los jóvenes no tienen resultados que sean malos, son bastante decentes, y España ha estado mejorando constantemente desde el 75. Otros países como Reino Unido han empeorado. El ministerio ha visto una diferencia muy grande entre las personas de entre 55 y 65 años y la generación de 45-54, lo que es completamente normal. Esta población tenía muy poca educación, luego hubo educación universal y era un salto grande, pero muy fácil de lograr. Las otras subidas son más complicadas. La mejora ha sido continua, que en el caso de España es muy positivo”. </w:t>
      </w:r>
    </w:p>
    <w:p w:rsidR="002C64B3" w:rsidRPr="00600257" w:rsidRDefault="002C64B3" w:rsidP="00550638">
      <w:pPr>
        <w:pStyle w:val="NormalWeb"/>
        <w:jc w:val="both"/>
        <w:rPr>
          <w:b/>
        </w:rPr>
      </w:pPr>
      <w:r w:rsidRPr="00600257">
        <w:rPr>
          <w:rStyle w:val="Textoennegrita"/>
          <w:b w:val="0"/>
        </w:rPr>
        <w:t>La universidad no cumple</w:t>
      </w:r>
    </w:p>
    <w:p w:rsidR="002C64B3" w:rsidRPr="00600257" w:rsidRDefault="002C64B3" w:rsidP="00550638">
      <w:pPr>
        <w:pStyle w:val="NormalWeb"/>
        <w:jc w:val="both"/>
      </w:pPr>
      <w:r>
        <w:t>“Los jóvenes, de 16 a 24, tienen un nivel bastante decente, están muy cerca de la media y están al mis</w:t>
      </w:r>
      <w:r w:rsidR="00600257">
        <w:t>mo nivel que EEUU y Reino Unido”</w:t>
      </w:r>
      <w:r>
        <w:t xml:space="preserve">, explica Martin-Encinas. “Y si cogemos </w:t>
      </w:r>
      <w:r w:rsidRPr="00920A5E">
        <w:rPr>
          <w:rStyle w:val="Textoennegrita"/>
          <w:b w:val="0"/>
        </w:rPr>
        <w:t>los más jóvenes, de 16 a 19, superan a Noruega, EEUU, Reino Unido…”</w:t>
      </w:r>
      <w:r>
        <w:t xml:space="preserve"> Gran Bretaña, Noruega, Dinamarca y, en mayor medida, Japón, son los únicos países donde la población de entre 45 y 54 tiene un mayor nivel educativo que los jóvenes de entre 16 y 24 años, </w:t>
      </w:r>
      <w:hyperlink r:id="rId298" w:tgtFrame="_blank" w:history="1">
        <w:r w:rsidRPr="00600257">
          <w:rPr>
            <w:rStyle w:val="Hipervnculo"/>
            <w:rFonts w:eastAsiaTheme="majorEastAsia"/>
            <w:color w:val="auto"/>
          </w:rPr>
          <w:t>lo que apunta a una gran deficiencia en sus sistemas</w:t>
        </w:r>
      </w:hyperlink>
      <w:r w:rsidRPr="00600257">
        <w:t>.</w:t>
      </w:r>
    </w:p>
    <w:p w:rsidR="002C64B3" w:rsidRDefault="002C64B3" w:rsidP="00550638">
      <w:pPr>
        <w:pStyle w:val="NormalWeb"/>
        <w:jc w:val="both"/>
      </w:pPr>
      <w:r>
        <w:t xml:space="preserve">El informe PIAAC también pone de manifiesto el bajo nivel de los españoles con título universitario. </w:t>
      </w:r>
      <w:r w:rsidRPr="00920A5E">
        <w:rPr>
          <w:rStyle w:val="Textoennegrita"/>
          <w:b w:val="0"/>
        </w:rPr>
        <w:t xml:space="preserve">Los titulados en bachillerato o FP de Japón, Países Bajos y Australia </w:t>
      </w:r>
      <w:r w:rsidRPr="00920A5E">
        <w:rPr>
          <w:rStyle w:val="Textoennegrita"/>
          <w:b w:val="0"/>
        </w:rPr>
        <w:lastRenderedPageBreak/>
        <w:t>tienen un mayor nivel de comprensión lectora que los universitarios españoles</w:t>
      </w:r>
      <w:r w:rsidRPr="00920A5E">
        <w:rPr>
          <w:b/>
        </w:rPr>
        <w:t>.</w:t>
      </w:r>
      <w:r>
        <w:t xml:space="preserve"> En lo que respecta a las matemáticas también los titulados de grado medio suecos, austriacos, eslovacos y daneses superan a nuestros titulados universitarios. </w:t>
      </w:r>
    </w:p>
    <w:p w:rsidR="002C64B3" w:rsidRDefault="002C64B3" w:rsidP="00550638">
      <w:pPr>
        <w:pStyle w:val="NormalWeb"/>
        <w:jc w:val="both"/>
      </w:pPr>
      <w:r>
        <w:t>Para Martin-Encinas es importante entender que este estudio mide las competencias de los adultos, es decir, su formación real, que dista mucho de lo que podría esperarse de sus títulos: </w:t>
      </w:r>
      <w:r w:rsidRPr="00920A5E">
        <w:rPr>
          <w:rStyle w:val="Textoennegrita"/>
          <w:b w:val="0"/>
        </w:rPr>
        <w:t xml:space="preserve">“Queremos eliminar la idea de que tener un </w:t>
      </w:r>
      <w:r w:rsidR="00D44948" w:rsidRPr="00920A5E">
        <w:rPr>
          <w:rStyle w:val="Textoennegrita"/>
          <w:b w:val="0"/>
        </w:rPr>
        <w:t>título</w:t>
      </w:r>
      <w:r w:rsidRPr="00920A5E">
        <w:rPr>
          <w:rStyle w:val="Textoennegrita"/>
          <w:b w:val="0"/>
        </w:rPr>
        <w:t xml:space="preserve"> da trabajo: estar formado da trabajo</w:t>
      </w:r>
      <w:r w:rsidRPr="00920A5E">
        <w:rPr>
          <w:b/>
        </w:rPr>
        <w:t>.</w:t>
      </w:r>
      <w:r>
        <w:t xml:space="preserve"> En España se ha visto que tener un </w:t>
      </w:r>
      <w:r w:rsidR="00D44948">
        <w:t>título</w:t>
      </w:r>
      <w:r>
        <w:t xml:space="preserve"> no significa tener competencias y las universidades no forman excesivamente en compresión lectora y matemáticas”.</w:t>
      </w:r>
    </w:p>
    <w:p w:rsidR="002C64B3" w:rsidRDefault="002C64B3" w:rsidP="00550638">
      <w:pPr>
        <w:pStyle w:val="NormalWeb"/>
        <w:jc w:val="both"/>
      </w:pPr>
      <w:r>
        <w:t xml:space="preserve">La investigadora asegura que la tasa de desempleo y las competencias tienen una correlación muy fuerte. Por ello insiste en que la gran asignatura pendiente de España es el refuerzo de la cacareada formación continua: “Habría que incidir en cambiar la cultura del adulto español. La formación no termina en la escuela, hay que continuarla. El riesgo de desempleo es muy alto y si uno deja de formarse, como hemos visto, sus </w:t>
      </w:r>
      <w:r w:rsidR="00D44948">
        <w:t>posibilidades</w:t>
      </w:r>
      <w:r>
        <w:t xml:space="preserve"> de estar en el paro se multiplican por cuatro. </w:t>
      </w:r>
      <w:r w:rsidRPr="00920A5E">
        <w:rPr>
          <w:rStyle w:val="Textoennegrita"/>
          <w:b w:val="0"/>
        </w:rPr>
        <w:t>En España hay mucho abandono escolar, pero hay un problema que agrava esto y es que cuando un niño abandona el colegio ya no se forma.</w:t>
      </w:r>
      <w:r>
        <w:t xml:space="preserve"> Si sales del colegio y no estás formado tienes que tener una segunda oportunidad y en España no se ofrece”. </w:t>
      </w:r>
    </w:p>
    <w:p w:rsidR="002C64B3" w:rsidRDefault="002C64B3" w:rsidP="00550638">
      <w:pPr>
        <w:pStyle w:val="NormalWeb"/>
        <w:jc w:val="both"/>
      </w:pPr>
      <w:r w:rsidRPr="00920A5E">
        <w:rPr>
          <w:rStyle w:val="Textoennegrita"/>
          <w:b w:val="0"/>
        </w:rPr>
        <w:t>“En los países nórdicos hay una gran cultura de educación de adultos que no está instalada en España”</w:t>
      </w:r>
      <w:r w:rsidRPr="00920A5E">
        <w:rPr>
          <w:b/>
        </w:rPr>
        <w:t>,</w:t>
      </w:r>
      <w:r>
        <w:t xml:space="preserve"> explica Martin-Encinas, “No sólo a nivel gubernamental, también empresarial. La formación en el trabajo es muy pobre en España. El gobierno debería presionar, y los adultos concienciarse de que deben continuar formándose”. </w:t>
      </w:r>
    </w:p>
    <w:p w:rsidR="00600257" w:rsidRPr="00600257" w:rsidRDefault="00600257" w:rsidP="00550638">
      <w:pPr>
        <w:pStyle w:val="NormalWeb"/>
        <w:jc w:val="both"/>
        <w:rPr>
          <w:u w:val="single"/>
        </w:rPr>
      </w:pPr>
      <w:r w:rsidRPr="00600257">
        <w:rPr>
          <w:u w:val="single"/>
        </w:rPr>
        <w:t>Sin estabilidad ni formación, los trabajadores acaban perdiendo parte de las habilidades que adq</w:t>
      </w:r>
      <w:r>
        <w:rPr>
          <w:u w:val="single"/>
        </w:rPr>
        <w:t>uirieron en su etapa educativa.</w:t>
      </w:r>
    </w:p>
    <w:p w:rsidR="002C64B3" w:rsidRDefault="002C64B3" w:rsidP="00550638">
      <w:pPr>
        <w:pStyle w:val="NormalWeb"/>
        <w:jc w:val="both"/>
      </w:pPr>
      <w:r>
        <w:t xml:space="preserve">- </w:t>
      </w:r>
      <w:r w:rsidRPr="00DD26E2">
        <w:rPr>
          <w:u w:val="single"/>
        </w:rPr>
        <w:t>¿Cuánto influye el mercado laboral en la falta de conocimientos básicos de los españoles?</w:t>
      </w:r>
      <w:r>
        <w:t xml:space="preserve"> (Libertad Digital - </w:t>
      </w:r>
      <w:r w:rsidRPr="00DD26E2">
        <w:rPr>
          <w:b/>
        </w:rPr>
        <w:t>9/10/13</w:t>
      </w:r>
      <w:r>
        <w:t>)</w:t>
      </w:r>
    </w:p>
    <w:p w:rsidR="002C64B3" w:rsidRDefault="00600257" w:rsidP="00550638">
      <w:pPr>
        <w:pStyle w:val="NormalWeb"/>
        <w:jc w:val="both"/>
      </w:pPr>
      <w:r>
        <w:t xml:space="preserve"> </w:t>
      </w:r>
      <w:r w:rsidR="002C64B3">
        <w:t>(Por Domingo Soriano)</w:t>
      </w:r>
      <w:r>
        <w:t xml:space="preserve">                                                                    Lectura recomendada</w:t>
      </w:r>
    </w:p>
    <w:p w:rsidR="002C64B3" w:rsidRPr="002A359C" w:rsidRDefault="002C64B3" w:rsidP="00550638">
      <w:pPr>
        <w:pStyle w:val="NormalWeb"/>
        <w:jc w:val="both"/>
        <w:rPr>
          <w:color w:val="FF0000"/>
          <w:u w:val="single"/>
        </w:rPr>
      </w:pPr>
      <w:r w:rsidRPr="002A359C">
        <w:rPr>
          <w:u w:val="single"/>
        </w:rPr>
        <w:t>La educación española no ayuda al mercado laboral; y el mercado laboral no ayuda a la preparación de la población española</w:t>
      </w:r>
      <w:r>
        <w:t xml:space="preserve">. </w:t>
      </w:r>
      <w:r w:rsidRPr="002A359C">
        <w:rPr>
          <w:u w:val="single"/>
        </w:rPr>
        <w:t xml:space="preserve">Con estas dos premisas, los resultados del </w:t>
      </w:r>
      <w:hyperlink r:id="rId299" w:history="1">
        <w:r w:rsidRPr="00F648B9">
          <w:rPr>
            <w:rStyle w:val="Hipervnculo"/>
            <w:rFonts w:eastAsiaTheme="majorEastAsia"/>
            <w:i/>
            <w:color w:val="auto"/>
          </w:rPr>
          <w:t>Informe PIAAC</w:t>
        </w:r>
      </w:hyperlink>
      <w:r w:rsidRPr="002A359C">
        <w:rPr>
          <w:u w:val="single"/>
        </w:rPr>
        <w:t xml:space="preserve"> (el PISA para adultos) que se conocieron este lunes quizás puedan comprenderse mejor.</w:t>
      </w:r>
      <w:r>
        <w:t xml:space="preserve"> De esta manera, </w:t>
      </w:r>
      <w:r w:rsidRPr="002A359C">
        <w:rPr>
          <w:color w:val="FF0000"/>
          <w:u w:val="single"/>
        </w:rPr>
        <w:t xml:space="preserve">los españoles adultos, que antes fueron estudiantes, se encuentran dentro de un </w:t>
      </w:r>
      <w:r w:rsidRPr="00920A5E">
        <w:rPr>
          <w:rStyle w:val="Textoennegrita"/>
          <w:b w:val="0"/>
          <w:color w:val="FF0000"/>
          <w:u w:val="single"/>
        </w:rPr>
        <w:t>círculo vicioso de difícil salida</w:t>
      </w:r>
      <w:r w:rsidRPr="002A359C">
        <w:rPr>
          <w:color w:val="FF0000"/>
          <w:u w:val="single"/>
        </w:rPr>
        <w:t>. Ni llegan especialmente bien formados a su puesto de trabajo ni, una vez que han obtenido un empleo, mantienen las habilidades que adquirieron durante su etapa formativa.</w:t>
      </w:r>
    </w:p>
    <w:p w:rsidR="002C64B3" w:rsidRDefault="002C64B3" w:rsidP="00550638">
      <w:pPr>
        <w:pStyle w:val="NormalWeb"/>
        <w:jc w:val="both"/>
      </w:pPr>
      <w:r>
        <w:t xml:space="preserve">Es habitual establecer una relación entre las deficiencias del sistema educativo y la calidad del mercado laboral. Y claro, como nuestra escuela y nuestra universidad, sacan tan malas notas que parece lógico que luego los </w:t>
      </w:r>
      <w:r w:rsidRPr="00920A5E">
        <w:rPr>
          <w:rStyle w:val="Textoennegrita"/>
          <w:b w:val="0"/>
        </w:rPr>
        <w:t>trabajadores no sean productivos</w:t>
      </w:r>
      <w:r>
        <w:t>. Sin embargo, es posible que haya también una relación inversa. Es decir, que las malas notas que los adultos españoles han sacado en PIAAC no tengan su origen sólo en las aulas, sino también en lo que ocurre una vez que se incorporan al mercado de trabajo.</w:t>
      </w:r>
    </w:p>
    <w:p w:rsidR="002C64B3" w:rsidRDefault="002C64B3" w:rsidP="00550638">
      <w:pPr>
        <w:pStyle w:val="NormalWeb"/>
        <w:jc w:val="both"/>
      </w:pPr>
      <w:r>
        <w:t xml:space="preserve">Junto al cuerpo del informe, el Ministerio publicaba este lunes un </w:t>
      </w:r>
      <w:hyperlink r:id="rId300" w:history="1">
        <w:r w:rsidRPr="00F648B9">
          <w:rPr>
            <w:rStyle w:val="Hipervnculo"/>
            <w:rFonts w:eastAsiaTheme="majorEastAsia"/>
            <w:i/>
            <w:color w:val="auto"/>
          </w:rPr>
          <w:t>Análisis Secundario</w:t>
        </w:r>
      </w:hyperlink>
      <w:r w:rsidRPr="00F648B9">
        <w:rPr>
          <w:i/>
        </w:rPr>
        <w:t xml:space="preserve">, </w:t>
      </w:r>
      <w:r>
        <w:t xml:space="preserve">que incluía un estudio específico para España. Está dividido en ocho capítulos, </w:t>
      </w:r>
      <w:r>
        <w:lastRenderedPageBreak/>
        <w:t>realizados por profesores universitarios, que analizan el impacto que los resultados de PIAAC pueden tener en diversos aspectos de la sociedad.</w:t>
      </w:r>
    </w:p>
    <w:p w:rsidR="002C64B3" w:rsidRPr="002A359C" w:rsidRDefault="002C64B3" w:rsidP="00550638">
      <w:pPr>
        <w:pStyle w:val="NormalWeb"/>
        <w:jc w:val="both"/>
        <w:rPr>
          <w:u w:val="single"/>
        </w:rPr>
      </w:pPr>
      <w:r w:rsidRPr="002A359C">
        <w:rPr>
          <w:u w:val="single"/>
        </w:rPr>
        <w:t xml:space="preserve">En lo que respecta al mercado laboral, destacan los capítulos 1 y 8. En el primero, los profesores </w:t>
      </w:r>
      <w:hyperlink r:id="rId301" w:history="1">
        <w:r w:rsidRPr="00512C6C">
          <w:rPr>
            <w:rStyle w:val="Hipervnculo"/>
            <w:rFonts w:eastAsiaTheme="majorEastAsia"/>
            <w:color w:val="auto"/>
          </w:rPr>
          <w:t>Antonio Cabrales</w:t>
        </w:r>
      </w:hyperlink>
      <w:r w:rsidRPr="002A359C">
        <w:rPr>
          <w:u w:val="single"/>
        </w:rPr>
        <w:t>, Juan J. Dolado y Ricardo Mora, de la Universidad Carlos III de Mad</w:t>
      </w:r>
      <w:r w:rsidR="00512C6C">
        <w:rPr>
          <w:u w:val="single"/>
        </w:rPr>
        <w:t xml:space="preserve">rid, estudian el impacto de la </w:t>
      </w:r>
      <w:r w:rsidR="00512C6C" w:rsidRPr="00920A5E">
        <w:rPr>
          <w:b/>
          <w:u w:val="single"/>
        </w:rPr>
        <w:t>“</w:t>
      </w:r>
      <w:r w:rsidR="00512C6C" w:rsidRPr="00920A5E">
        <w:rPr>
          <w:rStyle w:val="Textoennegrita"/>
          <w:b w:val="0"/>
          <w:u w:val="single"/>
        </w:rPr>
        <w:t>dualidad laboral” en el “</w:t>
      </w:r>
      <w:r w:rsidRPr="00920A5E">
        <w:rPr>
          <w:rStyle w:val="Textoennegrita"/>
          <w:b w:val="0"/>
          <w:u w:val="single"/>
        </w:rPr>
        <w:t>déficit ocupacional</w:t>
      </w:r>
      <w:r w:rsidR="00512C6C" w:rsidRPr="009D1533">
        <w:rPr>
          <w:u w:val="single"/>
        </w:rPr>
        <w:t>”</w:t>
      </w:r>
      <w:r w:rsidRPr="002A359C">
        <w:rPr>
          <w:u w:val="single"/>
        </w:rPr>
        <w:t xml:space="preserve"> de</w:t>
      </w:r>
      <w:r w:rsidR="00512C6C">
        <w:rPr>
          <w:u w:val="single"/>
        </w:rPr>
        <w:t xml:space="preserve"> los españoles. En su opinión, “</w:t>
      </w:r>
      <w:r w:rsidRPr="002A359C">
        <w:rPr>
          <w:u w:val="single"/>
        </w:rPr>
        <w:t>la evidencia empírica apoya la hipótesis sobre la relación negativa entre precariedad laboral y formación dentro de la empresa, así como la relación positiva entre las actividades de formación y las capacidades</w:t>
      </w:r>
      <w:r w:rsidR="00512C6C">
        <w:rPr>
          <w:u w:val="single"/>
        </w:rPr>
        <w:t xml:space="preserve"> cognitivas de los trabajadores”</w:t>
      </w:r>
      <w:r w:rsidRPr="002A359C">
        <w:rPr>
          <w:u w:val="single"/>
        </w:rPr>
        <w:t>.</w:t>
      </w:r>
    </w:p>
    <w:p w:rsidR="002C64B3" w:rsidRPr="002A359C" w:rsidRDefault="002C64B3" w:rsidP="00550638">
      <w:pPr>
        <w:pStyle w:val="NormalWeb"/>
        <w:jc w:val="both"/>
        <w:rPr>
          <w:u w:val="single"/>
        </w:rPr>
      </w:pPr>
      <w:r w:rsidRPr="002A359C">
        <w:rPr>
          <w:u w:val="single"/>
        </w:rPr>
        <w:t xml:space="preserve">Es decir, que las empresas no gastan en formar a sus empleados temporales, lo que se traduce en una pérdida de productividad de estos. Tiene lógica. Lo que ocurre es que al final esto acaba afectando negativamente a la propia compañía. Pero nadie es capaz de romper este </w:t>
      </w:r>
      <w:r w:rsidRPr="00920A5E">
        <w:rPr>
          <w:rStyle w:val="Textoennegrita"/>
          <w:b w:val="0"/>
          <w:u w:val="single"/>
        </w:rPr>
        <w:t>círculo vicioso</w:t>
      </w:r>
      <w:r w:rsidRPr="002A359C">
        <w:rPr>
          <w:u w:val="single"/>
        </w:rPr>
        <w:t>. No se forma porque es temporal; al no estar formado es más complicado conseguir un empleo fijo; como no se es productivo se sigue siendo temporal y sigue sin conseguir formación.</w:t>
      </w:r>
    </w:p>
    <w:p w:rsidR="002C64B3" w:rsidRPr="00EF407D" w:rsidRDefault="002C64B3" w:rsidP="00550638">
      <w:pPr>
        <w:pStyle w:val="NormalWeb"/>
        <w:jc w:val="both"/>
        <w:rPr>
          <w:u w:val="single"/>
        </w:rPr>
      </w:pPr>
      <w:r>
        <w:t xml:space="preserve">Esta dinámica no sólo tiene un reflejo en lo que tiene que ver con el empleo. </w:t>
      </w:r>
      <w:r w:rsidRPr="00EF407D">
        <w:rPr>
          <w:u w:val="single"/>
        </w:rPr>
        <w:t xml:space="preserve">La estructura dual del mercado laboral español también afecta a las </w:t>
      </w:r>
      <w:r w:rsidRPr="00920A5E">
        <w:rPr>
          <w:rStyle w:val="Textoennegrita"/>
          <w:b w:val="0"/>
          <w:u w:val="single"/>
        </w:rPr>
        <w:t>habilidades más básicas de los trabajadores</w:t>
      </w:r>
      <w:r w:rsidRPr="00920A5E">
        <w:rPr>
          <w:b/>
          <w:u w:val="single"/>
        </w:rPr>
        <w:t>.</w:t>
      </w:r>
      <w:r w:rsidRPr="00EF407D">
        <w:rPr>
          <w:u w:val="single"/>
        </w:rPr>
        <w:t xml:space="preserve"> Antonio Villar, de la Universidad Pablo de </w:t>
      </w:r>
      <w:r w:rsidR="00D44948" w:rsidRPr="00EF407D">
        <w:rPr>
          <w:u w:val="single"/>
        </w:rPr>
        <w:t>Olvide</w:t>
      </w:r>
      <w:r w:rsidRPr="00EF407D">
        <w:rPr>
          <w:u w:val="single"/>
        </w:rPr>
        <w:t>, lo denuncia en el octavo capítulo del informe.</w:t>
      </w:r>
    </w:p>
    <w:p w:rsidR="002C64B3" w:rsidRPr="00EF407D" w:rsidRDefault="002C64B3" w:rsidP="00550638">
      <w:pPr>
        <w:pStyle w:val="NormalWeb"/>
        <w:jc w:val="both"/>
        <w:rPr>
          <w:u w:val="single"/>
        </w:rPr>
      </w:pPr>
      <w:r w:rsidRPr="00EF407D">
        <w:rPr>
          <w:u w:val="single"/>
        </w:rPr>
        <w:t>S</w:t>
      </w:r>
      <w:r w:rsidR="00512C6C">
        <w:rPr>
          <w:u w:val="single"/>
        </w:rPr>
        <w:t>egún sus conclusiones, hay una “depreciación cognitiva”</w:t>
      </w:r>
      <w:r w:rsidRPr="00EF407D">
        <w:rPr>
          <w:u w:val="single"/>
        </w:rPr>
        <w:t xml:space="preserve"> por efecto de la edad. Vamos, que cuanto más mayores somos más vamos </w:t>
      </w:r>
      <w:r w:rsidR="002B206C">
        <w:rPr>
          <w:u w:val="single"/>
        </w:rPr>
        <w:t>“</w:t>
      </w:r>
      <w:r w:rsidRPr="002B206C">
        <w:rPr>
          <w:rStyle w:val="nfasis"/>
          <w:rFonts w:eastAsiaTheme="majorEastAsia"/>
          <w:i w:val="0"/>
          <w:u w:val="single"/>
        </w:rPr>
        <w:t>olvidando</w:t>
      </w:r>
      <w:r w:rsidR="002B206C">
        <w:rPr>
          <w:rStyle w:val="nfasis"/>
          <w:rFonts w:eastAsiaTheme="majorEastAsia"/>
          <w:i w:val="0"/>
          <w:u w:val="single"/>
        </w:rPr>
        <w:t>”</w:t>
      </w:r>
      <w:r w:rsidRPr="00EF407D">
        <w:rPr>
          <w:u w:val="single"/>
        </w:rPr>
        <w:t xml:space="preserve"> las habilidades que adquirimos en la etapa educativa. Esto puede parecer más o menos lógico y, de hecho, se repite en otros países que se han examinado en PIAAC. Pero lo que destaca en España </w:t>
      </w:r>
      <w:r w:rsidR="00512C6C">
        <w:rPr>
          <w:u w:val="single"/>
        </w:rPr>
        <w:t>es que “</w:t>
      </w:r>
      <w:r w:rsidRPr="00EF407D">
        <w:rPr>
          <w:u w:val="single"/>
        </w:rPr>
        <w:t>este ritmo de depreciación se ve afectado por la situación laboral de lo</w:t>
      </w:r>
      <w:r w:rsidR="00512C6C">
        <w:rPr>
          <w:u w:val="single"/>
        </w:rPr>
        <w:t>s individuos”. De esta manera, “</w:t>
      </w:r>
      <w:r w:rsidRPr="00EF407D">
        <w:rPr>
          <w:u w:val="single"/>
        </w:rPr>
        <w:t xml:space="preserve">el </w:t>
      </w:r>
      <w:r w:rsidRPr="00920A5E">
        <w:rPr>
          <w:rStyle w:val="Textoennegrita"/>
          <w:b w:val="0"/>
          <w:u w:val="single"/>
        </w:rPr>
        <w:t>desempleo prolongado o la inestabilidad</w:t>
      </w:r>
      <w:r w:rsidRPr="00EF407D">
        <w:rPr>
          <w:u w:val="single"/>
        </w:rPr>
        <w:t xml:space="preserve"> laboral no sólo afectan a la renta y el bienestar de las familias, sino que descapitalizan a los individuos, de modo que una parte de la inversión realizada en educación se pierde rápidame</w:t>
      </w:r>
      <w:r w:rsidR="00512C6C">
        <w:rPr>
          <w:u w:val="single"/>
        </w:rPr>
        <w:t>nte debido a esta circunstancia”</w:t>
      </w:r>
      <w:r w:rsidRPr="00EF407D">
        <w:rPr>
          <w:u w:val="single"/>
        </w:rPr>
        <w:t>.</w:t>
      </w:r>
    </w:p>
    <w:p w:rsidR="002C64B3" w:rsidRDefault="002C64B3" w:rsidP="00550638">
      <w:pPr>
        <w:pStyle w:val="NormalWeb"/>
        <w:jc w:val="both"/>
      </w:pPr>
      <w:r w:rsidRPr="00512C6C">
        <w:rPr>
          <w:u w:val="single"/>
        </w:rPr>
        <w:t xml:space="preserve">¿Y qué hacer? Pues ésa es la pregunta que todo el mundo se hace. El mercado laboral español es </w:t>
      </w:r>
      <w:r w:rsidRPr="00920A5E">
        <w:rPr>
          <w:rStyle w:val="Textoennegrita"/>
          <w:b w:val="0"/>
          <w:u w:val="single"/>
        </w:rPr>
        <w:t>uno de los más duales del mundo</w:t>
      </w:r>
      <w:r w:rsidRPr="00512C6C">
        <w:rPr>
          <w:u w:val="single"/>
        </w:rPr>
        <w:t xml:space="preserve"> y de los que más </w:t>
      </w:r>
      <w:hyperlink r:id="rId302" w:history="1">
        <w:r w:rsidRPr="00512C6C">
          <w:rPr>
            <w:rStyle w:val="Hipervnculo"/>
            <w:rFonts w:eastAsiaTheme="majorEastAsia"/>
            <w:color w:val="auto"/>
          </w:rPr>
          <w:t>castiga a los temporales</w:t>
        </w:r>
      </w:hyperlink>
      <w:r w:rsidRPr="00512C6C">
        <w:rPr>
          <w:u w:val="single"/>
        </w:rPr>
        <w:t>: hacen ocupaciones que deberían estar reservadas para fijos, son los primeros en salir en cuanto llegan mal dadas, pasan más tiempo en esta situación, no consiguen estabilizar una carrera laboral convencional,...</w:t>
      </w:r>
      <w:r w:rsidRPr="00512C6C">
        <w:t xml:space="preserve"> Los estudios coinciden en que la última reforma laboral </w:t>
      </w:r>
      <w:hyperlink r:id="rId303" w:history="1">
        <w:r w:rsidRPr="00512C6C">
          <w:rPr>
            <w:rStyle w:val="Hipervnculo"/>
            <w:rFonts w:eastAsiaTheme="majorEastAsia"/>
            <w:color w:val="auto"/>
          </w:rPr>
          <w:t>no está logrando resultados</w:t>
        </w:r>
      </w:hyperlink>
      <w:r w:rsidRPr="00512C6C">
        <w:t xml:space="preserve"> en este aspecto. Expertos de diversa procedencia han abogado por la </w:t>
      </w:r>
      <w:hyperlink r:id="rId304" w:history="1">
        <w:r w:rsidRPr="00512C6C">
          <w:rPr>
            <w:rStyle w:val="Hipervnculo"/>
            <w:rFonts w:eastAsiaTheme="majorEastAsia"/>
            <w:color w:val="auto"/>
          </w:rPr>
          <w:t>reducción del número de modalidades</w:t>
        </w:r>
      </w:hyperlink>
      <w:r w:rsidRPr="00512C6C">
        <w:t xml:space="preserve"> contractuales (se ha hablado mucho del </w:t>
      </w:r>
      <w:hyperlink r:id="rId305" w:history="1">
        <w:r w:rsidRPr="00512C6C">
          <w:rPr>
            <w:rStyle w:val="Hipervnculo"/>
            <w:rFonts w:eastAsiaTheme="majorEastAsia"/>
            <w:color w:val="auto"/>
          </w:rPr>
          <w:t>contrato único</w:t>
        </w:r>
      </w:hyperlink>
      <w:r w:rsidRPr="00512C6C">
        <w:t>, pero hay muchas alternativas). El Gobierno ya ha dejado claro que no habrá novedades de fondo en esta cuestión. Dentro de unos años, cuando llegue la segunda edición de PIAAC, habrá que comprobar si sigue pesando en las notas de los españoles.</w:t>
      </w:r>
    </w:p>
    <w:p w:rsidR="00512C6C" w:rsidRDefault="00512C6C" w:rsidP="00550638">
      <w:pPr>
        <w:pStyle w:val="NormalWeb"/>
        <w:jc w:val="both"/>
        <w:rPr>
          <w:u w:val="single"/>
        </w:rPr>
      </w:pPr>
      <w:r w:rsidRPr="00512C6C">
        <w:rPr>
          <w:u w:val="single"/>
        </w:rPr>
        <w:t xml:space="preserve">Al final, </w:t>
      </w:r>
      <w:r>
        <w:rPr>
          <w:u w:val="single"/>
        </w:rPr>
        <w:t>“</w:t>
      </w:r>
      <w:r w:rsidRPr="00512C6C">
        <w:rPr>
          <w:u w:val="single"/>
        </w:rPr>
        <w:t>el tonto soy yo</w:t>
      </w:r>
      <w:r>
        <w:rPr>
          <w:u w:val="single"/>
        </w:rPr>
        <w:t>”</w:t>
      </w:r>
      <w:r w:rsidRPr="00512C6C">
        <w:rPr>
          <w:u w:val="single"/>
        </w:rPr>
        <w:t>, que me preocupo por estos “imbéciles”</w:t>
      </w:r>
      <w:r>
        <w:rPr>
          <w:u w:val="single"/>
        </w:rPr>
        <w:t xml:space="preserve"> (“enredados” felices</w:t>
      </w:r>
      <w:r w:rsidRPr="00512C6C">
        <w:rPr>
          <w:u w:val="single"/>
        </w:rPr>
        <w:t>)</w:t>
      </w:r>
    </w:p>
    <w:p w:rsidR="00512C6C" w:rsidRPr="00512C6C" w:rsidRDefault="00512C6C" w:rsidP="00550638">
      <w:pPr>
        <w:pStyle w:val="NormalWeb"/>
        <w:jc w:val="both"/>
      </w:pPr>
      <w:r w:rsidRPr="00512C6C">
        <w:t xml:space="preserve">(Las redes dibujan también una la radiografía social decadente. Se pierde el tiempo -en casa o en el trabajo- sin escrúpulos) </w:t>
      </w:r>
    </w:p>
    <w:p w:rsidR="002C64B3" w:rsidRPr="00512C6C" w:rsidRDefault="00512C6C" w:rsidP="00550638">
      <w:pPr>
        <w:pStyle w:val="NormalWeb"/>
        <w:jc w:val="both"/>
      </w:pPr>
      <w:r>
        <w:rPr>
          <w:i/>
        </w:rPr>
        <w:lastRenderedPageBreak/>
        <w:t>“</w:t>
      </w:r>
      <w:r w:rsidR="002C64B3" w:rsidRPr="00512C6C">
        <w:rPr>
          <w:i/>
        </w:rPr>
        <w:t>Los jóvenes españoles pasan la friolera de entre cuatro o cinco horas al día navegando en las tantas veces brumosas redes sociales. No sólo eso. Son también, entre los europeos, los que más tiempo dedican a este peculiar empeño. Se trata, sin duda, de cifras alarmantes, salvo que</w:t>
      </w:r>
      <w:r w:rsidRPr="00512C6C">
        <w:rPr>
          <w:i/>
        </w:rPr>
        <w:t xml:space="preserve"> en las redes sociales anidara -</w:t>
      </w:r>
      <w:r w:rsidR="002C64B3" w:rsidRPr="00512C6C">
        <w:rPr>
          <w:i/>
        </w:rPr>
        <w:t>cosa q</w:t>
      </w:r>
      <w:r w:rsidRPr="00512C6C">
        <w:rPr>
          <w:i/>
        </w:rPr>
        <w:t>ue no sucede, salvo excepciones-</w:t>
      </w:r>
      <w:r w:rsidR="002C64B3" w:rsidRPr="00512C6C">
        <w:rPr>
          <w:i/>
        </w:rPr>
        <w:t xml:space="preserve"> una fuente de conocimiento y sabiduría. Es la otra cara de esas redes, </w:t>
      </w:r>
      <w:r>
        <w:rPr>
          <w:i/>
        </w:rPr>
        <w:t>en las que se pierde el tiempo -en casa o en el trabajo-</w:t>
      </w:r>
      <w:r w:rsidR="002C64B3" w:rsidRPr="00512C6C">
        <w:rPr>
          <w:i/>
        </w:rPr>
        <w:t xml:space="preserve"> sin escrúpulos</w:t>
      </w:r>
      <w:r w:rsidR="00F648B9">
        <w:rPr>
          <w:i/>
        </w:rPr>
        <w:t>”</w:t>
      </w:r>
      <w:r>
        <w:rPr>
          <w:i/>
        </w:rPr>
        <w:t>..</w:t>
      </w:r>
      <w:r w:rsidR="002C64B3" w:rsidRPr="00512C6C">
        <w:rPr>
          <w:i/>
        </w:rPr>
        <w:t>.</w:t>
      </w:r>
      <w:r>
        <w:rPr>
          <w:i/>
        </w:rPr>
        <w:t xml:space="preserve"> </w:t>
      </w:r>
      <w:r w:rsidRPr="00F648B9">
        <w:rPr>
          <w:u w:val="single"/>
        </w:rPr>
        <w:t>Según una encuesta de MTV</w:t>
      </w:r>
      <w:r>
        <w:t xml:space="preserve"> - </w:t>
      </w:r>
      <w:r w:rsidR="00A14E12">
        <w:rPr>
          <w:u w:val="single"/>
        </w:rPr>
        <w:t>Los jóvenes españoles “se cuelgan”</w:t>
      </w:r>
      <w:r w:rsidRPr="00D20B2B">
        <w:rPr>
          <w:u w:val="single"/>
        </w:rPr>
        <w:t xml:space="preserve"> más de cinco horas diarias en las redes sociales </w:t>
      </w:r>
      <w:r>
        <w:t xml:space="preserve">(Gaceta.es - </w:t>
      </w:r>
      <w:r w:rsidRPr="00D20B2B">
        <w:rPr>
          <w:b/>
        </w:rPr>
        <w:t>11/10/13</w:t>
      </w:r>
      <w:r>
        <w:t>)</w:t>
      </w:r>
    </w:p>
    <w:p w:rsidR="002C64B3" w:rsidRPr="00A14E12" w:rsidRDefault="00512C6C" w:rsidP="00550638">
      <w:pPr>
        <w:pStyle w:val="NormalWeb"/>
        <w:jc w:val="both"/>
      </w:pPr>
      <w:r w:rsidRPr="00A14E12">
        <w:t xml:space="preserve">Los datos corresponden a </w:t>
      </w:r>
      <w:r w:rsidR="002C64B3" w:rsidRPr="00A14E12">
        <w:t>una encuesta encargada por el canal de televisión MTV, en el que encuentra esa reincidencia en el 80% de los jó</w:t>
      </w:r>
      <w:r w:rsidR="00A14E12" w:rsidRPr="00A14E12">
        <w:t>venes entrevistados. El cuestionario</w:t>
      </w:r>
      <w:r w:rsidR="002C64B3" w:rsidRPr="00A14E12">
        <w:t xml:space="preserve"> se enmarca en un estudio más ampli</w:t>
      </w:r>
      <w:r w:rsidRPr="00A14E12">
        <w:t>o, realizado por Knowing Young -</w:t>
      </w:r>
      <w:r w:rsidR="002C64B3" w:rsidRPr="00A14E12">
        <w:t>división de investigación de Viacom, al qu</w:t>
      </w:r>
      <w:r w:rsidRPr="00A14E12">
        <w:t>e pertenece el canal televisivo-</w:t>
      </w:r>
      <w:r w:rsidR="002C64B3" w:rsidRPr="00A14E12">
        <w:t>, en el que se analizan las relaciones que establecen en la Red</w:t>
      </w:r>
      <w:r w:rsidR="00A14E12" w:rsidRPr="00A14E12">
        <w:t xml:space="preserve"> los nacidos entre 1982 y 2003.</w:t>
      </w:r>
    </w:p>
    <w:p w:rsidR="002C64B3" w:rsidRPr="00A14E12" w:rsidRDefault="00A14E12" w:rsidP="00550638">
      <w:pPr>
        <w:pStyle w:val="NormalWeb"/>
        <w:jc w:val="both"/>
      </w:pPr>
      <w:r w:rsidRPr="00A14E12">
        <w:t xml:space="preserve">Los resultados son alarmantes. Ponen negro sobre blanco </w:t>
      </w:r>
      <w:r w:rsidR="002C64B3" w:rsidRPr="00A14E12">
        <w:t>cuestiones tan inquietantes como que los jóvenes creen que no hay riesgo en lo virtual, que la curiosidad manda más que otros imponderables a la hora de establecer amistades o la abrumadora pérdida de tiempo que implica para muchos de ellos su labor de espionaje a vecinos, amigos, parejas o ex parejas por cuestiones amorosas, a parte de otros broches ciertamente frívolos.</w:t>
      </w:r>
    </w:p>
    <w:p w:rsidR="002C64B3" w:rsidRPr="00A14E12" w:rsidRDefault="00A14E12" w:rsidP="00550638">
      <w:pPr>
        <w:pStyle w:val="NormalWeb"/>
        <w:jc w:val="both"/>
      </w:pPr>
      <w:r w:rsidRPr="00A14E12">
        <w:t>A</w:t>
      </w:r>
      <w:r w:rsidR="002C64B3" w:rsidRPr="00A14E12">
        <w:t>lgunos datos de la encuesta, que son de por sí concluyentes para una radiografía social decadente. El 74% de los jóvenes europeos acepta como amigos a desconocidos, bien por curiosidad (40%) o porque le parece atractivo (18%). Sólo el 13% de esas prometedoras relaciones pasan a la “vida real” en forma de encuentros, pero es significativo, por ejemplo, constatar que un 13% confiesa haber encontrado a su pareja en las redes sociales.</w:t>
      </w:r>
    </w:p>
    <w:p w:rsidR="002C64B3" w:rsidRPr="00A14E12" w:rsidRDefault="002C64B3" w:rsidP="00550638">
      <w:pPr>
        <w:pStyle w:val="NormalWeb"/>
        <w:jc w:val="both"/>
      </w:pPr>
      <w:r w:rsidRPr="00A14E12">
        <w:t xml:space="preserve">Otro dato sorprendente: la mitad de los jóvenes reconoce haber utilizado las redes como instrumento de espionaje “por intereses amorosos”, navegando, por ejemplo, por el perfil de la ex pareja. </w:t>
      </w:r>
    </w:p>
    <w:p w:rsidR="002C64B3" w:rsidRDefault="002C64B3" w:rsidP="00550638">
      <w:pPr>
        <w:pStyle w:val="NormalWeb"/>
        <w:jc w:val="both"/>
      </w:pPr>
      <w:r w:rsidRPr="00A14E12">
        <w:t>Y un último apunte: uno de cada ocho encuestados confiesa haber creado un perfil falso o admite que ha mentido sobre su edad, su ocupación o su lugar de residencia. El tranvía para otra red, de rumores y bulos, por tanto, está servido.</w:t>
      </w:r>
    </w:p>
    <w:p w:rsidR="00A14E12" w:rsidRPr="00A14E12" w:rsidRDefault="00A14E12" w:rsidP="00550638">
      <w:pPr>
        <w:pStyle w:val="NormalWeb"/>
        <w:jc w:val="both"/>
        <w:rPr>
          <w:u w:val="single"/>
        </w:rPr>
      </w:pPr>
      <w:r>
        <w:rPr>
          <w:u w:val="single"/>
        </w:rPr>
        <w:t xml:space="preserve">La interpretación de Fedea sobre </w:t>
      </w:r>
      <w:r w:rsidRPr="00A14E12">
        <w:rPr>
          <w:u w:val="single"/>
        </w:rPr>
        <w:t>el Informe PIAAC</w:t>
      </w:r>
      <w:r w:rsidR="00997677">
        <w:rPr>
          <w:u w:val="single"/>
        </w:rPr>
        <w:t xml:space="preserve"> (el PISA para adultos)</w:t>
      </w:r>
    </w:p>
    <w:p w:rsidR="002C64B3" w:rsidRPr="00B151D6" w:rsidRDefault="002C64B3" w:rsidP="00550638">
      <w:pPr>
        <w:pStyle w:val="Ttulo1"/>
        <w:spacing w:line="24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EA75C1">
        <w:rPr>
          <w:rFonts w:ascii="Times New Roman" w:hAnsi="Times New Roman" w:cs="Times New Roman"/>
          <w:b w:val="0"/>
          <w:color w:val="auto"/>
          <w:sz w:val="24"/>
          <w:szCs w:val="24"/>
          <w:u w:val="single"/>
        </w:rPr>
        <w:t>PIAAC, el examen de PISA para adultos</w:t>
      </w:r>
      <w:r>
        <w:rPr>
          <w:rFonts w:ascii="Times New Roman" w:hAnsi="Times New Roman" w:cs="Times New Roman"/>
          <w:b w:val="0"/>
          <w:color w:val="auto"/>
          <w:sz w:val="24"/>
          <w:szCs w:val="24"/>
        </w:rPr>
        <w:t xml:space="preserve"> (Fedea - </w:t>
      </w:r>
      <w:r w:rsidRPr="00B151D6">
        <w:rPr>
          <w:rFonts w:ascii="Times New Roman" w:hAnsi="Times New Roman" w:cs="Times New Roman"/>
          <w:color w:val="auto"/>
          <w:sz w:val="24"/>
          <w:szCs w:val="24"/>
        </w:rPr>
        <w:t>13/10/13</w:t>
      </w:r>
      <w:r>
        <w:rPr>
          <w:rFonts w:ascii="Times New Roman" w:hAnsi="Times New Roman" w:cs="Times New Roman"/>
          <w:b w:val="0"/>
          <w:color w:val="auto"/>
          <w:sz w:val="24"/>
          <w:szCs w:val="24"/>
        </w:rPr>
        <w:t>)</w:t>
      </w:r>
    </w:p>
    <w:p w:rsidR="002C64B3" w:rsidRPr="00B151D6" w:rsidRDefault="002C64B3" w:rsidP="00550638">
      <w:pPr>
        <w:pStyle w:val="headlinemeta"/>
      </w:pPr>
      <w:r>
        <w:t>(</w:t>
      </w:r>
      <w:r w:rsidRPr="00B151D6">
        <w:t>Por</w:t>
      </w:r>
      <w:r>
        <w:t xml:space="preserve"> Antonio Cabrales)</w:t>
      </w:r>
      <w:r w:rsidRPr="00B151D6">
        <w:t xml:space="preserve"> </w:t>
      </w:r>
      <w:r w:rsidR="00A14E12">
        <w:t xml:space="preserve">                                                                    Lectura recomendada</w:t>
      </w:r>
    </w:p>
    <w:p w:rsidR="002C64B3" w:rsidRPr="00A14E12" w:rsidRDefault="00FE14BF" w:rsidP="00550638">
      <w:pPr>
        <w:pStyle w:val="NormalWeb"/>
        <w:jc w:val="both"/>
        <w:rPr>
          <w:u w:val="single"/>
        </w:rPr>
      </w:pPr>
      <w:hyperlink r:id="rId306" w:history="1">
        <w:r w:rsidR="002C64B3" w:rsidRPr="00A14E12">
          <w:rPr>
            <w:rStyle w:val="Hipervnculo"/>
            <w:rFonts w:eastAsiaTheme="majorEastAsia"/>
            <w:color w:val="auto"/>
          </w:rPr>
          <w:t>PIAAC</w:t>
        </w:r>
      </w:hyperlink>
      <w:r w:rsidR="002C64B3" w:rsidRPr="00A14E12">
        <w:t xml:space="preserve"> es el acrónimo del Programa de la OCDE para evaluar las competencias cognitivas de los adultos. La publicación de los resultados de este informe ha desatado la previsible lluvia </w:t>
      </w:r>
      <w:hyperlink r:id="rId307" w:history="1">
        <w:r w:rsidR="002C64B3" w:rsidRPr="00A14E12">
          <w:rPr>
            <w:rStyle w:val="Hipervnculo"/>
            <w:rFonts w:eastAsiaTheme="majorEastAsia"/>
            <w:color w:val="auto"/>
          </w:rPr>
          <w:t>de acusaciones partidistas</w:t>
        </w:r>
      </w:hyperlink>
      <w:r w:rsidR="002C64B3" w:rsidRPr="00A14E12">
        <w:t xml:space="preserve"> sobre la responsabilidad de la mala situación de España en el examen. </w:t>
      </w:r>
      <w:r w:rsidR="002C64B3" w:rsidRPr="00A14E12">
        <w:rPr>
          <w:u w:val="single"/>
        </w:rPr>
        <w:t xml:space="preserve">Desde estas páginas vamos a ver qué se puede aprender de estos datos. Para resumir un poco: si sólo les importa el ranking, no mucho, ya nos lo dice casi todo PISA. Y, como en PISA, las noticias son malas. Pero si tienen </w:t>
      </w:r>
      <w:r w:rsidR="002C64B3" w:rsidRPr="00A14E12">
        <w:rPr>
          <w:u w:val="single"/>
        </w:rPr>
        <w:lastRenderedPageBreak/>
        <w:t>un poco de paciencia, son datos ricos y se pueden aprender algunas cosas interesantes y novedosas, así que vamos a dedicar varias entradas de investigadores diversos que han estudiado la muestra española.</w:t>
      </w:r>
    </w:p>
    <w:p w:rsidR="002C64B3" w:rsidRPr="00A14E12" w:rsidRDefault="002C64B3" w:rsidP="00550638">
      <w:pPr>
        <w:pStyle w:val="NormalWeb"/>
        <w:jc w:val="both"/>
      </w:pPr>
      <w:r w:rsidRPr="00A14E12">
        <w:rPr>
          <w:u w:val="single"/>
        </w:rPr>
        <w:t>El examen en sí es una prueba de competencias matemáticas y comprensión lectora que han contestado una muestra de personas de entre 16 y 65 años en 23 países, de los que 22 pertenecen a la OCDE un grupo de países mayoritariamente desarrollados</w:t>
      </w:r>
      <w:r w:rsidRPr="00A14E12">
        <w:t xml:space="preserve">. Otros 9 países lo harán el año que viene y los resultados se publicarán en 2016. Las pruebas las ha diseñado y administrado un consorcio de universidades y centros de investigación liderado por el </w:t>
      </w:r>
      <w:hyperlink r:id="rId308" w:history="1">
        <w:r w:rsidRPr="00A14E12">
          <w:rPr>
            <w:rStyle w:val="Hipervnculo"/>
            <w:rFonts w:eastAsiaTheme="majorEastAsia"/>
            <w:color w:val="auto"/>
          </w:rPr>
          <w:t>Educational Testing Service</w:t>
        </w:r>
      </w:hyperlink>
      <w:r w:rsidRPr="00A14E12">
        <w:t xml:space="preserve">. Sí, el ETS, la empresa que también diseña el </w:t>
      </w:r>
      <w:hyperlink r:id="rId309" w:history="1">
        <w:r w:rsidRPr="00A14E12">
          <w:rPr>
            <w:rStyle w:val="Hipervnculo"/>
            <w:rFonts w:eastAsiaTheme="majorEastAsia"/>
            <w:color w:val="auto"/>
          </w:rPr>
          <w:t>GRE</w:t>
        </w:r>
      </w:hyperlink>
      <w:r w:rsidRPr="00A14E12">
        <w:t xml:space="preserve"> y el </w:t>
      </w:r>
      <w:hyperlink r:id="rId310" w:history="1">
        <w:r w:rsidRPr="00A14E12">
          <w:rPr>
            <w:rStyle w:val="Hipervnculo"/>
            <w:rFonts w:eastAsiaTheme="majorEastAsia"/>
            <w:color w:val="auto"/>
          </w:rPr>
          <w:t>TOEFL,</w:t>
        </w:r>
      </w:hyperlink>
      <w:r w:rsidRPr="00A14E12">
        <w:t xml:space="preserve"> los exámenes necesarios para ingresar a muchos masters y doctorados. Estos exámenes se hicieron en España entre la segunda mitad de 2011 y la primera de 2012. La muestra final para España tenía unas 6000 personas que contestaron de unas 14000 que fueron contactadas inicialmente.</w:t>
      </w:r>
    </w:p>
    <w:p w:rsidR="002C64B3" w:rsidRPr="00A14E12" w:rsidRDefault="002C64B3" w:rsidP="00550638">
      <w:pPr>
        <w:pStyle w:val="NormalWeb"/>
        <w:jc w:val="both"/>
      </w:pPr>
      <w:r w:rsidRPr="00A14E12">
        <w:t>Antes de realizar la prueba, a las personas seleccionadas se les administró un cuestionario sobre su situación personal (edad, sexo, educación, nacionalidad, idiomas, educación de los padres y otros miembros de la familia) y su vida laboral (trayectoria, últimos trabajo, formación en el empleo y uso de competencias dentro del mismo), así como cuestiones relacionadas con sus actitudes hacia el aprendizaje y uso de competencias en la vida diaria. Esta información es muy rica y ha permitido realizar varios trabajos que les describiremos en sucesivas entradas (no necesariamente consecutivas).</w:t>
      </w:r>
    </w:p>
    <w:p w:rsidR="002C64B3" w:rsidRDefault="002C64B3" w:rsidP="00550638">
      <w:pPr>
        <w:pStyle w:val="NormalWeb"/>
        <w:jc w:val="both"/>
      </w:pPr>
      <w:r w:rsidRPr="00A14E12">
        <w:t>Ahora voy a describirles primero brevemente los resultados intern</w:t>
      </w:r>
      <w:r w:rsidR="00A14E12">
        <w:t xml:space="preserve">acionales </w:t>
      </w:r>
      <w:r w:rsidRPr="00A14E12">
        <w:t>y después les comentaré brevemente algunos de los estudios que vamos a presentar más en detalle otros días. El primer gráfico nos presenta la puntuación media en comprensión lectora (matemáticas es muy parecido) de los percentiles 5, 25, 50, 75, y 95 de la población para cada país. El segundo los porcentajes de personas en cada uno de los niveles de competencias de lectura por países, desde</w:t>
      </w:r>
      <w:r w:rsidR="00A14E12">
        <w:t xml:space="preserve"> Nivel &lt; 1 a Nivel 5.</w:t>
      </w:r>
    </w:p>
    <w:p w:rsidR="00920A5E" w:rsidRPr="00EA75C1" w:rsidRDefault="00920A5E" w:rsidP="00920A5E">
      <w:pPr>
        <w:pStyle w:val="NormalWeb"/>
        <w:jc w:val="both"/>
        <w:rPr>
          <w:u w:val="single"/>
        </w:rPr>
      </w:pPr>
      <w:r w:rsidRPr="00EA75C1">
        <w:rPr>
          <w:u w:val="single"/>
        </w:rPr>
        <w:t>¿Qué se aprende de estos gráficos? Pues básicamente confirma lo que dicen los resultados de PISA. No hay prácticamente ningún país al que adelantemos en PISA que aquí esté por delante, con la posible excepción de la República Checa y Eslovaquia o Austria, pero luego estos países nos pasan en PISA por bastante en matemáticas, así que no parece muy significativo. Pero como faltan muchos de los de abajo en PISA quedamos más al descubierto.</w:t>
      </w:r>
    </w:p>
    <w:p w:rsidR="00920A5E" w:rsidRPr="00EA75C1" w:rsidRDefault="00920A5E" w:rsidP="00920A5E">
      <w:pPr>
        <w:pStyle w:val="NormalWeb"/>
        <w:jc w:val="both"/>
        <w:rPr>
          <w:color w:val="FF0000"/>
          <w:u w:val="single"/>
        </w:rPr>
      </w:pPr>
      <w:r w:rsidRPr="00EA75C1">
        <w:rPr>
          <w:color w:val="FF0000"/>
          <w:u w:val="single"/>
        </w:rPr>
        <w:t xml:space="preserve">Hay quien defiende que estos números no son tan malos porque son más o menos los que nos tocan dada nuestra posición relativa en renta en la comunidad de naciones. Pero esto me parece extremadamente corto de vista y fuertemente irritante. Muchos de los países que están por delante de nosotros en competencias estaban, y algunos aún están, por debajo de nosotros en niveles de renta. Por tanto es perfectamente posible tener mejores niveles de competencias de los que </w:t>
      </w:r>
      <w:r w:rsidR="002B206C">
        <w:rPr>
          <w:color w:val="FF0000"/>
          <w:u w:val="single"/>
        </w:rPr>
        <w:t>“</w:t>
      </w:r>
      <w:r w:rsidRPr="002B206C">
        <w:rPr>
          <w:rStyle w:val="nfasis"/>
          <w:rFonts w:eastAsiaTheme="majorEastAsia"/>
          <w:i w:val="0"/>
          <w:color w:val="FF0000"/>
          <w:u w:val="single"/>
        </w:rPr>
        <w:t>corresponden</w:t>
      </w:r>
      <w:r w:rsidR="002B206C">
        <w:rPr>
          <w:rStyle w:val="nfasis"/>
          <w:rFonts w:eastAsiaTheme="majorEastAsia"/>
          <w:i w:val="0"/>
          <w:color w:val="FF0000"/>
          <w:u w:val="single"/>
        </w:rPr>
        <w:t>”</w:t>
      </w:r>
      <w:r w:rsidRPr="002B206C">
        <w:rPr>
          <w:i/>
          <w:color w:val="FF0000"/>
          <w:u w:val="single"/>
        </w:rPr>
        <w:t xml:space="preserve"> </w:t>
      </w:r>
      <w:r w:rsidRPr="00EA75C1">
        <w:rPr>
          <w:color w:val="FF0000"/>
          <w:u w:val="single"/>
        </w:rPr>
        <w:t>por nivel de renta.</w:t>
      </w:r>
    </w:p>
    <w:p w:rsidR="00A14E12" w:rsidRDefault="00A14E12" w:rsidP="00550638">
      <w:pPr>
        <w:pStyle w:val="NormalWeb"/>
        <w:jc w:val="both"/>
      </w:pPr>
    </w:p>
    <w:p w:rsidR="00A14E12" w:rsidRPr="00A14E12" w:rsidRDefault="00A14E12" w:rsidP="00550638">
      <w:pPr>
        <w:pStyle w:val="NormalWeb"/>
        <w:jc w:val="both"/>
      </w:pPr>
    </w:p>
    <w:p w:rsidR="002C64B3" w:rsidRDefault="002C64B3" w:rsidP="00550638">
      <w:pPr>
        <w:pStyle w:val="NormalWeb"/>
        <w:jc w:val="both"/>
      </w:pPr>
      <w:r>
        <w:rPr>
          <w:noProof/>
          <w:color w:val="0000FF"/>
        </w:rPr>
        <w:lastRenderedPageBreak/>
        <w:drawing>
          <wp:inline distT="0" distB="0" distL="0" distR="0" wp14:anchorId="7AD2F812" wp14:editId="0A83CDD1">
            <wp:extent cx="5618072" cy="7205472"/>
            <wp:effectExtent l="0" t="0" r="1905" b="0"/>
            <wp:docPr id="59" name="Imagen 59" descr="PIAAC 1">
              <a:hlinkClick xmlns:a="http://schemas.openxmlformats.org/drawingml/2006/main" r:id="rId3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AAC 1">
                      <a:hlinkClick r:id="rId311"/>
                    </pic:cNvPr>
                    <pic:cNvPicPr>
                      <a:picLocks noChangeAspect="1" noChangeArrowheads="1"/>
                    </pic:cNvPicPr>
                  </pic:nvPicPr>
                  <pic:blipFill>
                    <a:blip r:embed="rId312">
                      <a:extLst>
                        <a:ext uri="{28A0092B-C50C-407E-A947-70E740481C1C}">
                          <a14:useLocalDpi xmlns:a14="http://schemas.microsoft.com/office/drawing/2010/main" val="0"/>
                        </a:ext>
                      </a:extLst>
                    </a:blip>
                    <a:srcRect/>
                    <a:stretch>
                      <a:fillRect/>
                    </a:stretch>
                  </pic:blipFill>
                  <pic:spPr bwMode="auto">
                    <a:xfrm>
                      <a:off x="0" y="0"/>
                      <a:ext cx="5618147" cy="7205568"/>
                    </a:xfrm>
                    <a:prstGeom prst="rect">
                      <a:avLst/>
                    </a:prstGeom>
                    <a:noFill/>
                    <a:ln>
                      <a:noFill/>
                    </a:ln>
                  </pic:spPr>
                </pic:pic>
              </a:graphicData>
            </a:graphic>
          </wp:inline>
        </w:drawing>
      </w:r>
    </w:p>
    <w:p w:rsidR="00A14E12" w:rsidRDefault="00A14E12" w:rsidP="00550638">
      <w:pPr>
        <w:pStyle w:val="NormalWeb"/>
        <w:jc w:val="both"/>
      </w:pPr>
    </w:p>
    <w:p w:rsidR="00A14E12" w:rsidRDefault="00A14E12" w:rsidP="00550638">
      <w:pPr>
        <w:pStyle w:val="NormalWeb"/>
        <w:jc w:val="both"/>
      </w:pPr>
    </w:p>
    <w:p w:rsidR="00A14E12" w:rsidRDefault="00A14E12" w:rsidP="00550638">
      <w:pPr>
        <w:pStyle w:val="NormalWeb"/>
        <w:jc w:val="both"/>
      </w:pPr>
    </w:p>
    <w:p w:rsidR="00A14E12" w:rsidRDefault="00A14E12" w:rsidP="00550638">
      <w:pPr>
        <w:pStyle w:val="NormalWeb"/>
        <w:jc w:val="both"/>
      </w:pPr>
    </w:p>
    <w:p w:rsidR="002C64B3" w:rsidRDefault="002C64B3" w:rsidP="00550638">
      <w:pPr>
        <w:pStyle w:val="NormalWeb"/>
        <w:jc w:val="both"/>
      </w:pPr>
      <w:r>
        <w:rPr>
          <w:noProof/>
          <w:color w:val="0000FF"/>
        </w:rPr>
        <w:lastRenderedPageBreak/>
        <w:drawing>
          <wp:inline distT="0" distB="0" distL="0" distR="0" wp14:anchorId="7D7B8764" wp14:editId="0705F793">
            <wp:extent cx="5581497" cy="6364224"/>
            <wp:effectExtent l="0" t="0" r="635" b="0"/>
            <wp:docPr id="58" name="Imagen 58" descr="PIAAC 2">
              <a:hlinkClick xmlns:a="http://schemas.openxmlformats.org/drawingml/2006/main" r:id="rId3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IAAC 2">
                      <a:hlinkClick r:id="rId313"/>
                    </pic:cNvPr>
                    <pic:cNvPicPr>
                      <a:picLocks noChangeAspect="1" noChangeArrowheads="1"/>
                    </pic:cNvPicPr>
                  </pic:nvPicPr>
                  <pic:blipFill>
                    <a:blip r:embed="rId314">
                      <a:extLst>
                        <a:ext uri="{28A0092B-C50C-407E-A947-70E740481C1C}">
                          <a14:useLocalDpi xmlns:a14="http://schemas.microsoft.com/office/drawing/2010/main" val="0"/>
                        </a:ext>
                      </a:extLst>
                    </a:blip>
                    <a:srcRect/>
                    <a:stretch>
                      <a:fillRect/>
                    </a:stretch>
                  </pic:blipFill>
                  <pic:spPr bwMode="auto">
                    <a:xfrm>
                      <a:off x="0" y="0"/>
                      <a:ext cx="5581688" cy="6364442"/>
                    </a:xfrm>
                    <a:prstGeom prst="rect">
                      <a:avLst/>
                    </a:prstGeom>
                    <a:noFill/>
                    <a:ln>
                      <a:noFill/>
                    </a:ln>
                  </pic:spPr>
                </pic:pic>
              </a:graphicData>
            </a:graphic>
          </wp:inline>
        </w:drawing>
      </w:r>
    </w:p>
    <w:p w:rsidR="002C64B3" w:rsidRPr="00EA75C1" w:rsidRDefault="002C64B3" w:rsidP="00550638">
      <w:pPr>
        <w:pStyle w:val="NormalWeb"/>
        <w:jc w:val="both"/>
        <w:rPr>
          <w:b/>
          <w:color w:val="FF0000"/>
          <w:u w:val="single"/>
        </w:rPr>
      </w:pPr>
      <w:r w:rsidRPr="00EA75C1">
        <w:rPr>
          <w:b/>
          <w:color w:val="FF0000"/>
          <w:u w:val="single"/>
        </w:rPr>
        <w:t>Además, la posición de España es particularmente mala entre los hijos de personas con niveles de educación superior. El siguiente gráfico ilustra los niveles de comprensión lectora y matemáticas entre las personas por niveles educativos de los padres. Como pueden comprobar los hijos de nuestros conciudadanos con bajo nivel de educación, no son los últimos de la tabla. Pero los hijos de personas con mayor nivel de educación sí que lo son. Esto también sucede en PISA, y no me canso de repetirlo, porque es la prueba más fuerte de que no podemos esperar que simplemente mejoraremos por aumentar nuestra renta y el nivel de educación formal de la población.</w:t>
      </w:r>
    </w:p>
    <w:p w:rsidR="002C64B3" w:rsidRDefault="002C64B3" w:rsidP="00550638">
      <w:pPr>
        <w:pStyle w:val="NormalWeb"/>
        <w:jc w:val="both"/>
      </w:pPr>
      <w:r>
        <w:rPr>
          <w:noProof/>
          <w:color w:val="0000FF"/>
        </w:rPr>
        <w:lastRenderedPageBreak/>
        <w:drawing>
          <wp:inline distT="0" distB="0" distL="0" distR="0" wp14:anchorId="0AF779C7" wp14:editId="530783AF">
            <wp:extent cx="5486400" cy="5735320"/>
            <wp:effectExtent l="0" t="0" r="0" b="0"/>
            <wp:docPr id="57" name="Imagen 57" descr="PIAAC 3">
              <a:hlinkClick xmlns:a="http://schemas.openxmlformats.org/drawingml/2006/main" r:id="rId3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IAAC 3">
                      <a:hlinkClick r:id="rId315"/>
                    </pic:cNvPr>
                    <pic:cNvPicPr>
                      <a:picLocks noChangeAspect="1" noChangeArrowheads="1"/>
                    </pic:cNvPicPr>
                  </pic:nvPicPr>
                  <pic:blipFill>
                    <a:blip r:embed="rId316">
                      <a:extLst>
                        <a:ext uri="{28A0092B-C50C-407E-A947-70E740481C1C}">
                          <a14:useLocalDpi xmlns:a14="http://schemas.microsoft.com/office/drawing/2010/main" val="0"/>
                        </a:ext>
                      </a:extLst>
                    </a:blip>
                    <a:srcRect/>
                    <a:stretch>
                      <a:fillRect/>
                    </a:stretch>
                  </pic:blipFill>
                  <pic:spPr bwMode="auto">
                    <a:xfrm>
                      <a:off x="0" y="0"/>
                      <a:ext cx="5486400" cy="5735320"/>
                    </a:xfrm>
                    <a:prstGeom prst="rect">
                      <a:avLst/>
                    </a:prstGeom>
                    <a:noFill/>
                    <a:ln>
                      <a:noFill/>
                    </a:ln>
                  </pic:spPr>
                </pic:pic>
              </a:graphicData>
            </a:graphic>
          </wp:inline>
        </w:drawing>
      </w:r>
    </w:p>
    <w:p w:rsidR="002C64B3" w:rsidRPr="00EA75C1" w:rsidRDefault="002C64B3" w:rsidP="00550638">
      <w:pPr>
        <w:pStyle w:val="NormalWeb"/>
        <w:jc w:val="both"/>
        <w:rPr>
          <w:u w:val="single"/>
        </w:rPr>
      </w:pPr>
      <w:r w:rsidRPr="00EA75C1">
        <w:rPr>
          <w:u w:val="single"/>
        </w:rPr>
        <w:t>Y recuerden que algunas estimaciones sugieren que una mejora de los resultados de PISA en 50 puntos (los que separan a España de Corea) dar lugar a un punto porcentual extra de crecimiento anual. Tal como están las cosas no me parece que la estrategia conformista de dejar todo ese dinero encima de la mesa porque la educación se arregla esperando a que España sea mágicamente más rica sea muy inteligente. Al que lo defienda, lo suspendemos ya (y si es político, prometo no votarle nunca).</w:t>
      </w:r>
    </w:p>
    <w:p w:rsidR="002C64B3" w:rsidRPr="00A14E12" w:rsidRDefault="002C64B3" w:rsidP="00550638">
      <w:pPr>
        <w:pStyle w:val="NormalWeb"/>
        <w:jc w:val="both"/>
      </w:pPr>
      <w:r>
        <w:t xml:space="preserve">Si lo único que aprendiéramos de los datos fuera esto, la verdad es que no sé si valdría la pena el esfuerzo. Pero vamos a saber más cosas. En las próximas semanas (empezando mañana mismo) iremos dejándoles resúmenes detallados de los estudios disponibles en el </w:t>
      </w:r>
      <w:hyperlink r:id="rId317" w:history="1">
        <w:r w:rsidRPr="00A14E12">
          <w:rPr>
            <w:rStyle w:val="Hipervnculo"/>
            <w:rFonts w:eastAsiaTheme="majorEastAsia"/>
            <w:color w:val="auto"/>
          </w:rPr>
          <w:t>volumen 2 del informe nacional</w:t>
        </w:r>
      </w:hyperlink>
      <w:r w:rsidRPr="00A14E12">
        <w:t xml:space="preserve">. Para que vayan abriendo boca les describo brevemente algunos ejemplos. El primer capítulo, en el que trabajé con Juan Dolado y Ricardo Mora (bueno, trabajaron sobre todo ellos), habla de la relación entre dualidad laboral, competencias y formación ocupacional. El capítulo 4, de Juan Jimeno, Aitor Lacuesta y Ernesto Villanueva, versa sobre la relación entre capacidades cognitivas, experiencia laboral y salarios. El capítulo 7, de José Antonio Robles, sobre </w:t>
      </w:r>
      <w:r w:rsidRPr="00A14E12">
        <w:lastRenderedPageBreak/>
        <w:t xml:space="preserve">el efecto de la LOGSE en las capacidades cognitivas, y es bastante complementario con algo que han escrito </w:t>
      </w:r>
      <w:hyperlink r:id="rId318" w:history="1">
        <w:r w:rsidRPr="00A14E12">
          <w:rPr>
            <w:rStyle w:val="Hipervnculo"/>
            <w:rFonts w:eastAsiaTheme="majorEastAsia"/>
            <w:color w:val="auto"/>
          </w:rPr>
          <w:t>Floren, María Gutiérrez y Sergi</w:t>
        </w:r>
      </w:hyperlink>
      <w:r w:rsidRPr="00A14E12">
        <w:t xml:space="preserve"> y de lo que ya hemos </w:t>
      </w:r>
      <w:hyperlink r:id="rId319" w:history="1">
        <w:r w:rsidRPr="00A14E12">
          <w:rPr>
            <w:rStyle w:val="Hipervnculo"/>
            <w:rFonts w:eastAsiaTheme="majorEastAsia"/>
            <w:color w:val="auto"/>
          </w:rPr>
          <w:t>hablado por aquí</w:t>
        </w:r>
      </w:hyperlink>
      <w:r w:rsidRPr="00A14E12">
        <w:t>. El capítulo 8, sobre edad y conocimientos matemáticos, lo comentará Antonio Villar aquí mañana.</w:t>
      </w:r>
    </w:p>
    <w:p w:rsidR="002C64B3" w:rsidRPr="00A14E12" w:rsidRDefault="002C64B3" w:rsidP="00550638">
      <w:pPr>
        <w:pStyle w:val="NormalWeb"/>
        <w:jc w:val="both"/>
      </w:pPr>
      <w:r w:rsidRPr="00A14E12">
        <w:t xml:space="preserve">En fin, espero que disfruten de la serie, y para los más jóvenes y activos, los datos están disponibles </w:t>
      </w:r>
      <w:hyperlink r:id="rId320" w:history="1">
        <w:r w:rsidRPr="00A14E12">
          <w:rPr>
            <w:rStyle w:val="Hipervnculo"/>
            <w:rFonts w:eastAsiaTheme="majorEastAsia"/>
            <w:color w:val="auto"/>
          </w:rPr>
          <w:t>fácilmente y de manera pública</w:t>
        </w:r>
      </w:hyperlink>
      <w:r w:rsidRPr="00A14E12">
        <w:t xml:space="preserve">. Nos encantaría ver más análisis de este importante </w:t>
      </w:r>
    </w:p>
    <w:p w:rsidR="002C64B3" w:rsidRPr="00B151D6" w:rsidRDefault="002C64B3" w:rsidP="00550638">
      <w:pPr>
        <w:pStyle w:val="Ttulo1"/>
        <w:spacing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B151D6">
        <w:rPr>
          <w:rFonts w:ascii="Times New Roman" w:hAnsi="Times New Roman" w:cs="Times New Roman"/>
          <w:b w:val="0"/>
          <w:color w:val="auto"/>
          <w:sz w:val="24"/>
          <w:szCs w:val="24"/>
          <w:u w:val="single"/>
        </w:rPr>
        <w:t>¿Son nuestros jóvenes “la generación mejor preparada de la historia”?</w:t>
      </w:r>
      <w:r>
        <w:rPr>
          <w:rFonts w:ascii="Times New Roman" w:hAnsi="Times New Roman" w:cs="Times New Roman"/>
          <w:b w:val="0"/>
          <w:color w:val="auto"/>
          <w:sz w:val="24"/>
          <w:szCs w:val="24"/>
        </w:rPr>
        <w:t xml:space="preserve"> (Fedea - </w:t>
      </w:r>
      <w:r w:rsidRPr="00B151D6">
        <w:rPr>
          <w:rFonts w:ascii="Times New Roman" w:hAnsi="Times New Roman" w:cs="Times New Roman"/>
          <w:color w:val="auto"/>
          <w:sz w:val="24"/>
          <w:szCs w:val="24"/>
        </w:rPr>
        <w:t>14/10/13</w:t>
      </w:r>
      <w:r>
        <w:rPr>
          <w:rFonts w:ascii="Times New Roman" w:hAnsi="Times New Roman" w:cs="Times New Roman"/>
          <w:b w:val="0"/>
          <w:color w:val="auto"/>
          <w:sz w:val="24"/>
          <w:szCs w:val="24"/>
        </w:rPr>
        <w:t>)</w:t>
      </w:r>
    </w:p>
    <w:p w:rsidR="002C64B3" w:rsidRPr="00A14E12" w:rsidRDefault="002C64B3" w:rsidP="00550638">
      <w:pPr>
        <w:pStyle w:val="NormalWeb"/>
        <w:jc w:val="both"/>
        <w:rPr>
          <w:b/>
        </w:rPr>
      </w:pPr>
      <w:r w:rsidRPr="00A14E12">
        <w:rPr>
          <w:rStyle w:val="Textoennegrita"/>
          <w:b w:val="0"/>
        </w:rPr>
        <w:t>(Por</w:t>
      </w:r>
      <w:r w:rsidRPr="00A14E12">
        <w:rPr>
          <w:rStyle w:val="Textoennegrita"/>
        </w:rPr>
        <w:t xml:space="preserve"> </w:t>
      </w:r>
      <w:hyperlink r:id="rId321" w:history="1">
        <w:r w:rsidRPr="00A14E12">
          <w:rPr>
            <w:rStyle w:val="Hipervnculo"/>
            <w:rFonts w:eastAsiaTheme="majorEastAsia"/>
            <w:color w:val="auto"/>
            <w:u w:val="none"/>
          </w:rPr>
          <w:t>Antonio Villar</w:t>
        </w:r>
      </w:hyperlink>
      <w:r w:rsidRPr="00A14E12">
        <w:rPr>
          <w:rStyle w:val="Textoennegrita"/>
          <w:b w:val="0"/>
        </w:rPr>
        <w:t>)</w:t>
      </w:r>
      <w:r w:rsidR="00997677">
        <w:rPr>
          <w:rStyle w:val="Textoennegrita"/>
          <w:b w:val="0"/>
        </w:rPr>
        <w:t xml:space="preserve">                                                                          Lectura recomendada</w:t>
      </w:r>
    </w:p>
    <w:p w:rsidR="002C64B3" w:rsidRPr="0014587E" w:rsidRDefault="002C64B3" w:rsidP="00550638">
      <w:pPr>
        <w:pStyle w:val="NormalWeb"/>
        <w:jc w:val="both"/>
        <w:rPr>
          <w:color w:val="FF0000"/>
          <w:u w:val="single"/>
        </w:rPr>
      </w:pPr>
      <w:r w:rsidRPr="0014587E">
        <w:rPr>
          <w:color w:val="FF0000"/>
          <w:u w:val="single"/>
        </w:rPr>
        <w:t>Que nuestros jóvenes constituyen “la generación mejor preparada de la historia” parece ser una de esas verdades incuestionables con la que nos hemos acostumbrado a convivir. Lo cierto es que hay datos objetivos que avalan esta afirmación: se trata de la generación que ha disfrutado de un proceso formativo más largo (más años medios de estudio) y que presenta la mayor proporción de titulados universitarios. Así y todo, yo nunca he terminado de sentirme cómodo con lo incontrovertible de esta afirmación. Por una parte, porque sabemos que habilidades y educación formal no son equivalentes aunque estén muy relacionadas. Por otra, porque la situación laboral afecta a la adquisición de nuevas habilidades y a la preservación de las adquiridas, de modo que los altos niveles de desempleo de nuestros jóvenes pueden resultar en una rápida destrucción del capital humano acumulado. Y a ello debo añadir, aunque no sea estadísticamente significativo, que mi experiencia personal como docente universitario no alienta la idea de que cualquier tiempo pasado fue peor.</w:t>
      </w:r>
    </w:p>
    <w:p w:rsidR="00997677" w:rsidRPr="00B151D6" w:rsidRDefault="002C64B3" w:rsidP="00550638">
      <w:pPr>
        <w:pStyle w:val="NormalWeb"/>
        <w:jc w:val="both"/>
      </w:pPr>
      <w:r w:rsidRPr="0014587E">
        <w:rPr>
          <w:u w:val="single"/>
        </w:rPr>
        <w:t xml:space="preserve">Valoraciones subjetivas al margen, el </w:t>
      </w:r>
      <w:hyperlink r:id="rId322" w:history="1">
        <w:r w:rsidRPr="00997677">
          <w:rPr>
            <w:rStyle w:val="Hipervnculo"/>
            <w:rFonts w:eastAsiaTheme="majorEastAsia"/>
            <w:color w:val="auto"/>
          </w:rPr>
          <w:t>reciente informe PIAAC</w:t>
        </w:r>
      </w:hyperlink>
      <w:r w:rsidRPr="0014587E">
        <w:rPr>
          <w:u w:val="single"/>
        </w:rPr>
        <w:t> (el PISA para adultos) nos da una oportunidad de discutir con datos esta verdad cuasi-evangélica</w:t>
      </w:r>
      <w:r w:rsidRPr="00B151D6">
        <w:t>. Me gustaría dedicar esta entrada del blog a poner algunos números al valor del capital humano de las distintas cohortes, tomando como referencia los resultados en matemáticas de este informe.</w:t>
      </w:r>
    </w:p>
    <w:p w:rsidR="002C64B3" w:rsidRPr="00997677" w:rsidRDefault="002C64B3" w:rsidP="00550638">
      <w:pPr>
        <w:pStyle w:val="NormalWeb"/>
        <w:jc w:val="both"/>
        <w:rPr>
          <w:b/>
        </w:rPr>
      </w:pPr>
      <w:r w:rsidRPr="00997677">
        <w:rPr>
          <w:rStyle w:val="Textoennegrita"/>
          <w:b w:val="0"/>
        </w:rPr>
        <w:t>El PIAAC</w:t>
      </w:r>
    </w:p>
    <w:p w:rsidR="002C64B3" w:rsidRPr="00B151D6" w:rsidRDefault="002C64B3" w:rsidP="00550638">
      <w:pPr>
        <w:pStyle w:val="NormalWeb"/>
        <w:jc w:val="both"/>
      </w:pPr>
      <w:r w:rsidRPr="0014587E">
        <w:rPr>
          <w:u w:val="single"/>
        </w:rPr>
        <w:t xml:space="preserve">El </w:t>
      </w:r>
      <w:r w:rsidRPr="0014587E">
        <w:rPr>
          <w:rStyle w:val="nfasis"/>
          <w:rFonts w:eastAsiaTheme="majorEastAsia"/>
          <w:u w:val="single"/>
        </w:rPr>
        <w:t>Programa Internacional para la Evaluación de la Competencia de los Adultos</w:t>
      </w:r>
      <w:r w:rsidRPr="0014587E">
        <w:rPr>
          <w:u w:val="single"/>
        </w:rPr>
        <w:t xml:space="preserve"> (PIAAC en sus siglas en inglés), coordinado por la OCDE, es un nuevo paso en la generación de datos comparables internacionalmente sobre los conocimientos y habilidades de la población en un amplio conjunto de países.</w:t>
      </w:r>
      <w:r w:rsidRPr="00B151D6">
        <w:t xml:space="preserve"> En este caso se presenta un estudio de corte transversal en el que se analizan las habilidades en los ámbitos de </w:t>
      </w:r>
      <w:r w:rsidR="009564C3">
        <w:t>“</w:t>
      </w:r>
      <w:r w:rsidRPr="009564C3">
        <w:rPr>
          <w:rStyle w:val="nfasis"/>
          <w:rFonts w:eastAsiaTheme="majorEastAsia"/>
          <w:i w:val="0"/>
        </w:rPr>
        <w:t>comprensión lectora y matemáticas</w:t>
      </w:r>
      <w:r w:rsidR="009564C3">
        <w:rPr>
          <w:rStyle w:val="nfasis"/>
          <w:rFonts w:eastAsiaTheme="majorEastAsia"/>
          <w:i w:val="0"/>
        </w:rPr>
        <w:t>”</w:t>
      </w:r>
      <w:r w:rsidRPr="00B151D6">
        <w:t xml:space="preserve"> para la población adulta (entre 16 y 65 años). Veintitrés países han participado en esta primera oleada y algunos más se incorporarán en los próximos años. La evaluación de las habilidades se realiza mediante cuestionarios y las valoraciones se miden en una escala de 0 a 500 puntos.</w:t>
      </w:r>
    </w:p>
    <w:p w:rsidR="002C64B3" w:rsidRPr="0014587E" w:rsidRDefault="002C64B3" w:rsidP="00550638">
      <w:pPr>
        <w:pStyle w:val="NormalWeb"/>
        <w:jc w:val="both"/>
        <w:rPr>
          <w:u w:val="single"/>
        </w:rPr>
      </w:pPr>
      <w:r w:rsidRPr="0014587E">
        <w:rPr>
          <w:u w:val="single"/>
        </w:rPr>
        <w:t xml:space="preserve">La idea que hay detrás de esta nueva base de datos es la de facilitar la comprensión de la relación entre formación, adquisición de habilidades cognitivas y envejecimiento de la población, por el papel tan relevante que estos aspectos juegan en la realización </w:t>
      </w:r>
      <w:r w:rsidRPr="0014587E">
        <w:rPr>
          <w:u w:val="single"/>
        </w:rPr>
        <w:lastRenderedPageBreak/>
        <w:t>personal, la acumulación de capital humano, la dinámica del mercado laboral y el desarrollo de las sociedades.</w:t>
      </w:r>
    </w:p>
    <w:p w:rsidR="002C64B3" w:rsidRPr="00997677" w:rsidRDefault="002C64B3" w:rsidP="00550638">
      <w:pPr>
        <w:pStyle w:val="NormalWeb"/>
        <w:jc w:val="both"/>
        <w:rPr>
          <w:b/>
        </w:rPr>
      </w:pPr>
      <w:r w:rsidRPr="00997677">
        <w:rPr>
          <w:rStyle w:val="Textoennegrita"/>
          <w:b w:val="0"/>
        </w:rPr>
        <w:t>La valoración del conocimiento de las diferentes generaciones</w:t>
      </w:r>
    </w:p>
    <w:p w:rsidR="002C64B3" w:rsidRPr="00B151D6" w:rsidRDefault="002C64B3" w:rsidP="00550638">
      <w:pPr>
        <w:pStyle w:val="NormalWeb"/>
        <w:jc w:val="both"/>
      </w:pPr>
      <w:r w:rsidRPr="0014587E">
        <w:rPr>
          <w:u w:val="single"/>
        </w:rPr>
        <w:t xml:space="preserve">En este </w:t>
      </w:r>
      <w:hyperlink r:id="rId323" w:history="1">
        <w:r w:rsidRPr="00997677">
          <w:rPr>
            <w:rStyle w:val="Hipervnculo"/>
            <w:rFonts w:eastAsiaTheme="majorEastAsia"/>
            <w:color w:val="auto"/>
          </w:rPr>
          <w:t>trabajo</w:t>
        </w:r>
      </w:hyperlink>
      <w:r w:rsidRPr="0014587E">
        <w:rPr>
          <w:u w:val="single"/>
        </w:rPr>
        <w:t xml:space="preserve"> he realizado una comparación intergeneracional de las habilidades cognitivas de la población española en el ámbito de las matemáticas a partir de los datos de PIAAC. El elemento novedoso del análisis es el uso de las distribuciones completas de la población de las diferentes cohortes en los cinco niveles de competencia que define el PIAAC</w:t>
      </w:r>
      <w:r w:rsidRPr="00B151D6">
        <w:t>. Se trata pues de una valoración que va más allá de la mera comparación de las medias de los test de las pruebas PIAAC, explotando la información contenida en la versión simplificada de la densidad que proporciona la distribución de las cohortes por niveles de competencia. La valoración de cada grupo (cohorte según grado formativo) es una medida de la probabilidad de que este grupo “domine” a los demás, en el sentido de que un individuo elegido al azar pertenezca a un nivel de competencia superior al de cualquier otro individuo elegido al aza</w:t>
      </w:r>
      <w:r w:rsidR="00997677">
        <w:t>r entre los demás grupos</w:t>
      </w:r>
      <w:r w:rsidRPr="00B151D6">
        <w:t>. La valoración así obtenida difiere sustancialmente de la comparación de los valores medios del test.</w:t>
      </w:r>
    </w:p>
    <w:p w:rsidR="002C64B3" w:rsidRPr="00997677" w:rsidRDefault="002C64B3" w:rsidP="00550638">
      <w:pPr>
        <w:pStyle w:val="NormalWeb"/>
        <w:jc w:val="both"/>
        <w:rPr>
          <w:b/>
        </w:rPr>
      </w:pPr>
      <w:r w:rsidRPr="00997677">
        <w:rPr>
          <w:rStyle w:val="Textoennegrita"/>
          <w:b w:val="0"/>
        </w:rPr>
        <w:t>Evaluación de las cohortes por grado formativo</w:t>
      </w:r>
    </w:p>
    <w:p w:rsidR="002C64B3" w:rsidRPr="00B151D6" w:rsidRDefault="002C64B3" w:rsidP="00550638">
      <w:pPr>
        <w:pStyle w:val="NormalWeb"/>
        <w:jc w:val="both"/>
      </w:pPr>
      <w:r w:rsidRPr="00B151D6">
        <w:t>El Gráfico 1 describe la valoración de las distintas cohortes según el grado formativo alcanzado, tomando como unidad el valor de las habilidades cognitivas de la cohorte más joven con estudios obligatorios.</w:t>
      </w:r>
    </w:p>
    <w:p w:rsidR="002C64B3" w:rsidRPr="00B151D6" w:rsidRDefault="002C64B3" w:rsidP="00550638">
      <w:pPr>
        <w:pStyle w:val="NormalWeb"/>
        <w:jc w:val="both"/>
      </w:pPr>
      <w:r w:rsidRPr="00B151D6">
        <w:t>De la inspección del gráfico podemos deducir que:</w:t>
      </w:r>
    </w:p>
    <w:p w:rsidR="002C64B3" w:rsidRDefault="002C64B3" w:rsidP="00550638">
      <w:pPr>
        <w:pStyle w:val="NormalWeb"/>
        <w:jc w:val="both"/>
      </w:pPr>
      <w:r w:rsidRPr="00B151D6">
        <w:t>- Dentro de cada cohorte el grupo con educación universitaria tiene una valoración muy superior al grupo con educación media y este último una valoración claramente mayor que la del grupo con estudios obligatorios.</w:t>
      </w:r>
    </w:p>
    <w:p w:rsidR="002C64B3" w:rsidRDefault="002C64B3" w:rsidP="00550638">
      <w:pPr>
        <w:pStyle w:val="NormalWeb"/>
        <w:jc w:val="both"/>
      </w:pPr>
      <w:r w:rsidRPr="00B151D6">
        <w:t>- Los grupos con educación universitaria dominan a todos los demás, excepto el grupo de más edad con respecto a los más jóvenes con educación secundaria.</w:t>
      </w:r>
    </w:p>
    <w:p w:rsidR="002C64B3" w:rsidRPr="00B151D6" w:rsidRDefault="002C64B3" w:rsidP="00550638">
      <w:pPr>
        <w:pStyle w:val="NormalWeb"/>
        <w:jc w:val="both"/>
      </w:pPr>
      <w:r w:rsidRPr="00B151D6">
        <w:t>- La valoración de cada uno de los grados formativos tiende a decrecer con la edad. La diferencia entre la cohorte más joven y la de mayor edad es muy grande, pero el decrecimiento no es uniforme.</w:t>
      </w:r>
    </w:p>
    <w:p w:rsidR="002C64B3" w:rsidRPr="00B151D6" w:rsidRDefault="002C64B3" w:rsidP="00550638">
      <w:pPr>
        <w:numPr>
          <w:ilvl w:val="0"/>
          <w:numId w:val="38"/>
        </w:numPr>
        <w:spacing w:before="100" w:beforeAutospacing="1" w:after="100" w:afterAutospacing="1" w:line="240" w:lineRule="auto"/>
        <w:jc w:val="both"/>
        <w:rPr>
          <w:rFonts w:ascii="Times New Roman" w:hAnsi="Times New Roman" w:cs="Times New Roman"/>
          <w:sz w:val="24"/>
          <w:szCs w:val="24"/>
        </w:rPr>
      </w:pPr>
      <w:r w:rsidRPr="00B151D6">
        <w:rPr>
          <w:rFonts w:ascii="Times New Roman" w:hAnsi="Times New Roman" w:cs="Times New Roman"/>
          <w:sz w:val="24"/>
          <w:szCs w:val="24"/>
        </w:rPr>
        <w:t>La valoración de los grupos con educación obligatoria presenta una reducción monótonamente decreciente con la edad.</w:t>
      </w:r>
    </w:p>
    <w:p w:rsidR="002C64B3" w:rsidRDefault="002C64B3" w:rsidP="00550638">
      <w:pPr>
        <w:numPr>
          <w:ilvl w:val="0"/>
          <w:numId w:val="38"/>
        </w:numPr>
        <w:spacing w:before="100" w:beforeAutospacing="1" w:after="100" w:afterAutospacing="1" w:line="240" w:lineRule="auto"/>
        <w:jc w:val="both"/>
        <w:rPr>
          <w:rFonts w:ascii="Times New Roman" w:hAnsi="Times New Roman" w:cs="Times New Roman"/>
          <w:sz w:val="24"/>
          <w:szCs w:val="24"/>
        </w:rPr>
      </w:pPr>
      <w:r w:rsidRPr="00B151D6">
        <w:rPr>
          <w:rFonts w:ascii="Times New Roman" w:hAnsi="Times New Roman" w:cs="Times New Roman"/>
          <w:sz w:val="24"/>
          <w:szCs w:val="24"/>
        </w:rPr>
        <w:t>La valoración de los grupos con educación secundaria cae de forma sustantiva de la primera a la segunda cohorte para luego recuperarse ligeramente y después caer de forma moderada.</w:t>
      </w:r>
    </w:p>
    <w:p w:rsidR="002C64B3" w:rsidRDefault="002C64B3" w:rsidP="00550638">
      <w:pPr>
        <w:numPr>
          <w:ilvl w:val="0"/>
          <w:numId w:val="38"/>
        </w:numPr>
        <w:spacing w:before="100" w:beforeAutospacing="1" w:after="100" w:afterAutospacing="1" w:line="240" w:lineRule="auto"/>
        <w:jc w:val="both"/>
        <w:rPr>
          <w:rFonts w:ascii="Times New Roman" w:hAnsi="Times New Roman" w:cs="Times New Roman"/>
          <w:sz w:val="24"/>
          <w:szCs w:val="24"/>
        </w:rPr>
      </w:pPr>
      <w:r w:rsidRPr="00B151D6">
        <w:rPr>
          <w:rFonts w:ascii="Times New Roman" w:hAnsi="Times New Roman" w:cs="Times New Roman"/>
          <w:sz w:val="24"/>
          <w:szCs w:val="24"/>
        </w:rPr>
        <w:t>La valoración de los grupos con formación universitaria presenta un perfil ligeramente creciente para las tres primeras cohortes, para caer en la cuarta y de forma muy destacada en la última.</w:t>
      </w:r>
    </w:p>
    <w:p w:rsidR="00C730C3" w:rsidRDefault="00C730C3" w:rsidP="00C730C3">
      <w:pPr>
        <w:spacing w:before="100" w:beforeAutospacing="1" w:after="100" w:afterAutospacing="1" w:line="240" w:lineRule="auto"/>
        <w:jc w:val="both"/>
        <w:rPr>
          <w:rFonts w:ascii="Times New Roman" w:hAnsi="Times New Roman" w:cs="Times New Roman"/>
          <w:sz w:val="24"/>
          <w:szCs w:val="24"/>
        </w:rPr>
      </w:pPr>
    </w:p>
    <w:p w:rsidR="00C730C3" w:rsidRPr="00B151D6" w:rsidRDefault="00C730C3" w:rsidP="00C730C3">
      <w:pPr>
        <w:spacing w:before="100" w:beforeAutospacing="1" w:after="100" w:afterAutospacing="1" w:line="240" w:lineRule="auto"/>
        <w:jc w:val="both"/>
        <w:rPr>
          <w:rFonts w:ascii="Times New Roman" w:hAnsi="Times New Roman" w:cs="Times New Roman"/>
          <w:sz w:val="24"/>
          <w:szCs w:val="24"/>
        </w:rPr>
      </w:pPr>
    </w:p>
    <w:p w:rsidR="002C64B3" w:rsidRDefault="002C64B3" w:rsidP="00550638">
      <w:pPr>
        <w:pStyle w:val="NormalWeb"/>
        <w:jc w:val="both"/>
        <w:rPr>
          <w:rStyle w:val="Textoennegrita"/>
        </w:rPr>
      </w:pPr>
      <w:r w:rsidRPr="00B151D6">
        <w:rPr>
          <w:rStyle w:val="Textoennegrita"/>
        </w:rPr>
        <w:lastRenderedPageBreak/>
        <w:t>Gráfico 1.- Valoración de las cohortes por grados formativos</w:t>
      </w:r>
    </w:p>
    <w:p w:rsidR="002C64B3" w:rsidRPr="00B151D6" w:rsidRDefault="002C64B3" w:rsidP="00550638">
      <w:pPr>
        <w:pStyle w:val="NormalWeb"/>
        <w:jc w:val="both"/>
      </w:pPr>
      <w:r w:rsidRPr="00B151D6">
        <w:br/>
      </w:r>
      <w:r w:rsidR="00997677">
        <w:t xml:space="preserve">                       </w:t>
      </w:r>
      <w:r w:rsidRPr="00B151D6">
        <w:rPr>
          <w:noProof/>
          <w:color w:val="0000FF"/>
        </w:rPr>
        <w:drawing>
          <wp:inline distT="0" distB="0" distL="0" distR="0" wp14:anchorId="6253B9D9" wp14:editId="410D9B8A">
            <wp:extent cx="3606165" cy="1791970"/>
            <wp:effectExtent l="0" t="0" r="0" b="0"/>
            <wp:docPr id="60" name="Imagen 60" descr="nadaesg1">
              <a:hlinkClick xmlns:a="http://schemas.openxmlformats.org/drawingml/2006/main" r:id="rId3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adaesg1">
                      <a:hlinkClick r:id="rId324"/>
                    </pic:cNvPr>
                    <pic:cNvPicPr>
                      <a:picLocks noChangeAspect="1" noChangeArrowheads="1"/>
                    </pic:cNvPicPr>
                  </pic:nvPicPr>
                  <pic:blipFill>
                    <a:blip r:embed="rId325">
                      <a:extLst>
                        <a:ext uri="{28A0092B-C50C-407E-A947-70E740481C1C}">
                          <a14:useLocalDpi xmlns:a14="http://schemas.microsoft.com/office/drawing/2010/main" val="0"/>
                        </a:ext>
                      </a:extLst>
                    </a:blip>
                    <a:srcRect/>
                    <a:stretch>
                      <a:fillRect/>
                    </a:stretch>
                  </pic:blipFill>
                  <pic:spPr bwMode="auto">
                    <a:xfrm>
                      <a:off x="0" y="0"/>
                      <a:ext cx="3606165" cy="1791970"/>
                    </a:xfrm>
                    <a:prstGeom prst="rect">
                      <a:avLst/>
                    </a:prstGeom>
                    <a:noFill/>
                    <a:ln>
                      <a:noFill/>
                    </a:ln>
                  </pic:spPr>
                </pic:pic>
              </a:graphicData>
            </a:graphic>
          </wp:inline>
        </w:drawing>
      </w:r>
    </w:p>
    <w:p w:rsidR="002C64B3" w:rsidRPr="00B151D6" w:rsidRDefault="002C64B3" w:rsidP="00550638">
      <w:pPr>
        <w:pStyle w:val="NormalWeb"/>
        <w:jc w:val="both"/>
      </w:pPr>
      <w:r w:rsidRPr="00B151D6">
        <w:t>Como se observa en el Cuadro 1, esta valoración de las cohortes difiere mucho cuantitativamente de la que resultaría de asociar a cada cohorte y grupo formativo el valor medio del test de las pruebas PIACC. La razón de esta discrepancia en las magnitudes estriba en el efecto que tiene sobre la valoración la diferente distribución de las cohortes por grado formativo en los distintos niveles de competencia (véase Cuadro 2 del trabajo de referencia).</w:t>
      </w:r>
    </w:p>
    <w:p w:rsidR="002C64B3" w:rsidRPr="00B151D6" w:rsidRDefault="002C64B3" w:rsidP="00550638">
      <w:pPr>
        <w:pStyle w:val="NormalWeb"/>
        <w:jc w:val="both"/>
      </w:pPr>
      <w:r w:rsidRPr="00B151D6">
        <w:rPr>
          <w:rStyle w:val="Textoennegrita"/>
        </w:rPr>
        <w:t>Cuadro 1: Valoración de las cohortes por grados formativos y valores medios (normalizados) de los test</w:t>
      </w:r>
    </w:p>
    <w:tbl>
      <w:tblPr>
        <w:tblW w:w="5895" w:type="dxa"/>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83"/>
        <w:gridCol w:w="1005"/>
        <w:gridCol w:w="1005"/>
        <w:gridCol w:w="1005"/>
        <w:gridCol w:w="1005"/>
        <w:gridCol w:w="1005"/>
      </w:tblGrid>
      <w:tr w:rsidR="002C64B3" w:rsidRPr="00B151D6" w:rsidTr="003E7174">
        <w:trPr>
          <w:tblCellSpacing w:w="0" w:type="dxa"/>
        </w:trPr>
        <w:tc>
          <w:tcPr>
            <w:tcW w:w="1020"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spacing w:line="240" w:lineRule="auto"/>
              <w:jc w:val="both"/>
              <w:rPr>
                <w:rFonts w:ascii="Times New Roman" w:hAnsi="Times New Roman" w:cs="Times New Roman"/>
                <w:sz w:val="24"/>
                <w:szCs w:val="24"/>
              </w:rPr>
            </w:pPr>
            <w:r w:rsidRPr="00B151D6">
              <w:rPr>
                <w:rFonts w:ascii="Times New Roman" w:hAnsi="Times New Roman" w:cs="Times New Roman"/>
                <w:b/>
                <w:bCs/>
                <w:i/>
                <w:iCs/>
                <w:sz w:val="24"/>
                <w:szCs w:val="24"/>
              </w:rPr>
              <w:t>Educación</w:t>
            </w:r>
          </w:p>
        </w:tc>
        <w:tc>
          <w:tcPr>
            <w:tcW w:w="4875" w:type="dxa"/>
            <w:gridSpan w:val="5"/>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pStyle w:val="NormalWeb"/>
              <w:jc w:val="both"/>
            </w:pPr>
            <w:r w:rsidRPr="00B151D6">
              <w:rPr>
                <w:b/>
                <w:bCs/>
                <w:i/>
                <w:iCs/>
              </w:rPr>
              <w:t>Cohortes</w:t>
            </w:r>
          </w:p>
        </w:tc>
      </w:tr>
      <w:tr w:rsidR="002C64B3" w:rsidRPr="00B151D6" w:rsidTr="003E7174">
        <w:trPr>
          <w:tblCellSpacing w:w="0" w:type="dxa"/>
        </w:trPr>
        <w:tc>
          <w:tcPr>
            <w:tcW w:w="1020"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spacing w:line="240" w:lineRule="auto"/>
              <w:jc w:val="both"/>
              <w:rPr>
                <w:rFonts w:ascii="Times New Roman" w:hAnsi="Times New Roman" w:cs="Times New Roman"/>
                <w:sz w:val="24"/>
                <w:szCs w:val="24"/>
              </w:rPr>
            </w:pPr>
          </w:p>
        </w:tc>
        <w:tc>
          <w:tcPr>
            <w:tcW w:w="975"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pStyle w:val="NormalWeb"/>
              <w:jc w:val="both"/>
            </w:pPr>
            <w:r w:rsidRPr="00B151D6">
              <w:t>24 o menos</w:t>
            </w:r>
          </w:p>
        </w:tc>
        <w:tc>
          <w:tcPr>
            <w:tcW w:w="975"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pStyle w:val="NormalWeb"/>
              <w:jc w:val="both"/>
            </w:pPr>
            <w:r w:rsidRPr="00B151D6">
              <w:t>25-34</w:t>
            </w:r>
          </w:p>
        </w:tc>
        <w:tc>
          <w:tcPr>
            <w:tcW w:w="975"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pStyle w:val="NormalWeb"/>
              <w:jc w:val="both"/>
            </w:pPr>
            <w:r w:rsidRPr="00B151D6">
              <w:t>35-44</w:t>
            </w:r>
          </w:p>
        </w:tc>
        <w:tc>
          <w:tcPr>
            <w:tcW w:w="975"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pStyle w:val="NormalWeb"/>
              <w:jc w:val="both"/>
            </w:pPr>
            <w:r w:rsidRPr="00B151D6">
              <w:t>45-54</w:t>
            </w:r>
          </w:p>
        </w:tc>
        <w:tc>
          <w:tcPr>
            <w:tcW w:w="975"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pStyle w:val="NormalWeb"/>
              <w:jc w:val="both"/>
            </w:pPr>
            <w:r w:rsidRPr="00B151D6">
              <w:t>55-65</w:t>
            </w:r>
          </w:p>
        </w:tc>
      </w:tr>
      <w:tr w:rsidR="002C64B3" w:rsidRPr="00B151D6" w:rsidTr="003E7174">
        <w:trPr>
          <w:tblCellSpacing w:w="0" w:type="dxa"/>
        </w:trPr>
        <w:tc>
          <w:tcPr>
            <w:tcW w:w="5895" w:type="dxa"/>
            <w:gridSpan w:val="6"/>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pStyle w:val="NormalWeb"/>
              <w:jc w:val="both"/>
            </w:pPr>
            <w:r w:rsidRPr="00B151D6">
              <w:rPr>
                <w:b/>
                <w:bCs/>
              </w:rPr>
              <w:t>(A) Valoración AV</w:t>
            </w:r>
          </w:p>
        </w:tc>
      </w:tr>
      <w:tr w:rsidR="002C64B3" w:rsidRPr="00B151D6" w:rsidTr="003E7174">
        <w:trPr>
          <w:tblCellSpacing w:w="0" w:type="dxa"/>
        </w:trPr>
        <w:tc>
          <w:tcPr>
            <w:tcW w:w="1020"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spacing w:line="240" w:lineRule="auto"/>
              <w:jc w:val="both"/>
              <w:rPr>
                <w:rFonts w:ascii="Times New Roman" w:hAnsi="Times New Roman" w:cs="Times New Roman"/>
                <w:sz w:val="24"/>
                <w:szCs w:val="24"/>
              </w:rPr>
            </w:pPr>
            <w:r w:rsidRPr="00B151D6">
              <w:rPr>
                <w:rFonts w:ascii="Times New Roman" w:hAnsi="Times New Roman" w:cs="Times New Roman"/>
                <w:sz w:val="24"/>
                <w:szCs w:val="24"/>
              </w:rPr>
              <w:t>Obligatoria</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1.00</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0.73</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0.62</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0.44</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0.24</w:t>
            </w:r>
          </w:p>
        </w:tc>
      </w:tr>
      <w:tr w:rsidR="002C64B3" w:rsidRPr="00B151D6" w:rsidTr="003E7174">
        <w:trPr>
          <w:tblCellSpacing w:w="0" w:type="dxa"/>
        </w:trPr>
        <w:tc>
          <w:tcPr>
            <w:tcW w:w="1020"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spacing w:line="240" w:lineRule="auto"/>
              <w:jc w:val="both"/>
              <w:rPr>
                <w:rFonts w:ascii="Times New Roman" w:hAnsi="Times New Roman" w:cs="Times New Roman"/>
                <w:sz w:val="24"/>
                <w:szCs w:val="24"/>
              </w:rPr>
            </w:pPr>
            <w:r w:rsidRPr="00B151D6">
              <w:rPr>
                <w:rFonts w:ascii="Times New Roman" w:hAnsi="Times New Roman" w:cs="Times New Roman"/>
                <w:sz w:val="24"/>
                <w:szCs w:val="24"/>
              </w:rPr>
              <w:t>Media</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3.26</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2.13</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2.23</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1.66</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1.02</w:t>
            </w:r>
          </w:p>
        </w:tc>
      </w:tr>
      <w:tr w:rsidR="002C64B3" w:rsidRPr="00B151D6" w:rsidTr="003E7174">
        <w:trPr>
          <w:tblCellSpacing w:w="0" w:type="dxa"/>
        </w:trPr>
        <w:tc>
          <w:tcPr>
            <w:tcW w:w="1020"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spacing w:line="240" w:lineRule="auto"/>
              <w:jc w:val="both"/>
              <w:rPr>
                <w:rFonts w:ascii="Times New Roman" w:hAnsi="Times New Roman" w:cs="Times New Roman"/>
                <w:sz w:val="24"/>
                <w:szCs w:val="24"/>
              </w:rPr>
            </w:pPr>
            <w:r w:rsidRPr="00B151D6">
              <w:rPr>
                <w:rFonts w:ascii="Times New Roman" w:hAnsi="Times New Roman" w:cs="Times New Roman"/>
                <w:sz w:val="24"/>
                <w:szCs w:val="24"/>
              </w:rPr>
              <w:t>Universitaria</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6.43</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6.68</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6.76</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5.75</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2.68</w:t>
            </w:r>
          </w:p>
        </w:tc>
      </w:tr>
      <w:tr w:rsidR="002C64B3" w:rsidRPr="00B151D6" w:rsidTr="003E7174">
        <w:trPr>
          <w:tblCellSpacing w:w="0" w:type="dxa"/>
        </w:trPr>
        <w:tc>
          <w:tcPr>
            <w:tcW w:w="5895" w:type="dxa"/>
            <w:gridSpan w:val="6"/>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pStyle w:val="NormalWeb"/>
              <w:jc w:val="both"/>
            </w:pPr>
            <w:r w:rsidRPr="00B151D6">
              <w:rPr>
                <w:b/>
                <w:bCs/>
              </w:rPr>
              <w:t>(B) Valores medios del test (normalizados)</w:t>
            </w:r>
          </w:p>
        </w:tc>
      </w:tr>
      <w:tr w:rsidR="002C64B3" w:rsidRPr="00B151D6" w:rsidTr="003E7174">
        <w:trPr>
          <w:tblCellSpacing w:w="0" w:type="dxa"/>
        </w:trPr>
        <w:tc>
          <w:tcPr>
            <w:tcW w:w="1020"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spacing w:line="240" w:lineRule="auto"/>
              <w:jc w:val="both"/>
              <w:rPr>
                <w:rFonts w:ascii="Times New Roman" w:hAnsi="Times New Roman" w:cs="Times New Roman"/>
                <w:sz w:val="24"/>
                <w:szCs w:val="24"/>
              </w:rPr>
            </w:pPr>
            <w:r w:rsidRPr="00B151D6">
              <w:rPr>
                <w:rFonts w:ascii="Times New Roman" w:hAnsi="Times New Roman" w:cs="Times New Roman"/>
                <w:sz w:val="24"/>
                <w:szCs w:val="24"/>
              </w:rPr>
              <w:t>Obligatoria</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1.00</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0.95</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0.95</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0.90</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0.84</w:t>
            </w:r>
          </w:p>
        </w:tc>
      </w:tr>
      <w:tr w:rsidR="002C64B3" w:rsidRPr="00B151D6" w:rsidTr="003E7174">
        <w:trPr>
          <w:tblCellSpacing w:w="0" w:type="dxa"/>
        </w:trPr>
        <w:tc>
          <w:tcPr>
            <w:tcW w:w="1020"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spacing w:line="240" w:lineRule="auto"/>
              <w:jc w:val="both"/>
              <w:rPr>
                <w:rFonts w:ascii="Times New Roman" w:hAnsi="Times New Roman" w:cs="Times New Roman"/>
                <w:sz w:val="24"/>
                <w:szCs w:val="24"/>
              </w:rPr>
            </w:pPr>
            <w:r w:rsidRPr="00B151D6">
              <w:rPr>
                <w:rFonts w:ascii="Times New Roman" w:hAnsi="Times New Roman" w:cs="Times New Roman"/>
                <w:sz w:val="24"/>
                <w:szCs w:val="24"/>
              </w:rPr>
              <w:t>Media</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1.12</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1.09</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1.08</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1.06</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1.02</w:t>
            </w:r>
          </w:p>
        </w:tc>
      </w:tr>
      <w:tr w:rsidR="002C64B3" w:rsidRPr="00B151D6" w:rsidTr="003E7174">
        <w:trPr>
          <w:tblCellSpacing w:w="0" w:type="dxa"/>
        </w:trPr>
        <w:tc>
          <w:tcPr>
            <w:tcW w:w="1020" w:type="dxa"/>
            <w:tcBorders>
              <w:top w:val="outset" w:sz="6" w:space="0" w:color="auto"/>
              <w:left w:val="outset" w:sz="6" w:space="0" w:color="auto"/>
              <w:bottom w:val="outset" w:sz="6" w:space="0" w:color="auto"/>
              <w:right w:val="outset" w:sz="6" w:space="0" w:color="auto"/>
            </w:tcBorders>
            <w:noWrap/>
            <w:hideMark/>
          </w:tcPr>
          <w:p w:rsidR="002C64B3" w:rsidRPr="00B151D6" w:rsidRDefault="002C64B3" w:rsidP="00550638">
            <w:pPr>
              <w:spacing w:line="240" w:lineRule="auto"/>
              <w:jc w:val="both"/>
              <w:rPr>
                <w:rFonts w:ascii="Times New Roman" w:hAnsi="Times New Roman" w:cs="Times New Roman"/>
                <w:sz w:val="24"/>
                <w:szCs w:val="24"/>
              </w:rPr>
            </w:pPr>
            <w:r w:rsidRPr="00B151D6">
              <w:rPr>
                <w:rFonts w:ascii="Times New Roman" w:hAnsi="Times New Roman" w:cs="Times New Roman"/>
                <w:sz w:val="24"/>
                <w:szCs w:val="24"/>
              </w:rPr>
              <w:t>Universitaria</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1.19</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1.19</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1.20</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1.18</w:t>
            </w:r>
          </w:p>
        </w:tc>
        <w:tc>
          <w:tcPr>
            <w:tcW w:w="975" w:type="dxa"/>
            <w:tcBorders>
              <w:top w:val="outset" w:sz="6" w:space="0" w:color="auto"/>
              <w:left w:val="outset" w:sz="6" w:space="0" w:color="auto"/>
              <w:bottom w:val="outset" w:sz="6" w:space="0" w:color="auto"/>
              <w:right w:val="outset" w:sz="6" w:space="0" w:color="auto"/>
            </w:tcBorders>
            <w:noWrap/>
            <w:vAlign w:val="bottom"/>
            <w:hideMark/>
          </w:tcPr>
          <w:p w:rsidR="002C64B3" w:rsidRPr="00B151D6" w:rsidRDefault="002C64B3" w:rsidP="00550638">
            <w:pPr>
              <w:pStyle w:val="NormalWeb"/>
              <w:jc w:val="both"/>
            </w:pPr>
            <w:r w:rsidRPr="00B151D6">
              <w:t>1.11</w:t>
            </w:r>
          </w:p>
        </w:tc>
      </w:tr>
    </w:tbl>
    <w:p w:rsidR="002C64B3" w:rsidRPr="00997677" w:rsidRDefault="002C64B3" w:rsidP="00550638">
      <w:pPr>
        <w:pStyle w:val="NormalWeb"/>
        <w:jc w:val="both"/>
      </w:pPr>
      <w:r w:rsidRPr="00997677">
        <w:rPr>
          <w:rStyle w:val="Textoennegrita"/>
          <w:b w:val="0"/>
        </w:rPr>
        <w:t>El caso de los universitarios</w:t>
      </w:r>
    </w:p>
    <w:p w:rsidR="002C64B3" w:rsidRPr="00B151D6" w:rsidRDefault="002C64B3" w:rsidP="00550638">
      <w:pPr>
        <w:pStyle w:val="NormalWeb"/>
        <w:jc w:val="both"/>
      </w:pPr>
      <w:r w:rsidRPr="0014587E">
        <w:rPr>
          <w:u w:val="single"/>
        </w:rPr>
        <w:t>Conforme a las predicciones de la teoría generalmente aceptada y a la evidencia disponible, los datos muestran un proceso de depreciación de las habilidades cognitivas por efecto del envejecimiento. El hecho de que las generaciones más jóvenes hayan experimentado un aumento en los años de estudios acentúa esta tendencia</w:t>
      </w:r>
      <w:r w:rsidRPr="00B151D6">
        <w:t>. Este patrón, sin embargo, se expresa con perfiles diferenciados según los grados formativos.</w:t>
      </w:r>
    </w:p>
    <w:p w:rsidR="002C64B3" w:rsidRPr="00B151D6" w:rsidRDefault="002C64B3" w:rsidP="00550638">
      <w:pPr>
        <w:pStyle w:val="NormalWeb"/>
        <w:jc w:val="both"/>
      </w:pPr>
      <w:r w:rsidRPr="0014587E">
        <w:rPr>
          <w:u w:val="single"/>
        </w:rPr>
        <w:lastRenderedPageBreak/>
        <w:t>El efecto negativo del envejecimiento no se aprecia en los individuos con formación universitaria hasta muy tarde (cuarta cohorte)</w:t>
      </w:r>
      <w:r w:rsidRPr="00B151D6">
        <w:t>. Hay varias causas complementarias que pueden explicar este comportamiento diferencial. Por una parte, los universitarios finalizan su formación más tarde y tienen tasas de desempleo más bajas y mejores condiciones de trabajo, de modo que ese efecto depreciación se vería ralentizado y</w:t>
      </w:r>
      <w:r>
        <w:t>,</w:t>
      </w:r>
      <w:r w:rsidRPr="00B151D6">
        <w:t xml:space="preserve"> en parte</w:t>
      </w:r>
      <w:r>
        <w:t>,</w:t>
      </w:r>
      <w:r w:rsidRPr="00B151D6">
        <w:t xml:space="preserve"> compensado por su uso. Por otra parte, es posible que estos datos reflejen que hay un mejor ajuste entre formación y empleo en las cohortes tercera y cuarta con formación universitaria (¿efecto negativo de la sobre-cualificación sobre la preservación de las habilidades?) y que existan diferencias de calidad en la formación universitaria, que aparenta ser mejor para las cohortes intermedias que para las cohortes más jóvenes (¿hay un “efecto Bolonia”?). De hecho, si comparamos los valores relativos de la educación universitaria con respecto a la educación obligatoria en las distintas cohortes, observamos que en la generación más joven la ratio es de 6,4 mientras que en las otras cohortes oscila entre 9,2 y 13.</w:t>
      </w:r>
    </w:p>
    <w:p w:rsidR="002C64B3" w:rsidRPr="00997677" w:rsidRDefault="002C64B3" w:rsidP="00550638">
      <w:pPr>
        <w:pStyle w:val="NormalWeb"/>
        <w:jc w:val="both"/>
        <w:rPr>
          <w:b/>
        </w:rPr>
      </w:pPr>
      <w:r w:rsidRPr="00997677">
        <w:rPr>
          <w:rStyle w:val="Textoennegrita"/>
          <w:b w:val="0"/>
        </w:rPr>
        <w:t>Una verdad con dos caras</w:t>
      </w:r>
    </w:p>
    <w:p w:rsidR="002C64B3" w:rsidRPr="00B151D6" w:rsidRDefault="002C64B3" w:rsidP="00550638">
      <w:pPr>
        <w:pStyle w:val="NormalWeb"/>
        <w:jc w:val="both"/>
      </w:pPr>
      <w:r w:rsidRPr="00B151D6">
        <w:t>Si nos fijamos en los aspectos formales, tales como los años medios de estudios y la proporción de jóvenes con estudios terciarios, podemos decir que nuestros jóvenes constituyen efectivamente la generación mejor preparada de la historia. Eso muestra el éxito de nuestro país en la extensión de la educación. Si miramos las habilidades cognitivas la cosa cambia. Los jóvenes entre 16 y 24 años son los que presentan mejores resultados frente a los mayores de esa edad, para los niveles educativos</w:t>
      </w:r>
      <w:r>
        <w:t>,</w:t>
      </w:r>
      <w:r w:rsidRPr="00B151D6">
        <w:t xml:space="preserve"> obligatorio y medio (aunque su valoración cae muy deprisa). No es así para los universitarios: lo que parece ser el mascarón de proa del avance educativo, los jóvenes universitarios, no presentan mejores resultados que sus mayores. En este ámbito no hay evidencia de que estemos consiguiendo acompañar la extensión de la educación con la mejora del rendimiento.</w:t>
      </w:r>
    </w:p>
    <w:p w:rsidR="002C64B3" w:rsidRDefault="002C64B3" w:rsidP="00550638">
      <w:pPr>
        <w:pStyle w:val="NormalWeb"/>
        <w:jc w:val="both"/>
      </w:pPr>
      <w:r w:rsidRPr="0014587E">
        <w:rPr>
          <w:u w:val="single"/>
        </w:rPr>
        <w:t>Una de las principales conclusiones del estudio en que se basa esta entrada es que los procesos de aprendizaje continuado y la adecuada integración en el mercado laboral son esenciales para el mantenimiento del stock de capital humano, por su efecto en retardar la depreciación asociada al envejecimiento</w:t>
      </w:r>
      <w:r w:rsidRPr="00B151D6">
        <w:t>. Los altos niveles de desempleo actuales, centrados especialmente en los jóvenes (con el deterioro que suponen de las habilidades cognitivas alcanzadas), el proceso de envejecimiento progresivo de la población, la dinámica extremadamente rápida de los cambios tecnológicos y el retraso en la edad de jubilación, hacen especialmente relevante abrir vías eficaces de actualización y mejora educativa.</w:t>
      </w:r>
    </w:p>
    <w:p w:rsidR="002C64B3" w:rsidRPr="000B1778" w:rsidRDefault="002C64B3" w:rsidP="00550638">
      <w:pPr>
        <w:pStyle w:val="Ttulo1"/>
        <w:spacing w:line="24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727162">
        <w:rPr>
          <w:rFonts w:ascii="Times New Roman" w:hAnsi="Times New Roman" w:cs="Times New Roman"/>
          <w:b w:val="0"/>
          <w:color w:val="auto"/>
          <w:sz w:val="24"/>
          <w:szCs w:val="24"/>
          <w:u w:val="single"/>
        </w:rPr>
        <w:t>Educación, experiencia laboral y habilidades cognitivas</w:t>
      </w:r>
      <w:r>
        <w:rPr>
          <w:rFonts w:ascii="Times New Roman" w:hAnsi="Times New Roman" w:cs="Times New Roman"/>
          <w:b w:val="0"/>
          <w:color w:val="auto"/>
          <w:sz w:val="24"/>
          <w:szCs w:val="24"/>
        </w:rPr>
        <w:t xml:space="preserve"> (Fedea - </w:t>
      </w:r>
      <w:r w:rsidRPr="00727162">
        <w:rPr>
          <w:rFonts w:ascii="Times New Roman" w:hAnsi="Times New Roman" w:cs="Times New Roman"/>
          <w:color w:val="auto"/>
          <w:sz w:val="24"/>
          <w:szCs w:val="24"/>
        </w:rPr>
        <w:t>19/10/13</w:t>
      </w:r>
      <w:r>
        <w:rPr>
          <w:rFonts w:ascii="Times New Roman" w:hAnsi="Times New Roman" w:cs="Times New Roman"/>
          <w:b w:val="0"/>
          <w:color w:val="auto"/>
          <w:sz w:val="24"/>
          <w:szCs w:val="24"/>
        </w:rPr>
        <w:t>)</w:t>
      </w:r>
    </w:p>
    <w:p w:rsidR="002C64B3" w:rsidRPr="000B1778" w:rsidRDefault="002C64B3" w:rsidP="00550638">
      <w:pPr>
        <w:pStyle w:val="headlinemeta"/>
        <w:jc w:val="both"/>
      </w:pPr>
      <w:r>
        <w:t>(</w:t>
      </w:r>
      <w:r w:rsidRPr="000B1778">
        <w:t xml:space="preserve">Por </w:t>
      </w:r>
      <w:hyperlink r:id="rId326" w:history="1">
        <w:r w:rsidRPr="00727162">
          <w:rPr>
            <w:rStyle w:val="Hipervnculo"/>
            <w:rFonts w:eastAsiaTheme="majorEastAsia"/>
            <w:color w:val="auto"/>
          </w:rPr>
          <w:t>Antonio Cabrales</w:t>
        </w:r>
      </w:hyperlink>
      <w:r w:rsidRPr="00727162">
        <w:t>)</w:t>
      </w:r>
    </w:p>
    <w:p w:rsidR="002C64B3" w:rsidRPr="00997677" w:rsidRDefault="002C64B3" w:rsidP="00550638">
      <w:pPr>
        <w:pStyle w:val="NormalWeb"/>
        <w:jc w:val="both"/>
      </w:pPr>
      <w:r w:rsidRPr="00997677">
        <w:t xml:space="preserve">Resumen del artículo de </w:t>
      </w:r>
      <w:hyperlink r:id="rId327" w:history="1">
        <w:r w:rsidRPr="00997677">
          <w:rPr>
            <w:rStyle w:val="Textoennegrita"/>
            <w:rFonts w:eastAsiaTheme="majorEastAsia"/>
            <w:b w:val="0"/>
            <w:u w:val="single"/>
          </w:rPr>
          <w:t>Juan F. Jimeno</w:t>
        </w:r>
      </w:hyperlink>
      <w:r w:rsidRPr="00997677">
        <w:rPr>
          <w:b/>
        </w:rPr>
        <w:t>,</w:t>
      </w:r>
      <w:hyperlink r:id="rId328" w:history="1">
        <w:r w:rsidRPr="00997677">
          <w:rPr>
            <w:rStyle w:val="Textoennegrita"/>
            <w:rFonts w:eastAsiaTheme="majorEastAsia"/>
            <w:b w:val="0"/>
            <w:u w:val="single"/>
          </w:rPr>
          <w:t xml:space="preserve"> Aitor Lacuesta </w:t>
        </w:r>
      </w:hyperlink>
      <w:r w:rsidRPr="00997677">
        <w:rPr>
          <w:b/>
        </w:rPr>
        <w:t>y</w:t>
      </w:r>
      <w:hyperlink r:id="rId329" w:history="1">
        <w:r w:rsidRPr="00997677">
          <w:rPr>
            <w:rStyle w:val="Textoennegrita"/>
            <w:rFonts w:eastAsiaTheme="majorEastAsia"/>
            <w:b w:val="0"/>
            <w:u w:val="single"/>
          </w:rPr>
          <w:t xml:space="preserve"> Ernesto Villanueva</w:t>
        </w:r>
      </w:hyperlink>
      <w:r w:rsidRPr="00997677">
        <w:t xml:space="preserve"> incluido en el </w:t>
      </w:r>
      <w:hyperlink r:id="rId330" w:history="1">
        <w:r w:rsidRPr="00997677">
          <w:rPr>
            <w:rStyle w:val="Hipervnculo"/>
            <w:rFonts w:eastAsiaTheme="majorEastAsia"/>
            <w:color w:val="auto"/>
          </w:rPr>
          <w:t>volumen 2 del informe nacional del PIAAC</w:t>
        </w:r>
      </w:hyperlink>
    </w:p>
    <w:p w:rsidR="002C64B3" w:rsidRPr="00A5692D" w:rsidRDefault="002C64B3" w:rsidP="00550638">
      <w:pPr>
        <w:pStyle w:val="NormalWeb"/>
        <w:jc w:val="both"/>
        <w:rPr>
          <w:u w:val="single"/>
        </w:rPr>
      </w:pPr>
      <w:r w:rsidRPr="00A5692D">
        <w:rPr>
          <w:u w:val="single"/>
        </w:rPr>
        <w:t xml:space="preserve">Uno de los resultados más conocidos de la Economía Laboral es que la educación y la experiencia laboral contribuyen a aumentar las capacidades productivas de los individuos, por lo que sus tasas de empleo y sus salarios son mayores cuanto mayores </w:t>
      </w:r>
      <w:r w:rsidRPr="00A5692D">
        <w:rPr>
          <w:u w:val="single"/>
        </w:rPr>
        <w:lastRenderedPageBreak/>
        <w:t>son sus niveles educativos y el número de años que han trabajado. Este resultado sirve, entre otras cosas, para justificar las políticas activas que tratan de aumentar las capacidades productivas de los trabajadores mediante la formación ocupacional.</w:t>
      </w:r>
    </w:p>
    <w:p w:rsidR="002C64B3" w:rsidRDefault="002C64B3" w:rsidP="00550638">
      <w:pPr>
        <w:pStyle w:val="NormalWeb"/>
        <w:jc w:val="both"/>
      </w:pPr>
      <w:r w:rsidRPr="00A5692D">
        <w:rPr>
          <w:u w:val="single"/>
        </w:rPr>
        <w:t>Hay multitud de trabajos empíricos que, partiendo de ecuaciones “mincerianas”, encuentran que los salarios y las tasa de empleo aumentan con la educación y la experiencia laboral. No obstante, con las bases de datos disponibles, no siempre es posible inferir por qué</w:t>
      </w:r>
      <w:r>
        <w:t>. Puede ser que la educación y la experiencia laboral aumentan las capacidades cognitivas y, también, las productivas de los trabajadores, lo que facilita el acceso a empleos mejor remunerados. Pero también puede ser que las tasas de empleo y los salarios reflejen la influencia de otros factores que, a su vez, estén de una manera u otra correlacionados con el nivel educativo y la experiencia laboral (por ejemplo, la cobertura y la estructura de la negociación colectiva, la incidencia de la remuneración por antigüedad, los salarios de reserva individuales por debajo de los cuales el trabajador no está dispuesto a aceptar ninguna oferta de empleo, etc.).</w:t>
      </w:r>
    </w:p>
    <w:p w:rsidR="002C64B3" w:rsidRPr="00A5692D" w:rsidRDefault="002C64B3" w:rsidP="00550638">
      <w:pPr>
        <w:pStyle w:val="NormalWeb"/>
        <w:jc w:val="both"/>
        <w:rPr>
          <w:u w:val="single"/>
        </w:rPr>
      </w:pPr>
      <w:r w:rsidRPr="00A5692D">
        <w:rPr>
          <w:u w:val="single"/>
        </w:rPr>
        <w:t>Por ello, disponer de una base de datos, como la del PIAAC, en la que se pueda observar al mismo tiempo los salarios, la trayectoria laboral y una medida de las capacidades cognitivas de los individuos es especialmente útil para valorar en qué medida las posibilidades de empleo y los salarios aumentan con la educación y la experiencia laboral. En un primer intento, este es el objetivo del artículo cuyos principales resultados se resumen a continuación.</w:t>
      </w:r>
    </w:p>
    <w:p w:rsidR="002C64B3" w:rsidRPr="00997677" w:rsidRDefault="002C64B3" w:rsidP="00550638">
      <w:pPr>
        <w:pStyle w:val="NormalWeb"/>
        <w:jc w:val="both"/>
        <w:rPr>
          <w:b/>
        </w:rPr>
      </w:pPr>
      <w:r w:rsidRPr="00997677">
        <w:rPr>
          <w:rStyle w:val="Textoennegrita"/>
          <w:rFonts w:eastAsiaTheme="majorEastAsia"/>
          <w:b w:val="0"/>
        </w:rPr>
        <w:t>Cautela</w:t>
      </w:r>
    </w:p>
    <w:p w:rsidR="002C64B3" w:rsidRDefault="002C64B3" w:rsidP="00550638">
      <w:pPr>
        <w:pStyle w:val="NormalWeb"/>
        <w:jc w:val="both"/>
      </w:pPr>
      <w:r>
        <w:t>Antes de describir los resultados es preciso advertir de que hay que tener en cuenta una cautela importante. El artículo aquí resumido es una primera aproximación a los datos, realizada en un periodo de tiempo escaso y sin acceso a los datos de otros países. Así, por ahora solo se han podido detectar asociaciones estadísticas que, en ningún caso, deben interpretarse como relaciones causales. Aunque los autores aventuran algunas interpretaciones causales que podrían explicar los resultados, solo se trata de conjeturas y puede haber otras interpretaciones alternativas coherentes con los resultados. El ejercicio realizado ha de tomarse, por tanto, solo como un punto de partida para futuras investigaciones sobre este tema.</w:t>
      </w:r>
    </w:p>
    <w:p w:rsidR="002C64B3" w:rsidRPr="00997677" w:rsidRDefault="002C64B3" w:rsidP="00550638">
      <w:pPr>
        <w:pStyle w:val="NormalWeb"/>
        <w:jc w:val="both"/>
        <w:rPr>
          <w:b/>
        </w:rPr>
      </w:pPr>
      <w:r w:rsidRPr="00997677">
        <w:rPr>
          <w:rStyle w:val="Textoennegrita"/>
          <w:rFonts w:eastAsiaTheme="majorEastAsia"/>
          <w:b w:val="0"/>
        </w:rPr>
        <w:t>Capacidades cognitivas y salarios</w:t>
      </w:r>
    </w:p>
    <w:p w:rsidR="002C64B3" w:rsidRDefault="002C64B3" w:rsidP="00550638">
      <w:pPr>
        <w:pStyle w:val="NormalWeb"/>
        <w:jc w:val="both"/>
      </w:pPr>
      <w:r w:rsidRPr="00A5692D">
        <w:rPr>
          <w:u w:val="single"/>
        </w:rPr>
        <w:t>El gráfico 1 muestra una correlación positiva en</w:t>
      </w:r>
      <w:r w:rsidR="008D0E91">
        <w:rPr>
          <w:u w:val="single"/>
        </w:rPr>
        <w:t>tre las notas del examen PIAAC -</w:t>
      </w:r>
      <w:r w:rsidRPr="00A5692D">
        <w:rPr>
          <w:u w:val="single"/>
        </w:rPr>
        <w:t>tanto en lo relativo a capacidades numéricas como lectoras- y los salarios declarados por los individuos.</w:t>
      </w:r>
      <w:r>
        <w:t xml:space="preserve"> Se observa que el 10% de los individuos que obtienen las notas más elevadas declaran percibir salarios que son un 80% más elevados que los que declaran percibir el 10% que obtiene los peores resultados. Si se controla por otras características individuales, estos resultados no cambian sustancialmente, como muestran los artículos recogidos en el mismo volumen de Cabrales, Dolado y Mora, que muestran una mayor estabilidad en el empleo entre quiénes tienen notas del examen mejores, y de Hernández y Serrano (2013), que observan que, manteniendo constantes otros factores, los resultados del examen están positivamente correlacionados con salarios y empleo. En consecuencia, parecería que, en principio, esta medida de capacidades cognitivas incluye capacidades productivas que el mercado laboral español remunera positivamente.</w:t>
      </w:r>
    </w:p>
    <w:p w:rsidR="002C64B3" w:rsidRDefault="002C64B3" w:rsidP="00550638">
      <w:pPr>
        <w:pStyle w:val="NormalWeb"/>
        <w:jc w:val="both"/>
        <w:rPr>
          <w:rStyle w:val="Textoennegrita"/>
          <w:rFonts w:eastAsiaTheme="majorEastAsia"/>
        </w:rPr>
      </w:pPr>
      <w:r>
        <w:rPr>
          <w:rStyle w:val="Textoennegrita"/>
          <w:rFonts w:eastAsiaTheme="majorEastAsia"/>
        </w:rPr>
        <w:lastRenderedPageBreak/>
        <w:t>Gráfico 1. Resultados del examen PIAAC y salarios</w:t>
      </w:r>
    </w:p>
    <w:p w:rsidR="00997677" w:rsidRPr="00C730C3" w:rsidRDefault="002C64B3" w:rsidP="00550638">
      <w:pPr>
        <w:pStyle w:val="NormalWeb"/>
        <w:jc w:val="both"/>
        <w:rPr>
          <w:rStyle w:val="Textoennegrita"/>
          <w:b w:val="0"/>
          <w:bCs w:val="0"/>
        </w:rPr>
      </w:pPr>
      <w:r>
        <w:br/>
      </w:r>
      <w:r w:rsidR="00C730C3">
        <w:t xml:space="preserve">           </w:t>
      </w:r>
      <w:r>
        <w:rPr>
          <w:noProof/>
          <w:color w:val="0000FF"/>
        </w:rPr>
        <w:drawing>
          <wp:inline distT="0" distB="0" distL="0" distR="0" wp14:anchorId="4214D194" wp14:editId="33B8E971">
            <wp:extent cx="4572000" cy="1997050"/>
            <wp:effectExtent l="0" t="0" r="0" b="3810"/>
            <wp:docPr id="99" name="Imagen 99" descr="nadaes15">
              <a:hlinkClick xmlns:a="http://schemas.openxmlformats.org/drawingml/2006/main" r:id="rId3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adaes15">
                      <a:hlinkClick r:id="rId331"/>
                    </pic:cNvPr>
                    <pic:cNvPicPr>
                      <a:picLocks noChangeAspect="1" noChangeArrowheads="1"/>
                    </pic:cNvPicPr>
                  </pic:nvPicPr>
                  <pic:blipFill>
                    <a:blip r:embed="rId332">
                      <a:extLst>
                        <a:ext uri="{28A0092B-C50C-407E-A947-70E740481C1C}">
                          <a14:useLocalDpi xmlns:a14="http://schemas.microsoft.com/office/drawing/2010/main" val="0"/>
                        </a:ext>
                      </a:extLst>
                    </a:blip>
                    <a:srcRect/>
                    <a:stretch>
                      <a:fillRect/>
                    </a:stretch>
                  </pic:blipFill>
                  <pic:spPr bwMode="auto">
                    <a:xfrm>
                      <a:off x="0" y="0"/>
                      <a:ext cx="4572193" cy="1997134"/>
                    </a:xfrm>
                    <a:prstGeom prst="rect">
                      <a:avLst/>
                    </a:prstGeom>
                    <a:noFill/>
                    <a:ln>
                      <a:noFill/>
                    </a:ln>
                  </pic:spPr>
                </pic:pic>
              </a:graphicData>
            </a:graphic>
          </wp:inline>
        </w:drawing>
      </w:r>
    </w:p>
    <w:p w:rsidR="002C64B3" w:rsidRPr="00997677" w:rsidRDefault="002C64B3" w:rsidP="00550638">
      <w:pPr>
        <w:pStyle w:val="NormalWeb"/>
        <w:jc w:val="both"/>
        <w:rPr>
          <w:b/>
        </w:rPr>
      </w:pPr>
      <w:r w:rsidRPr="00997677">
        <w:rPr>
          <w:rStyle w:val="Textoennegrita"/>
          <w:rFonts w:eastAsiaTheme="majorEastAsia"/>
          <w:b w:val="0"/>
        </w:rPr>
        <w:t>Experiencia laboral, nivel educativo y capacidades cognitivas</w:t>
      </w:r>
    </w:p>
    <w:p w:rsidR="00997677" w:rsidRPr="00A5692D" w:rsidRDefault="002C64B3" w:rsidP="00550638">
      <w:pPr>
        <w:pStyle w:val="NormalWeb"/>
        <w:jc w:val="both"/>
        <w:rPr>
          <w:u w:val="single"/>
        </w:rPr>
      </w:pPr>
      <w:r w:rsidRPr="00A5692D">
        <w:rPr>
          <w:u w:val="single"/>
        </w:rPr>
        <w:t>El gráfico 2 presenta una distribución de los resultados del test numérico PIAAC en función de la edad, los años que los individuos han trabajado en el mercado laboral y el nivel de educación formal (no se incluye el grupo de 16 a 24 años de edad porque muchos de los individuos de este grupo todavía están estudiando).</w:t>
      </w:r>
    </w:p>
    <w:p w:rsidR="00C730C3" w:rsidRDefault="002C64B3" w:rsidP="00550638">
      <w:pPr>
        <w:pStyle w:val="NormalWeb"/>
        <w:jc w:val="both"/>
        <w:rPr>
          <w:rStyle w:val="Textoennegrita"/>
          <w:rFonts w:eastAsiaTheme="majorEastAsia"/>
        </w:rPr>
      </w:pPr>
      <w:r>
        <w:rPr>
          <w:rStyle w:val="Textoennegrita"/>
          <w:rFonts w:eastAsiaTheme="majorEastAsia"/>
        </w:rPr>
        <w:t>Gráfico 2. Resultados del examen PIAAC (capacidades numéricas) por edad, sexo, niveles e</w:t>
      </w:r>
      <w:r w:rsidR="00C730C3">
        <w:rPr>
          <w:rStyle w:val="Textoennegrita"/>
          <w:rFonts w:eastAsiaTheme="majorEastAsia"/>
        </w:rPr>
        <w:t>ducativos y experiencia laboral</w:t>
      </w:r>
    </w:p>
    <w:p w:rsidR="00C730C3" w:rsidRDefault="00C730C3" w:rsidP="00550638">
      <w:pPr>
        <w:pStyle w:val="NormalWeb"/>
        <w:jc w:val="both"/>
        <w:rPr>
          <w:rFonts w:eastAsiaTheme="majorEastAsia"/>
          <w:b/>
          <w:bCs/>
        </w:rPr>
      </w:pPr>
      <w:r>
        <w:rPr>
          <w:noProof/>
          <w:color w:val="0000FF"/>
        </w:rPr>
        <w:drawing>
          <wp:inline distT="0" distB="0" distL="0" distR="0" wp14:anchorId="7160EC3D" wp14:editId="2E53E72F">
            <wp:extent cx="3650115" cy="1784909"/>
            <wp:effectExtent l="0" t="0" r="7620" b="6350"/>
            <wp:docPr id="52" name="Imagen 52" descr="nadaes15.1">
              <a:hlinkClick xmlns:a="http://schemas.openxmlformats.org/drawingml/2006/main" r:id="rId3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adaes15.1">
                      <a:hlinkClick r:id="rId333"/>
                    </pic:cNvPr>
                    <pic:cNvPicPr>
                      <a:picLocks noChangeAspect="1" noChangeArrowheads="1"/>
                    </pic:cNvPicPr>
                  </pic:nvPicPr>
                  <pic:blipFill>
                    <a:blip r:embed="rId334">
                      <a:extLst>
                        <a:ext uri="{28A0092B-C50C-407E-A947-70E740481C1C}">
                          <a14:useLocalDpi xmlns:a14="http://schemas.microsoft.com/office/drawing/2010/main" val="0"/>
                        </a:ext>
                      </a:extLst>
                    </a:blip>
                    <a:srcRect/>
                    <a:stretch>
                      <a:fillRect/>
                    </a:stretch>
                  </pic:blipFill>
                  <pic:spPr bwMode="auto">
                    <a:xfrm>
                      <a:off x="0" y="0"/>
                      <a:ext cx="3649980" cy="1784843"/>
                    </a:xfrm>
                    <a:prstGeom prst="rect">
                      <a:avLst/>
                    </a:prstGeom>
                    <a:noFill/>
                    <a:ln>
                      <a:noFill/>
                    </a:ln>
                  </pic:spPr>
                </pic:pic>
              </a:graphicData>
            </a:graphic>
          </wp:inline>
        </w:drawing>
      </w:r>
    </w:p>
    <w:p w:rsidR="00C730C3" w:rsidRPr="00C730C3" w:rsidRDefault="00C730C3" w:rsidP="00550638">
      <w:pPr>
        <w:pStyle w:val="NormalWeb"/>
        <w:jc w:val="both"/>
        <w:rPr>
          <w:rFonts w:eastAsiaTheme="majorEastAsia"/>
          <w:b/>
          <w:bCs/>
        </w:rPr>
      </w:pPr>
      <w:r>
        <w:rPr>
          <w:noProof/>
        </w:rPr>
        <w:drawing>
          <wp:inline distT="0" distB="0" distL="0" distR="0" wp14:anchorId="07C313C4" wp14:editId="61D9F87A">
            <wp:extent cx="3650115" cy="1814169"/>
            <wp:effectExtent l="0" t="0" r="7620" b="0"/>
            <wp:docPr id="54" name="Imagen 54" descr="nada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ada15.2"/>
                    <pic:cNvPicPr>
                      <a:picLocks noChangeAspect="1" noChangeArrowheads="1"/>
                    </pic:cNvPicPr>
                  </pic:nvPicPr>
                  <pic:blipFill>
                    <a:blip r:embed="rId335">
                      <a:extLst>
                        <a:ext uri="{28A0092B-C50C-407E-A947-70E740481C1C}">
                          <a14:useLocalDpi xmlns:a14="http://schemas.microsoft.com/office/drawing/2010/main" val="0"/>
                        </a:ext>
                      </a:extLst>
                    </a:blip>
                    <a:srcRect/>
                    <a:stretch>
                      <a:fillRect/>
                    </a:stretch>
                  </pic:blipFill>
                  <pic:spPr bwMode="auto">
                    <a:xfrm>
                      <a:off x="0" y="0"/>
                      <a:ext cx="3649980" cy="1814102"/>
                    </a:xfrm>
                    <a:prstGeom prst="rect">
                      <a:avLst/>
                    </a:prstGeom>
                    <a:noFill/>
                    <a:ln>
                      <a:noFill/>
                    </a:ln>
                  </pic:spPr>
                </pic:pic>
              </a:graphicData>
            </a:graphic>
          </wp:inline>
        </w:drawing>
      </w:r>
    </w:p>
    <w:p w:rsidR="002C64B3" w:rsidRDefault="002C64B3" w:rsidP="00550638">
      <w:pPr>
        <w:pStyle w:val="NormalWeb"/>
        <w:jc w:val="both"/>
      </w:pPr>
      <w:r>
        <w:rPr>
          <w:noProof/>
          <w:color w:val="0000FF"/>
        </w:rPr>
        <w:lastRenderedPageBreak/>
        <w:drawing>
          <wp:inline distT="0" distB="0" distL="0" distR="0" wp14:anchorId="0C0D4B72" wp14:editId="7514045E">
            <wp:extent cx="3649980" cy="2106930"/>
            <wp:effectExtent l="0" t="0" r="7620" b="7620"/>
            <wp:docPr id="96" name="Imagen 96" descr="nada15.3">
              <a:hlinkClick xmlns:a="http://schemas.openxmlformats.org/drawingml/2006/main" r:id="rId3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ada15.3">
                      <a:hlinkClick r:id="rId336"/>
                    </pic:cNvPr>
                    <pic:cNvPicPr>
                      <a:picLocks noChangeAspect="1" noChangeArrowheads="1"/>
                    </pic:cNvPicPr>
                  </pic:nvPicPr>
                  <pic:blipFill>
                    <a:blip r:embed="rId337">
                      <a:extLst>
                        <a:ext uri="{28A0092B-C50C-407E-A947-70E740481C1C}">
                          <a14:useLocalDpi xmlns:a14="http://schemas.microsoft.com/office/drawing/2010/main" val="0"/>
                        </a:ext>
                      </a:extLst>
                    </a:blip>
                    <a:srcRect/>
                    <a:stretch>
                      <a:fillRect/>
                    </a:stretch>
                  </pic:blipFill>
                  <pic:spPr bwMode="auto">
                    <a:xfrm>
                      <a:off x="0" y="0"/>
                      <a:ext cx="3649980" cy="2106930"/>
                    </a:xfrm>
                    <a:prstGeom prst="rect">
                      <a:avLst/>
                    </a:prstGeom>
                    <a:noFill/>
                    <a:ln>
                      <a:noFill/>
                    </a:ln>
                  </pic:spPr>
                </pic:pic>
              </a:graphicData>
            </a:graphic>
          </wp:inline>
        </w:drawing>
      </w:r>
    </w:p>
    <w:p w:rsidR="002C64B3" w:rsidRDefault="002C64B3" w:rsidP="00550638">
      <w:pPr>
        <w:pStyle w:val="NormalWeb"/>
        <w:jc w:val="both"/>
      </w:pPr>
      <w:r>
        <w:rPr>
          <w:noProof/>
        </w:rPr>
        <w:drawing>
          <wp:inline distT="0" distB="0" distL="0" distR="0" wp14:anchorId="1BF86D95" wp14:editId="2490A21B">
            <wp:extent cx="3649980" cy="2055495"/>
            <wp:effectExtent l="0" t="0" r="7620" b="1905"/>
            <wp:docPr id="47" name="Imagen 47" descr="nada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ada15.4"/>
                    <pic:cNvPicPr>
                      <a:picLocks noChangeAspect="1" noChangeArrowheads="1"/>
                    </pic:cNvPicPr>
                  </pic:nvPicPr>
                  <pic:blipFill>
                    <a:blip r:embed="rId338">
                      <a:extLst>
                        <a:ext uri="{28A0092B-C50C-407E-A947-70E740481C1C}">
                          <a14:useLocalDpi xmlns:a14="http://schemas.microsoft.com/office/drawing/2010/main" val="0"/>
                        </a:ext>
                      </a:extLst>
                    </a:blip>
                    <a:srcRect/>
                    <a:stretch>
                      <a:fillRect/>
                    </a:stretch>
                  </pic:blipFill>
                  <pic:spPr bwMode="auto">
                    <a:xfrm>
                      <a:off x="0" y="0"/>
                      <a:ext cx="3649980" cy="2055495"/>
                    </a:xfrm>
                    <a:prstGeom prst="rect">
                      <a:avLst/>
                    </a:prstGeom>
                    <a:noFill/>
                    <a:ln>
                      <a:noFill/>
                    </a:ln>
                  </pic:spPr>
                </pic:pic>
              </a:graphicData>
            </a:graphic>
          </wp:inline>
        </w:drawing>
      </w:r>
    </w:p>
    <w:p w:rsidR="002C64B3" w:rsidRDefault="002C64B3" w:rsidP="00550638">
      <w:pPr>
        <w:pStyle w:val="NormalWeb"/>
        <w:jc w:val="both"/>
      </w:pPr>
      <w:r>
        <w:rPr>
          <w:noProof/>
          <w:color w:val="0000FF"/>
        </w:rPr>
        <w:drawing>
          <wp:inline distT="0" distB="0" distL="0" distR="0" wp14:anchorId="5BA7A964" wp14:editId="4A1A5B63">
            <wp:extent cx="3649980" cy="2055495"/>
            <wp:effectExtent l="0" t="0" r="7620" b="1905"/>
            <wp:docPr id="94" name="Imagen 94" descr="nada15.5">
              <a:hlinkClick xmlns:a="http://schemas.openxmlformats.org/drawingml/2006/main" r:id="rId3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ada15.5">
                      <a:hlinkClick r:id="rId339"/>
                    </pic:cNvPr>
                    <pic:cNvPicPr>
                      <a:picLocks noChangeAspect="1" noChangeArrowheads="1"/>
                    </pic:cNvPicPr>
                  </pic:nvPicPr>
                  <pic:blipFill>
                    <a:blip r:embed="rId340">
                      <a:extLst>
                        <a:ext uri="{28A0092B-C50C-407E-A947-70E740481C1C}">
                          <a14:useLocalDpi xmlns:a14="http://schemas.microsoft.com/office/drawing/2010/main" val="0"/>
                        </a:ext>
                      </a:extLst>
                    </a:blip>
                    <a:srcRect/>
                    <a:stretch>
                      <a:fillRect/>
                    </a:stretch>
                  </pic:blipFill>
                  <pic:spPr bwMode="auto">
                    <a:xfrm>
                      <a:off x="0" y="0"/>
                      <a:ext cx="3649980" cy="2055495"/>
                    </a:xfrm>
                    <a:prstGeom prst="rect">
                      <a:avLst/>
                    </a:prstGeom>
                    <a:noFill/>
                    <a:ln>
                      <a:noFill/>
                    </a:ln>
                  </pic:spPr>
                </pic:pic>
              </a:graphicData>
            </a:graphic>
          </wp:inline>
        </w:drawing>
      </w:r>
      <w:r>
        <w:rPr>
          <w:noProof/>
          <w:color w:val="0000FF"/>
        </w:rPr>
        <w:drawing>
          <wp:inline distT="0" distB="0" distL="0" distR="0" wp14:anchorId="7030BAAE" wp14:editId="18769DA0">
            <wp:extent cx="3649980" cy="2055495"/>
            <wp:effectExtent l="0" t="0" r="7620" b="1905"/>
            <wp:docPr id="93" name="Imagen 93" descr="46">
              <a:hlinkClick xmlns:a="http://schemas.openxmlformats.org/drawingml/2006/main" r:id="rId34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46">
                      <a:hlinkClick r:id="rId341"/>
                    </pic:cNvPr>
                    <pic:cNvPicPr>
                      <a:picLocks noChangeAspect="1" noChangeArrowheads="1"/>
                    </pic:cNvPicPr>
                  </pic:nvPicPr>
                  <pic:blipFill>
                    <a:blip r:embed="rId342">
                      <a:extLst>
                        <a:ext uri="{28A0092B-C50C-407E-A947-70E740481C1C}">
                          <a14:useLocalDpi xmlns:a14="http://schemas.microsoft.com/office/drawing/2010/main" val="0"/>
                        </a:ext>
                      </a:extLst>
                    </a:blip>
                    <a:srcRect/>
                    <a:stretch>
                      <a:fillRect/>
                    </a:stretch>
                  </pic:blipFill>
                  <pic:spPr bwMode="auto">
                    <a:xfrm>
                      <a:off x="0" y="0"/>
                      <a:ext cx="3649980" cy="2055495"/>
                    </a:xfrm>
                    <a:prstGeom prst="rect">
                      <a:avLst/>
                    </a:prstGeom>
                    <a:noFill/>
                    <a:ln>
                      <a:noFill/>
                    </a:ln>
                  </pic:spPr>
                </pic:pic>
              </a:graphicData>
            </a:graphic>
          </wp:inline>
        </w:drawing>
      </w:r>
    </w:p>
    <w:p w:rsidR="002C64B3" w:rsidRPr="009564C3" w:rsidRDefault="002C64B3" w:rsidP="00550638">
      <w:pPr>
        <w:pStyle w:val="NormalWeb"/>
        <w:jc w:val="both"/>
      </w:pPr>
      <w:r w:rsidRPr="009564C3">
        <w:rPr>
          <w:rStyle w:val="nfasis"/>
        </w:rPr>
        <w:lastRenderedPageBreak/>
        <w:t>Edu1 e</w:t>
      </w:r>
      <w:r w:rsidR="00C730C3" w:rsidRPr="009564C3">
        <w:rPr>
          <w:rStyle w:val="nfasis"/>
        </w:rPr>
        <w:t>s el nivel básico de educación -</w:t>
      </w:r>
      <w:r w:rsidRPr="009564C3">
        <w:rPr>
          <w:rStyle w:val="nfasis"/>
        </w:rPr>
        <w:t>educación primaria o menos. Edu2 es bachillerato o equivalente. Edu3 representa educación universitaria o equivalente (incluyendo el módulo superior de FP). El eje de abscisas contiene los años de experiencia laboral en grupos de 5 años.</w:t>
      </w:r>
    </w:p>
    <w:p w:rsidR="002C64B3" w:rsidRDefault="002C64B3" w:rsidP="00550638">
      <w:pPr>
        <w:pStyle w:val="NormalWeb"/>
        <w:jc w:val="both"/>
      </w:pPr>
      <w:r w:rsidRPr="00A5692D">
        <w:rPr>
          <w:u w:val="single"/>
        </w:rPr>
        <w:t>Como era de esperar, y ya ha sido descrito</w:t>
      </w:r>
      <w:r w:rsidR="00997677">
        <w:rPr>
          <w:u w:val="single"/>
        </w:rPr>
        <w:t xml:space="preserve"> en detalle por Antonio Villar</w:t>
      </w:r>
      <w:r w:rsidRPr="00A5692D">
        <w:rPr>
          <w:u w:val="single"/>
        </w:rPr>
        <w:t>, los individuos con mayor nivel educativo tienen mejores resultados en los exámenes, independientemente de la edad y la experiencia laboral. Pero al contrario de lo que ocurre con los individuos de nivel educativo superior, para los que la experiencia laboral no parece estar asociada con mejores resultados en el examen, los de menor nivel educativo que han trabajado más años obtienen en media, resultados sustancialmente mejores que los que han trabajado menos</w:t>
      </w:r>
      <w:r>
        <w:t>. Este resultado puede resultar contraintuitivo, dado que la estructura ocupacional española está sesgada hacia trabajos de baja cualificación y con poca formación asociada y en los que la rotación derivada de la contratación temporal es especialmente elevada.</w:t>
      </w:r>
    </w:p>
    <w:p w:rsidR="002C64B3" w:rsidRPr="00A5692D" w:rsidRDefault="002C64B3" w:rsidP="00550638">
      <w:pPr>
        <w:pStyle w:val="NormalWeb"/>
        <w:jc w:val="both"/>
        <w:rPr>
          <w:u w:val="single"/>
        </w:rPr>
      </w:pPr>
      <w:r w:rsidRPr="00A5692D">
        <w:rPr>
          <w:u w:val="single"/>
        </w:rPr>
        <w:t>Una posible explicación de este resultado es que los graduados universitarios tienen un nivel de conocimientos superior al que les requieren las ocupaciones que alcanzan en el mercado laboral (aun cuando tampoco obtienen resultados muy satisfactorios en el examen PIAAC), por lo que la experiencia laboral no favorecería la adquisición de capacidades cognitivas en su caso.</w:t>
      </w:r>
    </w:p>
    <w:p w:rsidR="002C64B3" w:rsidRDefault="002C64B3" w:rsidP="00550638">
      <w:pPr>
        <w:pStyle w:val="NormalWeb"/>
        <w:jc w:val="both"/>
      </w:pPr>
      <w:r>
        <w:t>En el artículo, se apunta otra explicación que se basa en el tipo de tareas realizadas en el puesto de trabajo (Cuad</w:t>
      </w:r>
      <w:r w:rsidR="00997677">
        <w:t>ro 1 -</w:t>
      </w:r>
      <w:r>
        <w:t>Cuadro 3b en el artículo-). En este sentido, se observa que:</w:t>
      </w:r>
    </w:p>
    <w:p w:rsidR="002C64B3" w:rsidRPr="00A5692D" w:rsidRDefault="002C64B3" w:rsidP="00550638">
      <w:pPr>
        <w:pStyle w:val="NormalWeb"/>
        <w:numPr>
          <w:ilvl w:val="0"/>
          <w:numId w:val="39"/>
        </w:numPr>
        <w:jc w:val="both"/>
        <w:rPr>
          <w:color w:val="FF0000"/>
        </w:rPr>
      </w:pPr>
      <w:r w:rsidRPr="00A5692D">
        <w:rPr>
          <w:color w:val="FF0000"/>
        </w:rPr>
        <w:t>En el caso de los trabajadores con nivel educativo primario, los resultados del examen PIAAC están positivamente correlacionados con la realización de tareas numéricas y lectoras en el puesto de trabajo.</w:t>
      </w:r>
    </w:p>
    <w:p w:rsidR="002C64B3" w:rsidRPr="00A5692D" w:rsidRDefault="002C64B3" w:rsidP="00550638">
      <w:pPr>
        <w:pStyle w:val="NormalWeb"/>
        <w:numPr>
          <w:ilvl w:val="0"/>
          <w:numId w:val="39"/>
        </w:numPr>
        <w:jc w:val="both"/>
        <w:rPr>
          <w:color w:val="FF0000"/>
        </w:rPr>
      </w:pPr>
      <w:r w:rsidRPr="00A5692D">
        <w:rPr>
          <w:color w:val="FF0000"/>
        </w:rPr>
        <w:t>En el caso de los individuos con educación universitaria, las tareas avanzadas están asociadas a mejores notas matemáticas o de comprensión lectora especialmente entre quienes tienen trabajos relativamente estables, mientras que la realización de tareas más básicas (que hacen 30% de los varones y un 47% de las mujeres universitarias) no tiene una relación estadística significativa con las capacidades cognitivas tal y como las mide el examen PIAAC.</w:t>
      </w:r>
    </w:p>
    <w:p w:rsidR="00C730C3" w:rsidRDefault="002C64B3" w:rsidP="00550638">
      <w:pPr>
        <w:pStyle w:val="NormalWeb"/>
        <w:jc w:val="both"/>
        <w:rPr>
          <w:rStyle w:val="Textoennegrita"/>
          <w:rFonts w:eastAsiaTheme="majorEastAsia"/>
        </w:rPr>
      </w:pPr>
      <w:r>
        <w:rPr>
          <w:rStyle w:val="Textoennegrita"/>
          <w:rFonts w:eastAsiaTheme="majorEastAsia"/>
        </w:rPr>
        <w:t>Cuadro 1</w:t>
      </w:r>
    </w:p>
    <w:p w:rsidR="002C64B3" w:rsidRPr="00C730C3" w:rsidRDefault="002C64B3" w:rsidP="00550638">
      <w:pPr>
        <w:pStyle w:val="NormalWeb"/>
        <w:jc w:val="both"/>
        <w:rPr>
          <w:rFonts w:eastAsiaTheme="majorEastAsia"/>
          <w:b/>
          <w:bCs/>
        </w:rPr>
      </w:pPr>
      <w:r>
        <w:br/>
      </w:r>
      <w:r>
        <w:rPr>
          <w:noProof/>
          <w:color w:val="0000FF"/>
        </w:rPr>
        <w:drawing>
          <wp:inline distT="0" distB="0" distL="0" distR="0" wp14:anchorId="7EDB111E" wp14:editId="352C9C84">
            <wp:extent cx="4937565" cy="1894637"/>
            <wp:effectExtent l="0" t="0" r="0" b="0"/>
            <wp:docPr id="92" name="Imagen 92" descr="nada16">
              <a:hlinkClick xmlns:a="http://schemas.openxmlformats.org/drawingml/2006/main" r:id="rId3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nada16">
                      <a:hlinkClick r:id="rId343"/>
                    </pic:cNvPr>
                    <pic:cNvPicPr>
                      <a:picLocks noChangeAspect="1" noChangeArrowheads="1"/>
                    </pic:cNvPicPr>
                  </pic:nvPicPr>
                  <pic:blipFill>
                    <a:blip r:embed="rId344">
                      <a:extLst>
                        <a:ext uri="{28A0092B-C50C-407E-A947-70E740481C1C}">
                          <a14:useLocalDpi xmlns:a14="http://schemas.microsoft.com/office/drawing/2010/main" val="0"/>
                        </a:ext>
                      </a:extLst>
                    </a:blip>
                    <a:srcRect/>
                    <a:stretch>
                      <a:fillRect/>
                    </a:stretch>
                  </pic:blipFill>
                  <pic:spPr bwMode="auto">
                    <a:xfrm>
                      <a:off x="0" y="0"/>
                      <a:ext cx="4937919" cy="1894773"/>
                    </a:xfrm>
                    <a:prstGeom prst="rect">
                      <a:avLst/>
                    </a:prstGeom>
                    <a:noFill/>
                    <a:ln>
                      <a:noFill/>
                    </a:ln>
                  </pic:spPr>
                </pic:pic>
              </a:graphicData>
            </a:graphic>
          </wp:inline>
        </w:drawing>
      </w:r>
    </w:p>
    <w:p w:rsidR="002C64B3" w:rsidRDefault="002C64B3" w:rsidP="00550638">
      <w:pPr>
        <w:pStyle w:val="NormalWeb"/>
        <w:jc w:val="both"/>
      </w:pPr>
      <w:r>
        <w:rPr>
          <w:rStyle w:val="nfasis"/>
        </w:rPr>
        <w:lastRenderedPageBreak/>
        <w:t>Tareas básicas (avanzadas) numéricas: utilizar calculadora, calcular porcentajes, elaborar presupuestos, leer diagramas (elaborar gráficos, usar álgebra). Tareas básicas (avanzadas) de comprensión lectora: leer guías o correos, escribir correos (leer libros o artículos académicos, escribir artículos).</w:t>
      </w:r>
    </w:p>
    <w:p w:rsidR="002C64B3" w:rsidRPr="00A5692D" w:rsidRDefault="002C64B3" w:rsidP="00550638">
      <w:pPr>
        <w:pStyle w:val="NormalWeb"/>
        <w:jc w:val="both"/>
        <w:rPr>
          <w:u w:val="single"/>
        </w:rPr>
      </w:pPr>
      <w:r w:rsidRPr="00A5692D">
        <w:rPr>
          <w:u w:val="single"/>
        </w:rPr>
        <w:t>En definitiva resultaría tentador concluir que las tareas numéricas, tanto básicas como especialmente las avanzadas, se remuneran en el mercado. Para el grupo con nivel educativo básico, efectuar dichas tareas en el puesto de trabajo remedia parcialmente la falta de habilidades numéricas acumuladas durante la educación obligatoria. Por el contrario, por alguna razón, hay bastantes universitarios que, o por no efectuar tareas avanzadas o estar rotando entre distintos puestos de trabajos, no muestran ganancias en sus capacidades cognitivas mediante la experiencia laboral.</w:t>
      </w:r>
    </w:p>
    <w:p w:rsidR="002C64B3" w:rsidRPr="0056447B" w:rsidRDefault="002C64B3" w:rsidP="00550638">
      <w:pPr>
        <w:pStyle w:val="Ttulo1"/>
        <w:spacing w:line="240" w:lineRule="auto"/>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56447B">
        <w:rPr>
          <w:rFonts w:ascii="Times New Roman" w:hAnsi="Times New Roman" w:cs="Times New Roman"/>
          <w:b w:val="0"/>
          <w:color w:val="auto"/>
          <w:sz w:val="24"/>
          <w:szCs w:val="24"/>
          <w:u w:val="single"/>
        </w:rPr>
        <w:t>La LOGSE: un cambio de tendencia más que sospechoso</w:t>
      </w:r>
      <w:r>
        <w:rPr>
          <w:rFonts w:ascii="Times New Roman" w:hAnsi="Times New Roman" w:cs="Times New Roman"/>
          <w:b w:val="0"/>
          <w:color w:val="auto"/>
          <w:sz w:val="24"/>
          <w:szCs w:val="24"/>
        </w:rPr>
        <w:t xml:space="preserve"> (Fedea - </w:t>
      </w:r>
      <w:r w:rsidRPr="0056447B">
        <w:rPr>
          <w:rFonts w:ascii="Times New Roman" w:hAnsi="Times New Roman" w:cs="Times New Roman"/>
          <w:color w:val="auto"/>
          <w:sz w:val="24"/>
          <w:szCs w:val="24"/>
        </w:rPr>
        <w:t>20/10/13</w:t>
      </w:r>
      <w:r>
        <w:rPr>
          <w:rFonts w:ascii="Times New Roman" w:hAnsi="Times New Roman" w:cs="Times New Roman"/>
          <w:b w:val="0"/>
          <w:color w:val="auto"/>
          <w:sz w:val="24"/>
          <w:szCs w:val="24"/>
        </w:rPr>
        <w:t>)</w:t>
      </w:r>
    </w:p>
    <w:p w:rsidR="002C64B3" w:rsidRPr="0056447B" w:rsidRDefault="002C64B3" w:rsidP="00550638">
      <w:pPr>
        <w:pStyle w:val="NormalWeb"/>
        <w:jc w:val="both"/>
      </w:pPr>
      <w:r>
        <w:rPr>
          <w:rStyle w:val="Textoennegrita"/>
          <w:rFonts w:eastAsiaTheme="majorEastAsia"/>
          <w:b w:val="0"/>
        </w:rPr>
        <w:t xml:space="preserve">(Por </w:t>
      </w:r>
      <w:r w:rsidRPr="0056447B">
        <w:rPr>
          <w:rStyle w:val="Textoennegrita"/>
          <w:rFonts w:eastAsiaTheme="majorEastAsia"/>
          <w:b w:val="0"/>
        </w:rPr>
        <w:t xml:space="preserve"> </w:t>
      </w:r>
      <w:hyperlink r:id="rId345" w:history="1">
        <w:r w:rsidRPr="0056447B">
          <w:rPr>
            <w:rStyle w:val="Hipervnculo"/>
            <w:rFonts w:eastAsiaTheme="majorEastAsia"/>
            <w:color w:val="auto"/>
          </w:rPr>
          <w:t>José Antonio Robles</w:t>
        </w:r>
      </w:hyperlink>
      <w:r>
        <w:rPr>
          <w:rStyle w:val="Textoennegrita"/>
          <w:rFonts w:eastAsiaTheme="majorEastAsia"/>
          <w:b w:val="0"/>
        </w:rPr>
        <w:t>)</w:t>
      </w:r>
      <w:r w:rsidR="00997677">
        <w:rPr>
          <w:rStyle w:val="Textoennegrita"/>
          <w:rFonts w:eastAsiaTheme="majorEastAsia"/>
          <w:b w:val="0"/>
        </w:rPr>
        <w:t xml:space="preserve">                                                               Lectura recomendada</w:t>
      </w:r>
    </w:p>
    <w:p w:rsidR="002C64B3" w:rsidRDefault="002C64B3" w:rsidP="00550638">
      <w:pPr>
        <w:pStyle w:val="NormalWeb"/>
        <w:jc w:val="both"/>
      </w:pPr>
      <w:r>
        <w:t xml:space="preserve">Con </w:t>
      </w:r>
      <w:hyperlink r:id="rId346" w:history="1">
        <w:r w:rsidRPr="00997677">
          <w:rPr>
            <w:rStyle w:val="Hipervnculo"/>
            <w:rFonts w:eastAsiaTheme="majorEastAsia"/>
            <w:color w:val="auto"/>
          </w:rPr>
          <w:t>la entrada de Antonio Villar</w:t>
        </w:r>
      </w:hyperlink>
      <w:r>
        <w:t xml:space="preserve"> hemos podido tener una visión sobre las diferencias educativas entre distintas generaciones en España reflejadas en el examen de PIAAC (concretamente para matemáticas). Hemos visto cómo los españoles más jóvenes obtienen, en general, mejores resultados. Esto es un fenómeno bastante extendido en todos los países, las capacidades cognitivas se incrementan hasta la edad de 25-35 años y a partir de ahí comienzan a decaer. Pero las diferencias en capacidades cognitivas entre generaciones se deben a algo más que a la edad. Concretamente la educación que han recibido las distintas cohortes puede afectar. </w:t>
      </w:r>
      <w:r w:rsidRPr="007B3DDE">
        <w:rPr>
          <w:u w:val="single"/>
        </w:rPr>
        <w:t>Aquí vamos a tratar de ver el posible efecto que tuvo la reforma de la LOGSE (Ley Orgánica de Ordenación General del Sistema Educativo) en las capacidades de cálculo y lectura</w:t>
      </w:r>
      <w:r>
        <w:t xml:space="preserve">. (Esta entrada se basa en el </w:t>
      </w:r>
      <w:hyperlink r:id="rId347" w:history="1">
        <w:r w:rsidRPr="00997677">
          <w:rPr>
            <w:rStyle w:val="Hipervnculo"/>
            <w:rFonts w:eastAsiaTheme="majorEastAsia"/>
            <w:color w:val="auto"/>
          </w:rPr>
          <w:t>capítulo 7 del Informe PIAAC español</w:t>
        </w:r>
      </w:hyperlink>
      <w:r>
        <w:t>, volumen II)</w:t>
      </w:r>
    </w:p>
    <w:p w:rsidR="002C64B3" w:rsidRPr="00997677" w:rsidRDefault="002C64B3" w:rsidP="00550638">
      <w:pPr>
        <w:pStyle w:val="NormalWeb"/>
        <w:jc w:val="both"/>
        <w:rPr>
          <w:b/>
        </w:rPr>
      </w:pPr>
      <w:r w:rsidRPr="00997677">
        <w:rPr>
          <w:rStyle w:val="Textoennegrita"/>
          <w:rFonts w:eastAsiaTheme="majorEastAsia"/>
          <w:b w:val="0"/>
        </w:rPr>
        <w:t>La implantación de la LOGSE</w:t>
      </w:r>
    </w:p>
    <w:p w:rsidR="002C64B3" w:rsidRDefault="002C64B3" w:rsidP="00550638">
      <w:pPr>
        <w:pStyle w:val="NormalWeb"/>
        <w:jc w:val="both"/>
      </w:pPr>
      <w:r>
        <w:t>La LOGSE aprobada en 1990 afectó en mayor o menor medida a los españoles nacidos a partir de 1976 hasta su total implantación para los nacidos a partir de 1984. En este sentido podemos distinguir tres periodos:</w:t>
      </w:r>
    </w:p>
    <w:p w:rsidR="008D0E91" w:rsidRPr="00E2584C" w:rsidRDefault="002C64B3" w:rsidP="00550638">
      <w:pPr>
        <w:numPr>
          <w:ilvl w:val="0"/>
          <w:numId w:val="40"/>
        </w:numPr>
        <w:spacing w:before="100" w:beforeAutospacing="1" w:after="100" w:afterAutospacing="1" w:line="240" w:lineRule="auto"/>
        <w:jc w:val="both"/>
        <w:rPr>
          <w:rFonts w:ascii="Times New Roman" w:hAnsi="Times New Roman" w:cs="Times New Roman"/>
          <w:sz w:val="24"/>
          <w:szCs w:val="24"/>
        </w:rPr>
      </w:pPr>
      <w:r w:rsidRPr="0056447B">
        <w:rPr>
          <w:rStyle w:val="Textoennegrita"/>
          <w:rFonts w:ascii="Times New Roman" w:hAnsi="Times New Roman" w:cs="Times New Roman"/>
          <w:sz w:val="24"/>
          <w:szCs w:val="24"/>
        </w:rPr>
        <w:t>PRE-LOGSE</w:t>
      </w:r>
      <w:r w:rsidRPr="0056447B">
        <w:rPr>
          <w:rFonts w:ascii="Times New Roman" w:hAnsi="Times New Roman" w:cs="Times New Roman"/>
          <w:sz w:val="24"/>
          <w:szCs w:val="24"/>
        </w:rPr>
        <w:t>. Los nacidos entre 1945 y 1975. Estudiaron toda su vida académica bajo un sistema educativo anterior a la LOGSE, ya sea bajo la LGE (Ley General Educativa de 1970) o sistemas anteriores.</w:t>
      </w:r>
    </w:p>
    <w:p w:rsidR="00997677" w:rsidRPr="00E2584C" w:rsidRDefault="002C64B3" w:rsidP="00550638">
      <w:pPr>
        <w:numPr>
          <w:ilvl w:val="0"/>
          <w:numId w:val="40"/>
        </w:numPr>
        <w:spacing w:before="100" w:beforeAutospacing="1" w:after="100" w:afterAutospacing="1" w:line="240" w:lineRule="auto"/>
        <w:jc w:val="both"/>
        <w:rPr>
          <w:rFonts w:ascii="Times New Roman" w:hAnsi="Times New Roman" w:cs="Times New Roman"/>
          <w:sz w:val="24"/>
          <w:szCs w:val="24"/>
        </w:rPr>
      </w:pPr>
      <w:r w:rsidRPr="0056447B">
        <w:rPr>
          <w:rStyle w:val="Textoennegrita"/>
          <w:rFonts w:ascii="Times New Roman" w:hAnsi="Times New Roman" w:cs="Times New Roman"/>
          <w:sz w:val="24"/>
          <w:szCs w:val="24"/>
        </w:rPr>
        <w:t>TRANSICION</w:t>
      </w:r>
      <w:r w:rsidRPr="0056447B">
        <w:rPr>
          <w:rFonts w:ascii="Times New Roman" w:hAnsi="Times New Roman" w:cs="Times New Roman"/>
          <w:sz w:val="24"/>
          <w:szCs w:val="24"/>
        </w:rPr>
        <w:t>.</w:t>
      </w:r>
      <w:r>
        <w:rPr>
          <w:rFonts w:ascii="Times New Roman" w:hAnsi="Times New Roman" w:cs="Times New Roman"/>
          <w:sz w:val="24"/>
          <w:szCs w:val="24"/>
        </w:rPr>
        <w:t xml:space="preserve"> </w:t>
      </w:r>
      <w:r w:rsidRPr="0056447B">
        <w:rPr>
          <w:rFonts w:ascii="Times New Roman" w:hAnsi="Times New Roman" w:cs="Times New Roman"/>
          <w:sz w:val="24"/>
          <w:szCs w:val="24"/>
        </w:rPr>
        <w:t>Los nacidos entre 1976 y 1983 que tienen cierta probabilidad de haber estudiado LOGSE al menos en algunas de las etapas de ESO o bachillerato.</w:t>
      </w:r>
    </w:p>
    <w:p w:rsidR="00997677" w:rsidRPr="00E2584C" w:rsidRDefault="002C64B3" w:rsidP="00550638">
      <w:pPr>
        <w:numPr>
          <w:ilvl w:val="0"/>
          <w:numId w:val="40"/>
        </w:numPr>
        <w:spacing w:before="100" w:beforeAutospacing="1" w:after="100" w:afterAutospacing="1" w:line="240" w:lineRule="auto"/>
        <w:jc w:val="both"/>
        <w:rPr>
          <w:rFonts w:ascii="Times New Roman" w:hAnsi="Times New Roman" w:cs="Times New Roman"/>
          <w:sz w:val="24"/>
          <w:szCs w:val="24"/>
        </w:rPr>
      </w:pPr>
      <w:r w:rsidRPr="0056447B">
        <w:rPr>
          <w:rStyle w:val="Textoennegrita"/>
          <w:rFonts w:ascii="Times New Roman" w:hAnsi="Times New Roman" w:cs="Times New Roman"/>
          <w:sz w:val="24"/>
          <w:szCs w:val="24"/>
        </w:rPr>
        <w:t>POS-LOGSE</w:t>
      </w:r>
      <w:r w:rsidRPr="0056447B">
        <w:rPr>
          <w:rFonts w:ascii="Times New Roman" w:hAnsi="Times New Roman" w:cs="Times New Roman"/>
          <w:sz w:val="24"/>
          <w:szCs w:val="24"/>
        </w:rPr>
        <w:t>. Los nacidos entre 1984 y 1995. Aquellos que han estudiado en su totalidad con el plan LOGSE.</w:t>
      </w:r>
    </w:p>
    <w:p w:rsidR="00C730C3" w:rsidRDefault="002C64B3" w:rsidP="00550638">
      <w:pPr>
        <w:pStyle w:val="NormalWeb"/>
        <w:jc w:val="both"/>
      </w:pPr>
      <w:r>
        <w:t>Durante todo el periodo de TRANSICIÓN el nuevo sistema se fue implantando progresivamente. En el Gráfico 1 podemos ver que la probabilidad de haber estudiado segundo ciclo de la ESO (Educación Secundaria Obligatoria impuesta con la LOGSE) es creciente para todo este periodo.</w:t>
      </w:r>
    </w:p>
    <w:p w:rsidR="00E2584C" w:rsidRPr="00C730C3" w:rsidRDefault="00E2584C" w:rsidP="00550638">
      <w:pPr>
        <w:pStyle w:val="NormalWeb"/>
        <w:jc w:val="both"/>
      </w:pPr>
      <w:r w:rsidRPr="008D0E91">
        <w:rPr>
          <w:rStyle w:val="Textoennegrita"/>
          <w:rFonts w:eastAsiaTheme="majorEastAsia"/>
          <w:b w:val="0"/>
        </w:rPr>
        <w:lastRenderedPageBreak/>
        <w:t>Un cambio de tendencia…</w:t>
      </w:r>
    </w:p>
    <w:p w:rsidR="00E2584C" w:rsidRDefault="00E2584C" w:rsidP="00550638">
      <w:pPr>
        <w:pStyle w:val="NormalWeb"/>
        <w:jc w:val="both"/>
      </w:pPr>
      <w:r>
        <w:t>En el Gráfico 2 se puede observar la evolución de las puntuaciones en cálculo y lectura del examen PIAAC para los tres periodos delimitados por las dos líneas verticales. Se observa claramente un cambio de tendencia para el periodo de TRANSICIÓN. Tanto para cálculo como para lectura la tendencia alcista del periodo PRE-LOGSE se acaba con el comienzo de la LOGSE. Por supuesto que esto puede deberse a un mero efecto edad tal y como hemos apuntado al principio. Pero el caso es que si suponemos que el efecto edad es negativo en el periodo de TRANSICIÓN, ¿Por qué tenemos una tendencia alcista de nuevo en el periodo POS-LOGSE justo al terminar la total implantación de la LOGSE entre 1984 y 1989? No creo que esta “anomalía” en los datos se pue</w:t>
      </w:r>
      <w:r w:rsidR="00C730C3">
        <w:t>da explicar por el efecto edad.</w:t>
      </w:r>
    </w:p>
    <w:p w:rsidR="002C64B3" w:rsidRDefault="002C64B3" w:rsidP="00550638">
      <w:pPr>
        <w:spacing w:line="240" w:lineRule="auto"/>
        <w:jc w:val="both"/>
      </w:pPr>
      <w:r>
        <w:rPr>
          <w:noProof/>
          <w:color w:val="0000FF"/>
          <w:lang w:eastAsia="es-ES"/>
        </w:rPr>
        <w:drawing>
          <wp:inline distT="0" distB="0" distL="0" distR="0" wp14:anchorId="675D1B79" wp14:editId="79F3D210">
            <wp:extent cx="5142585" cy="2713939"/>
            <wp:effectExtent l="0" t="0" r="1270" b="0"/>
            <wp:docPr id="88" name="Imagen 88" descr="Gráfico1. Probabilidad de haber asistido a segundo ciclo de la ESO.">
              <a:hlinkClick xmlns:a="http://schemas.openxmlformats.org/drawingml/2006/main" r:id="rId34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áfico1. Probabilidad de haber asistido a segundo ciclo de la ESO.">
                      <a:hlinkClick r:id="rId348"/>
                    </pic:cNvPr>
                    <pic:cNvPicPr>
                      <a:picLocks noChangeAspect="1" noChangeArrowheads="1"/>
                    </pic:cNvPicPr>
                  </pic:nvPicPr>
                  <pic:blipFill>
                    <a:blip r:embed="rId349" cstate="print">
                      <a:extLst>
                        <a:ext uri="{28A0092B-C50C-407E-A947-70E740481C1C}">
                          <a14:useLocalDpi xmlns:a14="http://schemas.microsoft.com/office/drawing/2010/main" val="0"/>
                        </a:ext>
                      </a:extLst>
                    </a:blip>
                    <a:srcRect/>
                    <a:stretch>
                      <a:fillRect/>
                    </a:stretch>
                  </pic:blipFill>
                  <pic:spPr bwMode="auto">
                    <a:xfrm>
                      <a:off x="0" y="0"/>
                      <a:ext cx="5142865" cy="2714087"/>
                    </a:xfrm>
                    <a:prstGeom prst="rect">
                      <a:avLst/>
                    </a:prstGeom>
                    <a:noFill/>
                    <a:ln>
                      <a:noFill/>
                    </a:ln>
                  </pic:spPr>
                </pic:pic>
              </a:graphicData>
            </a:graphic>
          </wp:inline>
        </w:drawing>
      </w:r>
    </w:p>
    <w:p w:rsidR="002C64B3" w:rsidRDefault="002C64B3" w:rsidP="00C730C3">
      <w:pPr>
        <w:pStyle w:val="wp-caption-text"/>
        <w:jc w:val="both"/>
      </w:pPr>
      <w:r>
        <w:t>Gráfico1. Probabilidad de haber asis</w:t>
      </w:r>
      <w:r w:rsidR="00C730C3">
        <w:t>tido a segundo ciclo de la ESO.</w:t>
      </w:r>
    </w:p>
    <w:p w:rsidR="002C64B3" w:rsidRDefault="002C64B3" w:rsidP="00550638">
      <w:pPr>
        <w:spacing w:line="240" w:lineRule="auto"/>
        <w:jc w:val="both"/>
      </w:pPr>
      <w:r>
        <w:rPr>
          <w:noProof/>
          <w:color w:val="0000FF"/>
          <w:lang w:eastAsia="es-ES"/>
        </w:rPr>
        <w:drawing>
          <wp:inline distT="0" distB="0" distL="0" distR="0" wp14:anchorId="19CE993D" wp14:editId="25D98284">
            <wp:extent cx="5142585" cy="2596896"/>
            <wp:effectExtent l="0" t="0" r="1270" b="0"/>
            <wp:docPr id="87" name="Imagen 87" descr="Gráfico 2. Puntuación en PIAAC según año de nacimiento.">
              <a:hlinkClick xmlns:a="http://schemas.openxmlformats.org/drawingml/2006/main" r:id="rId35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áfico 2. Puntuación en PIAAC según año de nacimiento.">
                      <a:hlinkClick r:id="rId350"/>
                    </pic:cNvPr>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5142865" cy="2597037"/>
                    </a:xfrm>
                    <a:prstGeom prst="rect">
                      <a:avLst/>
                    </a:prstGeom>
                    <a:noFill/>
                    <a:ln>
                      <a:noFill/>
                    </a:ln>
                  </pic:spPr>
                </pic:pic>
              </a:graphicData>
            </a:graphic>
          </wp:inline>
        </w:drawing>
      </w:r>
    </w:p>
    <w:p w:rsidR="002C64B3" w:rsidRDefault="002C64B3" w:rsidP="00550638">
      <w:pPr>
        <w:pStyle w:val="wp-caption-text"/>
        <w:jc w:val="both"/>
      </w:pPr>
      <w:r>
        <w:t>Gráfico 2. Puntuación en PIAAC según año de nacimiento.</w:t>
      </w:r>
    </w:p>
    <w:p w:rsidR="00E2584C" w:rsidRDefault="00E2584C" w:rsidP="00550638">
      <w:pPr>
        <w:pStyle w:val="wp-caption-text"/>
        <w:jc w:val="both"/>
      </w:pPr>
    </w:p>
    <w:p w:rsidR="002C64B3" w:rsidRPr="008D0E91" w:rsidRDefault="002C64B3" w:rsidP="00550638">
      <w:pPr>
        <w:pStyle w:val="NormalWeb"/>
        <w:jc w:val="both"/>
        <w:rPr>
          <w:b/>
        </w:rPr>
      </w:pPr>
      <w:r w:rsidRPr="008D0E91">
        <w:rPr>
          <w:rStyle w:val="Textoennegrita"/>
          <w:rFonts w:eastAsiaTheme="majorEastAsia"/>
          <w:b w:val="0"/>
        </w:rPr>
        <w:lastRenderedPageBreak/>
        <w:t>…más que sospechoso.</w:t>
      </w:r>
    </w:p>
    <w:p w:rsidR="002C64B3" w:rsidRDefault="002C64B3" w:rsidP="00550638">
      <w:pPr>
        <w:pStyle w:val="NormalWeb"/>
        <w:jc w:val="both"/>
      </w:pPr>
      <w:r w:rsidRPr="007B3DDE">
        <w:rPr>
          <w:u w:val="single"/>
        </w:rPr>
        <w:t>Para seguir argumentando que el cambio de tendencia no se debe meramente a un efecto edad podemos comparar con lo que ha ocurrido en el resto de países durante dicho periodo de TRANSICIÓN. Si una tendencia negativa para dicho periodo es algo generalizado entonces España se encontraría dentro de la tónica general y es más difícil argumentar un efecto LOGSE</w:t>
      </w:r>
      <w:r>
        <w:t>. En el Gráfico 3 se puede ver la estimación de la pendiente de la línea de ajuste para el periodo</w:t>
      </w:r>
      <w:r w:rsidR="009D1533">
        <w:t xml:space="preserve"> de</w:t>
      </w:r>
      <w:r>
        <w:t xml:space="preserve"> TRANSICIÓN para los distintos países participantes en PIAAC (excepto Alemania, Australia, Austria, Canadá y EEUU para los que hay información desagregada por edad). Las barras hay que interpretarlas como el efecto de nacer en una cohorte 10 años más joven. España es la que presenta la tendencia más negativa en el caso de cálculo y la segunda más negativa en el caso de lectura (por detrás de Reino Unido) siendo estadísticamente significativa en ambos casos (rojo). De hecho, lo que más se repite para el resto de países es una tendencia no significativa o positiva y estadísticamente significativa (en azul). Por tanto, podemos llegar a la conclusión de que España no está dentro de lo “normal” en cuanto a la evolución de las puntuaciones para dicha franja de edad (grupo de TRANSICIÓN). (Nota: esta misma conclusión se obtiene si comparamos el cambio de tendencia entre el periodo de TRANSICIÓN y los diez años anteriores, España es la que más ha cambiado a la baja).</w:t>
      </w:r>
    </w:p>
    <w:p w:rsidR="002C64B3" w:rsidRDefault="002C64B3" w:rsidP="00550638">
      <w:pPr>
        <w:spacing w:line="240" w:lineRule="auto"/>
        <w:jc w:val="both"/>
      </w:pPr>
      <w:r>
        <w:rPr>
          <w:noProof/>
          <w:color w:val="0000FF"/>
          <w:lang w:eastAsia="es-ES"/>
        </w:rPr>
        <w:drawing>
          <wp:inline distT="0" distB="0" distL="0" distR="0" wp14:anchorId="2470D520" wp14:editId="17ACF7EE">
            <wp:extent cx="5142537" cy="4579316"/>
            <wp:effectExtent l="0" t="0" r="1270" b="0"/>
            <wp:docPr id="86" name="Imagen 86" descr="Gráfico 3. Pendiente de la tendencia para el periodo de TRANSICIÓN. Población Nativa.">
              <a:hlinkClick xmlns:a="http://schemas.openxmlformats.org/drawingml/2006/main" r:id="rId3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áfico 3. Pendiente de la tendencia para el periodo de TRANSICIÓN. Población Nativa.">
                      <a:hlinkClick r:id="rId352"/>
                    </pic:cNvPr>
                    <pic:cNvPicPr>
                      <a:picLocks noChangeAspect="1" noChangeArrowheads="1"/>
                    </pic:cNvPicPr>
                  </pic:nvPicPr>
                  <pic:blipFill>
                    <a:blip r:embed="rId353">
                      <a:extLst>
                        <a:ext uri="{28A0092B-C50C-407E-A947-70E740481C1C}">
                          <a14:useLocalDpi xmlns:a14="http://schemas.microsoft.com/office/drawing/2010/main" val="0"/>
                        </a:ext>
                      </a:extLst>
                    </a:blip>
                    <a:srcRect/>
                    <a:stretch>
                      <a:fillRect/>
                    </a:stretch>
                  </pic:blipFill>
                  <pic:spPr bwMode="auto">
                    <a:xfrm>
                      <a:off x="0" y="0"/>
                      <a:ext cx="5142865" cy="4579608"/>
                    </a:xfrm>
                    <a:prstGeom prst="rect">
                      <a:avLst/>
                    </a:prstGeom>
                    <a:noFill/>
                    <a:ln>
                      <a:noFill/>
                    </a:ln>
                  </pic:spPr>
                </pic:pic>
              </a:graphicData>
            </a:graphic>
          </wp:inline>
        </w:drawing>
      </w:r>
    </w:p>
    <w:p w:rsidR="002C64B3" w:rsidRDefault="002C64B3" w:rsidP="00550638">
      <w:pPr>
        <w:pStyle w:val="wp-caption-text"/>
        <w:jc w:val="both"/>
      </w:pPr>
      <w:r>
        <w:t>Gráfico 3. Pendiente de la tendencia para el periodo de TRANSICIÓN. Población Nativa.</w:t>
      </w:r>
    </w:p>
    <w:p w:rsidR="002C64B3" w:rsidRDefault="002C64B3" w:rsidP="00550638">
      <w:pPr>
        <w:pStyle w:val="NormalWeb"/>
        <w:jc w:val="both"/>
      </w:pPr>
      <w:r>
        <w:lastRenderedPageBreak/>
        <w:t>Nota 1: en rojo (azul) las tendencias negativas (positivas) y estadísticamente significativas.</w:t>
      </w:r>
      <w:r>
        <w:br/>
        <w:t>Nota 2: dado que el examen PIAAC se hizo mayoritariamente en 2011 las edades de este periodo son de los 36 a los 27 años.</w:t>
      </w:r>
    </w:p>
    <w:p w:rsidR="002C64B3" w:rsidRPr="008D0E91" w:rsidRDefault="002C64B3" w:rsidP="00550638">
      <w:pPr>
        <w:pStyle w:val="NormalWeb"/>
        <w:jc w:val="both"/>
        <w:rPr>
          <w:b/>
        </w:rPr>
      </w:pPr>
      <w:r w:rsidRPr="008D0E91">
        <w:rPr>
          <w:rStyle w:val="Textoennegrita"/>
          <w:rFonts w:eastAsiaTheme="majorEastAsia"/>
          <w:b w:val="0"/>
        </w:rPr>
        <w:t>El efecto LOGSE.</w:t>
      </w:r>
    </w:p>
    <w:p w:rsidR="002C64B3" w:rsidRPr="007B3DDE" w:rsidRDefault="002C64B3" w:rsidP="00550638">
      <w:pPr>
        <w:pStyle w:val="NormalWeb"/>
        <w:jc w:val="both"/>
        <w:rPr>
          <w:b/>
          <w:color w:val="FF0000"/>
          <w:u w:val="single"/>
        </w:rPr>
      </w:pPr>
      <w:r>
        <w:t xml:space="preserve">Ya se ha visto (con el estudio de </w:t>
      </w:r>
      <w:hyperlink r:id="rId354" w:history="1">
        <w:r w:rsidRPr="008D0E91">
          <w:rPr>
            <w:rStyle w:val="Hipervnculo"/>
            <w:rFonts w:eastAsiaTheme="majorEastAsia"/>
            <w:color w:val="auto"/>
          </w:rPr>
          <w:t>Florentino Felgueroso, María Gutiérrez y Sergi Jiménez</w:t>
        </w:r>
      </w:hyperlink>
      <w:r>
        <w:t>) que la LOGSE tuvo influencia en las tasas de abandono escolar, aumentando para los hombres. Aplicando la misma metodología que ellos utilizan se puede calcular una aproximación a la probabilidad de que un individuo haya estudiado bajo la LOGSE (dependiendo de su fecha de nacimiento y región de pertenencia). Tras controlar por una serie de covariables (el género; la educación de los padres; salud del individuo; situación laboral; tipo de ocupación; nivel educativo; área de su especialidad; si el individuo continúa su educación formal; variables binarias de región</w:t>
      </w:r>
      <w:r w:rsidRPr="007B3DDE">
        <w:rPr>
          <w:b/>
          <w:color w:val="FF0000"/>
          <w:u w:val="single"/>
        </w:rPr>
        <w:t>) se ha estimado una relación negativa entre la implantación de la LOGSE y las puntuaciones de cálculo y lectura del examen PIAAC. Este resultado se mantiene significativo para la mayoría de las especificaciones del efecto de la edad.</w:t>
      </w:r>
    </w:p>
    <w:p w:rsidR="002C64B3" w:rsidRDefault="002C64B3" w:rsidP="00550638">
      <w:pPr>
        <w:pStyle w:val="NormalWeb"/>
        <w:jc w:val="both"/>
      </w:pPr>
      <w:r w:rsidRPr="007B3DDE">
        <w:rPr>
          <w:color w:val="FF0000"/>
          <w:u w:val="single"/>
        </w:rPr>
        <w:t>Por desgracia, lo que no podemos saber con estos datos es por qué la LOGSE no parece tener éxito para mejorar el cálculo o la lectura. Posibles causas: se agruparon alumnos con distinta orientación (profesional y académica); como consecuencia el nivel de exigencia bajó (?); cambió el plan de estudios,…. En todo caso, tal y como ha comentado Antonio Villar a los medios de comunicación, con las reformas educativas hay unos costes de ajuste debido a que la comunidad educativa (administración y cuerpo docente) se tiene que adaptar a un nuevo plan de estudios (nuevas asignaturas). Por tanto, hay que tener cuidado con las reformas y cambios de planes que se hacen</w:t>
      </w:r>
      <w:r>
        <w:t>. Yo soy del llamado grupo de TRANSICIÓN y como experiencia propia (tampoco “estadísticamente significativa”) puedo contar que en 3º de la ESO tuve una asignatura llamada Tecnología creada con la LOGSE con una idea bastante buena, la de enseñar a los alumnos a crear e ingeniar cosas. En mi clase teníamos un proyecto para crear una lámpara. ¿Qué pasó? La lámpara no se llegó ni a dibujar en un boceto (aunque sí aprendí geometría). Por el contrario, tuve una asignatura llamada Organización Empresarial en la que aprendí mucho de la vida real (mercado de trabajo, Finanzas, leer prensa de negocios,…). Este tipo de asignaturas tan interesantes tenían poca cabida con el anterior sistema (LGE) si bien es cierto que necesitaron su tiempo hasta centrarse en un contenido concreto (coste de ajuste) y además le “quitaban” espacio a las matemáticas y la lengua.</w:t>
      </w:r>
    </w:p>
    <w:p w:rsidR="008D0E91" w:rsidRPr="008D0E91" w:rsidRDefault="008D0E91" w:rsidP="00550638">
      <w:pPr>
        <w:pStyle w:val="NormalWeb"/>
        <w:jc w:val="both"/>
        <w:rPr>
          <w:u w:val="single"/>
        </w:rPr>
      </w:pPr>
      <w:r w:rsidRPr="008D0E91">
        <w:rPr>
          <w:u w:val="single"/>
        </w:rPr>
        <w:t>El estado español gasta cada año 8.600 euros por estudiante</w:t>
      </w:r>
    </w:p>
    <w:p w:rsidR="008D0E91" w:rsidRPr="008D0E91" w:rsidRDefault="008D0E91" w:rsidP="00550638">
      <w:pPr>
        <w:pStyle w:val="entradilla2"/>
        <w:shd w:val="clear" w:color="auto" w:fill="FFFFFF"/>
        <w:spacing w:line="240" w:lineRule="auto"/>
        <w:jc w:val="both"/>
        <w:rPr>
          <w:i/>
          <w:color w:val="auto"/>
          <w:sz w:val="24"/>
          <w:szCs w:val="24"/>
        </w:rPr>
      </w:pPr>
      <w:r>
        <w:rPr>
          <w:i/>
          <w:color w:val="auto"/>
          <w:sz w:val="24"/>
          <w:szCs w:val="24"/>
        </w:rPr>
        <w:t>“</w:t>
      </w:r>
      <w:r w:rsidR="00A55FE1" w:rsidRPr="008D0E91">
        <w:rPr>
          <w:i/>
          <w:color w:val="auto"/>
          <w:sz w:val="24"/>
          <w:szCs w:val="24"/>
        </w:rPr>
        <w:t>Un universitario sólo paga el 20% de lo que realmente cuesta su matrícula. España es el séptimo país de la UE que más gasta en una educación de baja calidad</w:t>
      </w:r>
      <w:r>
        <w:rPr>
          <w:i/>
          <w:color w:val="auto"/>
          <w:sz w:val="24"/>
          <w:szCs w:val="24"/>
        </w:rPr>
        <w:t>”…</w:t>
      </w:r>
      <w:r w:rsidR="00A55FE1" w:rsidRPr="008D0E91">
        <w:rPr>
          <w:i/>
          <w:color w:val="auto"/>
          <w:sz w:val="24"/>
          <w:szCs w:val="24"/>
        </w:rPr>
        <w:t xml:space="preserve"> </w:t>
      </w:r>
      <w:r w:rsidRPr="008D0E91">
        <w:rPr>
          <w:rStyle w:val="titulo21"/>
          <w:b w:val="0"/>
          <w:color w:val="auto"/>
          <w:sz w:val="24"/>
          <w:szCs w:val="24"/>
          <w:u w:val="single"/>
        </w:rPr>
        <w:t>La educación en España es muy cara para el Estado y poco eficiente</w:t>
      </w:r>
      <w:r w:rsidRPr="008D0E91">
        <w:rPr>
          <w:rStyle w:val="titulo21"/>
          <w:b w:val="0"/>
          <w:color w:val="auto"/>
          <w:sz w:val="24"/>
          <w:szCs w:val="24"/>
        </w:rPr>
        <w:t xml:space="preserve"> (Negocios.com - </w:t>
      </w:r>
      <w:r w:rsidRPr="008D0E91">
        <w:rPr>
          <w:rStyle w:val="titulo21"/>
          <w:color w:val="auto"/>
          <w:sz w:val="24"/>
          <w:szCs w:val="24"/>
        </w:rPr>
        <w:t>25/10/13</w:t>
      </w:r>
      <w:r w:rsidRPr="008D0E91">
        <w:rPr>
          <w:rStyle w:val="titulo21"/>
          <w:b w:val="0"/>
          <w:color w:val="auto"/>
          <w:sz w:val="24"/>
          <w:szCs w:val="24"/>
        </w:rPr>
        <w:t>)</w:t>
      </w:r>
    </w:p>
    <w:p w:rsidR="00A55FE1" w:rsidRPr="000C172D" w:rsidRDefault="00A55FE1" w:rsidP="00550638">
      <w:pPr>
        <w:shd w:val="clear" w:color="auto" w:fill="FFFFFF"/>
        <w:spacing w:before="100" w:beforeAutospacing="1" w:after="100" w:afterAutospacing="1" w:line="240" w:lineRule="auto"/>
        <w:jc w:val="both"/>
        <w:rPr>
          <w:rFonts w:ascii="Times New Roman" w:hAnsi="Times New Roman" w:cs="Times New Roman"/>
          <w:sz w:val="24"/>
          <w:szCs w:val="24"/>
        </w:rPr>
      </w:pPr>
      <w:r w:rsidRPr="000C172D">
        <w:rPr>
          <w:rFonts w:ascii="Times New Roman" w:hAnsi="Times New Roman" w:cs="Times New Roman"/>
          <w:sz w:val="24"/>
          <w:szCs w:val="24"/>
        </w:rPr>
        <w:t>Los</w:t>
      </w:r>
      <w:r w:rsidRPr="000C172D">
        <w:rPr>
          <w:rStyle w:val="Textoennegrita"/>
          <w:rFonts w:ascii="Times New Roman" w:hAnsi="Times New Roman" w:cs="Times New Roman"/>
          <w:sz w:val="24"/>
          <w:szCs w:val="24"/>
        </w:rPr>
        <w:t xml:space="preserve"> </w:t>
      </w:r>
      <w:r w:rsidRPr="008D0E91">
        <w:rPr>
          <w:rStyle w:val="Textoennegrita"/>
          <w:rFonts w:ascii="Times New Roman" w:hAnsi="Times New Roman" w:cs="Times New Roman"/>
          <w:b w:val="0"/>
          <w:sz w:val="24"/>
          <w:szCs w:val="24"/>
        </w:rPr>
        <w:t>estudiantes y profesores</w:t>
      </w:r>
      <w:r w:rsidRPr="000C172D">
        <w:rPr>
          <w:rStyle w:val="Textoennegrita"/>
          <w:rFonts w:ascii="Times New Roman" w:hAnsi="Times New Roman" w:cs="Times New Roman"/>
          <w:sz w:val="24"/>
          <w:szCs w:val="24"/>
        </w:rPr>
        <w:t xml:space="preserve"> </w:t>
      </w:r>
      <w:r w:rsidR="008D0E91">
        <w:rPr>
          <w:rFonts w:ascii="Times New Roman" w:hAnsi="Times New Roman" w:cs="Times New Roman"/>
          <w:sz w:val="24"/>
          <w:szCs w:val="24"/>
        </w:rPr>
        <w:t xml:space="preserve">están </w:t>
      </w:r>
      <w:r w:rsidRPr="000C172D">
        <w:rPr>
          <w:rFonts w:ascii="Times New Roman" w:hAnsi="Times New Roman" w:cs="Times New Roman"/>
          <w:sz w:val="24"/>
          <w:szCs w:val="24"/>
        </w:rPr>
        <w:t>de huelga</w:t>
      </w:r>
      <w:r w:rsidR="008D0E91">
        <w:rPr>
          <w:rFonts w:ascii="Times New Roman" w:hAnsi="Times New Roman" w:cs="Times New Roman"/>
          <w:sz w:val="24"/>
          <w:szCs w:val="24"/>
        </w:rPr>
        <w:t xml:space="preserve"> en la tercera semana de octubre (2013)</w:t>
      </w:r>
      <w:r w:rsidRPr="000C172D">
        <w:rPr>
          <w:rFonts w:ascii="Times New Roman" w:hAnsi="Times New Roman" w:cs="Times New Roman"/>
          <w:sz w:val="24"/>
          <w:szCs w:val="24"/>
        </w:rPr>
        <w:t>. Creen que las tasas universitarias son muy caras y protestan por la reducción de becas, los recortes en el gasto educativo o la bajada de las retribuciones de los docentes, entre otras razones.</w:t>
      </w:r>
    </w:p>
    <w:p w:rsidR="008D0E91" w:rsidRPr="008D0E91" w:rsidRDefault="008D0E91" w:rsidP="00550638">
      <w:pPr>
        <w:shd w:val="clear" w:color="auto" w:fill="FFFFFF"/>
        <w:spacing w:before="100" w:beforeAutospacing="1" w:after="100" w:afterAutospacing="1" w:line="240" w:lineRule="auto"/>
        <w:jc w:val="both"/>
        <w:rPr>
          <w:rStyle w:val="ladillo2"/>
          <w:rFonts w:ascii="Times New Roman" w:hAnsi="Times New Roman" w:cs="Times New Roman"/>
          <w:b w:val="0"/>
          <w:bCs w:val="0"/>
          <w:color w:val="auto"/>
          <w:sz w:val="24"/>
          <w:szCs w:val="24"/>
        </w:rPr>
      </w:pPr>
      <w:r>
        <w:rPr>
          <w:rFonts w:ascii="Times New Roman" w:hAnsi="Times New Roman" w:cs="Times New Roman"/>
          <w:sz w:val="24"/>
          <w:szCs w:val="24"/>
        </w:rPr>
        <w:lastRenderedPageBreak/>
        <w:t xml:space="preserve">          </w:t>
      </w:r>
      <w:r w:rsidR="00A55FE1" w:rsidRPr="000C172D">
        <w:rPr>
          <w:rFonts w:ascii="Times New Roman" w:hAnsi="Times New Roman" w:cs="Times New Roman"/>
          <w:noProof/>
          <w:sz w:val="24"/>
          <w:szCs w:val="24"/>
          <w:lang w:eastAsia="es-ES"/>
        </w:rPr>
        <w:drawing>
          <wp:inline distT="0" distB="0" distL="0" distR="0" wp14:anchorId="61B02DFD" wp14:editId="3EE13C85">
            <wp:extent cx="4762195" cy="2626157"/>
            <wp:effectExtent l="0" t="0" r="635" b="3175"/>
            <wp:docPr id="102" name="Imagen 102" descr="http://www.intereconomia.com/sites/default/files/imagecache/galeria_500/49791/cck_images/221-251013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intereconomia.com/sites/default/files/imagecache/galeria_500/49791/cck_images/221-251013_1.jpg"/>
                    <pic:cNvPicPr>
                      <a:picLocks noChangeAspect="1" noChangeArrowheads="1"/>
                    </pic:cNvPicPr>
                  </pic:nvPicPr>
                  <pic:blipFill>
                    <a:blip r:embed="rId355">
                      <a:extLst>
                        <a:ext uri="{28A0092B-C50C-407E-A947-70E740481C1C}">
                          <a14:useLocalDpi xmlns:a14="http://schemas.microsoft.com/office/drawing/2010/main" val="0"/>
                        </a:ext>
                      </a:extLst>
                    </a:blip>
                    <a:srcRect/>
                    <a:stretch>
                      <a:fillRect/>
                    </a:stretch>
                  </pic:blipFill>
                  <pic:spPr bwMode="auto">
                    <a:xfrm>
                      <a:off x="0" y="0"/>
                      <a:ext cx="4762195" cy="2626157"/>
                    </a:xfrm>
                    <a:prstGeom prst="rect">
                      <a:avLst/>
                    </a:prstGeom>
                    <a:noFill/>
                    <a:ln>
                      <a:noFill/>
                    </a:ln>
                  </pic:spPr>
                </pic:pic>
              </a:graphicData>
            </a:graphic>
          </wp:inline>
        </w:drawing>
      </w:r>
      <w:r w:rsidR="00A55FE1" w:rsidRPr="000C172D">
        <w:rPr>
          <w:rFonts w:ascii="Times New Roman" w:hAnsi="Times New Roman" w:cs="Times New Roman"/>
          <w:sz w:val="24"/>
          <w:szCs w:val="24"/>
        </w:rPr>
        <w:br/>
      </w:r>
      <w:r w:rsidRPr="008D0E91">
        <w:rPr>
          <w:rFonts w:ascii="Times New Roman" w:hAnsi="Times New Roman" w:cs="Times New Roman"/>
          <w:sz w:val="24"/>
          <w:szCs w:val="24"/>
        </w:rPr>
        <w:t>Todos estos motivos son fácilmente rebatibles con las cifras en la mano. La educación en España es muy cara, pero para el Estado. Mucho más que para la mayoría de los países de nuestro de entorno. A pesar de su elevado coste, España está a la cola en las clasificaciones de calidad de la enseñanza.</w:t>
      </w:r>
    </w:p>
    <w:p w:rsidR="00A55FE1" w:rsidRPr="008D0E91" w:rsidRDefault="00A55FE1" w:rsidP="00550638">
      <w:pPr>
        <w:shd w:val="clear" w:color="auto" w:fill="FFFFFF"/>
        <w:spacing w:beforeAutospacing="1" w:after="0" w:afterAutospacing="1" w:line="240" w:lineRule="auto"/>
        <w:jc w:val="both"/>
        <w:rPr>
          <w:rStyle w:val="ladillo2"/>
          <w:rFonts w:ascii="Times New Roman" w:hAnsi="Times New Roman" w:cs="Times New Roman"/>
          <w:b w:val="0"/>
          <w:color w:val="auto"/>
          <w:sz w:val="24"/>
          <w:szCs w:val="24"/>
        </w:rPr>
      </w:pPr>
      <w:r w:rsidRPr="008D0E91">
        <w:rPr>
          <w:rStyle w:val="ladillo2"/>
          <w:rFonts w:ascii="Times New Roman" w:hAnsi="Times New Roman" w:cs="Times New Roman"/>
          <w:b w:val="0"/>
          <w:color w:val="auto"/>
          <w:sz w:val="24"/>
          <w:szCs w:val="24"/>
          <w:specVanish w:val="0"/>
        </w:rPr>
        <w:t>El alumno sólo paga el 20%</w:t>
      </w:r>
    </w:p>
    <w:p w:rsidR="00A55FE1" w:rsidRPr="008D0E91" w:rsidRDefault="00A55FE1" w:rsidP="00550638">
      <w:pPr>
        <w:shd w:val="clear" w:color="auto" w:fill="FFFFFF"/>
        <w:spacing w:beforeAutospacing="1" w:after="0" w:afterAutospacing="1" w:line="240" w:lineRule="auto"/>
        <w:jc w:val="both"/>
        <w:rPr>
          <w:rFonts w:ascii="Times New Roman" w:hAnsi="Times New Roman" w:cs="Times New Roman"/>
          <w:sz w:val="24"/>
          <w:szCs w:val="24"/>
        </w:rPr>
      </w:pPr>
      <w:r w:rsidRPr="008D0E91">
        <w:rPr>
          <w:rFonts w:ascii="Times New Roman" w:hAnsi="Times New Roman" w:cs="Times New Roman"/>
          <w:sz w:val="24"/>
          <w:szCs w:val="24"/>
        </w:rPr>
        <w:t xml:space="preserve">El Gobierno popular decidió incrementar las tasas universitarias desde el curso pasado, sobre todo a los repetidores, dada la complicada situación de las arcas públicas. Antes de la subida, un alumno sin beca sólo pagaba de media el 15% del coste real de sus estudios. El resto lo pagaban los contribuyentes a través de los Presupuestos Generales del Estado. Es decir, el estudiante se hacía cargo de una factura de entre </w:t>
      </w:r>
      <w:r w:rsidRPr="008D0E91">
        <w:rPr>
          <w:rStyle w:val="Textoennegrita"/>
          <w:rFonts w:ascii="Times New Roman" w:hAnsi="Times New Roman" w:cs="Times New Roman"/>
          <w:b w:val="0"/>
          <w:sz w:val="24"/>
          <w:szCs w:val="24"/>
        </w:rPr>
        <w:t>5.000 y 7.000 euros</w:t>
      </w:r>
      <w:r w:rsidRPr="008D0E91">
        <w:rPr>
          <w:rFonts w:ascii="Times New Roman" w:hAnsi="Times New Roman" w:cs="Times New Roman"/>
          <w:sz w:val="24"/>
          <w:szCs w:val="24"/>
        </w:rPr>
        <w:t xml:space="preserve"> de media durante toda la carrera. Los </w:t>
      </w:r>
      <w:r w:rsidRPr="008D0E91">
        <w:rPr>
          <w:rStyle w:val="Textoennegrita"/>
          <w:rFonts w:ascii="Times New Roman" w:hAnsi="Times New Roman" w:cs="Times New Roman"/>
          <w:b w:val="0"/>
          <w:sz w:val="24"/>
          <w:szCs w:val="24"/>
        </w:rPr>
        <w:t>30.000 euros</w:t>
      </w:r>
      <w:r w:rsidRPr="008D0E91">
        <w:rPr>
          <w:rFonts w:ascii="Times New Roman" w:hAnsi="Times New Roman" w:cs="Times New Roman"/>
          <w:sz w:val="24"/>
          <w:szCs w:val="24"/>
        </w:rPr>
        <w:t xml:space="preserve"> restantes que cuesta la matrícula de un universitario los ponía el Estado.</w:t>
      </w:r>
    </w:p>
    <w:p w:rsidR="00A55FE1" w:rsidRPr="008D0E91" w:rsidRDefault="00A55FE1" w:rsidP="00550638">
      <w:pPr>
        <w:shd w:val="clear" w:color="auto" w:fill="FFFFFF"/>
        <w:spacing w:before="100" w:beforeAutospacing="1" w:after="100" w:afterAutospacing="1" w:line="240" w:lineRule="auto"/>
        <w:jc w:val="both"/>
        <w:rPr>
          <w:rFonts w:ascii="Times New Roman" w:hAnsi="Times New Roman" w:cs="Times New Roman"/>
          <w:sz w:val="24"/>
          <w:szCs w:val="24"/>
        </w:rPr>
      </w:pPr>
      <w:r w:rsidRPr="008D0E91">
        <w:rPr>
          <w:rFonts w:ascii="Times New Roman" w:hAnsi="Times New Roman" w:cs="Times New Roman"/>
          <w:sz w:val="24"/>
          <w:szCs w:val="24"/>
        </w:rPr>
        <w:t>Con la</w:t>
      </w:r>
      <w:r w:rsidRPr="008D0E91">
        <w:rPr>
          <w:rStyle w:val="Textoennegrita"/>
          <w:rFonts w:ascii="Times New Roman" w:hAnsi="Times New Roman" w:cs="Times New Roman"/>
          <w:b w:val="0"/>
          <w:sz w:val="24"/>
          <w:szCs w:val="24"/>
        </w:rPr>
        <w:t xml:space="preserve"> subida de tasas </w:t>
      </w:r>
      <w:r w:rsidRPr="008D0E91">
        <w:rPr>
          <w:rFonts w:ascii="Times New Roman" w:hAnsi="Times New Roman" w:cs="Times New Roman"/>
          <w:sz w:val="24"/>
          <w:szCs w:val="24"/>
        </w:rPr>
        <w:t xml:space="preserve">aprobada por el Ministerio de Educación hace dos años, el alumno pasa a poner de su bolsillo aproximadamente el 20% de lo que cuestan sus estudios, un </w:t>
      </w:r>
      <w:r w:rsidRPr="008D0E91">
        <w:rPr>
          <w:rStyle w:val="Textoennegrita"/>
          <w:rFonts w:ascii="Times New Roman" w:hAnsi="Times New Roman" w:cs="Times New Roman"/>
          <w:b w:val="0"/>
          <w:sz w:val="24"/>
          <w:szCs w:val="24"/>
        </w:rPr>
        <w:t>5% más</w:t>
      </w:r>
      <w:r w:rsidRPr="008D0E91">
        <w:rPr>
          <w:rFonts w:ascii="Times New Roman" w:hAnsi="Times New Roman" w:cs="Times New Roman"/>
          <w:sz w:val="24"/>
          <w:szCs w:val="24"/>
        </w:rPr>
        <w:t xml:space="preserve">. La subida anual supone unos </w:t>
      </w:r>
      <w:r w:rsidRPr="008D0E91">
        <w:rPr>
          <w:rStyle w:val="Textoennegrita"/>
          <w:rFonts w:ascii="Times New Roman" w:hAnsi="Times New Roman" w:cs="Times New Roman"/>
          <w:b w:val="0"/>
          <w:sz w:val="24"/>
          <w:szCs w:val="24"/>
        </w:rPr>
        <w:t>60 euros</w:t>
      </w:r>
      <w:r w:rsidRPr="008D0E91">
        <w:rPr>
          <w:rFonts w:ascii="Times New Roman" w:hAnsi="Times New Roman" w:cs="Times New Roman"/>
          <w:sz w:val="24"/>
          <w:szCs w:val="24"/>
        </w:rPr>
        <w:t xml:space="preserve"> más al mes respecto a cursos pasados. El 80% restante lo sigue poniendo la Administración.</w:t>
      </w:r>
    </w:p>
    <w:p w:rsidR="00A55FE1" w:rsidRPr="008D0E91" w:rsidRDefault="00A55FE1" w:rsidP="00550638">
      <w:pPr>
        <w:shd w:val="clear" w:color="auto" w:fill="FFFFFF"/>
        <w:spacing w:beforeAutospacing="1" w:after="0" w:afterAutospacing="1" w:line="240" w:lineRule="auto"/>
        <w:jc w:val="both"/>
        <w:rPr>
          <w:rFonts w:ascii="Times New Roman" w:hAnsi="Times New Roman" w:cs="Times New Roman"/>
          <w:sz w:val="24"/>
          <w:szCs w:val="24"/>
        </w:rPr>
      </w:pPr>
      <w:r w:rsidRPr="008D0E91">
        <w:rPr>
          <w:rFonts w:ascii="Times New Roman" w:hAnsi="Times New Roman" w:cs="Times New Roman"/>
          <w:sz w:val="24"/>
          <w:szCs w:val="24"/>
        </w:rPr>
        <w:t xml:space="preserve">Además, el Gobierno decidió penalizar a los alumnos que reiteradamente suspenden asignaturas, lo que encarece la factura para el erario público. Así, si un alumno suspende una asignatura, la tasa se incrementa hasta el </w:t>
      </w:r>
      <w:r w:rsidRPr="008D0E91">
        <w:rPr>
          <w:rStyle w:val="Textoennegrita"/>
          <w:rFonts w:ascii="Times New Roman" w:hAnsi="Times New Roman" w:cs="Times New Roman"/>
          <w:b w:val="0"/>
          <w:sz w:val="24"/>
          <w:szCs w:val="24"/>
        </w:rPr>
        <w:t>40% del coste real</w:t>
      </w:r>
      <w:r w:rsidRPr="008D0E91">
        <w:rPr>
          <w:rFonts w:ascii="Times New Roman" w:hAnsi="Times New Roman" w:cs="Times New Roman"/>
          <w:sz w:val="24"/>
          <w:szCs w:val="24"/>
        </w:rPr>
        <w:t>. Si insiste en no aprobar, se encarece hasta el 75% de lo que cuesta su matrícula anual. Finalmente, si suspende por cuarta vez, el estudiante deberá afrontar entre el 90% y el 100% de la factura real de su matrícula.</w:t>
      </w:r>
    </w:p>
    <w:p w:rsidR="00A55FE1" w:rsidRPr="008D0E91" w:rsidRDefault="00A55FE1" w:rsidP="00550638">
      <w:pPr>
        <w:shd w:val="clear" w:color="auto" w:fill="FFFFFF"/>
        <w:spacing w:beforeAutospacing="1" w:after="0" w:afterAutospacing="1" w:line="240" w:lineRule="auto"/>
        <w:jc w:val="both"/>
        <w:rPr>
          <w:rStyle w:val="ladillo2"/>
          <w:rFonts w:ascii="Times New Roman" w:hAnsi="Times New Roman" w:cs="Times New Roman"/>
          <w:b w:val="0"/>
          <w:color w:val="auto"/>
          <w:sz w:val="24"/>
          <w:szCs w:val="24"/>
        </w:rPr>
      </w:pPr>
      <w:r w:rsidRPr="008D0E91">
        <w:rPr>
          <w:rStyle w:val="ladillo2"/>
          <w:rFonts w:ascii="Times New Roman" w:hAnsi="Times New Roman" w:cs="Times New Roman"/>
          <w:b w:val="0"/>
          <w:color w:val="auto"/>
          <w:sz w:val="24"/>
          <w:szCs w:val="24"/>
          <w:specVanish w:val="0"/>
        </w:rPr>
        <w:t>Más gasto en becas</w:t>
      </w:r>
    </w:p>
    <w:p w:rsidR="008D0E91" w:rsidRDefault="00A55FE1" w:rsidP="00550638">
      <w:pPr>
        <w:shd w:val="clear" w:color="auto" w:fill="FFFFFF"/>
        <w:spacing w:beforeAutospacing="1" w:after="0" w:afterAutospacing="1" w:line="240" w:lineRule="auto"/>
        <w:jc w:val="both"/>
        <w:rPr>
          <w:rStyle w:val="ladillo2"/>
          <w:rFonts w:ascii="Times New Roman" w:hAnsi="Times New Roman" w:cs="Times New Roman"/>
          <w:b w:val="0"/>
          <w:color w:val="auto"/>
          <w:sz w:val="24"/>
          <w:szCs w:val="24"/>
        </w:rPr>
      </w:pPr>
      <w:r w:rsidRPr="008D0E91">
        <w:rPr>
          <w:rFonts w:ascii="Times New Roman" w:hAnsi="Times New Roman" w:cs="Times New Roman"/>
          <w:sz w:val="24"/>
          <w:szCs w:val="24"/>
        </w:rPr>
        <w:t xml:space="preserve">En cuanto a la presunta reducción en becas, lo cierto es que esta partida ha aumentado en </w:t>
      </w:r>
      <w:r w:rsidRPr="008D0E91">
        <w:rPr>
          <w:rStyle w:val="Textoennegrita"/>
          <w:rFonts w:ascii="Times New Roman" w:hAnsi="Times New Roman" w:cs="Times New Roman"/>
          <w:b w:val="0"/>
          <w:sz w:val="24"/>
          <w:szCs w:val="24"/>
        </w:rPr>
        <w:t>250 millones de euros</w:t>
      </w:r>
      <w:r w:rsidRPr="008D0E91">
        <w:rPr>
          <w:rFonts w:ascii="Times New Roman" w:hAnsi="Times New Roman" w:cs="Times New Roman"/>
          <w:sz w:val="24"/>
          <w:szCs w:val="24"/>
        </w:rPr>
        <w:t>, un 20% más respecto al año pasado, hasta alcanzar un total de 1.400 millones. Lo que ha cambiado es la nota media para acceder a estas ayudas: ahora se pide un 5,5 de calificación media para acceder a la gratuidad. Estos alumnos estarían exentos de pagar ese 20% que afrontan los que no tienen asignada una beca.</w:t>
      </w:r>
    </w:p>
    <w:p w:rsidR="00A55FE1" w:rsidRPr="008D0E91" w:rsidRDefault="00A55FE1" w:rsidP="00550638">
      <w:pPr>
        <w:shd w:val="clear" w:color="auto" w:fill="FFFFFF"/>
        <w:spacing w:beforeAutospacing="1" w:after="0" w:afterAutospacing="1" w:line="240" w:lineRule="auto"/>
        <w:jc w:val="both"/>
        <w:rPr>
          <w:rStyle w:val="ladillo2"/>
          <w:rFonts w:ascii="Times New Roman" w:hAnsi="Times New Roman" w:cs="Times New Roman"/>
          <w:b w:val="0"/>
          <w:color w:val="auto"/>
          <w:sz w:val="24"/>
          <w:szCs w:val="24"/>
        </w:rPr>
      </w:pPr>
      <w:r w:rsidRPr="008D0E91">
        <w:rPr>
          <w:rStyle w:val="ladillo2"/>
          <w:rFonts w:ascii="Times New Roman" w:hAnsi="Times New Roman" w:cs="Times New Roman"/>
          <w:b w:val="0"/>
          <w:color w:val="auto"/>
          <w:sz w:val="24"/>
          <w:szCs w:val="24"/>
          <w:specVanish w:val="0"/>
        </w:rPr>
        <w:lastRenderedPageBreak/>
        <w:t>Más gasto por alumno</w:t>
      </w:r>
    </w:p>
    <w:p w:rsidR="00A55FE1" w:rsidRPr="008D0E91" w:rsidRDefault="00A55FE1" w:rsidP="00550638">
      <w:pPr>
        <w:shd w:val="clear" w:color="auto" w:fill="FFFFFF"/>
        <w:spacing w:beforeAutospacing="1" w:after="0" w:afterAutospacing="1" w:line="240" w:lineRule="auto"/>
        <w:jc w:val="both"/>
        <w:rPr>
          <w:rFonts w:ascii="Times New Roman" w:hAnsi="Times New Roman" w:cs="Times New Roman"/>
          <w:sz w:val="24"/>
          <w:szCs w:val="24"/>
        </w:rPr>
      </w:pPr>
      <w:r w:rsidRPr="008D0E91">
        <w:rPr>
          <w:rFonts w:ascii="Times New Roman" w:hAnsi="Times New Roman" w:cs="Times New Roman"/>
          <w:sz w:val="24"/>
          <w:szCs w:val="24"/>
        </w:rPr>
        <w:t>Tampoco se puede decir que el gasto público en la educación sea pequeño. De hecho, España es uno de los países del mundo que más gasta en este apartado. El Estado español invierte unos 8.600 euros por estudiante al año. Es el séptimo país de la Unión Europea que más desembolsa, según un informe de la OCDE. De media, en la Unión Europea el gasto es de 7.700 euros anuales por alumno.</w:t>
      </w:r>
    </w:p>
    <w:p w:rsidR="00A55FE1" w:rsidRPr="008D0E91" w:rsidRDefault="00A55FE1" w:rsidP="00550638">
      <w:pPr>
        <w:shd w:val="clear" w:color="auto" w:fill="FFFFFF"/>
        <w:spacing w:before="100" w:beforeAutospacing="1" w:after="100" w:afterAutospacing="1" w:line="240" w:lineRule="auto"/>
        <w:jc w:val="both"/>
        <w:rPr>
          <w:rFonts w:ascii="Times New Roman" w:hAnsi="Times New Roman" w:cs="Times New Roman"/>
          <w:sz w:val="24"/>
          <w:szCs w:val="24"/>
        </w:rPr>
      </w:pPr>
      <w:r w:rsidRPr="008D0E91">
        <w:rPr>
          <w:rFonts w:ascii="Times New Roman" w:hAnsi="Times New Roman" w:cs="Times New Roman"/>
          <w:sz w:val="24"/>
          <w:szCs w:val="24"/>
        </w:rPr>
        <w:t xml:space="preserve">Más datos. El </w:t>
      </w:r>
      <w:r w:rsidRPr="008D0E91">
        <w:rPr>
          <w:rStyle w:val="Textoennegrita"/>
          <w:rFonts w:ascii="Times New Roman" w:hAnsi="Times New Roman" w:cs="Times New Roman"/>
          <w:b w:val="0"/>
          <w:sz w:val="24"/>
          <w:szCs w:val="24"/>
        </w:rPr>
        <w:t xml:space="preserve">2,5% del gasto público </w:t>
      </w:r>
      <w:r w:rsidRPr="008D0E91">
        <w:rPr>
          <w:rFonts w:ascii="Times New Roman" w:hAnsi="Times New Roman" w:cs="Times New Roman"/>
          <w:sz w:val="24"/>
          <w:szCs w:val="24"/>
        </w:rPr>
        <w:t>en España está destinado a la educación universitaria. En otros países de nuestro entorno, esta partida es menor: Francia (2,3%), Portugal (2,2%), Reino Unido (2%) o Italia (1,7%).</w:t>
      </w:r>
    </w:p>
    <w:p w:rsidR="00A55FE1" w:rsidRPr="008D0E91" w:rsidRDefault="00A55FE1" w:rsidP="00550638">
      <w:pPr>
        <w:shd w:val="clear" w:color="auto" w:fill="FFFFFF"/>
        <w:spacing w:before="100" w:beforeAutospacing="1" w:after="100" w:afterAutospacing="1" w:line="240" w:lineRule="auto"/>
        <w:jc w:val="both"/>
        <w:rPr>
          <w:rFonts w:ascii="Times New Roman" w:hAnsi="Times New Roman" w:cs="Times New Roman"/>
          <w:sz w:val="24"/>
          <w:szCs w:val="24"/>
        </w:rPr>
      </w:pPr>
      <w:r w:rsidRPr="008D0E91">
        <w:rPr>
          <w:rFonts w:ascii="Times New Roman" w:hAnsi="Times New Roman" w:cs="Times New Roman"/>
          <w:sz w:val="24"/>
          <w:szCs w:val="24"/>
        </w:rPr>
        <w:t>Además, el gasto público en educación ha sufrido una subida en España del 31% entre los años 2000 y 2010. En la UE este incremento de los recursos públicos ha sido también menor: sólo un 19%.</w:t>
      </w:r>
    </w:p>
    <w:p w:rsidR="00A55FE1" w:rsidRPr="008D0E91" w:rsidRDefault="00A55FE1" w:rsidP="00550638">
      <w:pPr>
        <w:shd w:val="clear" w:color="auto" w:fill="FFFFFF"/>
        <w:spacing w:beforeAutospacing="1" w:after="0" w:afterAutospacing="1" w:line="240" w:lineRule="auto"/>
        <w:jc w:val="both"/>
        <w:rPr>
          <w:rFonts w:ascii="Times New Roman" w:hAnsi="Times New Roman" w:cs="Times New Roman"/>
          <w:sz w:val="24"/>
          <w:szCs w:val="24"/>
        </w:rPr>
      </w:pPr>
      <w:r w:rsidRPr="008D0E91">
        <w:rPr>
          <w:rFonts w:ascii="Times New Roman" w:hAnsi="Times New Roman" w:cs="Times New Roman"/>
          <w:sz w:val="24"/>
          <w:szCs w:val="24"/>
        </w:rPr>
        <w:t>Esta cifra contrasta con el aumento del número de alumnos registrado en España en la educación universitaria. En esa década se ha incrementado la población universitaria en un 4%. En Europa alcanza el 22%.</w:t>
      </w:r>
    </w:p>
    <w:p w:rsidR="00A55FE1" w:rsidRPr="008D0E91" w:rsidRDefault="00A55FE1" w:rsidP="00550638">
      <w:pPr>
        <w:shd w:val="clear" w:color="auto" w:fill="FFFFFF"/>
        <w:spacing w:beforeAutospacing="1" w:after="0" w:afterAutospacing="1" w:line="240" w:lineRule="auto"/>
        <w:jc w:val="both"/>
        <w:rPr>
          <w:rStyle w:val="ladillo2"/>
          <w:rFonts w:ascii="Times New Roman" w:hAnsi="Times New Roman" w:cs="Times New Roman"/>
          <w:b w:val="0"/>
          <w:color w:val="auto"/>
          <w:sz w:val="24"/>
          <w:szCs w:val="24"/>
        </w:rPr>
      </w:pPr>
      <w:r w:rsidRPr="008D0E91">
        <w:rPr>
          <w:rStyle w:val="ladillo2"/>
          <w:rFonts w:ascii="Times New Roman" w:hAnsi="Times New Roman" w:cs="Times New Roman"/>
          <w:b w:val="0"/>
          <w:color w:val="auto"/>
          <w:sz w:val="24"/>
          <w:szCs w:val="24"/>
          <w:specVanish w:val="0"/>
        </w:rPr>
        <w:t>Sueldos más altos</w:t>
      </w:r>
    </w:p>
    <w:p w:rsidR="00A55FE1" w:rsidRPr="008D0E91" w:rsidRDefault="00A55FE1" w:rsidP="00550638">
      <w:pPr>
        <w:shd w:val="clear" w:color="auto" w:fill="FFFFFF"/>
        <w:spacing w:beforeAutospacing="1" w:after="0" w:afterAutospacing="1" w:line="240" w:lineRule="auto"/>
        <w:jc w:val="both"/>
        <w:rPr>
          <w:rFonts w:ascii="Times New Roman" w:hAnsi="Times New Roman" w:cs="Times New Roman"/>
          <w:sz w:val="24"/>
          <w:szCs w:val="24"/>
        </w:rPr>
      </w:pPr>
      <w:r w:rsidRPr="008D0E91">
        <w:rPr>
          <w:rFonts w:ascii="Times New Roman" w:hAnsi="Times New Roman" w:cs="Times New Roman"/>
          <w:sz w:val="24"/>
          <w:szCs w:val="24"/>
        </w:rPr>
        <w:t xml:space="preserve">Por último, los </w:t>
      </w:r>
      <w:r w:rsidRPr="008D0E91">
        <w:rPr>
          <w:rStyle w:val="Textoennegrita"/>
          <w:rFonts w:ascii="Times New Roman" w:hAnsi="Times New Roman" w:cs="Times New Roman"/>
          <w:b w:val="0"/>
          <w:sz w:val="24"/>
          <w:szCs w:val="24"/>
        </w:rPr>
        <w:t xml:space="preserve">profesores </w:t>
      </w:r>
      <w:r w:rsidRPr="008D0E91">
        <w:rPr>
          <w:rFonts w:ascii="Times New Roman" w:hAnsi="Times New Roman" w:cs="Times New Roman"/>
          <w:sz w:val="24"/>
          <w:szCs w:val="24"/>
        </w:rPr>
        <w:t xml:space="preserve">de los centros educativos públicos no deberían quejarse de sus sueldos, puesto que salen ganando si se comparan con el </w:t>
      </w:r>
      <w:r w:rsidRPr="008D0E91">
        <w:rPr>
          <w:rStyle w:val="Textoennegrita"/>
          <w:rFonts w:ascii="Times New Roman" w:hAnsi="Times New Roman" w:cs="Times New Roman"/>
          <w:b w:val="0"/>
          <w:sz w:val="24"/>
          <w:szCs w:val="24"/>
        </w:rPr>
        <w:t>resto de Europa</w:t>
      </w:r>
      <w:r w:rsidRPr="008D0E91">
        <w:rPr>
          <w:rFonts w:ascii="Times New Roman" w:hAnsi="Times New Roman" w:cs="Times New Roman"/>
          <w:sz w:val="24"/>
          <w:szCs w:val="24"/>
        </w:rPr>
        <w:t>. Los docentes españoles perciben un salario de 29.200 euros al año nada más empezar su carrera profesional. La media de la Unión Europea apenas llega a los 23.000 euros, según un informe de la OCDE que ofrece datos de 2012. Los profesores españoles ganan más que sus colegas franceses (21.000 euros), italianos (21.300 euros) o ingleses (22.000 euros).</w:t>
      </w:r>
    </w:p>
    <w:p w:rsidR="00A55FE1" w:rsidRPr="008D0E91" w:rsidRDefault="00A55FE1" w:rsidP="00550638">
      <w:pPr>
        <w:shd w:val="clear" w:color="auto" w:fill="FFFFFF"/>
        <w:spacing w:before="100" w:beforeAutospacing="1" w:after="100" w:afterAutospacing="1" w:line="240" w:lineRule="auto"/>
        <w:jc w:val="both"/>
        <w:rPr>
          <w:rFonts w:ascii="Times New Roman" w:hAnsi="Times New Roman" w:cs="Times New Roman"/>
          <w:sz w:val="24"/>
          <w:szCs w:val="24"/>
        </w:rPr>
      </w:pPr>
      <w:r w:rsidRPr="008D0E91">
        <w:rPr>
          <w:rFonts w:ascii="Times New Roman" w:hAnsi="Times New Roman" w:cs="Times New Roman"/>
          <w:sz w:val="24"/>
          <w:szCs w:val="24"/>
        </w:rPr>
        <w:t xml:space="preserve">Pese a estos altos costes para el Estado, la educación en España es de tan baja calidad que un titulado universitario genera a la sociedad </w:t>
      </w:r>
      <w:r w:rsidRPr="008D0E91">
        <w:rPr>
          <w:rStyle w:val="Textoennegrita"/>
          <w:rFonts w:ascii="Times New Roman" w:hAnsi="Times New Roman" w:cs="Times New Roman"/>
          <w:b w:val="0"/>
          <w:sz w:val="24"/>
          <w:szCs w:val="24"/>
        </w:rPr>
        <w:t xml:space="preserve">19.900 euros </w:t>
      </w:r>
      <w:r w:rsidRPr="008D0E91">
        <w:rPr>
          <w:rFonts w:ascii="Times New Roman" w:hAnsi="Times New Roman" w:cs="Times New Roman"/>
          <w:sz w:val="24"/>
          <w:szCs w:val="24"/>
        </w:rPr>
        <w:t>en beneficio público, según la OSCE. En la UE esta cifra es mucho mayor: 8</w:t>
      </w:r>
      <w:r w:rsidR="008D0E91">
        <w:rPr>
          <w:rFonts w:ascii="Times New Roman" w:hAnsi="Times New Roman" w:cs="Times New Roman"/>
          <w:sz w:val="24"/>
          <w:szCs w:val="24"/>
        </w:rPr>
        <w:t>3.800 euros. En EE</w:t>
      </w:r>
      <w:r w:rsidRPr="008D0E91">
        <w:rPr>
          <w:rFonts w:ascii="Times New Roman" w:hAnsi="Times New Roman" w:cs="Times New Roman"/>
          <w:sz w:val="24"/>
          <w:szCs w:val="24"/>
        </w:rPr>
        <w:t>UU, por ejemplo, el retorno económico llega a los 167.000 euros por universitario. </w:t>
      </w:r>
    </w:p>
    <w:p w:rsidR="00E2584C" w:rsidRDefault="00E2584C" w:rsidP="00550638">
      <w:pPr>
        <w:pStyle w:val="NormalWeb"/>
        <w:jc w:val="both"/>
      </w:pPr>
    </w:p>
    <w:p w:rsidR="00C730C3" w:rsidRDefault="00C730C3" w:rsidP="00550638">
      <w:pPr>
        <w:pStyle w:val="NormalWeb"/>
        <w:jc w:val="both"/>
        <w:rPr>
          <w:b/>
        </w:rPr>
      </w:pPr>
    </w:p>
    <w:p w:rsidR="00C730C3" w:rsidRDefault="00C730C3" w:rsidP="00550638">
      <w:pPr>
        <w:pStyle w:val="NormalWeb"/>
        <w:jc w:val="both"/>
        <w:rPr>
          <w:b/>
        </w:rPr>
      </w:pPr>
    </w:p>
    <w:p w:rsidR="00C730C3" w:rsidRDefault="00C730C3" w:rsidP="00550638">
      <w:pPr>
        <w:pStyle w:val="NormalWeb"/>
        <w:jc w:val="both"/>
        <w:rPr>
          <w:b/>
        </w:rPr>
      </w:pPr>
    </w:p>
    <w:p w:rsidR="00C730C3" w:rsidRDefault="00C730C3" w:rsidP="00550638">
      <w:pPr>
        <w:pStyle w:val="NormalWeb"/>
        <w:jc w:val="both"/>
        <w:rPr>
          <w:b/>
        </w:rPr>
      </w:pPr>
    </w:p>
    <w:p w:rsidR="00C730C3" w:rsidRDefault="00C730C3" w:rsidP="00550638">
      <w:pPr>
        <w:pStyle w:val="NormalWeb"/>
        <w:jc w:val="both"/>
        <w:rPr>
          <w:b/>
        </w:rPr>
      </w:pPr>
    </w:p>
    <w:p w:rsidR="00C730C3" w:rsidRDefault="00C730C3" w:rsidP="00550638">
      <w:pPr>
        <w:pStyle w:val="NormalWeb"/>
        <w:jc w:val="both"/>
        <w:rPr>
          <w:b/>
        </w:rPr>
      </w:pPr>
    </w:p>
    <w:p w:rsidR="00C730C3" w:rsidRDefault="00C730C3" w:rsidP="00550638">
      <w:pPr>
        <w:pStyle w:val="NormalWeb"/>
        <w:jc w:val="both"/>
        <w:rPr>
          <w:b/>
        </w:rPr>
      </w:pPr>
    </w:p>
    <w:p w:rsidR="006A5739" w:rsidRDefault="00780364" w:rsidP="00550638">
      <w:pPr>
        <w:pStyle w:val="NormalWeb"/>
        <w:jc w:val="both"/>
        <w:rPr>
          <w:b/>
        </w:rPr>
      </w:pPr>
      <w:r>
        <w:rPr>
          <w:b/>
        </w:rPr>
        <w:lastRenderedPageBreak/>
        <w:t xml:space="preserve">3 </w:t>
      </w:r>
      <w:r w:rsidR="009D0602">
        <w:rPr>
          <w:b/>
        </w:rPr>
        <w:t>- Enfermos de esperar</w:t>
      </w:r>
    </w:p>
    <w:p w:rsidR="00576B44" w:rsidRDefault="00576B44"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Arial" w:hAnsi="Arial" w:cs="Arial"/>
          <w:noProof/>
          <w:color w:val="333333"/>
          <w:sz w:val="20"/>
          <w:szCs w:val="20"/>
          <w:lang w:eastAsia="es-ES"/>
        </w:rPr>
        <w:drawing>
          <wp:inline distT="0" distB="0" distL="0" distR="0" wp14:anchorId="61DB8C96" wp14:editId="3EAD4144">
            <wp:extent cx="5391302" cy="2172615"/>
            <wp:effectExtent l="0" t="0" r="0" b="0"/>
            <wp:docPr id="464" name="Imagen 464" descr="sala de operaciones del hospital Jackson de Missisi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ala de operaciones del hospital Jackson de Missisipi"/>
                    <pic:cNvPicPr>
                      <a:picLocks noChangeAspect="1" noChangeArrowheads="1"/>
                    </pic:cNvPicPr>
                  </pic:nvPicPr>
                  <pic:blipFill>
                    <a:blip r:embed="rId356">
                      <a:extLst>
                        <a:ext uri="{28A0092B-C50C-407E-A947-70E740481C1C}">
                          <a14:useLocalDpi xmlns:a14="http://schemas.microsoft.com/office/drawing/2010/main" val="0"/>
                        </a:ext>
                      </a:extLst>
                    </a:blip>
                    <a:srcRect/>
                    <a:stretch>
                      <a:fillRect/>
                    </a:stretch>
                  </pic:blipFill>
                  <pic:spPr bwMode="auto">
                    <a:xfrm>
                      <a:off x="0" y="0"/>
                      <a:ext cx="5391397" cy="2172653"/>
                    </a:xfrm>
                    <a:prstGeom prst="rect">
                      <a:avLst/>
                    </a:prstGeom>
                    <a:noFill/>
                    <a:ln>
                      <a:noFill/>
                    </a:ln>
                  </pic:spPr>
                </pic:pic>
              </a:graphicData>
            </a:graphic>
          </wp:inline>
        </w:drawing>
      </w:r>
    </w:p>
    <w:p w:rsidR="00BA21D0" w:rsidRPr="00BA21D0" w:rsidRDefault="00BA21D0" w:rsidP="00550638">
      <w:pPr>
        <w:spacing w:line="240" w:lineRule="auto"/>
        <w:jc w:val="both"/>
        <w:rPr>
          <w:rFonts w:ascii="Times New Roman" w:hAnsi="Times New Roman" w:cs="Times New Roman"/>
          <w:b/>
          <w:sz w:val="24"/>
          <w:szCs w:val="24"/>
        </w:rPr>
      </w:pPr>
      <w:r>
        <w:rPr>
          <w:rFonts w:ascii="Times New Roman" w:eastAsia="Times New Roman" w:hAnsi="Times New Roman"/>
          <w:bCs/>
          <w:kern w:val="36"/>
          <w:sz w:val="24"/>
          <w:szCs w:val="24"/>
          <w:lang w:eastAsia="es-ES"/>
        </w:rPr>
        <w:t>En Febrero, de 2005, publiqué el Paper</w:t>
      </w:r>
      <w:r w:rsidRPr="003F59D2">
        <w:rPr>
          <w:rFonts w:ascii="Times New Roman" w:eastAsia="Times New Roman" w:hAnsi="Times New Roman"/>
          <w:bCs/>
          <w:kern w:val="36"/>
          <w:sz w:val="24"/>
          <w:szCs w:val="24"/>
          <w:lang w:eastAsia="es-ES"/>
        </w:rPr>
        <w:t xml:space="preserve"> titulado:</w:t>
      </w:r>
      <w:r>
        <w:rPr>
          <w:rFonts w:ascii="Times New Roman" w:eastAsia="Times New Roman" w:hAnsi="Times New Roman"/>
          <w:bCs/>
          <w:kern w:val="36"/>
          <w:sz w:val="24"/>
          <w:szCs w:val="24"/>
          <w:lang w:eastAsia="es-ES"/>
        </w:rPr>
        <w:t xml:space="preserve"> </w:t>
      </w:r>
      <w:r w:rsidRPr="00BA21D0">
        <w:rPr>
          <w:rFonts w:ascii="Times New Roman" w:hAnsi="Times New Roman" w:cs="Times New Roman"/>
          <w:b/>
          <w:sz w:val="24"/>
          <w:szCs w:val="24"/>
        </w:rPr>
        <w:t>El “fusilamiento” del Estado del Bienestar</w:t>
      </w:r>
    </w:p>
    <w:p w:rsidR="00BA21D0" w:rsidRPr="00BA21D0" w:rsidRDefault="00BA21D0" w:rsidP="00550638">
      <w:pPr>
        <w:spacing w:before="100" w:beforeAutospacing="1" w:after="100" w:afterAutospacing="1" w:line="240" w:lineRule="auto"/>
        <w:jc w:val="both"/>
        <w:outlineLvl w:val="0"/>
        <w:rPr>
          <w:rFonts w:ascii="Times New Roman" w:eastAsia="Times New Roman" w:hAnsi="Times New Roman"/>
          <w:bCs/>
          <w:kern w:val="36"/>
          <w:sz w:val="24"/>
          <w:szCs w:val="24"/>
          <w:u w:val="single"/>
          <w:lang w:eastAsia="es-ES"/>
        </w:rPr>
      </w:pPr>
      <w:r>
        <w:rPr>
          <w:rFonts w:ascii="Times New Roman" w:eastAsia="Times New Roman" w:hAnsi="Times New Roman"/>
          <w:bCs/>
          <w:kern w:val="36"/>
          <w:sz w:val="24"/>
          <w:szCs w:val="24"/>
          <w:lang w:eastAsia="es-ES"/>
        </w:rPr>
        <w:t xml:space="preserve"> </w:t>
      </w:r>
      <w:r>
        <w:rPr>
          <w:rFonts w:ascii="Times New Roman" w:hAnsi="Times New Roman"/>
          <w:sz w:val="24"/>
          <w:szCs w:val="24"/>
        </w:rPr>
        <w:t xml:space="preserve">En el </w:t>
      </w:r>
      <w:r w:rsidRPr="00AF6425">
        <w:rPr>
          <w:rFonts w:ascii="Times New Roman" w:hAnsi="Times New Roman"/>
          <w:sz w:val="24"/>
          <w:szCs w:val="24"/>
          <w:u w:val="single"/>
        </w:rPr>
        <w:t>Apartado</w:t>
      </w:r>
      <w:r>
        <w:rPr>
          <w:rFonts w:ascii="Times New Roman" w:hAnsi="Times New Roman"/>
          <w:sz w:val="24"/>
          <w:szCs w:val="24"/>
        </w:rPr>
        <w:t xml:space="preserve">: </w:t>
      </w:r>
      <w:r w:rsidRPr="00BA21D0">
        <w:rPr>
          <w:rFonts w:ascii="Times New Roman" w:hAnsi="Times New Roman"/>
          <w:sz w:val="24"/>
          <w:szCs w:val="24"/>
        </w:rPr>
        <w:t xml:space="preserve">- </w:t>
      </w:r>
      <w:r w:rsidRPr="00BA21D0">
        <w:rPr>
          <w:rFonts w:ascii="Times New Roman" w:hAnsi="Times New Roman" w:cs="Times New Roman"/>
          <w:sz w:val="24"/>
          <w:szCs w:val="24"/>
          <w:u w:val="single"/>
        </w:rPr>
        <w:t>La felicidad nacional bruta</w:t>
      </w:r>
    </w:p>
    <w:p w:rsidR="00BA21D0" w:rsidRPr="00BA21D0" w:rsidRDefault="00BA21D0" w:rsidP="00550638">
      <w:pPr>
        <w:spacing w:line="240" w:lineRule="auto"/>
        <w:jc w:val="both"/>
        <w:rPr>
          <w:rFonts w:ascii="Times New Roman" w:hAnsi="Times New Roman"/>
          <w:sz w:val="24"/>
          <w:szCs w:val="24"/>
        </w:rPr>
      </w:pPr>
      <w:r>
        <w:rPr>
          <w:rFonts w:ascii="Times New Roman" w:hAnsi="Times New Roman"/>
          <w:sz w:val="24"/>
          <w:szCs w:val="24"/>
        </w:rPr>
        <w:t>Decía:</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 xml:space="preserve">Los economistas siguen buscando un baremo para medir la felicidad. Para el utilitarista Bentham el objetivo de la política económica era “dar la mayor felicidad al mayor número de personas”. </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Pese a que el crecimiento económico es la prioridad de todo gobierno, no está claro que los au</w:t>
      </w:r>
      <w:r>
        <w:rPr>
          <w:rFonts w:ascii="Times New Roman" w:hAnsi="Times New Roman" w:cs="Times New Roman"/>
          <w:sz w:val="24"/>
          <w:szCs w:val="24"/>
        </w:rPr>
        <w:t>mentos de la riqueza económica -</w:t>
      </w:r>
      <w:r w:rsidRPr="00BA21D0">
        <w:rPr>
          <w:rFonts w:ascii="Times New Roman" w:hAnsi="Times New Roman" w:cs="Times New Roman"/>
          <w:sz w:val="24"/>
          <w:szCs w:val="24"/>
        </w:rPr>
        <w:t xml:space="preserve">el archicitado PIB- conlleven más felicidad. </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 xml:space="preserve">En EEUU, la duplicación del PIB per cápita desde 1995 ha coincidido con una reducción del 20% de los que dicen ser muy felices. </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Una encuesta poblacional en China revela que aunque la mayoría ha mejorado su situación económica en los últimos años, en general, no se consideran más satisfechos con sus vidas.</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El sondeo, realizado por la empresa internacional Gallup, muestra que el ingreso promedio en China es dos veces y media mayor que el registrado en 1994.</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Sin embargo, la proporción de la población que expresa satisfacción con respecto a los que dicen ser infelices es menor</w:t>
      </w:r>
      <w:r>
        <w:rPr>
          <w:rFonts w:ascii="Times New Roman" w:hAnsi="Times New Roman" w:cs="Times New Roman"/>
          <w:sz w:val="24"/>
          <w:szCs w:val="24"/>
        </w:rPr>
        <w:t xml:space="preserve"> que hace una década.</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¿Cómo se mide algo tan subjetivo como la felicidad?</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Hace pocos días (durante la primera quincena del mes de enero de 2005) en Filadelfia, el premio Nobel de Economía Daniel Kahneman se ha juntado con neuropsicólogos en la conferencia de la Asociación Americana de Economistas, para investigar la viabilidad de elaborar un indicador cuantificable de la felicidad, un complemento de indicadores como el producto interior bruto (PIB) que mide el volumen de una economía dada, o los salarios. Hasta la revista Time anuncia la nueva “ciencia” de la felicidad en su última portada.</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lastRenderedPageBreak/>
        <w:t>Kahneman, en colaboración con Alan Krueger, de la Universidad de Princeton, y el neuropsicólogo de la Uni</w:t>
      </w:r>
      <w:r>
        <w:rPr>
          <w:rFonts w:ascii="Times New Roman" w:hAnsi="Times New Roman" w:cs="Times New Roman"/>
          <w:sz w:val="24"/>
          <w:szCs w:val="24"/>
        </w:rPr>
        <w:t>versidad de Illinois Ed Diener -</w:t>
      </w:r>
      <w:r w:rsidRPr="00BA21D0">
        <w:rPr>
          <w:rFonts w:ascii="Times New Roman" w:hAnsi="Times New Roman" w:cs="Times New Roman"/>
          <w:sz w:val="24"/>
          <w:szCs w:val="24"/>
        </w:rPr>
        <w:t>conocido como el “Doctor de la Felicidad”, está a punto de estrenar un índice de la felicidad. “Estamos avanzando hacia la creación del indicador fiable de bienestar”, explicó Alan Krueger a “</w:t>
      </w:r>
      <w:r w:rsidRPr="009564C3">
        <w:rPr>
          <w:rFonts w:ascii="Times New Roman" w:hAnsi="Times New Roman" w:cs="Times New Roman"/>
          <w:i/>
          <w:sz w:val="24"/>
          <w:szCs w:val="24"/>
        </w:rPr>
        <w:t>La Vanguardia</w:t>
      </w:r>
      <w:r w:rsidRPr="00BA21D0">
        <w:rPr>
          <w:rFonts w:ascii="Times New Roman" w:hAnsi="Times New Roman" w:cs="Times New Roman"/>
          <w:sz w:val="24"/>
          <w:szCs w:val="24"/>
        </w:rPr>
        <w:t>” (14/01/05)</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“Los aumentos de la renta en los países en los últimos 50 años no han producido ninguna mejora en el grado de satisfacción”, explica Kahneman.</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Kahneman ha descubierto lo mismo en sus estudios “micro” de la satisfacción en la vida cotidiana en EEUU. En sus llamados métodos de “reconstrucción del día”, hace una serie de preguntas sobre el estado anímico durante cada actividad, desde las llamadas telefónicas hasta el ejercicio físico, desde ver la tele hasta rezar. Concluye que factores como la calidad del sueño o el estado emocional “son mucho más importantes para su felicidad que circunstancias generales como su renta o educación.</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“La renta real ha crecido tanto desde la Segunda Guerra Mundial que ahora tenemos que averiguar qué más hay en el bienestar”, dice Andrew Oswald, el economista británico que participó en la conferencia de la AEA. En los próximos años “vamos a ver un indicad</w:t>
      </w:r>
      <w:r>
        <w:rPr>
          <w:rFonts w:ascii="Times New Roman" w:hAnsi="Times New Roman" w:cs="Times New Roman"/>
          <w:sz w:val="24"/>
          <w:szCs w:val="24"/>
        </w:rPr>
        <w:t>or de felicidad nacional bruta”</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Pero, en otras áreas, la economía sí incide directamente en la felicidad. Oswald ha descubierto que mientras los niveles absolutos de la renta no influyen demasiado en la satis</w:t>
      </w:r>
      <w:r>
        <w:rPr>
          <w:rFonts w:ascii="Times New Roman" w:hAnsi="Times New Roman" w:cs="Times New Roman"/>
          <w:sz w:val="24"/>
          <w:szCs w:val="24"/>
        </w:rPr>
        <w:t>facción, los niveles relativos -</w:t>
      </w:r>
      <w:r w:rsidRPr="00BA21D0">
        <w:rPr>
          <w:rFonts w:ascii="Times New Roman" w:hAnsi="Times New Roman" w:cs="Times New Roman"/>
          <w:sz w:val="24"/>
          <w:szCs w:val="24"/>
        </w:rPr>
        <w:t>el grado de desigualdad- son un factor crucial. Según sus estudios sobr</w:t>
      </w:r>
      <w:r>
        <w:rPr>
          <w:rFonts w:ascii="Times New Roman" w:hAnsi="Times New Roman" w:cs="Times New Roman"/>
          <w:sz w:val="24"/>
          <w:szCs w:val="24"/>
        </w:rPr>
        <w:t>e EEUU, en los estados rurales -</w:t>
      </w:r>
      <w:r w:rsidRPr="00BA21D0">
        <w:rPr>
          <w:rFonts w:ascii="Times New Roman" w:hAnsi="Times New Roman" w:cs="Times New Roman"/>
          <w:sz w:val="24"/>
          <w:szCs w:val="24"/>
        </w:rPr>
        <w:t>como Kansas- existe una mayor desigualdad de renta y por ello “el ciudadano medio es algo menos feliz que en las ciudades”. Es una conclusión que da que pensar dado el consenso ortodoxo actual en el que la optimización del crecimiento del PIB requiere un sistema tributario menos redistributivo.</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Es más, según David Leibser, economista de la Universidad de Harvard, “muchos estadounidenses incluso los de renta alta, trabajan mucho y no son felices”. Pero, según la ortodoxia económica, es precisamente el mayor número de horas que se trabaja en EEUU lo que explica su superioridad frente a Europa en crecimiento y riqueza.</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Uno de los pensadores sociales más populares de nuestro tiempo, Jeremy Rifkin, autor de best-sellers como “</w:t>
      </w:r>
      <w:r w:rsidRPr="00F648B9">
        <w:rPr>
          <w:rFonts w:ascii="Times New Roman" w:hAnsi="Times New Roman" w:cs="Times New Roman"/>
          <w:i/>
          <w:sz w:val="24"/>
          <w:szCs w:val="24"/>
        </w:rPr>
        <w:t>El siglo de la biotecnología</w:t>
      </w:r>
      <w:r w:rsidRPr="00BA21D0">
        <w:rPr>
          <w:rFonts w:ascii="Times New Roman" w:hAnsi="Times New Roman" w:cs="Times New Roman"/>
          <w:sz w:val="24"/>
          <w:szCs w:val="24"/>
        </w:rPr>
        <w:t>”, “</w:t>
      </w:r>
      <w:r w:rsidRPr="00F648B9">
        <w:rPr>
          <w:rFonts w:ascii="Times New Roman" w:hAnsi="Times New Roman" w:cs="Times New Roman"/>
          <w:i/>
          <w:sz w:val="24"/>
          <w:szCs w:val="24"/>
        </w:rPr>
        <w:t>El fin del trabajo</w:t>
      </w:r>
      <w:r w:rsidRPr="00BA21D0">
        <w:rPr>
          <w:rFonts w:ascii="Times New Roman" w:hAnsi="Times New Roman" w:cs="Times New Roman"/>
          <w:sz w:val="24"/>
          <w:szCs w:val="24"/>
        </w:rPr>
        <w:t>”, “</w:t>
      </w:r>
      <w:r w:rsidRPr="00F648B9">
        <w:rPr>
          <w:rFonts w:ascii="Times New Roman" w:hAnsi="Times New Roman" w:cs="Times New Roman"/>
          <w:i/>
          <w:sz w:val="24"/>
          <w:szCs w:val="24"/>
        </w:rPr>
        <w:t>La era del acceso</w:t>
      </w:r>
      <w:r w:rsidRPr="00BA21D0">
        <w:rPr>
          <w:rFonts w:ascii="Times New Roman" w:hAnsi="Times New Roman" w:cs="Times New Roman"/>
          <w:sz w:val="24"/>
          <w:szCs w:val="24"/>
        </w:rPr>
        <w:t>”, y “</w:t>
      </w:r>
      <w:r w:rsidRPr="00F648B9">
        <w:rPr>
          <w:rFonts w:ascii="Times New Roman" w:hAnsi="Times New Roman" w:cs="Times New Roman"/>
          <w:i/>
          <w:sz w:val="24"/>
          <w:szCs w:val="24"/>
        </w:rPr>
        <w:t>La economía del hidrógeno</w:t>
      </w:r>
      <w:r w:rsidRPr="00BA21D0">
        <w:rPr>
          <w:rFonts w:ascii="Times New Roman" w:hAnsi="Times New Roman" w:cs="Times New Roman"/>
          <w:sz w:val="24"/>
          <w:szCs w:val="24"/>
        </w:rPr>
        <w:t>”, Profesor del Executive Education Program de la Wharton School, en  la Universidad de Pensilvania, y presidente de la Foundation on Economic Trends, con sede en Washington, DC., presenta su último libro “</w:t>
      </w:r>
      <w:r w:rsidRPr="00F648B9">
        <w:rPr>
          <w:rFonts w:ascii="Times New Roman" w:hAnsi="Times New Roman" w:cs="Times New Roman"/>
          <w:i/>
          <w:sz w:val="24"/>
          <w:szCs w:val="24"/>
        </w:rPr>
        <w:t>El sueño europeo” (Cómo la visión europea del futuro está eclipsando el sueño americano)</w:t>
      </w:r>
      <w:r w:rsidRPr="00BA21D0">
        <w:rPr>
          <w:rFonts w:ascii="Times New Roman" w:hAnsi="Times New Roman" w:cs="Times New Roman"/>
          <w:sz w:val="24"/>
          <w:szCs w:val="24"/>
        </w:rPr>
        <w:t>, con la siguiente síntesis (de la solapa de la edición en castellano):</w:t>
      </w:r>
    </w:p>
    <w:p w:rsidR="00C80F91"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“Cada vez se hace más difícil reconocer el sueño americano. Cada vez son más los estadounidenses saturados de trabajo, mal pagados, sin tiempo para nada</w:t>
      </w:r>
      <w:r>
        <w:rPr>
          <w:rFonts w:ascii="Times New Roman" w:hAnsi="Times New Roman" w:cs="Times New Roman"/>
          <w:sz w:val="24"/>
          <w:szCs w:val="24"/>
        </w:rPr>
        <w:t>,</w:t>
      </w:r>
      <w:r w:rsidRPr="00BA21D0">
        <w:rPr>
          <w:rFonts w:ascii="Times New Roman" w:hAnsi="Times New Roman" w:cs="Times New Roman"/>
          <w:sz w:val="24"/>
          <w:szCs w:val="24"/>
        </w:rPr>
        <w:t xml:space="preserve"> e inseguros respecto a sus posibilidades de mejorar en la vida. Un tercio de los americanos dice que ya ni siquiera cree en el sueño americano. Al  tiempo que se produce esta situación, asegura Rifkin, un nuevo sueño europeo comienza a captar la atención y la imaginación del mundo. Veinticinco países, en representación de casi quinientos millones de personas, se han unido para crear unos Estados Unidos de Europa.</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lastRenderedPageBreak/>
        <w:t>El PIB de la Unión Europea eclipsa actualmente el de EEUU, convirtiendo aquella en la más potente economía del mundo. La UE es ya el principal exportador y el mayor mercado comercial interno. Es más, buena parte de Europa disfruta de una mayor expectativa de vida, un menor índice de pobreza y criminalidad, así como de deterioro urbano, unas vacaciones más largas y unos desplazamientos más cortos para llegar al trabajo que en EEUU. Si uno considera lo que hace grande a un pueblo, su calidad de vida, observa Rifkin, Europa comienza a estar por delante de América.</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 xml:space="preserve">Es más, Europa se ha convertido en un gigantesco laboratorio para repensar el futuro de la humanidad. En muchos sentidos, el sueño europeo es el reflejo invertido del sueño americano. Si éste pone énfasis en el crecimiento económico incontrolado, la riqueza personal y la persecución del interés individual, aquél se centra </w:t>
      </w:r>
      <w:r w:rsidR="007D747F" w:rsidRPr="00BA21D0">
        <w:rPr>
          <w:rFonts w:ascii="Times New Roman" w:hAnsi="Times New Roman" w:cs="Times New Roman"/>
          <w:sz w:val="24"/>
          <w:szCs w:val="24"/>
        </w:rPr>
        <w:t>más</w:t>
      </w:r>
      <w:r w:rsidRPr="00BA21D0">
        <w:rPr>
          <w:rFonts w:ascii="Times New Roman" w:hAnsi="Times New Roman" w:cs="Times New Roman"/>
          <w:sz w:val="24"/>
          <w:szCs w:val="24"/>
        </w:rPr>
        <w:t xml:space="preserve"> bien en el desarrollo sostenible, la calidad de vida y el cultivo de los lazos comunitarios.</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Nada de esto pretende sugerir que la utopía se haya hecho realidad de repente en Europa. Sus problemas, advierte Rifkin, son complejos y sus debilidades patentes. Y por supuesto la elevación del espíritu de los europeos está a menudo</w:t>
      </w:r>
      <w:r w:rsidR="007D747F">
        <w:rPr>
          <w:rFonts w:ascii="Times New Roman" w:hAnsi="Times New Roman" w:cs="Times New Roman"/>
          <w:sz w:val="24"/>
          <w:szCs w:val="24"/>
        </w:rPr>
        <w:t>,</w:t>
      </w:r>
      <w:r w:rsidRPr="00BA21D0">
        <w:rPr>
          <w:rFonts w:ascii="Times New Roman" w:hAnsi="Times New Roman" w:cs="Times New Roman"/>
          <w:sz w:val="24"/>
          <w:szCs w:val="24"/>
        </w:rPr>
        <w:t xml:space="preserve"> cargado de hipocresía. La cuestión sin embargo, no es si los europeos están a la altura de su sueño. Los estadounidenses no han estado nunca del todo a la altura del sueño americano. La cuestión crucial es más bien, según Rifkin, que Europa comienza a articular un  audaz proyecto para el futuro de la humanidad que difiere en muchos aspect</w:t>
      </w:r>
      <w:r>
        <w:rPr>
          <w:rFonts w:ascii="Times New Roman" w:hAnsi="Times New Roman" w:cs="Times New Roman"/>
          <w:sz w:val="24"/>
          <w:szCs w:val="24"/>
        </w:rPr>
        <w:t>os fundamentales del americano”</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Si todo lo dicho anteriormente resulta creíble, pueden ustedes explicarse</w:t>
      </w:r>
      <w:r>
        <w:rPr>
          <w:rFonts w:ascii="Times New Roman" w:hAnsi="Times New Roman" w:cs="Times New Roman"/>
          <w:sz w:val="24"/>
          <w:szCs w:val="24"/>
        </w:rPr>
        <w:t xml:space="preserve"> o consentir: </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b/>
          <w:sz w:val="24"/>
          <w:szCs w:val="24"/>
        </w:rPr>
        <w:t xml:space="preserve">- </w:t>
      </w:r>
      <w:r w:rsidRPr="00BA21D0">
        <w:rPr>
          <w:rFonts w:ascii="Times New Roman" w:hAnsi="Times New Roman" w:cs="Times New Roman"/>
          <w:sz w:val="24"/>
          <w:szCs w:val="24"/>
        </w:rPr>
        <w:t>que los dos principales prog</w:t>
      </w:r>
      <w:r>
        <w:rPr>
          <w:rFonts w:ascii="Times New Roman" w:hAnsi="Times New Roman" w:cs="Times New Roman"/>
          <w:sz w:val="24"/>
          <w:szCs w:val="24"/>
        </w:rPr>
        <w:t>ramas del Estado del Bienestar -</w:t>
      </w:r>
      <w:r w:rsidRPr="00BA21D0">
        <w:rPr>
          <w:rFonts w:ascii="Times New Roman" w:hAnsi="Times New Roman" w:cs="Times New Roman"/>
          <w:sz w:val="24"/>
          <w:szCs w:val="24"/>
        </w:rPr>
        <w:t xml:space="preserve">pensiones y sanidad- son dos bombas de relojería en el corazón de la economía nacional </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b/>
          <w:sz w:val="24"/>
          <w:szCs w:val="24"/>
        </w:rPr>
        <w:t xml:space="preserve">- </w:t>
      </w:r>
      <w:r w:rsidRPr="00BA21D0">
        <w:rPr>
          <w:rFonts w:ascii="Times New Roman" w:hAnsi="Times New Roman" w:cs="Times New Roman"/>
          <w:sz w:val="24"/>
          <w:szCs w:val="24"/>
        </w:rPr>
        <w:t>que el sistema de pensiones se encamina a la bancarrota</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b/>
          <w:sz w:val="24"/>
          <w:szCs w:val="24"/>
        </w:rPr>
        <w:t xml:space="preserve">- </w:t>
      </w:r>
      <w:r w:rsidRPr="00BA21D0">
        <w:rPr>
          <w:rFonts w:ascii="Times New Roman" w:hAnsi="Times New Roman" w:cs="Times New Roman"/>
          <w:sz w:val="24"/>
          <w:szCs w:val="24"/>
        </w:rPr>
        <w:t>que el actual sistema avanza hacia un iceberg</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b/>
          <w:sz w:val="24"/>
          <w:szCs w:val="24"/>
        </w:rPr>
        <w:t xml:space="preserve">- </w:t>
      </w:r>
      <w:r w:rsidRPr="00BA21D0">
        <w:rPr>
          <w:rFonts w:ascii="Times New Roman" w:hAnsi="Times New Roman" w:cs="Times New Roman"/>
          <w:sz w:val="24"/>
          <w:szCs w:val="24"/>
        </w:rPr>
        <w:t>que si no se hace nada, esa gigantesca transferencia de rentas de las clases activas a las pasivas reducirá el crecimiento y el nivel de vida de las generaciones futuras</w:t>
      </w:r>
    </w:p>
    <w:p w:rsidR="00BA21D0" w:rsidRPr="00BA21D0" w:rsidRDefault="00BA21D0" w:rsidP="00550638">
      <w:pPr>
        <w:spacing w:line="240" w:lineRule="auto"/>
        <w:jc w:val="both"/>
        <w:rPr>
          <w:rFonts w:ascii="Times New Roman" w:hAnsi="Times New Roman" w:cs="Times New Roman"/>
          <w:b/>
          <w:sz w:val="24"/>
          <w:szCs w:val="24"/>
        </w:rPr>
      </w:pPr>
      <w:r w:rsidRPr="00BA21D0">
        <w:rPr>
          <w:rFonts w:ascii="Times New Roman" w:hAnsi="Times New Roman" w:cs="Times New Roman"/>
          <w:b/>
          <w:sz w:val="24"/>
          <w:szCs w:val="24"/>
        </w:rPr>
        <w:t xml:space="preserve">-  </w:t>
      </w:r>
      <w:r w:rsidRPr="00BA21D0">
        <w:rPr>
          <w:rFonts w:ascii="Times New Roman" w:hAnsi="Times New Roman" w:cs="Times New Roman"/>
          <w:sz w:val="24"/>
          <w:szCs w:val="24"/>
        </w:rPr>
        <w:t>que al tiempo pondrá las bases para un conflicto intergeneracional de consecuencias imprevisibles</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b/>
          <w:sz w:val="24"/>
          <w:szCs w:val="24"/>
        </w:rPr>
        <w:t xml:space="preserve">- </w:t>
      </w:r>
      <w:r w:rsidRPr="00BA21D0">
        <w:rPr>
          <w:rFonts w:ascii="Times New Roman" w:hAnsi="Times New Roman" w:cs="Times New Roman"/>
          <w:sz w:val="24"/>
          <w:szCs w:val="24"/>
        </w:rPr>
        <w:t>que mantener el actual sistema de pensiones y el inevitable incremento de la carga fiscal necesario para financiarlo reducirá los incentivos de los individuos para incorporarse a la vida laboral</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b/>
          <w:sz w:val="24"/>
          <w:szCs w:val="24"/>
        </w:rPr>
        <w:t xml:space="preserve">- </w:t>
      </w:r>
      <w:r w:rsidRPr="00BA21D0">
        <w:rPr>
          <w:rFonts w:ascii="Times New Roman" w:hAnsi="Times New Roman" w:cs="Times New Roman"/>
          <w:sz w:val="24"/>
          <w:szCs w:val="24"/>
        </w:rPr>
        <w:t>que la subida de la imposición sobre el factor trabajo deprimiría la tasa de ahorro privado y la acumulación de capital que alimenta el crecimiento económico y de la productiv</w:t>
      </w:r>
      <w:r>
        <w:rPr>
          <w:rFonts w:ascii="Times New Roman" w:hAnsi="Times New Roman" w:cs="Times New Roman"/>
          <w:sz w:val="24"/>
          <w:szCs w:val="24"/>
        </w:rPr>
        <w:t>idad en el medio y largo plazo…</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 xml:space="preserve">Si todo lo dicho anteriormente resulta creíble, pueden ustedes consentir una insinuación </w:t>
      </w:r>
      <w:r>
        <w:rPr>
          <w:rFonts w:ascii="Times New Roman" w:hAnsi="Times New Roman" w:cs="Times New Roman"/>
          <w:sz w:val="24"/>
          <w:szCs w:val="24"/>
        </w:rPr>
        <w:t>(o manipulación) tan flagrante:</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b/>
          <w:sz w:val="24"/>
          <w:szCs w:val="24"/>
        </w:rPr>
        <w:t xml:space="preserve">- </w:t>
      </w:r>
      <w:r w:rsidRPr="00BA21D0">
        <w:rPr>
          <w:rFonts w:ascii="Times New Roman" w:hAnsi="Times New Roman" w:cs="Times New Roman"/>
          <w:sz w:val="24"/>
          <w:szCs w:val="24"/>
        </w:rPr>
        <w:t>la pregunta es (según los falsificadores) qué sucederá cuando las jóvenes generaciones se nieguen a sacrificar su nivel de vida para pagar las pensiones y/o sanidad de los viejos o se rebelen contra una situación de trabajos forzados en beneficio de los mayores</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b/>
          <w:sz w:val="24"/>
          <w:szCs w:val="24"/>
        </w:rPr>
        <w:lastRenderedPageBreak/>
        <w:t xml:space="preserve">- </w:t>
      </w:r>
      <w:r w:rsidRPr="00BA21D0">
        <w:rPr>
          <w:rFonts w:ascii="Times New Roman" w:hAnsi="Times New Roman" w:cs="Times New Roman"/>
          <w:sz w:val="24"/>
          <w:szCs w:val="24"/>
        </w:rPr>
        <w:t>un escenario como éste (agregan, con premeditación y alevosía) no es improbable sino muy posible (</w:t>
      </w:r>
      <w:r w:rsidR="008339D9">
        <w:rPr>
          <w:rFonts w:ascii="Times New Roman" w:hAnsi="Times New Roman" w:cs="Times New Roman"/>
          <w:sz w:val="24"/>
          <w:szCs w:val="24"/>
        </w:rPr>
        <w:t>¿</w:t>
      </w:r>
      <w:r w:rsidRPr="00BA21D0">
        <w:rPr>
          <w:rFonts w:ascii="Times New Roman" w:hAnsi="Times New Roman" w:cs="Times New Roman"/>
          <w:sz w:val="24"/>
          <w:szCs w:val="24"/>
        </w:rPr>
        <w:t>o muy deseable?, según los artistas del mangoneo), y constituirá un serio problema social y político en un horizonte no muy lejano</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b/>
          <w:sz w:val="24"/>
          <w:szCs w:val="24"/>
        </w:rPr>
        <w:t xml:space="preserve">- </w:t>
      </w:r>
      <w:r>
        <w:rPr>
          <w:rFonts w:ascii="Times New Roman" w:hAnsi="Times New Roman" w:cs="Times New Roman"/>
          <w:sz w:val="24"/>
          <w:szCs w:val="24"/>
        </w:rPr>
        <w:t>es la “guerra civil fría”…</w:t>
      </w:r>
    </w:p>
    <w:p w:rsidR="00BA21D0" w:rsidRPr="00BA21D0"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Desde que la democracia moderna puso la ciudadanía como raíz de la legitimidad política han existido tensiones entre la libertad y la igualdad. En toda sociedad democrática, la libertad para todos entra en conflicto con la igualdad para todos, y viceversa. Pero no importa con qué frecuencia proclamemos que “todos hemos nacido libres e iguales en dignidad y derechos”, este choque de principios no ha disminuido.</w:t>
      </w:r>
    </w:p>
    <w:p w:rsidR="008339D9" w:rsidRDefault="00BA21D0" w:rsidP="00550638">
      <w:pPr>
        <w:spacing w:line="240" w:lineRule="auto"/>
        <w:jc w:val="both"/>
        <w:rPr>
          <w:rFonts w:ascii="Times New Roman" w:hAnsi="Times New Roman" w:cs="Times New Roman"/>
          <w:sz w:val="24"/>
          <w:szCs w:val="24"/>
        </w:rPr>
      </w:pPr>
      <w:r w:rsidRPr="00BA21D0">
        <w:rPr>
          <w:rFonts w:ascii="Times New Roman" w:hAnsi="Times New Roman" w:cs="Times New Roman"/>
          <w:sz w:val="24"/>
          <w:szCs w:val="24"/>
        </w:rPr>
        <w:t>Desde la profunda melancolía que produce comprobar las frágiles bases o “el fusilamiento” que están infligiendo al Estado del Bienestar, en el siguiente apartado, se presentan “pruebas” (espero que suficientes) sobre la desigualdad, la indiferencia, el odio y, por encima de todo, el egoísmo, con que se tratan los asuntos del sistema de protección social</w:t>
      </w:r>
      <w:r w:rsidR="008339D9">
        <w:rPr>
          <w:rFonts w:ascii="Times New Roman" w:hAnsi="Times New Roman" w:cs="Times New Roman"/>
          <w:sz w:val="24"/>
          <w:szCs w:val="24"/>
        </w:rPr>
        <w:t>…</w:t>
      </w:r>
    </w:p>
    <w:p w:rsidR="00277CA0" w:rsidRDefault="008339D9"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(Octubre 2013) Perdonen ustedes que mezcle un poco los asuntos de “sanidad” (que corresponden a este Apartado), con los de “pensiones” (que se tratarán en el siguiente Apartado), pero no quiero alterar el </w:t>
      </w:r>
      <w:r w:rsidR="00277CA0">
        <w:rPr>
          <w:rFonts w:ascii="Times New Roman" w:hAnsi="Times New Roman" w:cs="Times New Roman"/>
          <w:sz w:val="24"/>
          <w:szCs w:val="24"/>
        </w:rPr>
        <w:t xml:space="preserve">relato original, correspondiente al Paper </w:t>
      </w:r>
      <w:r>
        <w:rPr>
          <w:rFonts w:ascii="Times New Roman" w:hAnsi="Times New Roman" w:cs="Times New Roman"/>
          <w:sz w:val="24"/>
          <w:szCs w:val="24"/>
        </w:rPr>
        <w:t>publicado en el año 2005</w:t>
      </w:r>
      <w:r w:rsidR="00277CA0">
        <w:rPr>
          <w:rFonts w:ascii="Times New Roman" w:hAnsi="Times New Roman" w:cs="Times New Roman"/>
          <w:sz w:val="24"/>
          <w:szCs w:val="24"/>
        </w:rPr>
        <w:t>. Como podrán “comprobar”, desde bastante antes que estallara la crisis de las hipotecas subprime, ya “se les veía el plumero” a muchos “creadores de opinión”.</w:t>
      </w:r>
    </w:p>
    <w:p w:rsidR="00277CA0" w:rsidRDefault="00434E51" w:rsidP="00550638">
      <w:pPr>
        <w:spacing w:line="240" w:lineRule="auto"/>
        <w:rPr>
          <w:rFonts w:ascii="Times New Roman" w:hAnsi="Times New Roman" w:cs="Times New Roman"/>
          <w:sz w:val="24"/>
          <w:szCs w:val="24"/>
          <w:u w:val="single"/>
        </w:rPr>
      </w:pPr>
      <w:r>
        <w:rPr>
          <w:rFonts w:ascii="Times New Roman" w:hAnsi="Times New Roman" w:cs="Times New Roman"/>
          <w:sz w:val="24"/>
          <w:szCs w:val="24"/>
        </w:rPr>
        <w:t xml:space="preserve">En el </w:t>
      </w:r>
      <w:r w:rsidRPr="00434E51">
        <w:rPr>
          <w:rFonts w:ascii="Times New Roman" w:hAnsi="Times New Roman" w:cs="Times New Roman"/>
          <w:sz w:val="24"/>
          <w:szCs w:val="24"/>
          <w:u w:val="single"/>
        </w:rPr>
        <w:t>Apartado</w:t>
      </w:r>
      <w:r>
        <w:rPr>
          <w:rFonts w:ascii="Times New Roman" w:hAnsi="Times New Roman" w:cs="Times New Roman"/>
          <w:sz w:val="24"/>
          <w:szCs w:val="24"/>
        </w:rPr>
        <w:t xml:space="preserve"> -</w:t>
      </w:r>
      <w:r w:rsidR="00277CA0">
        <w:rPr>
          <w:rFonts w:ascii="Times New Roman" w:hAnsi="Times New Roman" w:cs="Times New Roman"/>
          <w:sz w:val="24"/>
          <w:szCs w:val="24"/>
        </w:rPr>
        <w:t xml:space="preserve"> </w:t>
      </w:r>
      <w:r w:rsidR="00277CA0" w:rsidRPr="00277CA0">
        <w:rPr>
          <w:rFonts w:ascii="Times New Roman" w:hAnsi="Times New Roman" w:cs="Times New Roman"/>
          <w:sz w:val="24"/>
          <w:szCs w:val="24"/>
          <w:u w:val="single"/>
        </w:rPr>
        <w:t>Los jíbaros</w:t>
      </w:r>
    </w:p>
    <w:p w:rsidR="00434E51" w:rsidRPr="006C1B61" w:rsidRDefault="00434E51" w:rsidP="00550638">
      <w:pPr>
        <w:spacing w:line="240" w:lineRule="auto"/>
        <w:rPr>
          <w:rFonts w:ascii="Times New Roman" w:hAnsi="Times New Roman" w:cs="Times New Roman"/>
          <w:sz w:val="24"/>
          <w:szCs w:val="24"/>
        </w:rPr>
      </w:pPr>
      <w:r w:rsidRPr="006C1B61">
        <w:rPr>
          <w:rFonts w:ascii="Times New Roman" w:hAnsi="Times New Roman" w:cs="Times New Roman"/>
          <w:sz w:val="24"/>
          <w:szCs w:val="24"/>
        </w:rPr>
        <w:t>Resumía:</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(Jíbaros: indios sudamericanos del curso superior del Marañón. Sedentarios, cultivan diversas plantas, entre ellas las medicinales y de diversas aplicaciones y “poseen el secreto de momificar cabezas humanas que sin perder sus rasgos particulares, en su proceso de desecación quedan reducidas a unos 90 mm. de diámetr</w:t>
      </w:r>
      <w:r w:rsidR="00C80F91">
        <w:rPr>
          <w:rFonts w:ascii="Times New Roman" w:hAnsi="Times New Roman" w:cs="Times New Roman"/>
          <w:sz w:val="24"/>
          <w:szCs w:val="24"/>
        </w:rPr>
        <w:t>o y que denominan tsantas)</w:t>
      </w:r>
    </w:p>
    <w:p w:rsidR="00277CA0" w:rsidRPr="00FE647D"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A continuación se resumen algunos estudios presentados por los impulsores de la aplastante tragedia que es el “pensamiento único”. Los críticos especializados (</w:t>
      </w:r>
      <w:r>
        <w:rPr>
          <w:rFonts w:ascii="Times New Roman" w:hAnsi="Times New Roman" w:cs="Times New Roman"/>
          <w:sz w:val="24"/>
          <w:szCs w:val="24"/>
        </w:rPr>
        <w:t>¿</w:t>
      </w:r>
      <w:r w:rsidRPr="00277CA0">
        <w:rPr>
          <w:rFonts w:ascii="Times New Roman" w:hAnsi="Times New Roman" w:cs="Times New Roman"/>
          <w:sz w:val="24"/>
          <w:szCs w:val="24"/>
        </w:rPr>
        <w:t>arancelados?), encargados de convencer a los lectores. Los propulsores de las fuerzas dinámicas deshumanizadoras: el dinero y la razón. La feligresía del prog</w:t>
      </w:r>
      <w:r>
        <w:rPr>
          <w:rFonts w:ascii="Times New Roman" w:hAnsi="Times New Roman" w:cs="Times New Roman"/>
          <w:sz w:val="24"/>
          <w:szCs w:val="24"/>
        </w:rPr>
        <w:t xml:space="preserve">reso. </w:t>
      </w:r>
      <w:r w:rsidRPr="00FE647D">
        <w:rPr>
          <w:rFonts w:ascii="Times New Roman" w:hAnsi="Times New Roman" w:cs="Times New Roman"/>
          <w:sz w:val="24"/>
          <w:szCs w:val="24"/>
        </w:rPr>
        <w:t>Los profetas del vértigo.</w:t>
      </w:r>
    </w:p>
    <w:p w:rsidR="00277CA0" w:rsidRPr="00FE647D" w:rsidRDefault="00277CA0" w:rsidP="00550638">
      <w:pPr>
        <w:spacing w:line="240" w:lineRule="auto"/>
        <w:jc w:val="both"/>
        <w:rPr>
          <w:rFonts w:ascii="Times New Roman" w:hAnsi="Times New Roman" w:cs="Times New Roman"/>
          <w:sz w:val="24"/>
          <w:szCs w:val="24"/>
        </w:rPr>
      </w:pPr>
      <w:r w:rsidRPr="00FE647D">
        <w:rPr>
          <w:rFonts w:ascii="Times New Roman" w:hAnsi="Times New Roman" w:cs="Times New Roman"/>
          <w:sz w:val="24"/>
          <w:szCs w:val="24"/>
          <w:u w:val="single"/>
        </w:rPr>
        <w:t>World Economic Outlook - Chapter III</w:t>
      </w:r>
      <w:r w:rsidR="001B6391" w:rsidRPr="00FE647D">
        <w:rPr>
          <w:rFonts w:ascii="Times New Roman" w:hAnsi="Times New Roman" w:cs="Times New Roman"/>
          <w:sz w:val="24"/>
          <w:szCs w:val="24"/>
          <w:u w:val="single"/>
        </w:rPr>
        <w:t xml:space="preserve"> </w:t>
      </w:r>
      <w:r w:rsidR="001B6391" w:rsidRPr="00FE647D">
        <w:rPr>
          <w:rFonts w:ascii="Times New Roman" w:hAnsi="Times New Roman" w:cs="Times New Roman"/>
          <w:sz w:val="24"/>
          <w:szCs w:val="24"/>
        </w:rPr>
        <w:t>- IMF - 2004</w:t>
      </w:r>
    </w:p>
    <w:p w:rsidR="00277CA0" w:rsidRPr="001B6391" w:rsidRDefault="00277CA0" w:rsidP="00550638">
      <w:pPr>
        <w:spacing w:line="240" w:lineRule="auto"/>
        <w:jc w:val="both"/>
        <w:rPr>
          <w:rFonts w:ascii="Times New Roman" w:hAnsi="Times New Roman" w:cs="Times New Roman"/>
          <w:sz w:val="24"/>
          <w:szCs w:val="24"/>
          <w:lang w:val="en-GB"/>
        </w:rPr>
      </w:pPr>
      <w:r w:rsidRPr="00277CA0">
        <w:rPr>
          <w:rFonts w:ascii="Times New Roman" w:hAnsi="Times New Roman" w:cs="Times New Roman"/>
          <w:sz w:val="24"/>
          <w:szCs w:val="24"/>
          <w:lang w:val="en-GB"/>
        </w:rPr>
        <w:t>How will demographic ch</w:t>
      </w:r>
      <w:r w:rsidR="001B6391">
        <w:rPr>
          <w:rFonts w:ascii="Times New Roman" w:hAnsi="Times New Roman" w:cs="Times New Roman"/>
          <w:sz w:val="24"/>
          <w:szCs w:val="24"/>
          <w:lang w:val="en-GB"/>
        </w:rPr>
        <w:t>ange affect the global economy?</w:t>
      </w:r>
    </w:p>
    <w:p w:rsidR="000B4AF8"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(Traducción</w:t>
      </w:r>
      <w:r w:rsidR="00C80F91">
        <w:rPr>
          <w:rFonts w:ascii="Times New Roman" w:hAnsi="Times New Roman" w:cs="Times New Roman"/>
          <w:sz w:val="24"/>
          <w:szCs w:val="24"/>
        </w:rPr>
        <w:t xml:space="preserve"> no literal)</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La transición demográfica global, 1700 -  2050</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(interpretación de gráficos, valores aproximados)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Expectativa de vida (años desde el nacimiento): </w:t>
      </w:r>
      <w:r w:rsidRPr="00277CA0">
        <w:rPr>
          <w:rFonts w:ascii="Times New Roman" w:hAnsi="Times New Roman" w:cs="Times New Roman"/>
          <w:sz w:val="24"/>
          <w:szCs w:val="24"/>
        </w:rPr>
        <w:tab/>
      </w:r>
      <w:r w:rsidRPr="00277CA0">
        <w:rPr>
          <w:rFonts w:ascii="Times New Roman" w:hAnsi="Times New Roman" w:cs="Times New Roman"/>
          <w:sz w:val="24"/>
          <w:szCs w:val="24"/>
        </w:rPr>
        <w:tab/>
        <w:t xml:space="preserve">1700: &lt; 30; </w:t>
      </w:r>
      <w:r w:rsidRPr="00277CA0">
        <w:rPr>
          <w:rFonts w:ascii="Times New Roman" w:hAnsi="Times New Roman" w:cs="Times New Roman"/>
          <w:sz w:val="24"/>
          <w:szCs w:val="24"/>
        </w:rPr>
        <w:tab/>
        <w:t>2050: &gt; 75</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Ratio de fertilidad total (nacimientos por mujer):  </w:t>
      </w:r>
      <w:r w:rsidRPr="00277CA0">
        <w:rPr>
          <w:rFonts w:ascii="Times New Roman" w:hAnsi="Times New Roman" w:cs="Times New Roman"/>
          <w:sz w:val="24"/>
          <w:szCs w:val="24"/>
        </w:rPr>
        <w:tab/>
      </w:r>
      <w:r w:rsidRPr="00277CA0">
        <w:rPr>
          <w:rFonts w:ascii="Times New Roman" w:hAnsi="Times New Roman" w:cs="Times New Roman"/>
          <w:sz w:val="24"/>
          <w:szCs w:val="24"/>
        </w:rPr>
        <w:tab/>
        <w:t xml:space="preserve">1700:      6; </w:t>
      </w:r>
      <w:r w:rsidRPr="00277CA0">
        <w:rPr>
          <w:rFonts w:ascii="Times New Roman" w:hAnsi="Times New Roman" w:cs="Times New Roman"/>
          <w:sz w:val="24"/>
          <w:szCs w:val="24"/>
        </w:rPr>
        <w:tab/>
        <w:t>2050:      2</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Crecimiento de la población total (porcentaje):    </w:t>
      </w:r>
      <w:r w:rsidRPr="00277CA0">
        <w:rPr>
          <w:rFonts w:ascii="Times New Roman" w:hAnsi="Times New Roman" w:cs="Times New Roman"/>
          <w:sz w:val="24"/>
          <w:szCs w:val="24"/>
        </w:rPr>
        <w:tab/>
      </w:r>
      <w:r w:rsidRPr="00277CA0">
        <w:rPr>
          <w:rFonts w:ascii="Times New Roman" w:hAnsi="Times New Roman" w:cs="Times New Roman"/>
          <w:sz w:val="24"/>
          <w:szCs w:val="24"/>
        </w:rPr>
        <w:tab/>
        <w:t xml:space="preserve">1700:   0,5; </w:t>
      </w:r>
      <w:r w:rsidRPr="00277CA0">
        <w:rPr>
          <w:rFonts w:ascii="Times New Roman" w:hAnsi="Times New Roman" w:cs="Times New Roman"/>
          <w:sz w:val="24"/>
          <w:szCs w:val="24"/>
        </w:rPr>
        <w:tab/>
        <w:t>2050: &lt;0,25</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lastRenderedPageBreak/>
        <w:t xml:space="preserve">Población entre 15-65 (% s/total de población):  </w:t>
      </w:r>
      <w:r w:rsidRPr="00277CA0">
        <w:rPr>
          <w:rFonts w:ascii="Times New Roman" w:hAnsi="Times New Roman" w:cs="Times New Roman"/>
          <w:sz w:val="24"/>
          <w:szCs w:val="24"/>
        </w:rPr>
        <w:tab/>
      </w:r>
      <w:r w:rsidRPr="00277CA0">
        <w:rPr>
          <w:rFonts w:ascii="Times New Roman" w:hAnsi="Times New Roman" w:cs="Times New Roman"/>
          <w:sz w:val="24"/>
          <w:szCs w:val="24"/>
        </w:rPr>
        <w:tab/>
        <w:t xml:space="preserve">1700:    60; </w:t>
      </w:r>
      <w:r w:rsidRPr="00277CA0">
        <w:rPr>
          <w:rFonts w:ascii="Times New Roman" w:hAnsi="Times New Roman" w:cs="Times New Roman"/>
          <w:sz w:val="24"/>
          <w:szCs w:val="24"/>
        </w:rPr>
        <w:tab/>
        <w:t>2050: &lt; 65</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Población debajo de 15 (% s/total de población): </w:t>
      </w:r>
      <w:r w:rsidRPr="00277CA0">
        <w:rPr>
          <w:rFonts w:ascii="Times New Roman" w:hAnsi="Times New Roman" w:cs="Times New Roman"/>
          <w:sz w:val="24"/>
          <w:szCs w:val="24"/>
        </w:rPr>
        <w:tab/>
      </w:r>
      <w:r w:rsidR="00434E51">
        <w:rPr>
          <w:rFonts w:ascii="Times New Roman" w:hAnsi="Times New Roman" w:cs="Times New Roman"/>
          <w:sz w:val="24"/>
          <w:szCs w:val="24"/>
        </w:rPr>
        <w:t xml:space="preserve">            </w:t>
      </w:r>
      <w:r w:rsidRPr="00277CA0">
        <w:rPr>
          <w:rFonts w:ascii="Times New Roman" w:hAnsi="Times New Roman" w:cs="Times New Roman"/>
          <w:sz w:val="24"/>
          <w:szCs w:val="24"/>
        </w:rPr>
        <w:t xml:space="preserve">1700: &gt;35; </w:t>
      </w:r>
      <w:r w:rsidRPr="00277CA0">
        <w:rPr>
          <w:rFonts w:ascii="Times New Roman" w:hAnsi="Times New Roman" w:cs="Times New Roman"/>
          <w:sz w:val="24"/>
          <w:szCs w:val="24"/>
        </w:rPr>
        <w:tab/>
        <w:t>2050:    20</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Población sobre 65 (% s/total de població</w:t>
      </w:r>
      <w:r w:rsidR="00434E51">
        <w:rPr>
          <w:rFonts w:ascii="Times New Roman" w:hAnsi="Times New Roman" w:cs="Times New Roman"/>
          <w:sz w:val="24"/>
          <w:szCs w:val="24"/>
        </w:rPr>
        <w:t xml:space="preserve">n):       </w:t>
      </w:r>
      <w:r w:rsidR="00434E51">
        <w:rPr>
          <w:rFonts w:ascii="Times New Roman" w:hAnsi="Times New Roman" w:cs="Times New Roman"/>
          <w:sz w:val="24"/>
          <w:szCs w:val="24"/>
        </w:rPr>
        <w:tab/>
        <w:t xml:space="preserve"> </w:t>
      </w:r>
      <w:r w:rsidR="00434E51">
        <w:rPr>
          <w:rFonts w:ascii="Times New Roman" w:hAnsi="Times New Roman" w:cs="Times New Roman"/>
          <w:sz w:val="24"/>
          <w:szCs w:val="24"/>
        </w:rPr>
        <w:tab/>
        <w:t>1700:   &lt;5;      2050:   &gt;15</w:t>
      </w:r>
    </w:p>
    <w:p w:rsidR="00434E51" w:rsidRDefault="00434E51" w:rsidP="00550638">
      <w:pPr>
        <w:spacing w:line="240" w:lineRule="auto"/>
        <w:jc w:val="both"/>
        <w:rPr>
          <w:rFonts w:ascii="Times New Roman" w:hAnsi="Times New Roman" w:cs="Times New Roman"/>
          <w:sz w:val="24"/>
          <w:szCs w:val="24"/>
        </w:rPr>
      </w:pP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Donde vive la población mundial</w:t>
      </w:r>
    </w:p>
    <w:p w:rsidR="00277CA0" w:rsidRPr="00277CA0" w:rsidRDefault="00434E51"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(en porcentaje)</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Año    Países</w:t>
      </w:r>
      <w:r w:rsidRPr="00277CA0">
        <w:rPr>
          <w:rFonts w:ascii="Times New Roman" w:hAnsi="Times New Roman" w:cs="Times New Roman"/>
          <w:sz w:val="24"/>
          <w:szCs w:val="24"/>
        </w:rPr>
        <w:tab/>
        <w:t>Desarrollado</w:t>
      </w:r>
      <w:r w:rsidR="00434E51">
        <w:rPr>
          <w:rFonts w:ascii="Times New Roman" w:hAnsi="Times New Roman" w:cs="Times New Roman"/>
          <w:sz w:val="24"/>
          <w:szCs w:val="24"/>
        </w:rPr>
        <w:t>s</w:t>
      </w:r>
      <w:r w:rsidR="00434E51">
        <w:rPr>
          <w:rFonts w:ascii="Times New Roman" w:hAnsi="Times New Roman" w:cs="Times New Roman"/>
          <w:sz w:val="24"/>
          <w:szCs w:val="24"/>
        </w:rPr>
        <w:tab/>
        <w:t>En desarrollo</w:t>
      </w:r>
      <w:r w:rsidR="00434E51">
        <w:rPr>
          <w:rFonts w:ascii="Times New Roman" w:hAnsi="Times New Roman" w:cs="Times New Roman"/>
          <w:sz w:val="24"/>
          <w:szCs w:val="24"/>
        </w:rPr>
        <w:tab/>
        <w:t>Bajo desarrollo</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1950</w:t>
      </w:r>
      <w:r w:rsidRPr="00277CA0">
        <w:rPr>
          <w:rFonts w:ascii="Times New Roman" w:hAnsi="Times New Roman" w:cs="Times New Roman"/>
          <w:sz w:val="24"/>
          <w:szCs w:val="24"/>
        </w:rPr>
        <w:tab/>
      </w:r>
      <w:r w:rsidRPr="00277CA0">
        <w:rPr>
          <w:rFonts w:ascii="Times New Roman" w:hAnsi="Times New Roman" w:cs="Times New Roman"/>
          <w:sz w:val="24"/>
          <w:szCs w:val="24"/>
        </w:rPr>
        <w:tab/>
        <w:t xml:space="preserve">   32,9                    </w:t>
      </w:r>
      <w:r w:rsidR="00434E51">
        <w:rPr>
          <w:rFonts w:ascii="Times New Roman" w:hAnsi="Times New Roman" w:cs="Times New Roman"/>
          <w:sz w:val="24"/>
          <w:szCs w:val="24"/>
        </w:rPr>
        <w:t xml:space="preserve"> 59,8                     8,0</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2000                </w:t>
      </w:r>
      <w:r w:rsidR="00434E51">
        <w:rPr>
          <w:rFonts w:ascii="Times New Roman" w:hAnsi="Times New Roman" w:cs="Times New Roman"/>
          <w:sz w:val="24"/>
          <w:szCs w:val="24"/>
        </w:rPr>
        <w:t xml:space="preserve">  19,7                      69,3                   11,0</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2050                </w:t>
      </w:r>
      <w:r w:rsidR="00434E51">
        <w:rPr>
          <w:rFonts w:ascii="Times New Roman" w:hAnsi="Times New Roman" w:cs="Times New Roman"/>
          <w:sz w:val="24"/>
          <w:szCs w:val="24"/>
        </w:rPr>
        <w:t xml:space="preserve">   13,7                     </w:t>
      </w:r>
      <w:r w:rsidRPr="00277CA0">
        <w:rPr>
          <w:rFonts w:ascii="Times New Roman" w:hAnsi="Times New Roman" w:cs="Times New Roman"/>
          <w:sz w:val="24"/>
          <w:szCs w:val="24"/>
        </w:rPr>
        <w:t>67,6                   18,8</w:t>
      </w:r>
    </w:p>
    <w:p w:rsidR="00434E51" w:rsidRDefault="00434E51" w:rsidP="00550638">
      <w:pPr>
        <w:spacing w:line="240" w:lineRule="auto"/>
        <w:jc w:val="both"/>
        <w:rPr>
          <w:rFonts w:ascii="Times New Roman" w:hAnsi="Times New Roman" w:cs="Times New Roman"/>
          <w:sz w:val="24"/>
          <w:szCs w:val="24"/>
        </w:rPr>
      </w:pP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Impacto macroeconómico del cambio demográfico: panel ins</w:t>
      </w:r>
      <w:r w:rsidR="000B4AF8">
        <w:rPr>
          <w:rFonts w:ascii="Times New Roman" w:hAnsi="Times New Roman" w:cs="Times New Roman"/>
          <w:sz w:val="24"/>
          <w:szCs w:val="24"/>
        </w:rPr>
        <w:t>trumental de regresión variable</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                      Proporción de población trabajadora   Proporción de población retirada</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                                    (15 a 65 años)                                  (mayor de 65 años)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Impacto en:</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Crecimiento en </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PIB real per </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cápita                                </w:t>
      </w:r>
      <w:r w:rsidR="00434E51">
        <w:rPr>
          <w:rFonts w:ascii="Times New Roman" w:hAnsi="Times New Roman" w:cs="Times New Roman"/>
          <w:sz w:val="24"/>
          <w:szCs w:val="24"/>
        </w:rPr>
        <w:t xml:space="preserve"> </w:t>
      </w:r>
      <w:r w:rsidRPr="00277CA0">
        <w:rPr>
          <w:rFonts w:ascii="Times New Roman" w:hAnsi="Times New Roman" w:cs="Times New Roman"/>
          <w:sz w:val="24"/>
          <w:szCs w:val="24"/>
        </w:rPr>
        <w:t>0,08                                                    -0,041</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Ahorro/PIB                        0,72                                                    -0,75</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Inversión/PIB                    0,31                                                    </w:t>
      </w:r>
      <w:r w:rsidR="00434E51">
        <w:rPr>
          <w:rFonts w:ascii="Times New Roman" w:hAnsi="Times New Roman" w:cs="Times New Roman"/>
          <w:sz w:val="24"/>
          <w:szCs w:val="24"/>
        </w:rPr>
        <w:t xml:space="preserve"> </w:t>
      </w:r>
      <w:r w:rsidRPr="00277CA0">
        <w:rPr>
          <w:rFonts w:ascii="Times New Roman" w:hAnsi="Times New Roman" w:cs="Times New Roman"/>
          <w:sz w:val="24"/>
          <w:szCs w:val="24"/>
        </w:rPr>
        <w:t>-0,14</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Bal. cta.cte./PIB                0,05                                                    </w:t>
      </w:r>
      <w:r w:rsidR="00434E51">
        <w:rPr>
          <w:rFonts w:ascii="Times New Roman" w:hAnsi="Times New Roman" w:cs="Times New Roman"/>
          <w:sz w:val="24"/>
          <w:szCs w:val="24"/>
        </w:rPr>
        <w:t xml:space="preserve"> </w:t>
      </w:r>
      <w:r w:rsidRPr="00277CA0">
        <w:rPr>
          <w:rFonts w:ascii="Times New Roman" w:hAnsi="Times New Roman" w:cs="Times New Roman"/>
          <w:sz w:val="24"/>
          <w:szCs w:val="24"/>
        </w:rPr>
        <w:t>-0,25</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Bal. presup./PIB                0,06                   </w:t>
      </w:r>
      <w:r w:rsidR="00434E51">
        <w:rPr>
          <w:rFonts w:ascii="Times New Roman" w:hAnsi="Times New Roman" w:cs="Times New Roman"/>
          <w:sz w:val="24"/>
          <w:szCs w:val="24"/>
        </w:rPr>
        <w:t xml:space="preserve">                                 -0,46</w:t>
      </w:r>
    </w:p>
    <w:p w:rsidR="00C80F91" w:rsidRDefault="00C80F91" w:rsidP="00550638">
      <w:pPr>
        <w:spacing w:line="240" w:lineRule="auto"/>
        <w:jc w:val="both"/>
        <w:rPr>
          <w:rFonts w:ascii="Times New Roman" w:hAnsi="Times New Roman" w:cs="Times New Roman"/>
          <w:sz w:val="24"/>
          <w:szCs w:val="24"/>
        </w:rPr>
      </w:pP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Resultados econométricos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De un panel de datos, correspondiente a 115 p</w:t>
      </w:r>
      <w:r w:rsidR="00434E51">
        <w:rPr>
          <w:rFonts w:ascii="Times New Roman" w:hAnsi="Times New Roman" w:cs="Times New Roman"/>
          <w:sz w:val="24"/>
          <w:szCs w:val="24"/>
        </w:rPr>
        <w:t>aíses, durante el período 1960 -</w:t>
      </w:r>
      <w:r w:rsidRPr="00277CA0">
        <w:rPr>
          <w:rFonts w:ascii="Times New Roman" w:hAnsi="Times New Roman" w:cs="Times New Roman"/>
          <w:sz w:val="24"/>
          <w:szCs w:val="24"/>
        </w:rPr>
        <w:t xml:space="preserve"> 2000, utilizados para investigar la relación entre las variables demográficas y el crecimiento del Producto Interior Bruto per cápita, ahorro, inversión, balance por cuenta corriente, y balance fiscal, el FMI establece los </w:t>
      </w:r>
      <w:r w:rsidR="00434E51">
        <w:rPr>
          <w:rFonts w:ascii="Times New Roman" w:hAnsi="Times New Roman" w:cs="Times New Roman"/>
          <w:sz w:val="24"/>
          <w:szCs w:val="24"/>
        </w:rPr>
        <w:t>siguientes resultados “claves”: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w:t>
      </w:r>
      <w:r w:rsidRPr="00277CA0">
        <w:rPr>
          <w:rFonts w:ascii="Times New Roman" w:hAnsi="Times New Roman" w:cs="Times New Roman"/>
          <w:sz w:val="24"/>
          <w:szCs w:val="24"/>
        </w:rPr>
        <w:t xml:space="preserve"> El crecimiento del PIB per cápita está correlacionado positivamente con los cambios en el tamaño relativo de la población en edad de trabajar, y correlacionado negativamente con los cambios en la participación</w:t>
      </w:r>
      <w:r w:rsidR="00434E51">
        <w:rPr>
          <w:rFonts w:ascii="Times New Roman" w:hAnsi="Times New Roman" w:cs="Times New Roman"/>
          <w:sz w:val="24"/>
          <w:szCs w:val="24"/>
        </w:rPr>
        <w:t xml:space="preserve"> de la población mayor de edad.</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lastRenderedPageBreak/>
        <w:t xml:space="preserve">. </w:t>
      </w:r>
      <w:r w:rsidRPr="00277CA0">
        <w:rPr>
          <w:rFonts w:ascii="Times New Roman" w:hAnsi="Times New Roman" w:cs="Times New Roman"/>
          <w:sz w:val="24"/>
          <w:szCs w:val="24"/>
        </w:rPr>
        <w:t>Estadísticamente hay una asociación significativa entre las vari</w:t>
      </w:r>
      <w:r w:rsidR="00434E51">
        <w:rPr>
          <w:rFonts w:ascii="Times New Roman" w:hAnsi="Times New Roman" w:cs="Times New Roman"/>
          <w:sz w:val="24"/>
          <w:szCs w:val="24"/>
        </w:rPr>
        <w:t>ables demográficas y el ahorro.</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 xml:space="preserve">. </w:t>
      </w:r>
      <w:r w:rsidRPr="00277CA0">
        <w:rPr>
          <w:rFonts w:ascii="Times New Roman" w:hAnsi="Times New Roman" w:cs="Times New Roman"/>
          <w:sz w:val="24"/>
          <w:szCs w:val="24"/>
        </w:rPr>
        <w:t>El porcentaje de la población en edad de trabajar se correla</w:t>
      </w:r>
      <w:r w:rsidR="00434E51">
        <w:rPr>
          <w:rFonts w:ascii="Times New Roman" w:hAnsi="Times New Roman" w:cs="Times New Roman"/>
          <w:sz w:val="24"/>
          <w:szCs w:val="24"/>
        </w:rPr>
        <w:t>ciona también con la inversión.</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 xml:space="preserve">. </w:t>
      </w:r>
      <w:r w:rsidRPr="00277CA0">
        <w:rPr>
          <w:rFonts w:ascii="Times New Roman" w:hAnsi="Times New Roman" w:cs="Times New Roman"/>
          <w:sz w:val="24"/>
          <w:szCs w:val="24"/>
        </w:rPr>
        <w:t>El  balance por cuenta corriente se incrementa con el tamaño relativo de la población en edad de trabajar, y disminuye cuando el ratio de</w:t>
      </w:r>
      <w:r w:rsidR="00434E51">
        <w:rPr>
          <w:rFonts w:ascii="Times New Roman" w:hAnsi="Times New Roman" w:cs="Times New Roman"/>
          <w:sz w:val="24"/>
          <w:szCs w:val="24"/>
        </w:rPr>
        <w:t xml:space="preserve"> población mayor de edad crece.</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 xml:space="preserve">. </w:t>
      </w:r>
      <w:r w:rsidRPr="00277CA0">
        <w:rPr>
          <w:rFonts w:ascii="Times New Roman" w:hAnsi="Times New Roman" w:cs="Times New Roman"/>
          <w:sz w:val="24"/>
          <w:szCs w:val="24"/>
        </w:rPr>
        <w:t>Los factores demográficos tam</w:t>
      </w:r>
      <w:r w:rsidR="00434E51">
        <w:rPr>
          <w:rFonts w:ascii="Times New Roman" w:hAnsi="Times New Roman" w:cs="Times New Roman"/>
          <w:sz w:val="24"/>
          <w:szCs w:val="24"/>
        </w:rPr>
        <w:t>bién afectan el balance fiscal.</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w:t>
      </w:r>
      <w:r w:rsidRPr="00277CA0">
        <w:rPr>
          <w:rFonts w:ascii="Times New Roman" w:hAnsi="Times New Roman" w:cs="Times New Roman"/>
          <w:sz w:val="24"/>
          <w:szCs w:val="24"/>
        </w:rPr>
        <w:t xml:space="preserve"> En los países desarrollados, el impacto de un cambio demográfico en el crecim</w:t>
      </w:r>
      <w:r w:rsidR="00C80F91">
        <w:rPr>
          <w:rFonts w:ascii="Times New Roman" w:hAnsi="Times New Roman" w:cs="Times New Roman"/>
          <w:sz w:val="24"/>
          <w:szCs w:val="24"/>
        </w:rPr>
        <w:t>iento puede ser substancial.</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 xml:space="preserve">. </w:t>
      </w:r>
      <w:r w:rsidRPr="00277CA0">
        <w:rPr>
          <w:rFonts w:ascii="Times New Roman" w:hAnsi="Times New Roman" w:cs="Times New Roman"/>
          <w:sz w:val="24"/>
          <w:szCs w:val="24"/>
        </w:rPr>
        <w:t>El impacto sobre el crecimiento en los países en desarrollo puede variar según la  r</w:t>
      </w:r>
      <w:r w:rsidR="00434E51">
        <w:rPr>
          <w:rFonts w:ascii="Times New Roman" w:hAnsi="Times New Roman" w:cs="Times New Roman"/>
          <w:sz w:val="24"/>
          <w:szCs w:val="24"/>
        </w:rPr>
        <w:t>egión.</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w:t>
      </w:r>
      <w:r w:rsidRPr="00277CA0">
        <w:rPr>
          <w:rFonts w:ascii="Times New Roman" w:hAnsi="Times New Roman" w:cs="Times New Roman"/>
          <w:sz w:val="24"/>
          <w:szCs w:val="24"/>
        </w:rPr>
        <w:t xml:space="preserve"> Los futuros cambios demográficos pueden encabezar grandes cambios en e</w:t>
      </w:r>
      <w:r w:rsidR="00434E51">
        <w:rPr>
          <w:rFonts w:ascii="Times New Roman" w:hAnsi="Times New Roman" w:cs="Times New Roman"/>
          <w:sz w:val="24"/>
          <w:szCs w:val="24"/>
        </w:rPr>
        <w:t>l balance por cuenta corriente.</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Impacto del cambio demográfico en un Modelo Multipaís (INGENUE)</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El Modelo INGENUE desagrega el mundo económico en seis regiones: Norte América y Oceanía; Europa, Japón, y tres regiones de países en desarrollo (países de desarrollo rápido, como China, Rusia o Corea; países en transición demográfica, como India y algunos de Latinoamérica; y finalmente, algunas economías que están iniciando una transición demográfica, </w:t>
      </w:r>
      <w:r w:rsidR="00434E51" w:rsidRPr="00277CA0">
        <w:rPr>
          <w:rFonts w:ascii="Times New Roman" w:hAnsi="Times New Roman" w:cs="Times New Roman"/>
          <w:sz w:val="24"/>
          <w:szCs w:val="24"/>
        </w:rPr>
        <w:t>incluidos</w:t>
      </w:r>
      <w:r w:rsidRPr="00277CA0">
        <w:rPr>
          <w:rFonts w:ascii="Times New Roman" w:hAnsi="Times New Roman" w:cs="Times New Roman"/>
          <w:sz w:val="24"/>
          <w:szCs w:val="24"/>
        </w:rPr>
        <w:t xml:space="preserve"> algunos de </w:t>
      </w:r>
      <w:r w:rsidR="00434E51" w:rsidRPr="00277CA0">
        <w:rPr>
          <w:rFonts w:ascii="Times New Roman" w:hAnsi="Times New Roman" w:cs="Times New Roman"/>
          <w:sz w:val="24"/>
          <w:szCs w:val="24"/>
        </w:rPr>
        <w:t>África</w:t>
      </w:r>
      <w:r w:rsidRPr="00277CA0">
        <w:rPr>
          <w:rFonts w:ascii="Times New Roman" w:hAnsi="Times New Roman" w:cs="Times New Roman"/>
          <w:sz w:val="24"/>
          <w:szCs w:val="24"/>
        </w:rPr>
        <w:t xml:space="preserve"> y Pakistán).</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Los resultados que surgen de la aplicación del modelo de cambio demográfico proyectado sobre los próximos 50 años presentan un bajo crecimiento en todas las regiones, seguido de un bajo crecimiento de la población mundial,  por lo que el impacto en el crecimiento del ratio per </w:t>
      </w:r>
      <w:r w:rsidR="00434E51" w:rsidRPr="00277CA0">
        <w:rPr>
          <w:rFonts w:ascii="Times New Roman" w:hAnsi="Times New Roman" w:cs="Times New Roman"/>
          <w:sz w:val="24"/>
          <w:szCs w:val="24"/>
        </w:rPr>
        <w:t>cápita</w:t>
      </w:r>
      <w:r w:rsidRPr="00277CA0">
        <w:rPr>
          <w:rFonts w:ascii="Times New Roman" w:hAnsi="Times New Roman" w:cs="Times New Roman"/>
          <w:sz w:val="24"/>
          <w:szCs w:val="24"/>
        </w:rPr>
        <w:t xml:space="preserve"> no tendría grandes variaciones. El crecimiento de los ratios per cápita decrecería de los niveles corrientes en las economías avanzadas, mientras crecería inicialmente en los países en desarrollo por el </w:t>
      </w:r>
      <w:r w:rsidR="00434E51">
        <w:rPr>
          <w:rFonts w:ascii="Times New Roman" w:hAnsi="Times New Roman" w:cs="Times New Roman"/>
          <w:sz w:val="24"/>
          <w:szCs w:val="24"/>
        </w:rPr>
        <w:t>estímulo del cambio de trabajo.</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Algunas políticas para responder a la declinación de la fuerza laboral en las economías avanzadas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Para muchas economías avanzadas, mantener un ratio constante de fuerza laboral para los próximos 50 años requeriría importantes incrementos de los ratios de participación y edad del retiro y/o un substan</w:t>
      </w:r>
      <w:r w:rsidR="00434E51">
        <w:rPr>
          <w:rFonts w:ascii="Times New Roman" w:hAnsi="Times New Roman" w:cs="Times New Roman"/>
          <w:sz w:val="24"/>
          <w:szCs w:val="24"/>
        </w:rPr>
        <w:t>cial aumento de la inmigración</w:t>
      </w:r>
      <w:r w:rsidR="001B6391">
        <w:rPr>
          <w:rFonts w:ascii="Times New Roman" w:hAnsi="Times New Roman" w:cs="Times New Roman"/>
          <w:sz w:val="24"/>
          <w:szCs w:val="24"/>
        </w:rPr>
        <w:t>…</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Implicaciones del cambio demog</w:t>
      </w:r>
      <w:r w:rsidR="001B6391">
        <w:rPr>
          <w:rFonts w:ascii="Times New Roman" w:hAnsi="Times New Roman" w:cs="Times New Roman"/>
          <w:sz w:val="24"/>
          <w:szCs w:val="24"/>
        </w:rPr>
        <w:t>ráfico en los sistemas de salud</w:t>
      </w:r>
    </w:p>
    <w:p w:rsidR="00277CA0" w:rsidRPr="00277CA0" w:rsidRDefault="001B6391"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77CA0" w:rsidRPr="00277CA0">
        <w:rPr>
          <w:rFonts w:ascii="Times New Roman" w:hAnsi="Times New Roman" w:cs="Times New Roman"/>
          <w:sz w:val="24"/>
          <w:szCs w:val="24"/>
        </w:rPr>
        <w:t>Hacen uso  los mayores  de más  asistencia médica?</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En los países industrial</w:t>
      </w:r>
      <w:r w:rsidR="001B6391">
        <w:rPr>
          <w:rFonts w:ascii="Times New Roman" w:hAnsi="Times New Roman" w:cs="Times New Roman"/>
          <w:sz w:val="24"/>
          <w:szCs w:val="24"/>
        </w:rPr>
        <w:t>es, la población mayor de edad -</w:t>
      </w:r>
      <w:r w:rsidRPr="00277CA0">
        <w:rPr>
          <w:rFonts w:ascii="Times New Roman" w:hAnsi="Times New Roman" w:cs="Times New Roman"/>
          <w:sz w:val="24"/>
          <w:szCs w:val="24"/>
        </w:rPr>
        <w:t>sobre 65 años- provoca gastos médicos mayores que los menores de 65 años.</w:t>
      </w:r>
    </w:p>
    <w:p w:rsidR="00277CA0" w:rsidRPr="00277CA0" w:rsidRDefault="001B6391"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277CA0" w:rsidRPr="00277CA0">
        <w:rPr>
          <w:rFonts w:ascii="Times New Roman" w:hAnsi="Times New Roman" w:cs="Times New Roman"/>
          <w:sz w:val="24"/>
          <w:szCs w:val="24"/>
        </w:rPr>
        <w:t>En cuánto contribuye al incremento del gasto médico?</w:t>
      </w:r>
    </w:p>
    <w:p w:rsidR="00C80F91"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Recientes estudios (OCDE y UE) sugieren que el factor demográfico puede incrementar el gasto m</w:t>
      </w:r>
      <w:r w:rsidR="001B6391">
        <w:rPr>
          <w:rFonts w:ascii="Times New Roman" w:hAnsi="Times New Roman" w:cs="Times New Roman"/>
          <w:sz w:val="24"/>
          <w:szCs w:val="24"/>
        </w:rPr>
        <w:t>édico entre un 2 -</w:t>
      </w:r>
      <w:r w:rsidRPr="00277CA0">
        <w:rPr>
          <w:rFonts w:ascii="Times New Roman" w:hAnsi="Times New Roman" w:cs="Times New Roman"/>
          <w:sz w:val="24"/>
          <w:szCs w:val="24"/>
        </w:rPr>
        <w:t xml:space="preserve"> 3 por ciento de PIB entre los años 2000 y 2050. Inclusive el cuidado de enfermedades crónicas pu</w:t>
      </w:r>
      <w:r w:rsidR="001B6391">
        <w:rPr>
          <w:rFonts w:ascii="Times New Roman" w:hAnsi="Times New Roman" w:cs="Times New Roman"/>
          <w:sz w:val="24"/>
          <w:szCs w:val="24"/>
        </w:rPr>
        <w:t>ede incrementar ese porcentaje.</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lastRenderedPageBreak/>
        <w:t>Desafíos en la contención del costo m</w:t>
      </w:r>
      <w:r w:rsidR="001B6391">
        <w:rPr>
          <w:rFonts w:ascii="Times New Roman" w:hAnsi="Times New Roman" w:cs="Times New Roman"/>
          <w:sz w:val="24"/>
          <w:szCs w:val="24"/>
        </w:rPr>
        <w:t>édico en sociedades envejecidas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Hay límites sobre cuanto gasto sobre el PIB puede ser asumido para el cuidado médico y concierne cuanto de dicho gasto puede ser financiado y cuan equitativo debe ser su acceso.</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Los países industrializados están luchando con la contención del crecimiento del costo asistencial.</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Inicialmente, estableciendo limitaciones presupuestarias al gasto sanitario.</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En una segunda fase, modificando los incentivos entre produc</w:t>
      </w:r>
      <w:r w:rsidR="001B6391">
        <w:rPr>
          <w:rFonts w:ascii="Times New Roman" w:hAnsi="Times New Roman" w:cs="Times New Roman"/>
          <w:sz w:val="24"/>
          <w:szCs w:val="24"/>
        </w:rPr>
        <w:t>tores y usuarios de la sanidad.</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Impacto del envejecimiento en l</w:t>
      </w:r>
      <w:r w:rsidR="001B6391">
        <w:rPr>
          <w:rFonts w:ascii="Times New Roman" w:hAnsi="Times New Roman" w:cs="Times New Roman"/>
          <w:sz w:val="24"/>
          <w:szCs w:val="24"/>
        </w:rPr>
        <w:t>os planes públicos de pensiones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Los planes públicos de pensiones juegan un rol crítico al tener que soportar el retiro y envejecimiento. En una gran cantidad de países europeos, el sistema público de pensiones provee a un alto porcentaje de los ingresos de los retirados. En EEUU, la seguridad social provee a un bajo porcentaje de los ingresos de los retirados, pero este no resulta importante para millones de retirados norteamericanos…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Un incremento del ratio activos/pasivos, resulta necesario,  a falta de una elevación de la edad de retiro, o del incremento de la retención sobre la nómina de los activos, para mantener el bala</w:t>
      </w:r>
      <w:r w:rsidR="001B6391">
        <w:rPr>
          <w:rFonts w:ascii="Times New Roman" w:hAnsi="Times New Roman" w:cs="Times New Roman"/>
          <w:sz w:val="24"/>
          <w:szCs w:val="24"/>
        </w:rPr>
        <w:t xml:space="preserve">nce entre ingresos y pagos...  </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 xml:space="preserve">Opciones de reforma </w:t>
      </w:r>
      <w:r w:rsidR="001B6391">
        <w:rPr>
          <w:rFonts w:ascii="Times New Roman" w:hAnsi="Times New Roman" w:cs="Times New Roman"/>
          <w:sz w:val="24"/>
          <w:szCs w:val="24"/>
        </w:rPr>
        <w:t>al sistema público de pensiones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 xml:space="preserve">. </w:t>
      </w:r>
      <w:r w:rsidRPr="00277CA0">
        <w:rPr>
          <w:rFonts w:ascii="Times New Roman" w:hAnsi="Times New Roman" w:cs="Times New Roman"/>
          <w:sz w:val="24"/>
          <w:szCs w:val="24"/>
        </w:rPr>
        <w:t>Una vía es posponer la edad normal de retiro, una opción que puede resultar atendible en función de la prolongación del es</w:t>
      </w:r>
      <w:r w:rsidR="001B6391">
        <w:rPr>
          <w:rFonts w:ascii="Times New Roman" w:hAnsi="Times New Roman" w:cs="Times New Roman"/>
          <w:sz w:val="24"/>
          <w:szCs w:val="24"/>
        </w:rPr>
        <w:t>tado saludable de la población.</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 xml:space="preserve">. </w:t>
      </w:r>
      <w:r w:rsidRPr="00277CA0">
        <w:rPr>
          <w:rFonts w:ascii="Times New Roman" w:hAnsi="Times New Roman" w:cs="Times New Roman"/>
          <w:sz w:val="24"/>
          <w:szCs w:val="24"/>
        </w:rPr>
        <w:t xml:space="preserve">Una segunda opción es indexar la pensión inicial (el primer año de retiro) al incremento del precio al consumidor en lugar del salario de los activos, tal </w:t>
      </w:r>
      <w:r w:rsidR="001B6391">
        <w:rPr>
          <w:rFonts w:ascii="Times New Roman" w:hAnsi="Times New Roman" w:cs="Times New Roman"/>
          <w:sz w:val="24"/>
          <w:szCs w:val="24"/>
        </w:rPr>
        <w:t>como se hace en el Reino Unido.</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 xml:space="preserve">. </w:t>
      </w:r>
      <w:r w:rsidRPr="00277CA0">
        <w:rPr>
          <w:rFonts w:ascii="Times New Roman" w:hAnsi="Times New Roman" w:cs="Times New Roman"/>
          <w:sz w:val="24"/>
          <w:szCs w:val="24"/>
        </w:rPr>
        <w:t>Una tercera alternativa es reducir el factor de acumulación (el equivalente del promedio salaria</w:t>
      </w:r>
      <w:r w:rsidR="001B6391">
        <w:rPr>
          <w:rFonts w:ascii="Times New Roman" w:hAnsi="Times New Roman" w:cs="Times New Roman"/>
          <w:sz w:val="24"/>
          <w:szCs w:val="24"/>
        </w:rPr>
        <w:t>l que se recibirá como pasivo)…</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Reformado el sistema de pe</w:t>
      </w:r>
      <w:r w:rsidR="001B6391">
        <w:rPr>
          <w:rFonts w:ascii="Times New Roman" w:hAnsi="Times New Roman" w:cs="Times New Roman"/>
          <w:sz w:val="24"/>
          <w:szCs w:val="24"/>
        </w:rPr>
        <w:t>nsiones en los países avanzados</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La financiación del sistema de pensiones actual en muchos países avanzados requiere un sustancial incremento en el ratio de contribución para el futuro…</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sz w:val="24"/>
          <w:szCs w:val="24"/>
        </w:rPr>
        <w:t>El impacto potencial de dos posibles reformas del sistema europeo de pensiones fue calculad</w:t>
      </w:r>
      <w:r w:rsidR="001B6391">
        <w:rPr>
          <w:rFonts w:ascii="Times New Roman" w:hAnsi="Times New Roman" w:cs="Times New Roman"/>
          <w:sz w:val="24"/>
          <w:szCs w:val="24"/>
        </w:rPr>
        <w:t>o utilizando el modelo INGENUE.</w:t>
      </w:r>
    </w:p>
    <w:p w:rsidR="00277CA0" w:rsidRPr="00277CA0"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 xml:space="preserve">. </w:t>
      </w:r>
      <w:r w:rsidRPr="00277CA0">
        <w:rPr>
          <w:rFonts w:ascii="Times New Roman" w:hAnsi="Times New Roman" w:cs="Times New Roman"/>
          <w:sz w:val="24"/>
          <w:szCs w:val="24"/>
        </w:rPr>
        <w:t>En el primer escenario, el ratio de reposición por jubilaciones se reduce al 50 por ciento para el año 2050 (del 70 por ciento del año 2000) y el ratio de contribución se</w:t>
      </w:r>
      <w:r w:rsidR="001B6391">
        <w:rPr>
          <w:rFonts w:ascii="Times New Roman" w:hAnsi="Times New Roman" w:cs="Times New Roman"/>
          <w:sz w:val="24"/>
          <w:szCs w:val="24"/>
        </w:rPr>
        <w:t xml:space="preserve"> mantiene al nivel del año 2000</w:t>
      </w:r>
    </w:p>
    <w:p w:rsidR="001B6391" w:rsidRDefault="00277CA0" w:rsidP="00550638">
      <w:pPr>
        <w:spacing w:line="240" w:lineRule="auto"/>
        <w:jc w:val="both"/>
        <w:rPr>
          <w:rFonts w:ascii="Times New Roman" w:hAnsi="Times New Roman" w:cs="Times New Roman"/>
          <w:sz w:val="24"/>
          <w:szCs w:val="24"/>
        </w:rPr>
      </w:pPr>
      <w:r w:rsidRPr="00277CA0">
        <w:rPr>
          <w:rFonts w:ascii="Times New Roman" w:hAnsi="Times New Roman" w:cs="Times New Roman"/>
          <w:b/>
          <w:sz w:val="24"/>
          <w:szCs w:val="24"/>
        </w:rPr>
        <w:t>.</w:t>
      </w:r>
      <w:r w:rsidRPr="00277CA0">
        <w:rPr>
          <w:rFonts w:ascii="Times New Roman" w:hAnsi="Times New Roman" w:cs="Times New Roman"/>
          <w:sz w:val="24"/>
          <w:szCs w:val="24"/>
        </w:rPr>
        <w:t xml:space="preserve"> En el segundo escenario, la edad de retiro es gradualmente aumentada de 60 años a 65 años entre el año 2000 y el año 2020, pero el ratio de reposición no se modifica…</w:t>
      </w:r>
    </w:p>
    <w:p w:rsidR="006C1B61" w:rsidRPr="00FE647D" w:rsidRDefault="006C1B61" w:rsidP="00550638">
      <w:pPr>
        <w:spacing w:line="240" w:lineRule="auto"/>
        <w:jc w:val="both"/>
        <w:rPr>
          <w:rFonts w:ascii="Times New Roman" w:hAnsi="Times New Roman" w:cs="Times New Roman"/>
          <w:sz w:val="24"/>
          <w:szCs w:val="24"/>
          <w:u w:val="single"/>
        </w:rPr>
      </w:pPr>
    </w:p>
    <w:p w:rsidR="001B6391" w:rsidRPr="001B6391" w:rsidRDefault="001B6391" w:rsidP="00550638">
      <w:pPr>
        <w:spacing w:line="240" w:lineRule="auto"/>
        <w:jc w:val="both"/>
        <w:rPr>
          <w:rFonts w:ascii="Times New Roman" w:hAnsi="Times New Roman" w:cs="Times New Roman"/>
          <w:sz w:val="24"/>
          <w:szCs w:val="24"/>
          <w:u w:val="single"/>
          <w:lang w:val="en-GB"/>
        </w:rPr>
      </w:pPr>
      <w:r w:rsidRPr="001B6391">
        <w:rPr>
          <w:rFonts w:ascii="Times New Roman" w:hAnsi="Times New Roman" w:cs="Times New Roman"/>
          <w:sz w:val="24"/>
          <w:szCs w:val="24"/>
          <w:u w:val="single"/>
          <w:lang w:val="en-GB"/>
        </w:rPr>
        <w:lastRenderedPageBreak/>
        <w:t>OCDE social, employment and m</w:t>
      </w:r>
      <w:r>
        <w:rPr>
          <w:rFonts w:ascii="Times New Roman" w:hAnsi="Times New Roman" w:cs="Times New Roman"/>
          <w:sz w:val="24"/>
          <w:szCs w:val="24"/>
          <w:u w:val="single"/>
          <w:lang w:val="en-GB"/>
        </w:rPr>
        <w:t>igration working papers no. 12 -</w:t>
      </w:r>
      <w:r w:rsidRPr="001B6391">
        <w:rPr>
          <w:rFonts w:ascii="Times New Roman" w:hAnsi="Times New Roman" w:cs="Times New Roman"/>
          <w:sz w:val="24"/>
          <w:szCs w:val="24"/>
          <w:u w:val="single"/>
          <w:lang w:val="en-GB"/>
        </w:rPr>
        <w:t xml:space="preserve"> 19/08/03</w:t>
      </w:r>
    </w:p>
    <w:p w:rsidR="001B6391" w:rsidRPr="001B6391" w:rsidRDefault="001B6391" w:rsidP="00550638">
      <w:pPr>
        <w:spacing w:line="240" w:lineRule="auto"/>
        <w:jc w:val="both"/>
        <w:rPr>
          <w:rFonts w:ascii="Times New Roman" w:hAnsi="Times New Roman" w:cs="Times New Roman"/>
          <w:sz w:val="24"/>
          <w:szCs w:val="24"/>
          <w:lang w:val="en-GB"/>
        </w:rPr>
      </w:pPr>
      <w:r w:rsidRPr="001B6391">
        <w:rPr>
          <w:rFonts w:ascii="Times New Roman" w:hAnsi="Times New Roman" w:cs="Times New Roman"/>
          <w:sz w:val="24"/>
          <w:szCs w:val="24"/>
          <w:lang w:val="en-GB"/>
        </w:rPr>
        <w:t>Towards Sustainable Development: the Role of Social Protection</w:t>
      </w:r>
    </w:p>
    <w:p w:rsidR="001B6391" w:rsidRPr="001B6391" w:rsidRDefault="000B4AF8"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(Traducción no literal)</w:t>
      </w:r>
    </w:p>
    <w:p w:rsidR="001B6391" w:rsidRPr="000B4AF8" w:rsidRDefault="001B6391" w:rsidP="00550638">
      <w:pPr>
        <w:spacing w:line="240" w:lineRule="auto"/>
        <w:jc w:val="both"/>
        <w:rPr>
          <w:rFonts w:ascii="Times New Roman" w:hAnsi="Times New Roman" w:cs="Times New Roman"/>
          <w:sz w:val="24"/>
          <w:szCs w:val="24"/>
        </w:rPr>
      </w:pPr>
      <w:r w:rsidRPr="001B6391">
        <w:rPr>
          <w:rFonts w:ascii="Times New Roman" w:hAnsi="Times New Roman" w:cs="Times New Roman"/>
          <w:sz w:val="24"/>
          <w:szCs w:val="24"/>
        </w:rPr>
        <w:t>El gasto público per cápita dirigido a los mayores de edad representa de tres a cuatro veces el aplicado a las personas no mayores. En la mayoría de los países, la propensión al gasto social dirigido a los mayores de edad se ha incrementado desde 1990. En estos países, los altos gastos en pensiones, por encima de los demás gastos, se han financiado a través del incremento de las retenciones a las nóminas de los trabajadores, aumentando los costos laborales y disminuyendo las oportunidades de empleo de la</w:t>
      </w:r>
      <w:r w:rsidR="000B4AF8">
        <w:rPr>
          <w:rFonts w:ascii="Times New Roman" w:hAnsi="Times New Roman" w:cs="Times New Roman"/>
          <w:sz w:val="24"/>
          <w:szCs w:val="24"/>
        </w:rPr>
        <w:t>s personas en edad de trabajar.</w:t>
      </w:r>
    </w:p>
    <w:p w:rsidR="001B6391" w:rsidRDefault="001B6391" w:rsidP="00550638">
      <w:pPr>
        <w:spacing w:line="240" w:lineRule="auto"/>
        <w:jc w:val="both"/>
      </w:pPr>
      <w:r>
        <w:t>Gasto público orientado a la edad sobre la protección social y educación</w:t>
      </w:r>
    </w:p>
    <w:p w:rsidR="001B6391" w:rsidRDefault="001B6391" w:rsidP="00550638">
      <w:pPr>
        <w:spacing w:line="240" w:lineRule="auto"/>
        <w:jc w:val="both"/>
      </w:pPr>
      <w:r>
        <w:t>(algunos países miembros de la OCDE, interpretación d</w:t>
      </w:r>
      <w:r w:rsidR="000B4AF8">
        <w:t>e gráfico, valores aproximados)</w:t>
      </w:r>
    </w:p>
    <w:p w:rsidR="001B6391" w:rsidRDefault="001B6391" w:rsidP="00550638">
      <w:pPr>
        <w:spacing w:line="240" w:lineRule="auto"/>
        <w:jc w:val="both"/>
      </w:pPr>
      <w:r>
        <w:t>País</w:t>
      </w:r>
      <w:r>
        <w:tab/>
      </w:r>
      <w:r>
        <w:tab/>
        <w:t>1990</w:t>
      </w:r>
      <w:r>
        <w:tab/>
      </w:r>
      <w:r>
        <w:tab/>
        <w:t>1998</w:t>
      </w:r>
    </w:p>
    <w:p w:rsidR="001B6391" w:rsidRDefault="001B6391" w:rsidP="00550638">
      <w:pPr>
        <w:spacing w:line="240" w:lineRule="auto"/>
        <w:jc w:val="both"/>
      </w:pPr>
      <w:r>
        <w:t>Japón</w:t>
      </w:r>
      <w:r>
        <w:tab/>
      </w:r>
      <w:r>
        <w:tab/>
        <w:t xml:space="preserve"> 5,30</w:t>
      </w:r>
      <w:r>
        <w:tab/>
      </w:r>
      <w:r>
        <w:tab/>
        <w:t xml:space="preserve"> 4,75</w:t>
      </w:r>
    </w:p>
    <w:p w:rsidR="001B6391" w:rsidRDefault="001B6391" w:rsidP="00550638">
      <w:pPr>
        <w:spacing w:line="240" w:lineRule="auto"/>
        <w:jc w:val="both"/>
      </w:pPr>
      <w:r>
        <w:t xml:space="preserve">España             </w:t>
      </w:r>
      <w:r w:rsidR="000B4AF8">
        <w:t xml:space="preserve">  </w:t>
      </w:r>
      <w:r>
        <w:t xml:space="preserve"> 4,15</w:t>
      </w:r>
      <w:r>
        <w:tab/>
      </w:r>
      <w:r>
        <w:tab/>
        <w:t xml:space="preserve"> 4,25</w:t>
      </w:r>
    </w:p>
    <w:p w:rsidR="001B6391" w:rsidRDefault="001B6391" w:rsidP="00550638">
      <w:pPr>
        <w:spacing w:line="240" w:lineRule="auto"/>
        <w:jc w:val="both"/>
      </w:pPr>
      <w:r>
        <w:t xml:space="preserve">Corea                 3,25                  </w:t>
      </w:r>
      <w:r w:rsidR="000B4AF8">
        <w:t xml:space="preserve">  </w:t>
      </w:r>
      <w:r>
        <w:t xml:space="preserve"> 5,80</w:t>
      </w:r>
    </w:p>
    <w:p w:rsidR="001B6391" w:rsidRDefault="001B6391" w:rsidP="00550638">
      <w:pPr>
        <w:spacing w:line="240" w:lineRule="auto"/>
        <w:jc w:val="both"/>
      </w:pPr>
      <w:r>
        <w:t xml:space="preserve">Italia                   5,40                   </w:t>
      </w:r>
      <w:r w:rsidR="000B4AF8">
        <w:t xml:space="preserve">  </w:t>
      </w:r>
      <w:r>
        <w:t>5,55</w:t>
      </w:r>
    </w:p>
    <w:p w:rsidR="001B6391" w:rsidRDefault="001B6391" w:rsidP="00550638">
      <w:pPr>
        <w:spacing w:line="240" w:lineRule="auto"/>
        <w:jc w:val="both"/>
      </w:pPr>
      <w:r>
        <w:t xml:space="preserve">Alemania            5,30                   </w:t>
      </w:r>
      <w:r w:rsidR="000B4AF8">
        <w:t xml:space="preserve"> </w:t>
      </w:r>
      <w:r>
        <w:t>5,00</w:t>
      </w:r>
    </w:p>
    <w:p w:rsidR="001B6391" w:rsidRDefault="001B6391" w:rsidP="00550638">
      <w:pPr>
        <w:spacing w:line="240" w:lineRule="auto"/>
        <w:jc w:val="both"/>
      </w:pPr>
      <w:r>
        <w:t xml:space="preserve">Francia               </w:t>
      </w:r>
      <w:r w:rsidR="000B4AF8">
        <w:t xml:space="preserve"> </w:t>
      </w:r>
      <w:r>
        <w:t xml:space="preserve">4,40                   </w:t>
      </w:r>
      <w:r w:rsidR="000B4AF8">
        <w:t xml:space="preserve"> </w:t>
      </w:r>
      <w:r>
        <w:t>4,25</w:t>
      </w:r>
    </w:p>
    <w:p w:rsidR="001B6391" w:rsidRDefault="001B6391" w:rsidP="00550638">
      <w:pPr>
        <w:spacing w:line="240" w:lineRule="auto"/>
        <w:jc w:val="both"/>
      </w:pPr>
      <w:r>
        <w:t xml:space="preserve">Reino Unido       4,55                   </w:t>
      </w:r>
      <w:r w:rsidR="000B4AF8">
        <w:t xml:space="preserve"> </w:t>
      </w:r>
      <w:r>
        <w:t>5,25</w:t>
      </w:r>
    </w:p>
    <w:p w:rsidR="001B6391" w:rsidRDefault="001B6391" w:rsidP="00550638">
      <w:pPr>
        <w:spacing w:line="240" w:lineRule="auto"/>
        <w:jc w:val="both"/>
      </w:pPr>
      <w:r>
        <w:t xml:space="preserve">EEUU                </w:t>
      </w:r>
      <w:r w:rsidR="000B4AF8">
        <w:t xml:space="preserve"> </w:t>
      </w:r>
      <w:r>
        <w:t xml:space="preserve"> 4,45                   </w:t>
      </w:r>
      <w:r w:rsidR="000B4AF8">
        <w:t xml:space="preserve"> 4,60</w:t>
      </w:r>
    </w:p>
    <w:p w:rsidR="001B6391" w:rsidRPr="000B4AF8" w:rsidRDefault="000B4AF8"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w:t>
      </w:r>
      <w:r w:rsidR="001B6391" w:rsidRPr="000B4AF8">
        <w:rPr>
          <w:rFonts w:ascii="Times New Roman" w:hAnsi="Times New Roman" w:cs="Times New Roman"/>
          <w:sz w:val="24"/>
          <w:szCs w:val="24"/>
        </w:rPr>
        <w:t>Está la globalización reduciendo la capacidad de</w:t>
      </w:r>
      <w:r w:rsidRPr="000B4AF8">
        <w:rPr>
          <w:rFonts w:ascii="Times New Roman" w:hAnsi="Times New Roman" w:cs="Times New Roman"/>
          <w:sz w:val="24"/>
          <w:szCs w:val="24"/>
        </w:rPr>
        <w:t>l sistema de protección social?</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La globalización puede afectar la capacidad de los gobiernos para financiar el sistema de protección social por la necesidad de reducir los impuestos o  reformar las estructuras. Un mejor sistema de transportes y comunicaciones incrementa la movilidad de los factores de producción, dificultando la traslación de mayores impuestos para financiar el sistema de protección social, dada la mayor posibilidad de escapar a los impuestos, buscando radicarse en las zonas con menores costos fiscales. Este efecto se aplica  por igual a los diferentes factores de la producción (por ejemplo capital en relación al trabajo) y a diferentes tipos de trabajo (individuos altamente capacitados)…</w:t>
      </w:r>
      <w:r w:rsidR="000B4AF8" w:rsidRPr="000B4AF8">
        <w:rPr>
          <w:rFonts w:ascii="Times New Roman" w:hAnsi="Times New Roman" w:cs="Times New Roman"/>
          <w:sz w:val="24"/>
          <w:szCs w:val="24"/>
        </w:rPr>
        <w:t xml:space="preserve"> </w:t>
      </w:r>
      <w:r w:rsidRPr="000B4AF8">
        <w:rPr>
          <w:rFonts w:ascii="Times New Roman" w:hAnsi="Times New Roman" w:cs="Times New Roman"/>
          <w:sz w:val="24"/>
          <w:szCs w:val="24"/>
        </w:rPr>
        <w:t>Mientras la gran competencia fiscal puede incrementar la eficiencia económica,…</w:t>
      </w:r>
      <w:r w:rsidR="007D747F">
        <w:rPr>
          <w:rFonts w:ascii="Times New Roman" w:hAnsi="Times New Roman" w:cs="Times New Roman"/>
          <w:sz w:val="24"/>
          <w:szCs w:val="24"/>
        </w:rPr>
        <w:t xml:space="preserve"> </w:t>
      </w:r>
      <w:r w:rsidRPr="000B4AF8">
        <w:rPr>
          <w:rFonts w:ascii="Times New Roman" w:hAnsi="Times New Roman" w:cs="Times New Roman"/>
          <w:sz w:val="24"/>
          <w:szCs w:val="24"/>
        </w:rPr>
        <w:t>los efectos netos sobre las rentas fiscales resultan a priori difíciles de establecer…</w:t>
      </w:r>
    </w:p>
    <w:p w:rsidR="001B6391" w:rsidRPr="006C1B61"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 xml:space="preserve">De acuerdo con Tanzi (2000), una mayor presión resulta evidente, actualmente, a la hora de establecer competencias de fiscalidad entre países </w:t>
      </w:r>
      <w:r w:rsidR="006C1B61">
        <w:rPr>
          <w:rFonts w:ascii="Times New Roman" w:hAnsi="Times New Roman" w:cs="Times New Roman"/>
          <w:sz w:val="24"/>
          <w:szCs w:val="24"/>
        </w:rPr>
        <w:t>para el futuro. Estas incluyen:</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b/>
          <w:sz w:val="24"/>
          <w:szCs w:val="24"/>
        </w:rPr>
        <w:t xml:space="preserve">. </w:t>
      </w:r>
      <w:r w:rsidRPr="000B4AF8">
        <w:rPr>
          <w:rFonts w:ascii="Times New Roman" w:hAnsi="Times New Roman" w:cs="Times New Roman"/>
          <w:sz w:val="24"/>
          <w:szCs w:val="24"/>
        </w:rPr>
        <w:t>Incremento de las actividades e inversiones fuera del país de residencia, de los trabajadores altamente capacitados</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b/>
          <w:sz w:val="24"/>
          <w:szCs w:val="24"/>
        </w:rPr>
        <w:lastRenderedPageBreak/>
        <w:t xml:space="preserve">. </w:t>
      </w:r>
      <w:r w:rsidRPr="000B4AF8">
        <w:rPr>
          <w:rFonts w:ascii="Times New Roman" w:hAnsi="Times New Roman" w:cs="Times New Roman"/>
          <w:sz w:val="24"/>
          <w:szCs w:val="24"/>
        </w:rPr>
        <w:t>Crecimiento de la importancia de zonas off-shore y refugios fiscales para conducir las inversiones financieras.</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b/>
          <w:sz w:val="24"/>
          <w:szCs w:val="24"/>
        </w:rPr>
        <w:t xml:space="preserve">. </w:t>
      </w:r>
      <w:r w:rsidRPr="000B4AF8">
        <w:rPr>
          <w:rFonts w:ascii="Times New Roman" w:hAnsi="Times New Roman" w:cs="Times New Roman"/>
          <w:sz w:val="24"/>
          <w:szCs w:val="24"/>
        </w:rPr>
        <w:t>Crecimiento del uso del comercio electrónico por fuera del sistema impositivo.</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b/>
          <w:sz w:val="24"/>
          <w:szCs w:val="24"/>
        </w:rPr>
        <w:t xml:space="preserve">. </w:t>
      </w:r>
      <w:r w:rsidRPr="000B4AF8">
        <w:rPr>
          <w:rFonts w:ascii="Times New Roman" w:hAnsi="Times New Roman" w:cs="Times New Roman"/>
          <w:sz w:val="24"/>
          <w:szCs w:val="24"/>
        </w:rPr>
        <w:t>Crecimiento de nuevos instrumentos financieros con escapatoria fiscal.</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b/>
          <w:sz w:val="24"/>
          <w:szCs w:val="24"/>
        </w:rPr>
        <w:t xml:space="preserve">. </w:t>
      </w:r>
      <w:r w:rsidRPr="000B4AF8">
        <w:rPr>
          <w:rFonts w:ascii="Times New Roman" w:hAnsi="Times New Roman" w:cs="Times New Roman"/>
          <w:sz w:val="24"/>
          <w:szCs w:val="24"/>
        </w:rPr>
        <w:t>Crecimiento de la importancia del comercio interno de las multinacionales.</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b/>
          <w:sz w:val="24"/>
          <w:szCs w:val="24"/>
        </w:rPr>
        <w:t xml:space="preserve">. </w:t>
      </w:r>
      <w:r w:rsidRPr="000B4AF8">
        <w:rPr>
          <w:rFonts w:ascii="Times New Roman" w:hAnsi="Times New Roman" w:cs="Times New Roman"/>
          <w:sz w:val="24"/>
          <w:szCs w:val="24"/>
        </w:rPr>
        <w:t>Incremento de viajeros individuales, que realizan sus compras donde los impuestos son menores.</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b/>
          <w:sz w:val="24"/>
          <w:szCs w:val="24"/>
        </w:rPr>
        <w:t xml:space="preserve">. </w:t>
      </w:r>
      <w:r w:rsidRPr="000B4AF8">
        <w:rPr>
          <w:rFonts w:ascii="Times New Roman" w:hAnsi="Times New Roman" w:cs="Times New Roman"/>
          <w:sz w:val="24"/>
          <w:szCs w:val="24"/>
        </w:rPr>
        <w:t>Crecimiento de la incapacidad para aplicar impuestos al capital financiero y a los ingresos individuales con alta habilidad comercial.</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b/>
          <w:sz w:val="24"/>
          <w:szCs w:val="24"/>
        </w:rPr>
        <w:t xml:space="preserve">. </w:t>
      </w:r>
      <w:r w:rsidRPr="000B4AF8">
        <w:rPr>
          <w:rFonts w:ascii="Times New Roman" w:hAnsi="Times New Roman" w:cs="Times New Roman"/>
          <w:sz w:val="24"/>
          <w:szCs w:val="24"/>
        </w:rPr>
        <w:t>Sustitución de la “moneda real” por medios electrónicos p</w:t>
      </w:r>
      <w:r w:rsidR="000B4AF8">
        <w:rPr>
          <w:rFonts w:ascii="Times New Roman" w:hAnsi="Times New Roman" w:cs="Times New Roman"/>
          <w:sz w:val="24"/>
          <w:szCs w:val="24"/>
        </w:rPr>
        <w:t>ara realizar las transacciones.</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 xml:space="preserve">El desafío del futuro: adaptar la seguridad social al cambio de las circunstancias </w:t>
      </w:r>
    </w:p>
    <w:p w:rsidR="001B6391" w:rsidRPr="000B4AF8" w:rsidRDefault="001B6391" w:rsidP="00550638">
      <w:pPr>
        <w:numPr>
          <w:ilvl w:val="0"/>
          <w:numId w:val="34"/>
        </w:numPr>
        <w:spacing w:after="0" w:line="240" w:lineRule="auto"/>
        <w:jc w:val="both"/>
        <w:rPr>
          <w:rFonts w:ascii="Times New Roman" w:hAnsi="Times New Roman" w:cs="Times New Roman"/>
          <w:sz w:val="24"/>
          <w:szCs w:val="24"/>
        </w:rPr>
      </w:pPr>
      <w:r w:rsidRPr="000B4AF8">
        <w:rPr>
          <w:rFonts w:ascii="Times New Roman" w:hAnsi="Times New Roman" w:cs="Times New Roman"/>
          <w:sz w:val="24"/>
          <w:szCs w:val="24"/>
        </w:rPr>
        <w:t>Cambios en el contexto demográfico desde que los programas sociales fueron inicialmente establecidos.</w:t>
      </w:r>
    </w:p>
    <w:p w:rsidR="001B6391" w:rsidRPr="000B4AF8" w:rsidRDefault="001B6391" w:rsidP="00550638">
      <w:pPr>
        <w:numPr>
          <w:ilvl w:val="0"/>
          <w:numId w:val="34"/>
        </w:numPr>
        <w:spacing w:after="0" w:line="240" w:lineRule="auto"/>
        <w:jc w:val="both"/>
        <w:rPr>
          <w:rFonts w:ascii="Times New Roman" w:hAnsi="Times New Roman" w:cs="Times New Roman"/>
          <w:sz w:val="24"/>
          <w:szCs w:val="24"/>
        </w:rPr>
      </w:pPr>
      <w:r w:rsidRPr="000B4AF8">
        <w:rPr>
          <w:rFonts w:ascii="Times New Roman" w:hAnsi="Times New Roman" w:cs="Times New Roman"/>
          <w:sz w:val="24"/>
          <w:szCs w:val="24"/>
        </w:rPr>
        <w:t>Cambio en los roles familiares</w:t>
      </w:r>
    </w:p>
    <w:p w:rsidR="001B6391" w:rsidRPr="000B4AF8" w:rsidRDefault="001B6391" w:rsidP="00550638">
      <w:pPr>
        <w:numPr>
          <w:ilvl w:val="0"/>
          <w:numId w:val="34"/>
        </w:numPr>
        <w:spacing w:after="0" w:line="240" w:lineRule="auto"/>
        <w:jc w:val="both"/>
        <w:rPr>
          <w:rFonts w:ascii="Times New Roman" w:hAnsi="Times New Roman" w:cs="Times New Roman"/>
          <w:sz w:val="24"/>
          <w:szCs w:val="24"/>
        </w:rPr>
      </w:pPr>
      <w:r w:rsidRPr="000B4AF8">
        <w:rPr>
          <w:rFonts w:ascii="Times New Roman" w:hAnsi="Times New Roman" w:cs="Times New Roman"/>
          <w:sz w:val="24"/>
          <w:szCs w:val="24"/>
        </w:rPr>
        <w:t>Cambios en el medio ambiente laboral</w:t>
      </w:r>
    </w:p>
    <w:p w:rsidR="001B6391" w:rsidRPr="000B4AF8" w:rsidRDefault="001B6391" w:rsidP="00550638">
      <w:pPr>
        <w:numPr>
          <w:ilvl w:val="0"/>
          <w:numId w:val="34"/>
        </w:numPr>
        <w:spacing w:after="0" w:line="240" w:lineRule="auto"/>
        <w:jc w:val="both"/>
        <w:rPr>
          <w:rFonts w:ascii="Times New Roman" w:hAnsi="Times New Roman" w:cs="Times New Roman"/>
          <w:sz w:val="24"/>
          <w:szCs w:val="24"/>
        </w:rPr>
      </w:pPr>
      <w:r w:rsidRPr="000B4AF8">
        <w:rPr>
          <w:rFonts w:ascii="Times New Roman" w:hAnsi="Times New Roman" w:cs="Times New Roman"/>
          <w:sz w:val="24"/>
          <w:szCs w:val="24"/>
        </w:rPr>
        <w:t>Cambios en la distribución económica de los recursos y oportunidades…</w:t>
      </w:r>
    </w:p>
    <w:p w:rsidR="006C1B61" w:rsidRDefault="006C1B61" w:rsidP="00550638">
      <w:pPr>
        <w:spacing w:line="240" w:lineRule="auto"/>
        <w:jc w:val="both"/>
        <w:rPr>
          <w:rFonts w:ascii="Times New Roman" w:hAnsi="Times New Roman" w:cs="Times New Roman"/>
          <w:sz w:val="24"/>
          <w:szCs w:val="24"/>
        </w:rPr>
      </w:pPr>
    </w:p>
    <w:p w:rsidR="001B6391" w:rsidRPr="000B4AF8" w:rsidRDefault="000B4AF8"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1B6391" w:rsidRPr="000B4AF8">
        <w:rPr>
          <w:rFonts w:ascii="Times New Roman" w:hAnsi="Times New Roman" w:cs="Times New Roman"/>
          <w:sz w:val="24"/>
          <w:szCs w:val="24"/>
        </w:rPr>
        <w:t xml:space="preserve">Es la declinación del capital social una amenaza </w:t>
      </w:r>
      <w:r>
        <w:rPr>
          <w:rFonts w:ascii="Times New Roman" w:hAnsi="Times New Roman" w:cs="Times New Roman"/>
          <w:sz w:val="24"/>
          <w:szCs w:val="24"/>
        </w:rPr>
        <w:t>para el desarrollo sustentable?</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L</w:t>
      </w:r>
      <w:r w:rsidR="000B4AF8">
        <w:rPr>
          <w:rFonts w:ascii="Times New Roman" w:hAnsi="Times New Roman" w:cs="Times New Roman"/>
          <w:sz w:val="24"/>
          <w:szCs w:val="24"/>
        </w:rPr>
        <w:t>a noción de capital social -</w:t>
      </w:r>
      <w:r w:rsidRPr="000B4AF8">
        <w:rPr>
          <w:rFonts w:ascii="Times New Roman" w:hAnsi="Times New Roman" w:cs="Times New Roman"/>
          <w:sz w:val="24"/>
          <w:szCs w:val="24"/>
        </w:rPr>
        <w:t>“the networks together with shared norms, values and understanding that facilitate co-operation within and among groups” (OCDE, 2001b)-  acentúa la importancia del compromiso de la comunidad para el progreso económico y social, con énfasis sobre la participación individual en grupos formales e informales y sobre la extens</w:t>
      </w:r>
      <w:r w:rsidR="000B4AF8">
        <w:rPr>
          <w:rFonts w:ascii="Times New Roman" w:hAnsi="Times New Roman" w:cs="Times New Roman"/>
          <w:sz w:val="24"/>
          <w:szCs w:val="24"/>
        </w:rPr>
        <w:t>ión de sus relaciones sociales…</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Cambios en la dist</w:t>
      </w:r>
      <w:r w:rsidR="000B4AF8">
        <w:rPr>
          <w:rFonts w:ascii="Times New Roman" w:hAnsi="Times New Roman" w:cs="Times New Roman"/>
          <w:sz w:val="24"/>
          <w:szCs w:val="24"/>
        </w:rPr>
        <w:t>ribución de recursos económicos</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A pesar de la gran diferencia en los niveles de distribución de los ingresos, virtualmente en todos los países miembros de la OCDE cuya información está disponible han experimentado un ensanchamiento en la distribución de ingresos de mercado (la suma de ganancias, auto-empleo e ingresos del capital, antes de impuestos y transferencias gubernamentales) en la década desde mitad de 1980 a mitad de 1990. Los individuos en edad de trabajar han sido los más afectados por este ensanchamiento. El crecimiento de la inequidad en la distribución de las ganancias (el mayor componente del ingreso familiar) fue en todos los países el principal determinante del ensanchamiento en la distribución de los ingresos de mercado. Esto reflejó además grandes inequidades en los ingresos entre trabajadores; en un mismo país los trabajos se polarizaron entre trabajos-ricos y trabajos-pobres. La mayor importancia de los ingresos del capital conti</w:t>
      </w:r>
      <w:r w:rsidR="000B4AF8">
        <w:rPr>
          <w:rFonts w:ascii="Times New Roman" w:hAnsi="Times New Roman" w:cs="Times New Roman"/>
          <w:sz w:val="24"/>
          <w:szCs w:val="24"/>
        </w:rPr>
        <w:t>núa acentuando dicha tendencia…</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 xml:space="preserve">De todos los países reseñados (Suecia, Finlandia, Dinamarca, Noruega, Holanda, Alemania, Bélgica, Francia, Reino Unido, Canadá, Italia, Austria, Grecia, EEUU y OCDE) sólo en el caso de Alemania disminuye la participación en los ingresos del mercado y mejora el ingreso individual; Canadá, Dinamarca y Austria mejoran el </w:t>
      </w:r>
      <w:r w:rsidRPr="000B4AF8">
        <w:rPr>
          <w:rFonts w:ascii="Times New Roman" w:hAnsi="Times New Roman" w:cs="Times New Roman"/>
          <w:sz w:val="24"/>
          <w:szCs w:val="24"/>
        </w:rPr>
        <w:lastRenderedPageBreak/>
        <w:t>ingreso del mercado e individual; en el resto de países, y la OCDE en conjunto, mejora el ingreso de mercado y</w:t>
      </w:r>
      <w:r w:rsidR="000B4AF8">
        <w:rPr>
          <w:rFonts w:ascii="Times New Roman" w:hAnsi="Times New Roman" w:cs="Times New Roman"/>
          <w:sz w:val="24"/>
          <w:szCs w:val="24"/>
        </w:rPr>
        <w:t xml:space="preserve"> empeora el ingreso individual…</w:t>
      </w:r>
    </w:p>
    <w:p w:rsidR="001B6391" w:rsidRPr="000B4AF8" w:rsidRDefault="001B6391" w:rsidP="00550638">
      <w:pPr>
        <w:spacing w:line="240" w:lineRule="auto"/>
        <w:jc w:val="both"/>
        <w:rPr>
          <w:rFonts w:ascii="Times New Roman" w:hAnsi="Times New Roman" w:cs="Times New Roman"/>
          <w:sz w:val="24"/>
          <w:szCs w:val="24"/>
          <w:u w:val="single"/>
          <w:lang w:val="en-GB"/>
        </w:rPr>
      </w:pPr>
      <w:r w:rsidRPr="000B4AF8">
        <w:rPr>
          <w:rFonts w:ascii="Times New Roman" w:hAnsi="Times New Roman" w:cs="Times New Roman"/>
          <w:sz w:val="24"/>
          <w:szCs w:val="24"/>
          <w:u w:val="single"/>
          <w:lang w:val="en-GB"/>
        </w:rPr>
        <w:t>OECD health working papers no. 14</w:t>
      </w:r>
    </w:p>
    <w:p w:rsidR="001B6391" w:rsidRPr="000B4AF8" w:rsidRDefault="001B6391" w:rsidP="00550638">
      <w:pPr>
        <w:spacing w:line="240" w:lineRule="auto"/>
        <w:jc w:val="both"/>
        <w:rPr>
          <w:rFonts w:ascii="Times New Roman" w:hAnsi="Times New Roman" w:cs="Times New Roman"/>
          <w:sz w:val="24"/>
          <w:szCs w:val="24"/>
          <w:lang w:val="en-GB"/>
        </w:rPr>
      </w:pPr>
      <w:r w:rsidRPr="000B4AF8">
        <w:rPr>
          <w:rFonts w:ascii="Times New Roman" w:hAnsi="Times New Roman" w:cs="Times New Roman"/>
          <w:sz w:val="24"/>
          <w:szCs w:val="24"/>
          <w:lang w:val="en-GB"/>
        </w:rPr>
        <w:t>Income-related inequality in the use of medical care in 21 OECD countries</w:t>
      </w:r>
    </w:p>
    <w:p w:rsidR="001B6391" w:rsidRPr="000B4AF8" w:rsidRDefault="000B4AF8"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(Traducción no literal)</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En la mayoría de los países, el estudio no presenta evidencias de inequidad en la distribución de visitas a los médicos generalistas (GP general practitioner), con una tendencia  pro-pobres. Esta situación es muy diferente con respecto a las consultas a médicos especialistas (medical specialist). En todos los países, determinados por situaciones diferentes, los ricos son significativamente mayores usuarios de los especialistas que los pobres, y en muchos países con mayor frecuencia. Los datos que surgen de la util</w:t>
      </w:r>
      <w:r w:rsidR="007D747F">
        <w:rPr>
          <w:rFonts w:ascii="Times New Roman" w:hAnsi="Times New Roman" w:cs="Times New Roman"/>
          <w:sz w:val="24"/>
          <w:szCs w:val="24"/>
        </w:rPr>
        <w:t>ización hospitalaria (hospital -</w:t>
      </w:r>
      <w:r w:rsidRPr="000B4AF8">
        <w:rPr>
          <w:rFonts w:ascii="Times New Roman" w:hAnsi="Times New Roman" w:cs="Times New Roman"/>
          <w:sz w:val="24"/>
          <w:szCs w:val="24"/>
        </w:rPr>
        <w:t>inpatient- care utilisation) resultan equívocos. No está clara una tendencia  de inequidad pro-ricos o pro-pobres a t</w:t>
      </w:r>
      <w:r w:rsidR="000B4AF8">
        <w:rPr>
          <w:rFonts w:ascii="Times New Roman" w:hAnsi="Times New Roman" w:cs="Times New Roman"/>
          <w:sz w:val="24"/>
          <w:szCs w:val="24"/>
        </w:rPr>
        <w:t>ravés de los diferentes países…</w:t>
      </w:r>
    </w:p>
    <w:p w:rsidR="001B6391" w:rsidRPr="000B4AF8" w:rsidRDefault="001B6391" w:rsidP="00550638">
      <w:pPr>
        <w:spacing w:line="240" w:lineRule="auto"/>
        <w:jc w:val="both"/>
        <w:rPr>
          <w:rFonts w:ascii="Times New Roman" w:hAnsi="Times New Roman" w:cs="Times New Roman"/>
          <w:sz w:val="24"/>
          <w:szCs w:val="24"/>
        </w:rPr>
      </w:pPr>
      <w:r w:rsidRPr="000B4AF8">
        <w:rPr>
          <w:rFonts w:ascii="Times New Roman" w:hAnsi="Times New Roman" w:cs="Times New Roman"/>
          <w:sz w:val="24"/>
          <w:szCs w:val="24"/>
        </w:rPr>
        <w:t>Seguros de salud privados</w:t>
      </w:r>
    </w:p>
    <w:p w:rsidR="001B6391" w:rsidRDefault="001B6391" w:rsidP="00550638">
      <w:pPr>
        <w:spacing w:line="240" w:lineRule="auto"/>
        <w:jc w:val="both"/>
      </w:pPr>
      <w:r>
        <w:t>(Resumen de la</w:t>
      </w:r>
      <w:r w:rsidR="000B4AF8">
        <w:t xml:space="preserve"> Tabla A2 del trabajo original)</w:t>
      </w:r>
    </w:p>
    <w:p w:rsidR="001B6391" w:rsidRDefault="004E08F6" w:rsidP="00550638">
      <w:pPr>
        <w:spacing w:line="240" w:lineRule="auto"/>
        <w:jc w:val="both"/>
      </w:pPr>
      <w:r>
        <w:t xml:space="preserve">Australia        </w:t>
      </w:r>
      <w:r w:rsidR="001B6391">
        <w:t>40% de la población tiene un sistema de salud privado</w:t>
      </w:r>
    </w:p>
    <w:p w:rsidR="001B6391" w:rsidRDefault="004E08F6" w:rsidP="00550638">
      <w:pPr>
        <w:spacing w:line="240" w:lineRule="auto"/>
        <w:jc w:val="both"/>
      </w:pPr>
      <w:r>
        <w:t>Austria</w:t>
      </w:r>
      <w:r>
        <w:tab/>
        <w:t xml:space="preserve">          </w:t>
      </w:r>
      <w:r w:rsidR="001B6391">
        <w:t>1% no está asegurado; 38% tiene un sistema de salud privado suplementario</w:t>
      </w:r>
    </w:p>
    <w:p w:rsidR="001B6391" w:rsidRDefault="000B4AF8" w:rsidP="00550638">
      <w:pPr>
        <w:spacing w:line="240" w:lineRule="auto"/>
        <w:jc w:val="both"/>
      </w:pPr>
      <w:r>
        <w:t>Bélgica</w:t>
      </w:r>
      <w:r>
        <w:tab/>
        <w:t xml:space="preserve">   </w:t>
      </w:r>
      <w:r w:rsidR="004E08F6">
        <w:t xml:space="preserve">        </w:t>
      </w:r>
      <w:r w:rsidR="001B6391">
        <w:t>Muchos empleadores ofrecen seguro suplementario al sistema público de</w:t>
      </w:r>
      <w:r>
        <w:t xml:space="preserve"> salud</w:t>
      </w:r>
      <w:r w:rsidR="001B6391">
        <w:t xml:space="preserve"> </w:t>
      </w:r>
      <w:r>
        <w:t xml:space="preserve"> </w:t>
      </w:r>
    </w:p>
    <w:p w:rsidR="001B6391" w:rsidRDefault="004E08F6" w:rsidP="00550638">
      <w:pPr>
        <w:spacing w:line="240" w:lineRule="auto"/>
        <w:jc w:val="both"/>
      </w:pPr>
      <w:r>
        <w:t xml:space="preserve">Canadá            </w:t>
      </w:r>
      <w:r w:rsidR="001B6391">
        <w:t>Muchos empleadores ofrecen seguro suplementario al sistema público de salud</w:t>
      </w:r>
    </w:p>
    <w:p w:rsidR="001B6391" w:rsidRDefault="004E08F6" w:rsidP="00550638">
      <w:pPr>
        <w:spacing w:line="240" w:lineRule="auto"/>
        <w:jc w:val="both"/>
      </w:pPr>
      <w:r>
        <w:t xml:space="preserve">Dinamarca      </w:t>
      </w:r>
      <w:r w:rsidR="001B6391">
        <w:t>30% de la población; con cobertura limitada a odontología y otros servicios</w:t>
      </w:r>
    </w:p>
    <w:p w:rsidR="001B6391" w:rsidRDefault="004E08F6" w:rsidP="00550638">
      <w:pPr>
        <w:spacing w:line="240" w:lineRule="auto"/>
        <w:jc w:val="both"/>
      </w:pPr>
      <w:r>
        <w:t xml:space="preserve">Finlandia         </w:t>
      </w:r>
      <w:r w:rsidR="001B6391">
        <w:t>El rol del seguro privado es en general modesto para la población adulta</w:t>
      </w:r>
    </w:p>
    <w:p w:rsidR="001B6391" w:rsidRDefault="004E08F6" w:rsidP="00550638">
      <w:pPr>
        <w:spacing w:line="240" w:lineRule="auto"/>
        <w:jc w:val="both"/>
      </w:pPr>
      <w:r>
        <w:t>Francia</w:t>
      </w:r>
      <w:r>
        <w:tab/>
        <w:t xml:space="preserve">           </w:t>
      </w:r>
      <w:r w:rsidR="001B6391">
        <w:t>El sistema público de salud cubre cerca del 75% de los gastos sanitarios</w:t>
      </w:r>
    </w:p>
    <w:p w:rsidR="001B6391" w:rsidRDefault="004E08F6" w:rsidP="00550638">
      <w:pPr>
        <w:spacing w:line="240" w:lineRule="auto"/>
        <w:jc w:val="both"/>
      </w:pPr>
      <w:r>
        <w:t>Grecia</w:t>
      </w:r>
      <w:r>
        <w:tab/>
        <w:t xml:space="preserve">           </w:t>
      </w:r>
      <w:r w:rsidR="001B6391">
        <w:t>40% del gasto sanitario es pagado privadamente</w:t>
      </w:r>
    </w:p>
    <w:p w:rsidR="001B6391" w:rsidRDefault="004E08F6" w:rsidP="00550638">
      <w:pPr>
        <w:spacing w:line="240" w:lineRule="auto"/>
        <w:jc w:val="both"/>
      </w:pPr>
      <w:r>
        <w:t xml:space="preserve">Alemania        </w:t>
      </w:r>
      <w:r w:rsidR="001B6391">
        <w:t>Menos del 5% no están asegurados, un pequeño porcentaje tiene seguro privado</w:t>
      </w:r>
    </w:p>
    <w:p w:rsidR="001B6391" w:rsidRDefault="004E08F6" w:rsidP="00550638">
      <w:pPr>
        <w:spacing w:line="240" w:lineRule="auto"/>
        <w:jc w:val="both"/>
      </w:pPr>
      <w:r>
        <w:t>Hungría</w:t>
      </w:r>
      <w:r>
        <w:tab/>
        <w:t xml:space="preserve">          </w:t>
      </w:r>
      <w:r w:rsidR="001B6391">
        <w:t>Menos del 1% no está asegurado, un pequeño porcentaje tiene seguro privado</w:t>
      </w:r>
    </w:p>
    <w:p w:rsidR="001B6391" w:rsidRDefault="004E08F6" w:rsidP="00550638">
      <w:pPr>
        <w:spacing w:line="240" w:lineRule="auto"/>
        <w:jc w:val="both"/>
      </w:pPr>
      <w:r>
        <w:t>Irlanda</w:t>
      </w:r>
      <w:r>
        <w:tab/>
        <w:t xml:space="preserve">          </w:t>
      </w:r>
      <w:r w:rsidR="001B6391">
        <w:t>44% de la población tiene seguro voluntario</w:t>
      </w:r>
    </w:p>
    <w:p w:rsidR="001B6391" w:rsidRDefault="004E08F6" w:rsidP="00550638">
      <w:pPr>
        <w:spacing w:line="240" w:lineRule="auto"/>
        <w:jc w:val="both"/>
      </w:pPr>
      <w:r>
        <w:t>Italia</w:t>
      </w:r>
      <w:r>
        <w:tab/>
        <w:t xml:space="preserve">           </w:t>
      </w:r>
      <w:r w:rsidR="001B6391">
        <w:t>5-10% de la población tiene seguro privado</w:t>
      </w:r>
    </w:p>
    <w:p w:rsidR="001B6391" w:rsidRDefault="004E08F6" w:rsidP="00550638">
      <w:pPr>
        <w:spacing w:line="240" w:lineRule="auto"/>
        <w:jc w:val="both"/>
      </w:pPr>
      <w:r>
        <w:t>México</w:t>
      </w:r>
      <w:r>
        <w:tab/>
        <w:t xml:space="preserve">           </w:t>
      </w:r>
      <w:r w:rsidR="001B6391">
        <w:t>Menos del 3% de la población tiene seguro privado</w:t>
      </w:r>
    </w:p>
    <w:p w:rsidR="001B6391" w:rsidRDefault="004E08F6" w:rsidP="00550638">
      <w:pPr>
        <w:spacing w:line="240" w:lineRule="auto"/>
        <w:jc w:val="both"/>
      </w:pPr>
      <w:r>
        <w:t xml:space="preserve">Holanda           </w:t>
      </w:r>
      <w:r w:rsidR="001B6391">
        <w:t>Menos del 1% no está asegurado; 1/3 de la población tiene seguro privado</w:t>
      </w:r>
    </w:p>
    <w:p w:rsidR="001B6391" w:rsidRDefault="004E08F6" w:rsidP="00550638">
      <w:pPr>
        <w:spacing w:line="240" w:lineRule="auto"/>
        <w:jc w:val="both"/>
      </w:pPr>
      <w:r>
        <w:t xml:space="preserve">Noruega          </w:t>
      </w:r>
      <w:r w:rsidR="001B6391">
        <w:t>Muchos empleadores ofrecen seguro suplementario al sistema público de salud</w:t>
      </w:r>
    </w:p>
    <w:p w:rsidR="001B6391" w:rsidRDefault="004E08F6" w:rsidP="00550638">
      <w:pPr>
        <w:spacing w:line="240" w:lineRule="auto"/>
        <w:jc w:val="both"/>
      </w:pPr>
      <w:r>
        <w:t xml:space="preserve">Portugal          </w:t>
      </w:r>
      <w:r w:rsidR="001B6391">
        <w:t>10% de la población tiene un sistema de salud privado</w:t>
      </w:r>
    </w:p>
    <w:p w:rsidR="001B6391" w:rsidRDefault="004E08F6" w:rsidP="00550638">
      <w:pPr>
        <w:spacing w:line="240" w:lineRule="auto"/>
        <w:jc w:val="both"/>
      </w:pPr>
      <w:r>
        <w:t>España</w:t>
      </w:r>
      <w:r>
        <w:tab/>
        <w:t xml:space="preserve">           </w:t>
      </w:r>
      <w:r w:rsidR="001B6391">
        <w:t>Cerca del 10% de la población tiene un sistema de salud privado</w:t>
      </w:r>
    </w:p>
    <w:p w:rsidR="001B6391" w:rsidRDefault="004E08F6" w:rsidP="00550638">
      <w:pPr>
        <w:spacing w:line="240" w:lineRule="auto"/>
        <w:jc w:val="both"/>
      </w:pPr>
      <w:r>
        <w:lastRenderedPageBreak/>
        <w:t>Suecia</w:t>
      </w:r>
      <w:r>
        <w:tab/>
        <w:t xml:space="preserve">           </w:t>
      </w:r>
      <w:r w:rsidR="001B6391">
        <w:t>Cerca del 1% de la población tiene un sistema de salud privado</w:t>
      </w:r>
    </w:p>
    <w:p w:rsidR="001B6391" w:rsidRDefault="004E08F6" w:rsidP="00550638">
      <w:pPr>
        <w:spacing w:line="240" w:lineRule="auto"/>
        <w:jc w:val="both"/>
      </w:pPr>
      <w:r>
        <w:t>Suiza</w:t>
      </w:r>
      <w:r>
        <w:tab/>
        <w:t xml:space="preserve">           </w:t>
      </w:r>
      <w:r w:rsidR="001B6391">
        <w:t>El sistema privado suplementario provee servicios más confortables</w:t>
      </w:r>
    </w:p>
    <w:p w:rsidR="001B6391" w:rsidRDefault="004E08F6" w:rsidP="00550638">
      <w:pPr>
        <w:spacing w:line="240" w:lineRule="auto"/>
        <w:jc w:val="both"/>
      </w:pPr>
      <w:r>
        <w:t xml:space="preserve">Reino Unido   </w:t>
      </w:r>
      <w:r w:rsidR="001B6391">
        <w:t>Cerca del 10% de la población tiene un servicio privado de salud (duplicado)</w:t>
      </w:r>
    </w:p>
    <w:p w:rsidR="001B6391" w:rsidRPr="004E08F6" w:rsidRDefault="004E08F6" w:rsidP="00550638">
      <w:pPr>
        <w:spacing w:line="240" w:lineRule="auto"/>
        <w:jc w:val="both"/>
      </w:pPr>
      <w:r>
        <w:t>EEUU</w:t>
      </w:r>
      <w:r>
        <w:tab/>
        <w:t xml:space="preserve">    </w:t>
      </w:r>
      <w:r w:rsidR="001B6391">
        <w:t>El sistema privado de salud es provisto por el empleador. Para los mayores Medicar</w:t>
      </w:r>
      <w:r>
        <w:t>e</w:t>
      </w:r>
    </w:p>
    <w:p w:rsidR="001B6391" w:rsidRPr="004E08F6" w:rsidRDefault="001B6391" w:rsidP="00550638">
      <w:pPr>
        <w:spacing w:line="240" w:lineRule="auto"/>
        <w:jc w:val="both"/>
        <w:rPr>
          <w:rFonts w:ascii="Times New Roman" w:hAnsi="Times New Roman" w:cs="Times New Roman"/>
          <w:sz w:val="24"/>
          <w:szCs w:val="24"/>
        </w:rPr>
      </w:pPr>
      <w:r w:rsidRPr="004E08F6">
        <w:rPr>
          <w:rFonts w:ascii="Times New Roman" w:hAnsi="Times New Roman" w:cs="Times New Roman"/>
          <w:sz w:val="24"/>
          <w:szCs w:val="24"/>
        </w:rPr>
        <w:t>(Comentario de pág. 9, en el trabajo original)</w:t>
      </w:r>
    </w:p>
    <w:p w:rsidR="001B6391" w:rsidRPr="004E08F6" w:rsidRDefault="001B6391" w:rsidP="00550638">
      <w:pPr>
        <w:spacing w:line="240" w:lineRule="auto"/>
        <w:jc w:val="both"/>
        <w:rPr>
          <w:rFonts w:ascii="Times New Roman" w:hAnsi="Times New Roman" w:cs="Times New Roman"/>
          <w:sz w:val="24"/>
          <w:szCs w:val="24"/>
        </w:rPr>
      </w:pPr>
      <w:r w:rsidRPr="004E08F6">
        <w:rPr>
          <w:rFonts w:ascii="Times New Roman" w:hAnsi="Times New Roman" w:cs="Times New Roman"/>
          <w:sz w:val="24"/>
          <w:szCs w:val="24"/>
        </w:rPr>
        <w:t>Mientras todos los países incluidos en el análisis sobre cuidado de la salud excepto México y EEUU tenían en el año 2000 un sistema universal de cobertura para su población para la mayoría de los servicios de salud, existían importantes diferencias con respecto a la equidad en la financiación y distribución del sistema…</w:t>
      </w:r>
    </w:p>
    <w:p w:rsidR="001B6391" w:rsidRPr="004E08F6" w:rsidRDefault="001B6391" w:rsidP="00550638">
      <w:pPr>
        <w:spacing w:line="240" w:lineRule="auto"/>
        <w:jc w:val="both"/>
        <w:rPr>
          <w:rFonts w:ascii="Times New Roman" w:hAnsi="Times New Roman" w:cs="Times New Roman"/>
          <w:sz w:val="24"/>
          <w:szCs w:val="24"/>
        </w:rPr>
      </w:pPr>
      <w:r w:rsidRPr="004E08F6">
        <w:rPr>
          <w:rFonts w:ascii="Times New Roman" w:hAnsi="Times New Roman" w:cs="Times New Roman"/>
          <w:sz w:val="24"/>
          <w:szCs w:val="24"/>
        </w:rPr>
        <w:t>Dos de los países incluidos en el estudio tienen un gran porcentaje de su población sin seguro de cobertura médica. En México, cerca de la mitad de la población (48 millones de personas) no tiene seguro de salud…, mientras que en EEUU un 14% de la población (sobre los 40 millones de</w:t>
      </w:r>
      <w:r w:rsidR="004E08F6">
        <w:rPr>
          <w:rFonts w:ascii="Times New Roman" w:hAnsi="Times New Roman" w:cs="Times New Roman"/>
          <w:sz w:val="24"/>
          <w:szCs w:val="24"/>
        </w:rPr>
        <w:t xml:space="preserve"> personas) no están asegurados…</w:t>
      </w:r>
    </w:p>
    <w:p w:rsidR="001B639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Í</w:t>
      </w:r>
      <w:r w:rsidR="001B6391" w:rsidRPr="006C1B61">
        <w:rPr>
          <w:rFonts w:ascii="Times New Roman" w:hAnsi="Times New Roman" w:cs="Times New Roman"/>
          <w:sz w:val="24"/>
          <w:szCs w:val="24"/>
        </w:rPr>
        <w:t>ndices de desigualdad e inequidad para distintas prestaciones</w:t>
      </w:r>
    </w:p>
    <w:p w:rsidR="001B6391" w:rsidRDefault="001B6391" w:rsidP="00550638">
      <w:pPr>
        <w:spacing w:line="240" w:lineRule="auto"/>
        <w:jc w:val="both"/>
      </w:pPr>
      <w:r>
        <w:t>(Resumen de datos correspondientes a las Tablas A7, A8, A9, A</w:t>
      </w:r>
      <w:r w:rsidR="004E08F6">
        <w:t>10, y A11 del trabajo original)</w:t>
      </w:r>
    </w:p>
    <w:p w:rsidR="001B6391" w:rsidRDefault="006C1B61" w:rsidP="00550638">
      <w:pPr>
        <w:spacing w:line="240" w:lineRule="auto"/>
        <w:jc w:val="both"/>
      </w:pPr>
      <w:r>
        <w:t>CI: concentration index -</w:t>
      </w:r>
      <w:r w:rsidR="001B6391">
        <w:t xml:space="preserve"> valores positivos indican desigualdad, favorecimiento a los ricos, valores negativos indican lo contrario.</w:t>
      </w:r>
    </w:p>
    <w:p w:rsidR="004E08F6" w:rsidRDefault="0046330F" w:rsidP="00550638">
      <w:pPr>
        <w:spacing w:line="240" w:lineRule="auto"/>
        <w:jc w:val="both"/>
      </w:pPr>
      <w:r>
        <w:t>HI: horizontal inequity index -</w:t>
      </w:r>
      <w:r w:rsidR="001B6391">
        <w:t xml:space="preserve"> mide el grado de inequidad, valores positivos indican inequidad, favorecimiento a los ricos, valores </w:t>
      </w:r>
      <w:r w:rsidR="004E08F6">
        <w:t>negativos indican lo contrario.</w:t>
      </w:r>
    </w:p>
    <w:p w:rsidR="001B6391" w:rsidRDefault="001B6391" w:rsidP="00550638">
      <w:pPr>
        <w:spacing w:line="240" w:lineRule="auto"/>
        <w:jc w:val="both"/>
      </w:pPr>
      <w:r>
        <w:t>Países</w:t>
      </w:r>
      <w:r>
        <w:tab/>
      </w:r>
      <w:r>
        <w:tab/>
        <w:t xml:space="preserve"> </w:t>
      </w:r>
      <w:r w:rsidR="004E08F6">
        <w:t xml:space="preserve">       España                  </w:t>
      </w:r>
      <w:r>
        <w:t xml:space="preserve"> Italia               </w:t>
      </w:r>
      <w:r w:rsidR="004E08F6">
        <w:t xml:space="preserve"> </w:t>
      </w:r>
      <w:r>
        <w:t xml:space="preserve">Alemania   </w:t>
      </w:r>
    </w:p>
    <w:p w:rsidR="001B6391" w:rsidRDefault="004E08F6" w:rsidP="00550638">
      <w:pPr>
        <w:spacing w:line="240" w:lineRule="auto"/>
        <w:jc w:val="both"/>
        <w:rPr>
          <w:lang w:val="fr-FR"/>
        </w:rPr>
      </w:pPr>
      <w:r>
        <w:rPr>
          <w:lang w:val="fr-FR"/>
        </w:rPr>
        <w:t>Í</w:t>
      </w:r>
      <w:r w:rsidR="001B6391">
        <w:rPr>
          <w:lang w:val="fr-FR"/>
        </w:rPr>
        <w:t xml:space="preserve">ndices                    </w:t>
      </w:r>
      <w:r>
        <w:rPr>
          <w:lang w:val="fr-FR"/>
        </w:rPr>
        <w:t xml:space="preserve"> </w:t>
      </w:r>
      <w:r w:rsidR="001B6391">
        <w:rPr>
          <w:lang w:val="fr-FR"/>
        </w:rPr>
        <w:t xml:space="preserve"> CI        HI              </w:t>
      </w:r>
      <w:r>
        <w:rPr>
          <w:lang w:val="fr-FR"/>
        </w:rPr>
        <w:t xml:space="preserve">  </w:t>
      </w:r>
      <w:r w:rsidR="001B6391">
        <w:rPr>
          <w:lang w:val="fr-FR"/>
        </w:rPr>
        <w:t>CI      H</w:t>
      </w:r>
      <w:r>
        <w:rPr>
          <w:lang w:val="fr-FR"/>
        </w:rPr>
        <w:t xml:space="preserve">I                 CI        HI      </w:t>
      </w:r>
    </w:p>
    <w:p w:rsidR="001B6391" w:rsidRDefault="001B6391" w:rsidP="00550638">
      <w:pPr>
        <w:spacing w:line="240" w:lineRule="auto"/>
        <w:jc w:val="both"/>
      </w:pPr>
      <w:r>
        <w:t>Médico                 -0.008  -0.006       0.008  0.010       -0.005  0.008</w:t>
      </w:r>
      <w:r w:rsidR="00C80F91">
        <w:t xml:space="preserve">    </w:t>
      </w:r>
    </w:p>
    <w:p w:rsidR="001B6391" w:rsidRDefault="001B6391" w:rsidP="00550638">
      <w:pPr>
        <w:spacing w:line="240" w:lineRule="auto"/>
        <w:jc w:val="both"/>
      </w:pPr>
      <w:r>
        <w:t>Generalista          -0.027  -0.014       0</w:t>
      </w:r>
      <w:r w:rsidR="004E08F6">
        <w:t>.003  0.005       -0.018 -0.010</w:t>
      </w:r>
    </w:p>
    <w:p w:rsidR="001B6391" w:rsidRDefault="001B6391" w:rsidP="00550638">
      <w:pPr>
        <w:spacing w:line="240" w:lineRule="auto"/>
        <w:jc w:val="both"/>
      </w:pPr>
      <w:r>
        <w:t xml:space="preserve">Especialista          0.022   0.061        0.071  0.087   </w:t>
      </w:r>
      <w:r w:rsidR="004E08F6">
        <w:t xml:space="preserve">     0.019  0.034</w:t>
      </w:r>
    </w:p>
    <w:p w:rsidR="001B6391" w:rsidRDefault="001B6391" w:rsidP="00550638">
      <w:pPr>
        <w:spacing w:line="240" w:lineRule="auto"/>
        <w:jc w:val="both"/>
      </w:pPr>
      <w:r>
        <w:t>Hospital                -0.076  0.033       -0</w:t>
      </w:r>
      <w:r w:rsidR="004E08F6">
        <w:t>.024  0.028       -0.064 -0.033</w:t>
      </w:r>
    </w:p>
    <w:p w:rsidR="001B6391" w:rsidRDefault="001B6391" w:rsidP="00550638">
      <w:pPr>
        <w:spacing w:line="240" w:lineRule="auto"/>
        <w:jc w:val="both"/>
      </w:pPr>
      <w:r>
        <w:t>Odontólogo           0.152  0.143         0.12</w:t>
      </w:r>
      <w:r w:rsidR="004E08F6">
        <w:t>1  0.118           --        --</w:t>
      </w:r>
    </w:p>
    <w:p w:rsidR="001B6391" w:rsidRDefault="001B6391" w:rsidP="00550638">
      <w:pPr>
        <w:spacing w:line="240" w:lineRule="auto"/>
        <w:jc w:val="both"/>
      </w:pPr>
      <w:r>
        <w:t xml:space="preserve">                       </w:t>
      </w:r>
      <w:r w:rsidR="004E08F6">
        <w:t xml:space="preserve">          Francia                 </w:t>
      </w:r>
      <w:r>
        <w:t xml:space="preserve">Reino Unido            </w:t>
      </w:r>
      <w:r w:rsidR="004E08F6">
        <w:t xml:space="preserve"> </w:t>
      </w:r>
      <w:r>
        <w:t>EEUU</w:t>
      </w:r>
    </w:p>
    <w:p w:rsidR="001B6391" w:rsidRDefault="001B6391" w:rsidP="00550638">
      <w:pPr>
        <w:spacing w:line="240" w:lineRule="auto"/>
        <w:jc w:val="both"/>
      </w:pPr>
      <w:r>
        <w:t xml:space="preserve">                               </w:t>
      </w:r>
      <w:r w:rsidR="004E08F6">
        <w:t xml:space="preserve"> </w:t>
      </w:r>
      <w:r>
        <w:t xml:space="preserve">CI         HI               </w:t>
      </w:r>
      <w:r w:rsidR="004E08F6">
        <w:t xml:space="preserve">    </w:t>
      </w:r>
      <w:r>
        <w:t xml:space="preserve">CI        HI            </w:t>
      </w:r>
      <w:r w:rsidR="004E08F6">
        <w:t xml:space="preserve"> </w:t>
      </w:r>
      <w:r>
        <w:t>CI        HI</w:t>
      </w:r>
    </w:p>
    <w:p w:rsidR="001B6391" w:rsidRDefault="001B6391" w:rsidP="00550638">
      <w:pPr>
        <w:spacing w:line="240" w:lineRule="auto"/>
        <w:jc w:val="both"/>
      </w:pPr>
      <w:r>
        <w:t>Médico                  0.005  0.007         -0.019  0.003        0.023  0.044</w:t>
      </w:r>
    </w:p>
    <w:p w:rsidR="001B6391" w:rsidRDefault="001B6391" w:rsidP="00550638">
      <w:pPr>
        <w:spacing w:line="240" w:lineRule="auto"/>
        <w:jc w:val="both"/>
      </w:pPr>
      <w:r>
        <w:t>Generalista          -0.027 -0.005         -0.023  0.001            --        --</w:t>
      </w:r>
    </w:p>
    <w:p w:rsidR="001B6391" w:rsidRDefault="001B6391" w:rsidP="00550638">
      <w:pPr>
        <w:spacing w:line="240" w:lineRule="auto"/>
        <w:jc w:val="both"/>
      </w:pPr>
      <w:r>
        <w:t>Especialista           0.034  0.045         -0.038  0.011            --        --</w:t>
      </w:r>
    </w:p>
    <w:p w:rsidR="001B6391" w:rsidRDefault="001B6391" w:rsidP="00550638">
      <w:pPr>
        <w:spacing w:line="240" w:lineRule="auto"/>
        <w:jc w:val="both"/>
        <w:rPr>
          <w:lang w:val="fr-FR"/>
        </w:rPr>
      </w:pPr>
      <w:r>
        <w:rPr>
          <w:lang w:val="fr-FR"/>
        </w:rPr>
        <w:t xml:space="preserve">Hospital                -0.037  0.000         -0.093  0.013       -0.167 -0.038  </w:t>
      </w:r>
    </w:p>
    <w:p w:rsidR="001B6391" w:rsidRDefault="001B6391" w:rsidP="00550638">
      <w:pPr>
        <w:spacing w:line="240" w:lineRule="auto"/>
        <w:jc w:val="both"/>
        <w:rPr>
          <w:lang w:val="fr-FR"/>
        </w:rPr>
      </w:pPr>
      <w:r>
        <w:t>Odontólogo</w:t>
      </w:r>
      <w:r>
        <w:rPr>
          <w:lang w:val="fr-FR"/>
        </w:rPr>
        <w:t xml:space="preserve">            0.066  0.053          </w:t>
      </w:r>
      <w:r w:rsidR="004E08F6">
        <w:rPr>
          <w:lang w:val="fr-FR"/>
        </w:rPr>
        <w:t>0.080  0.063       0.167  0.160</w:t>
      </w:r>
    </w:p>
    <w:p w:rsidR="001B6391" w:rsidRPr="004E08F6" w:rsidRDefault="001B6391" w:rsidP="00550638">
      <w:pPr>
        <w:spacing w:line="240" w:lineRule="auto"/>
        <w:jc w:val="both"/>
        <w:rPr>
          <w:rFonts w:ascii="Times New Roman" w:hAnsi="Times New Roman" w:cs="Times New Roman"/>
          <w:sz w:val="24"/>
          <w:szCs w:val="24"/>
          <w:u w:val="single"/>
          <w:lang w:val="en-GB"/>
        </w:rPr>
      </w:pPr>
      <w:r w:rsidRPr="004E08F6">
        <w:rPr>
          <w:rFonts w:ascii="Times New Roman" w:hAnsi="Times New Roman" w:cs="Times New Roman"/>
          <w:sz w:val="24"/>
          <w:szCs w:val="24"/>
          <w:u w:val="single"/>
          <w:lang w:val="en-GB"/>
        </w:rPr>
        <w:lastRenderedPageBreak/>
        <w:t>OECD health working papers no. 15</w:t>
      </w:r>
    </w:p>
    <w:p w:rsidR="001B6391" w:rsidRPr="004E08F6" w:rsidRDefault="001B6391" w:rsidP="00550638">
      <w:pPr>
        <w:spacing w:line="240" w:lineRule="auto"/>
        <w:jc w:val="both"/>
        <w:rPr>
          <w:rFonts w:ascii="Times New Roman" w:hAnsi="Times New Roman" w:cs="Times New Roman"/>
          <w:sz w:val="24"/>
          <w:szCs w:val="24"/>
          <w:lang w:val="en-GB"/>
        </w:rPr>
      </w:pPr>
      <w:r w:rsidRPr="004E08F6">
        <w:rPr>
          <w:rFonts w:ascii="Times New Roman" w:hAnsi="Times New Roman" w:cs="Times New Roman"/>
          <w:sz w:val="24"/>
          <w:szCs w:val="24"/>
          <w:lang w:val="en-GB"/>
        </w:rPr>
        <w:t>Private health insurance in OECD countries: The benefits and costs for individuals and health systems</w:t>
      </w:r>
    </w:p>
    <w:p w:rsidR="001B6391" w:rsidRPr="004E08F6" w:rsidRDefault="001B6391" w:rsidP="00550638">
      <w:pPr>
        <w:spacing w:line="240" w:lineRule="auto"/>
        <w:jc w:val="both"/>
        <w:rPr>
          <w:rFonts w:ascii="Times New Roman" w:hAnsi="Times New Roman" w:cs="Times New Roman"/>
          <w:sz w:val="24"/>
          <w:szCs w:val="24"/>
        </w:rPr>
      </w:pPr>
      <w:r w:rsidRPr="004E08F6">
        <w:rPr>
          <w:rFonts w:ascii="Times New Roman" w:hAnsi="Times New Roman" w:cs="Times New Roman"/>
          <w:sz w:val="24"/>
          <w:szCs w:val="24"/>
        </w:rPr>
        <w:t>(Traducción</w:t>
      </w:r>
      <w:r w:rsidR="004E08F6">
        <w:rPr>
          <w:rFonts w:ascii="Times New Roman" w:hAnsi="Times New Roman" w:cs="Times New Roman"/>
          <w:sz w:val="24"/>
          <w:szCs w:val="24"/>
        </w:rPr>
        <w:t xml:space="preserve"> no literal)</w:t>
      </w:r>
    </w:p>
    <w:p w:rsidR="001B6391" w:rsidRPr="00F63A6C" w:rsidRDefault="001B6391" w:rsidP="00550638">
      <w:pPr>
        <w:spacing w:line="240" w:lineRule="auto"/>
        <w:jc w:val="both"/>
        <w:rPr>
          <w:rFonts w:ascii="Times New Roman" w:hAnsi="Times New Roman" w:cs="Times New Roman"/>
          <w:sz w:val="24"/>
          <w:szCs w:val="24"/>
        </w:rPr>
      </w:pPr>
      <w:r w:rsidRPr="00F63A6C">
        <w:rPr>
          <w:rFonts w:ascii="Times New Roman" w:hAnsi="Times New Roman" w:cs="Times New Roman"/>
          <w:sz w:val="24"/>
          <w:szCs w:val="24"/>
        </w:rPr>
        <w:t>Gastos en salud por fuente de  financiación, 2000</w:t>
      </w:r>
    </w:p>
    <w:p w:rsidR="001B6391" w:rsidRDefault="001B6391" w:rsidP="00550638">
      <w:pPr>
        <w:spacing w:line="240" w:lineRule="auto"/>
        <w:jc w:val="both"/>
      </w:pPr>
      <w:r>
        <w:t xml:space="preserve">(algunos países, en porcentaje, interpretación de </w:t>
      </w:r>
      <w:r w:rsidR="004E08F6">
        <w:t>gráfico)</w:t>
      </w:r>
    </w:p>
    <w:p w:rsidR="001B6391" w:rsidRDefault="001B6391" w:rsidP="00550638">
      <w:pPr>
        <w:spacing w:line="240" w:lineRule="auto"/>
        <w:jc w:val="both"/>
      </w:pPr>
      <w:r>
        <w:t>Países/Gasto</w:t>
      </w:r>
      <w:r>
        <w:tab/>
      </w:r>
      <w:r>
        <w:tab/>
        <w:t>Público</w:t>
      </w:r>
      <w:r>
        <w:tab/>
        <w:t xml:space="preserve">   Seguro privado   Otros fondos privados   Pago directo</w:t>
      </w:r>
      <w:r>
        <w:tab/>
      </w:r>
      <w:r>
        <w:tab/>
      </w:r>
    </w:p>
    <w:p w:rsidR="001B6391" w:rsidRDefault="001B6391" w:rsidP="00550638">
      <w:pPr>
        <w:spacing w:line="240" w:lineRule="auto"/>
        <w:jc w:val="both"/>
      </w:pPr>
      <w:r>
        <w:t xml:space="preserve">Japón                                78                </w:t>
      </w:r>
      <w:r w:rsidR="004E08F6">
        <w:t xml:space="preserve">  1                              </w:t>
      </w:r>
      <w:r>
        <w:t>4                                17</w:t>
      </w:r>
    </w:p>
    <w:p w:rsidR="001B6391" w:rsidRDefault="001B6391" w:rsidP="00550638">
      <w:pPr>
        <w:spacing w:line="240" w:lineRule="auto"/>
        <w:jc w:val="both"/>
      </w:pPr>
      <w:r>
        <w:t>España                              72                  3.9                          0.1                             24</w:t>
      </w:r>
    </w:p>
    <w:p w:rsidR="001B6391" w:rsidRDefault="001B6391" w:rsidP="00550638">
      <w:pPr>
        <w:spacing w:line="240" w:lineRule="auto"/>
        <w:jc w:val="both"/>
      </w:pPr>
      <w:r>
        <w:t xml:space="preserve">Italia   </w:t>
      </w:r>
      <w:r w:rsidR="004E08F6">
        <w:t xml:space="preserve">                               </w:t>
      </w:r>
      <w:r>
        <w:t>73                  1.5                          2.5                             23</w:t>
      </w:r>
    </w:p>
    <w:p w:rsidR="001B6391" w:rsidRDefault="001B6391" w:rsidP="00550638">
      <w:pPr>
        <w:spacing w:line="240" w:lineRule="auto"/>
        <w:jc w:val="both"/>
      </w:pPr>
      <w:r>
        <w:t>Alem</w:t>
      </w:r>
      <w:r w:rsidR="004E08F6">
        <w:t xml:space="preserve">ania                          </w:t>
      </w:r>
      <w:r>
        <w:t>75                12.6                          2.4                             11</w:t>
      </w:r>
    </w:p>
    <w:p w:rsidR="001B6391" w:rsidRDefault="001B6391" w:rsidP="00550638">
      <w:pPr>
        <w:spacing w:line="240" w:lineRule="auto"/>
        <w:jc w:val="both"/>
      </w:pPr>
      <w:r>
        <w:t>Franci</w:t>
      </w:r>
      <w:r w:rsidR="004E08F6">
        <w:t xml:space="preserve">a                              </w:t>
      </w:r>
      <w:r>
        <w:t xml:space="preserve">76                12.7                          1.3                             10                      </w:t>
      </w:r>
    </w:p>
    <w:p w:rsidR="001B6391" w:rsidRDefault="001B6391" w:rsidP="00550638">
      <w:pPr>
        <w:spacing w:line="240" w:lineRule="auto"/>
        <w:jc w:val="both"/>
      </w:pPr>
      <w:r>
        <w:t>EEUU                                 44                35.1                          5.9                             15</w:t>
      </w:r>
    </w:p>
    <w:p w:rsidR="004E08F6" w:rsidRDefault="004E08F6" w:rsidP="00550638">
      <w:pPr>
        <w:spacing w:line="240" w:lineRule="auto"/>
        <w:jc w:val="both"/>
      </w:pPr>
    </w:p>
    <w:p w:rsidR="001B6391" w:rsidRPr="00F63A6C" w:rsidRDefault="001B6391" w:rsidP="00550638">
      <w:pPr>
        <w:spacing w:line="240" w:lineRule="auto"/>
        <w:jc w:val="both"/>
        <w:rPr>
          <w:rFonts w:ascii="Times New Roman" w:hAnsi="Times New Roman" w:cs="Times New Roman"/>
          <w:sz w:val="24"/>
          <w:szCs w:val="24"/>
        </w:rPr>
      </w:pPr>
      <w:r w:rsidRPr="00F63A6C">
        <w:rPr>
          <w:rFonts w:ascii="Times New Roman" w:hAnsi="Times New Roman" w:cs="Times New Roman"/>
          <w:sz w:val="24"/>
          <w:szCs w:val="24"/>
        </w:rPr>
        <w:t>Población cubierta por seguro de salud privado y por sistema público de salud</w:t>
      </w:r>
    </w:p>
    <w:p w:rsidR="001B6391" w:rsidRDefault="001B6391" w:rsidP="00550638">
      <w:pPr>
        <w:spacing w:line="240" w:lineRule="auto"/>
        <w:jc w:val="both"/>
      </w:pPr>
      <w:r>
        <w:t>(algunos países, en</w:t>
      </w:r>
      <w:r w:rsidR="004E08F6">
        <w:t xml:space="preserve"> porcentaje de población total)</w:t>
      </w:r>
    </w:p>
    <w:p w:rsidR="001B6391" w:rsidRDefault="004E08F6" w:rsidP="00550638">
      <w:pPr>
        <w:spacing w:line="240" w:lineRule="auto"/>
        <w:jc w:val="both"/>
      </w:pPr>
      <w:r>
        <w:t xml:space="preserve">Países   Gasto público en % </w:t>
      </w:r>
      <w:r w:rsidR="001B6391">
        <w:t>Cobertura del s</w:t>
      </w:r>
      <w:r>
        <w:t xml:space="preserve">istema  Seguro privado en %  </w:t>
      </w:r>
      <w:r w:rsidR="001B6391">
        <w:t>Población cubierta por</w:t>
      </w:r>
    </w:p>
    <w:p w:rsidR="001B6391" w:rsidRDefault="004E08F6" w:rsidP="00550638">
      <w:pPr>
        <w:spacing w:line="240" w:lineRule="auto"/>
        <w:jc w:val="both"/>
      </w:pPr>
      <w:r>
        <w:t xml:space="preserve">         del gasto total en salud     </w:t>
      </w:r>
      <w:r w:rsidR="006C1B61">
        <w:t xml:space="preserve">público de salud      </w:t>
      </w:r>
      <w:r w:rsidR="001B6391">
        <w:t>del gasto tota</w:t>
      </w:r>
      <w:r w:rsidR="006C1B61">
        <w:t>l en salud   seguro privado (%)</w:t>
      </w:r>
    </w:p>
    <w:p w:rsidR="001B6391" w:rsidRDefault="001B6391" w:rsidP="00550638">
      <w:pPr>
        <w:spacing w:line="240" w:lineRule="auto"/>
        <w:jc w:val="both"/>
      </w:pPr>
      <w:r>
        <w:t>Japón                     78.3                               100                               0.3                               despreciable</w:t>
      </w:r>
    </w:p>
    <w:p w:rsidR="001B6391" w:rsidRDefault="001B6391" w:rsidP="00550638">
      <w:pPr>
        <w:spacing w:line="240" w:lineRule="auto"/>
        <w:jc w:val="both"/>
      </w:pPr>
      <w:r>
        <w:t>España                   77.1                                 99.8                            3.9                                      13</w:t>
      </w:r>
    </w:p>
    <w:p w:rsidR="001B6391" w:rsidRDefault="001B6391" w:rsidP="00550638">
      <w:pPr>
        <w:spacing w:line="240" w:lineRule="auto"/>
        <w:jc w:val="both"/>
      </w:pPr>
      <w:r>
        <w:t>Corea                      44                                  100                               n.d.                                     n.d.</w:t>
      </w:r>
    </w:p>
    <w:p w:rsidR="001B6391" w:rsidRDefault="001B6391" w:rsidP="00550638">
      <w:pPr>
        <w:spacing w:line="240" w:lineRule="auto"/>
        <w:jc w:val="both"/>
      </w:pPr>
      <w:r>
        <w:t xml:space="preserve">Italia                        73.4                               100                               0.9      </w:t>
      </w:r>
      <w:r w:rsidR="006C1B61">
        <w:t xml:space="preserve">                               </w:t>
      </w:r>
      <w:r>
        <w:t>15.6 (1)</w:t>
      </w:r>
    </w:p>
    <w:p w:rsidR="001B6391" w:rsidRDefault="001B6391" w:rsidP="00550638">
      <w:pPr>
        <w:spacing w:line="240" w:lineRule="auto"/>
        <w:jc w:val="both"/>
      </w:pPr>
      <w:r>
        <w:t xml:space="preserve">Alemania                 75                                    90.9                           12.6     </w:t>
      </w:r>
      <w:r w:rsidR="006C1B61">
        <w:t xml:space="preserve">                              </w:t>
      </w:r>
      <w:r>
        <w:t>18.2 (2)</w:t>
      </w:r>
    </w:p>
    <w:p w:rsidR="001B6391" w:rsidRDefault="001B6391" w:rsidP="00550638">
      <w:pPr>
        <w:spacing w:line="240" w:lineRule="auto"/>
        <w:jc w:val="both"/>
      </w:pPr>
      <w:r>
        <w:t xml:space="preserve">Francia                    75.8                                 99.9                           12.7                                   </w:t>
      </w:r>
      <w:r w:rsidR="006C1B61">
        <w:t xml:space="preserve"> </w:t>
      </w:r>
      <w:r>
        <w:t>86.0 (1)</w:t>
      </w:r>
    </w:p>
    <w:p w:rsidR="001B6391" w:rsidRDefault="001B6391" w:rsidP="00550638">
      <w:pPr>
        <w:spacing w:line="240" w:lineRule="auto"/>
        <w:jc w:val="both"/>
      </w:pPr>
      <w:r>
        <w:t>G. B.                        80.9                                100                               3.3                                     10    (1)</w:t>
      </w:r>
    </w:p>
    <w:p w:rsidR="001B6391" w:rsidRDefault="001B6391" w:rsidP="00550638">
      <w:pPr>
        <w:spacing w:line="240" w:lineRule="auto"/>
        <w:jc w:val="both"/>
      </w:pPr>
      <w:r>
        <w:t>EEUU                      44.2                                  24.7                           35.1                                     71.9 (3)</w:t>
      </w:r>
    </w:p>
    <w:p w:rsidR="001B6391" w:rsidRDefault="001B6391" w:rsidP="00550638">
      <w:pPr>
        <w:spacing w:line="240" w:lineRule="auto"/>
        <w:jc w:val="both"/>
      </w:pPr>
      <w:r>
        <w:t xml:space="preserve">                       </w:t>
      </w:r>
    </w:p>
    <w:p w:rsidR="001B6391" w:rsidRDefault="001B6391" w:rsidP="00550638">
      <w:pPr>
        <w:numPr>
          <w:ilvl w:val="0"/>
          <w:numId w:val="35"/>
        </w:numPr>
        <w:spacing w:after="0" w:line="240" w:lineRule="auto"/>
        <w:jc w:val="both"/>
      </w:pPr>
      <w:r>
        <w:t>Duplicada, complementaria, suplementaria</w:t>
      </w:r>
    </w:p>
    <w:p w:rsidR="001B6391" w:rsidRDefault="001B6391" w:rsidP="00550638">
      <w:pPr>
        <w:numPr>
          <w:ilvl w:val="0"/>
          <w:numId w:val="35"/>
        </w:numPr>
        <w:spacing w:after="0" w:line="240" w:lineRule="auto"/>
        <w:jc w:val="both"/>
      </w:pPr>
      <w:r>
        <w:t>50% primaria (sustituta), 50% suplementaria, complementaria</w:t>
      </w:r>
    </w:p>
    <w:p w:rsidR="001B6391" w:rsidRDefault="001B6391" w:rsidP="00550638">
      <w:pPr>
        <w:numPr>
          <w:ilvl w:val="0"/>
          <w:numId w:val="35"/>
        </w:numPr>
        <w:spacing w:after="0" w:line="240" w:lineRule="auto"/>
        <w:jc w:val="both"/>
      </w:pPr>
      <w:r>
        <w:t>Primaria (principal), suplementaria, complementaria</w:t>
      </w:r>
    </w:p>
    <w:p w:rsidR="001B6391" w:rsidRDefault="001B6391" w:rsidP="00550638">
      <w:pPr>
        <w:spacing w:line="240" w:lineRule="auto"/>
        <w:jc w:val="both"/>
      </w:pPr>
    </w:p>
    <w:p w:rsidR="001B6391" w:rsidRPr="00F63A6C" w:rsidRDefault="001B6391" w:rsidP="00550638">
      <w:pPr>
        <w:spacing w:line="240" w:lineRule="auto"/>
        <w:jc w:val="both"/>
        <w:rPr>
          <w:rFonts w:ascii="Times New Roman" w:hAnsi="Times New Roman" w:cs="Times New Roman"/>
          <w:sz w:val="24"/>
          <w:szCs w:val="24"/>
        </w:rPr>
      </w:pPr>
      <w:r w:rsidRPr="00F63A6C">
        <w:rPr>
          <w:rFonts w:ascii="Times New Roman" w:hAnsi="Times New Roman" w:cs="Times New Roman"/>
          <w:sz w:val="24"/>
          <w:szCs w:val="24"/>
        </w:rPr>
        <w:lastRenderedPageBreak/>
        <w:t>Gasto público en salud per cápita como porcentaje del PIB per cápita y salud financiada por sistema de seguro privado</w:t>
      </w:r>
    </w:p>
    <w:p w:rsidR="001B6391" w:rsidRDefault="001B6391" w:rsidP="00550638">
      <w:pPr>
        <w:spacing w:line="240" w:lineRule="auto"/>
        <w:jc w:val="both"/>
      </w:pPr>
      <w:r>
        <w:t>(algunos países, en porcent</w:t>
      </w:r>
      <w:r w:rsidR="006C1B61">
        <w:t>aje, interpretación de gráfico)</w:t>
      </w:r>
    </w:p>
    <w:p w:rsidR="001B6391" w:rsidRDefault="001B6391" w:rsidP="00550638">
      <w:pPr>
        <w:spacing w:line="240" w:lineRule="auto"/>
        <w:jc w:val="both"/>
      </w:pPr>
      <w:r>
        <w:t>Países</w:t>
      </w:r>
      <w:r>
        <w:tab/>
      </w:r>
      <w:r>
        <w:tab/>
        <w:t>Gasto público en salud      Gasto privado en salud     Seguro privado de salud</w:t>
      </w:r>
    </w:p>
    <w:p w:rsidR="001B6391" w:rsidRDefault="001B6391" w:rsidP="00550638">
      <w:pPr>
        <w:spacing w:line="240" w:lineRule="auto"/>
        <w:jc w:val="both"/>
      </w:pPr>
      <w:r>
        <w:t xml:space="preserve">                          </w:t>
      </w:r>
      <w:r w:rsidR="0046330F">
        <w:t xml:space="preserve">  </w:t>
      </w:r>
      <w:r>
        <w:t xml:space="preserve">(en % sobre PIB)               (en % sobre PIB)               </w:t>
      </w:r>
      <w:r w:rsidR="006C1B61">
        <w:t>(en % del gasto total en salud)</w:t>
      </w:r>
    </w:p>
    <w:p w:rsidR="001B6391" w:rsidRDefault="001B6391" w:rsidP="00550638">
      <w:pPr>
        <w:spacing w:line="240" w:lineRule="auto"/>
        <w:jc w:val="both"/>
      </w:pPr>
      <w:r>
        <w:t xml:space="preserve">Japón                           6                                          </w:t>
      </w:r>
      <w:r w:rsidR="0046330F">
        <w:t xml:space="preserve"> </w:t>
      </w:r>
      <w:r>
        <w:t xml:space="preserve">2                                              </w:t>
      </w:r>
      <w:r w:rsidR="0046330F">
        <w:t xml:space="preserve"> </w:t>
      </w:r>
      <w:r>
        <w:t>1</w:t>
      </w:r>
    </w:p>
    <w:p w:rsidR="001B6391" w:rsidRDefault="001B6391" w:rsidP="00550638">
      <w:pPr>
        <w:spacing w:line="240" w:lineRule="auto"/>
        <w:jc w:val="both"/>
      </w:pPr>
      <w:r>
        <w:t xml:space="preserve">España                        5.5                                        3                                              </w:t>
      </w:r>
      <w:r w:rsidR="0046330F">
        <w:t xml:space="preserve"> </w:t>
      </w:r>
      <w:r>
        <w:t xml:space="preserve"> 4                         </w:t>
      </w:r>
    </w:p>
    <w:p w:rsidR="001B6391" w:rsidRDefault="001B6391" w:rsidP="00550638">
      <w:pPr>
        <w:spacing w:line="240" w:lineRule="auto"/>
        <w:jc w:val="both"/>
      </w:pPr>
      <w:r>
        <w:t>Italia                            6.5                                         3                                               2</w:t>
      </w:r>
    </w:p>
    <w:p w:rsidR="001B6391" w:rsidRDefault="001B6391" w:rsidP="00550638">
      <w:pPr>
        <w:spacing w:line="240" w:lineRule="auto"/>
        <w:jc w:val="both"/>
      </w:pPr>
      <w:r>
        <w:t>Alemania                     8                                           3                                              12.5</w:t>
      </w:r>
    </w:p>
    <w:p w:rsidR="001B6391" w:rsidRDefault="001B6391" w:rsidP="00550638">
      <w:pPr>
        <w:spacing w:line="240" w:lineRule="auto"/>
        <w:jc w:val="both"/>
      </w:pPr>
      <w:r>
        <w:t>Francia                        7.5                                        3                                              12.5</w:t>
      </w:r>
    </w:p>
    <w:p w:rsidR="001B6391" w:rsidRDefault="001B6391" w:rsidP="00550638">
      <w:pPr>
        <w:spacing w:line="240" w:lineRule="auto"/>
        <w:jc w:val="both"/>
      </w:pPr>
      <w:r>
        <w:t xml:space="preserve">EEUU                          </w:t>
      </w:r>
      <w:r w:rsidR="0046330F">
        <w:t xml:space="preserve"> </w:t>
      </w:r>
      <w:r>
        <w:t xml:space="preserve">5.5                                        7.5            </w:t>
      </w:r>
      <w:r w:rsidR="0046330F">
        <w:t xml:space="preserve">                               </w:t>
      </w:r>
      <w:r>
        <w:t xml:space="preserve">35 </w:t>
      </w:r>
    </w:p>
    <w:p w:rsidR="001B6391" w:rsidRDefault="001B6391" w:rsidP="00550638">
      <w:pPr>
        <w:spacing w:line="240" w:lineRule="auto"/>
        <w:jc w:val="both"/>
      </w:pPr>
      <w:r>
        <w:t>OECD                          6                                           2.5                                             6.5</w:t>
      </w:r>
    </w:p>
    <w:p w:rsidR="001B6391" w:rsidRPr="006C1B61" w:rsidRDefault="001B639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Conclusiones (en pág</w:t>
      </w:r>
      <w:r w:rsidR="006C1B61">
        <w:rPr>
          <w:rFonts w:ascii="Times New Roman" w:hAnsi="Times New Roman" w:cs="Times New Roman"/>
          <w:sz w:val="24"/>
          <w:szCs w:val="24"/>
        </w:rPr>
        <w:t>. 51 del trabajo original)</w:t>
      </w:r>
    </w:p>
    <w:p w:rsidR="001B6391" w:rsidRDefault="001B639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El sistema de seguro privado de salud presenta oportunidades y riesgos para el logro de las metas del sistema de salud. Por ejemplo en países donde el seguro privado de salud juega un rol prominente, pueden ser acreditados habiendo introducido  recursos al sistema de salud, agregados a elección del consumidor, y ayudaron a que el sistema fuera más confiable. Sin embargo, esto también ha llevado a un mayor desafío de equidad que en muchos casos ha representado un mayor gasto en sanidad (total, y en muchos casos, público), en la mayoría  de esos países…</w:t>
      </w:r>
    </w:p>
    <w:p w:rsidR="006C1B61" w:rsidRPr="006C1B61" w:rsidRDefault="006C1B61" w:rsidP="00550638">
      <w:pPr>
        <w:spacing w:line="240" w:lineRule="auto"/>
        <w:jc w:val="both"/>
        <w:rPr>
          <w:rFonts w:ascii="Times New Roman" w:hAnsi="Times New Roman" w:cs="Times New Roman"/>
          <w:sz w:val="24"/>
          <w:szCs w:val="24"/>
          <w:u w:val="single"/>
        </w:rPr>
      </w:pPr>
      <w:r w:rsidRPr="006C1B61">
        <w:rPr>
          <w:rFonts w:ascii="Times New Roman" w:hAnsi="Times New Roman" w:cs="Times New Roman"/>
          <w:sz w:val="24"/>
          <w:szCs w:val="24"/>
        </w:rPr>
        <w:t xml:space="preserve">En el Apartado - </w:t>
      </w:r>
      <w:r w:rsidRPr="006C1B61">
        <w:rPr>
          <w:rFonts w:ascii="Times New Roman" w:hAnsi="Times New Roman" w:cs="Times New Roman"/>
          <w:sz w:val="24"/>
          <w:szCs w:val="24"/>
          <w:u w:val="single"/>
        </w:rPr>
        <w:t>Aria di bravura</w:t>
      </w:r>
    </w:p>
    <w:p w:rsid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(Del Estado del Bi</w:t>
      </w:r>
      <w:r>
        <w:rPr>
          <w:rFonts w:ascii="Times New Roman" w:hAnsi="Times New Roman" w:cs="Times New Roman"/>
          <w:sz w:val="24"/>
          <w:szCs w:val="24"/>
        </w:rPr>
        <w:t>enestar al Estado del Malestar)</w:t>
      </w:r>
    </w:p>
    <w:p w:rsidR="006C1B61" w:rsidRPr="006C1B61" w:rsidRDefault="00F63A6C"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Sostenía:</w:t>
      </w:r>
    </w:p>
    <w:p w:rsidR="006C1B61" w:rsidRPr="006C1B61" w:rsidRDefault="007D747F"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El lenguaje de los hechos.</w:t>
      </w:r>
      <w:r w:rsidR="006C1B61" w:rsidRPr="006C1B61">
        <w:rPr>
          <w:rFonts w:ascii="Times New Roman" w:hAnsi="Times New Roman" w:cs="Times New Roman"/>
          <w:sz w:val="24"/>
          <w:szCs w:val="24"/>
        </w:rPr>
        <w:t xml:space="preserve"> </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Cuando no se puede negar lo obvio, torcer la realidad, ocultar la evidencia, demostrar lo indemostrable</w:t>
      </w:r>
      <w:r w:rsidR="00F63A6C">
        <w:rPr>
          <w:rFonts w:ascii="Times New Roman" w:hAnsi="Times New Roman" w:cs="Times New Roman"/>
          <w:sz w:val="24"/>
          <w:szCs w:val="24"/>
        </w:rPr>
        <w:t>.</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En las próxim</w:t>
      </w:r>
      <w:r w:rsidR="00F63A6C">
        <w:rPr>
          <w:rFonts w:ascii="Times New Roman" w:hAnsi="Times New Roman" w:cs="Times New Roman"/>
          <w:sz w:val="24"/>
          <w:szCs w:val="24"/>
        </w:rPr>
        <w:t>as páginas intentaré probar -</w:t>
      </w:r>
      <w:r w:rsidRPr="006C1B61">
        <w:rPr>
          <w:rFonts w:ascii="Times New Roman" w:hAnsi="Times New Roman" w:cs="Times New Roman"/>
          <w:sz w:val="24"/>
          <w:szCs w:val="24"/>
        </w:rPr>
        <w:t xml:space="preserve">ojalá lo logre- que los “neoecon” han pasado de la desigualdad a la </w:t>
      </w:r>
      <w:r w:rsidR="00F63A6C" w:rsidRPr="006C1B61">
        <w:rPr>
          <w:rFonts w:ascii="Times New Roman" w:hAnsi="Times New Roman" w:cs="Times New Roman"/>
          <w:sz w:val="24"/>
          <w:szCs w:val="24"/>
        </w:rPr>
        <w:t>indiferencia</w:t>
      </w:r>
      <w:r w:rsidRPr="006C1B61">
        <w:rPr>
          <w:rFonts w:ascii="Times New Roman" w:hAnsi="Times New Roman" w:cs="Times New Roman"/>
          <w:sz w:val="24"/>
          <w:szCs w:val="24"/>
        </w:rPr>
        <w:t>, de allí al odio, y por encima de todo al egoísmo…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Han logrado -y siguen- difundir el mensaje de que los dos principales programas del Estado del Bienestar -pensiones y salud- son dos bombas de relojería  en el corazón de la eco</w:t>
      </w:r>
      <w:r w:rsidR="00F63A6C">
        <w:rPr>
          <w:rFonts w:ascii="Times New Roman" w:hAnsi="Times New Roman" w:cs="Times New Roman"/>
          <w:sz w:val="24"/>
          <w:szCs w:val="24"/>
        </w:rPr>
        <w:t>nomía de mercado (¿qué mercado?)</w:t>
      </w:r>
    </w:p>
    <w:p w:rsidR="006C1B61" w:rsidRPr="006C1B61" w:rsidRDefault="00F63A6C"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Según dicen… </w:t>
      </w:r>
      <w:r w:rsidR="006C1B61" w:rsidRPr="006C1B61">
        <w:rPr>
          <w:rFonts w:ascii="Times New Roman" w:hAnsi="Times New Roman" w:cs="Times New Roman"/>
          <w:sz w:val="24"/>
          <w:szCs w:val="24"/>
        </w:rPr>
        <w:t xml:space="preserve">los gobiernos y las oposiciones practican con las pensiones la política del avestruz o, lo que es lo mismo, hacen suyo el viejo lema keynesiano “a largo plazo, todos muertos”. Los mayores constituyen una porción de votos cada vez mayor y lógicamente tienen pavor al cambio. Sin embargo, la pregunta es qué sucederá cuando las jóvenes generaciones se nieguen a sacrificar su nivel de vida para pagar las </w:t>
      </w:r>
      <w:r w:rsidR="006C1B61" w:rsidRPr="006C1B61">
        <w:rPr>
          <w:rFonts w:ascii="Times New Roman" w:hAnsi="Times New Roman" w:cs="Times New Roman"/>
          <w:sz w:val="24"/>
          <w:szCs w:val="24"/>
        </w:rPr>
        <w:lastRenderedPageBreak/>
        <w:t>pensiones y/o la sanidad de los viejos o se rebelen contra una situación de trabajos forzados en beneficio de los mayores. Un escenario como éste no es improbable, sino muy posible, y constituirá un serio problema social y político en un horizonte no muy lejano. Es la “guerra civil fría” sugerida por Alain Madelin ante la resistencia de la derecha francesa a adoptar una ref</w:t>
      </w:r>
      <w:r>
        <w:rPr>
          <w:rFonts w:ascii="Times New Roman" w:hAnsi="Times New Roman" w:cs="Times New Roman"/>
          <w:sz w:val="24"/>
          <w:szCs w:val="24"/>
        </w:rPr>
        <w:t>orma en serio de las pensiones.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Desde este enfoque, los países industrializados deberían plantearse la posibilidad de sustituir de manera progresiva el actual sistema de pensiones basado en el reparto por otro sustentado en la capitalización.</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La razón (</w:t>
      </w:r>
      <w:r w:rsidR="00F63A6C">
        <w:rPr>
          <w:rFonts w:ascii="Times New Roman" w:hAnsi="Times New Roman" w:cs="Times New Roman"/>
          <w:sz w:val="24"/>
          <w:szCs w:val="24"/>
        </w:rPr>
        <w:t>¿</w:t>
      </w:r>
      <w:r w:rsidRPr="006C1B61">
        <w:rPr>
          <w:rFonts w:ascii="Times New Roman" w:hAnsi="Times New Roman" w:cs="Times New Roman"/>
          <w:sz w:val="24"/>
          <w:szCs w:val="24"/>
        </w:rPr>
        <w:t>qué razón?) es que la cobertura pública del retiro está en crisis en todas partes.</w:t>
      </w:r>
    </w:p>
    <w:p w:rsidR="006C1B61" w:rsidRPr="006C1B61" w:rsidRDefault="00F63A6C"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Según dicen… c</w:t>
      </w:r>
      <w:r w:rsidR="006C1B61" w:rsidRPr="006C1B61">
        <w:rPr>
          <w:rFonts w:ascii="Times New Roman" w:hAnsi="Times New Roman" w:cs="Times New Roman"/>
          <w:sz w:val="24"/>
          <w:szCs w:val="24"/>
        </w:rPr>
        <w:t xml:space="preserve">uando se creó en la mayoría de los países industrializados, el número de cotizantes era muy superior al de los que percibían prestaciones por jubilación y muy pocos vivían hasta la edad necesaria para percibir sus prestaciones, lo que garantizaba que pudiese cumplir sus promesas. A comienzos del siglo XXI la situación es distinta. La caída de la tasa de natalidad, unida al aumento de la esperanza de vida, implica que un número cada vez más reducido de jóvenes trabajadores no sólo tendrá que soportar una carga fiscal creciente para financiar las pensiones de sus mayores, sino que no recibirá los mismos beneficios. Si no se hace nada, esa gigantesca transferencia de rentas de las clases activas a las pasivas reducirá el crecimiento y el nivel de vida de las generaciones futuras, al tiempo que pondrá las bases para un conflicto intergeneracional </w:t>
      </w:r>
      <w:r>
        <w:rPr>
          <w:rFonts w:ascii="Times New Roman" w:hAnsi="Times New Roman" w:cs="Times New Roman"/>
          <w:sz w:val="24"/>
          <w:szCs w:val="24"/>
        </w:rPr>
        <w:t>de consecuencias imprevisibles.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¿Qué hacer?, se preguntan los “neoecon”, y se contestan -para continuar “colando” el mensaje-, “De entrada, un aumento de los impuestos y/o cotizaciones a la Seguridad Social para financiar el modelo de reparto tendría efectos económicos muy negativos. La oferta de trabajo no es inelástica. De hecho, responde a los cambios en los tipos impositivos. Desde esta perspectiva, mantener el actual sistema de pensiones y el inevitable incremento de la carga fiscal necesario para financiarlo reduciría los incentivos para incorporarse a la vida laboral. Esta caída o desaceleración de la tasa de actividad, que se producirá en todo caso por razones demográficas, tendría un impacto negativo sobre el PIB y acentuaría los desequilibrios estructurales del esquema de reparto. A la vez, la subida de la imposición sobre el factor trabajo deprimiría la tasa de ahorro privado y la acumulación de capital que alimenta el crecimiento económico y de la productivi</w:t>
      </w:r>
      <w:r w:rsidR="00F63A6C">
        <w:rPr>
          <w:rFonts w:ascii="Times New Roman" w:hAnsi="Times New Roman" w:cs="Times New Roman"/>
          <w:sz w:val="24"/>
          <w:szCs w:val="24"/>
        </w:rPr>
        <w:t>dad en el medio y largo plazo”.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Otros -más cínicos, si cabe- sostienen que desde que la democracia moderna puso la ciudadanía como raíz de la legitimidad política han existido tensiones entre libertad e igualdad. En toda sociedad democrática -dicen-, la libertad para todos entra en conflicto con la igualdad para todos, y viceversa. Pero no importa con </w:t>
      </w:r>
      <w:r w:rsidR="00F63A6C" w:rsidRPr="006C1B61">
        <w:rPr>
          <w:rFonts w:ascii="Times New Roman" w:hAnsi="Times New Roman" w:cs="Times New Roman"/>
          <w:sz w:val="24"/>
          <w:szCs w:val="24"/>
        </w:rPr>
        <w:t>qué</w:t>
      </w:r>
      <w:r w:rsidRPr="006C1B61">
        <w:rPr>
          <w:rFonts w:ascii="Times New Roman" w:hAnsi="Times New Roman" w:cs="Times New Roman"/>
          <w:sz w:val="24"/>
          <w:szCs w:val="24"/>
        </w:rPr>
        <w:t xml:space="preserve"> frecuencia proclamamos que todos “hemos nacido libres e iguales en dignidad y derechos”, este choque de principios no ha </w:t>
      </w:r>
      <w:r w:rsidR="007E625E" w:rsidRPr="006C1B61">
        <w:rPr>
          <w:rFonts w:ascii="Times New Roman" w:hAnsi="Times New Roman" w:cs="Times New Roman"/>
          <w:sz w:val="24"/>
          <w:szCs w:val="24"/>
        </w:rPr>
        <w:t>disminuido</w:t>
      </w:r>
      <w:r w:rsidRPr="006C1B61">
        <w:rPr>
          <w:rFonts w:ascii="Times New Roman" w:hAnsi="Times New Roman" w:cs="Times New Roman"/>
          <w:sz w:val="24"/>
          <w:szCs w:val="24"/>
        </w:rPr>
        <w:t>…</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Y rematan, “la dimensión óptima del Estado de bienestar en un país desarrollado y próspero es aquélla que es sostenible en el tiempo y que crea unas reglas de juego estables y predecibles para los agentes que cubre las contingencias sin desincentivar d</w:t>
      </w:r>
      <w:r w:rsidR="00F63A6C">
        <w:rPr>
          <w:rFonts w:ascii="Times New Roman" w:hAnsi="Times New Roman" w:cs="Times New Roman"/>
          <w:sz w:val="24"/>
          <w:szCs w:val="24"/>
        </w:rPr>
        <w:t>ecisiones de ahorro y trabajo”…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A todos estos “escribas” de la globalización, la privatización, la financierización y el librecambio, podría contestarles </w:t>
      </w:r>
      <w:r w:rsidR="0046330F">
        <w:rPr>
          <w:rFonts w:ascii="Times New Roman" w:hAnsi="Times New Roman" w:cs="Times New Roman"/>
          <w:sz w:val="24"/>
          <w:szCs w:val="24"/>
        </w:rPr>
        <w:t>diciéndoles que han sido ellos -</w:t>
      </w:r>
      <w:r w:rsidRPr="006C1B61">
        <w:rPr>
          <w:rFonts w:ascii="Times New Roman" w:hAnsi="Times New Roman" w:cs="Times New Roman"/>
          <w:sz w:val="24"/>
          <w:szCs w:val="24"/>
        </w:rPr>
        <w:t xml:space="preserve">o sus mentores, o </w:t>
      </w:r>
      <w:r w:rsidRPr="006C1B61">
        <w:rPr>
          <w:rFonts w:ascii="Times New Roman" w:hAnsi="Times New Roman" w:cs="Times New Roman"/>
          <w:sz w:val="24"/>
          <w:szCs w:val="24"/>
        </w:rPr>
        <w:lastRenderedPageBreak/>
        <w:t>quienes le pagan la nómina- los que han propiciado y han logrado “tirar el agua de la palangana con el bebé adentro”…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Que no son los factores demográficos los que desbalancean -el lado de la demanda- el equilibrio de la cobertura pública del </w:t>
      </w:r>
      <w:r w:rsidR="00F63A6C">
        <w:rPr>
          <w:rFonts w:ascii="Times New Roman" w:hAnsi="Times New Roman" w:cs="Times New Roman"/>
          <w:sz w:val="24"/>
          <w:szCs w:val="24"/>
        </w:rPr>
        <w:t>sistema de la seguridad social -</w:t>
      </w:r>
      <w:r w:rsidRPr="006C1B61">
        <w:rPr>
          <w:rFonts w:ascii="Times New Roman" w:hAnsi="Times New Roman" w:cs="Times New Roman"/>
          <w:sz w:val="24"/>
          <w:szCs w:val="24"/>
        </w:rPr>
        <w:t xml:space="preserve">pensiones, sanidad y subsidio de desempleo-, sino que es  el bajo nivel de ocupación y remuneración de la </w:t>
      </w:r>
      <w:r w:rsidR="00F63A6C">
        <w:rPr>
          <w:rFonts w:ascii="Times New Roman" w:hAnsi="Times New Roman" w:cs="Times New Roman"/>
          <w:sz w:val="24"/>
          <w:szCs w:val="24"/>
        </w:rPr>
        <w:t>población en edad de trabajar -</w:t>
      </w:r>
      <w:r w:rsidRPr="006C1B61">
        <w:rPr>
          <w:rFonts w:ascii="Times New Roman" w:hAnsi="Times New Roman" w:cs="Times New Roman"/>
          <w:sz w:val="24"/>
          <w:szCs w:val="24"/>
        </w:rPr>
        <w:t>el lado de la oferta-, el que provoca -con premeditación y alevosía- la insostenibil</w:t>
      </w:r>
      <w:r w:rsidR="00F63A6C">
        <w:rPr>
          <w:rFonts w:ascii="Times New Roman" w:hAnsi="Times New Roman" w:cs="Times New Roman"/>
          <w:sz w:val="24"/>
          <w:szCs w:val="24"/>
        </w:rPr>
        <w:t xml:space="preserve">idad del Estado del bienestar. </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Pero voy a dejar que les conteste Ernesto </w:t>
      </w:r>
      <w:r w:rsidR="00BB5AAA" w:rsidRPr="006C1B61">
        <w:rPr>
          <w:rFonts w:ascii="Times New Roman" w:hAnsi="Times New Roman" w:cs="Times New Roman"/>
          <w:sz w:val="24"/>
          <w:szCs w:val="24"/>
        </w:rPr>
        <w:t>Sábato</w:t>
      </w:r>
      <w:r w:rsidRPr="006C1B61">
        <w:rPr>
          <w:rFonts w:ascii="Times New Roman" w:hAnsi="Times New Roman" w:cs="Times New Roman"/>
          <w:sz w:val="24"/>
          <w:szCs w:val="24"/>
        </w:rPr>
        <w:t xml:space="preserve"> (“</w:t>
      </w:r>
      <w:r w:rsidRPr="00F648B9">
        <w:rPr>
          <w:rFonts w:ascii="Times New Roman" w:hAnsi="Times New Roman" w:cs="Times New Roman"/>
          <w:i/>
          <w:sz w:val="24"/>
          <w:szCs w:val="24"/>
        </w:rPr>
        <w:t>Antes del fin</w:t>
      </w:r>
      <w:r w:rsidRPr="006C1B61">
        <w:rPr>
          <w:rFonts w:ascii="Times New Roman" w:hAnsi="Times New Roman" w:cs="Times New Roman"/>
          <w:sz w:val="24"/>
          <w:szCs w:val="24"/>
        </w:rPr>
        <w:t>”): “Al parecer, la dignidad de la vida humana no estaba prevista en el plan de la globalización. La angustia es lo único que ha alcanzado niveles nunca vistos. Es un mundo que vive en la perversidad, donde unos pocos contabilizan sus logros sobre la amputación de la vida de la inmensa mayoría. Se ha hecho creer a algún pobre diablo que pertenece al Primer Mundo por acceder a los innumerables productos de un supermercado. Y mientras aquel pobre infeliz duerme tranquilo, encerrado en su fortaleza de aparatos y cachivaches, miles de familias deben sobrevivir con un dólar diario. Son millones los excluidos del gran banquete de los economicistas…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Ahora, el hombre está al borde de convertirse en un clon por encargo: ojos celestes, simpático, emprendedor, insensible al dolor o trágicamente, preparado para esclavo. Engranajes de una máquina, factores de un sistema, ¡</w:t>
      </w:r>
      <w:r w:rsidR="00F63A6C" w:rsidRPr="006C1B61">
        <w:rPr>
          <w:rFonts w:ascii="Times New Roman" w:hAnsi="Times New Roman" w:cs="Times New Roman"/>
          <w:sz w:val="24"/>
          <w:szCs w:val="24"/>
        </w:rPr>
        <w:t>qué</w:t>
      </w:r>
      <w:r w:rsidRPr="006C1B61">
        <w:rPr>
          <w:rFonts w:ascii="Times New Roman" w:hAnsi="Times New Roman" w:cs="Times New Roman"/>
          <w:sz w:val="24"/>
          <w:szCs w:val="24"/>
        </w:rPr>
        <w:t xml:space="preserve"> lejos, Hölderlin, de cuando los hombres se sentían hijos de los Dioses!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Los jóvenes lo sufren: ya no quieren tener hijos. No cabe escepticismo mayor.</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Así como los animales en cautiverio, nuestras jóvenes generaciones no se arriesgan a ser padres. Tal es el estado del </w:t>
      </w:r>
      <w:r w:rsidR="00F63A6C">
        <w:rPr>
          <w:rFonts w:ascii="Times New Roman" w:hAnsi="Times New Roman" w:cs="Times New Roman"/>
          <w:sz w:val="24"/>
          <w:szCs w:val="24"/>
        </w:rPr>
        <w:t>mundo que les hemos entregado”…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También busco respuesta en Pascal Bruckner (“</w:t>
      </w:r>
      <w:r w:rsidRPr="00F648B9">
        <w:rPr>
          <w:rFonts w:ascii="Times New Roman" w:hAnsi="Times New Roman" w:cs="Times New Roman"/>
          <w:i/>
          <w:sz w:val="24"/>
          <w:szCs w:val="24"/>
        </w:rPr>
        <w:t>Miseria de la prosperidad</w:t>
      </w:r>
      <w:r w:rsidRPr="006C1B61">
        <w:rPr>
          <w:rFonts w:ascii="Times New Roman" w:hAnsi="Times New Roman" w:cs="Times New Roman"/>
          <w:sz w:val="24"/>
          <w:szCs w:val="24"/>
        </w:rPr>
        <w:t>”): “Nunca hasta ahora se habían dado desigualdades tan fuertes con un enriquecimiento tan espectacular de fondo…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Como ya sabemos, la nueva preponderancia de los mercados financieros, la revolución tecnológica, el paso de un capitalismo empresarial a un capitalismo donde los accionistas imponen la norma en detrimento de los trabajadores explican en gran medida esta situación. De esto se deriva la congelación de las rentas del trabajo, la desconexión entre el crecimiento económico y la evolución de los valores bursátiles, la disfunción de la movilidad social y el fin del contrato de trabajo establecido tras la segunda guerra mundial, garante de la estabilidad del empleo y la protección de los poderes públicos. Como si todas las conquistas posteriores a 1945 se hubieran borrado a favor de una sociedad más fría, hostil a los débiles y sonriente para los pudientes. Parece necesario volver a empezar, iniciar una nueva lucha por la vida y la dignidad. Es un retorno a la casilla de salida, a los albores del movimiento obrero, pero sin las ilusiones que movían a los militantes y agitadores de entonces. Es el regreso de un capitalismo duro, despiadado con los inútiles, generador de empleos de baja cualificación y escasa remuneración, un sistema brutal pues carece de p</w:t>
      </w:r>
      <w:r w:rsidR="00F63A6C">
        <w:rPr>
          <w:rFonts w:ascii="Times New Roman" w:hAnsi="Times New Roman" w:cs="Times New Roman"/>
          <w:sz w:val="24"/>
          <w:szCs w:val="24"/>
        </w:rPr>
        <w:t>erspectiva de un futuro mejor”…</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Además, agrego algunas palabras de Zygmunt Bauman (“</w:t>
      </w:r>
      <w:r w:rsidRPr="00F648B9">
        <w:rPr>
          <w:rFonts w:ascii="Times New Roman" w:hAnsi="Times New Roman" w:cs="Times New Roman"/>
          <w:i/>
          <w:sz w:val="24"/>
          <w:szCs w:val="24"/>
        </w:rPr>
        <w:t>Comunidad</w:t>
      </w:r>
      <w:r w:rsidRPr="006C1B61">
        <w:rPr>
          <w:rFonts w:ascii="Times New Roman" w:hAnsi="Times New Roman" w:cs="Times New Roman"/>
          <w:sz w:val="24"/>
          <w:szCs w:val="24"/>
        </w:rPr>
        <w:t xml:space="preserve">”): “En resumen: se ha acabado la mayoría de los puntos de referencia constantes y sólidamente establecidos que sugerían un entorno social más duradero, más seguro y más digno de </w:t>
      </w:r>
      <w:r w:rsidRPr="006C1B61">
        <w:rPr>
          <w:rFonts w:ascii="Times New Roman" w:hAnsi="Times New Roman" w:cs="Times New Roman"/>
          <w:sz w:val="24"/>
          <w:szCs w:val="24"/>
        </w:rPr>
        <w:lastRenderedPageBreak/>
        <w:t>confianza que el tiempo que duraba una vida individual. Se ha acabado la certeza de que “volveremos a vernos”, de que estaremos viéndonos repetidamente y durante un largo tiempo futuro, y de que, por tanto, puede suponerse que la sociedad tiene una larga memoria y que lo que nos hagamos mutuamente nos confortará o atormentará en el futuro; de que lo que nos hagamos recíprocamente tendrá una importancia algo más episódica, puesto que las consecuencias de nuestras acciones nos acompañarán mucho tiempo después de que nuestras acciones, en apariencia, hayan finalizado, sobreviviendo en la mente y en los hechos de testigos que no van a desaparecer…</w:t>
      </w:r>
      <w:r w:rsidR="007E625E">
        <w:rPr>
          <w:rFonts w:ascii="Times New Roman" w:hAnsi="Times New Roman" w:cs="Times New Roman"/>
          <w:sz w:val="24"/>
          <w:szCs w:val="24"/>
        </w:rPr>
        <w:t xml:space="preserve"> </w:t>
      </w:r>
      <w:r w:rsidRPr="006C1B61">
        <w:rPr>
          <w:rFonts w:ascii="Times New Roman" w:hAnsi="Times New Roman" w:cs="Times New Roman"/>
          <w:sz w:val="24"/>
          <w:szCs w:val="24"/>
        </w:rPr>
        <w:t>Es esta experiencia la que hoy se echa de menos, y su ausencia se describe como “decadencia”, “muerte” o “eclipse” de la comunidad…</w:t>
      </w:r>
      <w:r w:rsidR="007E625E">
        <w:rPr>
          <w:rFonts w:ascii="Times New Roman" w:hAnsi="Times New Roman" w:cs="Times New Roman"/>
          <w:sz w:val="24"/>
          <w:szCs w:val="24"/>
        </w:rPr>
        <w:t xml:space="preserve"> </w:t>
      </w:r>
      <w:r w:rsidRPr="006C1B61">
        <w:rPr>
          <w:rFonts w:ascii="Times New Roman" w:hAnsi="Times New Roman" w:cs="Times New Roman"/>
          <w:sz w:val="24"/>
          <w:szCs w:val="24"/>
        </w:rPr>
        <w:t>Los lazos comunitarios se hacen cada vez más prescindibles…</w:t>
      </w:r>
      <w:r w:rsidR="007E625E">
        <w:rPr>
          <w:rFonts w:ascii="Times New Roman" w:hAnsi="Times New Roman" w:cs="Times New Roman"/>
          <w:sz w:val="24"/>
          <w:szCs w:val="24"/>
        </w:rPr>
        <w:t xml:space="preserve"> </w:t>
      </w:r>
      <w:r w:rsidRPr="006C1B61">
        <w:rPr>
          <w:rFonts w:ascii="Times New Roman" w:hAnsi="Times New Roman" w:cs="Times New Roman"/>
          <w:sz w:val="24"/>
          <w:szCs w:val="24"/>
        </w:rPr>
        <w:t>Las lealtades personales disminuyen su alcance a través del sucesivo debilitamiento de los lazos nacionales, los lazos regionales, los lazos comunitarios, los lazos con el vecindario, los lazos familiares y, finalmente, los lazos con una imagen coherente de la propia identidad…</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La percepción de la injusticia y de los agravios que suscita, como tantas otras cosas en la época de desvinculación que define el estado “liquido” de la modernidad, ha sufrido un proceso de “individualización”. Se supone que los problemas se sufren y solucionan en solitario y son singularmente inadecuados para acumularse en una comunidad de intereses que busca soluciones colect</w:t>
      </w:r>
      <w:r w:rsidR="00F63A6C">
        <w:rPr>
          <w:rFonts w:ascii="Times New Roman" w:hAnsi="Times New Roman" w:cs="Times New Roman"/>
          <w:sz w:val="24"/>
          <w:szCs w:val="24"/>
        </w:rPr>
        <w:t>ivas a problemas individuales”…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En otro de sus libros (“</w:t>
      </w:r>
      <w:r w:rsidRPr="00F648B9">
        <w:rPr>
          <w:rFonts w:ascii="Times New Roman" w:hAnsi="Times New Roman" w:cs="Times New Roman"/>
          <w:i/>
          <w:sz w:val="24"/>
          <w:szCs w:val="24"/>
        </w:rPr>
        <w:t>Modernidad líquida</w:t>
      </w:r>
      <w:r w:rsidRPr="006C1B61">
        <w:rPr>
          <w:rFonts w:ascii="Times New Roman" w:hAnsi="Times New Roman" w:cs="Times New Roman"/>
          <w:sz w:val="24"/>
          <w:szCs w:val="24"/>
        </w:rPr>
        <w:t>”), el mismo Bauman, sostiene: “No obstante, si la idea de progreso en su forma actual nos resulta tan poco familiar que cada uno se pregunta si aún está entre nosotros, es porque el progreso, como tantos otros parámetros de la vida moderna, ha sido “individualizado”; lo que es más: “desregulado” y “privatizado”. Está desregulado porque  la oferta de opciones para “mejorar” las realidades presentes es muy diversa, y porque el tema de si una novedad en particular significa verdaderamente una mejora respecto de otra ha quedado librado, antes y después de su aparición, a la libre competencia entre ambas, competencia que perdura incluso después de que ya hemos elegido una de ellas. Y el progreso está privatizado porque el mejoramiento ya no es una empresa colectiva sino individual: se espera que los hombres y mujeres individuales usen, por sí mismos e individualmente, su propio ingenio, recursos y laboriosidad para elevar su condición a otra más satisfactoria y dejar atrás todo aquello de su condición presente que les repugne. Como apuntara Ulrico Beck en su esclarecedor estudio sobre la “</w:t>
      </w:r>
      <w:r w:rsidRPr="00F648B9">
        <w:rPr>
          <w:rFonts w:ascii="Times New Roman" w:hAnsi="Times New Roman" w:cs="Times New Roman"/>
          <w:i/>
          <w:sz w:val="24"/>
          <w:szCs w:val="24"/>
        </w:rPr>
        <w:t>Risikogesellschaf</w:t>
      </w:r>
      <w:r w:rsidRPr="006C1B61">
        <w:rPr>
          <w:rFonts w:ascii="Times New Roman" w:hAnsi="Times New Roman" w:cs="Times New Roman"/>
          <w:sz w:val="24"/>
          <w:szCs w:val="24"/>
        </w:rPr>
        <w:t>t” contemporánea, “la tendencia es hacia la aparición de formas y condiciones de existencia individualizad</w:t>
      </w:r>
      <w:r w:rsidR="00F63A6C">
        <w:rPr>
          <w:rFonts w:ascii="Times New Roman" w:hAnsi="Times New Roman" w:cs="Times New Roman"/>
          <w:sz w:val="24"/>
          <w:szCs w:val="24"/>
        </w:rPr>
        <w:t>as que impulsan a las personas -</w:t>
      </w:r>
      <w:r w:rsidRPr="006C1B61">
        <w:rPr>
          <w:rFonts w:ascii="Times New Roman" w:hAnsi="Times New Roman" w:cs="Times New Roman"/>
          <w:sz w:val="24"/>
          <w:szCs w:val="24"/>
        </w:rPr>
        <w:t>en nombre de su propia supervivencia material- a transformarse en el centro de su propia planificación y conducta de vida…</w:t>
      </w:r>
      <w:r w:rsidR="00094160">
        <w:rPr>
          <w:rFonts w:ascii="Times New Roman" w:hAnsi="Times New Roman" w:cs="Times New Roman"/>
          <w:sz w:val="24"/>
          <w:szCs w:val="24"/>
        </w:rPr>
        <w:t xml:space="preserve"> </w:t>
      </w:r>
      <w:r w:rsidRPr="006C1B61">
        <w:rPr>
          <w:rFonts w:ascii="Times New Roman" w:hAnsi="Times New Roman" w:cs="Times New Roman"/>
          <w:sz w:val="24"/>
          <w:szCs w:val="24"/>
        </w:rPr>
        <w:t>De hecho, uno debe optar y cambiar su identidad social y a la vez aceptar el riesgo que esto implica…</w:t>
      </w:r>
      <w:r w:rsidR="00094160">
        <w:rPr>
          <w:rFonts w:ascii="Times New Roman" w:hAnsi="Times New Roman" w:cs="Times New Roman"/>
          <w:sz w:val="24"/>
          <w:szCs w:val="24"/>
        </w:rPr>
        <w:t xml:space="preserve"> </w:t>
      </w:r>
      <w:r w:rsidRPr="006C1B61">
        <w:rPr>
          <w:rFonts w:ascii="Times New Roman" w:hAnsi="Times New Roman" w:cs="Times New Roman"/>
          <w:sz w:val="24"/>
          <w:szCs w:val="24"/>
        </w:rPr>
        <w:t xml:space="preserve">El individuo en sí mismo se transforma en la unidad reproductiva de lo social en el mundo vital”… </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El enfoque predominante, basado en el mercado y la competencia han </w:t>
      </w:r>
      <w:r w:rsidR="00F63A6C" w:rsidRPr="006C1B61">
        <w:rPr>
          <w:rFonts w:ascii="Times New Roman" w:hAnsi="Times New Roman" w:cs="Times New Roman"/>
          <w:sz w:val="24"/>
          <w:szCs w:val="24"/>
        </w:rPr>
        <w:t>contribuido</w:t>
      </w:r>
      <w:r w:rsidRPr="006C1B61">
        <w:rPr>
          <w:rFonts w:ascii="Times New Roman" w:hAnsi="Times New Roman" w:cs="Times New Roman"/>
          <w:sz w:val="24"/>
          <w:szCs w:val="24"/>
        </w:rPr>
        <w:t xml:space="preserve"> considerablemente a la actual deprimida situación económica y social, poniéndose de manifiesto la dificultad de atraer a los ciudadanos hacia un sistema económico hostil a la provisión del bienestar y la solidaridad social.</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En mi -modesta- opinión, la mejor manera de superar los actuales problemas consiste en promover un modelo de desarrollo para toda Europa cuyas piedras an</w:t>
      </w:r>
      <w:r w:rsidR="00F63A6C">
        <w:rPr>
          <w:rFonts w:ascii="Times New Roman" w:hAnsi="Times New Roman" w:cs="Times New Roman"/>
          <w:sz w:val="24"/>
          <w:szCs w:val="24"/>
        </w:rPr>
        <w:t>gular</w:t>
      </w:r>
      <w:r w:rsidRPr="006C1B61">
        <w:rPr>
          <w:rFonts w:ascii="Times New Roman" w:hAnsi="Times New Roman" w:cs="Times New Roman"/>
          <w:sz w:val="24"/>
          <w:szCs w:val="24"/>
        </w:rPr>
        <w:t xml:space="preserve">es estén </w:t>
      </w:r>
      <w:r w:rsidR="00F63A6C" w:rsidRPr="006C1B61">
        <w:rPr>
          <w:rFonts w:ascii="Times New Roman" w:hAnsi="Times New Roman" w:cs="Times New Roman"/>
          <w:sz w:val="24"/>
          <w:szCs w:val="24"/>
        </w:rPr>
        <w:t>constituidas</w:t>
      </w:r>
      <w:r w:rsidRPr="006C1B61">
        <w:rPr>
          <w:rFonts w:ascii="Times New Roman" w:hAnsi="Times New Roman" w:cs="Times New Roman"/>
          <w:sz w:val="24"/>
          <w:szCs w:val="24"/>
        </w:rPr>
        <w:t xml:space="preserve"> por el pleno empleo, un alto nivel de bienestar, equidad social, sostenibilidad ecológica y una amplia cooperación internacional. Este modelo social </w:t>
      </w:r>
      <w:r w:rsidRPr="006C1B61">
        <w:rPr>
          <w:rFonts w:ascii="Times New Roman" w:hAnsi="Times New Roman" w:cs="Times New Roman"/>
          <w:sz w:val="24"/>
          <w:szCs w:val="24"/>
        </w:rPr>
        <w:lastRenderedPageBreak/>
        <w:t>podría convertirse en una alternativa muy atractiva y poderosa al modelo de Estados Unidos de poder militar con pobres estándares sociales. Pero no es en absoluto el resultado automático ni el fruto de los mercados liberalizados y la competencia. Su puesta en práctica deberá hacer frente a la resistencia de aquellos grupos y poderes que se benefician de la actual situación, y requiere, por tanto, una intervención política enérgica. La calidad de dicha intervención depende en su desarrollo de un amplio movimiento social y un debate público abierto, es dec</w:t>
      </w:r>
      <w:r w:rsidR="00F63A6C">
        <w:rPr>
          <w:rFonts w:ascii="Times New Roman" w:hAnsi="Times New Roman" w:cs="Times New Roman"/>
          <w:sz w:val="24"/>
          <w:szCs w:val="24"/>
        </w:rPr>
        <w:t>ir, de su carácter democrático.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Las actuales estrategias de la globalización de mercado y del capital están dando lugar a la concentración de sectores de gran riqueza, junto a grandes masas de miseria y a un gran número de población superflua y desprovista de derechos. Hasta 1960 había en el mundo un rico por cada 30 pobres; hoy la proporción es de un rico por cada 80 pobres.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La ideología neoliberal del mercado reduce la vida humana a un mero análisis de costes y beneficios que desemboca en un individualismo sistemático basado en el cálculo de las ventajas individuales obtenidas dentro de un grupo social. Todo ello encamina a los seres humanos hacia un neoindividualismo posesivo y consumista que configura la base antropológica y social de nuestra época.</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Esta ideología se transforma en un factor poderoso de desintegración y descohesión social, ya que ha dejado carente de vínculos sociales a un amplio sector de la población mundial, que pasa a convertirse en una especie de nuevos “parias” de la civilización global. Los nuevos </w:t>
      </w:r>
      <w:r w:rsidR="00F63A6C" w:rsidRPr="006C1B61">
        <w:rPr>
          <w:rFonts w:ascii="Times New Roman" w:hAnsi="Times New Roman" w:cs="Times New Roman"/>
          <w:sz w:val="24"/>
          <w:szCs w:val="24"/>
        </w:rPr>
        <w:t>excluidos</w:t>
      </w:r>
      <w:r w:rsidRPr="006C1B61">
        <w:rPr>
          <w:rFonts w:ascii="Times New Roman" w:hAnsi="Times New Roman" w:cs="Times New Roman"/>
          <w:sz w:val="24"/>
          <w:szCs w:val="24"/>
        </w:rPr>
        <w:t xml:space="preserve"> del mercado global tienen una característica en común: su falta de capacidad económica para el consumo, su imposibilidad de llegar a ser una especie de “consumidor universal” o transnacional; en una palabra, su “prescindibilidad” para el sistema. El consumo o, mejor dicho, la cap</w:t>
      </w:r>
      <w:r w:rsidR="00F63A6C">
        <w:rPr>
          <w:rFonts w:ascii="Times New Roman" w:hAnsi="Times New Roman" w:cs="Times New Roman"/>
          <w:sz w:val="24"/>
          <w:szCs w:val="24"/>
        </w:rPr>
        <w:t>acidad económica para consumir -</w:t>
      </w:r>
      <w:r w:rsidRPr="006C1B61">
        <w:rPr>
          <w:rFonts w:ascii="Times New Roman" w:hAnsi="Times New Roman" w:cs="Times New Roman"/>
          <w:sz w:val="24"/>
          <w:szCs w:val="24"/>
        </w:rPr>
        <w:t>basada en una lógica individualista y competitiva-, se convierte actualmente en el criterio más importante de inclusión o exclusión social. El neoindividualismo consumista quiebra la conciencia de clase social, fragmenta la sociedad e incluso “privatiza” el propio vínculo social. La desigualdad ya no representa sólo un mecanismo ideológico de relación jerarquizada que se integra socialmente mediante la existencia de derechos de contenido redistributivo y mediante la aspiración al “interés general” de las relaciones de producción capitalistas. Ahora el neoliberalismo la ha convertido en un factor determinante de la exclusión social. Quien no resulta competitivo en la lucha económica es eliminado definitivamente de ella.</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Practicamos ahora un individualismo sin mala conciencia que acaba desembocando en un nihilismo destructivo, donde los objetos nos marcan exteriormente y donde se premia la posesión de riqueza, se “criminaliza” la pobreza y la ganancia privada se eleva a valor supremo. Este neoindividualismo posesivo se desdobla, a su vez, en lo que, paradójicamente, se podría denominar como “individualismo de la desposesión”, que es aquel que deriva de los efectos negativos que la sociedad global arroja sobre la mayoría de las personas: ausencia de trabajo, precarización del mismo, incultura, inseguridad y desprotección institucional. Tras ello lo que existe es una ética de la desesperanza y del “sálvese quien pueda”. Aunque, dado el caso, tal vez, tampoco alcance. </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Una vez más, volviendo a </w:t>
      </w:r>
      <w:r w:rsidR="00BB5AAA" w:rsidRPr="006C1B61">
        <w:rPr>
          <w:rFonts w:ascii="Times New Roman" w:hAnsi="Times New Roman" w:cs="Times New Roman"/>
          <w:sz w:val="24"/>
          <w:szCs w:val="24"/>
        </w:rPr>
        <w:t>Sábato</w:t>
      </w:r>
      <w:r w:rsidRPr="006C1B61">
        <w:rPr>
          <w:rFonts w:ascii="Times New Roman" w:hAnsi="Times New Roman" w:cs="Times New Roman"/>
          <w:sz w:val="24"/>
          <w:szCs w:val="24"/>
        </w:rPr>
        <w:t xml:space="preserve"> (“</w:t>
      </w:r>
      <w:r w:rsidRPr="00303178">
        <w:rPr>
          <w:rFonts w:ascii="Times New Roman" w:hAnsi="Times New Roman" w:cs="Times New Roman"/>
          <w:i/>
          <w:sz w:val="24"/>
          <w:szCs w:val="24"/>
        </w:rPr>
        <w:t>España en los diarios de mi vejez</w:t>
      </w:r>
      <w:r w:rsidRPr="006C1B61">
        <w:rPr>
          <w:rFonts w:ascii="Times New Roman" w:hAnsi="Times New Roman" w:cs="Times New Roman"/>
          <w:sz w:val="24"/>
          <w:szCs w:val="24"/>
        </w:rPr>
        <w:t>”): “Porque esta crisis, que tanta desolación está ocasionando, tiene también su contrapartida: ya no hay posibilidades para los pueblos ni para las personas de jugarse por sí mismos. El “sálvese quien pueda” no sólo es inmoral, sino que tampoco alcanza. Es ésta una hora decisiva. Sobre nuestra generación pesa el destino, y es ésta nues</w:t>
      </w:r>
      <w:r w:rsidR="00F63A6C">
        <w:rPr>
          <w:rFonts w:ascii="Times New Roman" w:hAnsi="Times New Roman" w:cs="Times New Roman"/>
          <w:sz w:val="24"/>
          <w:szCs w:val="24"/>
        </w:rPr>
        <w:t>tra responsabilidad histórica”.</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lastRenderedPageBreak/>
        <w:t>Lo más preocupante es que el neoindividualismo privatista aspira a convertirse en una nueva ética universal y homogénea, perfectamente difundida por los monopolios mediáticos. Su universalidad moral se difunde frente a cualquiera de las éticas. Estamos ahora ante la universalización de un individualismo que se basa en el criterio del imperio de la ley del más fuerte y abandona a los seres humanos a su insegura gestión de los riesgos de alimentación, salud, educación, vivienda, trabajo y condiciones del mismo, vejez, enfermedades, discapacidad y seguridad. El neoindividualismo destruye la dimensión colectiva, solidaria y democrática de las relaciones sociales, rompe los vínculos de integración e instala a los seres humanos en una cultura de la satisfacción y del consumo inmediato. Asimismo sacraliza la competitividad como base antropológica de las relaciones entre individuos y produce una incomunicación o una especie de “autismo” social entre los seres humanos de consecuen</w:t>
      </w:r>
      <w:r w:rsidR="00F63A6C">
        <w:rPr>
          <w:rFonts w:ascii="Times New Roman" w:hAnsi="Times New Roman" w:cs="Times New Roman"/>
          <w:sz w:val="24"/>
          <w:szCs w:val="24"/>
        </w:rPr>
        <w:t>cias hasta ahora imprevisibles.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Es el triunfo de la privacidad sobre la colectividad. Según esta lógica, la gestión de las consecuencias sociales “perversas” de la globalización (paro estructural permanente, falta de cobertura social de las situaciones carenciales o de riesgo, conflictividad y violencia social, pobreza, repliegue cultural, analfabetismo, enfermedad, radicalización étnica, inseguridad) se traslada del ámbito público al ámbito de responsabilidad individual y, consecuentemente, a la gestión individual o, en el mejor de los casos, a la ayuda familiar. La sociedad deja de ofrecer mecanismos institucionales y universales de integración social, seguridad y solidaridad y, consecuentemente, abandona a las personas a su solitario, inseguro y “mercantilizado” destino. Las soluciones colectivas y solidarias no parecen factibles. La competitividad individual dentro del mercado</w:t>
      </w:r>
      <w:r w:rsidR="00F63A6C">
        <w:rPr>
          <w:rFonts w:ascii="Times New Roman" w:hAnsi="Times New Roman" w:cs="Times New Roman"/>
          <w:sz w:val="24"/>
          <w:szCs w:val="24"/>
        </w:rPr>
        <w:t xml:space="preserve"> es la única salvación posible.</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Del libro “</w:t>
      </w:r>
      <w:r w:rsidRPr="00303178">
        <w:rPr>
          <w:rFonts w:ascii="Times New Roman" w:hAnsi="Times New Roman" w:cs="Times New Roman"/>
          <w:i/>
          <w:sz w:val="24"/>
          <w:szCs w:val="24"/>
        </w:rPr>
        <w:t>Desigualdad y cambio industrial</w:t>
      </w:r>
      <w:r w:rsidRPr="006C1B61">
        <w:rPr>
          <w:rFonts w:ascii="Times New Roman" w:hAnsi="Times New Roman" w:cs="Times New Roman"/>
          <w:sz w:val="24"/>
          <w:szCs w:val="24"/>
        </w:rPr>
        <w:t>”, de James K. Gal</w:t>
      </w:r>
      <w:r w:rsidR="007E625E">
        <w:rPr>
          <w:rFonts w:ascii="Times New Roman" w:hAnsi="Times New Roman" w:cs="Times New Roman"/>
          <w:sz w:val="24"/>
          <w:szCs w:val="24"/>
        </w:rPr>
        <w:t>braith y Maureen Berner - Akal -</w:t>
      </w:r>
      <w:r w:rsidRPr="006C1B61">
        <w:rPr>
          <w:rFonts w:ascii="Times New Roman" w:hAnsi="Times New Roman" w:cs="Times New Roman"/>
          <w:sz w:val="24"/>
          <w:szCs w:val="24"/>
        </w:rPr>
        <w:t xml:space="preserve"> 2004, deseo resaltar algunos párrafos y datos que pueden ayudar a esclarecer el tema, o aumentar la infor</w:t>
      </w:r>
      <w:r w:rsidR="00F63A6C">
        <w:rPr>
          <w:rFonts w:ascii="Times New Roman" w:hAnsi="Times New Roman" w:cs="Times New Roman"/>
          <w:sz w:val="24"/>
          <w:szCs w:val="24"/>
        </w:rPr>
        <w:t>mación para el debate de ideas.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“La demanda de inversión crea desigualdades, mientras que la de</w:t>
      </w:r>
      <w:r w:rsidR="00C80F91">
        <w:rPr>
          <w:rFonts w:ascii="Times New Roman" w:hAnsi="Times New Roman" w:cs="Times New Roman"/>
          <w:sz w:val="24"/>
          <w:szCs w:val="24"/>
        </w:rPr>
        <w:t>manda de consumo es igualadora…</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En nuestra opinión, los teóricos que consideran que la evolución de la desigualdad está dominada por la educación y por el cambio en los niveles de cualificación corren el riesgo de situar </w:t>
      </w:r>
      <w:r w:rsidR="00F63A6C">
        <w:rPr>
          <w:rFonts w:ascii="Times New Roman" w:hAnsi="Times New Roman" w:cs="Times New Roman"/>
          <w:sz w:val="24"/>
          <w:szCs w:val="24"/>
        </w:rPr>
        <w:t>el carro delante de los bueyes…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Ninguna política pública consigue reducir tan fielmente la desigualdad como un esfuerzo deliberado y simultáneo para combinar el pleno empleo con los derechos de negociación colectiva y los increme</w:t>
      </w:r>
      <w:r w:rsidR="00F63A6C">
        <w:rPr>
          <w:rFonts w:ascii="Times New Roman" w:hAnsi="Times New Roman" w:cs="Times New Roman"/>
          <w:sz w:val="24"/>
          <w:szCs w:val="24"/>
        </w:rPr>
        <w:t>ntos en los niveles salariales…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La desigualdad creció vertiginosamente en los años setenta y ochenta, alcanzando niveles bastante más altos que los reinantes durante la Gran Depresión (EEUU). La recuperación después de 1994 hace descender de nuevo la desigualdad, pero sólo hasta niveles que se encuentran justo por debajo de los correspondientes a los peores añ</w:t>
      </w:r>
      <w:r w:rsidR="00F63A6C">
        <w:rPr>
          <w:rFonts w:ascii="Times New Roman" w:hAnsi="Times New Roman" w:cs="Times New Roman"/>
          <w:sz w:val="24"/>
          <w:szCs w:val="24"/>
        </w:rPr>
        <w:t>os en la década de los treinta…</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La desigualdad mantiene una re</w:t>
      </w:r>
      <w:r w:rsidR="00F63A6C">
        <w:rPr>
          <w:rFonts w:ascii="Times New Roman" w:hAnsi="Times New Roman" w:cs="Times New Roman"/>
          <w:sz w:val="24"/>
          <w:szCs w:val="24"/>
        </w:rPr>
        <w:t>lación lineal con el desempleo…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Existe una interpretación extendida de que el desempleo en Europa es atribuible a estructuras salariales rígidas, salarios mínimos altos y sistemas de bienestar generosos. Sin embargo, de hecho, los países que disfrutan de una desigualdad baja producida por esos sistemas suelen experimentar menos desempleo que aquellos que padecen una </w:t>
      </w:r>
      <w:r w:rsidRPr="006C1B61">
        <w:rPr>
          <w:rFonts w:ascii="Times New Roman" w:hAnsi="Times New Roman" w:cs="Times New Roman"/>
          <w:sz w:val="24"/>
          <w:szCs w:val="24"/>
        </w:rPr>
        <w:lastRenderedPageBreak/>
        <w:t>desigualdad alta. (En este capítulo) mostraremos que la desigualdad y el desempleo están relacionados positivamente en el continente europeo, dentro de cada país, entre los distintos países y a lo largo del tiempo. Las grandes desigualdades existentes entre los países europeos también parecen agravar el problema continental del desempleo, y hallamos evidencia de que, cuando estas desigualdades se toman en cuenta, la desigualdad es mayor en Europa que en Estados Unidos. Por tanto sugerimos que la llave para la reducción del desempleo en Europa consiste en medidas que reduzcan, y no incrementen, las desigualdades en</w:t>
      </w:r>
      <w:r w:rsidR="007E625E">
        <w:rPr>
          <w:rFonts w:ascii="Times New Roman" w:hAnsi="Times New Roman" w:cs="Times New Roman"/>
          <w:sz w:val="24"/>
          <w:szCs w:val="24"/>
        </w:rPr>
        <w:t xml:space="preserve"> la estructura de remuneración -</w:t>
      </w:r>
      <w:r w:rsidRPr="006C1B61">
        <w:rPr>
          <w:rFonts w:ascii="Times New Roman" w:hAnsi="Times New Roman" w:cs="Times New Roman"/>
          <w:sz w:val="24"/>
          <w:szCs w:val="24"/>
        </w:rPr>
        <w:t>aplicadas a nivel continental-. Esta es una característica duradera y a menudo ignorada de la política de bien</w:t>
      </w:r>
      <w:r w:rsidR="00F63A6C">
        <w:rPr>
          <w:rFonts w:ascii="Times New Roman" w:hAnsi="Times New Roman" w:cs="Times New Roman"/>
          <w:sz w:val="24"/>
          <w:szCs w:val="24"/>
        </w:rPr>
        <w:t>estar social en Estados Unidos…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El tipo de explicaciones basadas en las “instituciones fijadoras de salarios” pone mucho más énfasis en los cambios institucionales que delimitan la fijación de los salarios, puesto que esas instituciones pueden anular las fuerzas competitivas en la evolución dinámica de la renta asociada al incremento de la desigualdad. Estos cambios institucionales incluyen el de</w:t>
      </w:r>
      <w:r w:rsidR="007D747F">
        <w:rPr>
          <w:rFonts w:ascii="Times New Roman" w:hAnsi="Times New Roman" w:cs="Times New Roman"/>
          <w:sz w:val="24"/>
          <w:szCs w:val="24"/>
        </w:rPr>
        <w:t>bilitamiento de los sindicatos -</w:t>
      </w:r>
      <w:r w:rsidRPr="006C1B61">
        <w:rPr>
          <w:rFonts w:ascii="Times New Roman" w:hAnsi="Times New Roman" w:cs="Times New Roman"/>
          <w:sz w:val="24"/>
          <w:szCs w:val="24"/>
        </w:rPr>
        <w:t>que erosiona el poder de negociación de los trabajadores peor pagados-, los cambios en las normas de remuneración (empleo y remuneración más contingente), y el descenso en el valor real del salario mínimo, que según argumenta Freeman (1996), puede constituir una importante herramienta distributiva.</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Una clasificación convencional de los países industrializados, en función de estas dos clases de explicaciones, sitúa a EEUU, y también al Reino Unido de los años ochenta, en el ámbito del mercado laboral, mientras que se considera que los salarios del resto de los países de la OCDE están determinados institucionalmente (Blau y Kahn, 1996). La razón para esta división, se argumenta, es que el mercado laboral de EEUU, y en el Reino Unido después de los años ochenta, está caracterizado por sindicatos más débiles y por modelos de negociación colectiva menos centralizados que en los países no anglosajones de la OCDE. Sin embargo, incluso para los países de la OCDE diferentes de EEUU y del Reino Unido, la hipótesis de la oferta y demanda de cualif</w:t>
      </w:r>
      <w:r w:rsidR="00F63A6C">
        <w:rPr>
          <w:rFonts w:ascii="Times New Roman" w:hAnsi="Times New Roman" w:cs="Times New Roman"/>
          <w:sz w:val="24"/>
          <w:szCs w:val="24"/>
        </w:rPr>
        <w:t>icación ha ido ganando terreno…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Hay que enfrentarse al hecho de que la desigualdad ha crecido en los últimos años, y de forma muy pronu</w:t>
      </w:r>
      <w:r w:rsidR="00F63A6C">
        <w:rPr>
          <w:rFonts w:ascii="Times New Roman" w:hAnsi="Times New Roman" w:cs="Times New Roman"/>
          <w:sz w:val="24"/>
          <w:szCs w:val="24"/>
        </w:rPr>
        <w:t>nciada en los países más ricos…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Los países en desarrollo que se liberalizaron y globalizaron han estado sometidos a mayores oscilaciones de la desigualdad que los países que no lo hicieron…</w:t>
      </w:r>
      <w:r w:rsidR="007E625E">
        <w:rPr>
          <w:rFonts w:ascii="Times New Roman" w:hAnsi="Times New Roman" w:cs="Times New Roman"/>
          <w:sz w:val="24"/>
          <w:szCs w:val="24"/>
        </w:rPr>
        <w:t xml:space="preserve"> </w:t>
      </w:r>
      <w:r w:rsidRPr="006C1B61">
        <w:rPr>
          <w:rFonts w:ascii="Times New Roman" w:hAnsi="Times New Roman" w:cs="Times New Roman"/>
          <w:sz w:val="24"/>
          <w:szCs w:val="24"/>
        </w:rPr>
        <w:t>En la mayoría de los casos, las liberalizaciones más reseñables fueron seguidas por un crecimiento de la desigualdad salarial (India, Argentina, Filipinas). Sólo unos pocos países liberalizadores fueron capaces de compensar el incremento en los diferenciales de los salarios brutos con incrementos mayores de empleo de salarios relativos altos Malasia, Indonesia, Corea).</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Teniendo en cuenta que la desigualdad estaba creciendo en todo el mundo, este resultado no puede sorprendernos: los países liberalizadores se vieron forzados a adaptarse a la pauta global. Esto nos conduce a una profunda reflexión. Parece que la modernización basada en las exportaciones es inherentemente un juego de suma cero para la distribución de la renta en los países en desarrollo. Esto es, la mejora de las distribuciones en el empleo en un país conduce a una destrucción que no es especialmente creativa y a un empeoramiento de la desigualdad en el resto de los países, a través de la redistribución de los puestos de trabajo. En una economía mundial liberalizada y globalizada, sólo una compresión en las estructuras de los ingresos puede </w:t>
      </w:r>
      <w:r w:rsidRPr="006C1B61">
        <w:rPr>
          <w:rFonts w:ascii="Times New Roman" w:hAnsi="Times New Roman" w:cs="Times New Roman"/>
          <w:sz w:val="24"/>
          <w:szCs w:val="24"/>
        </w:rPr>
        <w:lastRenderedPageBreak/>
        <w:t xml:space="preserve">crear un contexto adecuado para que la igualación se imponga en la escena de desarrollo global. Pero esta situación se desconoce en la economía </w:t>
      </w:r>
      <w:r w:rsidR="007E625E">
        <w:rPr>
          <w:rFonts w:ascii="Times New Roman" w:hAnsi="Times New Roman" w:cs="Times New Roman"/>
          <w:sz w:val="24"/>
          <w:szCs w:val="24"/>
        </w:rPr>
        <w:t>mundial desde los años setenta…</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Aunque los países ricos y otros países concretos logran mantener el control de sus estructuras salariales, nuestro análisis muestra que la tendencia que predomina en el mundo actual es hacia el aumento de la desigualdad. Las liberalizaciones han provocado casi siempre un empeoramiento y sólo unos pocos países en desarrollo han escapado a este efecto mediante la mejora de sus estructuras de empleo, lo cual es una proeza que sólo algunos pueden lograr. La experiencia de los años sesenta y principios de los setenta fue bastante diferente; en aquellos años, un buen número de países redujeron la desigualdad y muchos más mantuvieron estab</w:t>
      </w:r>
      <w:r w:rsidR="007E625E">
        <w:rPr>
          <w:rFonts w:ascii="Times New Roman" w:hAnsi="Times New Roman" w:cs="Times New Roman"/>
          <w:sz w:val="24"/>
          <w:szCs w:val="24"/>
        </w:rPr>
        <w:t>les sus estructuras salariales…</w:t>
      </w:r>
    </w:p>
    <w:p w:rsidR="007E625E"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No podemos responder la pregunta habitual de si la igualdad es buena para el crecimiento. Sin embargo, la evidencia nos permite, aunque no firmemente, ofrecer una respuesta a la pregunta contraria. En la mayoría de los países, el crecimiento es bueno para la igualdad; de hecho, el crecimiento rápido parece ser un requisito indispensable para la igualación salarial. Por el contrario, el crecimiento débil en la mayoría de los países en desarrollo en los años ochenta fue un desastre para la igualdad.</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No parece que importe en exceso si el crecimiento se logra mediante la sustitución de las importaciones o mediante el crecimiento rápido de los sectores exportadores de salarios altos. El problema es que el crecimiento rápido de esos exportadores es una solución a la desigualdad sólo al alcance de pocos países. Por tanto, una reducción de la desigualdad a nivel global requerirá una vuelta a la sustitución de importaciones y unas estructuras salariales con base nacional, o bien un ritmo de crecimiento económico mu</w:t>
      </w:r>
      <w:r w:rsidR="007E625E">
        <w:rPr>
          <w:rFonts w:ascii="Times New Roman" w:hAnsi="Times New Roman" w:cs="Times New Roman"/>
          <w:sz w:val="24"/>
          <w:szCs w:val="24"/>
        </w:rPr>
        <w:t>ndial sustancialmente más alto…</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En nuestra opinión, una condición institucional interna crucial para el desarrollo social y económico subyacente a todas las demás características institucionales deseables, tales como la educación y la esperanza de vida y la democracia, es una distribución de la remuneración justa y razonablemente estable…</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La estructura de la remuneración afecta a la capacidad y a la voluntad de ahorrar e invertir. En las sociedades muy desiguales, los pobres no tienen ahorros y la clase media, siempre expuesta a la imagen de los estilos de vida bastante más opulentos que los suyos propios, consume hasta su último dólar. Esto deja únicamente a los ricos con capacidad para ahorrar. Pero los ricos en este tipo de sociedades raramente son ahorradores al viejo estilo victoriano; no son laboriosas abejas que acumulan y acumulan, que no consumen para ellos. Por el contrario, satisfacen sus propias necesidades y rehúsan confiar en los mecanismos de Seguridad Social del Estado. Por tanto, se resisten a pagar impuestos para cubrir objetivos sociales, excepto (como en el caso de las universidades públicas en muchos países de renta media) cuando los beneficios están estrechamente dirigidos a las propias elites. A menudo, los excedentes se trasladan al extranjero para escapar al alcance potencial de la hacienda pública. El resultado suele ser una deficiencia crónica de la inversión pública y de la demanda efectiva, un fuerte alejamiento de la población respecto de la política y una subversión de las formas de democracia</w:t>
      </w:r>
      <w:r w:rsidR="007E625E">
        <w:rPr>
          <w:rFonts w:ascii="Times New Roman" w:hAnsi="Times New Roman" w:cs="Times New Roman"/>
          <w:sz w:val="24"/>
          <w:szCs w:val="24"/>
        </w:rPr>
        <w:t xml:space="preserve"> por los intereses mercantiles.</w:t>
      </w:r>
    </w:p>
    <w:p w:rsidR="006C1B61" w:rsidRP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 xml:space="preserve">Por el contrario, las sociedades igualitarias operan sobre la base de la carga compartida y el beneficio común. Suelen funcionar mediante </w:t>
      </w:r>
      <w:r w:rsidR="007E625E">
        <w:rPr>
          <w:rFonts w:ascii="Times New Roman" w:hAnsi="Times New Roman" w:cs="Times New Roman"/>
          <w:sz w:val="24"/>
          <w:szCs w:val="24"/>
        </w:rPr>
        <w:t>grandes instituciones sociales -</w:t>
      </w:r>
      <w:r w:rsidRPr="006C1B61">
        <w:rPr>
          <w:rFonts w:ascii="Times New Roman" w:hAnsi="Times New Roman" w:cs="Times New Roman"/>
          <w:sz w:val="24"/>
          <w:szCs w:val="24"/>
        </w:rPr>
        <w:t xml:space="preserve">sindicatos y gobiernos- y confían ampliamente en las medidas colectivas de la </w:t>
      </w:r>
      <w:r w:rsidRPr="006C1B61">
        <w:rPr>
          <w:rFonts w:ascii="Times New Roman" w:hAnsi="Times New Roman" w:cs="Times New Roman"/>
          <w:sz w:val="24"/>
          <w:szCs w:val="24"/>
        </w:rPr>
        <w:lastRenderedPageBreak/>
        <w:t>Seguridad Social, la educación pública y los servicios públicos como el transporte y la salud. Dado que las instituciones públicas y los presupuestos suelen ser estables, las economías de los países igualitarios también suelen ser estables. Con menos disparidades internas, estamos menos consumidos por la envidia. Por tanto, los ahorros pueden ser mayores y las cargas de la deuda menores. Y dado que una fracción mayor de la ciudadanía tiene algo de tiempo y energía restante para emplear en fines públicos, las sociedades estables e igualitarias también suelen ser más democrát</w:t>
      </w:r>
      <w:r w:rsidR="007E625E">
        <w:rPr>
          <w:rFonts w:ascii="Times New Roman" w:hAnsi="Times New Roman" w:cs="Times New Roman"/>
          <w:sz w:val="24"/>
          <w:szCs w:val="24"/>
        </w:rPr>
        <w:t>icas…</w:t>
      </w:r>
    </w:p>
    <w:p w:rsidR="006C1B61" w:rsidRDefault="006C1B61" w:rsidP="00550638">
      <w:pPr>
        <w:spacing w:line="240" w:lineRule="auto"/>
        <w:jc w:val="both"/>
        <w:rPr>
          <w:rFonts w:ascii="Times New Roman" w:hAnsi="Times New Roman" w:cs="Times New Roman"/>
          <w:sz w:val="24"/>
          <w:szCs w:val="24"/>
        </w:rPr>
      </w:pPr>
      <w:r w:rsidRPr="006C1B61">
        <w:rPr>
          <w:rFonts w:ascii="Times New Roman" w:hAnsi="Times New Roman" w:cs="Times New Roman"/>
          <w:sz w:val="24"/>
          <w:szCs w:val="24"/>
        </w:rPr>
        <w:t>Ciertamente, existe una economía global. Pero es de un tipo que favorece a los fuertes, los ricos, los estables, los industrialmente diversificados y los democráticos. Los países más pequeños y más pobres “vuelan” con los vientos globales, con los precios de sus mercancías, la demanda de sus exportaciones y el tipo de interés. Y cuanto más pequeñas y menos equilibradas sean sus economías, más lejos estarán de los centros de decisión y más violentamente soplarán aquellos vientos”…</w:t>
      </w:r>
    </w:p>
    <w:p w:rsidR="007E625E" w:rsidRPr="007D747F" w:rsidRDefault="007E625E" w:rsidP="00550638">
      <w:pPr>
        <w:spacing w:line="240" w:lineRule="auto"/>
        <w:jc w:val="both"/>
        <w:rPr>
          <w:rFonts w:ascii="Times New Roman" w:hAnsi="Times New Roman" w:cs="Times New Roman"/>
          <w:sz w:val="24"/>
          <w:szCs w:val="24"/>
          <w:u w:val="single"/>
        </w:rPr>
      </w:pPr>
      <w:r w:rsidRPr="007D747F">
        <w:rPr>
          <w:rFonts w:ascii="Times New Roman" w:hAnsi="Times New Roman" w:cs="Times New Roman"/>
          <w:sz w:val="24"/>
          <w:szCs w:val="24"/>
          <w:u w:val="single"/>
        </w:rPr>
        <w:t>Algunas explicaciones alternativas (a mi cuenta y riesgo)</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Del INGENUE (modelo del FMI</w:t>
      </w:r>
      <w:r>
        <w:rPr>
          <w:rFonts w:ascii="Times New Roman" w:hAnsi="Times New Roman" w:cs="Times New Roman"/>
          <w:sz w:val="24"/>
          <w:szCs w:val="24"/>
        </w:rPr>
        <w:t>) al “iceberg” (modelo de Bush)</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Nunca los “plumíferos” del FMI habían puesto un nombre más elocuente y significativo a uno de sus “modelos” económicos. Y eso que ya habían rondado el surrealismo  en el caso del Multimod, que he denominado Multi-mad (por las que se traía y lo desacertado de sus proyecciones).</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Nunca habían utilizado un sarcasmo semejante (al menos en su fonética española) para calificar a los mayores en su modelo de “exterminio” (</w:t>
      </w:r>
      <w:r w:rsidR="0046330F">
        <w:rPr>
          <w:rFonts w:ascii="Times New Roman" w:hAnsi="Times New Roman" w:cs="Times New Roman"/>
          <w:sz w:val="24"/>
          <w:szCs w:val="24"/>
        </w:rPr>
        <w:t>¿</w:t>
      </w:r>
      <w:r w:rsidRPr="007E625E">
        <w:rPr>
          <w:rFonts w:ascii="Times New Roman" w:hAnsi="Times New Roman" w:cs="Times New Roman"/>
          <w:sz w:val="24"/>
          <w:szCs w:val="24"/>
        </w:rPr>
        <w:t xml:space="preserve">acaso buscando una forma “solución final”, como aquella otra de tan triste recuerdo?). </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INGENUE (ingenuo): (algunos de los sinónimos, al efecto) cándido, inocente, infantil, inofensivo, incauto, infeliz, iluso, crédulo, insensato, inconsciente…</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(algunos de los antónimos, al efecto) astuto, incrédulo, malicioso, desconfiado, experimentado, ingenioso…</w:t>
      </w:r>
    </w:p>
    <w:p w:rsidR="007E625E" w:rsidRPr="007E625E" w:rsidRDefault="0046330F"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7E625E" w:rsidRPr="007E625E">
        <w:rPr>
          <w:rFonts w:ascii="Times New Roman" w:hAnsi="Times New Roman" w:cs="Times New Roman"/>
          <w:sz w:val="24"/>
          <w:szCs w:val="24"/>
        </w:rPr>
        <w:t>Acaso no es “malicioso” decir que  esa gigantesca (</w:t>
      </w:r>
      <w:r w:rsidR="007E625E">
        <w:rPr>
          <w:rFonts w:ascii="Times New Roman" w:hAnsi="Times New Roman" w:cs="Times New Roman"/>
          <w:sz w:val="24"/>
          <w:szCs w:val="24"/>
        </w:rPr>
        <w:t>¿</w:t>
      </w:r>
      <w:r w:rsidR="007E625E" w:rsidRPr="007E625E">
        <w:rPr>
          <w:rFonts w:ascii="Times New Roman" w:hAnsi="Times New Roman" w:cs="Times New Roman"/>
          <w:sz w:val="24"/>
          <w:szCs w:val="24"/>
        </w:rPr>
        <w:t>qué gigantesca?) transferencia de rentas de las clases activas a las clases pasivas reducirá el crecimiento y el nivel de vida de las generaciones futuras, al tiempo que pondrá las bases para un “conflicto intergeneracional de consecuencias imprevisibles” (</w:t>
      </w:r>
      <w:r w:rsidR="007E625E">
        <w:rPr>
          <w:rFonts w:ascii="Times New Roman" w:hAnsi="Times New Roman" w:cs="Times New Roman"/>
          <w:sz w:val="24"/>
          <w:szCs w:val="24"/>
        </w:rPr>
        <w:t>¿</w:t>
      </w:r>
      <w:r w:rsidR="007E625E" w:rsidRPr="007E625E">
        <w:rPr>
          <w:rFonts w:ascii="Times New Roman" w:hAnsi="Times New Roman" w:cs="Times New Roman"/>
          <w:sz w:val="24"/>
          <w:szCs w:val="24"/>
        </w:rPr>
        <w:t xml:space="preserve">qué conflicto intergeneracional? </w:t>
      </w:r>
      <w:r w:rsidR="007E625E">
        <w:rPr>
          <w:rFonts w:ascii="Times New Roman" w:hAnsi="Times New Roman" w:cs="Times New Roman"/>
          <w:sz w:val="24"/>
          <w:szCs w:val="24"/>
        </w:rPr>
        <w:t>¿</w:t>
      </w:r>
      <w:r w:rsidR="007E625E" w:rsidRPr="007E625E">
        <w:rPr>
          <w:rFonts w:ascii="Times New Roman" w:hAnsi="Times New Roman" w:cs="Times New Roman"/>
          <w:sz w:val="24"/>
          <w:szCs w:val="24"/>
        </w:rPr>
        <w:t>qu</w:t>
      </w:r>
      <w:r>
        <w:rPr>
          <w:rFonts w:ascii="Times New Roman" w:hAnsi="Times New Roman" w:cs="Times New Roman"/>
          <w:sz w:val="24"/>
          <w:szCs w:val="24"/>
        </w:rPr>
        <w:t>é consecuencias imprevisibles?)?</w:t>
      </w:r>
    </w:p>
    <w:p w:rsidR="007E625E" w:rsidRPr="007E625E" w:rsidRDefault="007E625E"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625E">
        <w:rPr>
          <w:rFonts w:ascii="Times New Roman" w:hAnsi="Times New Roman" w:cs="Times New Roman"/>
          <w:sz w:val="24"/>
          <w:szCs w:val="24"/>
        </w:rPr>
        <w:t>Acaso no es “astuto” decir que el actual sistema de pensiones “avanza hacia un iceberg”, que la “crisis es ahora”?</w:t>
      </w:r>
    </w:p>
    <w:p w:rsidR="007E625E" w:rsidRPr="007E625E" w:rsidRDefault="007E625E"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E625E">
        <w:rPr>
          <w:rFonts w:ascii="Times New Roman" w:hAnsi="Times New Roman" w:cs="Times New Roman"/>
          <w:sz w:val="24"/>
          <w:szCs w:val="24"/>
        </w:rPr>
        <w:t>Acaso no resulta “siniestro” insinuar siquiera (aunque sólo sea eso) que los dos principales programas del Estado del Bienestar -pensiones y sanidad- son dos “bombas de relojería en el corazón de la economía nacional”?</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Y por si todo esto no resultara suficiente “amenaza” y “manipulación” (al uso), agregan una pregunta (nunca los “cínicos”, habían llegado tan lejos; nunca los “hipócritas”, habían manipulado más la realidad): “la pregunta es qué sucederá cuando las jóvenes generaciones se nieguen a sacrificar su nivel de vida para pagar las pensiones y/o la sanidad de los viejos o se rebelen contra una situación de trabajos forzados en beneficio de los mayores”. Agregando (por si el “miedo”</w:t>
      </w:r>
      <w:r>
        <w:rPr>
          <w:rFonts w:ascii="Times New Roman" w:hAnsi="Times New Roman" w:cs="Times New Roman"/>
          <w:sz w:val="24"/>
          <w:szCs w:val="24"/>
        </w:rPr>
        <w:t xml:space="preserve"> </w:t>
      </w:r>
      <w:r w:rsidRPr="007E625E">
        <w:rPr>
          <w:rFonts w:ascii="Times New Roman" w:hAnsi="Times New Roman" w:cs="Times New Roman"/>
          <w:sz w:val="24"/>
          <w:szCs w:val="24"/>
        </w:rPr>
        <w:t xml:space="preserve">o el “odio” insinuado, no alcanzaran): </w:t>
      </w:r>
      <w:r w:rsidRPr="007E625E">
        <w:rPr>
          <w:rFonts w:ascii="Times New Roman" w:hAnsi="Times New Roman" w:cs="Times New Roman"/>
          <w:sz w:val="24"/>
          <w:szCs w:val="24"/>
        </w:rPr>
        <w:lastRenderedPageBreak/>
        <w:t>“un escenario como este no es improbable, sino muy posible, y constituirá un serio problema social y político en un horizonte no muy leja</w:t>
      </w:r>
      <w:r>
        <w:rPr>
          <w:rFonts w:ascii="Times New Roman" w:hAnsi="Times New Roman" w:cs="Times New Roman"/>
          <w:sz w:val="24"/>
          <w:szCs w:val="24"/>
        </w:rPr>
        <w:t>no”. “Es la guerra civil fría”.</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Lo dicho. La “solución final”. Haga patria, mate a un viejo (la guerra civil fría). Para poder seguir “consumiendo” los jóvenes deben negarse a continuar con el modelo de reparto. Para poder seguir manteniendo el nivel de vida, las generaciones futuras, deben apostar por</w:t>
      </w:r>
      <w:r w:rsidR="00C80F91">
        <w:rPr>
          <w:rFonts w:ascii="Times New Roman" w:hAnsi="Times New Roman" w:cs="Times New Roman"/>
          <w:sz w:val="24"/>
          <w:szCs w:val="24"/>
        </w:rPr>
        <w:t xml:space="preserve"> la “sociedad de propietarios”…</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 xml:space="preserve">“Bombas de </w:t>
      </w:r>
      <w:r w:rsidR="0046330F">
        <w:rPr>
          <w:rFonts w:ascii="Times New Roman" w:hAnsi="Times New Roman" w:cs="Times New Roman"/>
          <w:sz w:val="24"/>
          <w:szCs w:val="24"/>
        </w:rPr>
        <w:t>relojería”… “</w:t>
      </w:r>
      <w:r>
        <w:rPr>
          <w:rFonts w:ascii="Times New Roman" w:hAnsi="Times New Roman" w:cs="Times New Roman"/>
          <w:sz w:val="24"/>
          <w:szCs w:val="24"/>
        </w:rPr>
        <w:t>Guerra civil fría”… “</w:t>
      </w:r>
      <w:r w:rsidRPr="007E625E">
        <w:rPr>
          <w:rFonts w:ascii="Times New Roman" w:hAnsi="Times New Roman" w:cs="Times New Roman"/>
          <w:sz w:val="24"/>
          <w:szCs w:val="24"/>
        </w:rPr>
        <w:t>Rebelión contra una s</w:t>
      </w:r>
      <w:r>
        <w:rPr>
          <w:rFonts w:ascii="Times New Roman" w:hAnsi="Times New Roman" w:cs="Times New Roman"/>
          <w:sz w:val="24"/>
          <w:szCs w:val="24"/>
        </w:rPr>
        <w:t>ituación de trabajos forzados”… “</w:t>
      </w:r>
      <w:r w:rsidRPr="007E625E">
        <w:rPr>
          <w:rFonts w:ascii="Times New Roman" w:hAnsi="Times New Roman" w:cs="Times New Roman"/>
          <w:sz w:val="24"/>
          <w:szCs w:val="24"/>
        </w:rPr>
        <w:t>Negarse a sacrificar su nivel de vida para pagar las pensiones y/o sanidad de los viejos”…</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Por mucho menos que esto, Hitler ha sido calificado como el “monstruo” mayor de la historia…</w:t>
      </w:r>
      <w:r>
        <w:rPr>
          <w:rFonts w:ascii="Times New Roman" w:hAnsi="Times New Roman" w:cs="Times New Roman"/>
          <w:sz w:val="24"/>
          <w:szCs w:val="24"/>
        </w:rPr>
        <w:t xml:space="preserve"> </w:t>
      </w:r>
      <w:r w:rsidRPr="007E625E">
        <w:rPr>
          <w:rFonts w:ascii="Times New Roman" w:hAnsi="Times New Roman" w:cs="Times New Roman"/>
          <w:sz w:val="24"/>
          <w:szCs w:val="24"/>
        </w:rPr>
        <w:t>Todavía se sigue pidiendo “perdón” por la llamada “solución final”…</w:t>
      </w:r>
      <w:r>
        <w:rPr>
          <w:rFonts w:ascii="Times New Roman" w:hAnsi="Times New Roman" w:cs="Times New Roman"/>
          <w:sz w:val="24"/>
          <w:szCs w:val="24"/>
        </w:rPr>
        <w:t xml:space="preserve"> </w:t>
      </w:r>
      <w:r w:rsidRPr="007E625E">
        <w:rPr>
          <w:rFonts w:ascii="Times New Roman" w:hAnsi="Times New Roman" w:cs="Times New Roman"/>
          <w:sz w:val="24"/>
          <w:szCs w:val="24"/>
        </w:rPr>
        <w:t>Todavía se siguen “pagando” las deudas de guerra, caliente o fría, pero siempre guerra…</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Al menos, Hitler no provocó el odio entre generaciones de la misma nación. Al menos, Hitler no convocó al “parricidio” ritual…</w:t>
      </w:r>
      <w:r>
        <w:rPr>
          <w:rFonts w:ascii="Times New Roman" w:hAnsi="Times New Roman" w:cs="Times New Roman"/>
          <w:sz w:val="24"/>
          <w:szCs w:val="24"/>
        </w:rPr>
        <w:t xml:space="preserve"> </w:t>
      </w:r>
      <w:r w:rsidRPr="007E625E">
        <w:rPr>
          <w:rFonts w:ascii="Times New Roman" w:hAnsi="Times New Roman" w:cs="Times New Roman"/>
          <w:sz w:val="24"/>
          <w:szCs w:val="24"/>
        </w:rPr>
        <w:t xml:space="preserve">Ahora se lo “insinúa”, se lo “motiva”, se lo “induce”. Jóvenes contra viejos. Eliminar la jubilación (no </w:t>
      </w:r>
      <w:r w:rsidR="0046330F" w:rsidRPr="007E625E">
        <w:rPr>
          <w:rFonts w:ascii="Times New Roman" w:hAnsi="Times New Roman" w:cs="Times New Roman"/>
          <w:sz w:val="24"/>
          <w:szCs w:val="24"/>
        </w:rPr>
        <w:t>sé</w:t>
      </w:r>
      <w:r w:rsidRPr="007E625E">
        <w:rPr>
          <w:rFonts w:ascii="Times New Roman" w:hAnsi="Times New Roman" w:cs="Times New Roman"/>
          <w:sz w:val="24"/>
          <w:szCs w:val="24"/>
        </w:rPr>
        <w:t xml:space="preserve"> por qué, pienso en la “respiración asistida”). Eliminar la sanidad universal. Luego, eliminar a los pob</w:t>
      </w:r>
      <w:r>
        <w:rPr>
          <w:rFonts w:ascii="Times New Roman" w:hAnsi="Times New Roman" w:cs="Times New Roman"/>
          <w:sz w:val="24"/>
          <w:szCs w:val="24"/>
        </w:rPr>
        <w:t>res…La “solución final”. O sea.</w:t>
      </w:r>
    </w:p>
    <w:p w:rsidR="007E625E" w:rsidRPr="007D747F" w:rsidRDefault="007E625E" w:rsidP="00550638">
      <w:pPr>
        <w:spacing w:line="240" w:lineRule="auto"/>
        <w:jc w:val="both"/>
        <w:rPr>
          <w:rFonts w:ascii="Times New Roman" w:hAnsi="Times New Roman" w:cs="Times New Roman"/>
          <w:sz w:val="24"/>
          <w:szCs w:val="24"/>
          <w:u w:val="single"/>
        </w:rPr>
      </w:pPr>
      <w:r w:rsidRPr="007D747F">
        <w:rPr>
          <w:rFonts w:ascii="Times New Roman" w:hAnsi="Times New Roman" w:cs="Times New Roman"/>
          <w:sz w:val="24"/>
          <w:szCs w:val="24"/>
          <w:u w:val="single"/>
        </w:rPr>
        <w:t xml:space="preserve">Explicaciones alternativas del incremento de la desigualdad (a mi cuenta y riesgo, aunque no estoy solo) </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 xml:space="preserve">(La desigualdad no está -justamente- en el </w:t>
      </w:r>
      <w:r w:rsidR="00ED3C1B">
        <w:rPr>
          <w:rFonts w:ascii="Times New Roman" w:hAnsi="Times New Roman" w:cs="Times New Roman"/>
          <w:sz w:val="24"/>
          <w:szCs w:val="24"/>
        </w:rPr>
        <w:t>gasto del Estado del Bienestar</w:t>
      </w:r>
      <w:r w:rsidR="0046330F">
        <w:rPr>
          <w:rFonts w:ascii="Times New Roman" w:hAnsi="Times New Roman" w:cs="Times New Roman"/>
          <w:sz w:val="24"/>
          <w:szCs w:val="24"/>
        </w:rPr>
        <w:t>)</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b/>
          <w:sz w:val="24"/>
          <w:szCs w:val="24"/>
        </w:rPr>
        <w:t xml:space="preserve">- </w:t>
      </w:r>
      <w:r w:rsidRPr="007E625E">
        <w:rPr>
          <w:rFonts w:ascii="Times New Roman" w:hAnsi="Times New Roman" w:cs="Times New Roman"/>
          <w:sz w:val="24"/>
          <w:szCs w:val="24"/>
        </w:rPr>
        <w:t>Factor tecnológico: El cambio tecnológico basado en la cualificación, y especialmente el empleo de ordenadores, incrementa la prima de los trabajadores</w:t>
      </w:r>
      <w:r w:rsidR="00ED3C1B">
        <w:rPr>
          <w:rFonts w:ascii="Times New Roman" w:hAnsi="Times New Roman" w:cs="Times New Roman"/>
          <w:sz w:val="24"/>
          <w:szCs w:val="24"/>
        </w:rPr>
        <w:t xml:space="preserve"> más cualificados/más formados.</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b/>
          <w:sz w:val="24"/>
          <w:szCs w:val="24"/>
        </w:rPr>
        <w:t xml:space="preserve">- </w:t>
      </w:r>
      <w:r w:rsidRPr="007E625E">
        <w:rPr>
          <w:rFonts w:ascii="Times New Roman" w:hAnsi="Times New Roman" w:cs="Times New Roman"/>
          <w:sz w:val="24"/>
          <w:szCs w:val="24"/>
        </w:rPr>
        <w:t>Factor globalización: Los cambios en la demanda de productos, junto con el comercio o la desindustrialización, conllevan cambios en el empleo hacia los sector</w:t>
      </w:r>
      <w:r w:rsidR="00ED3C1B">
        <w:rPr>
          <w:rFonts w:ascii="Times New Roman" w:hAnsi="Times New Roman" w:cs="Times New Roman"/>
          <w:sz w:val="24"/>
          <w:szCs w:val="24"/>
        </w:rPr>
        <w:t>es intensivos en cualificación.</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b/>
          <w:sz w:val="24"/>
          <w:szCs w:val="24"/>
        </w:rPr>
        <w:t xml:space="preserve">- </w:t>
      </w:r>
      <w:r w:rsidRPr="007E625E">
        <w:rPr>
          <w:rFonts w:ascii="Times New Roman" w:hAnsi="Times New Roman" w:cs="Times New Roman"/>
          <w:sz w:val="24"/>
          <w:szCs w:val="24"/>
        </w:rPr>
        <w:t>Factor inmigración: Incremento en la oferta de t</w:t>
      </w:r>
      <w:r w:rsidR="00ED3C1B">
        <w:rPr>
          <w:rFonts w:ascii="Times New Roman" w:hAnsi="Times New Roman" w:cs="Times New Roman"/>
          <w:sz w:val="24"/>
          <w:szCs w:val="24"/>
        </w:rPr>
        <w:t>rabajadores menos cualificados.</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Estos factores provocan incrementos en la demanda relativa de trabajadores más cualificados/educados en relación a los trabajadores menos cualificados/formados. Modificación de la ofert</w:t>
      </w:r>
      <w:r w:rsidR="00ED3C1B">
        <w:rPr>
          <w:rFonts w:ascii="Times New Roman" w:hAnsi="Times New Roman" w:cs="Times New Roman"/>
          <w:sz w:val="24"/>
          <w:szCs w:val="24"/>
        </w:rPr>
        <w:t>a y demanda de cualificaciones.</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b/>
          <w:sz w:val="24"/>
          <w:szCs w:val="24"/>
        </w:rPr>
        <w:t xml:space="preserve">- </w:t>
      </w:r>
      <w:r w:rsidRPr="007E625E">
        <w:rPr>
          <w:rFonts w:ascii="Times New Roman" w:hAnsi="Times New Roman" w:cs="Times New Roman"/>
          <w:sz w:val="24"/>
          <w:szCs w:val="24"/>
        </w:rPr>
        <w:t>Descenso</w:t>
      </w:r>
      <w:r w:rsidR="00ED3C1B">
        <w:rPr>
          <w:rFonts w:ascii="Times New Roman" w:hAnsi="Times New Roman" w:cs="Times New Roman"/>
          <w:sz w:val="24"/>
          <w:szCs w:val="24"/>
        </w:rPr>
        <w:t xml:space="preserve"> en la fuerza de los sindicatos</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b/>
          <w:sz w:val="24"/>
          <w:szCs w:val="24"/>
        </w:rPr>
        <w:t xml:space="preserve">- </w:t>
      </w:r>
      <w:r w:rsidRPr="007E625E">
        <w:rPr>
          <w:rFonts w:ascii="Times New Roman" w:hAnsi="Times New Roman" w:cs="Times New Roman"/>
          <w:sz w:val="24"/>
          <w:szCs w:val="24"/>
        </w:rPr>
        <w:t>Erosión de</w:t>
      </w:r>
      <w:r w:rsidR="00ED3C1B">
        <w:rPr>
          <w:rFonts w:ascii="Times New Roman" w:hAnsi="Times New Roman" w:cs="Times New Roman"/>
          <w:sz w:val="24"/>
          <w:szCs w:val="24"/>
        </w:rPr>
        <w:t>l valor real del salario mínimo</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b/>
          <w:sz w:val="24"/>
          <w:szCs w:val="24"/>
        </w:rPr>
        <w:t xml:space="preserve">- </w:t>
      </w:r>
      <w:r w:rsidRPr="007E625E">
        <w:rPr>
          <w:rFonts w:ascii="Times New Roman" w:hAnsi="Times New Roman" w:cs="Times New Roman"/>
          <w:sz w:val="24"/>
          <w:szCs w:val="24"/>
        </w:rPr>
        <w:t>Cambios en las normas de rem</w:t>
      </w:r>
      <w:r w:rsidR="00ED3C1B">
        <w:rPr>
          <w:rFonts w:ascii="Times New Roman" w:hAnsi="Times New Roman" w:cs="Times New Roman"/>
          <w:sz w:val="24"/>
          <w:szCs w:val="24"/>
        </w:rPr>
        <w:t>uneración</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Los cambios en las instituciones que determinan los salarios han colocado en una débil posición negociadora a los trabajadores peor situados e</w:t>
      </w:r>
      <w:r w:rsidR="00ED3C1B">
        <w:rPr>
          <w:rFonts w:ascii="Times New Roman" w:hAnsi="Times New Roman" w:cs="Times New Roman"/>
          <w:sz w:val="24"/>
          <w:szCs w:val="24"/>
        </w:rPr>
        <w:t xml:space="preserve">n la distribución de la renta. </w:t>
      </w:r>
    </w:p>
    <w:p w:rsidR="00ED3C1B"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Conclusión: Los cambios en la oferta y demanda de cualificaciones y en las Instituciones que determinan los salarios han “incrementado la desigualdad”.</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lastRenderedPageBreak/>
        <w:t>Los mecanismos del mercado de trabajo son los dominantes en la determinación de la dinámica de la desigu</w:t>
      </w:r>
      <w:r w:rsidR="00ED3C1B">
        <w:rPr>
          <w:rFonts w:ascii="Times New Roman" w:hAnsi="Times New Roman" w:cs="Times New Roman"/>
          <w:sz w:val="24"/>
          <w:szCs w:val="24"/>
        </w:rPr>
        <w:t>aldad en el mercado de trabajo.</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Para comprobar  esta hipótesis puede recurrirse a los cambios en los coeficientes de Gini pa</w:t>
      </w:r>
      <w:r w:rsidR="00ED3C1B">
        <w:rPr>
          <w:rFonts w:ascii="Times New Roman" w:hAnsi="Times New Roman" w:cs="Times New Roman"/>
          <w:sz w:val="24"/>
          <w:szCs w:val="24"/>
        </w:rPr>
        <w:t>ra los países de la OCDE, 1970 -</w:t>
      </w:r>
      <w:r w:rsidRPr="007E625E">
        <w:rPr>
          <w:rFonts w:ascii="Times New Roman" w:hAnsi="Times New Roman" w:cs="Times New Roman"/>
          <w:sz w:val="24"/>
          <w:szCs w:val="24"/>
        </w:rPr>
        <w:t xml:space="preserve"> 1990 (según las medidas de Deininger y Squire), del Cuadro 7.3, del libro de James K. Galbraith y Maureen Berner (“</w:t>
      </w:r>
      <w:r w:rsidRPr="00303178">
        <w:rPr>
          <w:rFonts w:ascii="Times New Roman" w:hAnsi="Times New Roman" w:cs="Times New Roman"/>
          <w:i/>
          <w:sz w:val="24"/>
          <w:szCs w:val="24"/>
        </w:rPr>
        <w:t>Desigualdad y cambio industrial</w:t>
      </w:r>
      <w:r w:rsidRPr="007E625E">
        <w:rPr>
          <w:rFonts w:ascii="Times New Roman" w:hAnsi="Times New Roman" w:cs="Times New Roman"/>
          <w:sz w:val="24"/>
          <w:szCs w:val="24"/>
        </w:rPr>
        <w:t>”), antes citado.</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 xml:space="preserve">Surgen algunas pautas bastante plausibles. En primer lugar, los países que exhiben los niveles más altos </w:t>
      </w:r>
      <w:r w:rsidR="00ED3C1B">
        <w:rPr>
          <w:rFonts w:ascii="Times New Roman" w:hAnsi="Times New Roman" w:cs="Times New Roman"/>
          <w:sz w:val="24"/>
          <w:szCs w:val="24"/>
        </w:rPr>
        <w:t>de desigualdad en el primer perí</w:t>
      </w:r>
      <w:r w:rsidRPr="007E625E">
        <w:rPr>
          <w:rFonts w:ascii="Times New Roman" w:hAnsi="Times New Roman" w:cs="Times New Roman"/>
          <w:sz w:val="24"/>
          <w:szCs w:val="24"/>
        </w:rPr>
        <w:t>odo (Francia, Portugal, Italia y España) se han convertido en países más igualitarios a lo largo del tiempo, con descensos relativos en la desigualdad que van desde el 10 por 100 en Portugal hasta más del 30 por 100 en España. Italia, Reino Unido, Países Bajos y Japón tienen en común una evolución de la desigualdad en forma de “U”, con diferencias en el punto de inflexión (de desigualdad  decreciente a desigualdad creciente) de un país a otro. Japón y Reino Unido fueron los primeros</w:t>
      </w:r>
      <w:r w:rsidR="00ED3C1B">
        <w:rPr>
          <w:rFonts w:ascii="Times New Roman" w:hAnsi="Times New Roman" w:cs="Times New Roman"/>
          <w:sz w:val="24"/>
          <w:szCs w:val="24"/>
        </w:rPr>
        <w:t xml:space="preserve"> en cambiar en el período 1975 -</w:t>
      </w:r>
      <w:r w:rsidRPr="007E625E">
        <w:rPr>
          <w:rFonts w:ascii="Times New Roman" w:hAnsi="Times New Roman" w:cs="Times New Roman"/>
          <w:sz w:val="24"/>
          <w:szCs w:val="24"/>
        </w:rPr>
        <w:t xml:space="preserve"> 1980, seguidos de Italia y Países Bajos en el siguiente período. De los primeros, el Reino Unido exhibió la aceleración más fuerte en el incremento en la desigualdad una vez que tuvo lugar el cambio. Con la excepción de Nueva Zelanda, Reino Unido era el país en el que la desigualdad creció más, en casi cinco puntos de Gini.</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Nueva Zelanda, Australia y EEUU presentan pautas consistentes en aumento en la desigualdad. El incremento de la desigualdad estadounidense comenzó en los años setenta y fue el primero en desarrollarse. Checoslovaquia y México mostraron una pauta oscilante en el tiempo, pero el contexto institucional de estos países era muy diferente del que existía en el resto. En Canadá y Bélgica, la tendencia fue hacia un descenso en la desigualdad, con un ligero incremento ent</w:t>
      </w:r>
      <w:r w:rsidR="00ED3C1B">
        <w:rPr>
          <w:rFonts w:ascii="Times New Roman" w:hAnsi="Times New Roman" w:cs="Times New Roman"/>
          <w:sz w:val="24"/>
          <w:szCs w:val="24"/>
        </w:rPr>
        <w:t>re los períodos para cada país.</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Desafortunadamente, no se pueden extraer conclusiones definitivas; en todo caso, estos datos simplemente diferencian las economías anglosajonas, en las que la desigualdad creció mucho más pronunciadamente</w:t>
      </w:r>
      <w:r w:rsidR="00ED3C1B">
        <w:rPr>
          <w:rFonts w:ascii="Times New Roman" w:hAnsi="Times New Roman" w:cs="Times New Roman"/>
          <w:sz w:val="24"/>
          <w:szCs w:val="24"/>
        </w:rPr>
        <w:t xml:space="preserve"> que en el resto de los países.</w:t>
      </w:r>
    </w:p>
    <w:p w:rsidR="007E625E" w:rsidRPr="007E625E" w:rsidRDefault="007E625E" w:rsidP="00550638">
      <w:pPr>
        <w:spacing w:line="240" w:lineRule="auto"/>
        <w:jc w:val="both"/>
        <w:rPr>
          <w:rFonts w:ascii="Times New Roman" w:hAnsi="Times New Roman" w:cs="Times New Roman"/>
          <w:sz w:val="24"/>
          <w:szCs w:val="24"/>
        </w:rPr>
      </w:pPr>
      <w:r w:rsidRPr="007E625E">
        <w:rPr>
          <w:rFonts w:ascii="Times New Roman" w:hAnsi="Times New Roman" w:cs="Times New Roman"/>
          <w:sz w:val="24"/>
          <w:szCs w:val="24"/>
        </w:rPr>
        <w:t xml:space="preserve">Para aquellos lectores interesados en observar la “evolución” de los datos estadísticos reproduzco (parcialmente) el Cuadro 7.1 del libro citado: Coeficientes de Gini para 23 países de la OCDE, 1969 - 1992 </w:t>
      </w:r>
    </w:p>
    <w:p w:rsidR="007E625E" w:rsidRPr="00ED3C1B" w:rsidRDefault="007E625E" w:rsidP="00550638">
      <w:pPr>
        <w:spacing w:line="240" w:lineRule="auto"/>
        <w:jc w:val="both"/>
        <w:rPr>
          <w:rFonts w:ascii="Times New Roman" w:hAnsi="Times New Roman" w:cs="Times New Roman"/>
          <w:sz w:val="24"/>
          <w:szCs w:val="24"/>
        </w:rPr>
      </w:pPr>
      <w:r>
        <w:t>Países</w:t>
      </w:r>
      <w:r>
        <w:tab/>
      </w:r>
      <w:r>
        <w:tab/>
        <w:t>1970</w:t>
      </w:r>
      <w:r>
        <w:tab/>
      </w:r>
      <w:r>
        <w:tab/>
        <w:t>1980</w:t>
      </w:r>
      <w:r>
        <w:tab/>
      </w:r>
      <w:r>
        <w:tab/>
        <w:t>1990</w:t>
      </w:r>
      <w:r>
        <w:tab/>
      </w:r>
      <w:r>
        <w:tab/>
        <w:t>1992</w:t>
      </w:r>
    </w:p>
    <w:p w:rsidR="007E625E" w:rsidRDefault="007E625E" w:rsidP="00550638">
      <w:pPr>
        <w:spacing w:line="240" w:lineRule="auto"/>
        <w:jc w:val="both"/>
      </w:pPr>
      <w:r>
        <w:t xml:space="preserve">Japón                35,50                 33,40                 35,00                  </w:t>
      </w:r>
      <w:r w:rsidR="00094160">
        <w:t xml:space="preserve">  </w:t>
      </w:r>
      <w:r>
        <w:t>-----</w:t>
      </w:r>
    </w:p>
    <w:p w:rsidR="007E625E" w:rsidRDefault="007E625E" w:rsidP="00550638">
      <w:pPr>
        <w:spacing w:line="240" w:lineRule="auto"/>
        <w:jc w:val="both"/>
      </w:pPr>
      <w:r>
        <w:t xml:space="preserve">España             37,11 (1)            26,79                 25,91 (2)            </w:t>
      </w:r>
      <w:r w:rsidR="00094160">
        <w:t xml:space="preserve"> </w:t>
      </w:r>
      <w:r>
        <w:t xml:space="preserve"> -----</w:t>
      </w:r>
    </w:p>
    <w:p w:rsidR="007E625E" w:rsidRDefault="007E625E" w:rsidP="00550638">
      <w:pPr>
        <w:spacing w:line="240" w:lineRule="auto"/>
        <w:jc w:val="both"/>
      </w:pPr>
      <w:r>
        <w:t xml:space="preserve">Corea               33,30                  38,63                 33,64 (3)            </w:t>
      </w:r>
      <w:r w:rsidR="00094160">
        <w:t xml:space="preserve"> </w:t>
      </w:r>
      <w:r>
        <w:t xml:space="preserve"> -----</w:t>
      </w:r>
    </w:p>
    <w:p w:rsidR="007E625E" w:rsidRDefault="007E625E" w:rsidP="00550638">
      <w:pPr>
        <w:spacing w:line="240" w:lineRule="auto"/>
        <w:jc w:val="both"/>
      </w:pPr>
      <w:r>
        <w:t>Italia                 41,00 (4)             34,29                 32,74 (5)            32,19 (6)</w:t>
      </w:r>
    </w:p>
    <w:p w:rsidR="007E625E" w:rsidRDefault="007E625E" w:rsidP="00550638">
      <w:pPr>
        <w:spacing w:line="240" w:lineRule="auto"/>
        <w:jc w:val="both"/>
      </w:pPr>
      <w:r>
        <w:t>Alemania          30,62 (7)             30,59 (8)           32,20 (9)             -----</w:t>
      </w:r>
    </w:p>
    <w:p w:rsidR="007E625E" w:rsidRDefault="007E625E" w:rsidP="00550638">
      <w:pPr>
        <w:spacing w:line="240" w:lineRule="auto"/>
        <w:jc w:val="both"/>
      </w:pPr>
      <w:r>
        <w:t>Francia             44,00                  34,85 (10)          34,91 (11)           -----</w:t>
      </w:r>
    </w:p>
    <w:p w:rsidR="007E625E" w:rsidRDefault="007E625E" w:rsidP="00550638">
      <w:pPr>
        <w:spacing w:line="240" w:lineRule="auto"/>
        <w:jc w:val="both"/>
      </w:pPr>
      <w:r>
        <w:t>Reino Unido     25,10                  24,90                 37,80                  32,40 (12)</w:t>
      </w:r>
    </w:p>
    <w:p w:rsidR="007E625E" w:rsidRDefault="007E625E" w:rsidP="00550638">
      <w:pPr>
        <w:spacing w:line="240" w:lineRule="auto"/>
        <w:jc w:val="both"/>
      </w:pPr>
      <w:r>
        <w:t xml:space="preserve">EEUU               34,06                  </w:t>
      </w:r>
      <w:r w:rsidR="00094160">
        <w:t xml:space="preserve"> </w:t>
      </w:r>
      <w:r>
        <w:t>35,20                 37</w:t>
      </w:r>
      <w:r w:rsidR="00ED3C1B">
        <w:t>,80                  37,94 (12)</w:t>
      </w:r>
    </w:p>
    <w:p w:rsidR="007E625E" w:rsidRDefault="007E625E" w:rsidP="00550638">
      <w:pPr>
        <w:numPr>
          <w:ilvl w:val="0"/>
          <w:numId w:val="36"/>
        </w:numPr>
        <w:spacing w:after="0" w:line="240" w:lineRule="auto"/>
        <w:jc w:val="both"/>
      </w:pPr>
      <w:r>
        <w:t>primer año registrado 1973</w:t>
      </w:r>
    </w:p>
    <w:p w:rsidR="007E625E" w:rsidRDefault="007E625E" w:rsidP="00550638">
      <w:pPr>
        <w:numPr>
          <w:ilvl w:val="0"/>
          <w:numId w:val="36"/>
        </w:numPr>
        <w:spacing w:after="0" w:line="240" w:lineRule="auto"/>
        <w:jc w:val="both"/>
      </w:pPr>
      <w:r>
        <w:lastRenderedPageBreak/>
        <w:t>último dato registrado 1989</w:t>
      </w:r>
    </w:p>
    <w:p w:rsidR="007E625E" w:rsidRDefault="007E625E" w:rsidP="00550638">
      <w:pPr>
        <w:numPr>
          <w:ilvl w:val="0"/>
          <w:numId w:val="36"/>
        </w:numPr>
        <w:spacing w:after="0" w:line="240" w:lineRule="auto"/>
        <w:jc w:val="both"/>
      </w:pPr>
      <w:r>
        <w:t>último dato registrado 1988</w:t>
      </w:r>
    </w:p>
    <w:p w:rsidR="007E625E" w:rsidRDefault="007E625E" w:rsidP="00550638">
      <w:pPr>
        <w:numPr>
          <w:ilvl w:val="0"/>
          <w:numId w:val="36"/>
        </w:numPr>
        <w:spacing w:after="0" w:line="240" w:lineRule="auto"/>
        <w:jc w:val="both"/>
      </w:pPr>
      <w:r>
        <w:t>primer dato registrado 1974</w:t>
      </w:r>
    </w:p>
    <w:p w:rsidR="007E625E" w:rsidRDefault="007E625E" w:rsidP="00550638">
      <w:pPr>
        <w:numPr>
          <w:ilvl w:val="0"/>
          <w:numId w:val="36"/>
        </w:numPr>
        <w:spacing w:after="0" w:line="240" w:lineRule="auto"/>
        <w:jc w:val="both"/>
      </w:pPr>
      <w:r>
        <w:t>dato correspondiente al año 1989</w:t>
      </w:r>
    </w:p>
    <w:p w:rsidR="007E625E" w:rsidRDefault="007E625E" w:rsidP="00550638">
      <w:pPr>
        <w:numPr>
          <w:ilvl w:val="0"/>
          <w:numId w:val="36"/>
        </w:numPr>
        <w:spacing w:after="0" w:line="240" w:lineRule="auto"/>
        <w:jc w:val="both"/>
      </w:pPr>
      <w:r>
        <w:t>último dato registrado 1991</w:t>
      </w:r>
    </w:p>
    <w:p w:rsidR="007E625E" w:rsidRDefault="007E625E" w:rsidP="00550638">
      <w:pPr>
        <w:numPr>
          <w:ilvl w:val="0"/>
          <w:numId w:val="36"/>
        </w:numPr>
        <w:spacing w:after="0" w:line="240" w:lineRule="auto"/>
        <w:jc w:val="both"/>
      </w:pPr>
      <w:r>
        <w:t>primer dato registrado 1973</w:t>
      </w:r>
    </w:p>
    <w:p w:rsidR="007E625E" w:rsidRDefault="007E625E" w:rsidP="00550638">
      <w:pPr>
        <w:numPr>
          <w:ilvl w:val="0"/>
          <w:numId w:val="36"/>
        </w:numPr>
        <w:spacing w:after="0" w:line="240" w:lineRule="auto"/>
        <w:jc w:val="both"/>
      </w:pPr>
      <w:r>
        <w:t>dato correspondiente al año 1981</w:t>
      </w:r>
    </w:p>
    <w:p w:rsidR="007E625E" w:rsidRDefault="007E625E" w:rsidP="00550638">
      <w:pPr>
        <w:numPr>
          <w:ilvl w:val="0"/>
          <w:numId w:val="36"/>
        </w:numPr>
        <w:spacing w:after="0" w:line="240" w:lineRule="auto"/>
        <w:jc w:val="both"/>
      </w:pPr>
      <w:r>
        <w:t>último dato registrado 1984</w:t>
      </w:r>
    </w:p>
    <w:p w:rsidR="007E625E" w:rsidRDefault="007E625E" w:rsidP="00550638">
      <w:pPr>
        <w:numPr>
          <w:ilvl w:val="0"/>
          <w:numId w:val="36"/>
        </w:numPr>
        <w:spacing w:after="0" w:line="240" w:lineRule="auto"/>
        <w:jc w:val="both"/>
      </w:pPr>
      <w:r>
        <w:t>dato correspondiente al año1979</w:t>
      </w:r>
    </w:p>
    <w:p w:rsidR="007E625E" w:rsidRDefault="007E625E" w:rsidP="00550638">
      <w:pPr>
        <w:numPr>
          <w:ilvl w:val="0"/>
          <w:numId w:val="36"/>
        </w:numPr>
        <w:spacing w:after="0" w:line="240" w:lineRule="auto"/>
        <w:jc w:val="both"/>
      </w:pPr>
      <w:r>
        <w:t>último dato registrado 1984</w:t>
      </w:r>
    </w:p>
    <w:p w:rsidR="007E625E" w:rsidRDefault="007E625E" w:rsidP="00550638">
      <w:pPr>
        <w:numPr>
          <w:ilvl w:val="0"/>
          <w:numId w:val="36"/>
        </w:numPr>
        <w:spacing w:after="0" w:line="240" w:lineRule="auto"/>
        <w:jc w:val="both"/>
      </w:pPr>
      <w:r>
        <w:t>último dato registrado 1991</w:t>
      </w:r>
    </w:p>
    <w:p w:rsidR="00ED3C1B" w:rsidRDefault="00ED3C1B" w:rsidP="00550638">
      <w:pPr>
        <w:spacing w:line="240" w:lineRule="auto"/>
        <w:jc w:val="both"/>
      </w:pP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A falta de actualización de los datos, tal vez sea suficiente con la información periodística, para constatar los alcances del “cielo protector”. Hasta donde llega la “privatización”, el “conservadurismo compasivo”, o como dice Bush, la “sociedad de propietarios”. Ust</w:t>
      </w:r>
      <w:r w:rsidR="00ED3C1B">
        <w:rPr>
          <w:rFonts w:ascii="Times New Roman" w:hAnsi="Times New Roman" w:cs="Times New Roman"/>
          <w:sz w:val="24"/>
          <w:szCs w:val="24"/>
        </w:rPr>
        <w:t>edes juzgarán.</w:t>
      </w:r>
    </w:p>
    <w:p w:rsidR="007E625E" w:rsidRPr="00ED3C1B" w:rsidRDefault="00ED3C1B"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(BBCMundo.com -</w:t>
      </w:r>
      <w:r w:rsidR="007E625E" w:rsidRPr="00ED3C1B">
        <w:rPr>
          <w:rFonts w:ascii="Times New Roman" w:hAnsi="Times New Roman" w:cs="Times New Roman"/>
          <w:sz w:val="24"/>
          <w:szCs w:val="24"/>
        </w:rPr>
        <w:t xml:space="preserve"> 12/01/05): “Mendigos en tierra de abundancia”</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“Muchos ven a EEUU como la sociedad más rica del mundo, una tierra próspera, llena de oportunidades.</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Pero, a las sombras del “sueño americano” también se registra un importante y creciente problema: la indigencia.</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Se estima que alrededor del 1% de la población se queda sin hogar en algún momento a lo largo de un año cualquiera.</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Las organizaciones de caridad critican al gobierno, tanto federal como de los diferentes estados, por no hacer lo suficiente para ayudar a los desamparados, y agregan que la legislación actual hace las cosas aún peor.</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Paradójicamente, la ciudad con uno de los peores registros de indigencia es la misma capital estadounidense, Washington DC.</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A las seis de la mañana, el centro del distrito federal está oscuro y en las calles hace mucho frío. Unos 200 indigentes convergen ante el portal de una iglesia, cálido y bien iluminado, para recibir un desayuno caliente consistente en avena y “bagels” o rosquillas, con huevos revueltos y café humeante. Es la Cocina de Miriam (Miriam’s Kitchen), una organización de caridad que ha servido desayunos gratuitos cada día, durante los últimos 21 años.</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De acuerdo con su director, Scout Schingleberg, hay una serie de factores que contribuyen al problema de la indigencia en Washington DC.</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“El alto costo de los alquileres, la falta de servicios sociales y el elevado índice de pobreza, se combinan de forma dramática para que Washington tenga uno de los mayores índices de indigencia per cápita del país”, señaló Schingleberg.</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Durante los últimos años, el número de personas sin hogar que atiende la Cocina de Miriam aumentó un 30%...La mayor parte de los nuevos indigentes ha quedado sin hogar como consecuencia de la crisis económica: algunos perdieron su trabajo; otros fueron desalojados de sus viviendas por no poder pagar rentas cada vez más altas…</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lastRenderedPageBreak/>
        <w:t>EEUU es criticado por criminalizar la indigencia. Dormir en la calle es un delito en muchos estados. Los mendigos son perseguidos por la policía; a veces, incluso, son encarcelados…</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 xml:space="preserve">Problemas prácticos nunca faltan. Pero cuando les pregunto a los sin techo de Washington qué es lo que encuentran más difícil, la mayoría habla del estigma social, la indiferencia y el rechazo público. </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“La mayor parte de la gente está tan inmersa en su vida cotidiana, que si te miran y se percatan de que eres indigente, te conviertes en una especie de ser invisible”…”No es que sean malos, sino que así son las cosas. Te miran y quizás no te ven, pero en realidad no te ven”…</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“Este problema seguirá creciendo hasta que la sociedad toda se dé cuenta de que hay un problema de fondo”, dice Scout Schingleberg, di</w:t>
      </w:r>
      <w:r w:rsidR="00ED3C1B">
        <w:rPr>
          <w:rFonts w:ascii="Times New Roman" w:hAnsi="Times New Roman" w:cs="Times New Roman"/>
          <w:sz w:val="24"/>
          <w:szCs w:val="24"/>
        </w:rPr>
        <w:t>rector de la Cocina de Miriam”…</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Otra forma de “abrir el melón” del Estado del Bienestar, puede ser observar la “evolución” del esfuerzo protector en Europ</w:t>
      </w:r>
      <w:r w:rsidR="00ED3C1B">
        <w:rPr>
          <w:rFonts w:ascii="Times New Roman" w:hAnsi="Times New Roman" w:cs="Times New Roman"/>
          <w:sz w:val="24"/>
          <w:szCs w:val="24"/>
        </w:rPr>
        <w:t>a (lo que se quiere desmontar).</w:t>
      </w:r>
    </w:p>
    <w:p w:rsidR="007E625E" w:rsidRDefault="007E625E" w:rsidP="00550638">
      <w:pPr>
        <w:spacing w:line="240" w:lineRule="auto"/>
        <w:jc w:val="both"/>
      </w:pPr>
      <w:r>
        <w:t>Protección social (% del PIB)</w:t>
      </w:r>
      <w:r>
        <w:tab/>
      </w:r>
      <w:r>
        <w:tab/>
      </w:r>
      <w:r>
        <w:tab/>
        <w:t>Gasto sanitario (% del PIB)</w:t>
      </w:r>
    </w:p>
    <w:p w:rsidR="007E625E" w:rsidRDefault="007E625E" w:rsidP="00550638">
      <w:pPr>
        <w:spacing w:line="240" w:lineRule="auto"/>
        <w:jc w:val="both"/>
      </w:pPr>
    </w:p>
    <w:p w:rsidR="007E625E" w:rsidRDefault="007E625E" w:rsidP="00550638">
      <w:pPr>
        <w:spacing w:line="240" w:lineRule="auto"/>
        <w:jc w:val="both"/>
      </w:pPr>
      <w:r>
        <w:t>Países</w:t>
      </w:r>
      <w:r>
        <w:tab/>
      </w:r>
      <w:r>
        <w:tab/>
        <w:t>1992</w:t>
      </w:r>
      <w:r>
        <w:tab/>
      </w:r>
      <w:r>
        <w:tab/>
        <w:t>2001</w:t>
      </w:r>
      <w:r>
        <w:tab/>
      </w:r>
      <w:r>
        <w:tab/>
        <w:t>Países</w:t>
      </w:r>
      <w:r>
        <w:tab/>
      </w:r>
      <w:r>
        <w:tab/>
        <w:t>1997</w:t>
      </w:r>
      <w:r>
        <w:tab/>
      </w:r>
      <w:r>
        <w:tab/>
        <w:t>2001</w:t>
      </w:r>
    </w:p>
    <w:p w:rsidR="007E625E" w:rsidRDefault="007E625E" w:rsidP="00550638">
      <w:pPr>
        <w:spacing w:line="240" w:lineRule="auto"/>
        <w:jc w:val="both"/>
      </w:pPr>
      <w:r>
        <w:t>Suecia</w:t>
      </w:r>
      <w:r>
        <w:tab/>
      </w:r>
      <w:r>
        <w:tab/>
        <w:t xml:space="preserve"> 37,1</w:t>
      </w:r>
      <w:r>
        <w:tab/>
      </w:r>
      <w:r>
        <w:tab/>
        <w:t xml:space="preserve"> 31,3  </w:t>
      </w:r>
      <w:r w:rsidR="00ED3C1B">
        <w:t xml:space="preserve">               Alemania</w:t>
      </w:r>
      <w:r w:rsidR="00ED3C1B">
        <w:tab/>
        <w:t xml:space="preserve"> 10,7</w:t>
      </w:r>
      <w:r w:rsidR="00ED3C1B">
        <w:tab/>
        <w:t xml:space="preserve">            </w:t>
      </w:r>
      <w:r>
        <w:t>10,8</w:t>
      </w:r>
    </w:p>
    <w:p w:rsidR="007E625E" w:rsidRDefault="007E625E" w:rsidP="00550638">
      <w:pPr>
        <w:spacing w:line="240" w:lineRule="auto"/>
        <w:jc w:val="both"/>
      </w:pPr>
      <w:r>
        <w:t>Francia</w:t>
      </w:r>
      <w:r>
        <w:tab/>
      </w:r>
      <w:r>
        <w:tab/>
        <w:t xml:space="preserve"> 29,3</w:t>
      </w:r>
      <w:r>
        <w:tab/>
      </w:r>
      <w:r>
        <w:tab/>
        <w:t xml:space="preserve"> 30,0                 Francia</w:t>
      </w:r>
      <w:r>
        <w:tab/>
      </w:r>
      <w:r>
        <w:tab/>
        <w:t xml:space="preserve">   9,4                    9,6</w:t>
      </w:r>
    </w:p>
    <w:p w:rsidR="007E625E" w:rsidRDefault="007E625E" w:rsidP="00550638">
      <w:pPr>
        <w:spacing w:line="240" w:lineRule="auto"/>
        <w:jc w:val="both"/>
      </w:pPr>
      <w:r>
        <w:t>Alemania</w:t>
      </w:r>
      <w:r>
        <w:tab/>
        <w:t xml:space="preserve"> 27,6</w:t>
      </w:r>
      <w:r>
        <w:tab/>
      </w:r>
      <w:r>
        <w:tab/>
        <w:t xml:space="preserve"> 29,8                 Grecia                   </w:t>
      </w:r>
      <w:r w:rsidR="00ED3C1B">
        <w:t xml:space="preserve">   </w:t>
      </w:r>
      <w:r>
        <w:t>9,4                    9,4</w:t>
      </w:r>
    </w:p>
    <w:p w:rsidR="007E625E" w:rsidRDefault="007E625E" w:rsidP="00550638">
      <w:pPr>
        <w:spacing w:line="240" w:lineRule="auto"/>
        <w:jc w:val="both"/>
      </w:pPr>
      <w:r>
        <w:t>Dinamarca</w:t>
      </w:r>
      <w:r>
        <w:tab/>
        <w:t xml:space="preserve"> 30,3</w:t>
      </w:r>
      <w:r>
        <w:tab/>
      </w:r>
      <w:r>
        <w:tab/>
        <w:t xml:space="preserve"> 29,5                 Portugal               </w:t>
      </w:r>
      <w:r w:rsidR="00ED3C1B">
        <w:t xml:space="preserve">  </w:t>
      </w:r>
      <w:r>
        <w:t xml:space="preserve"> 8,6                    9,2</w:t>
      </w:r>
    </w:p>
    <w:p w:rsidR="007E625E" w:rsidRDefault="007E625E" w:rsidP="00550638">
      <w:pPr>
        <w:spacing w:line="240" w:lineRule="auto"/>
        <w:jc w:val="both"/>
      </w:pPr>
      <w:r>
        <w:t>Austria</w:t>
      </w:r>
      <w:r>
        <w:tab/>
      </w:r>
      <w:r>
        <w:tab/>
        <w:t xml:space="preserve"> 27,8</w:t>
      </w:r>
      <w:r>
        <w:tab/>
      </w:r>
      <w:r>
        <w:tab/>
        <w:t xml:space="preserve"> 28,4                 Bélgica                  </w:t>
      </w:r>
      <w:r w:rsidR="00ED3C1B">
        <w:t xml:space="preserve">  </w:t>
      </w:r>
      <w:r>
        <w:t>8,4                    8,9</w:t>
      </w:r>
    </w:p>
    <w:p w:rsidR="007E625E" w:rsidRDefault="007E625E" w:rsidP="00550638">
      <w:pPr>
        <w:spacing w:line="240" w:lineRule="auto"/>
        <w:jc w:val="both"/>
      </w:pPr>
      <w:r>
        <w:t xml:space="preserve">Holanda             </w:t>
      </w:r>
      <w:r w:rsidR="00ED3C1B">
        <w:t xml:space="preserve"> </w:t>
      </w:r>
      <w:r>
        <w:t xml:space="preserve">31,9                   </w:t>
      </w:r>
      <w:r w:rsidR="00ED3C1B">
        <w:t xml:space="preserve">  </w:t>
      </w:r>
      <w:r>
        <w:t xml:space="preserve">27,6                 Holanda                 </w:t>
      </w:r>
      <w:r w:rsidR="00ED3C1B">
        <w:t xml:space="preserve"> </w:t>
      </w:r>
      <w:r>
        <w:t xml:space="preserve">8,2                    8,9             </w:t>
      </w:r>
    </w:p>
    <w:p w:rsidR="007E625E" w:rsidRDefault="007E625E" w:rsidP="00550638">
      <w:pPr>
        <w:spacing w:line="240" w:lineRule="auto"/>
        <w:jc w:val="both"/>
      </w:pPr>
      <w:r>
        <w:t xml:space="preserve">Bélgica   </w:t>
      </w:r>
      <w:r>
        <w:tab/>
        <w:t xml:space="preserve"> 27,7</w:t>
      </w:r>
      <w:r>
        <w:tab/>
      </w:r>
      <w:r>
        <w:tab/>
        <w:t xml:space="preserve"> 27,5                 Suecia                  </w:t>
      </w:r>
      <w:r w:rsidR="00ED3C1B">
        <w:t xml:space="preserve">  </w:t>
      </w:r>
      <w:r>
        <w:t xml:space="preserve"> 8,2                    8,7</w:t>
      </w:r>
    </w:p>
    <w:p w:rsidR="007E625E" w:rsidRDefault="007E625E" w:rsidP="00550638">
      <w:pPr>
        <w:spacing w:line="240" w:lineRule="auto"/>
        <w:jc w:val="both"/>
      </w:pPr>
      <w:r>
        <w:t>Grecia</w:t>
      </w:r>
      <w:r>
        <w:tab/>
      </w:r>
      <w:r>
        <w:tab/>
        <w:t xml:space="preserve"> 21,2                   27,2                 </w:t>
      </w:r>
      <w:r w:rsidR="009D1533">
        <w:t xml:space="preserve">  </w:t>
      </w:r>
      <w:r>
        <w:t>Dinamarca             8,2                    8,4</w:t>
      </w:r>
      <w:r>
        <w:tab/>
      </w:r>
    </w:p>
    <w:p w:rsidR="007E625E" w:rsidRDefault="007E625E" w:rsidP="00550638">
      <w:pPr>
        <w:spacing w:line="240" w:lineRule="auto"/>
        <w:jc w:val="both"/>
      </w:pPr>
      <w:r>
        <w:t xml:space="preserve">Reino Unido       27,9                   27,2                 </w:t>
      </w:r>
      <w:r w:rsidR="009D1533">
        <w:t xml:space="preserve">  </w:t>
      </w:r>
      <w:r>
        <w:t>Italia                       7,7                    8,4</w:t>
      </w:r>
    </w:p>
    <w:p w:rsidR="007E625E" w:rsidRDefault="007E625E" w:rsidP="00550638">
      <w:pPr>
        <w:spacing w:line="240" w:lineRule="auto"/>
        <w:jc w:val="both"/>
      </w:pPr>
      <w:r>
        <w:t xml:space="preserve">Finlandia            33,6                   25,8                 </w:t>
      </w:r>
      <w:r w:rsidR="009D1533">
        <w:t xml:space="preserve">  </w:t>
      </w:r>
      <w:r>
        <w:t>Austria                    8,0                    8,0</w:t>
      </w:r>
    </w:p>
    <w:p w:rsidR="007E625E" w:rsidRDefault="007E625E" w:rsidP="00550638">
      <w:pPr>
        <w:spacing w:line="240" w:lineRule="auto"/>
        <w:jc w:val="both"/>
      </w:pPr>
      <w:r>
        <w:t>Italia</w:t>
      </w:r>
      <w:r>
        <w:tab/>
      </w:r>
      <w:r>
        <w:tab/>
        <w:t xml:space="preserve"> 26,2                   25,6                 </w:t>
      </w:r>
      <w:r w:rsidR="009D1533">
        <w:t xml:space="preserve"> </w:t>
      </w:r>
      <w:r>
        <w:t xml:space="preserve">Reino Unido           6,8                    7,6                     </w:t>
      </w:r>
    </w:p>
    <w:p w:rsidR="007E625E" w:rsidRDefault="007E625E" w:rsidP="00550638">
      <w:pPr>
        <w:spacing w:line="240" w:lineRule="auto"/>
        <w:jc w:val="both"/>
      </w:pPr>
      <w:r>
        <w:t xml:space="preserve">Portugal             18,4                   23,9                 </w:t>
      </w:r>
      <w:r w:rsidR="009D1533">
        <w:t xml:space="preserve">  </w:t>
      </w:r>
      <w:r>
        <w:t xml:space="preserve">España                   </w:t>
      </w:r>
      <w:r w:rsidR="009D1533">
        <w:t xml:space="preserve"> </w:t>
      </w:r>
      <w:r>
        <w:t>7,5                    7,5</w:t>
      </w:r>
    </w:p>
    <w:p w:rsidR="007E625E" w:rsidRDefault="007E625E" w:rsidP="00550638">
      <w:pPr>
        <w:spacing w:line="240" w:lineRule="auto"/>
        <w:jc w:val="both"/>
      </w:pPr>
      <w:r>
        <w:t xml:space="preserve">Luxemburgo      22,5                   21,2                 </w:t>
      </w:r>
      <w:r w:rsidR="009D1533">
        <w:t xml:space="preserve"> </w:t>
      </w:r>
      <w:r>
        <w:t xml:space="preserve"> Finlandia                7,3                    7,0</w:t>
      </w:r>
    </w:p>
    <w:p w:rsidR="007E625E" w:rsidRDefault="007E625E" w:rsidP="00550638">
      <w:pPr>
        <w:spacing w:line="240" w:lineRule="auto"/>
        <w:jc w:val="both"/>
      </w:pPr>
      <w:r>
        <w:t>España</w:t>
      </w:r>
      <w:r>
        <w:tab/>
      </w:r>
      <w:r>
        <w:tab/>
        <w:t xml:space="preserve"> 22,4                  20,1                  Irlanda                   </w:t>
      </w:r>
      <w:r w:rsidR="009D1533">
        <w:t xml:space="preserve"> </w:t>
      </w:r>
      <w:r>
        <w:t xml:space="preserve"> 6,4                    6,5</w:t>
      </w:r>
    </w:p>
    <w:p w:rsidR="007E625E" w:rsidRDefault="007E625E" w:rsidP="00550638">
      <w:pPr>
        <w:spacing w:line="240" w:lineRule="auto"/>
        <w:jc w:val="both"/>
      </w:pPr>
      <w:r>
        <w:t>Irlanda</w:t>
      </w:r>
      <w:r>
        <w:tab/>
      </w:r>
      <w:r>
        <w:tab/>
        <w:t xml:space="preserve"> 20,3                  14,6                 </w:t>
      </w:r>
      <w:r w:rsidR="009D1533">
        <w:t xml:space="preserve"> </w:t>
      </w:r>
      <w:r>
        <w:t xml:space="preserve"> Luxemburgo  </w:t>
      </w:r>
      <w:r w:rsidR="00ED3C1B">
        <w:t xml:space="preserve">        6,0                   </w:t>
      </w:r>
      <w:r>
        <w:t>6,0</w:t>
      </w:r>
    </w:p>
    <w:p w:rsidR="007E625E" w:rsidRDefault="007E625E" w:rsidP="00550638">
      <w:pPr>
        <w:spacing w:line="240" w:lineRule="auto"/>
        <w:jc w:val="both"/>
      </w:pPr>
      <w:r>
        <w:t xml:space="preserve">UE 15                </w:t>
      </w:r>
      <w:r w:rsidR="00ED3C1B">
        <w:t xml:space="preserve">   </w:t>
      </w:r>
      <w:r>
        <w:t xml:space="preserve">27,7                   27,4                  UE 15                     </w:t>
      </w:r>
      <w:r w:rsidR="009D1533">
        <w:t xml:space="preserve"> </w:t>
      </w:r>
      <w:r>
        <w:t>6</w:t>
      </w:r>
      <w:r w:rsidR="00ED3C1B">
        <w:t>,0                    6,0</w:t>
      </w:r>
    </w:p>
    <w:p w:rsidR="007E625E" w:rsidRDefault="007E625E" w:rsidP="00550638">
      <w:pPr>
        <w:spacing w:line="240" w:lineRule="auto"/>
        <w:jc w:val="both"/>
      </w:pPr>
      <w:r>
        <w:lastRenderedPageBreak/>
        <w:t>Fuente: Eurostat e Informe sobre la Sa</w:t>
      </w:r>
      <w:r w:rsidR="00ED3C1B">
        <w:t>lud en el Mundo 2003, de la OMS</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La “calentura” está en</w:t>
      </w:r>
      <w:r w:rsidR="0046330F">
        <w:rPr>
          <w:rFonts w:ascii="Times New Roman" w:hAnsi="Times New Roman" w:cs="Times New Roman"/>
          <w:sz w:val="24"/>
          <w:szCs w:val="24"/>
        </w:rPr>
        <w:t xml:space="preserve"> saber</w:t>
      </w:r>
      <w:r w:rsidRPr="00ED3C1B">
        <w:rPr>
          <w:rFonts w:ascii="Times New Roman" w:hAnsi="Times New Roman" w:cs="Times New Roman"/>
          <w:sz w:val="24"/>
          <w:szCs w:val="24"/>
        </w:rPr>
        <w:t xml:space="preserve"> si los países  desarrollados, cuyos Estados ricos han levantado sistemas protectores financiados con diversas cargas impositivas, podrán mantener su competitividad frente a los países emergentes que producen a precios más baratos porque, entre otras razones, no facilitan a sus ciudadanos ninguna red.</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 xml:space="preserve">Los grandes empresarios y banqueros, ahora con la presión de la globalización, piensan que “no hay demasiado tiempo” para dejar en la mínima expresión el renglón de los gastos sociales. </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Lo que resulta menos “comprensible” (y mucho menos, “asumible”), es que los ultraliberales practiquen la demagogia de las rebajas sin fin de los impuestos, a riesgo de destruir el equilibrio social.</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No es “comprensible” (y muchos menos, “asumible”),  extender la pobreza social que aportan a Occidente los modelos productivos de China, India o Corea, que sólo pueden ser calificados de desiguales y explotadores.</w:t>
      </w:r>
    </w:p>
    <w:p w:rsidR="007E625E" w:rsidRPr="00ED3C1B"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No es “comprensible” (y mucho menos, “asumible”) entrar a</w:t>
      </w:r>
      <w:r w:rsidR="00ED3C1B">
        <w:rPr>
          <w:rFonts w:ascii="Times New Roman" w:hAnsi="Times New Roman" w:cs="Times New Roman"/>
          <w:sz w:val="24"/>
          <w:szCs w:val="24"/>
        </w:rPr>
        <w:t>l futuro caminando hacia atrás.</w:t>
      </w:r>
    </w:p>
    <w:p w:rsidR="00ED3C1B" w:rsidRPr="00C80F91" w:rsidRDefault="007E625E"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Mientras los “profetas de la privatización” sostienen que el sistema de protección social “está abocado a la quiebra” o “está destinado a chocar contra un iceberg”…</w:t>
      </w:r>
      <w:r w:rsidR="00ED3C1B">
        <w:rPr>
          <w:rFonts w:ascii="Times New Roman" w:hAnsi="Times New Roman" w:cs="Times New Roman"/>
          <w:sz w:val="24"/>
          <w:szCs w:val="24"/>
        </w:rPr>
        <w:t xml:space="preserve"> </w:t>
      </w:r>
      <w:r w:rsidRPr="00ED3C1B">
        <w:rPr>
          <w:rFonts w:ascii="Times New Roman" w:hAnsi="Times New Roman" w:cs="Times New Roman"/>
          <w:sz w:val="24"/>
          <w:szCs w:val="24"/>
        </w:rPr>
        <w:t>El seguro privado mira atento a los hospitales…</w:t>
      </w:r>
      <w:r w:rsidR="00ED3C1B">
        <w:rPr>
          <w:rFonts w:ascii="Times New Roman" w:hAnsi="Times New Roman" w:cs="Times New Roman"/>
          <w:sz w:val="24"/>
          <w:szCs w:val="24"/>
        </w:rPr>
        <w:t xml:space="preserve"> </w:t>
      </w:r>
      <w:r w:rsidRPr="00ED3C1B">
        <w:rPr>
          <w:rFonts w:ascii="Times New Roman" w:hAnsi="Times New Roman" w:cs="Times New Roman"/>
          <w:sz w:val="24"/>
          <w:szCs w:val="24"/>
        </w:rPr>
        <w:t>Se inventan enfermedades para ganar dinero…</w:t>
      </w:r>
      <w:r w:rsidR="00ED3C1B">
        <w:rPr>
          <w:rFonts w:ascii="Times New Roman" w:hAnsi="Times New Roman" w:cs="Times New Roman"/>
          <w:sz w:val="24"/>
          <w:szCs w:val="24"/>
        </w:rPr>
        <w:t xml:space="preserve"> </w:t>
      </w:r>
      <w:r w:rsidRPr="00ED3C1B">
        <w:rPr>
          <w:rFonts w:ascii="Times New Roman" w:hAnsi="Times New Roman" w:cs="Times New Roman"/>
          <w:sz w:val="24"/>
          <w:szCs w:val="24"/>
        </w:rPr>
        <w:t>Las alertas sobre riesgos de medicinas nuevas mueven a reclamar garantías…</w:t>
      </w:r>
      <w:r w:rsidR="00ED3C1B">
        <w:rPr>
          <w:rFonts w:ascii="Times New Roman" w:hAnsi="Times New Roman" w:cs="Times New Roman"/>
          <w:sz w:val="24"/>
          <w:szCs w:val="24"/>
        </w:rPr>
        <w:t xml:space="preserve"> </w:t>
      </w:r>
      <w:r w:rsidRPr="00ED3C1B">
        <w:rPr>
          <w:rFonts w:ascii="Times New Roman" w:hAnsi="Times New Roman" w:cs="Times New Roman"/>
          <w:sz w:val="24"/>
          <w:szCs w:val="24"/>
        </w:rPr>
        <w:t>Los expertos piden cambios en las agencias de medicamentos…</w:t>
      </w:r>
      <w:r w:rsidR="00ED3C1B">
        <w:rPr>
          <w:rFonts w:ascii="Times New Roman" w:hAnsi="Times New Roman" w:cs="Times New Roman"/>
          <w:sz w:val="24"/>
          <w:szCs w:val="24"/>
        </w:rPr>
        <w:t xml:space="preserve"> </w:t>
      </w:r>
      <w:r w:rsidRPr="00ED3C1B">
        <w:rPr>
          <w:rFonts w:ascii="Times New Roman" w:hAnsi="Times New Roman" w:cs="Times New Roman"/>
          <w:sz w:val="24"/>
          <w:szCs w:val="24"/>
        </w:rPr>
        <w:t>La preocupación por el elevado coste de los fármacos refuerza la necesidad de analizar las ventajas de los nuevos productos, más caros… y Bush reforma el Medicare (</w:t>
      </w:r>
      <w:r w:rsidR="00ED3C1B">
        <w:rPr>
          <w:rFonts w:ascii="Times New Roman" w:hAnsi="Times New Roman" w:cs="Times New Roman"/>
          <w:sz w:val="24"/>
          <w:szCs w:val="24"/>
        </w:rPr>
        <w:t>¿</w:t>
      </w:r>
      <w:r w:rsidRPr="00ED3C1B">
        <w:rPr>
          <w:rFonts w:ascii="Times New Roman" w:hAnsi="Times New Roman" w:cs="Times New Roman"/>
          <w:sz w:val="24"/>
          <w:szCs w:val="24"/>
        </w:rPr>
        <w:t>bendición o trampa?).</w:t>
      </w:r>
    </w:p>
    <w:p w:rsidR="00ED3C1B" w:rsidRPr="00ED3C1B" w:rsidRDefault="00ED3C1B" w:rsidP="0055063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Y en el Apartado</w:t>
      </w:r>
      <w:r w:rsidRPr="00ED3C1B">
        <w:rPr>
          <w:rFonts w:ascii="Times New Roman" w:hAnsi="Times New Roman" w:cs="Times New Roman"/>
          <w:sz w:val="24"/>
          <w:szCs w:val="24"/>
        </w:rPr>
        <w:t xml:space="preserve"> </w:t>
      </w:r>
      <w:r>
        <w:rPr>
          <w:rFonts w:ascii="Times New Roman" w:hAnsi="Times New Roman" w:cs="Times New Roman"/>
          <w:sz w:val="24"/>
          <w:szCs w:val="24"/>
          <w:u w:val="single"/>
        </w:rPr>
        <w:t xml:space="preserve">La “utopía” de la </w:t>
      </w:r>
      <w:r w:rsidRPr="00ED3C1B">
        <w:rPr>
          <w:rFonts w:ascii="Times New Roman" w:hAnsi="Times New Roman" w:cs="Times New Roman"/>
          <w:sz w:val="24"/>
          <w:szCs w:val="24"/>
          <w:u w:val="single"/>
        </w:rPr>
        <w:t>Europa social (lo que algunos llaman mito…)</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A modo de conclusión</w:t>
      </w:r>
      <w:r>
        <w:rPr>
          <w:rFonts w:ascii="Times New Roman" w:hAnsi="Times New Roman" w:cs="Times New Roman"/>
          <w:sz w:val="24"/>
          <w:szCs w:val="24"/>
        </w:rPr>
        <w:t>, escribía:</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Cuando no se puede negar lo obvio, torcer la realidad, ocultar la evidencia, demostrar lo…</w:t>
      </w:r>
      <w:r w:rsidR="0046330F">
        <w:rPr>
          <w:rFonts w:ascii="Times New Roman" w:hAnsi="Times New Roman" w:cs="Times New Roman"/>
          <w:sz w:val="24"/>
          <w:szCs w:val="24"/>
        </w:rPr>
        <w:t xml:space="preserve"> </w:t>
      </w:r>
      <w:r w:rsidRPr="00ED3C1B">
        <w:rPr>
          <w:rFonts w:ascii="Times New Roman" w:hAnsi="Times New Roman" w:cs="Times New Roman"/>
          <w:sz w:val="24"/>
          <w:szCs w:val="24"/>
        </w:rPr>
        <w:t>indemostrable, no puede hablarse del “fantasma” de los mitos p</w:t>
      </w:r>
      <w:r>
        <w:rPr>
          <w:rFonts w:ascii="Times New Roman" w:hAnsi="Times New Roman" w:cs="Times New Roman"/>
          <w:sz w:val="24"/>
          <w:szCs w:val="24"/>
        </w:rPr>
        <w:t>erturbadores que han retornado.</w:t>
      </w:r>
    </w:p>
    <w:p w:rsidR="00ED3C1B" w:rsidRPr="00ED3C1B" w:rsidRDefault="0046330F"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Los “pragmáticos” (?</w:t>
      </w:r>
      <w:r w:rsidR="00ED3C1B" w:rsidRPr="00ED3C1B">
        <w:rPr>
          <w:rFonts w:ascii="Times New Roman" w:hAnsi="Times New Roman" w:cs="Times New Roman"/>
          <w:sz w:val="24"/>
          <w:szCs w:val="24"/>
        </w:rPr>
        <w:t>)  sostienen que la economía europea está en la encrucijada, que sólo puede salir del actual atolladero “articulando un cuerpo de polític</w:t>
      </w:r>
      <w:r>
        <w:rPr>
          <w:rFonts w:ascii="Times New Roman" w:hAnsi="Times New Roman" w:cs="Times New Roman"/>
          <w:sz w:val="24"/>
          <w:szCs w:val="24"/>
        </w:rPr>
        <w:t>as macroeconómicas coherentes (?</w:t>
      </w:r>
      <w:r w:rsidR="00ED3C1B" w:rsidRPr="00ED3C1B">
        <w:rPr>
          <w:rFonts w:ascii="Times New Roman" w:hAnsi="Times New Roman" w:cs="Times New Roman"/>
          <w:sz w:val="24"/>
          <w:szCs w:val="24"/>
        </w:rPr>
        <w:t>) con la promoción del crecimiento, al tiempo que se mantienen  las políticas macroeconómicas de estabilidad y se modern</w:t>
      </w:r>
      <w:r>
        <w:rPr>
          <w:rFonts w:ascii="Times New Roman" w:hAnsi="Times New Roman" w:cs="Times New Roman"/>
          <w:sz w:val="24"/>
          <w:szCs w:val="24"/>
        </w:rPr>
        <w:t>izan las políticas de cohesión -</w:t>
      </w:r>
      <w:r w:rsidR="00ED3C1B" w:rsidRPr="00ED3C1B">
        <w:rPr>
          <w:rFonts w:ascii="Times New Roman" w:hAnsi="Times New Roman" w:cs="Times New Roman"/>
          <w:sz w:val="24"/>
          <w:szCs w:val="24"/>
        </w:rPr>
        <w:t xml:space="preserve">esto es lo que se suele llamar “las políticas sociales”- para adaptarlas al entorno actual más exigente de globalización y fuerte competencia exterior”…Y agregan: Sólo así, “Europa estará labrándose un futuro más próspero y ganando peso </w:t>
      </w:r>
      <w:r>
        <w:rPr>
          <w:rFonts w:ascii="Times New Roman" w:hAnsi="Times New Roman" w:cs="Times New Roman"/>
          <w:sz w:val="24"/>
          <w:szCs w:val="24"/>
        </w:rPr>
        <w:t xml:space="preserve">en el concierto internacional. </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 xml:space="preserve">Pero eso es, cabalmente, lo contrario, de los cinco criterios que predica la “Europa social” : que la tasa de paro esté por debajo </w:t>
      </w:r>
      <w:r w:rsidR="0046330F">
        <w:rPr>
          <w:rFonts w:ascii="Times New Roman" w:hAnsi="Times New Roman" w:cs="Times New Roman"/>
          <w:sz w:val="24"/>
          <w:szCs w:val="24"/>
        </w:rPr>
        <w:t>del 5%; que la tasa de pobreza -</w:t>
      </w:r>
      <w:r w:rsidRPr="00ED3C1B">
        <w:rPr>
          <w:rFonts w:ascii="Times New Roman" w:hAnsi="Times New Roman" w:cs="Times New Roman"/>
          <w:sz w:val="24"/>
          <w:szCs w:val="24"/>
        </w:rPr>
        <w:t>los que viven por debajo del 60% de la media nacional- sea inferior al 5%; que la tasa de analfabetos de más de 10 años sea inferior al 3%; que la tasa de los mal alojados no supere el 3%; finalmente que la ayuda pública a los países en vías de desar</w:t>
      </w:r>
      <w:r w:rsidR="0046330F">
        <w:rPr>
          <w:rFonts w:ascii="Times New Roman" w:hAnsi="Times New Roman" w:cs="Times New Roman"/>
          <w:sz w:val="24"/>
          <w:szCs w:val="24"/>
        </w:rPr>
        <w:t>rollo sea mayor del 1% del PIB.</w:t>
      </w:r>
    </w:p>
    <w:p w:rsidR="00ED3C1B" w:rsidRPr="00ED3C1B" w:rsidRDefault="0046330F"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Los “pragmáticos” (?</w:t>
      </w:r>
      <w:r w:rsidR="00ED3C1B" w:rsidRPr="00ED3C1B">
        <w:rPr>
          <w:rFonts w:ascii="Times New Roman" w:hAnsi="Times New Roman" w:cs="Times New Roman"/>
          <w:sz w:val="24"/>
          <w:szCs w:val="24"/>
        </w:rPr>
        <w:t>), como sucede siempre, sostienen que creer en un “mito” como éste lleva a la ruina. La Europa social hundiría a la Europa prósp</w:t>
      </w:r>
      <w:r>
        <w:rPr>
          <w:rFonts w:ascii="Times New Roman" w:hAnsi="Times New Roman" w:cs="Times New Roman"/>
          <w:sz w:val="24"/>
          <w:szCs w:val="24"/>
        </w:rPr>
        <w:t>era, y no habría Europa social.</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Los “utópicos” (entre los que me incluyo) sostienen que “no se trat</w:t>
      </w:r>
      <w:r w:rsidR="0046330F">
        <w:rPr>
          <w:rFonts w:ascii="Times New Roman" w:hAnsi="Times New Roman" w:cs="Times New Roman"/>
          <w:sz w:val="24"/>
          <w:szCs w:val="24"/>
        </w:rPr>
        <w:t>a de desear lo imposible, sino -</w:t>
      </w:r>
      <w:r w:rsidRPr="00ED3C1B">
        <w:rPr>
          <w:rFonts w:ascii="Times New Roman" w:hAnsi="Times New Roman" w:cs="Times New Roman"/>
          <w:sz w:val="24"/>
          <w:szCs w:val="24"/>
        </w:rPr>
        <w:t>tal vez-</w:t>
      </w:r>
      <w:r w:rsidR="0046330F">
        <w:rPr>
          <w:rFonts w:ascii="Times New Roman" w:hAnsi="Times New Roman" w:cs="Times New Roman"/>
          <w:sz w:val="24"/>
          <w:szCs w:val="24"/>
        </w:rPr>
        <w:t xml:space="preserve"> sólo de continuar lo posible”.</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A menos, que los “pragmáticos” se atrevan a “confesar” y “convencer” de las virtudes competitivas y redistributivas de la “carrera de la pobreza” (pobres contra pobr</w:t>
      </w:r>
      <w:r w:rsidR="0024137C">
        <w:rPr>
          <w:rFonts w:ascii="Times New Roman" w:hAnsi="Times New Roman" w:cs="Times New Roman"/>
          <w:sz w:val="24"/>
          <w:szCs w:val="24"/>
        </w:rPr>
        <w:t xml:space="preserve">es). Por </w:t>
      </w:r>
      <w:r w:rsidR="0046330F">
        <w:rPr>
          <w:rFonts w:ascii="Times New Roman" w:hAnsi="Times New Roman" w:cs="Times New Roman"/>
          <w:sz w:val="24"/>
          <w:szCs w:val="24"/>
        </w:rPr>
        <w:t>las dudas, tomen nota:</w:t>
      </w:r>
    </w:p>
    <w:p w:rsidR="00ED3C1B" w:rsidRPr="00ED3C1B" w:rsidRDefault="00ED3C1B" w:rsidP="00550638">
      <w:pPr>
        <w:numPr>
          <w:ilvl w:val="0"/>
          <w:numId w:val="37"/>
        </w:numPr>
        <w:spacing w:after="0" w:line="240" w:lineRule="auto"/>
        <w:jc w:val="both"/>
        <w:rPr>
          <w:rFonts w:ascii="Times New Roman" w:hAnsi="Times New Roman" w:cs="Times New Roman"/>
          <w:sz w:val="24"/>
          <w:szCs w:val="24"/>
        </w:rPr>
      </w:pPr>
      <w:r w:rsidRPr="00ED3C1B">
        <w:rPr>
          <w:rFonts w:ascii="Times New Roman" w:hAnsi="Times New Roman" w:cs="Times New Roman"/>
          <w:sz w:val="24"/>
          <w:szCs w:val="24"/>
        </w:rPr>
        <w:t xml:space="preserve">La próxima vez que se ponga una camisa, un sostén o un calzoncillo, será protagonista quiera o no de un drama que afectará la vida de 40 millones de trabajadores en el mundo. Ese es el número de personas empleadas por la industria textil y de la indumentaria, que desde el 1º de enero de 2005 experimentará una verdadera revolución. En esa fecha expiró el llamado Acuerdo Multifibras, el sistema de cuotas que ha regido durante décadas las exportaciones sobre todo a los grandes mercados de EEUU y Europa. En otras palabras, gigantes como China podrán exportar sin que las cuotas les impongan límites. Habrá ganadores y perdedores, sobre todo en América Latina. Para muestra un botón. Según las estimaciones de la OMC, las exportaciones de textiles de China a EEUU pasarán de un 16% a un 50%, mientras que las de México caerán un 70%. Detrás de los porcentajes estarán los rostros de miles de personas en el mundo que perderán sus empleos y otras que lo conseguirán. En Bangladesh podrían perderse un millón de empleos (otros cálculos cifran la pérdida en 1,8 millones). Según estimaciones citadas por la Federación Internacional de Sindicatos (ICTFU), el sector textil y de la vestimenta emplea cerca de 40 millones de personas en el mundo, muchas de ellas mujeres. El sector genera según las mismas estimaciones intercambios comerciales por un monto superior a los US$ 360.000 millones al año, un 6% del comercio mundial. Según los expertos, el fin del sistema de cuotas hará  que las compañías dejen de comprar textiles y vestimenta de los países menos competitivos. Es poco probable que las compañías como GAP o NIKE compren sus productos de solamente un país, pero según un representante de la Asociación de Importadores de EEUU, citado por la ICTFU, “es probable que las empresas compren sus productos de cinco o seis países para 2007, en lugar de esparcir sus compras en 50 países diferentes, como hacen hoy”. Las fábricas están cerrando o amenazando cerrar en todas partes, incluyendo Turquía, México, América Central, en </w:t>
      </w:r>
      <w:r w:rsidR="0024137C" w:rsidRPr="00ED3C1B">
        <w:rPr>
          <w:rFonts w:ascii="Times New Roman" w:hAnsi="Times New Roman" w:cs="Times New Roman"/>
          <w:sz w:val="24"/>
          <w:szCs w:val="24"/>
        </w:rPr>
        <w:t>África</w:t>
      </w:r>
      <w:r w:rsidRPr="00ED3C1B">
        <w:rPr>
          <w:rFonts w:ascii="Times New Roman" w:hAnsi="Times New Roman" w:cs="Times New Roman"/>
          <w:sz w:val="24"/>
          <w:szCs w:val="24"/>
        </w:rPr>
        <w:t>, en Asia. Sólo en China los obreros están trabajando horas extras para construir nuevas plantas.</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t>La industria textil y de la vestimenta también es una fuente importante de trabajo en Occidente. Sólo en la Unión Europea emplea a 2,5 millones de personas, según un documento de la ICTFU.</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t>En EEUU ya se han perdido 350.000 empleos en el sector en los últimos cuatro años de acuerdo al documento.</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t xml:space="preserve">China e India serán los grandes beneficiarios. Los productos chinos son considerablemente más baratos por varios factores, especialmente el costo menor de la mano de obra. La ICTFU habla de “salarios de miseria, que se mantienen al mismo nivel durante años y se pagan a veces con atraso de meses, </w:t>
      </w:r>
      <w:r w:rsidRPr="00ED3C1B">
        <w:rPr>
          <w:rFonts w:ascii="Times New Roman" w:hAnsi="Times New Roman" w:cs="Times New Roman"/>
          <w:sz w:val="24"/>
          <w:szCs w:val="24"/>
        </w:rPr>
        <w:lastRenderedPageBreak/>
        <w:t>además de condiciones de trabajo deplorables”. China e India tienen como 600 millones de personas muy pobres, que viven con menos de un dólar al día.</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t>Según el Banco Mundial, China pasará a controlar un 50% del comercio mundial textil en el 2010.  Y diversos estudios apuntan que podrían perderse hasta 30 millones de empleos en el mundo.</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 xml:space="preserve">Un consuelo para “idiotas”: entre los ganadores estarán también los consumidores, ya que la mayor competencia llevará probablemente a una caída en los precios. Según estimaciones citadas por OXFAM, una familia en Europa paga US$ 350 adicionales en ropa de lo que debería, debido a las actuales barreras. </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 xml:space="preserve">Nos quedamos sin trabajo, pero podemos comprar más barato lo que antes producíamos (más caro) en el empleo que hemos perdido. Esto es la “competitividad”; esto es el “librecambio”; esto es lo que se hace pero no se dice; este es el “catecismo” de los pragmáticos. Esta es la flexibilización buscada. Esta es la desregularización pretendida. Este es el cambio de estructuras propugnado. </w:t>
      </w:r>
      <w:r w:rsidR="0024137C">
        <w:rPr>
          <w:rFonts w:ascii="Times New Roman" w:hAnsi="Times New Roman" w:cs="Times New Roman"/>
          <w:sz w:val="24"/>
          <w:szCs w:val="24"/>
        </w:rPr>
        <w:t>¡</w:t>
      </w:r>
      <w:r w:rsidRPr="00ED3C1B">
        <w:rPr>
          <w:rFonts w:ascii="Times New Roman" w:hAnsi="Times New Roman" w:cs="Times New Roman"/>
          <w:sz w:val="24"/>
          <w:szCs w:val="24"/>
        </w:rPr>
        <w:t>Estas son las “municiones” con las que cargan las armas para “f</w:t>
      </w:r>
      <w:r w:rsidR="0024137C">
        <w:rPr>
          <w:rFonts w:ascii="Times New Roman" w:hAnsi="Times New Roman" w:cs="Times New Roman"/>
          <w:sz w:val="24"/>
          <w:szCs w:val="24"/>
        </w:rPr>
        <w:t>usilar” al Estado del Bienestar</w:t>
      </w:r>
      <w:r w:rsidR="00C80F91">
        <w:rPr>
          <w:rFonts w:ascii="Times New Roman" w:hAnsi="Times New Roman" w:cs="Times New Roman"/>
          <w:sz w:val="24"/>
          <w:szCs w:val="24"/>
        </w:rPr>
        <w:t xml:space="preserve">! </w:t>
      </w:r>
    </w:p>
    <w:p w:rsidR="00ED3C1B" w:rsidRPr="00ED3C1B" w:rsidRDefault="00ED3C1B" w:rsidP="00550638">
      <w:pPr>
        <w:numPr>
          <w:ilvl w:val="0"/>
          <w:numId w:val="37"/>
        </w:numPr>
        <w:spacing w:after="0" w:line="240" w:lineRule="auto"/>
        <w:jc w:val="both"/>
        <w:rPr>
          <w:rFonts w:ascii="Times New Roman" w:hAnsi="Times New Roman" w:cs="Times New Roman"/>
          <w:sz w:val="24"/>
          <w:szCs w:val="24"/>
        </w:rPr>
      </w:pPr>
      <w:r w:rsidRPr="00ED3C1B">
        <w:rPr>
          <w:rFonts w:ascii="Times New Roman" w:hAnsi="Times New Roman" w:cs="Times New Roman"/>
          <w:sz w:val="24"/>
          <w:szCs w:val="24"/>
        </w:rPr>
        <w:t xml:space="preserve">(30/05/03): Esclavos a los 7 años. Dos reporteros viajan hasta Benín, en </w:t>
      </w:r>
      <w:r w:rsidR="00D44948" w:rsidRPr="00ED3C1B">
        <w:rPr>
          <w:rFonts w:ascii="Times New Roman" w:hAnsi="Times New Roman" w:cs="Times New Roman"/>
          <w:sz w:val="24"/>
          <w:szCs w:val="24"/>
        </w:rPr>
        <w:t>África</w:t>
      </w:r>
      <w:r w:rsidRPr="00ED3C1B">
        <w:rPr>
          <w:rFonts w:ascii="Times New Roman" w:hAnsi="Times New Roman" w:cs="Times New Roman"/>
          <w:sz w:val="24"/>
          <w:szCs w:val="24"/>
        </w:rPr>
        <w:t>, y Pakistán, en Asia, para comprobar la más atroz de las crueldades sobre los seres más indefensos. La realidad supera cualquier fantasía de terror.</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t>La tragedia de ser niño en Benín, vendido por una bici o por 20 euros. El 10% de los niños de Benín, unos 300.000 viven como esclavos dentro o fuera del país. Los niños del mercado pasan 12 horas vendiendo y 6 trabajando en casa.</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t>En Pakistán, ser niño es un infierno. Con apenas 7 años pueden ser condenados a muerte o encerrados en cárceles rodeados de adultos. Los más afortunados, son obligados a vivir el resto de su vida en centros donde duermen en el suelo, sólo pueden salir al patio durante una hora al día y so</w:t>
      </w:r>
      <w:r w:rsidR="0024137C">
        <w:rPr>
          <w:rFonts w:ascii="Times New Roman" w:hAnsi="Times New Roman" w:cs="Times New Roman"/>
          <w:sz w:val="24"/>
          <w:szCs w:val="24"/>
        </w:rPr>
        <w:t>n sedados para que no molesten.</w:t>
      </w:r>
    </w:p>
    <w:p w:rsidR="00ED3C1B" w:rsidRPr="00ED3C1B" w:rsidRDefault="00ED3C1B" w:rsidP="00550638">
      <w:pPr>
        <w:numPr>
          <w:ilvl w:val="0"/>
          <w:numId w:val="37"/>
        </w:numPr>
        <w:spacing w:after="0" w:line="240" w:lineRule="auto"/>
        <w:jc w:val="both"/>
        <w:rPr>
          <w:rFonts w:ascii="Times New Roman" w:hAnsi="Times New Roman" w:cs="Times New Roman"/>
          <w:sz w:val="24"/>
          <w:szCs w:val="24"/>
        </w:rPr>
      </w:pPr>
      <w:r w:rsidRPr="00ED3C1B">
        <w:rPr>
          <w:rFonts w:ascii="Times New Roman" w:hAnsi="Times New Roman" w:cs="Times New Roman"/>
          <w:sz w:val="24"/>
          <w:szCs w:val="24"/>
        </w:rPr>
        <w:t>(28/11/04): Explotado por los Reyes Magos. El periodista se hace pasar por un empresario occidental y entra en fábricas de China donde niños, jóvenes y mayores trabajan en condiciones infrahumanas. Jornadas de 14 horas, siete días a la semana, para inundar Occidente de juguetes.</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t>En las fábricas-cárcel los empleados no pueden salir durante meses. Por una hora extra cobran 10 céntimos. El obrero memoriza un cuestionario por si aparece el inspector. “¿Has visto un menor trabajando?”: Respuesta: “No”. En Mou Yip, el periodista localiza a varios menores. Su cometido: fabricar miles de muñec</w:t>
      </w:r>
      <w:r w:rsidR="0024137C">
        <w:rPr>
          <w:rFonts w:ascii="Times New Roman" w:hAnsi="Times New Roman" w:cs="Times New Roman"/>
          <w:sz w:val="24"/>
          <w:szCs w:val="24"/>
        </w:rPr>
        <w:t>as a un euro y medio</w:t>
      </w:r>
      <w:r w:rsidR="00FE647D">
        <w:rPr>
          <w:rFonts w:ascii="Times New Roman" w:hAnsi="Times New Roman" w:cs="Times New Roman"/>
          <w:sz w:val="24"/>
          <w:szCs w:val="24"/>
        </w:rPr>
        <w:t>,</w:t>
      </w:r>
      <w:r w:rsidR="0024137C">
        <w:rPr>
          <w:rFonts w:ascii="Times New Roman" w:hAnsi="Times New Roman" w:cs="Times New Roman"/>
          <w:sz w:val="24"/>
          <w:szCs w:val="24"/>
        </w:rPr>
        <w:t xml:space="preserve"> la unidad.</w:t>
      </w:r>
    </w:p>
    <w:p w:rsidR="00ED3C1B" w:rsidRPr="00ED3C1B" w:rsidRDefault="0024137C"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ED3C1B" w:rsidRPr="00ED3C1B">
        <w:rPr>
          <w:rFonts w:ascii="Times New Roman" w:hAnsi="Times New Roman" w:cs="Times New Roman"/>
          <w:sz w:val="24"/>
          <w:szCs w:val="24"/>
        </w:rPr>
        <w:t>Y qué hacen las grandes empresas multinacionales en esta car</w:t>
      </w:r>
      <w:r>
        <w:rPr>
          <w:rFonts w:ascii="Times New Roman" w:hAnsi="Times New Roman" w:cs="Times New Roman"/>
          <w:sz w:val="24"/>
          <w:szCs w:val="24"/>
        </w:rPr>
        <w:t>rera -siniestra- de la pobreza?</w:t>
      </w:r>
    </w:p>
    <w:p w:rsidR="00ED3C1B" w:rsidRPr="00ED3C1B" w:rsidRDefault="00ED3C1B" w:rsidP="00550638">
      <w:pPr>
        <w:numPr>
          <w:ilvl w:val="0"/>
          <w:numId w:val="37"/>
        </w:numPr>
        <w:spacing w:after="0" w:line="240" w:lineRule="auto"/>
        <w:jc w:val="both"/>
        <w:rPr>
          <w:rFonts w:ascii="Times New Roman" w:hAnsi="Times New Roman" w:cs="Times New Roman"/>
          <w:sz w:val="24"/>
          <w:szCs w:val="24"/>
        </w:rPr>
      </w:pPr>
      <w:r w:rsidRPr="00ED3C1B">
        <w:rPr>
          <w:rFonts w:ascii="Times New Roman" w:hAnsi="Times New Roman" w:cs="Times New Roman"/>
          <w:sz w:val="24"/>
          <w:szCs w:val="24"/>
        </w:rPr>
        <w:t>(08/01/05): Nike, Puma y Kindy dejan Marruecos tras la apertura a las importaciones chinas.</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t>H&amp;M y Marks &amp; Spencer también preparan el cese de la producción en el país.</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t>Nike, Puma y Kindy, tres grandes multinacionales del sector textil, han dejado de subcontratar su producción en Marruecos como consecuencia del fin de las cuotas en el comercio textil mundial. La patronal del sector calcula en 70.000 los empleos amenazados. Marruecos puede perder el 40% del mercado europeo.</w:t>
      </w:r>
    </w:p>
    <w:p w:rsidR="00ED3C1B" w:rsidRPr="00ED3C1B" w:rsidRDefault="00ED3C1B" w:rsidP="00550638">
      <w:pPr>
        <w:spacing w:line="240" w:lineRule="auto"/>
        <w:ind w:left="720"/>
        <w:jc w:val="both"/>
        <w:rPr>
          <w:rFonts w:ascii="Times New Roman" w:hAnsi="Times New Roman" w:cs="Times New Roman"/>
          <w:sz w:val="24"/>
          <w:szCs w:val="24"/>
        </w:rPr>
      </w:pPr>
      <w:r w:rsidRPr="00ED3C1B">
        <w:rPr>
          <w:rFonts w:ascii="Times New Roman" w:hAnsi="Times New Roman" w:cs="Times New Roman"/>
          <w:sz w:val="24"/>
          <w:szCs w:val="24"/>
        </w:rPr>
        <w:lastRenderedPageBreak/>
        <w:t>De momento, parece que empiezan a confirmarse los augurios de que el fin de las cuotas va a suponer una deslocalización masiva de producción hacia China por parte de empre</w:t>
      </w:r>
      <w:r w:rsidR="0024137C">
        <w:rPr>
          <w:rFonts w:ascii="Times New Roman" w:hAnsi="Times New Roman" w:cs="Times New Roman"/>
          <w:sz w:val="24"/>
          <w:szCs w:val="24"/>
        </w:rPr>
        <w:t>sas europeas y estadounidenses.</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Estos son algunos ejemplos -sólo algunos- de la “paradoja de la liberalización”.</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 xml:space="preserve">Se ha invertido la estrategia de Henry Ford de pagar lo suficiente a sus trabajadores para que compren coches Ford. Las </w:t>
      </w:r>
      <w:r w:rsidR="0024137C">
        <w:rPr>
          <w:rFonts w:ascii="Times New Roman" w:hAnsi="Times New Roman" w:cs="Times New Roman"/>
          <w:sz w:val="24"/>
          <w:szCs w:val="24"/>
        </w:rPr>
        <w:t>mezquinas políticas salariales -</w:t>
      </w:r>
      <w:r w:rsidRPr="00ED3C1B">
        <w:rPr>
          <w:rFonts w:ascii="Times New Roman" w:hAnsi="Times New Roman" w:cs="Times New Roman"/>
          <w:sz w:val="24"/>
          <w:szCs w:val="24"/>
        </w:rPr>
        <w:t>que van imponiéndose en EEUU y Europa- son parte de una economía en la que los trabajadores sólo pueden permitirse el “lujo</w:t>
      </w:r>
      <w:r w:rsidR="0024137C">
        <w:rPr>
          <w:rFonts w:ascii="Times New Roman" w:hAnsi="Times New Roman" w:cs="Times New Roman"/>
          <w:sz w:val="24"/>
          <w:szCs w:val="24"/>
        </w:rPr>
        <w:t xml:space="preserve">” de comprar productos chinos. </w:t>
      </w:r>
    </w:p>
    <w:p w:rsidR="00ED3C1B" w:rsidRPr="00ED3C1B" w:rsidRDefault="0024137C"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Así y todo -</w:t>
      </w:r>
      <w:r w:rsidR="00ED3C1B" w:rsidRPr="00ED3C1B">
        <w:rPr>
          <w:rFonts w:ascii="Times New Roman" w:hAnsi="Times New Roman" w:cs="Times New Roman"/>
          <w:sz w:val="24"/>
          <w:szCs w:val="24"/>
        </w:rPr>
        <w:t>una vez más- debemos soportar la misma hipocresía en el Foro Económico Mundial, en Davos, cuyo tema estrella es: “Seguridad y prosperidad, la misma moneda”. Para finalizar diciendo (</w:t>
      </w:r>
      <w:r>
        <w:rPr>
          <w:rFonts w:ascii="Times New Roman" w:hAnsi="Times New Roman" w:cs="Times New Roman"/>
          <w:sz w:val="24"/>
          <w:szCs w:val="24"/>
        </w:rPr>
        <w:t>¡</w:t>
      </w:r>
      <w:r w:rsidR="00ED3C1B" w:rsidRPr="00ED3C1B">
        <w:rPr>
          <w:rFonts w:ascii="Times New Roman" w:hAnsi="Times New Roman" w:cs="Times New Roman"/>
          <w:sz w:val="24"/>
          <w:szCs w:val="24"/>
        </w:rPr>
        <w:t xml:space="preserve">ofendiendo a la inteligencia y tomándonos por idiotas!): “Lo que se está escribiendo aquí es un nuevo pacto adaptado a los nuevos tiempos del viejo </w:t>
      </w:r>
      <w:r>
        <w:rPr>
          <w:rFonts w:ascii="Times New Roman" w:hAnsi="Times New Roman" w:cs="Times New Roman"/>
          <w:sz w:val="24"/>
          <w:szCs w:val="24"/>
        </w:rPr>
        <w:t>entre el capital y el trabajo”.</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Permítanme concluir c</w:t>
      </w:r>
      <w:r w:rsidR="0024137C">
        <w:rPr>
          <w:rFonts w:ascii="Times New Roman" w:hAnsi="Times New Roman" w:cs="Times New Roman"/>
          <w:sz w:val="24"/>
          <w:szCs w:val="24"/>
        </w:rPr>
        <w:t xml:space="preserve">itando a dos grandes Maestros. </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Dijo Camus: “Indudablemente cada generación se cree destinada a rehacer el mundo. La mía sabe, sin embargo, que no podrá hacerlo. Pero su tarea es, quizá, mayor. Consiste en impedir que el mundo se deshaga. Heredera de una historia corrupta en la que se mezclan las revoluciones fracasadas, las técnicas enloquecidas, los dioses muertos y las ideologías extenuadas; en la que poderes mediocres, que pueden hoy destruirlo todo, no saben convencer; en que la inteligencia se humilla hasta ponerse al se</w:t>
      </w:r>
      <w:r w:rsidR="0024137C">
        <w:rPr>
          <w:rFonts w:ascii="Times New Roman" w:hAnsi="Times New Roman" w:cs="Times New Roman"/>
          <w:sz w:val="24"/>
          <w:szCs w:val="24"/>
        </w:rPr>
        <w:t>rvicio del odio y la opresión”…</w:t>
      </w:r>
    </w:p>
    <w:p w:rsidR="00ED3C1B" w:rsidRPr="00ED3C1B"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 xml:space="preserve">Dijo </w:t>
      </w:r>
      <w:r w:rsidR="00BB5AAA" w:rsidRPr="00ED3C1B">
        <w:rPr>
          <w:rFonts w:ascii="Times New Roman" w:hAnsi="Times New Roman" w:cs="Times New Roman"/>
          <w:sz w:val="24"/>
          <w:szCs w:val="24"/>
        </w:rPr>
        <w:t>Sábato</w:t>
      </w:r>
      <w:r w:rsidRPr="00ED3C1B">
        <w:rPr>
          <w:rFonts w:ascii="Times New Roman" w:hAnsi="Times New Roman" w:cs="Times New Roman"/>
          <w:sz w:val="24"/>
          <w:szCs w:val="24"/>
        </w:rPr>
        <w:t>: “Tenemos que absolutamente saber que hay una manera de contribuir a la protección de la humanidad, y es no resignarse.</w:t>
      </w:r>
    </w:p>
    <w:p w:rsidR="00094160" w:rsidRDefault="00ED3C1B" w:rsidP="00550638">
      <w:pPr>
        <w:spacing w:line="240" w:lineRule="auto"/>
        <w:jc w:val="both"/>
        <w:rPr>
          <w:rFonts w:ascii="Times New Roman" w:hAnsi="Times New Roman" w:cs="Times New Roman"/>
          <w:sz w:val="24"/>
          <w:szCs w:val="24"/>
        </w:rPr>
      </w:pPr>
      <w:r w:rsidRPr="00ED3C1B">
        <w:rPr>
          <w:rFonts w:ascii="Times New Roman" w:hAnsi="Times New Roman" w:cs="Times New Roman"/>
          <w:sz w:val="24"/>
          <w:szCs w:val="24"/>
        </w:rPr>
        <w:t>Veinte o treinta empresas, como un salvaje animal totalitario, tienen el dominio del planeta en sus garras. Déspotas invisibles, controlan con sus órdenes la dictadura del hambre, la que ya no respeta ideologías ni banderas. Continentes enteros en la miseria junto a altos niveles tecnológicos, posibilidades de vida asombrosa a la par de millones de hombres desocupados, sin hogar, sin asistencia médica. Diariamente es amputada la vida de miles de hombres y mujeres; de innumerable cantidad de adolescentes que no tendrán ocasión de comenzar siquiera a entrever el contenido de sus sueños. Ya la gente tiene temor que por tomar decisiones que hagan más humana su vida, pierdan el trabajo, sean expulsados y pasen a pertenecer a esas multitudes que corren acongojadas en busca de un empleo que les impida caer en la miseria. Son los excluidos, una categoría nueva que habla tanto de la explosión demográfica como de la incapacidad de esta economía en cuyos balances no cuentan la vida de millones de hombres y mujeres que así viven y mueren en la peor miseria. Son los excluidos de las necesidades mínimas de la comida, la salud, la educación y la justicia; de las ciudades como de sus tierras”…</w:t>
      </w:r>
    </w:p>
    <w:p w:rsidR="00700909" w:rsidRDefault="007D747F" w:rsidP="00550638">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(De 2005 a 2013) </w:t>
      </w:r>
      <w:r w:rsidR="009F48E5">
        <w:rPr>
          <w:rFonts w:ascii="Times New Roman" w:hAnsi="Times New Roman" w:cs="Times New Roman"/>
          <w:b/>
          <w:sz w:val="24"/>
          <w:szCs w:val="24"/>
        </w:rPr>
        <w:t>“Y m</w:t>
      </w:r>
      <w:r w:rsidR="00DF00A7">
        <w:rPr>
          <w:rFonts w:ascii="Times New Roman" w:hAnsi="Times New Roman" w:cs="Times New Roman"/>
          <w:b/>
          <w:sz w:val="24"/>
          <w:szCs w:val="24"/>
        </w:rPr>
        <w:t xml:space="preserve">ira </w:t>
      </w:r>
      <w:r w:rsidR="00C44CDB">
        <w:rPr>
          <w:rFonts w:ascii="Times New Roman" w:hAnsi="Times New Roman" w:cs="Times New Roman"/>
          <w:b/>
          <w:sz w:val="24"/>
          <w:szCs w:val="24"/>
        </w:rPr>
        <w:t>que ha llovido desde entonces”</w:t>
      </w:r>
      <w:r w:rsidR="00700909">
        <w:rPr>
          <w:rFonts w:ascii="Times New Roman" w:hAnsi="Times New Roman" w:cs="Times New Roman"/>
          <w:b/>
          <w:sz w:val="24"/>
          <w:szCs w:val="24"/>
        </w:rPr>
        <w:t>…</w:t>
      </w:r>
      <w:r w:rsidR="00700909" w:rsidRPr="00700909">
        <w:rPr>
          <w:rFonts w:ascii="Times New Roman" w:hAnsi="Times New Roman" w:cs="Times New Roman"/>
          <w:b/>
          <w:sz w:val="24"/>
          <w:szCs w:val="24"/>
        </w:rPr>
        <w:t xml:space="preserve"> </w:t>
      </w:r>
    </w:p>
    <w:p w:rsidR="001C7E02" w:rsidRDefault="00700909" w:rsidP="00550638">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C44CDB">
        <w:rPr>
          <w:rFonts w:ascii="Times New Roman" w:hAnsi="Times New Roman" w:cs="Times New Roman"/>
          <w:b/>
          <w:sz w:val="24"/>
          <w:szCs w:val="24"/>
        </w:rPr>
        <w:t>Octubre de 2013</w:t>
      </w:r>
      <w:r>
        <w:rPr>
          <w:rFonts w:ascii="Times New Roman" w:hAnsi="Times New Roman" w:cs="Times New Roman"/>
          <w:b/>
          <w:sz w:val="24"/>
          <w:szCs w:val="24"/>
        </w:rPr>
        <w:t>) Desde el</w:t>
      </w:r>
      <w:r w:rsidR="00C44CDB">
        <w:rPr>
          <w:rFonts w:ascii="Times New Roman" w:hAnsi="Times New Roman" w:cs="Times New Roman"/>
          <w:b/>
          <w:sz w:val="24"/>
          <w:szCs w:val="24"/>
        </w:rPr>
        <w:t xml:space="preserve"> año 2008 en adelante</w:t>
      </w:r>
      <w:r w:rsidR="00823F33">
        <w:rPr>
          <w:rFonts w:ascii="Times New Roman" w:hAnsi="Times New Roman" w:cs="Times New Roman"/>
          <w:b/>
          <w:sz w:val="24"/>
          <w:szCs w:val="24"/>
        </w:rPr>
        <w:t>, los habitantes de los países avanzados (¡vaya sarcasmo!)</w:t>
      </w:r>
      <w:r w:rsidR="000D144D">
        <w:rPr>
          <w:rFonts w:ascii="Times New Roman" w:hAnsi="Times New Roman" w:cs="Times New Roman"/>
          <w:b/>
          <w:sz w:val="24"/>
          <w:szCs w:val="24"/>
        </w:rPr>
        <w:t xml:space="preserve"> fueron</w:t>
      </w:r>
      <w:r w:rsidR="00C44CDB">
        <w:rPr>
          <w:rFonts w:ascii="Times New Roman" w:hAnsi="Times New Roman" w:cs="Times New Roman"/>
          <w:b/>
          <w:sz w:val="24"/>
          <w:szCs w:val="24"/>
        </w:rPr>
        <w:t xml:space="preserve"> “agraciados” con la mayor depresión registrada desde el año 1930</w:t>
      </w:r>
      <w:r w:rsidR="00823F33">
        <w:rPr>
          <w:rFonts w:ascii="Times New Roman" w:hAnsi="Times New Roman" w:cs="Times New Roman"/>
          <w:b/>
          <w:sz w:val="24"/>
          <w:szCs w:val="24"/>
        </w:rPr>
        <w:t>, y</w:t>
      </w:r>
      <w:r w:rsidR="001C7E02">
        <w:rPr>
          <w:rFonts w:ascii="Times New Roman" w:hAnsi="Times New Roman" w:cs="Times New Roman"/>
          <w:b/>
          <w:sz w:val="24"/>
          <w:szCs w:val="24"/>
        </w:rPr>
        <w:t xml:space="preserve"> “enviados” al Tercer Mundo,</w:t>
      </w:r>
      <w:r>
        <w:rPr>
          <w:rFonts w:ascii="Times New Roman" w:hAnsi="Times New Roman" w:cs="Times New Roman"/>
          <w:b/>
          <w:sz w:val="24"/>
          <w:szCs w:val="24"/>
        </w:rPr>
        <w:t xml:space="preserve"> en un vuelo</w:t>
      </w:r>
      <w:r w:rsidR="001C7E02">
        <w:rPr>
          <w:rFonts w:ascii="Times New Roman" w:hAnsi="Times New Roman" w:cs="Times New Roman"/>
          <w:b/>
          <w:sz w:val="24"/>
          <w:szCs w:val="24"/>
        </w:rPr>
        <w:t xml:space="preserve"> non stop.</w:t>
      </w:r>
      <w:r w:rsidR="00823F33">
        <w:rPr>
          <w:rFonts w:ascii="Times New Roman" w:hAnsi="Times New Roman" w:cs="Times New Roman"/>
          <w:b/>
          <w:sz w:val="24"/>
          <w:szCs w:val="24"/>
        </w:rPr>
        <w:t xml:space="preserve"> </w:t>
      </w:r>
    </w:p>
    <w:p w:rsidR="004A5919" w:rsidRDefault="00D5108D" w:rsidP="00550638">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el sumidero de la historia se h</w:t>
      </w:r>
      <w:r w:rsidR="000D144D">
        <w:rPr>
          <w:rFonts w:ascii="Times New Roman" w:hAnsi="Times New Roman" w:cs="Times New Roman"/>
          <w:b/>
          <w:sz w:val="24"/>
          <w:szCs w:val="24"/>
        </w:rPr>
        <w:t>an ido, o van en camino de ello</w:t>
      </w:r>
      <w:r>
        <w:rPr>
          <w:rFonts w:ascii="Times New Roman" w:hAnsi="Times New Roman" w:cs="Times New Roman"/>
          <w:b/>
          <w:sz w:val="24"/>
          <w:szCs w:val="24"/>
        </w:rPr>
        <w:t>, años de</w:t>
      </w:r>
      <w:r w:rsidR="000D144D">
        <w:rPr>
          <w:rFonts w:ascii="Times New Roman" w:hAnsi="Times New Roman" w:cs="Times New Roman"/>
          <w:b/>
          <w:sz w:val="24"/>
          <w:szCs w:val="24"/>
        </w:rPr>
        <w:t xml:space="preserve"> luchas y</w:t>
      </w:r>
      <w:r>
        <w:rPr>
          <w:rFonts w:ascii="Times New Roman" w:hAnsi="Times New Roman" w:cs="Times New Roman"/>
          <w:b/>
          <w:sz w:val="24"/>
          <w:szCs w:val="24"/>
        </w:rPr>
        <w:t xml:space="preserve"> conquistas sociales, beneficios que las sociedades desarrolladas (¿debería decir, </w:t>
      </w:r>
      <w:r>
        <w:rPr>
          <w:rFonts w:ascii="Times New Roman" w:hAnsi="Times New Roman" w:cs="Times New Roman"/>
          <w:b/>
          <w:sz w:val="24"/>
          <w:szCs w:val="24"/>
        </w:rPr>
        <w:lastRenderedPageBreak/>
        <w:t>“ex”?) daban por</w:t>
      </w:r>
      <w:r w:rsidR="000D144D">
        <w:rPr>
          <w:rFonts w:ascii="Times New Roman" w:hAnsi="Times New Roman" w:cs="Times New Roman"/>
          <w:b/>
          <w:sz w:val="24"/>
          <w:szCs w:val="24"/>
        </w:rPr>
        <w:t xml:space="preserve"> </w:t>
      </w:r>
      <w:r>
        <w:rPr>
          <w:rFonts w:ascii="Times New Roman" w:hAnsi="Times New Roman" w:cs="Times New Roman"/>
          <w:b/>
          <w:sz w:val="24"/>
          <w:szCs w:val="24"/>
        </w:rPr>
        <w:t>seguros, estables y predecibles. Educación, sanidad, pensiones… todo un sistema</w:t>
      </w:r>
      <w:r w:rsidR="000D144D">
        <w:rPr>
          <w:rFonts w:ascii="Times New Roman" w:hAnsi="Times New Roman" w:cs="Times New Roman"/>
          <w:b/>
          <w:sz w:val="24"/>
          <w:szCs w:val="24"/>
        </w:rPr>
        <w:t xml:space="preserve"> de protección, redistribución de ingresos, </w:t>
      </w:r>
      <w:r>
        <w:rPr>
          <w:rFonts w:ascii="Times New Roman" w:hAnsi="Times New Roman" w:cs="Times New Roman"/>
          <w:b/>
          <w:sz w:val="24"/>
          <w:szCs w:val="24"/>
        </w:rPr>
        <w:t>equilibrio social…</w:t>
      </w:r>
      <w:r w:rsidR="000D144D">
        <w:rPr>
          <w:rFonts w:ascii="Times New Roman" w:hAnsi="Times New Roman" w:cs="Times New Roman"/>
          <w:b/>
          <w:sz w:val="24"/>
          <w:szCs w:val="24"/>
        </w:rPr>
        <w:t xml:space="preserve"> se ven cercenados, limitados, restringidos, condicionados, circunscriptos, </w:t>
      </w:r>
      <w:r w:rsidR="004A5919">
        <w:rPr>
          <w:rFonts w:ascii="Times New Roman" w:hAnsi="Times New Roman" w:cs="Times New Roman"/>
          <w:b/>
          <w:sz w:val="24"/>
          <w:szCs w:val="24"/>
        </w:rPr>
        <w:t>trabados…</w:t>
      </w:r>
    </w:p>
    <w:p w:rsidR="004A5919" w:rsidRDefault="00700909" w:rsidP="00550638">
      <w:pPr>
        <w:spacing w:line="240" w:lineRule="auto"/>
        <w:jc w:val="both"/>
        <w:rPr>
          <w:rFonts w:ascii="Times New Roman" w:hAnsi="Times New Roman" w:cs="Times New Roman"/>
          <w:b/>
          <w:sz w:val="24"/>
          <w:szCs w:val="24"/>
        </w:rPr>
      </w:pPr>
      <w:r>
        <w:rPr>
          <w:rFonts w:ascii="Times New Roman" w:hAnsi="Times New Roman" w:cs="Times New Roman"/>
          <w:b/>
          <w:sz w:val="24"/>
          <w:szCs w:val="24"/>
        </w:rPr>
        <w:t>Es el</w:t>
      </w:r>
      <w:r w:rsidR="004A5919">
        <w:rPr>
          <w:rFonts w:ascii="Times New Roman" w:hAnsi="Times New Roman" w:cs="Times New Roman"/>
          <w:b/>
          <w:sz w:val="24"/>
          <w:szCs w:val="24"/>
        </w:rPr>
        <w:t xml:space="preserve"> “fin de la historia”, pero no por el “éxito” del “neolibralismo”, como proclamó Fukuyama, sino por el “fracaso”, estruendoso del “mercado de manos libres”, que muchos, como Fukuyama, promo</w:t>
      </w:r>
      <w:r w:rsidR="00501686">
        <w:rPr>
          <w:rFonts w:ascii="Times New Roman" w:hAnsi="Times New Roman" w:cs="Times New Roman"/>
          <w:b/>
          <w:sz w:val="24"/>
          <w:szCs w:val="24"/>
        </w:rPr>
        <w:t>vieron, justificaron o</w:t>
      </w:r>
      <w:r>
        <w:rPr>
          <w:rFonts w:ascii="Times New Roman" w:hAnsi="Times New Roman" w:cs="Times New Roman"/>
          <w:b/>
          <w:sz w:val="24"/>
          <w:szCs w:val="24"/>
        </w:rPr>
        <w:t xml:space="preserve"> toleraron</w:t>
      </w:r>
      <w:r w:rsidR="004A5919">
        <w:rPr>
          <w:rFonts w:ascii="Times New Roman" w:hAnsi="Times New Roman" w:cs="Times New Roman"/>
          <w:b/>
          <w:sz w:val="24"/>
          <w:szCs w:val="24"/>
        </w:rPr>
        <w:t>.</w:t>
      </w:r>
    </w:p>
    <w:p w:rsidR="004A5919" w:rsidRDefault="004A5919" w:rsidP="00550638">
      <w:pPr>
        <w:spacing w:line="240" w:lineRule="auto"/>
        <w:jc w:val="both"/>
        <w:rPr>
          <w:rFonts w:ascii="Times New Roman" w:hAnsi="Times New Roman" w:cs="Times New Roman"/>
          <w:b/>
          <w:sz w:val="24"/>
          <w:szCs w:val="24"/>
        </w:rPr>
      </w:pPr>
      <w:r>
        <w:rPr>
          <w:rFonts w:ascii="Times New Roman" w:hAnsi="Times New Roman" w:cs="Times New Roman"/>
          <w:b/>
          <w:sz w:val="24"/>
          <w:szCs w:val="24"/>
        </w:rPr>
        <w:t>Ahora, se trata de “pagar la cuenta”. Una cuenta que contrajeron los ricos y poderosos (los de siempre</w:t>
      </w:r>
      <w:r w:rsidR="00E9240B">
        <w:rPr>
          <w:rFonts w:ascii="Times New Roman" w:hAnsi="Times New Roman" w:cs="Times New Roman"/>
          <w:b/>
          <w:sz w:val="24"/>
          <w:szCs w:val="24"/>
        </w:rPr>
        <w:t>. vamos</w:t>
      </w:r>
      <w:r>
        <w:rPr>
          <w:rFonts w:ascii="Times New Roman" w:hAnsi="Times New Roman" w:cs="Times New Roman"/>
          <w:b/>
          <w:sz w:val="24"/>
          <w:szCs w:val="24"/>
        </w:rPr>
        <w:t>), pero que deben saldar los que trabajan, los que estudian, los desempleados, los po</w:t>
      </w:r>
      <w:r w:rsidR="00E9240B">
        <w:rPr>
          <w:rFonts w:ascii="Times New Roman" w:hAnsi="Times New Roman" w:cs="Times New Roman"/>
          <w:b/>
          <w:sz w:val="24"/>
          <w:szCs w:val="24"/>
        </w:rPr>
        <w:t>bres, los enfermos</w:t>
      </w:r>
      <w:r w:rsidR="00501686">
        <w:rPr>
          <w:rFonts w:ascii="Times New Roman" w:hAnsi="Times New Roman" w:cs="Times New Roman"/>
          <w:b/>
          <w:sz w:val="24"/>
          <w:szCs w:val="24"/>
        </w:rPr>
        <w:t>…</w:t>
      </w:r>
      <w:r w:rsidR="00E9240B">
        <w:rPr>
          <w:rFonts w:ascii="Times New Roman" w:hAnsi="Times New Roman" w:cs="Times New Roman"/>
          <w:b/>
          <w:sz w:val="24"/>
          <w:szCs w:val="24"/>
        </w:rPr>
        <w:t xml:space="preserve"> </w:t>
      </w:r>
      <w:r>
        <w:rPr>
          <w:rFonts w:ascii="Times New Roman" w:hAnsi="Times New Roman" w:cs="Times New Roman"/>
          <w:b/>
          <w:sz w:val="24"/>
          <w:szCs w:val="24"/>
        </w:rPr>
        <w:t>(los de siempre</w:t>
      </w:r>
      <w:r w:rsidR="00E9240B">
        <w:rPr>
          <w:rFonts w:ascii="Times New Roman" w:hAnsi="Times New Roman" w:cs="Times New Roman"/>
          <w:b/>
          <w:sz w:val="24"/>
          <w:szCs w:val="24"/>
        </w:rPr>
        <w:t>. vamos</w:t>
      </w:r>
      <w:r>
        <w:rPr>
          <w:rFonts w:ascii="Times New Roman" w:hAnsi="Times New Roman" w:cs="Times New Roman"/>
          <w:b/>
          <w:sz w:val="24"/>
          <w:szCs w:val="24"/>
        </w:rPr>
        <w:t>).</w:t>
      </w:r>
    </w:p>
    <w:p w:rsidR="00E9240B" w:rsidRDefault="00E9240B" w:rsidP="00550638">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cuenta que no se originó por el alto costo del Estado del Bienestar, como tratan de hacernos creer (vivir por encima de nuestras posibilidades), sino por el alto cost</w:t>
      </w:r>
      <w:r w:rsidR="00501686">
        <w:rPr>
          <w:rFonts w:ascii="Times New Roman" w:hAnsi="Times New Roman" w:cs="Times New Roman"/>
          <w:b/>
          <w:sz w:val="24"/>
          <w:szCs w:val="24"/>
        </w:rPr>
        <w:t>o de la Economía de Casino, que</w:t>
      </w:r>
      <w:r>
        <w:rPr>
          <w:rFonts w:ascii="Times New Roman" w:hAnsi="Times New Roman" w:cs="Times New Roman"/>
          <w:b/>
          <w:sz w:val="24"/>
          <w:szCs w:val="24"/>
        </w:rPr>
        <w:t xml:space="preserve"> se niegan a reconocer (especular por encima del</w:t>
      </w:r>
      <w:r w:rsidR="00501686">
        <w:rPr>
          <w:rFonts w:ascii="Times New Roman" w:hAnsi="Times New Roman" w:cs="Times New Roman"/>
          <w:b/>
          <w:sz w:val="24"/>
          <w:szCs w:val="24"/>
        </w:rPr>
        <w:t xml:space="preserve"> capital propio), y que ha sido el</w:t>
      </w:r>
      <w:r>
        <w:rPr>
          <w:rFonts w:ascii="Times New Roman" w:hAnsi="Times New Roman" w:cs="Times New Roman"/>
          <w:b/>
          <w:sz w:val="24"/>
          <w:szCs w:val="24"/>
        </w:rPr>
        <w:t xml:space="preserve"> gran causante del dé</w:t>
      </w:r>
      <w:r w:rsidR="00501686">
        <w:rPr>
          <w:rFonts w:ascii="Times New Roman" w:hAnsi="Times New Roman" w:cs="Times New Roman"/>
          <w:b/>
          <w:sz w:val="24"/>
          <w:szCs w:val="24"/>
        </w:rPr>
        <w:t>ficit y la deuda pública, con el</w:t>
      </w:r>
      <w:r>
        <w:rPr>
          <w:rFonts w:ascii="Times New Roman" w:hAnsi="Times New Roman" w:cs="Times New Roman"/>
          <w:b/>
          <w:sz w:val="24"/>
          <w:szCs w:val="24"/>
        </w:rPr>
        <w:t xml:space="preserve"> que ahora se les rescata (con el timo del riesgo sistémico y el mito de la estabilidad de los mercados).</w:t>
      </w:r>
      <w:r w:rsidR="00291F6B">
        <w:rPr>
          <w:rFonts w:ascii="Times New Roman" w:hAnsi="Times New Roman" w:cs="Times New Roman"/>
          <w:b/>
          <w:sz w:val="24"/>
          <w:szCs w:val="24"/>
        </w:rPr>
        <w:t xml:space="preserve"> Del “espejismo” a la “crisis”. Menuda receta.</w:t>
      </w:r>
    </w:p>
    <w:p w:rsidR="00DE2DFD" w:rsidRDefault="00DE2DFD" w:rsidP="00550638">
      <w:pPr>
        <w:pStyle w:val="NormalWeb"/>
        <w:jc w:val="both"/>
        <w:rPr>
          <w:b/>
        </w:rPr>
      </w:pPr>
      <w:r>
        <w:rPr>
          <w:b/>
        </w:rPr>
        <w:t xml:space="preserve">Sembrar el pánico. </w:t>
      </w:r>
      <w:r w:rsidRPr="00DE2DFD">
        <w:rPr>
          <w:b/>
        </w:rPr>
        <w:t xml:space="preserve">La inseguridad sanitaria (que es lo que nos ocupa), educativa (tratada anteriormente) o jubilatoria (el </w:t>
      </w:r>
      <w:r>
        <w:rPr>
          <w:b/>
        </w:rPr>
        <w:t>próximo apartado</w:t>
      </w:r>
      <w:r w:rsidRPr="00DE2DFD">
        <w:rPr>
          <w:b/>
        </w:rPr>
        <w:t>)</w:t>
      </w:r>
      <w:r>
        <w:rPr>
          <w:b/>
        </w:rPr>
        <w:t xml:space="preserve"> son los últimos eslabones</w:t>
      </w:r>
      <w:r w:rsidRPr="00DE2DFD">
        <w:rPr>
          <w:b/>
        </w:rPr>
        <w:t xml:space="preserve"> de una dependencia aberra</w:t>
      </w:r>
      <w:r>
        <w:rPr>
          <w:b/>
        </w:rPr>
        <w:t>nte de la economía financiera.</w:t>
      </w:r>
    </w:p>
    <w:p w:rsidR="00DE2DFD" w:rsidRDefault="00D710E4" w:rsidP="00550638">
      <w:pPr>
        <w:pStyle w:val="NormalWeb"/>
        <w:jc w:val="both"/>
        <w:rPr>
          <w:b/>
        </w:rPr>
      </w:pPr>
      <w:r w:rsidRPr="006528AE">
        <w:rPr>
          <w:b/>
        </w:rPr>
        <w:t>Hay una relación directa entre la institucionalidad de un país y su capacidad para educar a los niños, mejorar las infraestructuras, cuidar la salud de las personas y tener sistemas judiciales claros y transparentes. Es la base de todo el sist</w:t>
      </w:r>
      <w:r w:rsidR="006528AE">
        <w:rPr>
          <w:b/>
        </w:rPr>
        <w:t>ema. ¿Es razonable (justo y necesario) que algunos países europeos condenen a su población a vivir en condiciones de post-guerra, para pagar las indemnizaciones de una guerra (financiera) que libraron (y perdieron) los “amos del universo”?</w:t>
      </w:r>
    </w:p>
    <w:p w:rsidR="006528AE" w:rsidRDefault="00464EAD" w:rsidP="00550638">
      <w:pPr>
        <w:pStyle w:val="NormalWeb"/>
        <w:jc w:val="both"/>
        <w:rPr>
          <w:b/>
        </w:rPr>
      </w:pPr>
      <w:r>
        <w:rPr>
          <w:b/>
        </w:rPr>
        <w:t>No se trata de problemas de eficiencia del gasto (ya llegaremos a ello), siempre interesante, siempre conveniente,  sino de s</w:t>
      </w:r>
      <w:r w:rsidR="00600CB9">
        <w:rPr>
          <w:b/>
        </w:rPr>
        <w:t xml:space="preserve">obrevivencia del sistema </w:t>
      </w:r>
      <w:r>
        <w:rPr>
          <w:b/>
        </w:rPr>
        <w:t>de seguridad pública</w:t>
      </w:r>
      <w:r w:rsidR="00600CB9">
        <w:rPr>
          <w:b/>
        </w:rPr>
        <w:t xml:space="preserve">, de mantener la estabilidad y generar prosperidad (como había sido en los últimos 70 años). Parte de lo que fue necesario para moldear la Unión Europea. </w:t>
      </w:r>
    </w:p>
    <w:p w:rsidR="00600CB9" w:rsidRPr="00600CB9" w:rsidRDefault="00600CB9" w:rsidP="00550638">
      <w:pPr>
        <w:shd w:val="clear" w:color="auto" w:fill="FFFFFF"/>
        <w:spacing w:after="0" w:line="240" w:lineRule="auto"/>
        <w:jc w:val="both"/>
        <w:rPr>
          <w:rFonts w:ascii="Times New Roman" w:eastAsia="Times New Roman" w:hAnsi="Times New Roman" w:cs="Times New Roman"/>
          <w:b/>
          <w:sz w:val="24"/>
          <w:szCs w:val="24"/>
        </w:rPr>
      </w:pPr>
      <w:r w:rsidRPr="00600CB9">
        <w:rPr>
          <w:rFonts w:ascii="Times New Roman" w:eastAsia="Times New Roman" w:hAnsi="Times New Roman" w:cs="Times New Roman"/>
          <w:b/>
          <w:sz w:val="24"/>
          <w:szCs w:val="24"/>
        </w:rPr>
        <w:t>El interrogante es el siguiente: ¿La Unión Europea del siglo XXI se asemejará a Europa -la región dominante de gran parte de la historia moderna- durante la primera mitad del siglo XX, cuando experimentó dos guerras de costos y destrucción sin precedentes, o la segunda mitad, cuando las tensiones con la Unión Soviética se manejaron de manera efectiva y Europa occidental experimentó una paz y una prosperidad nunca antes vistas?</w:t>
      </w:r>
    </w:p>
    <w:p w:rsidR="00600CB9" w:rsidRPr="00600CB9" w:rsidRDefault="00600CB9" w:rsidP="00550638">
      <w:pPr>
        <w:shd w:val="clear" w:color="auto" w:fill="FFFFFF"/>
        <w:spacing w:after="0" w:line="240" w:lineRule="auto"/>
        <w:jc w:val="both"/>
        <w:rPr>
          <w:rFonts w:ascii="Times New Roman" w:eastAsia="Times New Roman" w:hAnsi="Times New Roman" w:cs="Times New Roman"/>
          <w:b/>
          <w:sz w:val="24"/>
          <w:szCs w:val="24"/>
        </w:rPr>
      </w:pPr>
    </w:p>
    <w:p w:rsidR="009B30EC" w:rsidRDefault="00600CB9" w:rsidP="00550638">
      <w:pPr>
        <w:shd w:val="clear" w:color="auto" w:fill="FFFFFF"/>
        <w:spacing w:after="0" w:line="240" w:lineRule="auto"/>
        <w:jc w:val="both"/>
        <w:rPr>
          <w:rFonts w:ascii="Times New Roman" w:eastAsia="Times New Roman" w:hAnsi="Times New Roman" w:cs="Times New Roman"/>
          <w:b/>
          <w:sz w:val="24"/>
          <w:szCs w:val="24"/>
        </w:rPr>
      </w:pPr>
      <w:r>
        <w:rPr>
          <w:rFonts w:ascii="Times New Roman" w:eastAsia="Times New Roman" w:hAnsi="Times New Roman" w:cs="Times New Roman"/>
          <w:b/>
          <w:sz w:val="24"/>
          <w:szCs w:val="24"/>
        </w:rPr>
        <w:t>E</w:t>
      </w:r>
      <w:r w:rsidRPr="00600CB9">
        <w:rPr>
          <w:rFonts w:ascii="Times New Roman" w:eastAsia="Times New Roman" w:hAnsi="Times New Roman" w:cs="Times New Roman"/>
          <w:b/>
          <w:sz w:val="24"/>
          <w:szCs w:val="24"/>
        </w:rPr>
        <w:t>uropa no solo tuvo suerte. La historia se desarrolló como lo hizo</w:t>
      </w:r>
      <w:r w:rsidR="00501686">
        <w:rPr>
          <w:rFonts w:ascii="Times New Roman" w:eastAsia="Times New Roman" w:hAnsi="Times New Roman" w:cs="Times New Roman"/>
          <w:b/>
          <w:sz w:val="24"/>
          <w:szCs w:val="24"/>
        </w:rPr>
        <w:t>, so</w:t>
      </w:r>
      <w:r w:rsidRPr="00600CB9">
        <w:rPr>
          <w:rFonts w:ascii="Times New Roman" w:eastAsia="Times New Roman" w:hAnsi="Times New Roman" w:cs="Times New Roman"/>
          <w:b/>
          <w:sz w:val="24"/>
          <w:szCs w:val="24"/>
        </w:rPr>
        <w:t>lo porque sus líderes políticos demostraron una gran visión y disciplina. En consecuencia, adversarios de larga data como Francia y Alemania se reconciliaron dentro de un proyecto regional -primero, una comunidad de carbón y acero, que se expandió hasta convertirse en la Comunidad Económica Europea y, finalmente, la Unión Europea- que integró al continente política y económicamente a punto tal que un conflicto violento pasó a ser impensable.</w:t>
      </w:r>
    </w:p>
    <w:p w:rsidR="00C80F91" w:rsidRDefault="00C80F91" w:rsidP="00550638">
      <w:pPr>
        <w:shd w:val="clear" w:color="auto" w:fill="FFFFFF"/>
        <w:spacing w:after="0" w:line="240" w:lineRule="auto"/>
        <w:jc w:val="both"/>
        <w:rPr>
          <w:rFonts w:ascii="Times New Roman" w:eastAsia="Times New Roman" w:hAnsi="Times New Roman" w:cs="Times New Roman"/>
          <w:b/>
          <w:sz w:val="24"/>
          <w:szCs w:val="24"/>
        </w:rPr>
      </w:pPr>
    </w:p>
    <w:p w:rsidR="009B30EC" w:rsidRDefault="009B30EC" w:rsidP="00550638">
      <w:pPr>
        <w:pStyle w:val="NormalWeb"/>
        <w:jc w:val="both"/>
        <w:rPr>
          <w:rStyle w:val="Textoennegrita"/>
          <w:rFonts w:eastAsiaTheme="majorEastAsia"/>
        </w:rPr>
      </w:pPr>
      <w:r>
        <w:rPr>
          <w:rStyle w:val="Textoennegrita"/>
          <w:rFonts w:eastAsiaTheme="majorEastAsia"/>
        </w:rPr>
        <w:lastRenderedPageBreak/>
        <w:t>Kafka en el seguro social</w:t>
      </w:r>
    </w:p>
    <w:p w:rsidR="009B30EC" w:rsidRDefault="009B30EC" w:rsidP="00550638">
      <w:pPr>
        <w:pStyle w:val="NormalWeb"/>
        <w:jc w:val="both"/>
        <w:rPr>
          <w:rStyle w:val="Textoennegrita"/>
          <w:rFonts w:eastAsiaTheme="majorEastAsia"/>
        </w:rPr>
      </w:pPr>
      <w:r>
        <w:rPr>
          <w:rStyle w:val="Textoennegrita"/>
          <w:rFonts w:eastAsiaTheme="majorEastAsia"/>
        </w:rPr>
        <w:t>La opción sanitaria europe</w:t>
      </w:r>
      <w:r w:rsidR="006850A8">
        <w:rPr>
          <w:rStyle w:val="Textoennegrita"/>
          <w:rFonts w:eastAsiaTheme="majorEastAsia"/>
        </w:rPr>
        <w:t>a más temible (no improbable) es</w:t>
      </w:r>
      <w:r>
        <w:rPr>
          <w:rStyle w:val="Textoennegrita"/>
          <w:rFonts w:eastAsiaTheme="majorEastAsia"/>
        </w:rPr>
        <w:t xml:space="preserve"> la del Tercer Mundo. </w:t>
      </w:r>
    </w:p>
    <w:p w:rsidR="009B30EC" w:rsidRPr="008A5875" w:rsidRDefault="009B30EC" w:rsidP="00550638">
      <w:pPr>
        <w:pStyle w:val="NormalWeb"/>
        <w:jc w:val="both"/>
        <w:rPr>
          <w:b/>
        </w:rPr>
      </w:pPr>
      <w:r w:rsidRPr="008A5875">
        <w:rPr>
          <w:rStyle w:val="Textoennegrita"/>
          <w:rFonts w:eastAsiaTheme="majorEastAsia"/>
          <w:b w:val="0"/>
        </w:rPr>
        <w:t>Y cuenta la historia…</w:t>
      </w:r>
    </w:p>
    <w:p w:rsidR="009B30EC" w:rsidRPr="002D7BCF" w:rsidRDefault="009B30EC" w:rsidP="00550638">
      <w:pPr>
        <w:pStyle w:val="NormalWeb"/>
        <w:jc w:val="both"/>
        <w:rPr>
          <w:i/>
        </w:rPr>
      </w:pPr>
      <w:r w:rsidRPr="002D7BCF">
        <w:rPr>
          <w:i/>
        </w:rPr>
        <w:t xml:space="preserve">“En 2008, el Gobierno de México lanzó un novedoso concurso para identificar el trámite más inútil, engorroso y surrealista de los más de 4.200 que superpueblan la feroz burocracia federal. Además de un buen reguero de titulares, las más de 21.000 propuestas que recibió la iniciativa ofrecieron una espeluznante radiografía del </w:t>
      </w:r>
      <w:r w:rsidRPr="002D7BCF">
        <w:rPr>
          <w:rStyle w:val="Textoennegrita"/>
          <w:rFonts w:eastAsiaTheme="majorEastAsia"/>
          <w:b w:val="0"/>
          <w:i/>
        </w:rPr>
        <w:t>purgatorio en el que se ha convertido la Administración Pública mexicana</w:t>
      </w:r>
      <w:r w:rsidRPr="002D7BCF">
        <w:rPr>
          <w:i/>
        </w:rPr>
        <w:t>, donde abrir un negocio, introducir un reclamo o denunciar un robo puede convertirse en una auténtica roca de Sísifo del papeleo.</w:t>
      </w:r>
    </w:p>
    <w:p w:rsidR="009B30EC" w:rsidRPr="002D7BCF" w:rsidRDefault="009B30EC" w:rsidP="00550638">
      <w:pPr>
        <w:pStyle w:val="NormalWeb"/>
        <w:jc w:val="both"/>
        <w:rPr>
          <w:i/>
        </w:rPr>
      </w:pPr>
      <w:r w:rsidRPr="002D7BCF">
        <w:rPr>
          <w:i/>
        </w:rPr>
        <w:t>La palma (y los casi 16.000 euros de premio) se la llevó una atribulada madre soltera que, dos veces al mes, pasaba las de Caín en los pasillos del Seguro Social tratando de conseguir un medicamento para su hijo de siete años. Formalizar el pedido le tomaba un mínimo de cuatro días, en los que debía lidiar con una maraña de no menos de ocho funcionarios.</w:t>
      </w:r>
    </w:p>
    <w:p w:rsidR="009B30EC" w:rsidRPr="002D7BCF" w:rsidRDefault="009B30EC" w:rsidP="00550638">
      <w:pPr>
        <w:pStyle w:val="NormalWeb"/>
        <w:jc w:val="both"/>
        <w:rPr>
          <w:i/>
        </w:rPr>
      </w:pPr>
      <w:r w:rsidRPr="002D7BCF">
        <w:rPr>
          <w:i/>
        </w:rPr>
        <w:t xml:space="preserve">No faltó quien postulara al propio concurso como “el trámite más inútil” ante las dificultades que tuvieron para encontrar las bases de la convocatoria. Y a tenor de los resultados, algunos no dudarían en darles la razón. De las 1.200 diligencias que se propusieron eliminar en tres años, las autoridades apenas podaron 30, </w:t>
      </w:r>
      <w:hyperlink r:id="rId357" w:history="1">
        <w:r w:rsidRPr="002D7BCF">
          <w:rPr>
            <w:rStyle w:val="Hipervnculo"/>
            <w:rFonts w:eastAsiaTheme="majorEastAsia"/>
            <w:i/>
            <w:color w:val="auto"/>
            <w:u w:val="none"/>
          </w:rPr>
          <w:t>según el informe final de la Secretaría de la Función Pública</w:t>
        </w:r>
      </w:hyperlink>
      <w:r w:rsidRPr="002D7BCF">
        <w:rPr>
          <w:i/>
        </w:rPr>
        <w:t>.</w:t>
      </w:r>
    </w:p>
    <w:p w:rsidR="002D7BCF" w:rsidRDefault="009B30EC" w:rsidP="00550638">
      <w:pPr>
        <w:pStyle w:val="NormalWeb"/>
        <w:jc w:val="both"/>
      </w:pPr>
      <w:r w:rsidRPr="002D7BCF">
        <w:rPr>
          <w:i/>
        </w:rPr>
        <w:t xml:space="preserve">A día de hoy, los mexicanos (y su productividad) siguen languideciendo en interminables colas para hacer trámites kafkianos en oficinas cochambrosas a merced de funcionarios incompetentes, despóticos o directamente corruptos. </w:t>
      </w:r>
      <w:r w:rsidRPr="002D7BCF">
        <w:rPr>
          <w:rStyle w:val="Textoennegrita"/>
          <w:rFonts w:eastAsiaTheme="majorEastAsia"/>
          <w:b w:val="0"/>
          <w:i/>
        </w:rPr>
        <w:t>Un rosario de despropósitos que se reza en toda América Latina, con alguna honrosa excepción</w:t>
      </w:r>
      <w:r w:rsidRPr="002D7BCF">
        <w:rPr>
          <w:i/>
        </w:rPr>
        <w:t xml:space="preserve"> que viene a confirmar la triste regla”</w:t>
      </w:r>
      <w:r w:rsidR="002D7BCF">
        <w:rPr>
          <w:i/>
        </w:rPr>
        <w:t xml:space="preserve">… </w:t>
      </w:r>
      <w:r w:rsidR="002D7BCF" w:rsidRPr="00266268">
        <w:rPr>
          <w:u w:val="single"/>
        </w:rPr>
        <w:t>Esta es la maldición de Latinoamérica</w:t>
      </w:r>
      <w:r w:rsidR="002D7BCF">
        <w:t xml:space="preserve"> (El Confidencial - </w:t>
      </w:r>
      <w:r w:rsidR="002D7BCF" w:rsidRPr="00266268">
        <w:rPr>
          <w:b/>
        </w:rPr>
        <w:t>30/10/13</w:t>
      </w:r>
      <w:r w:rsidR="002D7BCF">
        <w:t>)</w:t>
      </w:r>
    </w:p>
    <w:p w:rsidR="002D7BCF" w:rsidRDefault="002D7BCF" w:rsidP="00550638">
      <w:pPr>
        <w:pStyle w:val="NormalWeb"/>
        <w:jc w:val="both"/>
        <w:rPr>
          <w:b/>
        </w:rPr>
      </w:pPr>
      <w:r w:rsidRPr="002D7BCF">
        <w:rPr>
          <w:b/>
        </w:rPr>
        <w:t>¿A esta</w:t>
      </w:r>
      <w:r>
        <w:rPr>
          <w:b/>
        </w:rPr>
        <w:t xml:space="preserve"> </w:t>
      </w:r>
      <w:r w:rsidRPr="002D7BCF">
        <w:rPr>
          <w:b/>
        </w:rPr>
        <w:t>situación</w:t>
      </w:r>
      <w:r w:rsidR="004145FB">
        <w:rPr>
          <w:b/>
        </w:rPr>
        <w:t>,</w:t>
      </w:r>
      <w:r>
        <w:rPr>
          <w:b/>
        </w:rPr>
        <w:t xml:space="preserve"> </w:t>
      </w:r>
      <w:r w:rsidRPr="002D7BCF">
        <w:rPr>
          <w:b/>
        </w:rPr>
        <w:t>quieren llegar los líderes europ</w:t>
      </w:r>
      <w:r w:rsidR="00501686">
        <w:rPr>
          <w:b/>
        </w:rPr>
        <w:t>eos cuando proponen instaurar l</w:t>
      </w:r>
      <w:r w:rsidRPr="002D7BCF">
        <w:rPr>
          <w:b/>
        </w:rPr>
        <w:t>a “sociedad participativa”</w:t>
      </w:r>
      <w:r w:rsidR="00CF4CC7">
        <w:rPr>
          <w:b/>
        </w:rPr>
        <w:t>,</w:t>
      </w:r>
      <w:r w:rsidRPr="002D7BCF">
        <w:rPr>
          <w:b/>
        </w:rPr>
        <w:t xml:space="preserve"> o la “</w:t>
      </w:r>
      <w:r w:rsidR="00BA0E24">
        <w:rPr>
          <w:b/>
        </w:rPr>
        <w:t xml:space="preserve">solidaridad </w:t>
      </w:r>
      <w:r w:rsidRPr="002D7BCF">
        <w:rPr>
          <w:b/>
        </w:rPr>
        <w:t>directa”</w:t>
      </w:r>
      <w:r w:rsidR="00CF4CC7">
        <w:rPr>
          <w:b/>
        </w:rPr>
        <w:t>,</w:t>
      </w:r>
      <w:r w:rsidRPr="002D7BCF">
        <w:rPr>
          <w:b/>
        </w:rPr>
        <w:t xml:space="preserve"> o la “big society”?</w:t>
      </w:r>
    </w:p>
    <w:p w:rsidR="002D7BCF" w:rsidRDefault="00BA0E24" w:rsidP="00550638">
      <w:pPr>
        <w:pStyle w:val="NormalWeb"/>
        <w:jc w:val="both"/>
        <w:rPr>
          <w:b/>
        </w:rPr>
      </w:pPr>
      <w:r>
        <w:rPr>
          <w:b/>
        </w:rPr>
        <w:t>En esa tesitura</w:t>
      </w:r>
      <w:r w:rsidR="004145FB">
        <w:rPr>
          <w:b/>
        </w:rPr>
        <w:t xml:space="preserve"> “tercermundista”: ¿“la gente quiere decidir por sí misma, organizar su vida y cuidar de los otros”?</w:t>
      </w:r>
    </w:p>
    <w:p w:rsidR="00BA0E24" w:rsidRDefault="00BA0E24" w:rsidP="00550638">
      <w:pPr>
        <w:pStyle w:val="NormalWeb"/>
        <w:jc w:val="both"/>
        <w:rPr>
          <w:b/>
        </w:rPr>
      </w:pPr>
      <w:r>
        <w:rPr>
          <w:b/>
        </w:rPr>
        <w:t>¿Privar a los sectores más necesitados de la población de un sistema sanitario amplio y eficiente, equivale a “reinventar” el Estado del Bienestar?</w:t>
      </w:r>
    </w:p>
    <w:p w:rsidR="00BA0E24" w:rsidRDefault="00BA0E24" w:rsidP="00550638">
      <w:pPr>
        <w:pStyle w:val="NormalWeb"/>
        <w:jc w:val="both"/>
        <w:rPr>
          <w:b/>
        </w:rPr>
      </w:pPr>
      <w:r>
        <w:rPr>
          <w:b/>
        </w:rPr>
        <w:t>¿Los</w:t>
      </w:r>
      <w:r w:rsidR="006D5C32">
        <w:rPr>
          <w:b/>
        </w:rPr>
        <w:t xml:space="preserve"> pacientes</w:t>
      </w:r>
      <w:r>
        <w:rPr>
          <w:b/>
        </w:rPr>
        <w:t xml:space="preserve"> que concurren al hospital </w:t>
      </w:r>
      <w:r w:rsidR="006D5C32">
        <w:rPr>
          <w:b/>
        </w:rPr>
        <w:t>público a recibir atención sanitaria,</w:t>
      </w:r>
      <w:r>
        <w:rPr>
          <w:b/>
        </w:rPr>
        <w:t xml:space="preserve"> se “corrompen</w:t>
      </w:r>
      <w:r w:rsidR="006D5C32">
        <w:rPr>
          <w:b/>
        </w:rPr>
        <w:t>” porque los hace dependientes de las ayudas?</w:t>
      </w:r>
    </w:p>
    <w:p w:rsidR="00C80F91" w:rsidRDefault="00501686" w:rsidP="00550638">
      <w:pPr>
        <w:pStyle w:val="NormalWeb"/>
        <w:jc w:val="both"/>
        <w:rPr>
          <w:b/>
        </w:rPr>
      </w:pPr>
      <w:r>
        <w:rPr>
          <w:b/>
        </w:rPr>
        <w:t xml:space="preserve">¿Los </w:t>
      </w:r>
      <w:r w:rsidR="006D5C32">
        <w:rPr>
          <w:b/>
        </w:rPr>
        <w:t>enfermos conectados a la “máquina de diálisis” para su tratamiento (por ejemplo), pueden considerar al estado como una “maquinita de la felicidad”?</w:t>
      </w:r>
    </w:p>
    <w:p w:rsidR="006D5C32" w:rsidRDefault="00EC42CB" w:rsidP="00550638">
      <w:pPr>
        <w:pStyle w:val="NormalWeb"/>
        <w:jc w:val="both"/>
        <w:rPr>
          <w:b/>
        </w:rPr>
      </w:pPr>
      <w:r>
        <w:rPr>
          <w:b/>
        </w:rPr>
        <w:lastRenderedPageBreak/>
        <w:t>Dios mío: c</w:t>
      </w:r>
      <w:r w:rsidR="006D5C32">
        <w:rPr>
          <w:b/>
        </w:rPr>
        <w:t>uanta injusticia</w:t>
      </w:r>
      <w:r>
        <w:rPr>
          <w:b/>
        </w:rPr>
        <w:t>,</w:t>
      </w:r>
      <w:r w:rsidR="00FA2F07">
        <w:rPr>
          <w:b/>
        </w:rPr>
        <w:t xml:space="preserve"> cuanto despotismo,</w:t>
      </w:r>
      <w:r>
        <w:rPr>
          <w:b/>
        </w:rPr>
        <w:t xml:space="preserve"> </w:t>
      </w:r>
      <w:r w:rsidR="006D5C32">
        <w:rPr>
          <w:b/>
        </w:rPr>
        <w:t>cuan</w:t>
      </w:r>
      <w:r w:rsidR="00FA2F07">
        <w:rPr>
          <w:b/>
        </w:rPr>
        <w:t>ta mediocridad moral</w:t>
      </w:r>
      <w:r w:rsidR="006D5C32">
        <w:rPr>
          <w:b/>
        </w:rPr>
        <w:t>, cuanta estupidez, cua</w:t>
      </w:r>
      <w:r>
        <w:rPr>
          <w:b/>
        </w:rPr>
        <w:t xml:space="preserve">ntas mentiras, </w:t>
      </w:r>
      <w:r w:rsidR="006D5C32">
        <w:rPr>
          <w:b/>
        </w:rPr>
        <w:t>cuanta traición, cuanta corrupción, cuanta doblez, cuant</w:t>
      </w:r>
      <w:r>
        <w:rPr>
          <w:b/>
        </w:rPr>
        <w:t xml:space="preserve">a hipocresía, cuanta arrogancia, cuanta insensibilidad, cuanta cobardía… </w:t>
      </w:r>
    </w:p>
    <w:p w:rsidR="00EC42CB" w:rsidRDefault="00EC42CB" w:rsidP="00550638">
      <w:pPr>
        <w:pStyle w:val="NormalWeb"/>
        <w:jc w:val="both"/>
        <w:rPr>
          <w:b/>
        </w:rPr>
      </w:pPr>
      <w:r>
        <w:rPr>
          <w:b/>
        </w:rPr>
        <w:t>Ante tal</w:t>
      </w:r>
      <w:r w:rsidR="00A911E0">
        <w:rPr>
          <w:b/>
        </w:rPr>
        <w:t xml:space="preserve"> ignominia,</w:t>
      </w:r>
      <w:r>
        <w:rPr>
          <w:b/>
        </w:rPr>
        <w:t xml:space="preserve"> </w:t>
      </w:r>
      <w:r w:rsidR="00345FEE">
        <w:rPr>
          <w:b/>
        </w:rPr>
        <w:t>afrenta</w:t>
      </w:r>
      <w:r w:rsidR="00A63A1F">
        <w:rPr>
          <w:b/>
        </w:rPr>
        <w:t>,</w:t>
      </w:r>
      <w:r w:rsidR="00A911E0">
        <w:rPr>
          <w:b/>
        </w:rPr>
        <w:t xml:space="preserve"> infamia, escarnio…</w:t>
      </w:r>
      <w:r w:rsidR="00A63A1F">
        <w:rPr>
          <w:b/>
        </w:rPr>
        <w:t xml:space="preserve"> solo puedo rogar</w:t>
      </w:r>
      <w:r>
        <w:rPr>
          <w:b/>
        </w:rPr>
        <w:t>:</w:t>
      </w:r>
      <w:r w:rsidR="00345FEE">
        <w:rPr>
          <w:b/>
        </w:rPr>
        <w:t xml:space="preserve"> </w:t>
      </w:r>
      <w:r w:rsidR="00A911E0">
        <w:rPr>
          <w:b/>
        </w:rPr>
        <w:t>“</w:t>
      </w:r>
      <w:r w:rsidR="00345FEE">
        <w:rPr>
          <w:b/>
        </w:rPr>
        <w:t>Señor no le</w:t>
      </w:r>
      <w:r>
        <w:rPr>
          <w:b/>
        </w:rPr>
        <w:t>s perdones</w:t>
      </w:r>
      <w:r w:rsidR="00345FEE">
        <w:rPr>
          <w:b/>
        </w:rPr>
        <w:t>,</w:t>
      </w:r>
      <w:r w:rsidR="00A911E0">
        <w:rPr>
          <w:b/>
        </w:rPr>
        <w:t xml:space="preserve"> porque</w:t>
      </w:r>
      <w:r>
        <w:rPr>
          <w:b/>
        </w:rPr>
        <w:t xml:space="preserve"> saben lo que hacen</w:t>
      </w:r>
      <w:r w:rsidR="00A911E0">
        <w:rPr>
          <w:b/>
        </w:rPr>
        <w:t>”</w:t>
      </w:r>
      <w:r>
        <w:rPr>
          <w:b/>
        </w:rPr>
        <w:t>.</w:t>
      </w:r>
    </w:p>
    <w:p w:rsidR="00FE647D" w:rsidRDefault="00FE647D" w:rsidP="00550638">
      <w:pPr>
        <w:pStyle w:val="NormalWeb"/>
        <w:jc w:val="both"/>
        <w:rPr>
          <w:b/>
        </w:rPr>
      </w:pPr>
      <w:r>
        <w:rPr>
          <w:b/>
        </w:rPr>
        <w:t xml:space="preserve">Enfermos de esperar: “Hermano Calmado” </w:t>
      </w:r>
    </w:p>
    <w:p w:rsidR="00FE647D" w:rsidRDefault="00FE647D" w:rsidP="00550638">
      <w:pPr>
        <w:spacing w:line="240" w:lineRule="auto"/>
        <w:jc w:val="both"/>
      </w:pPr>
      <w:r>
        <w:rPr>
          <w:noProof/>
          <w:lang w:eastAsia="es-ES"/>
        </w:rPr>
        <w:drawing>
          <wp:inline distT="0" distB="0" distL="0" distR="0" wp14:anchorId="17ADA153" wp14:editId="7B12BBE6">
            <wp:extent cx="5354726" cy="2245767"/>
            <wp:effectExtent l="0" t="0" r="0" b="2540"/>
            <wp:docPr id="456" name="Imagen 456" descr="chino-cuchillo-clavad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97681" descr="chino-cuchillo-clavado.jpg"/>
                    <pic:cNvPicPr>
                      <a:picLocks noChangeAspect="1" noChangeArrowheads="1"/>
                    </pic:cNvPicPr>
                  </pic:nvPicPr>
                  <pic:blipFill>
                    <a:blip r:embed="rId358">
                      <a:extLst>
                        <a:ext uri="{28A0092B-C50C-407E-A947-70E740481C1C}">
                          <a14:useLocalDpi xmlns:a14="http://schemas.microsoft.com/office/drawing/2010/main" val="0"/>
                        </a:ext>
                      </a:extLst>
                    </a:blip>
                    <a:srcRect/>
                    <a:stretch>
                      <a:fillRect/>
                    </a:stretch>
                  </pic:blipFill>
                  <pic:spPr bwMode="auto">
                    <a:xfrm>
                      <a:off x="0" y="0"/>
                      <a:ext cx="5354972" cy="2245870"/>
                    </a:xfrm>
                    <a:prstGeom prst="rect">
                      <a:avLst/>
                    </a:prstGeom>
                    <a:noFill/>
                    <a:ln>
                      <a:noFill/>
                    </a:ln>
                  </pic:spPr>
                </pic:pic>
              </a:graphicData>
            </a:graphic>
          </wp:inline>
        </w:drawing>
      </w:r>
    </w:p>
    <w:p w:rsidR="00FE647D" w:rsidRPr="00FE647D" w:rsidRDefault="008A5875" w:rsidP="00550638">
      <w:pPr>
        <w:pStyle w:val="Ttulo5"/>
        <w:spacing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 xml:space="preserve">El afectado </w:t>
      </w:r>
      <w:r w:rsidR="00FE647D" w:rsidRPr="00FE647D">
        <w:rPr>
          <w:rFonts w:ascii="Times New Roman" w:hAnsi="Times New Roman" w:cs="Times New Roman"/>
          <w:color w:val="auto"/>
          <w:sz w:val="24"/>
          <w:szCs w:val="24"/>
        </w:rPr>
        <w:t xml:space="preserve"> </w:t>
      </w:r>
      <w:r>
        <w:rPr>
          <w:rFonts w:ascii="Times New Roman" w:hAnsi="Times New Roman" w:cs="Times New Roman"/>
          <w:color w:val="auto"/>
          <w:sz w:val="24"/>
          <w:szCs w:val="24"/>
        </w:rPr>
        <w:t>(</w:t>
      </w:r>
      <w:r w:rsidR="00FE647D" w:rsidRPr="00FE647D">
        <w:rPr>
          <w:rFonts w:ascii="Times New Roman" w:hAnsi="Times New Roman" w:cs="Times New Roman"/>
          <w:iCs/>
          <w:color w:val="auto"/>
          <w:sz w:val="24"/>
          <w:szCs w:val="24"/>
        </w:rPr>
        <w:t>Imagen: Twitt</w:t>
      </w:r>
      <w:r>
        <w:rPr>
          <w:rFonts w:ascii="Times New Roman" w:hAnsi="Times New Roman" w:cs="Times New Roman"/>
          <w:iCs/>
          <w:color w:val="auto"/>
          <w:sz w:val="24"/>
          <w:szCs w:val="24"/>
        </w:rPr>
        <w:t xml:space="preserve">er - </w:t>
      </w:r>
      <w:r w:rsidR="00FE647D" w:rsidRPr="00FE647D">
        <w:rPr>
          <w:rFonts w:ascii="Times New Roman" w:hAnsi="Times New Roman" w:cs="Times New Roman"/>
          <w:iCs/>
          <w:color w:val="auto"/>
          <w:sz w:val="24"/>
          <w:szCs w:val="24"/>
        </w:rPr>
        <w:t xml:space="preserve">El Economista </w:t>
      </w:r>
      <w:r w:rsidR="00FE647D">
        <w:rPr>
          <w:rFonts w:ascii="Times New Roman" w:hAnsi="Times New Roman" w:cs="Times New Roman"/>
          <w:iCs/>
          <w:color w:val="auto"/>
          <w:sz w:val="24"/>
          <w:szCs w:val="24"/>
        </w:rPr>
        <w:t>-</w:t>
      </w:r>
      <w:r w:rsidR="00FE647D" w:rsidRPr="00FE647D">
        <w:rPr>
          <w:rFonts w:ascii="Times New Roman" w:hAnsi="Times New Roman" w:cs="Times New Roman"/>
          <w:iCs/>
          <w:color w:val="auto"/>
          <w:sz w:val="24"/>
          <w:szCs w:val="24"/>
        </w:rPr>
        <w:t xml:space="preserve"> 30/10/13)</w:t>
      </w:r>
    </w:p>
    <w:p w:rsidR="00FE647D" w:rsidRPr="00A63A1F" w:rsidRDefault="00FA2F07" w:rsidP="00550638">
      <w:pPr>
        <w:pStyle w:val="NormalWeb"/>
        <w:jc w:val="both"/>
        <w:rPr>
          <w:i/>
        </w:rPr>
      </w:pPr>
      <w:r>
        <w:rPr>
          <w:i/>
        </w:rPr>
        <w:t>“</w:t>
      </w:r>
      <w:r w:rsidR="00FE647D" w:rsidRPr="00A63A1F">
        <w:rPr>
          <w:i/>
        </w:rPr>
        <w:t>Las imágenes de un hombre en un hospital del noreste de China mientras aguardaba pacientemente su turno en una sala de espera con media hoja de un cuchillo clavada en su cráneo, circulan ampliamente en las redes sociales del país, donde los internautas se preguntan cómo puede alguien actuar con tal calma.</w:t>
      </w:r>
    </w:p>
    <w:p w:rsidR="00FE647D" w:rsidRPr="00A63A1F" w:rsidRDefault="00FE647D" w:rsidP="00550638">
      <w:pPr>
        <w:pStyle w:val="NormalWeb"/>
        <w:jc w:val="both"/>
        <w:rPr>
          <w:i/>
        </w:rPr>
      </w:pPr>
      <w:r w:rsidRPr="00A63A1F">
        <w:rPr>
          <w:bCs/>
          <w:i/>
        </w:rPr>
        <w:t>Las fotografías pertenecen a un hospital de la ciudad de Yanji, en la provincia de Jilin, donde se ve cómo el hombre espera en la entrada de la consulta o permanece sentado de brazos cruzados, casi sin inmutarse.</w:t>
      </w:r>
    </w:p>
    <w:p w:rsidR="00FE647D" w:rsidRPr="00A63A1F" w:rsidRDefault="00FE647D" w:rsidP="00550638">
      <w:pPr>
        <w:pStyle w:val="NormalWeb"/>
        <w:jc w:val="both"/>
        <w:rPr>
          <w:i/>
        </w:rPr>
      </w:pPr>
      <w:r w:rsidRPr="00A63A1F">
        <w:rPr>
          <w:i/>
        </w:rPr>
        <w:t>Los internautas han apodado al paciente “Hermano Calmado”, mientras la prensa local ha aclarado que el hombre, de mediana edad y cuyo nombre no ha sido revelado, se clavó el cuchillo de cocina en una pelea en broma con amigos.</w:t>
      </w:r>
    </w:p>
    <w:p w:rsidR="00FE647D" w:rsidRPr="00A63A1F" w:rsidRDefault="00FE647D" w:rsidP="00550638">
      <w:pPr>
        <w:pStyle w:val="NormalWeb"/>
        <w:jc w:val="both"/>
        <w:rPr>
          <w:i/>
        </w:rPr>
      </w:pPr>
      <w:r w:rsidRPr="00A63A1F">
        <w:rPr>
          <w:bCs/>
          <w:i/>
        </w:rPr>
        <w:t>La víctima no sentía apenas dolor cuando llegó al hospital, y al parecer el cuchillo no había llegado al interior del cráneo</w:t>
      </w:r>
      <w:r w:rsidRPr="00A63A1F">
        <w:rPr>
          <w:i/>
        </w:rPr>
        <w:t>, por lo que no causó daños cerebrales y fue retirado con facilidad, señalaron los médicos del hospital donde ocurrió el suceso, anejo a la Universidad de Yanbian.</w:t>
      </w:r>
    </w:p>
    <w:p w:rsidR="00FE647D" w:rsidRDefault="00FE647D" w:rsidP="00550638">
      <w:pPr>
        <w:pStyle w:val="NormalWeb"/>
        <w:jc w:val="both"/>
        <w:rPr>
          <w:i/>
        </w:rPr>
      </w:pPr>
      <w:r w:rsidRPr="00A63A1F">
        <w:rPr>
          <w:i/>
        </w:rPr>
        <w:t>Al parecer “Hermano Calmado” no ha interpuesto denuncia alguna contra sus amigos, y ha evitado hacer declaraciones a la prensa, mientras que el hospital se ha negado a facilitar más datos sobre su identidad</w:t>
      </w:r>
      <w:r w:rsidR="00FA2F07">
        <w:rPr>
          <w:i/>
        </w:rPr>
        <w:t>”..</w:t>
      </w:r>
      <w:r w:rsidRPr="00A63A1F">
        <w:rPr>
          <w:i/>
        </w:rPr>
        <w:t>.</w:t>
      </w:r>
    </w:p>
    <w:p w:rsidR="00FA2F07" w:rsidRDefault="00FA2F07" w:rsidP="00550638">
      <w:pPr>
        <w:pStyle w:val="NormalWeb"/>
        <w:jc w:val="both"/>
        <w:rPr>
          <w:b/>
        </w:rPr>
      </w:pPr>
      <w:r w:rsidRPr="00FA2F07">
        <w:rPr>
          <w:b/>
        </w:rPr>
        <w:t>¿Cuánto tiempo habrá que esperar para ver una “Imagen Twitter” semejante</w:t>
      </w:r>
      <w:r w:rsidR="00093E4F">
        <w:rPr>
          <w:b/>
        </w:rPr>
        <w:t>,</w:t>
      </w:r>
      <w:r w:rsidR="006C3D12">
        <w:rPr>
          <w:b/>
        </w:rPr>
        <w:t xml:space="preserve"> de</w:t>
      </w:r>
      <w:r w:rsidR="00093E4F">
        <w:rPr>
          <w:b/>
        </w:rPr>
        <w:t xml:space="preserve"> alguna</w:t>
      </w:r>
      <w:r w:rsidR="006C3D12">
        <w:rPr>
          <w:b/>
        </w:rPr>
        <w:t xml:space="preserve"> “sala de urgencias” en</w:t>
      </w:r>
      <w:r w:rsidRPr="00FA2F07">
        <w:rPr>
          <w:b/>
        </w:rPr>
        <w:t xml:space="preserve"> un hospital europeo (ya no digamos en los EEUU donde no se hacen fotos tan</w:t>
      </w:r>
      <w:r w:rsidR="006C3D12">
        <w:rPr>
          <w:b/>
        </w:rPr>
        <w:t>…</w:t>
      </w:r>
      <w:r w:rsidRPr="00FA2F07">
        <w:rPr>
          <w:b/>
        </w:rPr>
        <w:t xml:space="preserve"> “manidas”?</w:t>
      </w:r>
    </w:p>
    <w:p w:rsidR="00093E4F" w:rsidRDefault="00093E4F" w:rsidP="00550638">
      <w:pPr>
        <w:pStyle w:val="NormalWeb"/>
        <w:jc w:val="both"/>
        <w:rPr>
          <w:b/>
        </w:rPr>
      </w:pPr>
      <w:r>
        <w:rPr>
          <w:b/>
        </w:rPr>
        <w:lastRenderedPageBreak/>
        <w:t>Big society: pagar más y tener menos servicios (educación, sanidad, pensiones…).</w:t>
      </w:r>
    </w:p>
    <w:p w:rsidR="00093E4F" w:rsidRDefault="00093E4F" w:rsidP="00550638">
      <w:pPr>
        <w:pStyle w:val="NormalWeb"/>
        <w:jc w:val="both"/>
        <w:rPr>
          <w:b/>
        </w:rPr>
      </w:pPr>
      <w:r>
        <w:rPr>
          <w:b/>
        </w:rPr>
        <w:t>Tan despóticos con los débiles</w:t>
      </w:r>
      <w:r w:rsidR="00BE5975">
        <w:rPr>
          <w:b/>
        </w:rPr>
        <w:t xml:space="preserve"> (impositores)</w:t>
      </w:r>
      <w:r>
        <w:rPr>
          <w:b/>
        </w:rPr>
        <w:t xml:space="preserve"> y tan</w:t>
      </w:r>
      <w:r w:rsidR="00BE5975">
        <w:rPr>
          <w:b/>
        </w:rPr>
        <w:t xml:space="preserve"> serviles con los poderosos (ricos).</w:t>
      </w:r>
    </w:p>
    <w:p w:rsidR="000A37E1" w:rsidRDefault="00093E4F" w:rsidP="00550638">
      <w:pPr>
        <w:pStyle w:val="NormalWeb"/>
        <w:jc w:val="both"/>
        <w:rPr>
          <w:b/>
        </w:rPr>
      </w:pPr>
      <w:r>
        <w:rPr>
          <w:b/>
        </w:rPr>
        <w:t>Mientras a ustedes (ilustres dirigentes) les da igual lo qu</w:t>
      </w:r>
      <w:r w:rsidR="00BE5975">
        <w:rPr>
          <w:b/>
        </w:rPr>
        <w:t>e piensen los ciudadanos</w:t>
      </w:r>
      <w:r>
        <w:rPr>
          <w:b/>
        </w:rPr>
        <w:t>, creo, humildemente, que hay otra forma de hacer Europa (o EEUU, en su caso).</w:t>
      </w:r>
    </w:p>
    <w:p w:rsidR="00A911E0" w:rsidRDefault="00A911E0" w:rsidP="00550638">
      <w:pPr>
        <w:pStyle w:val="NormalWeb"/>
        <w:jc w:val="both"/>
        <w:rPr>
          <w:b/>
        </w:rPr>
      </w:pPr>
      <w:r>
        <w:rPr>
          <w:b/>
        </w:rPr>
        <w:t xml:space="preserve">Para </w:t>
      </w:r>
      <w:r w:rsidRPr="00A911E0">
        <w:rPr>
          <w:b/>
        </w:rPr>
        <w:t>los profetas del libre mercado</w:t>
      </w:r>
      <w:r w:rsidR="002C25A0" w:rsidRPr="00A911E0">
        <w:rPr>
          <w:b/>
        </w:rPr>
        <w:t>, todos estos problemas se reducen a una simple pregunta:</w:t>
      </w:r>
      <w:r w:rsidRPr="00A911E0">
        <w:rPr>
          <w:b/>
        </w:rPr>
        <w:t xml:space="preserve"> </w:t>
      </w:r>
      <w:r w:rsidR="00AE1013" w:rsidRPr="00A911E0">
        <w:rPr>
          <w:b/>
        </w:rPr>
        <w:t>“¿En qué tipo de sociedad queremos vivir?” Las opciones, a juicio de la mediocre dirigencia europea (o estadounidense, tanto monta, monta tanto), son igualmente simples: las respuestas serían o “en una sociedad donde se viva en  dependencia” o “en una sociedad basada en la ‘autosuficiencia’”.</w:t>
      </w:r>
    </w:p>
    <w:p w:rsidR="008A5875" w:rsidRPr="008A5875" w:rsidRDefault="00A911E0" w:rsidP="00550638">
      <w:pPr>
        <w:pStyle w:val="NormalWeb"/>
        <w:jc w:val="both"/>
        <w:rPr>
          <w:b/>
        </w:rPr>
      </w:pPr>
      <w:r w:rsidRPr="008A5875">
        <w:rPr>
          <w:b/>
        </w:rPr>
        <w:t>U</w:t>
      </w:r>
      <w:r w:rsidR="002C25A0" w:rsidRPr="008A5875">
        <w:rPr>
          <w:b/>
        </w:rPr>
        <w:t xml:space="preserve">n proceso tecnocrático de formulación de políticas </w:t>
      </w:r>
      <w:r w:rsidR="007947F1">
        <w:rPr>
          <w:b/>
        </w:rPr>
        <w:t>socio-</w:t>
      </w:r>
      <w:r w:rsidR="002C25A0" w:rsidRPr="008A5875">
        <w:rPr>
          <w:b/>
        </w:rPr>
        <w:t>económicas</w:t>
      </w:r>
      <w:r w:rsidR="008A5875" w:rsidRPr="008A5875">
        <w:rPr>
          <w:b/>
        </w:rPr>
        <w:t>, debería tener</w:t>
      </w:r>
      <w:r w:rsidRPr="008A5875">
        <w:rPr>
          <w:b/>
        </w:rPr>
        <w:t xml:space="preserve"> contestaciones</w:t>
      </w:r>
      <w:r w:rsidR="008A5875" w:rsidRPr="008A5875">
        <w:rPr>
          <w:b/>
        </w:rPr>
        <w:t>, más racionales,</w:t>
      </w:r>
      <w:r w:rsidRPr="008A5875">
        <w:rPr>
          <w:b/>
        </w:rPr>
        <w:t xml:space="preserve"> más diversas, más complejas, más </w:t>
      </w:r>
      <w:r w:rsidR="008A5875" w:rsidRPr="008A5875">
        <w:rPr>
          <w:b/>
        </w:rPr>
        <w:t>flexibles, más amplias…</w:t>
      </w:r>
      <w:r w:rsidR="007947F1">
        <w:rPr>
          <w:b/>
        </w:rPr>
        <w:t xml:space="preserve"> menos “</w:t>
      </w:r>
      <w:r w:rsidR="008A5875" w:rsidRPr="008A5875">
        <w:rPr>
          <w:b/>
        </w:rPr>
        <w:t>dogmáticas</w:t>
      </w:r>
      <w:r w:rsidR="007947F1">
        <w:rPr>
          <w:b/>
        </w:rPr>
        <w:t>”</w:t>
      </w:r>
      <w:r w:rsidR="008A5875" w:rsidRPr="008A5875">
        <w:rPr>
          <w:b/>
        </w:rPr>
        <w:t>,</w:t>
      </w:r>
      <w:r w:rsidR="007947F1">
        <w:rPr>
          <w:b/>
        </w:rPr>
        <w:t xml:space="preserve">  meno “</w:t>
      </w:r>
      <w:r w:rsidR="008A5875" w:rsidRPr="008A5875">
        <w:rPr>
          <w:b/>
        </w:rPr>
        <w:t>incuestionables</w:t>
      </w:r>
      <w:r w:rsidR="007947F1">
        <w:rPr>
          <w:b/>
        </w:rPr>
        <w:t>”</w:t>
      </w:r>
      <w:r w:rsidR="008A5875" w:rsidRPr="008A5875">
        <w:rPr>
          <w:b/>
        </w:rPr>
        <w:t xml:space="preserve">, menos </w:t>
      </w:r>
      <w:r w:rsidR="007947F1">
        <w:rPr>
          <w:b/>
        </w:rPr>
        <w:t>“radicales”</w:t>
      </w:r>
      <w:r w:rsidR="008A5875" w:rsidRPr="008A5875">
        <w:rPr>
          <w:b/>
        </w:rPr>
        <w:t>.</w:t>
      </w:r>
    </w:p>
    <w:p w:rsidR="008A5875" w:rsidRDefault="008A5875" w:rsidP="00550638">
      <w:pPr>
        <w:pStyle w:val="NormalWeb"/>
        <w:jc w:val="both"/>
        <w:rPr>
          <w:b/>
        </w:rPr>
      </w:pPr>
      <w:r>
        <w:rPr>
          <w:b/>
        </w:rPr>
        <w:t>Relación costo</w:t>
      </w:r>
      <w:r w:rsidRPr="004E531D">
        <w:t>/</w:t>
      </w:r>
      <w:r>
        <w:rPr>
          <w:b/>
        </w:rPr>
        <w:t>eficiencia del sistema de salud (buscando unas bases sólidas de financiación a largo plazo, en contra de las políticas fiscales irresponsables)</w:t>
      </w:r>
    </w:p>
    <w:p w:rsidR="008A5875" w:rsidRDefault="009372ED" w:rsidP="00550638">
      <w:pPr>
        <w:pStyle w:val="NormalWeb"/>
        <w:jc w:val="both"/>
        <w:rPr>
          <w:b/>
        </w:rPr>
      </w:pPr>
      <w:r>
        <w:rPr>
          <w:b/>
        </w:rPr>
        <w:t>¿Debe la sanidad pública ser el paraíso del “gratis total”?</w:t>
      </w:r>
    </w:p>
    <w:p w:rsidR="009372ED" w:rsidRDefault="009372ED" w:rsidP="00550638">
      <w:pPr>
        <w:pStyle w:val="NormalWeb"/>
        <w:jc w:val="both"/>
        <w:rPr>
          <w:b/>
        </w:rPr>
      </w:pPr>
      <w:r>
        <w:rPr>
          <w:b/>
        </w:rPr>
        <w:t>¿Debe la sanida</w:t>
      </w:r>
      <w:r w:rsidR="00423B50">
        <w:rPr>
          <w:b/>
        </w:rPr>
        <w:t>d pública ser una carrera loca (de los políticos demagogos</w:t>
      </w:r>
      <w:r>
        <w:rPr>
          <w:b/>
        </w:rPr>
        <w:t>) por tener el establecimiento hospitalario más grande y más moderno, con la aparatología</w:t>
      </w:r>
      <w:r w:rsidR="00E062BB">
        <w:rPr>
          <w:b/>
        </w:rPr>
        <w:t xml:space="preserve"> y tratamientos,</w:t>
      </w:r>
      <w:r>
        <w:rPr>
          <w:b/>
        </w:rPr>
        <w:t xml:space="preserve"> más sofisti</w:t>
      </w:r>
      <w:r w:rsidR="00E062BB">
        <w:rPr>
          <w:b/>
        </w:rPr>
        <w:t>cados, sin medir costos</w:t>
      </w:r>
      <w:r w:rsidR="00423B50">
        <w:rPr>
          <w:b/>
        </w:rPr>
        <w:t>,</w:t>
      </w:r>
      <w:r>
        <w:rPr>
          <w:b/>
        </w:rPr>
        <w:t xml:space="preserve"> ni beneficios?</w:t>
      </w:r>
    </w:p>
    <w:p w:rsidR="00E062BB" w:rsidRDefault="009372ED" w:rsidP="00550638">
      <w:pPr>
        <w:pStyle w:val="NormalWeb"/>
        <w:jc w:val="both"/>
        <w:rPr>
          <w:b/>
        </w:rPr>
      </w:pPr>
      <w:r>
        <w:rPr>
          <w:b/>
        </w:rPr>
        <w:t>¿Deben los médicos de la sanidad pública sobremedicar, ordenar análisis innecesarios, exámenes redundantes, tratamientos prolongados</w:t>
      </w:r>
      <w:r w:rsidR="00E062BB">
        <w:rPr>
          <w:b/>
        </w:rPr>
        <w:t xml:space="preserve"> con inciertas</w:t>
      </w:r>
      <w:r>
        <w:rPr>
          <w:b/>
        </w:rPr>
        <w:t xml:space="preserve"> probabilidad</w:t>
      </w:r>
      <w:r w:rsidR="00E062BB">
        <w:rPr>
          <w:b/>
        </w:rPr>
        <w:t xml:space="preserve">es </w:t>
      </w:r>
      <w:r>
        <w:rPr>
          <w:b/>
        </w:rPr>
        <w:t>de éxito, intervenciones quirúrgicas avanzadas</w:t>
      </w:r>
      <w:r w:rsidR="00E062BB">
        <w:rPr>
          <w:b/>
        </w:rPr>
        <w:t>…</w:t>
      </w:r>
      <w:r>
        <w:rPr>
          <w:b/>
        </w:rPr>
        <w:t>, solo para mantener a pleno funcionamiento, instalaciones</w:t>
      </w:r>
      <w:r w:rsidR="00E062BB">
        <w:rPr>
          <w:b/>
        </w:rPr>
        <w:t xml:space="preserve"> hospitalarias sobredimensionadas</w:t>
      </w:r>
      <w:r>
        <w:rPr>
          <w:b/>
        </w:rPr>
        <w:t>, aparatología</w:t>
      </w:r>
      <w:r w:rsidR="00E062BB">
        <w:rPr>
          <w:b/>
        </w:rPr>
        <w:t xml:space="preserve"> de última generación</w:t>
      </w:r>
      <w:r>
        <w:rPr>
          <w:b/>
        </w:rPr>
        <w:t xml:space="preserve"> y dotaciones</w:t>
      </w:r>
      <w:r w:rsidR="00E062BB">
        <w:rPr>
          <w:b/>
        </w:rPr>
        <w:t xml:space="preserve"> profesionales subutilizadas?</w:t>
      </w:r>
    </w:p>
    <w:p w:rsidR="00423B50" w:rsidRDefault="00E062BB" w:rsidP="00550638">
      <w:pPr>
        <w:pStyle w:val="NormalWeb"/>
        <w:jc w:val="both"/>
        <w:rPr>
          <w:b/>
        </w:rPr>
      </w:pPr>
      <w:r>
        <w:rPr>
          <w:b/>
        </w:rPr>
        <w:t>¿</w:t>
      </w:r>
      <w:r w:rsidR="002F08C7">
        <w:rPr>
          <w:b/>
        </w:rPr>
        <w:t>Resulta razonable</w:t>
      </w:r>
      <w:r>
        <w:rPr>
          <w:b/>
        </w:rPr>
        <w:t xml:space="preserve"> que el 40% del gasto sani</w:t>
      </w:r>
      <w:r w:rsidR="00423B50">
        <w:rPr>
          <w:b/>
        </w:rPr>
        <w:t xml:space="preserve">tario de una persona, </w:t>
      </w:r>
      <w:r>
        <w:rPr>
          <w:b/>
        </w:rPr>
        <w:t>se haga en los últimos 6 meses de vida?</w:t>
      </w:r>
      <w:r w:rsidR="00A745BF">
        <w:rPr>
          <w:b/>
        </w:rPr>
        <w:t xml:space="preserve"> ¿Para qué? ¿En</w:t>
      </w:r>
      <w:r w:rsidR="002F08C7">
        <w:rPr>
          <w:b/>
        </w:rPr>
        <w:t xml:space="preserve"> beneficio de</w:t>
      </w:r>
      <w:r w:rsidR="00423B50">
        <w:rPr>
          <w:b/>
        </w:rPr>
        <w:t xml:space="preserve"> quién?</w:t>
      </w:r>
    </w:p>
    <w:p w:rsidR="002F08C7" w:rsidRDefault="002F08C7" w:rsidP="00550638">
      <w:pPr>
        <w:pStyle w:val="NormalWeb"/>
        <w:jc w:val="both"/>
        <w:rPr>
          <w:b/>
        </w:rPr>
      </w:pPr>
      <w:r w:rsidRPr="002F08C7">
        <w:rPr>
          <w:b/>
        </w:rPr>
        <w:t>¿Existe algún cálculo</w:t>
      </w:r>
      <w:r>
        <w:rPr>
          <w:b/>
        </w:rPr>
        <w:t xml:space="preserve"> (o interés</w:t>
      </w:r>
      <w:r w:rsidRPr="002F08C7">
        <w:rPr>
          <w:b/>
        </w:rPr>
        <w:t xml:space="preserve"> en hacerlo) sobre el derroche en tratamientos inútiles que sangran a la sanidad pública?</w:t>
      </w:r>
    </w:p>
    <w:p w:rsidR="000A37E1" w:rsidRPr="000A37E1" w:rsidRDefault="000A37E1" w:rsidP="00550638">
      <w:pPr>
        <w:pStyle w:val="NormalWeb"/>
        <w:jc w:val="both"/>
      </w:pPr>
      <w:r w:rsidRPr="000A37E1">
        <w:rPr>
          <w:b/>
        </w:rPr>
        <w:t>¿Se realiza alguna evaluación económica de medicamentos como factor de sostenibilidad de la sanidad pública?</w:t>
      </w:r>
    </w:p>
    <w:p w:rsidR="004E03F7" w:rsidRDefault="004E03F7" w:rsidP="00550638">
      <w:pPr>
        <w:pStyle w:val="NormalWeb"/>
        <w:jc w:val="both"/>
        <w:rPr>
          <w:b/>
        </w:rPr>
      </w:pPr>
      <w:r w:rsidRPr="004E03F7">
        <w:rPr>
          <w:b/>
        </w:rPr>
        <w:t>¿Cuántas intervenciones médicas son innecesarias?</w:t>
      </w:r>
    </w:p>
    <w:p w:rsidR="002F08C7" w:rsidRDefault="002F08C7" w:rsidP="00550638">
      <w:pPr>
        <w:pStyle w:val="figcaption"/>
        <w:jc w:val="both"/>
        <w:rPr>
          <w:b/>
        </w:rPr>
      </w:pPr>
      <w:r w:rsidRPr="002F08C7">
        <w:rPr>
          <w:b/>
        </w:rPr>
        <w:t>¿Un sistema gratuito que permite al usuario disponer de toda la cantidad de servicios que desee sin sobrecoste, no incitan a los usuarios a sobreutilizar los servicios?</w:t>
      </w:r>
    </w:p>
    <w:p w:rsidR="002F08C7" w:rsidRDefault="002F08C7" w:rsidP="00550638">
      <w:pPr>
        <w:pStyle w:val="figcaption"/>
        <w:jc w:val="both"/>
        <w:rPr>
          <w:b/>
        </w:rPr>
      </w:pPr>
    </w:p>
    <w:p w:rsidR="002F08C7" w:rsidRDefault="002F08C7" w:rsidP="00550638">
      <w:pPr>
        <w:pStyle w:val="figcaption"/>
        <w:jc w:val="both"/>
        <w:rPr>
          <w:b/>
        </w:rPr>
      </w:pPr>
      <w:r>
        <w:rPr>
          <w:b/>
        </w:rPr>
        <w:t>¿Esa hiperfrecuentación</w:t>
      </w:r>
      <w:r w:rsidR="004E03F7">
        <w:rPr>
          <w:b/>
        </w:rPr>
        <w:t>,</w:t>
      </w:r>
      <w:r>
        <w:rPr>
          <w:b/>
        </w:rPr>
        <w:t xml:space="preserve"> no satura los servicios de atención médica</w:t>
      </w:r>
      <w:r w:rsidR="004E03F7">
        <w:rPr>
          <w:b/>
        </w:rPr>
        <w:t xml:space="preserve"> y genera un incremento desmesurado en el número de recetas?</w:t>
      </w:r>
    </w:p>
    <w:p w:rsidR="004E03F7" w:rsidRDefault="004E03F7" w:rsidP="00550638">
      <w:pPr>
        <w:pStyle w:val="figcaption"/>
        <w:jc w:val="both"/>
        <w:rPr>
          <w:b/>
        </w:rPr>
      </w:pPr>
    </w:p>
    <w:p w:rsidR="004E03F7" w:rsidRDefault="004E03F7" w:rsidP="00550638">
      <w:pPr>
        <w:pStyle w:val="figcaption"/>
        <w:jc w:val="both"/>
        <w:rPr>
          <w:b/>
        </w:rPr>
      </w:pPr>
      <w:r>
        <w:rPr>
          <w:b/>
        </w:rPr>
        <w:lastRenderedPageBreak/>
        <w:t>¿Cuántos laboratorios médicos crean patologías para vender más?</w:t>
      </w:r>
      <w:r w:rsidR="000A37E1">
        <w:rPr>
          <w:b/>
        </w:rPr>
        <w:t xml:space="preserve"> </w:t>
      </w:r>
      <w:r>
        <w:rPr>
          <w:b/>
        </w:rPr>
        <w:t>¿Cuántos medicamentos van en busca de la enfermedad y no al revés?</w:t>
      </w:r>
      <w:r w:rsidR="000A37E1">
        <w:rPr>
          <w:b/>
        </w:rPr>
        <w:t xml:space="preserve"> </w:t>
      </w:r>
      <w:r w:rsidRPr="004E03F7">
        <w:rPr>
          <w:b/>
        </w:rPr>
        <w:t>¿De verdad son seguros los medicamentos que nos recetan?</w:t>
      </w:r>
    </w:p>
    <w:p w:rsidR="004E03F7" w:rsidRPr="004E03F7" w:rsidRDefault="004E03F7" w:rsidP="00550638">
      <w:pPr>
        <w:spacing w:before="100" w:beforeAutospacing="1" w:after="100" w:afterAutospacing="1" w:line="240" w:lineRule="auto"/>
        <w:jc w:val="both"/>
        <w:rPr>
          <w:rFonts w:ascii="Times New Roman" w:eastAsia="Times New Roman" w:hAnsi="Times New Roman"/>
          <w:b/>
          <w:sz w:val="24"/>
          <w:szCs w:val="24"/>
          <w:lang w:eastAsia="es-ES"/>
        </w:rPr>
      </w:pPr>
      <w:r w:rsidRPr="004E03F7">
        <w:rPr>
          <w:rFonts w:ascii="Times New Roman" w:eastAsia="Times New Roman" w:hAnsi="Times New Roman"/>
          <w:b/>
          <w:sz w:val="24"/>
          <w:szCs w:val="24"/>
          <w:lang w:eastAsia="es-ES"/>
        </w:rPr>
        <w:t xml:space="preserve">Larga vida: </w:t>
      </w:r>
      <w:r w:rsidRPr="004E03F7">
        <w:rPr>
          <w:rFonts w:ascii="Times New Roman" w:hAnsi="Times New Roman"/>
          <w:b/>
          <w:sz w:val="24"/>
          <w:szCs w:val="24"/>
        </w:rPr>
        <w:t>¿cuánto costará mantener a tantos mayores en condiciones adecuadas? ¿Compensa vivir cien años?</w:t>
      </w:r>
    </w:p>
    <w:p w:rsidR="00423B50" w:rsidRDefault="000A37E1" w:rsidP="00550638">
      <w:pPr>
        <w:pStyle w:val="NormalWeb"/>
        <w:jc w:val="both"/>
        <w:rPr>
          <w:b/>
        </w:rPr>
      </w:pPr>
      <w:r>
        <w:rPr>
          <w:b/>
        </w:rPr>
        <w:t>Ahora, v</w:t>
      </w:r>
      <w:r w:rsidR="00423B50">
        <w:rPr>
          <w:b/>
        </w:rPr>
        <w:t xml:space="preserve">eamos </w:t>
      </w:r>
      <w:r w:rsidR="00D44948">
        <w:rPr>
          <w:b/>
        </w:rPr>
        <w:t>qué</w:t>
      </w:r>
      <w:r w:rsidR="00DF1663">
        <w:rPr>
          <w:b/>
        </w:rPr>
        <w:t xml:space="preserve"> ocurre con los que viven del </w:t>
      </w:r>
      <w:r w:rsidR="00423B50">
        <w:rPr>
          <w:b/>
        </w:rPr>
        <w:t>lad</w:t>
      </w:r>
      <w:r w:rsidR="00DF1663">
        <w:rPr>
          <w:b/>
        </w:rPr>
        <w:t>o “bueno” de las vías del tren</w:t>
      </w:r>
      <w:r w:rsidR="00423B50">
        <w:rPr>
          <w:b/>
        </w:rPr>
        <w:t>…</w:t>
      </w:r>
    </w:p>
    <w:p w:rsidR="00423B50" w:rsidRDefault="00423B50" w:rsidP="00550638">
      <w:pPr>
        <w:pStyle w:val="NormalWeb"/>
        <w:jc w:val="both"/>
        <w:rPr>
          <w:b/>
        </w:rPr>
      </w:pPr>
      <w:r>
        <w:rPr>
          <w:b/>
        </w:rPr>
        <w:t>¿Es posible que en el país más rico y poderoso de la tierra (de momento) haya</w:t>
      </w:r>
      <w:r w:rsidR="00E947F0">
        <w:rPr>
          <w:b/>
        </w:rPr>
        <w:t xml:space="preserve"> más de 45</w:t>
      </w:r>
      <w:r>
        <w:rPr>
          <w:b/>
        </w:rPr>
        <w:t xml:space="preserve"> millones de habitantes sin “cobertura sanitaria”?</w:t>
      </w:r>
    </w:p>
    <w:p w:rsidR="008860D7" w:rsidRPr="008860D7" w:rsidRDefault="008860D7" w:rsidP="00550638">
      <w:pPr>
        <w:spacing w:line="240" w:lineRule="auto"/>
        <w:jc w:val="both"/>
        <w:rPr>
          <w:rFonts w:ascii="Times New Roman" w:hAnsi="Times New Roman" w:cs="Times New Roman"/>
          <w:b/>
          <w:sz w:val="24"/>
          <w:szCs w:val="24"/>
        </w:rPr>
      </w:pPr>
      <w:r>
        <w:rPr>
          <w:rFonts w:ascii="Times New Roman" w:hAnsi="Times New Roman" w:cs="Times New Roman"/>
          <w:b/>
          <w:sz w:val="24"/>
          <w:szCs w:val="24"/>
        </w:rPr>
        <w:t>¿Resulta</w:t>
      </w:r>
      <w:r w:rsidRPr="008860D7">
        <w:rPr>
          <w:rFonts w:ascii="Times New Roman" w:hAnsi="Times New Roman" w:cs="Times New Roman"/>
          <w:b/>
          <w:sz w:val="24"/>
          <w:szCs w:val="24"/>
        </w:rPr>
        <w:t xml:space="preserve"> creíble que si EEUU no reforma la sanidad y las pensiones, no podrá costear  su deuda</w:t>
      </w:r>
      <w:r w:rsidR="00072B7F">
        <w:rPr>
          <w:rFonts w:ascii="Times New Roman" w:hAnsi="Times New Roman" w:cs="Times New Roman"/>
          <w:b/>
          <w:sz w:val="24"/>
          <w:szCs w:val="24"/>
        </w:rPr>
        <w:t xml:space="preserve"> pública</w:t>
      </w:r>
      <w:r w:rsidRPr="008860D7">
        <w:rPr>
          <w:rFonts w:ascii="Times New Roman" w:hAnsi="Times New Roman" w:cs="Times New Roman"/>
          <w:b/>
          <w:sz w:val="24"/>
          <w:szCs w:val="24"/>
        </w:rPr>
        <w:t>?</w:t>
      </w:r>
    </w:p>
    <w:p w:rsidR="008860D7" w:rsidRPr="008860D7" w:rsidRDefault="008860D7" w:rsidP="00550638">
      <w:pPr>
        <w:pStyle w:val="NormalWeb"/>
        <w:jc w:val="both"/>
        <w:rPr>
          <w:b/>
        </w:rPr>
      </w:pPr>
      <w:r w:rsidRPr="008860D7">
        <w:rPr>
          <w:b/>
        </w:rPr>
        <w:t>¿Hasta cuándo los americanos ricos podrán “seguir a lo suyo”:</w:t>
      </w:r>
      <w:r w:rsidR="00072B7F">
        <w:rPr>
          <w:b/>
        </w:rPr>
        <w:t xml:space="preserve"> sosteniendo que</w:t>
      </w:r>
      <w:r w:rsidRPr="008860D7">
        <w:rPr>
          <w:b/>
        </w:rPr>
        <w:t xml:space="preserve"> la pobreza y la salud “no” son “problemas sociales”?</w:t>
      </w:r>
    </w:p>
    <w:p w:rsidR="008860D7" w:rsidRDefault="008860D7" w:rsidP="00550638">
      <w:pPr>
        <w:pStyle w:val="NormalWeb"/>
        <w:jc w:val="both"/>
        <w:rPr>
          <w:b/>
        </w:rPr>
      </w:pPr>
      <w:r>
        <w:rPr>
          <w:b/>
        </w:rPr>
        <w:t>¿E</w:t>
      </w:r>
      <w:r w:rsidRPr="008860D7">
        <w:rPr>
          <w:b/>
        </w:rPr>
        <w:t>staría la gente de la derecha americana dispuesta a dejar morir por falta de asistencia a aquellos que no están asegurados aunque no sea culpa suya?</w:t>
      </w:r>
    </w:p>
    <w:p w:rsidR="008860D7" w:rsidRPr="002F08C7" w:rsidRDefault="002F08C7" w:rsidP="00550638">
      <w:pPr>
        <w:pStyle w:val="NormalWeb"/>
        <w:jc w:val="both"/>
        <w:rPr>
          <w:b/>
        </w:rPr>
      </w:pPr>
      <w:r w:rsidRPr="002F08C7">
        <w:rPr>
          <w:b/>
        </w:rPr>
        <w:t xml:space="preserve">¿Por qué </w:t>
      </w:r>
      <w:r w:rsidR="00072B7F">
        <w:rPr>
          <w:b/>
        </w:rPr>
        <w:t>en los EEUU</w:t>
      </w:r>
      <w:r w:rsidRPr="002F08C7">
        <w:rPr>
          <w:b/>
        </w:rPr>
        <w:t xml:space="preserve"> s</w:t>
      </w:r>
      <w:r w:rsidR="008860D7" w:rsidRPr="002F08C7">
        <w:rPr>
          <w:b/>
        </w:rPr>
        <w:t>olo los pobres mueren jóvenes</w:t>
      </w:r>
      <w:r w:rsidRPr="002F08C7">
        <w:rPr>
          <w:b/>
        </w:rPr>
        <w:t>?</w:t>
      </w:r>
      <w:r w:rsidR="00DF1663">
        <w:rPr>
          <w:b/>
        </w:rPr>
        <w:t xml:space="preserve"> ¿Será un daño colateral?</w:t>
      </w:r>
      <w:r w:rsidRPr="002F08C7">
        <w:rPr>
          <w:b/>
        </w:rPr>
        <w:t xml:space="preserve"> </w:t>
      </w:r>
    </w:p>
    <w:p w:rsidR="000A37E1" w:rsidRDefault="008860D7" w:rsidP="00550638">
      <w:pPr>
        <w:pStyle w:val="NormalWeb"/>
        <w:jc w:val="both"/>
        <w:rPr>
          <w:b/>
          <w:color w:val="000000"/>
        </w:rPr>
      </w:pPr>
      <w:r w:rsidRPr="002F08C7">
        <w:rPr>
          <w:b/>
          <w:color w:val="000000"/>
        </w:rPr>
        <w:t>¿Por qué</w:t>
      </w:r>
      <w:r w:rsidR="002F08C7" w:rsidRPr="002F08C7">
        <w:rPr>
          <w:b/>
          <w:color w:val="000000"/>
        </w:rPr>
        <w:t xml:space="preserve"> en los EEUU</w:t>
      </w:r>
      <w:r w:rsidRPr="002F08C7">
        <w:rPr>
          <w:b/>
          <w:color w:val="000000"/>
        </w:rPr>
        <w:t xml:space="preserve"> los ricos son más sanos?</w:t>
      </w:r>
      <w:r w:rsidR="00DF1663">
        <w:rPr>
          <w:b/>
          <w:color w:val="000000"/>
        </w:rPr>
        <w:t xml:space="preserve"> ¿Será un hecho de la naturaleza?</w:t>
      </w:r>
    </w:p>
    <w:p w:rsidR="00172C32" w:rsidRDefault="00172C32" w:rsidP="00550638">
      <w:pPr>
        <w:pStyle w:val="NormalWeb"/>
        <w:jc w:val="both"/>
        <w:rPr>
          <w:b/>
        </w:rPr>
      </w:pPr>
      <w:r>
        <w:rPr>
          <w:b/>
          <w:color w:val="000000"/>
        </w:rPr>
        <w:t>Entre revocar el</w:t>
      </w:r>
      <w:r w:rsidR="000A37E1">
        <w:rPr>
          <w:b/>
          <w:color w:val="000000"/>
        </w:rPr>
        <w:t xml:space="preserve"> “Obamacare”, como llaman despectivamente</w:t>
      </w:r>
      <w:r>
        <w:rPr>
          <w:b/>
          <w:color w:val="000000"/>
        </w:rPr>
        <w:t xml:space="preserve"> los republicanos a la Ley de Cuidado de Salud Asequible, y </w:t>
      </w:r>
      <w:r w:rsidR="00762E49">
        <w:rPr>
          <w:b/>
          <w:color w:val="000000"/>
        </w:rPr>
        <w:t>“</w:t>
      </w:r>
      <w:r>
        <w:rPr>
          <w:b/>
          <w:color w:val="000000"/>
        </w:rPr>
        <w:t>el peligro de un “socialismo” disfrazado que abultará el déficit naciona</w:t>
      </w:r>
      <w:r w:rsidR="00762E49">
        <w:rPr>
          <w:b/>
          <w:color w:val="000000"/>
        </w:rPr>
        <w:t>l”</w:t>
      </w:r>
      <w:r>
        <w:rPr>
          <w:b/>
          <w:color w:val="000000"/>
        </w:rPr>
        <w:t xml:space="preserve"> (sic)… </w:t>
      </w:r>
      <w:r w:rsidRPr="00172C32">
        <w:rPr>
          <w:b/>
        </w:rPr>
        <w:t>¿puede ser que más de 129 millones de estadounidense</w:t>
      </w:r>
      <w:r>
        <w:rPr>
          <w:b/>
        </w:rPr>
        <w:t xml:space="preserve">s menores de 65 años... </w:t>
      </w:r>
      <w:r w:rsidR="00072B7F">
        <w:rPr>
          <w:b/>
        </w:rPr>
        <w:t>estén en riesgo de perder</w:t>
      </w:r>
      <w:r w:rsidRPr="00172C32">
        <w:rPr>
          <w:b/>
        </w:rPr>
        <w:t xml:space="preserve"> su seguro de salud porque tienen condiciones pre-existentes”?</w:t>
      </w:r>
    </w:p>
    <w:p w:rsidR="00C21425" w:rsidRPr="00C21425" w:rsidRDefault="00C21425" w:rsidP="00550638">
      <w:pPr>
        <w:spacing w:line="240" w:lineRule="auto"/>
        <w:jc w:val="both"/>
        <w:rPr>
          <w:rFonts w:ascii="Times New Roman" w:hAnsi="Times New Roman"/>
          <w:b/>
          <w:sz w:val="24"/>
          <w:szCs w:val="24"/>
        </w:rPr>
      </w:pPr>
      <w:r w:rsidRPr="00C21425">
        <w:rPr>
          <w:rFonts w:ascii="Times New Roman" w:hAnsi="Times New Roman"/>
          <w:b/>
          <w:sz w:val="24"/>
          <w:szCs w:val="24"/>
        </w:rPr>
        <w:t>En realidad, la mayoría de los estadounidenses no asegurados tienen pocos ingresos y no pueden permitirse un seguro, o bien son rechazados por las aseguradoras porque padecen enfermedades crónicas. Las personas que no pueden permitirse la asistencia sanitaria básica por lo general no la co</w:t>
      </w:r>
      <w:r w:rsidR="00072B7F">
        <w:rPr>
          <w:rFonts w:ascii="Times New Roman" w:hAnsi="Times New Roman"/>
          <w:b/>
          <w:sz w:val="24"/>
          <w:szCs w:val="24"/>
        </w:rPr>
        <w:t xml:space="preserve">nsiguen </w:t>
      </w:r>
      <w:r w:rsidRPr="00C21425">
        <w:rPr>
          <w:rFonts w:ascii="Times New Roman" w:hAnsi="Times New Roman"/>
          <w:b/>
          <w:sz w:val="24"/>
          <w:szCs w:val="24"/>
        </w:rPr>
        <w:t>y a veces mueren como consecuencia de ello.</w:t>
      </w:r>
    </w:p>
    <w:p w:rsidR="00762E49" w:rsidRDefault="00762E49" w:rsidP="00550638">
      <w:pPr>
        <w:spacing w:before="100" w:beforeAutospacing="1" w:after="100" w:afterAutospacing="1" w:line="240" w:lineRule="auto"/>
        <w:jc w:val="both"/>
        <w:rPr>
          <w:rFonts w:ascii="Times New Roman" w:eastAsia="Times New Roman" w:hAnsi="Times New Roman"/>
          <w:b/>
          <w:bCs/>
          <w:sz w:val="24"/>
          <w:szCs w:val="24"/>
          <w:lang w:eastAsia="es-ES"/>
        </w:rPr>
      </w:pPr>
      <w:r w:rsidRPr="00762E49">
        <w:rPr>
          <w:rFonts w:ascii="Times New Roman" w:eastAsia="Times New Roman" w:hAnsi="Times New Roman"/>
          <w:b/>
          <w:bCs/>
          <w:sz w:val="24"/>
          <w:szCs w:val="24"/>
          <w:lang w:eastAsia="es-ES"/>
        </w:rPr>
        <w:t>Es importante señalar que el número de estadounidenses sin seguro de salud alcanzó un máximo histórico en 2010, Alrededor de 50 millones de residentes de Estados Unidos (uno de cada seis) pagan de su bolsillo los gastos médicos en que incurren. La recesión de 2008 no es la única razón para esta escalofriante cifra; tambi</w:t>
      </w:r>
      <w:r w:rsidR="00C2084A">
        <w:rPr>
          <w:rFonts w:ascii="Times New Roman" w:eastAsia="Times New Roman" w:hAnsi="Times New Roman"/>
          <w:b/>
          <w:bCs/>
          <w:sz w:val="24"/>
          <w:szCs w:val="24"/>
          <w:lang w:eastAsia="es-ES"/>
        </w:rPr>
        <w:t xml:space="preserve">én hay que culpar a </w:t>
      </w:r>
      <w:r w:rsidRPr="00762E49">
        <w:rPr>
          <w:rFonts w:ascii="Times New Roman" w:eastAsia="Times New Roman" w:hAnsi="Times New Roman"/>
          <w:b/>
          <w:bCs/>
          <w:sz w:val="24"/>
          <w:szCs w:val="24"/>
          <w:lang w:eastAsia="es-ES"/>
        </w:rPr>
        <w:t xml:space="preserve">decisiones políticas de larga data. </w:t>
      </w:r>
    </w:p>
    <w:p w:rsidR="005F4E82" w:rsidRPr="005F4E82" w:rsidRDefault="007947F1"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La Ley de Salud</w:t>
      </w:r>
      <w:r w:rsidR="005F4E82" w:rsidRPr="005F4E82">
        <w:rPr>
          <w:rFonts w:ascii="Times New Roman" w:eastAsia="Times New Roman" w:hAnsi="Times New Roman"/>
          <w:b/>
          <w:bCs/>
          <w:sz w:val="24"/>
          <w:szCs w:val="24"/>
          <w:lang w:eastAsia="es-ES"/>
        </w:rPr>
        <w:t xml:space="preserve"> Asequible, impulsada por Barack Obama y aprobada por el tribunal constitucional de EEUU, introduce los mayores cambios en el sistema sanitario del país en una generación. La ley exti</w:t>
      </w:r>
      <w:r w:rsidR="00CC3C55">
        <w:rPr>
          <w:rFonts w:ascii="Times New Roman" w:eastAsia="Times New Roman" w:hAnsi="Times New Roman"/>
          <w:b/>
          <w:bCs/>
          <w:sz w:val="24"/>
          <w:szCs w:val="24"/>
          <w:lang w:eastAsia="es-ES"/>
        </w:rPr>
        <w:t xml:space="preserve">ende la cobertura sanitaria a </w:t>
      </w:r>
      <w:r w:rsidR="005F4E82" w:rsidRPr="005F4E82">
        <w:rPr>
          <w:rFonts w:ascii="Times New Roman" w:eastAsia="Times New Roman" w:hAnsi="Times New Roman"/>
          <w:b/>
          <w:bCs/>
          <w:sz w:val="24"/>
          <w:szCs w:val="24"/>
          <w:lang w:eastAsia="es-ES"/>
        </w:rPr>
        <w:t xml:space="preserve"> millones de estadounidenses</w:t>
      </w:r>
      <w:r w:rsidR="0044081B">
        <w:rPr>
          <w:rFonts w:ascii="Times New Roman" w:eastAsia="Times New Roman" w:hAnsi="Times New Roman"/>
          <w:b/>
          <w:bCs/>
          <w:sz w:val="24"/>
          <w:szCs w:val="24"/>
          <w:lang w:eastAsia="es-ES"/>
        </w:rPr>
        <w:t xml:space="preserve"> (aproximadamente el 15% de la población)</w:t>
      </w:r>
      <w:r w:rsidR="005F4E82" w:rsidRPr="005F4E82">
        <w:rPr>
          <w:rFonts w:ascii="Times New Roman" w:eastAsia="Times New Roman" w:hAnsi="Times New Roman"/>
          <w:b/>
          <w:bCs/>
          <w:sz w:val="24"/>
          <w:szCs w:val="24"/>
          <w:lang w:eastAsia="es-ES"/>
        </w:rPr>
        <w:t xml:space="preserve"> que actualmente no tienen seguro y cambiará la forma en la que los ciudadanos compran sus seguros médicos y lo que las aseguradoras deben cubrir. </w:t>
      </w:r>
    </w:p>
    <w:p w:rsidR="00DF00A7" w:rsidRDefault="00CC3C55"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lastRenderedPageBreak/>
        <w:t>L</w:t>
      </w:r>
      <w:r w:rsidR="005F4E82" w:rsidRPr="005F4E82">
        <w:rPr>
          <w:rFonts w:ascii="Times New Roman" w:eastAsia="Times New Roman" w:hAnsi="Times New Roman"/>
          <w:b/>
          <w:bCs/>
          <w:sz w:val="24"/>
          <w:szCs w:val="24"/>
          <w:lang w:eastAsia="es-ES"/>
        </w:rPr>
        <w:t>a sanidad en EEUU seguirá siendo de pago. Los pacientes siempre tienen que pagar por la póliza, o bien a través de lo que le descuenta su empleador de la nómina o bien contratando él mismo un seguro privado. Además, normalmente se abona un c</w:t>
      </w:r>
      <w:r w:rsidR="00447567">
        <w:rPr>
          <w:rFonts w:ascii="Times New Roman" w:eastAsia="Times New Roman" w:hAnsi="Times New Roman"/>
          <w:b/>
          <w:bCs/>
          <w:sz w:val="24"/>
          <w:szCs w:val="24"/>
          <w:lang w:eastAsia="es-ES"/>
        </w:rPr>
        <w:t>opago cuando se visita al médico o se compra un medicamento</w:t>
      </w:r>
      <w:r w:rsidR="005F4E82" w:rsidRPr="005F4E82">
        <w:rPr>
          <w:rFonts w:ascii="Times New Roman" w:eastAsia="Times New Roman" w:hAnsi="Times New Roman"/>
          <w:b/>
          <w:bCs/>
          <w:sz w:val="24"/>
          <w:szCs w:val="24"/>
          <w:lang w:eastAsia="es-ES"/>
        </w:rPr>
        <w:t xml:space="preserve"> incluso con receta.</w:t>
      </w:r>
    </w:p>
    <w:p w:rsidR="00426A95" w:rsidRDefault="00467075"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En el</w:t>
      </w:r>
      <w:r w:rsidR="00DF1663" w:rsidRPr="00DF1663">
        <w:rPr>
          <w:rFonts w:ascii="Times New Roman" w:eastAsia="Times New Roman" w:hAnsi="Times New Roman"/>
          <w:b/>
          <w:bCs/>
          <w:sz w:val="24"/>
          <w:szCs w:val="24"/>
          <w:lang w:eastAsia="es-ES"/>
        </w:rPr>
        <w:t xml:space="preserve"> Día de Todos los Santos </w:t>
      </w:r>
    </w:p>
    <w:p w:rsidR="00DF1663" w:rsidRDefault="00426A95"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 xml:space="preserve">Inicio la redacción de esta Sección el 1 de noviembre de 2013 (Día de Todos los Santos); </w:t>
      </w:r>
      <w:r w:rsidR="00DF1663" w:rsidRPr="00DF1663">
        <w:rPr>
          <w:rFonts w:ascii="Times New Roman" w:eastAsia="Times New Roman" w:hAnsi="Times New Roman"/>
          <w:b/>
          <w:bCs/>
          <w:sz w:val="24"/>
          <w:szCs w:val="24"/>
          <w:lang w:eastAsia="es-ES"/>
        </w:rPr>
        <w:t>es una tradición católica instituida en honor a todos los santos, conocidos y desconocidos, según el papa Urbano IV, para compensar cualquier falta a las fiestas de los santos durante el año por parte de los fieles. En diversos lugares del mundo se celebra la tradición de honrar y traer a la memoria a las personas que han muerto.</w:t>
      </w:r>
    </w:p>
    <w:p w:rsidR="00467075" w:rsidRDefault="00467075"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¿Los “caminos” de Dios? ¿un a</w:t>
      </w:r>
      <w:r w:rsidR="00426A95">
        <w:rPr>
          <w:rFonts w:ascii="Times New Roman" w:eastAsia="Times New Roman" w:hAnsi="Times New Roman"/>
          <w:b/>
          <w:bCs/>
          <w:sz w:val="24"/>
          <w:szCs w:val="24"/>
          <w:lang w:eastAsia="es-ES"/>
        </w:rPr>
        <w:t xml:space="preserve">cto premeditado? </w:t>
      </w:r>
      <w:r w:rsidR="00A16943">
        <w:rPr>
          <w:rFonts w:ascii="Times New Roman" w:eastAsia="Times New Roman" w:hAnsi="Times New Roman"/>
          <w:b/>
          <w:bCs/>
          <w:sz w:val="24"/>
          <w:szCs w:val="24"/>
          <w:lang w:eastAsia="es-ES"/>
        </w:rPr>
        <w:t>¿</w:t>
      </w:r>
      <w:r>
        <w:rPr>
          <w:rFonts w:ascii="Times New Roman" w:eastAsia="Times New Roman" w:hAnsi="Times New Roman"/>
          <w:b/>
          <w:bCs/>
          <w:sz w:val="24"/>
          <w:szCs w:val="24"/>
          <w:lang w:eastAsia="es-ES"/>
        </w:rPr>
        <w:t xml:space="preserve">un </w:t>
      </w:r>
      <w:r w:rsidR="00A16943">
        <w:rPr>
          <w:rFonts w:ascii="Times New Roman" w:eastAsia="Times New Roman" w:hAnsi="Times New Roman"/>
          <w:b/>
          <w:bCs/>
          <w:sz w:val="24"/>
          <w:szCs w:val="24"/>
          <w:lang w:eastAsia="es-ES"/>
        </w:rPr>
        <w:t>h</w:t>
      </w:r>
      <w:r w:rsidR="00426A95">
        <w:rPr>
          <w:rFonts w:ascii="Times New Roman" w:eastAsia="Times New Roman" w:hAnsi="Times New Roman"/>
          <w:b/>
          <w:bCs/>
          <w:sz w:val="24"/>
          <w:szCs w:val="24"/>
          <w:lang w:eastAsia="es-ES"/>
        </w:rPr>
        <w:t>echo fortuito?</w:t>
      </w:r>
      <w:r w:rsidR="00A16943">
        <w:rPr>
          <w:rFonts w:ascii="Times New Roman" w:eastAsia="Times New Roman" w:hAnsi="Times New Roman"/>
          <w:b/>
          <w:bCs/>
          <w:sz w:val="24"/>
          <w:szCs w:val="24"/>
          <w:lang w:eastAsia="es-ES"/>
        </w:rPr>
        <w:t xml:space="preserve"> ¿u</w:t>
      </w:r>
      <w:r w:rsidR="00426A95">
        <w:rPr>
          <w:rFonts w:ascii="Times New Roman" w:eastAsia="Times New Roman" w:hAnsi="Times New Roman"/>
          <w:b/>
          <w:bCs/>
          <w:sz w:val="24"/>
          <w:szCs w:val="24"/>
          <w:lang w:eastAsia="es-ES"/>
        </w:rPr>
        <w:t>n día como cualquier otro?</w:t>
      </w:r>
      <w:r>
        <w:rPr>
          <w:rFonts w:ascii="Times New Roman" w:eastAsia="Times New Roman" w:hAnsi="Times New Roman"/>
          <w:b/>
          <w:bCs/>
          <w:sz w:val="24"/>
          <w:szCs w:val="24"/>
          <w:lang w:eastAsia="es-ES"/>
        </w:rPr>
        <w:t xml:space="preserve"> </w:t>
      </w:r>
      <w:r w:rsidR="00426A95">
        <w:rPr>
          <w:rFonts w:ascii="Times New Roman" w:eastAsia="Times New Roman" w:hAnsi="Times New Roman"/>
          <w:b/>
          <w:bCs/>
          <w:sz w:val="24"/>
          <w:szCs w:val="24"/>
          <w:lang w:eastAsia="es-ES"/>
        </w:rPr>
        <w:t>Ustedes califican. Par</w:t>
      </w:r>
      <w:r w:rsidR="00A16943">
        <w:rPr>
          <w:rFonts w:ascii="Times New Roman" w:eastAsia="Times New Roman" w:hAnsi="Times New Roman"/>
          <w:b/>
          <w:bCs/>
          <w:sz w:val="24"/>
          <w:szCs w:val="24"/>
          <w:lang w:eastAsia="es-ES"/>
        </w:rPr>
        <w:t>a mí, es una señal, un</w:t>
      </w:r>
      <w:r>
        <w:rPr>
          <w:rFonts w:ascii="Times New Roman" w:eastAsia="Times New Roman" w:hAnsi="Times New Roman"/>
          <w:b/>
          <w:bCs/>
          <w:sz w:val="24"/>
          <w:szCs w:val="24"/>
          <w:lang w:eastAsia="es-ES"/>
        </w:rPr>
        <w:t>a advocación.</w:t>
      </w:r>
    </w:p>
    <w:p w:rsidR="00467075" w:rsidRDefault="00467075"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El título que tenía previsto para esta parte era: “Encefalograma plano”</w:t>
      </w:r>
    </w:p>
    <w:p w:rsidR="00DB23BB" w:rsidRDefault="00AE1F26"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La arrogancia, irresponsabilidad y frivolidad, con que los líderes políticos están tratando y resolviendo los temas de la sanidad pública, me lleva a preguntar: ¿son así de imbéciles o lo parecen? ¿son conscientes que están en el cargo por el voto de los ciudadanos? ¿</w:t>
      </w:r>
      <w:r w:rsidR="00EE724B">
        <w:rPr>
          <w:rFonts w:ascii="Times New Roman" w:eastAsia="Times New Roman" w:hAnsi="Times New Roman"/>
          <w:b/>
          <w:bCs/>
          <w:sz w:val="24"/>
          <w:szCs w:val="24"/>
          <w:lang w:eastAsia="es-ES"/>
        </w:rPr>
        <w:t xml:space="preserve">acaso </w:t>
      </w:r>
      <w:r w:rsidR="00143EE7">
        <w:rPr>
          <w:rFonts w:ascii="Times New Roman" w:eastAsia="Times New Roman" w:hAnsi="Times New Roman"/>
          <w:b/>
          <w:bCs/>
          <w:sz w:val="24"/>
          <w:szCs w:val="24"/>
          <w:lang w:eastAsia="es-ES"/>
        </w:rPr>
        <w:t xml:space="preserve">recuerdan </w:t>
      </w:r>
      <w:r>
        <w:rPr>
          <w:rFonts w:ascii="Times New Roman" w:eastAsia="Times New Roman" w:hAnsi="Times New Roman"/>
          <w:b/>
          <w:bCs/>
          <w:sz w:val="24"/>
          <w:szCs w:val="24"/>
          <w:lang w:eastAsia="es-ES"/>
        </w:rPr>
        <w:t xml:space="preserve">quién </w:t>
      </w:r>
      <w:r w:rsidR="00143EE7">
        <w:rPr>
          <w:rFonts w:ascii="Times New Roman" w:eastAsia="Times New Roman" w:hAnsi="Times New Roman"/>
          <w:b/>
          <w:bCs/>
          <w:sz w:val="24"/>
          <w:szCs w:val="24"/>
          <w:lang w:eastAsia="es-ES"/>
        </w:rPr>
        <w:t xml:space="preserve">les paga el sueldo (al </w:t>
      </w:r>
      <w:r>
        <w:rPr>
          <w:rFonts w:ascii="Times New Roman" w:eastAsia="Times New Roman" w:hAnsi="Times New Roman"/>
          <w:b/>
          <w:bCs/>
          <w:sz w:val="24"/>
          <w:szCs w:val="24"/>
          <w:lang w:eastAsia="es-ES"/>
        </w:rPr>
        <w:t>menos el oficial)?</w:t>
      </w:r>
    </w:p>
    <w:p w:rsidR="00467075" w:rsidRDefault="00AE1F26"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Si se implementan</w:t>
      </w:r>
      <w:r w:rsidR="00143EE7">
        <w:rPr>
          <w:rFonts w:ascii="Times New Roman" w:eastAsia="Times New Roman" w:hAnsi="Times New Roman"/>
          <w:b/>
          <w:bCs/>
          <w:sz w:val="24"/>
          <w:szCs w:val="24"/>
          <w:lang w:eastAsia="es-ES"/>
        </w:rPr>
        <w:t xml:space="preserve"> con rigurosidad e inmediatez</w:t>
      </w:r>
      <w:r>
        <w:rPr>
          <w:rFonts w:ascii="Times New Roman" w:eastAsia="Times New Roman" w:hAnsi="Times New Roman"/>
          <w:b/>
          <w:bCs/>
          <w:sz w:val="24"/>
          <w:szCs w:val="24"/>
          <w:lang w:eastAsia="es-ES"/>
        </w:rPr>
        <w:t xml:space="preserve"> las medidas de “sostenibilidad” previstas en </w:t>
      </w:r>
      <w:r w:rsidR="00467075">
        <w:rPr>
          <w:rFonts w:ascii="Times New Roman" w:eastAsia="Times New Roman" w:hAnsi="Times New Roman"/>
          <w:b/>
          <w:bCs/>
          <w:sz w:val="24"/>
          <w:szCs w:val="24"/>
          <w:lang w:eastAsia="es-ES"/>
        </w:rPr>
        <w:t>la sanidad pública</w:t>
      </w:r>
      <w:r w:rsidR="00143EE7">
        <w:rPr>
          <w:rFonts w:ascii="Times New Roman" w:eastAsia="Times New Roman" w:hAnsi="Times New Roman"/>
          <w:b/>
          <w:bCs/>
          <w:sz w:val="24"/>
          <w:szCs w:val="24"/>
          <w:lang w:eastAsia="es-ES"/>
        </w:rPr>
        <w:t xml:space="preserve"> (y todo hace pensar que así será),</w:t>
      </w:r>
      <w:r w:rsidR="00467075">
        <w:rPr>
          <w:rFonts w:ascii="Times New Roman" w:eastAsia="Times New Roman" w:hAnsi="Times New Roman"/>
          <w:b/>
          <w:bCs/>
          <w:sz w:val="24"/>
          <w:szCs w:val="24"/>
          <w:lang w:eastAsia="es-ES"/>
        </w:rPr>
        <w:t xml:space="preserve"> podría diagnosticarse</w:t>
      </w:r>
      <w:r w:rsidR="00143EE7">
        <w:rPr>
          <w:rFonts w:ascii="Times New Roman" w:eastAsia="Times New Roman" w:hAnsi="Times New Roman"/>
          <w:b/>
          <w:bCs/>
          <w:sz w:val="24"/>
          <w:szCs w:val="24"/>
          <w:lang w:eastAsia="es-ES"/>
        </w:rPr>
        <w:t xml:space="preserve"> una</w:t>
      </w:r>
      <w:r w:rsidR="00467075">
        <w:rPr>
          <w:rFonts w:ascii="Times New Roman" w:eastAsia="Times New Roman" w:hAnsi="Times New Roman"/>
          <w:b/>
          <w:bCs/>
          <w:sz w:val="24"/>
          <w:szCs w:val="24"/>
          <w:lang w:eastAsia="es-ES"/>
        </w:rPr>
        <w:t xml:space="preserve"> “muerte cerebral”</w:t>
      </w:r>
      <w:r w:rsidR="00143EE7">
        <w:rPr>
          <w:rFonts w:ascii="Times New Roman" w:eastAsia="Times New Roman" w:hAnsi="Times New Roman"/>
          <w:b/>
          <w:bCs/>
          <w:sz w:val="24"/>
          <w:szCs w:val="24"/>
          <w:lang w:eastAsia="es-ES"/>
        </w:rPr>
        <w:t xml:space="preserve"> del sistema</w:t>
      </w:r>
      <w:r w:rsidR="00DB23BB">
        <w:rPr>
          <w:rFonts w:ascii="Times New Roman" w:eastAsia="Times New Roman" w:hAnsi="Times New Roman"/>
          <w:b/>
          <w:bCs/>
          <w:sz w:val="24"/>
          <w:szCs w:val="24"/>
          <w:lang w:eastAsia="es-ES"/>
        </w:rPr>
        <w:t xml:space="preserve"> (</w:t>
      </w:r>
      <w:r w:rsidR="00467075" w:rsidRPr="00467075">
        <w:rPr>
          <w:rFonts w:ascii="Times New Roman" w:eastAsia="Times New Roman" w:hAnsi="Times New Roman"/>
          <w:b/>
          <w:bCs/>
          <w:sz w:val="24"/>
          <w:szCs w:val="24"/>
          <w:lang w:eastAsia="es-ES"/>
        </w:rPr>
        <w:t>ocurre cuando no llegan al cerebro ni el flujo sanguíneo ni el oxígeno, lo que provoc</w:t>
      </w:r>
      <w:r w:rsidR="00143EE7">
        <w:rPr>
          <w:rFonts w:ascii="Times New Roman" w:eastAsia="Times New Roman" w:hAnsi="Times New Roman"/>
          <w:b/>
          <w:bCs/>
          <w:sz w:val="24"/>
          <w:szCs w:val="24"/>
          <w:lang w:eastAsia="es-ES"/>
        </w:rPr>
        <w:t>a que éste deje de funcionar; no</w:t>
      </w:r>
      <w:r w:rsidR="00467075" w:rsidRPr="00467075">
        <w:rPr>
          <w:rFonts w:ascii="Times New Roman" w:eastAsia="Times New Roman" w:hAnsi="Times New Roman"/>
          <w:b/>
          <w:bCs/>
          <w:sz w:val="24"/>
          <w:szCs w:val="24"/>
          <w:lang w:eastAsia="es-ES"/>
        </w:rPr>
        <w:t xml:space="preserve"> obstante,</w:t>
      </w:r>
      <w:r w:rsidR="00143EE7">
        <w:rPr>
          <w:rFonts w:ascii="Times New Roman" w:eastAsia="Times New Roman" w:hAnsi="Times New Roman"/>
          <w:b/>
          <w:bCs/>
          <w:sz w:val="24"/>
          <w:szCs w:val="24"/>
          <w:lang w:eastAsia="es-ES"/>
        </w:rPr>
        <w:t xml:space="preserve"> el resto de los órganos pueden</w:t>
      </w:r>
      <w:r w:rsidR="00467075" w:rsidRPr="00467075">
        <w:rPr>
          <w:rFonts w:ascii="Times New Roman" w:eastAsia="Times New Roman" w:hAnsi="Times New Roman"/>
          <w:b/>
          <w:bCs/>
          <w:sz w:val="24"/>
          <w:szCs w:val="24"/>
          <w:lang w:eastAsia="es-ES"/>
        </w:rPr>
        <w:t xml:space="preserve"> </w:t>
      </w:r>
      <w:r w:rsidR="00143EE7">
        <w:rPr>
          <w:rFonts w:ascii="Times New Roman" w:eastAsia="Times New Roman" w:hAnsi="Times New Roman"/>
          <w:b/>
          <w:bCs/>
          <w:sz w:val="24"/>
          <w:szCs w:val="24"/>
          <w:lang w:eastAsia="es-ES"/>
        </w:rPr>
        <w:t xml:space="preserve">seguir funcionando por </w:t>
      </w:r>
      <w:r w:rsidR="00467075" w:rsidRPr="00467075">
        <w:rPr>
          <w:rFonts w:ascii="Times New Roman" w:eastAsia="Times New Roman" w:hAnsi="Times New Roman"/>
          <w:b/>
          <w:bCs/>
          <w:sz w:val="24"/>
          <w:szCs w:val="24"/>
          <w:lang w:eastAsia="es-ES"/>
        </w:rPr>
        <w:t xml:space="preserve">asistencia mecánica incluso varios días después </w:t>
      </w:r>
      <w:r w:rsidR="00DB23BB">
        <w:rPr>
          <w:rFonts w:ascii="Times New Roman" w:eastAsia="Times New Roman" w:hAnsi="Times New Roman"/>
          <w:b/>
          <w:bCs/>
          <w:sz w:val="24"/>
          <w:szCs w:val="24"/>
          <w:lang w:eastAsia="es-ES"/>
        </w:rPr>
        <w:t>de que el cerebro haya “muerto”).</w:t>
      </w:r>
    </w:p>
    <w:p w:rsidR="00752DD9" w:rsidRDefault="00143EE7"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 xml:space="preserve">Estos </w:t>
      </w:r>
      <w:r w:rsidR="000E1807">
        <w:rPr>
          <w:rFonts w:ascii="Times New Roman" w:eastAsia="Times New Roman" w:hAnsi="Times New Roman"/>
          <w:b/>
          <w:bCs/>
          <w:sz w:val="24"/>
          <w:szCs w:val="24"/>
          <w:lang w:eastAsia="es-ES"/>
        </w:rPr>
        <w:t>“</w:t>
      </w:r>
      <w:r>
        <w:rPr>
          <w:rFonts w:ascii="Times New Roman" w:eastAsia="Times New Roman" w:hAnsi="Times New Roman"/>
          <w:b/>
          <w:bCs/>
          <w:sz w:val="24"/>
          <w:szCs w:val="24"/>
          <w:lang w:eastAsia="es-ES"/>
        </w:rPr>
        <w:t>insensatos</w:t>
      </w:r>
      <w:r w:rsidR="000E1807">
        <w:rPr>
          <w:rFonts w:ascii="Times New Roman" w:eastAsia="Times New Roman" w:hAnsi="Times New Roman"/>
          <w:b/>
          <w:bCs/>
          <w:sz w:val="24"/>
          <w:szCs w:val="24"/>
          <w:lang w:eastAsia="es-ES"/>
        </w:rPr>
        <w:t>”</w:t>
      </w:r>
      <w:r>
        <w:rPr>
          <w:rFonts w:ascii="Times New Roman" w:eastAsia="Times New Roman" w:hAnsi="Times New Roman"/>
          <w:b/>
          <w:bCs/>
          <w:sz w:val="24"/>
          <w:szCs w:val="24"/>
          <w:lang w:eastAsia="es-ES"/>
        </w:rPr>
        <w:t xml:space="preserve"> dejan abandonados a niños, ancian</w:t>
      </w:r>
      <w:r w:rsidR="000E1807">
        <w:rPr>
          <w:rFonts w:ascii="Times New Roman" w:eastAsia="Times New Roman" w:hAnsi="Times New Roman"/>
          <w:b/>
          <w:bCs/>
          <w:sz w:val="24"/>
          <w:szCs w:val="24"/>
          <w:lang w:eastAsia="es-ES"/>
        </w:rPr>
        <w:t>os, deficientes mentales,</w:t>
      </w:r>
      <w:r w:rsidR="007B6079">
        <w:rPr>
          <w:rFonts w:ascii="Times New Roman" w:eastAsia="Times New Roman" w:hAnsi="Times New Roman"/>
          <w:b/>
          <w:bCs/>
          <w:sz w:val="24"/>
          <w:szCs w:val="24"/>
          <w:lang w:eastAsia="es-ES"/>
        </w:rPr>
        <w:t xml:space="preserve"> lisiados, dependientes, moribundos,</w:t>
      </w:r>
      <w:r w:rsidR="000E1807">
        <w:rPr>
          <w:rFonts w:ascii="Times New Roman" w:eastAsia="Times New Roman" w:hAnsi="Times New Roman"/>
          <w:b/>
          <w:bCs/>
          <w:sz w:val="24"/>
          <w:szCs w:val="24"/>
          <w:lang w:eastAsia="es-ES"/>
        </w:rPr>
        <w:t xml:space="preserve"> personas sin recursos</w:t>
      </w:r>
      <w:r>
        <w:rPr>
          <w:rFonts w:ascii="Times New Roman" w:eastAsia="Times New Roman" w:hAnsi="Times New Roman"/>
          <w:b/>
          <w:bCs/>
          <w:sz w:val="24"/>
          <w:szCs w:val="24"/>
          <w:lang w:eastAsia="es-ES"/>
        </w:rPr>
        <w:t>, padres que necesitan enviar a sus hijos a</w:t>
      </w:r>
      <w:r w:rsidR="00752DD9">
        <w:rPr>
          <w:rFonts w:ascii="Times New Roman" w:eastAsia="Times New Roman" w:hAnsi="Times New Roman"/>
          <w:b/>
          <w:bCs/>
          <w:sz w:val="24"/>
          <w:szCs w:val="24"/>
          <w:lang w:eastAsia="es-ES"/>
        </w:rPr>
        <w:t xml:space="preserve"> la guardería</w:t>
      </w:r>
      <w:r>
        <w:rPr>
          <w:rFonts w:ascii="Times New Roman" w:eastAsia="Times New Roman" w:hAnsi="Times New Roman"/>
          <w:b/>
          <w:bCs/>
          <w:sz w:val="24"/>
          <w:szCs w:val="24"/>
          <w:lang w:eastAsia="es-ES"/>
        </w:rPr>
        <w:t xml:space="preserve"> para</w:t>
      </w:r>
      <w:r w:rsidR="000E1807">
        <w:rPr>
          <w:rFonts w:ascii="Times New Roman" w:eastAsia="Times New Roman" w:hAnsi="Times New Roman"/>
          <w:b/>
          <w:bCs/>
          <w:sz w:val="24"/>
          <w:szCs w:val="24"/>
          <w:lang w:eastAsia="es-ES"/>
        </w:rPr>
        <w:t xml:space="preserve"> ir a</w:t>
      </w:r>
      <w:r>
        <w:rPr>
          <w:rFonts w:ascii="Times New Roman" w:eastAsia="Times New Roman" w:hAnsi="Times New Roman"/>
          <w:b/>
          <w:bCs/>
          <w:sz w:val="24"/>
          <w:szCs w:val="24"/>
          <w:lang w:eastAsia="es-ES"/>
        </w:rPr>
        <w:t xml:space="preserve"> trabajar (después </w:t>
      </w:r>
      <w:r w:rsidR="000E1807">
        <w:rPr>
          <w:rFonts w:ascii="Times New Roman" w:eastAsia="Times New Roman" w:hAnsi="Times New Roman"/>
          <w:b/>
          <w:bCs/>
          <w:sz w:val="24"/>
          <w:szCs w:val="24"/>
          <w:lang w:eastAsia="es-ES"/>
        </w:rPr>
        <w:t>de haber alentado la natalidad), part</w:t>
      </w:r>
      <w:r w:rsidR="00713638">
        <w:rPr>
          <w:rFonts w:ascii="Times New Roman" w:eastAsia="Times New Roman" w:hAnsi="Times New Roman"/>
          <w:b/>
          <w:bCs/>
          <w:sz w:val="24"/>
          <w:szCs w:val="24"/>
          <w:lang w:eastAsia="es-ES"/>
        </w:rPr>
        <w:t>urientas, enfermedades raras</w:t>
      </w:r>
      <w:r w:rsidR="007B6079">
        <w:rPr>
          <w:rFonts w:ascii="Times New Roman" w:eastAsia="Times New Roman" w:hAnsi="Times New Roman"/>
          <w:b/>
          <w:bCs/>
          <w:sz w:val="24"/>
          <w:szCs w:val="24"/>
          <w:lang w:eastAsia="es-ES"/>
        </w:rPr>
        <w:t>, asistencia psiqui</w:t>
      </w:r>
      <w:r w:rsidR="008A7AEA">
        <w:rPr>
          <w:rFonts w:ascii="Times New Roman" w:eastAsia="Times New Roman" w:hAnsi="Times New Roman"/>
          <w:b/>
          <w:bCs/>
          <w:sz w:val="24"/>
          <w:szCs w:val="24"/>
          <w:lang w:eastAsia="es-ES"/>
        </w:rPr>
        <w:t>átrica,… y así, hasta “vaciar”</w:t>
      </w:r>
      <w:r w:rsidR="000E1807">
        <w:rPr>
          <w:rFonts w:ascii="Times New Roman" w:eastAsia="Times New Roman" w:hAnsi="Times New Roman"/>
          <w:b/>
          <w:bCs/>
          <w:sz w:val="24"/>
          <w:szCs w:val="24"/>
          <w:lang w:eastAsia="es-ES"/>
        </w:rPr>
        <w:t xml:space="preserve"> el “</w:t>
      </w:r>
      <w:r w:rsidR="00752DD9">
        <w:rPr>
          <w:rFonts w:ascii="Times New Roman" w:eastAsia="Times New Roman" w:hAnsi="Times New Roman"/>
          <w:b/>
          <w:bCs/>
          <w:sz w:val="24"/>
          <w:szCs w:val="24"/>
          <w:lang w:eastAsia="es-ES"/>
        </w:rPr>
        <w:t>manual de anatomía</w:t>
      </w:r>
      <w:r w:rsidR="00EE724B">
        <w:rPr>
          <w:rFonts w:ascii="Times New Roman" w:eastAsia="Times New Roman" w:hAnsi="Times New Roman"/>
          <w:b/>
          <w:bCs/>
          <w:sz w:val="24"/>
          <w:szCs w:val="24"/>
          <w:lang w:eastAsia="es-ES"/>
        </w:rPr>
        <w:t>”</w:t>
      </w:r>
      <w:r w:rsidR="008558D7">
        <w:rPr>
          <w:rFonts w:ascii="Times New Roman" w:eastAsia="Times New Roman" w:hAnsi="Times New Roman"/>
          <w:b/>
          <w:bCs/>
          <w:sz w:val="24"/>
          <w:szCs w:val="24"/>
          <w:lang w:eastAsia="es-ES"/>
        </w:rPr>
        <w:t>, mientras</w:t>
      </w:r>
      <w:r w:rsidR="008A7AEA">
        <w:rPr>
          <w:rFonts w:ascii="Times New Roman" w:eastAsia="Times New Roman" w:hAnsi="Times New Roman"/>
          <w:b/>
          <w:bCs/>
          <w:sz w:val="24"/>
          <w:szCs w:val="24"/>
          <w:lang w:eastAsia="es-ES"/>
        </w:rPr>
        <w:t xml:space="preserve"> “</w:t>
      </w:r>
      <w:r w:rsidR="008558D7">
        <w:rPr>
          <w:rFonts w:ascii="Times New Roman" w:eastAsia="Times New Roman" w:hAnsi="Times New Roman"/>
          <w:b/>
          <w:bCs/>
          <w:sz w:val="24"/>
          <w:szCs w:val="24"/>
          <w:lang w:eastAsia="es-ES"/>
        </w:rPr>
        <w:t>podan</w:t>
      </w:r>
      <w:r w:rsidR="008A7AEA">
        <w:rPr>
          <w:rFonts w:ascii="Times New Roman" w:eastAsia="Times New Roman" w:hAnsi="Times New Roman"/>
          <w:b/>
          <w:bCs/>
          <w:sz w:val="24"/>
          <w:szCs w:val="24"/>
          <w:lang w:eastAsia="es-ES"/>
        </w:rPr>
        <w:t>”</w:t>
      </w:r>
      <w:r w:rsidR="008558D7">
        <w:rPr>
          <w:rFonts w:ascii="Times New Roman" w:eastAsia="Times New Roman" w:hAnsi="Times New Roman"/>
          <w:b/>
          <w:bCs/>
          <w:sz w:val="24"/>
          <w:szCs w:val="24"/>
          <w:lang w:eastAsia="es-ES"/>
        </w:rPr>
        <w:t xml:space="preserve"> de raíz,</w:t>
      </w:r>
      <w:r w:rsidR="007B6079">
        <w:rPr>
          <w:rFonts w:ascii="Times New Roman" w:eastAsia="Times New Roman" w:hAnsi="Times New Roman"/>
          <w:b/>
          <w:bCs/>
          <w:sz w:val="24"/>
          <w:szCs w:val="24"/>
          <w:lang w:eastAsia="es-ES"/>
        </w:rPr>
        <w:t xml:space="preserve"> el vademécum.</w:t>
      </w:r>
    </w:p>
    <w:p w:rsidR="00472621" w:rsidRDefault="00752DD9"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Una sanidad “low cost”, dónde a los ancianos se les tome la tensión con el abrigo puesto (de prisa, de prisa), dónde los médicos de familia atiendan</w:t>
      </w:r>
      <w:r w:rsidR="00CF7203">
        <w:rPr>
          <w:rFonts w:ascii="Times New Roman" w:eastAsia="Times New Roman" w:hAnsi="Times New Roman"/>
          <w:b/>
          <w:bCs/>
          <w:sz w:val="24"/>
          <w:szCs w:val="24"/>
          <w:lang w:eastAsia="es-ES"/>
        </w:rPr>
        <w:t xml:space="preserve"> (pero nunca escuchen o contengan)</w:t>
      </w:r>
      <w:r>
        <w:rPr>
          <w:rFonts w:ascii="Times New Roman" w:eastAsia="Times New Roman" w:hAnsi="Times New Roman"/>
          <w:b/>
          <w:bCs/>
          <w:sz w:val="24"/>
          <w:szCs w:val="24"/>
          <w:lang w:eastAsia="es-ES"/>
        </w:rPr>
        <w:t xml:space="preserve"> un paciente cada 15 minutos (de prisa, de prisa),</w:t>
      </w:r>
      <w:r w:rsidR="00CF7203">
        <w:rPr>
          <w:rFonts w:ascii="Times New Roman" w:eastAsia="Times New Roman" w:hAnsi="Times New Roman"/>
          <w:b/>
          <w:bCs/>
          <w:sz w:val="24"/>
          <w:szCs w:val="24"/>
          <w:lang w:eastAsia="es-ES"/>
        </w:rPr>
        <w:t xml:space="preserve"> dónde el acceso a las consultas externas y pruebas especiales, sea una travesía del desierto o una “lotería” (aguante o sorteo), </w:t>
      </w:r>
      <w:r>
        <w:rPr>
          <w:rFonts w:ascii="Times New Roman" w:eastAsia="Times New Roman" w:hAnsi="Times New Roman"/>
          <w:b/>
          <w:bCs/>
          <w:sz w:val="24"/>
          <w:szCs w:val="24"/>
          <w:lang w:eastAsia="es-ES"/>
        </w:rPr>
        <w:t>dónde las “listas de espera” se prolonguen hasta la extenuación o la baja por fallecimiento</w:t>
      </w:r>
      <w:r w:rsidR="00CF7203">
        <w:rPr>
          <w:rFonts w:ascii="Times New Roman" w:eastAsia="Times New Roman" w:hAnsi="Times New Roman"/>
          <w:b/>
          <w:bCs/>
          <w:sz w:val="24"/>
          <w:szCs w:val="24"/>
          <w:lang w:eastAsia="es-ES"/>
        </w:rPr>
        <w:t xml:space="preserve"> (una buena fó</w:t>
      </w:r>
      <w:r w:rsidR="00472621">
        <w:rPr>
          <w:rFonts w:ascii="Times New Roman" w:eastAsia="Times New Roman" w:hAnsi="Times New Roman"/>
          <w:b/>
          <w:bCs/>
          <w:sz w:val="24"/>
          <w:szCs w:val="24"/>
          <w:lang w:eastAsia="es-ES"/>
        </w:rPr>
        <w:t>r</w:t>
      </w:r>
      <w:r w:rsidR="00CF7203">
        <w:rPr>
          <w:rFonts w:ascii="Times New Roman" w:eastAsia="Times New Roman" w:hAnsi="Times New Roman"/>
          <w:b/>
          <w:bCs/>
          <w:sz w:val="24"/>
          <w:szCs w:val="24"/>
          <w:lang w:eastAsia="es-ES"/>
        </w:rPr>
        <w:t>mula</w:t>
      </w:r>
      <w:r w:rsidR="00472621">
        <w:rPr>
          <w:rFonts w:ascii="Times New Roman" w:eastAsia="Times New Roman" w:hAnsi="Times New Roman"/>
          <w:b/>
          <w:bCs/>
          <w:sz w:val="24"/>
          <w:szCs w:val="24"/>
          <w:lang w:eastAsia="es-ES"/>
        </w:rPr>
        <w:t xml:space="preserve"> económica</w:t>
      </w:r>
      <w:r w:rsidR="00CF7203">
        <w:rPr>
          <w:rFonts w:ascii="Times New Roman" w:eastAsia="Times New Roman" w:hAnsi="Times New Roman"/>
          <w:b/>
          <w:bCs/>
          <w:sz w:val="24"/>
          <w:szCs w:val="24"/>
          <w:lang w:eastAsia="es-ES"/>
        </w:rPr>
        <w:t>)</w:t>
      </w:r>
      <w:r w:rsidR="00472621">
        <w:rPr>
          <w:rFonts w:ascii="Times New Roman" w:eastAsia="Times New Roman" w:hAnsi="Times New Roman"/>
          <w:b/>
          <w:bCs/>
          <w:sz w:val="24"/>
          <w:szCs w:val="24"/>
          <w:lang w:eastAsia="es-ES"/>
        </w:rPr>
        <w:t>.</w:t>
      </w:r>
    </w:p>
    <w:p w:rsidR="002A6942" w:rsidRDefault="00472621"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Para restar un poco la dramatismo al texto, y en celebración de “San la Muerte” les dejo algunos “epitafios” para que los pacientes puedan despedirse del Servi</w:t>
      </w:r>
      <w:r w:rsidR="00EE724B">
        <w:rPr>
          <w:rFonts w:ascii="Times New Roman" w:eastAsia="Times New Roman" w:hAnsi="Times New Roman"/>
          <w:b/>
          <w:bCs/>
          <w:sz w:val="24"/>
          <w:szCs w:val="24"/>
          <w:lang w:eastAsia="es-ES"/>
        </w:rPr>
        <w:t xml:space="preserve">cio </w:t>
      </w:r>
      <w:r>
        <w:rPr>
          <w:rFonts w:ascii="Times New Roman" w:eastAsia="Times New Roman" w:hAnsi="Times New Roman"/>
          <w:b/>
          <w:bCs/>
          <w:sz w:val="24"/>
          <w:szCs w:val="24"/>
          <w:lang w:eastAsia="es-ES"/>
        </w:rPr>
        <w:t xml:space="preserve">Público de Salud: </w:t>
      </w:r>
      <w:r w:rsidRPr="002A6942">
        <w:rPr>
          <w:rFonts w:ascii="Times New Roman" w:eastAsia="Times New Roman" w:hAnsi="Times New Roman"/>
          <w:b/>
          <w:bCs/>
          <w:i/>
          <w:sz w:val="24"/>
          <w:szCs w:val="24"/>
          <w:lang w:eastAsia="es-ES"/>
        </w:rPr>
        <w:t>“Perdón por no levantarme”</w:t>
      </w:r>
      <w:r>
        <w:rPr>
          <w:rFonts w:ascii="Times New Roman" w:eastAsia="Times New Roman" w:hAnsi="Times New Roman"/>
          <w:b/>
          <w:bCs/>
          <w:sz w:val="24"/>
          <w:szCs w:val="24"/>
          <w:lang w:eastAsia="es-ES"/>
        </w:rPr>
        <w:t xml:space="preserve"> (Groucho Marx) </w:t>
      </w:r>
      <w:r w:rsidRPr="002A6942">
        <w:rPr>
          <w:rFonts w:ascii="Times New Roman" w:eastAsia="Times New Roman" w:hAnsi="Times New Roman"/>
          <w:bCs/>
          <w:sz w:val="24"/>
          <w:szCs w:val="24"/>
          <w:lang w:eastAsia="es-ES"/>
        </w:rPr>
        <w:t>-</w:t>
      </w:r>
      <w:r>
        <w:rPr>
          <w:rFonts w:ascii="Times New Roman" w:eastAsia="Times New Roman" w:hAnsi="Times New Roman"/>
          <w:b/>
          <w:bCs/>
          <w:sz w:val="24"/>
          <w:szCs w:val="24"/>
          <w:lang w:eastAsia="es-ES"/>
        </w:rPr>
        <w:t xml:space="preserve"> </w:t>
      </w:r>
      <w:r w:rsidRPr="002A6942">
        <w:rPr>
          <w:rFonts w:ascii="Times New Roman" w:eastAsia="Times New Roman" w:hAnsi="Times New Roman"/>
          <w:b/>
          <w:bCs/>
          <w:i/>
          <w:sz w:val="24"/>
          <w:szCs w:val="24"/>
          <w:lang w:eastAsia="es-ES"/>
        </w:rPr>
        <w:t>“Ya decía yo que ese médico no valía mucho</w:t>
      </w:r>
      <w:r w:rsidR="002A6942" w:rsidRPr="002A6942">
        <w:rPr>
          <w:rFonts w:ascii="Times New Roman" w:eastAsia="Times New Roman" w:hAnsi="Times New Roman"/>
          <w:b/>
          <w:bCs/>
          <w:i/>
          <w:sz w:val="24"/>
          <w:szCs w:val="24"/>
          <w:lang w:eastAsia="es-ES"/>
        </w:rPr>
        <w:t>”</w:t>
      </w:r>
      <w:r w:rsidR="002A6942">
        <w:rPr>
          <w:rFonts w:ascii="Times New Roman" w:eastAsia="Times New Roman" w:hAnsi="Times New Roman"/>
          <w:b/>
          <w:bCs/>
          <w:sz w:val="24"/>
          <w:szCs w:val="24"/>
          <w:lang w:eastAsia="es-ES"/>
        </w:rPr>
        <w:t xml:space="preserve"> (Miguel Mihura) </w:t>
      </w:r>
      <w:r w:rsidR="002A6942" w:rsidRPr="002A6942">
        <w:rPr>
          <w:rFonts w:ascii="Times New Roman" w:eastAsia="Times New Roman" w:hAnsi="Times New Roman"/>
          <w:bCs/>
          <w:sz w:val="24"/>
          <w:szCs w:val="24"/>
          <w:lang w:eastAsia="es-ES"/>
        </w:rPr>
        <w:t xml:space="preserve">- </w:t>
      </w:r>
      <w:r w:rsidR="002A6942">
        <w:rPr>
          <w:rFonts w:ascii="Times New Roman" w:eastAsia="Times New Roman" w:hAnsi="Times New Roman"/>
          <w:b/>
          <w:bCs/>
          <w:sz w:val="24"/>
          <w:szCs w:val="24"/>
          <w:lang w:eastAsia="es-ES"/>
        </w:rPr>
        <w:t xml:space="preserve"> </w:t>
      </w:r>
      <w:r w:rsidR="002A6942" w:rsidRPr="002A6942">
        <w:rPr>
          <w:rFonts w:ascii="Times New Roman" w:eastAsia="Times New Roman" w:hAnsi="Times New Roman"/>
          <w:b/>
          <w:bCs/>
          <w:i/>
          <w:sz w:val="24"/>
          <w:szCs w:val="24"/>
          <w:lang w:eastAsia="es-ES"/>
        </w:rPr>
        <w:t>“Perdónenme el polvo”</w:t>
      </w:r>
      <w:r w:rsidR="002A6942">
        <w:rPr>
          <w:rFonts w:ascii="Times New Roman" w:eastAsia="Times New Roman" w:hAnsi="Times New Roman"/>
          <w:b/>
          <w:bCs/>
          <w:sz w:val="24"/>
          <w:szCs w:val="24"/>
          <w:lang w:eastAsia="es-ES"/>
        </w:rPr>
        <w:t xml:space="preserve"> (Cesar Vallejo) </w:t>
      </w:r>
      <w:r w:rsidR="002A6942" w:rsidRPr="002A6942">
        <w:rPr>
          <w:rFonts w:ascii="Times New Roman" w:eastAsia="Times New Roman" w:hAnsi="Times New Roman"/>
          <w:bCs/>
          <w:sz w:val="24"/>
          <w:szCs w:val="24"/>
          <w:lang w:eastAsia="es-ES"/>
        </w:rPr>
        <w:t>-</w:t>
      </w:r>
      <w:r w:rsidR="002A6942">
        <w:rPr>
          <w:rFonts w:ascii="Times New Roman" w:eastAsia="Times New Roman" w:hAnsi="Times New Roman"/>
          <w:b/>
          <w:bCs/>
          <w:sz w:val="24"/>
          <w:szCs w:val="24"/>
          <w:lang w:eastAsia="es-ES"/>
        </w:rPr>
        <w:t xml:space="preserve"> </w:t>
      </w:r>
      <w:r w:rsidR="002A6942" w:rsidRPr="002A6942">
        <w:rPr>
          <w:rFonts w:ascii="Times New Roman" w:eastAsia="Times New Roman" w:hAnsi="Times New Roman"/>
          <w:b/>
          <w:bCs/>
          <w:i/>
          <w:sz w:val="24"/>
          <w:szCs w:val="24"/>
          <w:lang w:eastAsia="es-ES"/>
        </w:rPr>
        <w:t xml:space="preserve">“Si no viví más fue porque no me dio el tiempo” </w:t>
      </w:r>
      <w:r w:rsidR="002A6942">
        <w:rPr>
          <w:rFonts w:ascii="Times New Roman" w:eastAsia="Times New Roman" w:hAnsi="Times New Roman"/>
          <w:b/>
          <w:bCs/>
          <w:sz w:val="24"/>
          <w:szCs w:val="24"/>
          <w:lang w:eastAsia="es-ES"/>
        </w:rPr>
        <w:t>(Marqués de Sade).</w:t>
      </w:r>
    </w:p>
    <w:p w:rsidR="008722F3" w:rsidRDefault="002A6942" w:rsidP="00550638">
      <w:pPr>
        <w:spacing w:before="100" w:beforeAutospacing="1" w:after="100" w:afterAutospacing="1" w:line="240" w:lineRule="auto"/>
        <w:jc w:val="both"/>
        <w:rPr>
          <w:rFonts w:ascii="Times New Roman" w:eastAsia="Times New Roman" w:hAnsi="Times New Roman"/>
          <w:b/>
          <w:bCs/>
          <w:i/>
          <w:sz w:val="24"/>
          <w:szCs w:val="24"/>
          <w:lang w:eastAsia="es-ES"/>
        </w:rPr>
      </w:pPr>
      <w:r>
        <w:rPr>
          <w:rFonts w:ascii="Times New Roman" w:eastAsia="Times New Roman" w:hAnsi="Times New Roman"/>
          <w:b/>
          <w:bCs/>
          <w:sz w:val="24"/>
          <w:szCs w:val="24"/>
          <w:lang w:eastAsia="es-ES"/>
        </w:rPr>
        <w:lastRenderedPageBreak/>
        <w:t xml:space="preserve">Otros “epitafios” (anónimos): </w:t>
      </w:r>
      <w:r w:rsidRPr="002A6942">
        <w:rPr>
          <w:rFonts w:ascii="Times New Roman" w:eastAsia="Times New Roman" w:hAnsi="Times New Roman"/>
          <w:b/>
          <w:bCs/>
          <w:i/>
          <w:sz w:val="24"/>
          <w:szCs w:val="24"/>
          <w:lang w:eastAsia="es-ES"/>
        </w:rPr>
        <w:t xml:space="preserve">Te dije que estaba enfermo </w:t>
      </w:r>
      <w:r w:rsidR="00303178">
        <w:rPr>
          <w:rFonts w:ascii="Times New Roman" w:eastAsia="Times New Roman" w:hAnsi="Times New Roman"/>
          <w:bCs/>
          <w:i/>
          <w:sz w:val="24"/>
          <w:szCs w:val="24"/>
          <w:lang w:eastAsia="es-ES"/>
        </w:rPr>
        <w:t>-</w:t>
      </w:r>
      <w:r w:rsidRPr="002A6942">
        <w:rPr>
          <w:rFonts w:ascii="Times New Roman" w:eastAsia="Times New Roman" w:hAnsi="Times New Roman"/>
          <w:bCs/>
          <w:i/>
          <w:sz w:val="24"/>
          <w:szCs w:val="24"/>
          <w:lang w:eastAsia="es-ES"/>
        </w:rPr>
        <w:t xml:space="preserve"> </w:t>
      </w:r>
      <w:r w:rsidRPr="002A6942">
        <w:rPr>
          <w:rFonts w:ascii="Times New Roman" w:eastAsia="Times New Roman" w:hAnsi="Times New Roman"/>
          <w:b/>
          <w:bCs/>
          <w:i/>
          <w:sz w:val="24"/>
          <w:szCs w:val="24"/>
          <w:lang w:eastAsia="es-ES"/>
        </w:rPr>
        <w:t>Bueno, esto es un asco - No estaré de vuelta, tras este mensaje - Esto es todo, amigos - Idos, estoy dormido</w:t>
      </w:r>
      <w:r>
        <w:rPr>
          <w:rFonts w:ascii="Times New Roman" w:eastAsia="Times New Roman" w:hAnsi="Times New Roman"/>
          <w:b/>
          <w:bCs/>
          <w:i/>
          <w:sz w:val="24"/>
          <w:szCs w:val="24"/>
          <w:lang w:eastAsia="es-ES"/>
        </w:rPr>
        <w:t>.</w:t>
      </w:r>
    </w:p>
    <w:p w:rsidR="00472621" w:rsidRDefault="008722F3" w:rsidP="00550638">
      <w:pPr>
        <w:spacing w:before="100" w:beforeAutospacing="1" w:after="100" w:afterAutospacing="1" w:line="240" w:lineRule="auto"/>
        <w:jc w:val="both"/>
        <w:rPr>
          <w:rFonts w:ascii="Times New Roman" w:eastAsia="Times New Roman" w:hAnsi="Times New Roman"/>
          <w:b/>
          <w:bCs/>
          <w:i/>
          <w:sz w:val="24"/>
          <w:szCs w:val="24"/>
          <w:lang w:eastAsia="es-ES"/>
        </w:rPr>
      </w:pPr>
      <w:r>
        <w:rPr>
          <w:rFonts w:ascii="Times New Roman" w:eastAsia="Times New Roman" w:hAnsi="Times New Roman"/>
          <w:b/>
          <w:bCs/>
          <w:sz w:val="24"/>
          <w:szCs w:val="24"/>
          <w:lang w:eastAsia="es-ES"/>
        </w:rPr>
        <w:t>Tal vez, sea lo único qu</w:t>
      </w:r>
      <w:r w:rsidR="00993226">
        <w:rPr>
          <w:rFonts w:ascii="Times New Roman" w:eastAsia="Times New Roman" w:hAnsi="Times New Roman"/>
          <w:b/>
          <w:bCs/>
          <w:sz w:val="24"/>
          <w:szCs w:val="24"/>
          <w:lang w:eastAsia="es-ES"/>
        </w:rPr>
        <w:t>e nos quede (a los sufridos contribuyentes) del sistema público de sanidad</w:t>
      </w:r>
      <w:r>
        <w:rPr>
          <w:rFonts w:ascii="Times New Roman" w:eastAsia="Times New Roman" w:hAnsi="Times New Roman"/>
          <w:b/>
          <w:bCs/>
          <w:sz w:val="24"/>
          <w:szCs w:val="24"/>
          <w:lang w:eastAsia="es-ES"/>
        </w:rPr>
        <w:t xml:space="preserve">: </w:t>
      </w:r>
      <w:r w:rsidR="00993226">
        <w:rPr>
          <w:rFonts w:ascii="Times New Roman" w:eastAsia="Times New Roman" w:hAnsi="Times New Roman"/>
          <w:b/>
          <w:bCs/>
          <w:sz w:val="24"/>
          <w:szCs w:val="24"/>
          <w:lang w:eastAsia="es-ES"/>
        </w:rPr>
        <w:t>“</w:t>
      </w:r>
      <w:r>
        <w:rPr>
          <w:rFonts w:ascii="Times New Roman" w:eastAsia="Times New Roman" w:hAnsi="Times New Roman"/>
          <w:b/>
          <w:bCs/>
          <w:sz w:val="24"/>
          <w:szCs w:val="24"/>
          <w:lang w:eastAsia="es-ES"/>
        </w:rPr>
        <w:t>la envidiable salud de los decesos</w:t>
      </w:r>
      <w:r w:rsidR="00993226">
        <w:rPr>
          <w:rFonts w:ascii="Times New Roman" w:eastAsia="Times New Roman" w:hAnsi="Times New Roman"/>
          <w:b/>
          <w:bCs/>
          <w:sz w:val="24"/>
          <w:szCs w:val="24"/>
          <w:lang w:eastAsia="es-ES"/>
        </w:rPr>
        <w:t>”.</w:t>
      </w:r>
      <w:r w:rsidR="00472621" w:rsidRPr="002A6942">
        <w:rPr>
          <w:rFonts w:ascii="Times New Roman" w:eastAsia="Times New Roman" w:hAnsi="Times New Roman"/>
          <w:b/>
          <w:bCs/>
          <w:i/>
          <w:sz w:val="24"/>
          <w:szCs w:val="24"/>
          <w:lang w:eastAsia="es-ES"/>
        </w:rPr>
        <w:t xml:space="preserve"> </w:t>
      </w:r>
    </w:p>
    <w:p w:rsidR="002A6942" w:rsidRDefault="002A6942"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Más allá de la economía financiera: las otras deudas</w:t>
      </w:r>
    </w:p>
    <w:p w:rsidR="00C46400" w:rsidRDefault="00C46400"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 xml:space="preserve">Después de semejante “catilinaria”, algunos podrán pensar que estoy haciendo una defensa </w:t>
      </w:r>
      <w:r w:rsidR="007564E0">
        <w:rPr>
          <w:rFonts w:ascii="Times New Roman" w:eastAsia="Times New Roman" w:hAnsi="Times New Roman"/>
          <w:b/>
          <w:bCs/>
          <w:sz w:val="24"/>
          <w:szCs w:val="24"/>
          <w:lang w:eastAsia="es-ES"/>
        </w:rPr>
        <w:t>“</w:t>
      </w:r>
      <w:r>
        <w:rPr>
          <w:rFonts w:ascii="Times New Roman" w:eastAsia="Times New Roman" w:hAnsi="Times New Roman"/>
          <w:b/>
          <w:bCs/>
          <w:sz w:val="24"/>
          <w:szCs w:val="24"/>
          <w:lang w:eastAsia="es-ES"/>
        </w:rPr>
        <w:t>acérrima</w:t>
      </w:r>
      <w:r w:rsidR="007564E0">
        <w:rPr>
          <w:rFonts w:ascii="Times New Roman" w:eastAsia="Times New Roman" w:hAnsi="Times New Roman"/>
          <w:b/>
          <w:bCs/>
          <w:sz w:val="24"/>
          <w:szCs w:val="24"/>
          <w:lang w:eastAsia="es-ES"/>
        </w:rPr>
        <w:t>”</w:t>
      </w:r>
      <w:r w:rsidR="00134786">
        <w:rPr>
          <w:rFonts w:ascii="Times New Roman" w:eastAsia="Times New Roman" w:hAnsi="Times New Roman"/>
          <w:b/>
          <w:bCs/>
          <w:sz w:val="24"/>
          <w:szCs w:val="24"/>
          <w:lang w:eastAsia="es-ES"/>
        </w:rPr>
        <w:t xml:space="preserve"> del servicio social de salud</w:t>
      </w:r>
      <w:r>
        <w:rPr>
          <w:rFonts w:ascii="Times New Roman" w:eastAsia="Times New Roman" w:hAnsi="Times New Roman"/>
          <w:b/>
          <w:bCs/>
          <w:sz w:val="24"/>
          <w:szCs w:val="24"/>
          <w:lang w:eastAsia="es-ES"/>
        </w:rPr>
        <w:t>. No es el caso.</w:t>
      </w:r>
    </w:p>
    <w:p w:rsidR="00C46400" w:rsidRDefault="00C46400"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Después de tamaña “catarsis”, algunos podrán suponer que la única forma de “unive</w:t>
      </w:r>
      <w:r w:rsidR="00134786">
        <w:rPr>
          <w:rFonts w:ascii="Times New Roman" w:eastAsia="Times New Roman" w:hAnsi="Times New Roman"/>
          <w:b/>
          <w:bCs/>
          <w:sz w:val="24"/>
          <w:szCs w:val="24"/>
          <w:lang w:eastAsia="es-ES"/>
        </w:rPr>
        <w:t>rsalizar” el cuidado sanitario</w:t>
      </w:r>
      <w:r>
        <w:rPr>
          <w:rFonts w:ascii="Times New Roman" w:eastAsia="Times New Roman" w:hAnsi="Times New Roman"/>
          <w:b/>
          <w:bCs/>
          <w:sz w:val="24"/>
          <w:szCs w:val="24"/>
          <w:lang w:eastAsia="es-ES"/>
        </w:rPr>
        <w:t>, es a través del sector público. No es el caso.</w:t>
      </w:r>
    </w:p>
    <w:p w:rsidR="00C46400" w:rsidRPr="002A6942" w:rsidRDefault="007564E0"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 xml:space="preserve">Después de tanto “discurso”, algunos podrán imaginar que la única medicina “altruista” es la que se practica en los hospitales del estado. No es el caso. </w:t>
      </w:r>
    </w:p>
    <w:p w:rsidR="00D402E5" w:rsidRDefault="00D402E5" w:rsidP="00550638">
      <w:pPr>
        <w:spacing w:before="100" w:beforeAutospacing="1" w:after="100" w:afterAutospacing="1" w:line="240" w:lineRule="auto"/>
        <w:jc w:val="both"/>
        <w:rPr>
          <w:rFonts w:ascii="Times New Roman" w:eastAsia="Times New Roman" w:hAnsi="Times New Roman"/>
          <w:b/>
          <w:bCs/>
          <w:sz w:val="24"/>
          <w:szCs w:val="24"/>
          <w:lang w:eastAsia="es-ES"/>
        </w:rPr>
      </w:pPr>
      <w:r w:rsidRPr="00EE724B">
        <w:rPr>
          <w:rFonts w:ascii="Times New Roman" w:eastAsia="Times New Roman" w:hAnsi="Times New Roman"/>
          <w:b/>
          <w:bCs/>
          <w:sz w:val="24"/>
          <w:szCs w:val="24"/>
          <w:lang w:eastAsia="es-ES"/>
        </w:rPr>
        <w:t>Siguiendo el principio, “todo el mundo está cubierto, pero no todo está cubierto”</w:t>
      </w:r>
      <w:r w:rsidR="00DC67E7" w:rsidRPr="00EE724B">
        <w:rPr>
          <w:rFonts w:ascii="Times New Roman" w:eastAsia="Times New Roman" w:hAnsi="Times New Roman"/>
          <w:b/>
          <w:bCs/>
          <w:sz w:val="24"/>
          <w:szCs w:val="24"/>
          <w:lang w:eastAsia="es-ES"/>
        </w:rPr>
        <w:t>, los gobiernos deberían</w:t>
      </w:r>
      <w:r w:rsidRPr="00EE724B">
        <w:rPr>
          <w:rFonts w:ascii="Times New Roman" w:eastAsia="Times New Roman" w:hAnsi="Times New Roman"/>
          <w:b/>
          <w:bCs/>
          <w:sz w:val="24"/>
          <w:szCs w:val="24"/>
          <w:lang w:eastAsia="es-ES"/>
        </w:rPr>
        <w:t xml:space="preserve"> investigar qué servicios son más eficaces en función de los costes y cuáles no deben ser financiados con fondos públicos, debido a que son costosos e ineficaces. La lista de los servicios asegurados siempre puede elevarse en sintonía con las rentas y los ingresos del gobierno, en cada momento y circunstancia.</w:t>
      </w:r>
    </w:p>
    <w:p w:rsidR="007564E0" w:rsidRDefault="007564E0"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En realidad lo que me interesa y defiendo</w:t>
      </w:r>
      <w:r w:rsidR="00786079">
        <w:rPr>
          <w:rFonts w:ascii="Times New Roman" w:eastAsia="Times New Roman" w:hAnsi="Times New Roman"/>
          <w:b/>
          <w:bCs/>
          <w:sz w:val="24"/>
          <w:szCs w:val="24"/>
          <w:lang w:eastAsia="es-ES"/>
        </w:rPr>
        <w:t>,</w:t>
      </w:r>
      <w:r>
        <w:rPr>
          <w:rFonts w:ascii="Times New Roman" w:eastAsia="Times New Roman" w:hAnsi="Times New Roman"/>
          <w:b/>
          <w:bCs/>
          <w:sz w:val="24"/>
          <w:szCs w:val="24"/>
          <w:lang w:eastAsia="es-ES"/>
        </w:rPr>
        <w:t xml:space="preserve"> es un “servicio” sanitario, lo más amplio y colectivo posible. Con las mejores prestaciones</w:t>
      </w:r>
      <w:r w:rsidR="00786079">
        <w:rPr>
          <w:rFonts w:ascii="Times New Roman" w:eastAsia="Times New Roman" w:hAnsi="Times New Roman"/>
          <w:b/>
          <w:bCs/>
          <w:sz w:val="24"/>
          <w:szCs w:val="24"/>
          <w:lang w:eastAsia="es-ES"/>
        </w:rPr>
        <w:t xml:space="preserve"> médicas</w:t>
      </w:r>
      <w:r>
        <w:rPr>
          <w:rFonts w:ascii="Times New Roman" w:eastAsia="Times New Roman" w:hAnsi="Times New Roman"/>
          <w:b/>
          <w:bCs/>
          <w:sz w:val="24"/>
          <w:szCs w:val="24"/>
          <w:lang w:eastAsia="es-ES"/>
        </w:rPr>
        <w:t>, y</w:t>
      </w:r>
      <w:r w:rsidR="00786079">
        <w:rPr>
          <w:rFonts w:ascii="Times New Roman" w:eastAsia="Times New Roman" w:hAnsi="Times New Roman"/>
          <w:b/>
          <w:bCs/>
          <w:sz w:val="24"/>
          <w:szCs w:val="24"/>
          <w:lang w:eastAsia="es-ES"/>
        </w:rPr>
        <w:t xml:space="preserve"> al menor costo fiscal. Me da lo mismo, si es público en su totalidad, o</w:t>
      </w:r>
      <w:r w:rsidR="00B22E08">
        <w:rPr>
          <w:rFonts w:ascii="Times New Roman" w:eastAsia="Times New Roman" w:hAnsi="Times New Roman"/>
          <w:b/>
          <w:bCs/>
          <w:sz w:val="24"/>
          <w:szCs w:val="24"/>
          <w:lang w:eastAsia="es-ES"/>
        </w:rPr>
        <w:t xml:space="preserve"> prestado por el sector</w:t>
      </w:r>
      <w:r w:rsidR="00786079">
        <w:rPr>
          <w:rFonts w:ascii="Times New Roman" w:eastAsia="Times New Roman" w:hAnsi="Times New Roman"/>
          <w:b/>
          <w:bCs/>
          <w:sz w:val="24"/>
          <w:szCs w:val="24"/>
          <w:lang w:eastAsia="es-ES"/>
        </w:rPr>
        <w:t xml:space="preserve"> privado con la propiedad del estado, o totalmente privado con una membresía abonada c</w:t>
      </w:r>
      <w:r w:rsidR="00134786">
        <w:rPr>
          <w:rFonts w:ascii="Times New Roman" w:eastAsia="Times New Roman" w:hAnsi="Times New Roman"/>
          <w:b/>
          <w:bCs/>
          <w:sz w:val="24"/>
          <w:szCs w:val="24"/>
          <w:lang w:eastAsia="es-ES"/>
        </w:rPr>
        <w:t>on un</w:t>
      </w:r>
      <w:r w:rsidR="00786079">
        <w:rPr>
          <w:rFonts w:ascii="Times New Roman" w:eastAsia="Times New Roman" w:hAnsi="Times New Roman"/>
          <w:b/>
          <w:bCs/>
          <w:sz w:val="24"/>
          <w:szCs w:val="24"/>
          <w:lang w:eastAsia="es-ES"/>
        </w:rPr>
        <w:t xml:space="preserve"> “cheque sanitario”. Me importa la calidad y el alcance (cobertura) del servicio, no su propiedad o la modalidad de prestación. </w:t>
      </w:r>
      <w:r w:rsidR="00B22E08">
        <w:rPr>
          <w:rFonts w:ascii="Times New Roman" w:eastAsia="Times New Roman" w:hAnsi="Times New Roman"/>
          <w:b/>
          <w:bCs/>
          <w:sz w:val="24"/>
          <w:szCs w:val="24"/>
          <w:lang w:eastAsia="es-ES"/>
        </w:rPr>
        <w:t>Que los ciudadanos de un país, por el solo hecho de serlo, tengan acceso a un control y cuidado su salud, razonable, sin el límite que impongan sus propios recursos</w:t>
      </w:r>
      <w:r w:rsidR="00134786">
        <w:rPr>
          <w:rFonts w:ascii="Times New Roman" w:eastAsia="Times New Roman" w:hAnsi="Times New Roman"/>
          <w:b/>
          <w:bCs/>
          <w:sz w:val="24"/>
          <w:szCs w:val="24"/>
          <w:lang w:eastAsia="es-ES"/>
        </w:rPr>
        <w:t xml:space="preserve"> económicos</w:t>
      </w:r>
      <w:r w:rsidR="00B22E08">
        <w:rPr>
          <w:rFonts w:ascii="Times New Roman" w:eastAsia="Times New Roman" w:hAnsi="Times New Roman"/>
          <w:b/>
          <w:bCs/>
          <w:sz w:val="24"/>
          <w:szCs w:val="24"/>
          <w:lang w:eastAsia="es-ES"/>
        </w:rPr>
        <w:t xml:space="preserve">. </w:t>
      </w:r>
    </w:p>
    <w:p w:rsidR="002C5286" w:rsidRDefault="00B22E08"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Sospecho de los políticos que usan la sanidad pública como arma electoral (demagógica y clientelar), sospecho de los médicos que se rasgan las vestiduras en defensa de la sanidad pública y por la tarde trabajan en sanatorios privados (a los que han criticado por la mañana), sospecho de los médicos que derivan sus clientes privados (que atienden por la tarde), al hospital público (donde trabajan por la mañana), para realizar</w:t>
      </w:r>
      <w:r w:rsidR="002C5286">
        <w:rPr>
          <w:rFonts w:ascii="Times New Roman" w:eastAsia="Times New Roman" w:hAnsi="Times New Roman"/>
          <w:b/>
          <w:bCs/>
          <w:sz w:val="24"/>
          <w:szCs w:val="24"/>
          <w:lang w:eastAsia="es-ES"/>
        </w:rPr>
        <w:t xml:space="preserve"> exámenes y</w:t>
      </w:r>
      <w:r>
        <w:rPr>
          <w:rFonts w:ascii="Times New Roman" w:eastAsia="Times New Roman" w:hAnsi="Times New Roman"/>
          <w:b/>
          <w:bCs/>
          <w:sz w:val="24"/>
          <w:szCs w:val="24"/>
          <w:lang w:eastAsia="es-ES"/>
        </w:rPr>
        <w:t xml:space="preserve"> pruebas costosas, internaciones prolongadas</w:t>
      </w:r>
      <w:r w:rsidR="002C5286">
        <w:rPr>
          <w:rFonts w:ascii="Times New Roman" w:eastAsia="Times New Roman" w:hAnsi="Times New Roman"/>
          <w:b/>
          <w:bCs/>
          <w:sz w:val="24"/>
          <w:szCs w:val="24"/>
          <w:lang w:eastAsia="es-ES"/>
        </w:rPr>
        <w:t>,</w:t>
      </w:r>
      <w:r>
        <w:rPr>
          <w:rFonts w:ascii="Times New Roman" w:eastAsia="Times New Roman" w:hAnsi="Times New Roman"/>
          <w:b/>
          <w:bCs/>
          <w:sz w:val="24"/>
          <w:szCs w:val="24"/>
          <w:lang w:eastAsia="es-ES"/>
        </w:rPr>
        <w:t xml:space="preserve"> o intervenciones quirúrgicas de riesgo.</w:t>
      </w:r>
      <w:r w:rsidR="002C5286">
        <w:rPr>
          <w:rFonts w:ascii="Times New Roman" w:eastAsia="Times New Roman" w:hAnsi="Times New Roman"/>
          <w:b/>
          <w:bCs/>
          <w:sz w:val="24"/>
          <w:szCs w:val="24"/>
          <w:lang w:eastAsia="es-ES"/>
        </w:rPr>
        <w:t xml:space="preserve"> </w:t>
      </w:r>
    </w:p>
    <w:p w:rsidR="002C5286" w:rsidRDefault="002C5286"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Sospecho de los hospitales privados que subcontratan con el sector público la prestación de determinados servicios sanitarios (generalmente los de menor costo y mayor arancel), sospecho de la industria de equipamiento hospitalario y de los laboratorios medicinales, que “incentivan” a funcionarios y profesionales para sobredimensionar instalaciones y equipos,</w:t>
      </w:r>
      <w:r w:rsidR="00134786">
        <w:rPr>
          <w:rFonts w:ascii="Times New Roman" w:eastAsia="Times New Roman" w:hAnsi="Times New Roman"/>
          <w:b/>
          <w:bCs/>
          <w:sz w:val="24"/>
          <w:szCs w:val="24"/>
          <w:lang w:eastAsia="es-ES"/>
        </w:rPr>
        <w:t xml:space="preserve"> y para</w:t>
      </w:r>
      <w:r>
        <w:rPr>
          <w:rFonts w:ascii="Times New Roman" w:eastAsia="Times New Roman" w:hAnsi="Times New Roman"/>
          <w:b/>
          <w:bCs/>
          <w:sz w:val="24"/>
          <w:szCs w:val="24"/>
          <w:lang w:eastAsia="es-ES"/>
        </w:rPr>
        <w:t xml:space="preserve"> incrementar la factura sanitaria.</w:t>
      </w:r>
    </w:p>
    <w:p w:rsidR="009F0F6C" w:rsidRDefault="009F0F6C"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Así y todo</w:t>
      </w:r>
      <w:r w:rsidR="002C5286">
        <w:rPr>
          <w:rFonts w:ascii="Times New Roman" w:eastAsia="Times New Roman" w:hAnsi="Times New Roman"/>
          <w:b/>
          <w:bCs/>
          <w:sz w:val="24"/>
          <w:szCs w:val="24"/>
          <w:lang w:eastAsia="es-ES"/>
        </w:rPr>
        <w:t>, creo</w:t>
      </w:r>
      <w:r>
        <w:rPr>
          <w:rFonts w:ascii="Times New Roman" w:eastAsia="Times New Roman" w:hAnsi="Times New Roman"/>
          <w:b/>
          <w:bCs/>
          <w:sz w:val="24"/>
          <w:szCs w:val="24"/>
          <w:lang w:eastAsia="es-ES"/>
        </w:rPr>
        <w:t xml:space="preserve"> que sin que</w:t>
      </w:r>
      <w:r w:rsidR="002C5286">
        <w:rPr>
          <w:rFonts w:ascii="Times New Roman" w:eastAsia="Times New Roman" w:hAnsi="Times New Roman"/>
          <w:b/>
          <w:bCs/>
          <w:sz w:val="24"/>
          <w:szCs w:val="24"/>
          <w:lang w:eastAsia="es-ES"/>
        </w:rPr>
        <w:t xml:space="preserve"> el estado</w:t>
      </w:r>
      <w:r>
        <w:rPr>
          <w:rFonts w:ascii="Times New Roman" w:eastAsia="Times New Roman" w:hAnsi="Times New Roman"/>
          <w:b/>
          <w:bCs/>
          <w:sz w:val="24"/>
          <w:szCs w:val="24"/>
          <w:lang w:eastAsia="es-ES"/>
        </w:rPr>
        <w:t xml:space="preserve"> haga</w:t>
      </w:r>
      <w:r w:rsidR="002C5286">
        <w:rPr>
          <w:rFonts w:ascii="Times New Roman" w:eastAsia="Times New Roman" w:hAnsi="Times New Roman"/>
          <w:b/>
          <w:bCs/>
          <w:sz w:val="24"/>
          <w:szCs w:val="24"/>
          <w:lang w:eastAsia="es-ES"/>
        </w:rPr>
        <w:t xml:space="preserve"> dejación de sus responsabilidades</w:t>
      </w:r>
      <w:r>
        <w:rPr>
          <w:rFonts w:ascii="Times New Roman" w:eastAsia="Times New Roman" w:hAnsi="Times New Roman"/>
          <w:b/>
          <w:bCs/>
          <w:sz w:val="24"/>
          <w:szCs w:val="24"/>
          <w:lang w:eastAsia="es-ES"/>
        </w:rPr>
        <w:t xml:space="preserve"> para con los contribuyentes</w:t>
      </w:r>
      <w:r w:rsidR="002C5286">
        <w:rPr>
          <w:rFonts w:ascii="Times New Roman" w:eastAsia="Times New Roman" w:hAnsi="Times New Roman"/>
          <w:b/>
          <w:bCs/>
          <w:sz w:val="24"/>
          <w:szCs w:val="24"/>
          <w:lang w:eastAsia="es-ES"/>
        </w:rPr>
        <w:t xml:space="preserve">, </w:t>
      </w:r>
      <w:r>
        <w:rPr>
          <w:rFonts w:ascii="Times New Roman" w:eastAsia="Times New Roman" w:hAnsi="Times New Roman"/>
          <w:b/>
          <w:bCs/>
          <w:sz w:val="24"/>
          <w:szCs w:val="24"/>
          <w:lang w:eastAsia="es-ES"/>
        </w:rPr>
        <w:t>se puede encontrar una combinación público/privada que optimice los recursos y maximice las prestaciones</w:t>
      </w:r>
      <w:r w:rsidR="00134786">
        <w:rPr>
          <w:rFonts w:ascii="Times New Roman" w:eastAsia="Times New Roman" w:hAnsi="Times New Roman"/>
          <w:b/>
          <w:bCs/>
          <w:sz w:val="24"/>
          <w:szCs w:val="24"/>
          <w:lang w:eastAsia="es-ES"/>
        </w:rPr>
        <w:t>,</w:t>
      </w:r>
      <w:r>
        <w:rPr>
          <w:rFonts w:ascii="Times New Roman" w:eastAsia="Times New Roman" w:hAnsi="Times New Roman"/>
          <w:b/>
          <w:bCs/>
          <w:sz w:val="24"/>
          <w:szCs w:val="24"/>
          <w:lang w:eastAsia="es-ES"/>
        </w:rPr>
        <w:t xml:space="preserve"> al mínimo costo y con un </w:t>
      </w:r>
      <w:r>
        <w:rPr>
          <w:rFonts w:ascii="Times New Roman" w:eastAsia="Times New Roman" w:hAnsi="Times New Roman"/>
          <w:b/>
          <w:bCs/>
          <w:sz w:val="24"/>
          <w:szCs w:val="24"/>
          <w:lang w:eastAsia="es-ES"/>
        </w:rPr>
        <w:lastRenderedPageBreak/>
        <w:t>aceptable nivel de calidad, asegurando el manteniendo de una cobertura amplia y generosa para la totalidad de la población.</w:t>
      </w:r>
      <w:r w:rsidR="00134786">
        <w:rPr>
          <w:rFonts w:ascii="Times New Roman" w:eastAsia="Times New Roman" w:hAnsi="Times New Roman"/>
          <w:b/>
          <w:bCs/>
          <w:sz w:val="24"/>
          <w:szCs w:val="24"/>
          <w:lang w:eastAsia="es-ES"/>
        </w:rPr>
        <w:t xml:space="preserve"> </w:t>
      </w:r>
      <w:r w:rsidR="00644363">
        <w:rPr>
          <w:rFonts w:ascii="Times New Roman" w:eastAsia="Times New Roman" w:hAnsi="Times New Roman"/>
          <w:b/>
          <w:bCs/>
          <w:sz w:val="24"/>
          <w:szCs w:val="24"/>
          <w:lang w:eastAsia="es-ES"/>
        </w:rPr>
        <w:t>Algunos países lo están logrando.</w:t>
      </w:r>
      <w:r w:rsidR="00B22E08">
        <w:rPr>
          <w:rFonts w:ascii="Times New Roman" w:eastAsia="Times New Roman" w:hAnsi="Times New Roman"/>
          <w:b/>
          <w:bCs/>
          <w:sz w:val="24"/>
          <w:szCs w:val="24"/>
          <w:lang w:eastAsia="es-ES"/>
        </w:rPr>
        <w:t xml:space="preserve"> </w:t>
      </w:r>
    </w:p>
    <w:p w:rsidR="00134786" w:rsidRDefault="009F0F6C" w:rsidP="00550638">
      <w:pPr>
        <w:spacing w:before="100" w:beforeAutospacing="1" w:after="100" w:afterAutospacing="1" w:line="240" w:lineRule="auto"/>
        <w:jc w:val="both"/>
        <w:rPr>
          <w:rFonts w:ascii="Times New Roman" w:eastAsia="Times New Roman" w:hAnsi="Times New Roman"/>
          <w:b/>
          <w:bCs/>
          <w:sz w:val="24"/>
          <w:szCs w:val="24"/>
          <w:lang w:eastAsia="es-ES"/>
        </w:rPr>
      </w:pPr>
      <w:r>
        <w:rPr>
          <w:rFonts w:ascii="Times New Roman" w:eastAsia="Times New Roman" w:hAnsi="Times New Roman"/>
          <w:b/>
          <w:bCs/>
          <w:sz w:val="24"/>
          <w:szCs w:val="24"/>
          <w:lang w:eastAsia="es-ES"/>
        </w:rPr>
        <w:t>En las próximas páginas, ustedes encontraran</w:t>
      </w:r>
      <w:r w:rsidR="00134786">
        <w:rPr>
          <w:rFonts w:ascii="Times New Roman" w:eastAsia="Times New Roman" w:hAnsi="Times New Roman"/>
          <w:b/>
          <w:bCs/>
          <w:sz w:val="24"/>
          <w:szCs w:val="24"/>
          <w:lang w:eastAsia="es-ES"/>
        </w:rPr>
        <w:t xml:space="preserve"> amplia</w:t>
      </w:r>
      <w:r>
        <w:rPr>
          <w:rFonts w:ascii="Times New Roman" w:eastAsia="Times New Roman" w:hAnsi="Times New Roman"/>
          <w:b/>
          <w:bCs/>
          <w:sz w:val="24"/>
          <w:szCs w:val="24"/>
          <w:lang w:eastAsia="es-ES"/>
        </w:rPr>
        <w:t xml:space="preserve"> información y la opinión de “los que saben”, para que puedan sacar sus propias conclusiones, en un asunto</w:t>
      </w:r>
      <w:r w:rsidR="00134786">
        <w:rPr>
          <w:rFonts w:ascii="Times New Roman" w:eastAsia="Times New Roman" w:hAnsi="Times New Roman"/>
          <w:b/>
          <w:bCs/>
          <w:sz w:val="24"/>
          <w:szCs w:val="24"/>
          <w:lang w:eastAsia="es-ES"/>
        </w:rPr>
        <w:t xml:space="preserve"> de</w:t>
      </w:r>
      <w:r>
        <w:rPr>
          <w:rFonts w:ascii="Times New Roman" w:eastAsia="Times New Roman" w:hAnsi="Times New Roman"/>
          <w:b/>
          <w:bCs/>
          <w:sz w:val="24"/>
          <w:szCs w:val="24"/>
          <w:lang w:eastAsia="es-ES"/>
        </w:rPr>
        <w:t xml:space="preserve"> tan</w:t>
      </w:r>
      <w:r w:rsidR="00644363">
        <w:rPr>
          <w:rFonts w:ascii="Times New Roman" w:eastAsia="Times New Roman" w:hAnsi="Times New Roman"/>
          <w:b/>
          <w:bCs/>
          <w:sz w:val="24"/>
          <w:szCs w:val="24"/>
          <w:lang w:eastAsia="es-ES"/>
        </w:rPr>
        <w:t xml:space="preserve"> sensible, y </w:t>
      </w:r>
      <w:r>
        <w:rPr>
          <w:rFonts w:ascii="Times New Roman" w:eastAsia="Times New Roman" w:hAnsi="Times New Roman"/>
          <w:b/>
          <w:bCs/>
          <w:sz w:val="24"/>
          <w:szCs w:val="24"/>
          <w:lang w:eastAsia="es-ES"/>
        </w:rPr>
        <w:t xml:space="preserve">con la intención de enriquecer un debate conveniente y necesario.  </w:t>
      </w:r>
      <w:r w:rsidR="00B22E08">
        <w:rPr>
          <w:rFonts w:ascii="Times New Roman" w:eastAsia="Times New Roman" w:hAnsi="Times New Roman"/>
          <w:b/>
          <w:bCs/>
          <w:sz w:val="24"/>
          <w:szCs w:val="24"/>
          <w:lang w:eastAsia="es-ES"/>
        </w:rPr>
        <w:t xml:space="preserve"> </w:t>
      </w:r>
    </w:p>
    <w:p w:rsidR="006B3140" w:rsidRPr="00134786" w:rsidRDefault="006B3140" w:rsidP="00550638">
      <w:pPr>
        <w:spacing w:before="100" w:beforeAutospacing="1" w:after="100" w:afterAutospacing="1" w:line="240" w:lineRule="auto"/>
        <w:jc w:val="both"/>
        <w:rPr>
          <w:rFonts w:ascii="Times New Roman" w:eastAsia="Times New Roman" w:hAnsi="Times New Roman" w:cs="Times New Roman"/>
          <w:b/>
          <w:bCs/>
          <w:sz w:val="24"/>
          <w:szCs w:val="24"/>
          <w:lang w:eastAsia="es-ES"/>
        </w:rPr>
      </w:pPr>
      <w:r w:rsidRPr="00134786">
        <w:rPr>
          <w:rFonts w:ascii="Times New Roman" w:hAnsi="Times New Roman" w:cs="Times New Roman"/>
          <w:b/>
          <w:bCs/>
          <w:kern w:val="36"/>
          <w:sz w:val="24"/>
          <w:szCs w:val="24"/>
        </w:rPr>
        <w:t>Un recorrido de cabotaje, por la hemeroteca (2011 - 2013)</w:t>
      </w:r>
    </w:p>
    <w:p w:rsidR="00576B44" w:rsidRPr="00576B44" w:rsidRDefault="00576B44"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576B44">
        <w:rPr>
          <w:rFonts w:ascii="Times New Roman" w:eastAsia="Times New Roman" w:hAnsi="Times New Roman"/>
          <w:sz w:val="24"/>
          <w:szCs w:val="24"/>
          <w:u w:val="single"/>
          <w:lang w:eastAsia="es-ES"/>
        </w:rPr>
        <w:t>Las peripecias del Obamacare</w:t>
      </w:r>
      <w:r w:rsidR="000676D6">
        <w:rPr>
          <w:rFonts w:ascii="Times New Roman" w:eastAsia="Times New Roman" w:hAnsi="Times New Roman"/>
          <w:sz w:val="24"/>
          <w:szCs w:val="24"/>
          <w:u w:val="single"/>
          <w:lang w:eastAsia="es-ES"/>
        </w:rPr>
        <w:t xml:space="preserve"> (el jardín de </w:t>
      </w:r>
      <w:r>
        <w:rPr>
          <w:rFonts w:ascii="Times New Roman" w:eastAsia="Times New Roman" w:hAnsi="Times New Roman"/>
          <w:sz w:val="24"/>
          <w:szCs w:val="24"/>
          <w:u w:val="single"/>
          <w:lang w:eastAsia="es-ES"/>
        </w:rPr>
        <w:t>senderos</w:t>
      </w:r>
      <w:r w:rsidR="000676D6">
        <w:rPr>
          <w:rFonts w:ascii="Times New Roman" w:eastAsia="Times New Roman" w:hAnsi="Times New Roman"/>
          <w:sz w:val="24"/>
          <w:szCs w:val="24"/>
          <w:u w:val="single"/>
          <w:lang w:eastAsia="es-ES"/>
        </w:rPr>
        <w:t xml:space="preserve"> que se bifurcan)</w:t>
      </w:r>
    </w:p>
    <w:p w:rsidR="006A5739" w:rsidRPr="000676D6" w:rsidRDefault="000676D6"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6A5739" w:rsidRPr="000676D6">
        <w:rPr>
          <w:rFonts w:ascii="Times New Roman" w:eastAsia="Times New Roman" w:hAnsi="Times New Roman"/>
          <w:i/>
          <w:sz w:val="24"/>
          <w:szCs w:val="24"/>
          <w:lang w:eastAsia="es-ES"/>
        </w:rPr>
        <w:t>Tras siete horas de debate, los republicanos han conseguido tumbar la reforma san</w:t>
      </w:r>
      <w:r w:rsidRPr="000676D6">
        <w:rPr>
          <w:rFonts w:ascii="Times New Roman" w:eastAsia="Times New Roman" w:hAnsi="Times New Roman"/>
          <w:i/>
          <w:sz w:val="24"/>
          <w:szCs w:val="24"/>
          <w:lang w:eastAsia="es-ES"/>
        </w:rPr>
        <w:t xml:space="preserve">itaria, tal y como prometieron. </w:t>
      </w:r>
      <w:r w:rsidR="006A5739" w:rsidRPr="000676D6">
        <w:rPr>
          <w:rFonts w:ascii="Times New Roman" w:eastAsia="Times New Roman" w:hAnsi="Times New Roman"/>
          <w:i/>
          <w:sz w:val="24"/>
          <w:szCs w:val="24"/>
          <w:lang w:eastAsia="es-ES"/>
        </w:rPr>
        <w:t>La Cámara de Representantes de EEUU, bajo control republicano, aprobó hoy revocar la reforma del sistema de salud aprobada en 2010, cumpliendo así</w:t>
      </w:r>
      <w:r w:rsidRPr="000676D6">
        <w:rPr>
          <w:rFonts w:ascii="Times New Roman" w:eastAsia="Times New Roman" w:hAnsi="Times New Roman"/>
          <w:i/>
          <w:sz w:val="24"/>
          <w:szCs w:val="24"/>
          <w:lang w:eastAsia="es-ES"/>
        </w:rPr>
        <w:t xml:space="preserve"> una de sus promesas electoral. </w:t>
      </w:r>
      <w:r w:rsidR="006A5739" w:rsidRPr="000676D6">
        <w:rPr>
          <w:rFonts w:ascii="Times New Roman" w:eastAsia="Times New Roman" w:hAnsi="Times New Roman"/>
          <w:i/>
          <w:sz w:val="24"/>
          <w:szCs w:val="24"/>
          <w:lang w:eastAsia="es-ES"/>
        </w:rPr>
        <w:t>Los demócratas que controlan el Senado no prevén debatirla y, de todas maneras, el presidente Barack Obama ha prometido vetarla si llega al Despacho Oval</w:t>
      </w:r>
      <w:r>
        <w:rPr>
          <w:rFonts w:ascii="Times New Roman" w:eastAsia="Times New Roman" w:hAnsi="Times New Roman"/>
          <w:i/>
          <w:sz w:val="24"/>
          <w:szCs w:val="24"/>
          <w:lang w:eastAsia="es-ES"/>
        </w:rPr>
        <w:t xml:space="preserve">”... </w:t>
      </w:r>
      <w:r w:rsidRPr="00841552">
        <w:rPr>
          <w:rFonts w:ascii="Times New Roman" w:eastAsia="Times New Roman" w:hAnsi="Times New Roman"/>
          <w:sz w:val="24"/>
          <w:szCs w:val="24"/>
          <w:u w:val="single"/>
          <w:lang w:eastAsia="es-ES"/>
        </w:rPr>
        <w:t>Los republicanos cumplen su promesa: revocan la reforma sanitaria</w:t>
      </w:r>
      <w:r>
        <w:rPr>
          <w:rFonts w:ascii="Times New Roman" w:eastAsia="Times New Roman" w:hAnsi="Times New Roman"/>
          <w:sz w:val="24"/>
          <w:szCs w:val="24"/>
          <w:lang w:eastAsia="es-ES"/>
        </w:rPr>
        <w:t xml:space="preserve"> (Libertad Digital - </w:t>
      </w:r>
      <w:r w:rsidRPr="00841552">
        <w:rPr>
          <w:rFonts w:ascii="Times New Roman" w:eastAsia="Times New Roman" w:hAnsi="Times New Roman"/>
          <w:b/>
          <w:sz w:val="24"/>
          <w:szCs w:val="24"/>
          <w:lang w:eastAsia="es-ES"/>
        </w:rPr>
        <w:t>20/1/11</w:t>
      </w:r>
      <w:r>
        <w:rPr>
          <w:rFonts w:ascii="Times New Roman" w:eastAsia="Times New Roman" w:hAnsi="Times New Roman"/>
          <w:sz w:val="24"/>
          <w:szCs w:val="24"/>
          <w:lang w:eastAsia="es-ES"/>
        </w:rPr>
        <w:t>)</w:t>
      </w:r>
      <w:r w:rsidRPr="00841552">
        <w:rPr>
          <w:rFonts w:ascii="Times New Roman" w:eastAsia="Times New Roman" w:hAnsi="Times New Roman"/>
          <w:sz w:val="24"/>
          <w:szCs w:val="24"/>
          <w:lang w:eastAsia="es-ES"/>
        </w:rPr>
        <w:t xml:space="preserve"> </w:t>
      </w:r>
    </w:p>
    <w:p w:rsidR="006A5739" w:rsidRPr="00841552"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841552">
        <w:rPr>
          <w:rFonts w:ascii="Times New Roman" w:eastAsia="Times New Roman" w:hAnsi="Times New Roman"/>
          <w:sz w:val="24"/>
          <w:szCs w:val="24"/>
          <w:lang w:eastAsia="es-ES"/>
        </w:rPr>
        <w:t>Con 245 votos a favor y 189 en contra, la revocación se aprobó en la Cámara Baja sobre líneas partidistas, tras un debate que repitió, casi palabra por palabra, los mismos argumentos del año pasado.</w:t>
      </w:r>
    </w:p>
    <w:p w:rsidR="006A5739" w:rsidRPr="00841552"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841552">
        <w:rPr>
          <w:rFonts w:ascii="Times New Roman" w:eastAsia="Times New Roman" w:hAnsi="Times New Roman"/>
          <w:sz w:val="24"/>
          <w:szCs w:val="24"/>
          <w:lang w:eastAsia="es-ES"/>
        </w:rPr>
        <w:t>Sólo tres demócratas apoyaron la medida, y un legislador se abstuvo de votar. El debate se dividió entre los demócratas que se proyectaron como paladines de la clase media, los trabajadores y jubilados, y los republicanos que advirtieron de la excesiva injerencia d</w:t>
      </w:r>
      <w:r>
        <w:rPr>
          <w:rFonts w:ascii="Times New Roman" w:eastAsia="Times New Roman" w:hAnsi="Times New Roman"/>
          <w:sz w:val="24"/>
          <w:szCs w:val="24"/>
          <w:lang w:eastAsia="es-ES"/>
        </w:rPr>
        <w:t>el Estado en el sector privado.</w:t>
      </w:r>
    </w:p>
    <w:p w:rsidR="006A5739" w:rsidRPr="00841552"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841552">
        <w:rPr>
          <w:rFonts w:ascii="Times New Roman" w:eastAsia="Times New Roman" w:hAnsi="Times New Roman"/>
          <w:sz w:val="24"/>
          <w:szCs w:val="24"/>
          <w:lang w:eastAsia="es-ES"/>
        </w:rPr>
        <w:t>La votación, puntualizada con vítores y abucheos en la galería de visitantes, puso fin a siete horas de debate que reflejó las viejas pugnas ideológicas entre demócratas y republicanos sobre cómo resolver las disparidades del complejo y costoso sistema de salud en Estados Unidos.</w:t>
      </w:r>
    </w:p>
    <w:p w:rsidR="006A5739" w:rsidRPr="00841552"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841552">
        <w:rPr>
          <w:rFonts w:ascii="Times New Roman" w:eastAsia="Times New Roman" w:hAnsi="Times New Roman"/>
          <w:sz w:val="24"/>
          <w:szCs w:val="24"/>
          <w:lang w:eastAsia="es-ES"/>
        </w:rPr>
        <w:t>Promulgada por Obama el 30 de marzo de 2010, la reforma sanitaria es una de sus principales victorias legislativas y supone la mayor transformación del sistema de</w:t>
      </w:r>
      <w:r>
        <w:rPr>
          <w:rFonts w:ascii="Times New Roman" w:eastAsia="Times New Roman" w:hAnsi="Times New Roman"/>
          <w:sz w:val="24"/>
          <w:szCs w:val="24"/>
          <w:lang w:eastAsia="es-ES"/>
        </w:rPr>
        <w:t xml:space="preserve"> salud desde la década de 1960.</w:t>
      </w:r>
    </w:p>
    <w:p w:rsidR="006A5739" w:rsidRPr="00841552"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841552">
        <w:rPr>
          <w:rFonts w:ascii="Times New Roman" w:eastAsia="Times New Roman" w:hAnsi="Times New Roman"/>
          <w:sz w:val="24"/>
          <w:szCs w:val="24"/>
          <w:lang w:eastAsia="es-ES"/>
        </w:rPr>
        <w:t>Para los demócratas, revocarla es moral y fiscalmente irresponsable, porque da marcha atrás a una medida que amplía la cobertura médica, reduce los costos de salud y provee incentivos fiscales a los negocios que proveen ese beneficio a los trabajadores. La solución es corregirla y no desbaratarla por completo, aseguran.</w:t>
      </w:r>
    </w:p>
    <w:p w:rsidR="006A5739" w:rsidRPr="000676D6" w:rsidRDefault="000676D6"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Este voto “</w:t>
      </w:r>
      <w:r w:rsidR="006A5739" w:rsidRPr="000676D6">
        <w:rPr>
          <w:rFonts w:ascii="Times New Roman" w:eastAsia="Times New Roman" w:hAnsi="Times New Roman"/>
          <w:sz w:val="24"/>
          <w:szCs w:val="24"/>
          <w:lang w:eastAsia="es-ES"/>
        </w:rPr>
        <w:t>significa que más de 129 millones de estadounidenses menores de 65 años... perderán su seguro de salud porque ti</w:t>
      </w:r>
      <w:r>
        <w:rPr>
          <w:rFonts w:ascii="Times New Roman" w:eastAsia="Times New Roman" w:hAnsi="Times New Roman"/>
          <w:sz w:val="24"/>
          <w:szCs w:val="24"/>
          <w:lang w:eastAsia="es-ES"/>
        </w:rPr>
        <w:t>enen condiciones pre-existentes”</w:t>
      </w:r>
      <w:r w:rsidR="006A5739" w:rsidRPr="000676D6">
        <w:rPr>
          <w:rFonts w:ascii="Times New Roman" w:eastAsia="Times New Roman" w:hAnsi="Times New Roman"/>
          <w:sz w:val="24"/>
          <w:szCs w:val="24"/>
          <w:lang w:eastAsia="es-ES"/>
        </w:rPr>
        <w:t xml:space="preserve">, se quejó la líder de la minoría demócrata en la Cámara Baja, Nancy Pelosi, haciéndose eco </w:t>
      </w:r>
      <w:r>
        <w:rPr>
          <w:rFonts w:ascii="Times New Roman" w:eastAsia="Times New Roman" w:hAnsi="Times New Roman"/>
          <w:sz w:val="24"/>
          <w:szCs w:val="24"/>
          <w:lang w:eastAsia="es-ES"/>
        </w:rPr>
        <w:t xml:space="preserve">de un análisis divulgado </w:t>
      </w:r>
      <w:r w:rsidR="006A5739" w:rsidRPr="000676D6">
        <w:rPr>
          <w:rFonts w:ascii="Times New Roman" w:eastAsia="Times New Roman" w:hAnsi="Times New Roman"/>
          <w:sz w:val="24"/>
          <w:szCs w:val="24"/>
          <w:lang w:eastAsia="es-ES"/>
        </w:rPr>
        <w:t>por el Departamento de Salud.</w:t>
      </w:r>
    </w:p>
    <w:p w:rsidR="006A5739" w:rsidRPr="000676D6"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0676D6">
        <w:rPr>
          <w:rFonts w:ascii="Times New Roman" w:eastAsia="Times New Roman" w:hAnsi="Times New Roman"/>
          <w:sz w:val="24"/>
          <w:szCs w:val="24"/>
          <w:lang w:eastAsia="es-ES"/>
        </w:rPr>
        <w:t>Pero, desde un mismo libreto, l</w:t>
      </w:r>
      <w:r w:rsidR="000676D6">
        <w:rPr>
          <w:rFonts w:ascii="Times New Roman" w:eastAsia="Times New Roman" w:hAnsi="Times New Roman"/>
          <w:sz w:val="24"/>
          <w:szCs w:val="24"/>
          <w:lang w:eastAsia="es-ES"/>
        </w:rPr>
        <w:t>os republicanos replicaron que “Obamacare”</w:t>
      </w:r>
      <w:r w:rsidRPr="000676D6">
        <w:rPr>
          <w:rFonts w:ascii="Times New Roman" w:eastAsia="Times New Roman" w:hAnsi="Times New Roman"/>
          <w:sz w:val="24"/>
          <w:szCs w:val="24"/>
          <w:lang w:eastAsia="es-ES"/>
        </w:rPr>
        <w:t>, como llaman despectivamente a la Ley de Cuidado de Sal</w:t>
      </w:r>
      <w:r w:rsidR="000676D6">
        <w:rPr>
          <w:rFonts w:ascii="Times New Roman" w:eastAsia="Times New Roman" w:hAnsi="Times New Roman"/>
          <w:sz w:val="24"/>
          <w:szCs w:val="24"/>
          <w:lang w:eastAsia="es-ES"/>
        </w:rPr>
        <w:t>ud Asequible, no es más que un “socialismo”</w:t>
      </w:r>
      <w:r w:rsidRPr="000676D6">
        <w:rPr>
          <w:rFonts w:ascii="Times New Roman" w:eastAsia="Times New Roman" w:hAnsi="Times New Roman"/>
          <w:sz w:val="24"/>
          <w:szCs w:val="24"/>
          <w:lang w:eastAsia="es-ES"/>
        </w:rPr>
        <w:t xml:space="preserve"> disfrazado que abultará el déficit nacional.</w:t>
      </w:r>
    </w:p>
    <w:p w:rsidR="006A5739" w:rsidRPr="000676D6" w:rsidRDefault="000676D6"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La reforma “es la joya de la corona” del “socialismo”</w:t>
      </w:r>
      <w:r w:rsidR="006A5739" w:rsidRPr="000676D6">
        <w:rPr>
          <w:rFonts w:ascii="Times New Roman" w:eastAsia="Times New Roman" w:hAnsi="Times New Roman"/>
          <w:sz w:val="24"/>
          <w:szCs w:val="24"/>
          <w:lang w:eastAsia="es-ES"/>
        </w:rPr>
        <w:t xml:space="preserve"> de Obama y los republicanos lucharán hasta colocar en la Casa Blanca a un presidente que la revoque, dijo la republicana de </w:t>
      </w:r>
      <w:r w:rsidR="00D44948" w:rsidRPr="000676D6">
        <w:rPr>
          <w:rFonts w:ascii="Times New Roman" w:eastAsia="Times New Roman" w:hAnsi="Times New Roman"/>
          <w:sz w:val="24"/>
          <w:szCs w:val="24"/>
          <w:lang w:eastAsia="es-ES"/>
        </w:rPr>
        <w:t>Minnesota</w:t>
      </w:r>
      <w:r w:rsidR="006A5739" w:rsidRPr="000676D6">
        <w:rPr>
          <w:rFonts w:ascii="Times New Roman" w:eastAsia="Times New Roman" w:hAnsi="Times New Roman"/>
          <w:sz w:val="24"/>
          <w:szCs w:val="24"/>
          <w:lang w:eastAsia="es-ES"/>
        </w:rPr>
        <w:t>, Michelle Backmann, respaldada en 2010 por el movimiento conservador Tea Party.</w:t>
      </w:r>
    </w:p>
    <w:p w:rsidR="006A5739" w:rsidRPr="000676D6" w:rsidRDefault="000676D6"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En comentarios </w:t>
      </w:r>
      <w:r w:rsidR="006A5739" w:rsidRPr="000676D6">
        <w:rPr>
          <w:rFonts w:ascii="Times New Roman" w:eastAsia="Times New Roman" w:hAnsi="Times New Roman"/>
          <w:sz w:val="24"/>
          <w:szCs w:val="24"/>
          <w:lang w:eastAsia="es-ES"/>
        </w:rPr>
        <w:t>recogidos por la prensa nacional, el legislador demócrata de Tennessee, Steve Cohen, hizo referencia al ministro de propaganda nazi, Joseph Goebbels, al acusar a los republicanos de mentir sobre el alcance y contenido de la reforma.</w:t>
      </w:r>
    </w:p>
    <w:p w:rsidR="006A5739" w:rsidRPr="000676D6" w:rsidRDefault="000676D6"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6A5739" w:rsidRPr="000676D6">
        <w:rPr>
          <w:rFonts w:ascii="Times New Roman" w:eastAsia="Times New Roman" w:hAnsi="Times New Roman"/>
          <w:sz w:val="24"/>
          <w:szCs w:val="24"/>
          <w:lang w:eastAsia="es-ES"/>
        </w:rPr>
        <w:t>Ellos dicen que el Gobierno tomará control del cuidado de salud, y es una gran mentira, como la de Goebbels (contra los judíos). Repites la mentira suficientes veces y al final la gente termina creyéndos</w:t>
      </w:r>
      <w:r>
        <w:rPr>
          <w:rFonts w:ascii="Times New Roman" w:eastAsia="Times New Roman" w:hAnsi="Times New Roman"/>
          <w:sz w:val="24"/>
          <w:szCs w:val="24"/>
          <w:lang w:eastAsia="es-ES"/>
        </w:rPr>
        <w:t>ela”</w:t>
      </w:r>
      <w:r w:rsidR="006A5739" w:rsidRPr="000676D6">
        <w:rPr>
          <w:rFonts w:ascii="Times New Roman" w:eastAsia="Times New Roman" w:hAnsi="Times New Roman"/>
          <w:sz w:val="24"/>
          <w:szCs w:val="24"/>
          <w:lang w:eastAsia="es-ES"/>
        </w:rPr>
        <w:t>, afirmó Cohen.</w:t>
      </w:r>
    </w:p>
    <w:p w:rsidR="006A5739" w:rsidRPr="000676D6"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0676D6">
        <w:rPr>
          <w:rFonts w:ascii="Times New Roman" w:eastAsia="Times New Roman" w:hAnsi="Times New Roman"/>
          <w:sz w:val="24"/>
          <w:szCs w:val="24"/>
          <w:lang w:eastAsia="es-ES"/>
        </w:rPr>
        <w:t>Este voto, aseguran los republicanos, es apenas el primer paso para reemplazar la reforma con una que verdaderamente reduzca los costos de salud y proteja los empleos.</w:t>
      </w:r>
      <w:r w:rsidR="000676D6">
        <w:rPr>
          <w:rFonts w:ascii="Times New Roman" w:eastAsia="Times New Roman" w:hAnsi="Times New Roman"/>
          <w:sz w:val="24"/>
          <w:szCs w:val="24"/>
          <w:lang w:eastAsia="es-ES"/>
        </w:rPr>
        <w:t xml:space="preserve"> </w:t>
      </w:r>
      <w:r w:rsidRPr="000676D6">
        <w:rPr>
          <w:rFonts w:ascii="Times New Roman" w:eastAsia="Times New Roman" w:hAnsi="Times New Roman"/>
          <w:sz w:val="24"/>
          <w:szCs w:val="24"/>
          <w:lang w:eastAsia="es-ES"/>
        </w:rPr>
        <w:t>En un mensaje a sus votantes en Ohio, el presidente de la Cámara de Representantes, el republicano John B</w:t>
      </w:r>
      <w:r w:rsidR="000676D6">
        <w:rPr>
          <w:rFonts w:ascii="Times New Roman" w:eastAsia="Times New Roman" w:hAnsi="Times New Roman"/>
          <w:sz w:val="24"/>
          <w:szCs w:val="24"/>
          <w:lang w:eastAsia="es-ES"/>
        </w:rPr>
        <w:t>oehner, dijo que la reforma es “</w:t>
      </w:r>
      <w:r w:rsidRPr="000676D6">
        <w:rPr>
          <w:rFonts w:ascii="Times New Roman" w:eastAsia="Times New Roman" w:hAnsi="Times New Roman"/>
          <w:sz w:val="24"/>
          <w:szCs w:val="24"/>
          <w:lang w:eastAsia="es-ES"/>
        </w:rPr>
        <w:t>un laberinto de exi</w:t>
      </w:r>
      <w:r w:rsidR="000676D6">
        <w:rPr>
          <w:rFonts w:ascii="Times New Roman" w:eastAsia="Times New Roman" w:hAnsi="Times New Roman"/>
          <w:sz w:val="24"/>
          <w:szCs w:val="24"/>
          <w:lang w:eastAsia="es-ES"/>
        </w:rPr>
        <w:t>gencias y aumentos de impuestos”</w:t>
      </w:r>
      <w:r w:rsidRPr="000676D6">
        <w:rPr>
          <w:rFonts w:ascii="Times New Roman" w:eastAsia="Times New Roman" w:hAnsi="Times New Roman"/>
          <w:sz w:val="24"/>
          <w:szCs w:val="24"/>
          <w:lang w:eastAsia="es-ES"/>
        </w:rPr>
        <w:t xml:space="preserve"> que incrementa los costos de salud y perjudica a la pequeña empresa.</w:t>
      </w:r>
    </w:p>
    <w:p w:rsidR="006A5739" w:rsidRPr="000676D6"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0676D6">
        <w:rPr>
          <w:rFonts w:ascii="Times New Roman" w:eastAsia="Times New Roman" w:hAnsi="Times New Roman"/>
          <w:sz w:val="24"/>
          <w:szCs w:val="24"/>
          <w:lang w:eastAsia="es-ES"/>
        </w:rPr>
        <w:t>A sabiendas de que la medida morirá en el Senado -porque los demócratas no tienen intención de votarla-, los republicanos de la C</w:t>
      </w:r>
      <w:r w:rsidR="000676D6">
        <w:rPr>
          <w:rFonts w:ascii="Times New Roman" w:eastAsia="Times New Roman" w:hAnsi="Times New Roman"/>
          <w:sz w:val="24"/>
          <w:szCs w:val="24"/>
          <w:lang w:eastAsia="es-ES"/>
        </w:rPr>
        <w:t>ámara Baja prevén debatir inmediatamente</w:t>
      </w:r>
      <w:r w:rsidRPr="000676D6">
        <w:rPr>
          <w:rFonts w:ascii="Times New Roman" w:eastAsia="Times New Roman" w:hAnsi="Times New Roman"/>
          <w:sz w:val="24"/>
          <w:szCs w:val="24"/>
          <w:lang w:eastAsia="es-ES"/>
        </w:rPr>
        <w:t xml:space="preserve"> una iniciativa para que varios comités comiencen a elaborar una alternativa a la reforma sanitaria.</w:t>
      </w:r>
    </w:p>
    <w:p w:rsidR="006A5739" w:rsidRPr="000676D6"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0676D6">
        <w:rPr>
          <w:rFonts w:ascii="Times New Roman" w:eastAsia="Times New Roman" w:hAnsi="Times New Roman"/>
          <w:sz w:val="24"/>
          <w:szCs w:val="24"/>
          <w:lang w:eastAsia="es-ES"/>
        </w:rPr>
        <w:t>La Oficina de Presupuesto del Congreso (CBO) señala que la revocación añadirá 230.000 millones de dólares al déficit en diez años, pero los republicanos aseguran que ese análisis se basa en fallidas premisas.</w:t>
      </w:r>
    </w:p>
    <w:p w:rsidR="006A5739" w:rsidRPr="000676D6"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0676D6">
        <w:rPr>
          <w:rFonts w:ascii="Times New Roman" w:eastAsia="Times New Roman" w:hAnsi="Times New Roman"/>
          <w:sz w:val="24"/>
          <w:szCs w:val="24"/>
          <w:lang w:eastAsia="es-ES"/>
        </w:rPr>
        <w:t>Una encuesta adelantada hoy por NBC News y Wall Street Journal muestra a una nación dividida sobre el asunto: el 39 por ciento de los estadounidenses cree que la reforma sanitaria es una buena idea, e igual porcentaje opina lo contrario.</w:t>
      </w:r>
    </w:p>
    <w:p w:rsidR="006A5739"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0676D6">
        <w:rPr>
          <w:rFonts w:ascii="Times New Roman" w:eastAsia="Times New Roman" w:hAnsi="Times New Roman"/>
          <w:sz w:val="24"/>
          <w:szCs w:val="24"/>
          <w:lang w:eastAsia="es-ES"/>
        </w:rPr>
        <w:t>Además, el 46 por ciento de los mil votantes encuestados entre el 13 y 17 de enero pasados se opone a la revocación de la reforma, y el 45 por ciento la apoya, según la encuesta que tiene un margen de error de hasta unos 3,1 puntos porcentuales.</w:t>
      </w:r>
    </w:p>
    <w:p w:rsidR="006C4303" w:rsidRPr="006C4303" w:rsidRDefault="006C4303"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6C4303">
        <w:rPr>
          <w:rFonts w:ascii="Times New Roman" w:eastAsia="Times New Roman" w:hAnsi="Times New Roman"/>
          <w:sz w:val="24"/>
          <w:szCs w:val="24"/>
          <w:u w:val="single"/>
          <w:lang w:eastAsia="es-ES"/>
        </w:rPr>
        <w:t xml:space="preserve">La relación entre salud, empleo y jubilación en edades avanzadas </w:t>
      </w:r>
    </w:p>
    <w:p w:rsidR="006A5739" w:rsidRPr="006A5739" w:rsidRDefault="006A5739" w:rsidP="00550638">
      <w:pPr>
        <w:spacing w:before="100" w:beforeAutospacing="1" w:after="100" w:afterAutospacing="1" w:line="240" w:lineRule="auto"/>
        <w:jc w:val="both"/>
        <w:rPr>
          <w:rFonts w:ascii="Times New Roman" w:eastAsia="Times New Roman" w:hAnsi="Times New Roman"/>
          <w:sz w:val="24"/>
          <w:szCs w:val="24"/>
          <w:lang w:eastAsia="es-ES"/>
        </w:rPr>
      </w:pPr>
      <w:r w:rsidRPr="006A5739">
        <w:rPr>
          <w:rFonts w:ascii="Times New Roman" w:hAnsi="Times New Roman" w:cs="Times New Roman"/>
          <w:sz w:val="24"/>
          <w:szCs w:val="24"/>
        </w:rPr>
        <w:t xml:space="preserve">- </w:t>
      </w:r>
      <w:r w:rsidRPr="006A5739">
        <w:rPr>
          <w:rFonts w:ascii="Times New Roman" w:hAnsi="Times New Roman" w:cs="Times New Roman"/>
          <w:sz w:val="24"/>
          <w:szCs w:val="24"/>
          <w:u w:val="single"/>
        </w:rPr>
        <w:t>Salud, mortalidad y participación en edades avanzadas (I)</w:t>
      </w:r>
      <w:r w:rsidRPr="006A5739">
        <w:rPr>
          <w:rFonts w:ascii="Times New Roman" w:hAnsi="Times New Roman" w:cs="Times New Roman"/>
          <w:sz w:val="24"/>
          <w:szCs w:val="24"/>
        </w:rPr>
        <w:t xml:space="preserve"> (Fedea - </w:t>
      </w:r>
      <w:r w:rsidRPr="006C4303">
        <w:rPr>
          <w:rFonts w:ascii="Times New Roman" w:hAnsi="Times New Roman" w:cs="Times New Roman"/>
          <w:b/>
          <w:sz w:val="24"/>
          <w:szCs w:val="24"/>
        </w:rPr>
        <w:t>24/3/11</w:t>
      </w:r>
      <w:r w:rsidRPr="006A5739">
        <w:rPr>
          <w:rFonts w:ascii="Times New Roman" w:hAnsi="Times New Roman" w:cs="Times New Roman"/>
          <w:sz w:val="24"/>
          <w:szCs w:val="24"/>
        </w:rPr>
        <w:t>)</w:t>
      </w:r>
    </w:p>
    <w:p w:rsidR="006A5739" w:rsidRDefault="006C4303" w:rsidP="00550638">
      <w:pPr>
        <w:pStyle w:val="headlinemeta"/>
      </w:pPr>
      <w:r>
        <w:t>(Por</w:t>
      </w:r>
      <w:r w:rsidR="006A5739">
        <w:t xml:space="preserve"> </w:t>
      </w:r>
      <w:r w:rsidR="006A5739">
        <w:rPr>
          <w:rStyle w:val="author"/>
          <w:rFonts w:eastAsiaTheme="majorEastAsia"/>
        </w:rPr>
        <w:t>Sergi Jiménez</w:t>
      </w:r>
      <w:r w:rsidR="006A5739">
        <w:t>)</w:t>
      </w:r>
      <w:r>
        <w:t xml:space="preserve">                                                                           Lectura recomendada</w:t>
      </w:r>
    </w:p>
    <w:p w:rsidR="006A5739" w:rsidRDefault="006A5739" w:rsidP="00550638">
      <w:pPr>
        <w:pStyle w:val="NormalWeb"/>
        <w:jc w:val="both"/>
      </w:pPr>
      <w:r>
        <w:t>Uno de los temas potencialmente más controvertidos es la relación entre salud, empleo y jubilación en edades avanzadas. En un reciente estudio internacional de 12 países, coordinado por Da</w:t>
      </w:r>
      <w:r w:rsidR="006C4303">
        <w:t>vid Wise (Harvard y NBER</w:t>
      </w:r>
      <w:r>
        <w:t xml:space="preserve">) estudiamos la relación entre salud, participación y programas de retiro, con especial énfasis en el papel del programa de invalidez en edades avanzadas (50 y más) y con la pretensión de analizar qué porcentaje de las diferencias entre países se pueden explicar por las diferencias en los programas de protección social. En esta primera entrada, resumimos la evidencia obtenida (aunque </w:t>
      </w:r>
      <w:r>
        <w:lastRenderedPageBreak/>
        <w:t>poniendo algo más de énfasis en el caso español,</w:t>
      </w:r>
      <w:r w:rsidR="006C4303">
        <w:t xml:space="preserve"> que se estudia específicamente</w:t>
      </w:r>
      <w:r>
        <w:t>) sobre mortalidad, que quizás es el indicador más fiable a la hora de comparar el estado de salud entre poblaciones. En posteriores entradas presentaremos la relación entre participación laboral en edades avanzadas y mortalidad y la relación entre salud e invalidez.</w:t>
      </w:r>
    </w:p>
    <w:p w:rsidR="006A5739" w:rsidRDefault="006A5739" w:rsidP="00550638">
      <w:pPr>
        <w:pStyle w:val="NormalWeb"/>
        <w:jc w:val="both"/>
      </w:pPr>
      <w:r>
        <w:t>Mortalidad</w:t>
      </w:r>
    </w:p>
    <w:p w:rsidR="006A5739" w:rsidRDefault="006A5739" w:rsidP="00550638">
      <w:pPr>
        <w:pStyle w:val="NormalWeb"/>
        <w:jc w:val="both"/>
      </w:pPr>
      <w:r>
        <w:t>1) La mortalidad se ha reducido notablemente en los últimos 50 años en prácticamente todos los países avanzados. Cabe reseñar que aunque están bien documentadas las diferencias según el nivel de educación (ingreso), los hábitos y (menos) las condiciones laborales, la caída afecta a todos los individuos de toda condición.</w:t>
      </w:r>
      <w:r>
        <w:br/>
        <w:t>En las figuras 1 y 2 presentamos la evolución de la tasa de mortalidad a los 65 observada en el conjunto de países estudiados de 1950 (año para el cual el dato español era el más alto) a 2008. Observamos dos periodos bien diferenciados, siendo el año pivotal 1970. Antes de ese año, la tendencia no era clara en muchos países, observándose en algunos casos incluso un ligero repunte de la mortalidad (Alemania, Italia, Holanda entre ellos). Después de 1970, destacan dos hechos: la continua reducción de la mortalidad y la fuerte convergencia de las tasas de mortalidad en edades avanzadas, que pasan de un rango 2.3-4.5% en 1970 a 1.2-1.8% en el entorno de 2006.</w:t>
      </w:r>
    </w:p>
    <w:p w:rsidR="00C80F91" w:rsidRDefault="006A5739" w:rsidP="00550638">
      <w:pPr>
        <w:pStyle w:val="NormalWeb"/>
        <w:jc w:val="both"/>
      </w:pPr>
      <w:r>
        <w:t>Figura 1. La caída de la mortalidad a l</w:t>
      </w:r>
      <w:r w:rsidR="00C80F91">
        <w:t>os 65, en países seleccionados.</w:t>
      </w:r>
    </w:p>
    <w:p w:rsidR="006A5739" w:rsidRDefault="006A5739" w:rsidP="00550638">
      <w:pPr>
        <w:pStyle w:val="NormalWeb"/>
        <w:jc w:val="both"/>
      </w:pPr>
      <w:r>
        <w:br/>
      </w:r>
      <w:r>
        <w:rPr>
          <w:noProof/>
          <w:color w:val="0000FF"/>
        </w:rPr>
        <w:drawing>
          <wp:inline distT="0" distB="0" distL="0" distR="0" wp14:anchorId="18BF6317" wp14:editId="014918A4">
            <wp:extent cx="3796588" cy="1931213"/>
            <wp:effectExtent l="0" t="0" r="0" b="0"/>
            <wp:docPr id="68" name="Imagen 68" descr="figura11-300x182">
              <a:hlinkClick xmlns:a="http://schemas.openxmlformats.org/drawingml/2006/main" r:id="rId3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gura11-300x182"/>
                    <pic:cNvPicPr>
                      <a:picLocks noChangeAspect="1" noChangeArrowheads="1"/>
                    </pic:cNvPicPr>
                  </pic:nvPicPr>
                  <pic:blipFill>
                    <a:blip r:embed="rId360">
                      <a:extLst>
                        <a:ext uri="{28A0092B-C50C-407E-A947-70E740481C1C}">
                          <a14:useLocalDpi xmlns:a14="http://schemas.microsoft.com/office/drawing/2010/main" val="0"/>
                        </a:ext>
                      </a:extLst>
                    </a:blip>
                    <a:srcRect/>
                    <a:stretch>
                      <a:fillRect/>
                    </a:stretch>
                  </pic:blipFill>
                  <pic:spPr bwMode="auto">
                    <a:xfrm>
                      <a:off x="0" y="0"/>
                      <a:ext cx="3811270" cy="1938681"/>
                    </a:xfrm>
                    <a:prstGeom prst="rect">
                      <a:avLst/>
                    </a:prstGeom>
                    <a:noFill/>
                    <a:ln>
                      <a:noFill/>
                    </a:ln>
                  </pic:spPr>
                </pic:pic>
              </a:graphicData>
            </a:graphic>
          </wp:inline>
        </w:drawing>
      </w:r>
    </w:p>
    <w:p w:rsidR="00C80F91" w:rsidRDefault="006A5739" w:rsidP="00550638">
      <w:pPr>
        <w:pStyle w:val="NormalWeb"/>
        <w:jc w:val="both"/>
      </w:pPr>
      <w:r>
        <w:t>Figura 2. La caída de la mortalidad a los 6</w:t>
      </w:r>
      <w:r w:rsidR="00C80F91">
        <w:t>5 en países seleccionados (II).</w:t>
      </w:r>
    </w:p>
    <w:p w:rsidR="006A5739" w:rsidRDefault="006A5739" w:rsidP="00550638">
      <w:pPr>
        <w:pStyle w:val="NormalWeb"/>
        <w:jc w:val="both"/>
      </w:pPr>
      <w:r>
        <w:br/>
      </w:r>
      <w:r>
        <w:rPr>
          <w:noProof/>
          <w:color w:val="0000FF"/>
        </w:rPr>
        <w:drawing>
          <wp:inline distT="0" distB="0" distL="0" distR="0" wp14:anchorId="6C42F04A" wp14:editId="5F09473C">
            <wp:extent cx="3811219" cy="1967789"/>
            <wp:effectExtent l="0" t="0" r="0" b="0"/>
            <wp:docPr id="67" name="Imagen 67" descr="figura21-300x184">
              <a:hlinkClick xmlns:a="http://schemas.openxmlformats.org/drawingml/2006/main" r:id="rId3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igura21-300x184"/>
                    <pic:cNvPicPr>
                      <a:picLocks noChangeAspect="1" noChangeArrowheads="1"/>
                    </pic:cNvPicPr>
                  </pic:nvPicPr>
                  <pic:blipFill>
                    <a:blip r:embed="rId362">
                      <a:extLst>
                        <a:ext uri="{28A0092B-C50C-407E-A947-70E740481C1C}">
                          <a14:useLocalDpi xmlns:a14="http://schemas.microsoft.com/office/drawing/2010/main" val="0"/>
                        </a:ext>
                      </a:extLst>
                    </a:blip>
                    <a:srcRect/>
                    <a:stretch>
                      <a:fillRect/>
                    </a:stretch>
                  </pic:blipFill>
                  <pic:spPr bwMode="auto">
                    <a:xfrm>
                      <a:off x="0" y="0"/>
                      <a:ext cx="3811270" cy="1967815"/>
                    </a:xfrm>
                    <a:prstGeom prst="rect">
                      <a:avLst/>
                    </a:prstGeom>
                    <a:noFill/>
                    <a:ln>
                      <a:noFill/>
                    </a:ln>
                  </pic:spPr>
                </pic:pic>
              </a:graphicData>
            </a:graphic>
          </wp:inline>
        </w:drawing>
      </w:r>
    </w:p>
    <w:p w:rsidR="006A5739" w:rsidRDefault="006A5739" w:rsidP="00550638">
      <w:pPr>
        <w:pStyle w:val="NormalWeb"/>
        <w:jc w:val="both"/>
      </w:pPr>
      <w:r>
        <w:lastRenderedPageBreak/>
        <w:t>2) Una forma alternativa y original de ver los datos se presenta en la figura 3, que muestra a qué edad un hombre estadounidense en el año Y tiene un nivel de mortalidad equivalente al de un individuo de 65 años de edad en 1960. Como se puede observar en 2006 el individuo de mortalidad equivalente tiene 9.2 años más (lo que implica que se le pagarán prestaciones casi 10 años más).</w:t>
      </w:r>
    </w:p>
    <w:p w:rsidR="006A5739" w:rsidRDefault="006A5739" w:rsidP="00550638">
      <w:pPr>
        <w:pStyle w:val="NormalWeb"/>
        <w:jc w:val="both"/>
      </w:pPr>
      <w:r>
        <w:t>Figura 3. Edad de mortalidad equivalente. EEUU. 1960-2006.</w:t>
      </w:r>
    </w:p>
    <w:p w:rsidR="006C4303" w:rsidRDefault="006A5739" w:rsidP="00550638">
      <w:pPr>
        <w:pStyle w:val="NormalWeb"/>
        <w:jc w:val="both"/>
      </w:pPr>
      <w:r>
        <w:br/>
      </w:r>
      <w:r>
        <w:rPr>
          <w:noProof/>
          <w:color w:val="0000FF"/>
        </w:rPr>
        <w:drawing>
          <wp:inline distT="0" distB="0" distL="0" distR="0" wp14:anchorId="01FEB406" wp14:editId="234CFAE3">
            <wp:extent cx="3811219" cy="2179930"/>
            <wp:effectExtent l="0" t="0" r="0" b="0"/>
            <wp:docPr id="66" name="Imagen 66" descr="figura3-300x151">
              <a:hlinkClick xmlns:a="http://schemas.openxmlformats.org/drawingml/2006/main" r:id="rId3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igura3-300x151"/>
                    <pic:cNvPicPr>
                      <a:picLocks noChangeAspect="1" noChangeArrowheads="1"/>
                    </pic:cNvPicPr>
                  </pic:nvPicPr>
                  <pic:blipFill>
                    <a:blip r:embed="rId364">
                      <a:extLst>
                        <a:ext uri="{28A0092B-C50C-407E-A947-70E740481C1C}">
                          <a14:useLocalDpi xmlns:a14="http://schemas.microsoft.com/office/drawing/2010/main" val="0"/>
                        </a:ext>
                      </a:extLst>
                    </a:blip>
                    <a:srcRect/>
                    <a:stretch>
                      <a:fillRect/>
                    </a:stretch>
                  </pic:blipFill>
                  <pic:spPr bwMode="auto">
                    <a:xfrm>
                      <a:off x="0" y="0"/>
                      <a:ext cx="3811270" cy="2179959"/>
                    </a:xfrm>
                    <a:prstGeom prst="rect">
                      <a:avLst/>
                    </a:prstGeom>
                    <a:noFill/>
                    <a:ln>
                      <a:noFill/>
                    </a:ln>
                  </pic:spPr>
                </pic:pic>
              </a:graphicData>
            </a:graphic>
          </wp:inline>
        </w:drawing>
      </w:r>
      <w:r>
        <w:br/>
      </w:r>
    </w:p>
    <w:p w:rsidR="006A5739" w:rsidRDefault="006A5739" w:rsidP="00550638">
      <w:pPr>
        <w:pStyle w:val="NormalWeb"/>
        <w:jc w:val="both"/>
      </w:pPr>
      <w:r>
        <w:t>Para el caso de España, tal y como ilustran las figuras 4 y 5, las ganancias por el mismo concepto son parecidas. En 2006, la mujer de mortalidad equivalente a la de 65 (60) en 1960 tiene 74.8 (71.5) años de edad, es decir, 9.9 (10.5) años más. Alternativamente, el hombre de mortalidad equivalente a la de 65 (60) en 1960 tiene 72.7 (68.6) años de edad, es decir 7.7 (8.6) años más. Nótese, el diferencial entre hombres y mujeres ha seguido, aparentemente, aumentando en los últimos 45 años (aunque probablemente la tendencia en la década más reciente refleje una cierta compresión). En consecuencia mientras que los hombres reciben pensión un promedio de 8 años más, las mujeres reciben 10.</w:t>
      </w:r>
    </w:p>
    <w:p w:rsidR="006A5739" w:rsidRDefault="006A5739" w:rsidP="00550638">
      <w:pPr>
        <w:pStyle w:val="NormalWeb"/>
        <w:jc w:val="both"/>
      </w:pPr>
      <w:r>
        <w:br/>
        <w:t>Figura 4. Edad de mortalidad equivalente. España. Mujeres. 1960-2006</w:t>
      </w:r>
    </w:p>
    <w:p w:rsidR="006C4303" w:rsidRDefault="006A5739" w:rsidP="00550638">
      <w:pPr>
        <w:pStyle w:val="NormalWeb"/>
        <w:jc w:val="both"/>
      </w:pPr>
      <w:r>
        <w:br/>
      </w:r>
      <w:r>
        <w:rPr>
          <w:noProof/>
          <w:color w:val="0000FF"/>
        </w:rPr>
        <w:drawing>
          <wp:inline distT="0" distB="0" distL="0" distR="0" wp14:anchorId="5B418C7D" wp14:editId="7CB786D3">
            <wp:extent cx="3811219" cy="2033626"/>
            <wp:effectExtent l="0" t="0" r="0" b="5080"/>
            <wp:docPr id="65" name="Imagen 65" descr="figura4-300x200">
              <a:hlinkClick xmlns:a="http://schemas.openxmlformats.org/drawingml/2006/main" r:id="rId36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figura4-300x200"/>
                    <pic:cNvPicPr>
                      <a:picLocks noChangeAspect="1" noChangeArrowheads="1"/>
                    </pic:cNvPicPr>
                  </pic:nvPicPr>
                  <pic:blipFill>
                    <a:blip r:embed="rId366">
                      <a:extLst>
                        <a:ext uri="{28A0092B-C50C-407E-A947-70E740481C1C}">
                          <a14:useLocalDpi xmlns:a14="http://schemas.microsoft.com/office/drawing/2010/main" val="0"/>
                        </a:ext>
                      </a:extLst>
                    </a:blip>
                    <a:srcRect/>
                    <a:stretch>
                      <a:fillRect/>
                    </a:stretch>
                  </pic:blipFill>
                  <pic:spPr bwMode="auto">
                    <a:xfrm>
                      <a:off x="0" y="0"/>
                      <a:ext cx="3811270" cy="2033653"/>
                    </a:xfrm>
                    <a:prstGeom prst="rect">
                      <a:avLst/>
                    </a:prstGeom>
                    <a:noFill/>
                    <a:ln>
                      <a:noFill/>
                    </a:ln>
                  </pic:spPr>
                </pic:pic>
              </a:graphicData>
            </a:graphic>
          </wp:inline>
        </w:drawing>
      </w:r>
    </w:p>
    <w:p w:rsidR="006A5739" w:rsidRDefault="006A5739" w:rsidP="00550638">
      <w:pPr>
        <w:pStyle w:val="NormalWeb"/>
        <w:jc w:val="both"/>
      </w:pPr>
      <w:r>
        <w:lastRenderedPageBreak/>
        <w:t>Figura 5. Edad de mortalidad equivalente. España. Hombres. 1960-2006</w:t>
      </w:r>
    </w:p>
    <w:p w:rsidR="006A5739" w:rsidRDefault="006A5739" w:rsidP="00550638">
      <w:pPr>
        <w:pStyle w:val="NormalWeb"/>
        <w:jc w:val="both"/>
      </w:pPr>
      <w:r>
        <w:br/>
      </w:r>
      <w:r>
        <w:rPr>
          <w:noProof/>
          <w:color w:val="0000FF"/>
        </w:rPr>
        <w:drawing>
          <wp:inline distT="0" distB="0" distL="0" distR="0" wp14:anchorId="27BC50AE" wp14:editId="7E6FD8C8">
            <wp:extent cx="3811217" cy="2114093"/>
            <wp:effectExtent l="0" t="0" r="0" b="635"/>
            <wp:docPr id="64" name="Imagen 64" descr="figura5-300x201">
              <a:hlinkClick xmlns:a="http://schemas.openxmlformats.org/drawingml/2006/main" r:id="rId36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figura5-300x201"/>
                    <pic:cNvPicPr>
                      <a:picLocks noChangeAspect="1" noChangeArrowheads="1"/>
                    </pic:cNvPicPr>
                  </pic:nvPicPr>
                  <pic:blipFill>
                    <a:blip r:embed="rId368">
                      <a:extLst>
                        <a:ext uri="{28A0092B-C50C-407E-A947-70E740481C1C}">
                          <a14:useLocalDpi xmlns:a14="http://schemas.microsoft.com/office/drawing/2010/main" val="0"/>
                        </a:ext>
                      </a:extLst>
                    </a:blip>
                    <a:srcRect/>
                    <a:stretch>
                      <a:fillRect/>
                    </a:stretch>
                  </pic:blipFill>
                  <pic:spPr bwMode="auto">
                    <a:xfrm>
                      <a:off x="0" y="0"/>
                      <a:ext cx="3811270" cy="2114122"/>
                    </a:xfrm>
                    <a:prstGeom prst="rect">
                      <a:avLst/>
                    </a:prstGeom>
                    <a:noFill/>
                    <a:ln>
                      <a:noFill/>
                    </a:ln>
                  </pic:spPr>
                </pic:pic>
              </a:graphicData>
            </a:graphic>
          </wp:inline>
        </w:drawing>
      </w:r>
    </w:p>
    <w:p w:rsidR="006A5739" w:rsidRDefault="006A5739" w:rsidP="00550638">
      <w:pPr>
        <w:pStyle w:val="NormalWeb"/>
        <w:jc w:val="both"/>
      </w:pPr>
      <w:r>
        <w:t>Estas tendencias, tal y como ilustra la Tabla 1 para el caso de los hombres, no son exclusivas de EEUU y España. Al contrario, se observan en la mayoría de países avanzados, siendo las ganancias mayores para los japoneses y americanos y relativamente menores en los países nórdicos, esto último debido a que su nivel de mortalidad ya era relativamente bajo en 1960 (nota: la cifra para España es en este caso algo menor que en el gráfico anterior a causa de la diferente metodología de cálculo).</w:t>
      </w:r>
    </w:p>
    <w:p w:rsidR="006A5739" w:rsidRDefault="006A5739" w:rsidP="00550638">
      <w:pPr>
        <w:pStyle w:val="NormalWeb"/>
        <w:jc w:val="both"/>
      </w:pPr>
      <w:r>
        <w:br/>
        <w:t>Tabla 1. Ganancias en mortalidad equivalente de 1960 a 2005.</w:t>
      </w:r>
    </w:p>
    <w:p w:rsidR="006A5739" w:rsidRDefault="006A5739" w:rsidP="00550638">
      <w:pPr>
        <w:pStyle w:val="NormalWeb"/>
        <w:jc w:val="both"/>
      </w:pPr>
      <w:r>
        <w:br/>
      </w:r>
      <w:r>
        <w:rPr>
          <w:noProof/>
          <w:color w:val="0000FF"/>
        </w:rPr>
        <w:drawing>
          <wp:inline distT="0" distB="0" distL="0" distR="0" wp14:anchorId="23DC6BFE" wp14:editId="5A27A226">
            <wp:extent cx="3811041" cy="2033625"/>
            <wp:effectExtent l="0" t="0" r="0" b="5080"/>
            <wp:docPr id="63" name="Imagen 63" descr="figura6-300x173">
              <a:hlinkClick xmlns:a="http://schemas.openxmlformats.org/drawingml/2006/main" r:id="rId36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figura6-300x173"/>
                    <pic:cNvPicPr>
                      <a:picLocks noChangeAspect="1" noChangeArrowheads="1"/>
                    </pic:cNvPicPr>
                  </pic:nvPicPr>
                  <pic:blipFill>
                    <a:blip r:embed="rId370">
                      <a:extLst>
                        <a:ext uri="{28A0092B-C50C-407E-A947-70E740481C1C}">
                          <a14:useLocalDpi xmlns:a14="http://schemas.microsoft.com/office/drawing/2010/main" val="0"/>
                        </a:ext>
                      </a:extLst>
                    </a:blip>
                    <a:srcRect/>
                    <a:stretch>
                      <a:fillRect/>
                    </a:stretch>
                  </pic:blipFill>
                  <pic:spPr bwMode="auto">
                    <a:xfrm>
                      <a:off x="0" y="0"/>
                      <a:ext cx="3811270" cy="2033747"/>
                    </a:xfrm>
                    <a:prstGeom prst="rect">
                      <a:avLst/>
                    </a:prstGeom>
                    <a:noFill/>
                    <a:ln>
                      <a:noFill/>
                    </a:ln>
                  </pic:spPr>
                </pic:pic>
              </a:graphicData>
            </a:graphic>
          </wp:inline>
        </w:drawing>
      </w:r>
      <w:r>
        <w:br/>
      </w:r>
    </w:p>
    <w:p w:rsidR="006A5739" w:rsidRDefault="006A5739" w:rsidP="00550638">
      <w:pPr>
        <w:pStyle w:val="NormalWeb"/>
        <w:jc w:val="both"/>
      </w:pPr>
      <w:r>
        <w:t>Mortalidad y estado de Salud</w:t>
      </w:r>
    </w:p>
    <w:p w:rsidR="006A5739" w:rsidRDefault="006A5739" w:rsidP="00550638">
      <w:pPr>
        <w:pStyle w:val="NormalWeb"/>
        <w:jc w:val="both"/>
      </w:pPr>
      <w:r>
        <w:t>3) Sería razonable esperar que la caída de la mortalidad especialmente en edades avanzadas fuera acompañada de una notoria mejoría de la salud declarada. Así ocurre en la mayoría de países estudiados. Como botón de muestra mostramos esta vez el caso de Suecia (similar al caso americano), donde la caída de la fracción con estado de salud aceptable o malo (y por tanto la subida de aquellos con buena salud) va en paralelo con la caída de la mortalidad.</w:t>
      </w:r>
    </w:p>
    <w:p w:rsidR="006A5739" w:rsidRDefault="006A5739" w:rsidP="00550638">
      <w:pPr>
        <w:pStyle w:val="NormalWeb"/>
        <w:jc w:val="both"/>
      </w:pPr>
      <w:r>
        <w:lastRenderedPageBreak/>
        <w:t>Figura 6. Mortalidad vs estado de salud aceptable o malo. Hombres. Suecia.</w:t>
      </w:r>
    </w:p>
    <w:p w:rsidR="006A5739" w:rsidRDefault="006A5739" w:rsidP="00550638">
      <w:pPr>
        <w:pStyle w:val="NormalWeb"/>
        <w:jc w:val="both"/>
      </w:pPr>
      <w:r>
        <w:br/>
      </w:r>
      <w:r>
        <w:rPr>
          <w:noProof/>
          <w:color w:val="0000FF"/>
        </w:rPr>
        <w:drawing>
          <wp:inline distT="0" distB="0" distL="0" distR="0" wp14:anchorId="3D847275" wp14:editId="1D27C680">
            <wp:extent cx="3811270" cy="2092325"/>
            <wp:effectExtent l="0" t="0" r="0" b="3175"/>
            <wp:docPr id="62" name="Imagen 62" descr="figura61-300x170">
              <a:hlinkClick xmlns:a="http://schemas.openxmlformats.org/drawingml/2006/main" r:id="rId37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figura61-300x170"/>
                    <pic:cNvPicPr>
                      <a:picLocks noChangeAspect="1" noChangeArrowheads="1"/>
                    </pic:cNvPicPr>
                  </pic:nvPicPr>
                  <pic:blipFill>
                    <a:blip r:embed="rId372">
                      <a:extLst>
                        <a:ext uri="{28A0092B-C50C-407E-A947-70E740481C1C}">
                          <a14:useLocalDpi xmlns:a14="http://schemas.microsoft.com/office/drawing/2010/main" val="0"/>
                        </a:ext>
                      </a:extLst>
                    </a:blip>
                    <a:srcRect/>
                    <a:stretch>
                      <a:fillRect/>
                    </a:stretch>
                  </pic:blipFill>
                  <pic:spPr bwMode="auto">
                    <a:xfrm>
                      <a:off x="0" y="0"/>
                      <a:ext cx="3811270" cy="2092325"/>
                    </a:xfrm>
                    <a:prstGeom prst="rect">
                      <a:avLst/>
                    </a:prstGeom>
                    <a:noFill/>
                    <a:ln>
                      <a:noFill/>
                    </a:ln>
                  </pic:spPr>
                </pic:pic>
              </a:graphicData>
            </a:graphic>
          </wp:inline>
        </w:drawing>
      </w:r>
      <w:r>
        <w:br/>
      </w:r>
    </w:p>
    <w:p w:rsidR="006A5739" w:rsidRDefault="006A5739" w:rsidP="00550638">
      <w:pPr>
        <w:pStyle w:val="NormalWeb"/>
        <w:jc w:val="both"/>
      </w:pPr>
      <w:r>
        <w:t>Sin embargo, en el caso español (también para UK) encontramos que la caída de la mortalidad no va acompañada con una caída de la fracción con salud “menos que buena”</w:t>
      </w:r>
    </w:p>
    <w:p w:rsidR="006A5739" w:rsidRDefault="006A5739" w:rsidP="00550638">
      <w:pPr>
        <w:pStyle w:val="NormalWeb"/>
        <w:jc w:val="both"/>
      </w:pPr>
      <w:r>
        <w:t>Figura 7. Mortalidad vs fracción con estado de salud “menos que bueno”. España. Hombres de 60 a 64.</w:t>
      </w:r>
    </w:p>
    <w:p w:rsidR="006A5739" w:rsidRDefault="006A5739" w:rsidP="00550638">
      <w:pPr>
        <w:pStyle w:val="NormalWeb"/>
        <w:jc w:val="both"/>
      </w:pPr>
      <w:r>
        <w:br/>
      </w:r>
      <w:r>
        <w:rPr>
          <w:noProof/>
          <w:color w:val="0000FF"/>
        </w:rPr>
        <w:drawing>
          <wp:inline distT="0" distB="0" distL="0" distR="0" wp14:anchorId="19F6E7BB" wp14:editId="3024B27F">
            <wp:extent cx="3811270" cy="2377440"/>
            <wp:effectExtent l="0" t="0" r="0" b="3810"/>
            <wp:docPr id="61" name="Imagen 61" descr="figura7-300x197">
              <a:hlinkClick xmlns:a="http://schemas.openxmlformats.org/drawingml/2006/main" r:id="rId37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figura7-300x197"/>
                    <pic:cNvPicPr>
                      <a:picLocks noChangeAspect="1" noChangeArrowheads="1"/>
                    </pic:cNvPicPr>
                  </pic:nvPicPr>
                  <pic:blipFill>
                    <a:blip r:embed="rId374">
                      <a:extLst>
                        <a:ext uri="{28A0092B-C50C-407E-A947-70E740481C1C}">
                          <a14:useLocalDpi xmlns:a14="http://schemas.microsoft.com/office/drawing/2010/main" val="0"/>
                        </a:ext>
                      </a:extLst>
                    </a:blip>
                    <a:srcRect/>
                    <a:stretch>
                      <a:fillRect/>
                    </a:stretch>
                  </pic:blipFill>
                  <pic:spPr bwMode="auto">
                    <a:xfrm>
                      <a:off x="0" y="0"/>
                      <a:ext cx="3811270" cy="2377440"/>
                    </a:xfrm>
                    <a:prstGeom prst="rect">
                      <a:avLst/>
                    </a:prstGeom>
                    <a:noFill/>
                    <a:ln>
                      <a:noFill/>
                    </a:ln>
                  </pic:spPr>
                </pic:pic>
              </a:graphicData>
            </a:graphic>
          </wp:inline>
        </w:drawing>
      </w:r>
      <w:r>
        <w:br/>
      </w:r>
    </w:p>
    <w:p w:rsidR="006A5739" w:rsidRDefault="006A5739" w:rsidP="00550638">
      <w:pPr>
        <w:pStyle w:val="NormalWeb"/>
        <w:jc w:val="both"/>
      </w:pPr>
      <w:r>
        <w:t xml:space="preserve">En </w:t>
      </w:r>
      <w:hyperlink r:id="rId375" w:history="1">
        <w:r w:rsidRPr="006C4303">
          <w:rPr>
            <w:rStyle w:val="Hipervnculo"/>
            <w:rFonts w:eastAsiaTheme="majorEastAsia"/>
            <w:color w:val="auto"/>
          </w:rPr>
          <w:t>García-Gómez et al</w:t>
        </w:r>
      </w:hyperlink>
      <w:r>
        <w:t xml:space="preserve"> (2010) no encontramos ningún aumento de “achaques” (enfermedades) que ayude a explicar esta diferencia en el nivel y la persistencia de la declaración del estado de salud. ¿Quizás sea porque cuando se nos pregunta a los españoles por el estado de salud tenemos una cierta tendencia a sobrevalorar nuestros “achaques”? Sin duda, una buena pregunta sin, de momento, una respuesta adecuada.</w:t>
      </w:r>
    </w:p>
    <w:p w:rsidR="006A5739" w:rsidRDefault="006A5739" w:rsidP="00550638">
      <w:pPr>
        <w:pStyle w:val="NormalWeb"/>
        <w:jc w:val="both"/>
      </w:pPr>
      <w:r>
        <w:t>Como ya he comentado, dejamos para una segunda entrada la relación entre mortalidad y participación en edades avanzadas, aunque el lector interesado puede avanzarse y consultar la evidencia para España (aunque sin el detalle que</w:t>
      </w:r>
      <w:r w:rsidR="006C4303">
        <w:t xml:space="preserve"> presentaré en el próximo post)</w:t>
      </w:r>
      <w:r>
        <w:t>.</w:t>
      </w:r>
    </w:p>
    <w:p w:rsidR="006C4303" w:rsidRPr="006C4303" w:rsidRDefault="006C4303" w:rsidP="00550638">
      <w:pPr>
        <w:pStyle w:val="NormalWeb"/>
        <w:jc w:val="both"/>
        <w:rPr>
          <w:u w:val="single"/>
        </w:rPr>
      </w:pPr>
      <w:r w:rsidRPr="006C4303">
        <w:rPr>
          <w:u w:val="single"/>
        </w:rPr>
        <w:lastRenderedPageBreak/>
        <w:t xml:space="preserve">Bill Gross (el mayor gestor de bonos del mundo) </w:t>
      </w:r>
      <w:r w:rsidR="00A551E6">
        <w:rPr>
          <w:u w:val="single"/>
        </w:rPr>
        <w:t xml:space="preserve">opta: ‘deuda’, por sanidad y </w:t>
      </w:r>
      <w:r w:rsidRPr="006C4303">
        <w:rPr>
          <w:u w:val="single"/>
        </w:rPr>
        <w:t>pensiones</w:t>
      </w:r>
    </w:p>
    <w:p w:rsidR="006A5739" w:rsidRPr="00A551E6" w:rsidRDefault="006A5739" w:rsidP="00550638">
      <w:pPr>
        <w:pStyle w:val="NormalWeb"/>
        <w:jc w:val="both"/>
      </w:pPr>
      <w:r w:rsidRPr="006C4303">
        <w:rPr>
          <w:i/>
        </w:rPr>
        <w:t xml:space="preserve">El co-fundador de Pimco, la gestora de bonos privada más grande del mundo, Bill Gross ha vuelto a dictar sentencia. Si desde hace tiempo ya avisaba sobre el peligro de los bonos del Tesoro norteamericanos, llegando incluso a desechar por completo estas inversiones de su cartera, ahora advierte sobre el </w:t>
      </w:r>
      <w:r w:rsidR="00A551E6">
        <w:rPr>
          <w:i/>
        </w:rPr>
        <w:t xml:space="preserve">posible impago de deuda de EEUU”… </w:t>
      </w:r>
      <w:r w:rsidR="00A551E6">
        <w:rPr>
          <w:u w:val="single"/>
        </w:rPr>
        <w:t>Bill Gross: “</w:t>
      </w:r>
      <w:r w:rsidR="00A551E6" w:rsidRPr="00C02A56">
        <w:rPr>
          <w:u w:val="single"/>
        </w:rPr>
        <w:t xml:space="preserve">Si EEUU no reforma la sanidad y las </w:t>
      </w:r>
      <w:r w:rsidR="00A551E6">
        <w:rPr>
          <w:u w:val="single"/>
        </w:rPr>
        <w:t>pensiones, no costeará su deuda”</w:t>
      </w:r>
      <w:r w:rsidR="00A551E6">
        <w:t xml:space="preserve"> (El Economista - </w:t>
      </w:r>
      <w:r w:rsidR="00A551E6" w:rsidRPr="00C02A56">
        <w:rPr>
          <w:b/>
        </w:rPr>
        <w:t>31/3/11</w:t>
      </w:r>
      <w:r w:rsidR="00A551E6">
        <w:t>)</w:t>
      </w:r>
    </w:p>
    <w:p w:rsidR="006A5739" w:rsidRPr="00A551E6" w:rsidRDefault="006A5739" w:rsidP="00550638">
      <w:pPr>
        <w:pStyle w:val="NormalWeb"/>
        <w:jc w:val="both"/>
      </w:pPr>
      <w:r w:rsidRPr="00A551E6">
        <w:t>“Tápense sus narices, porque todavía no han olido lo peor” advirtió Gross en su último informe donde compara a los miembros del Congreso con la mofeta Pepé Le Pew al afirmar que cada “dos a seis años, los legisladores se maquillan y pretenden abordar un cambio para corregir lo nunca corregido y conseguir una disciplina fiscal”. Sin embargo, para Gross el problema es claro: las obligaciones relacionadas con programas sanitarios como el Medicare y el Medicaid, así como la Seguridad Social, suponen el 75 por ciento del presupuesto fiscal de EEUU. “Si no atacamos estos programas oleremos 1 billón de dólares en déficit presupuestario hasta donde nuestras narices puedan oler”, afirmó.</w:t>
      </w:r>
    </w:p>
    <w:p w:rsidR="00A551E6" w:rsidRDefault="006A5739" w:rsidP="00550638">
      <w:pPr>
        <w:pStyle w:val="NormalWeb"/>
        <w:jc w:val="both"/>
      </w:pPr>
      <w:r w:rsidRPr="00A551E6">
        <w:t xml:space="preserve">Gross se hace eco en su informe del informe realizado por Mary Meeker y respaldado por figuras como Paul Volcker o Michael Bloomberg que analizan las cuentas de EEUU como si fuera una empresa. El documento, bautizado bajo el título “EEUU </w:t>
      </w:r>
      <w:r w:rsidR="00D44948" w:rsidRPr="00A551E6">
        <w:t>Inc.</w:t>
      </w:r>
      <w:r w:rsidRPr="00A551E6">
        <w:t xml:space="preserve">” pone de manifiesto que si el país fuera considerado una </w:t>
      </w:r>
      <w:r w:rsidR="00172C32">
        <w:t>compañía, una vez que nuestros “activos”</w:t>
      </w:r>
      <w:r w:rsidRPr="00A551E6">
        <w:t xml:space="preserve"> se contabilizaran correctamente, contaría con un patrimonio neto negativo de entre 35 y 40 billones de dólares. Al respecto, Gross aseguró que en dichas condiciones, ningún prestamista estaría prestando dinero a una empresa. </w:t>
      </w:r>
    </w:p>
    <w:p w:rsidR="006A5739" w:rsidRPr="00A551E6" w:rsidRDefault="006A5739" w:rsidP="00550638">
      <w:pPr>
        <w:pStyle w:val="NormalWeb"/>
        <w:jc w:val="both"/>
      </w:pPr>
      <w:r w:rsidRPr="00A551E6">
        <w:t xml:space="preserve">Finalmente, el co-fundador de Pimco afirma que EEUU podría acabar por no poder costear sus obligaciones de deuda, de alguna u otra forma. Gross plantea varios escenarios como, por ejemplo, un impago “engañoso” a través de una caída del dólar, como lo que “está teniendo lugar justo enfrente de nuestras narices” en estos momentos, asegura. </w:t>
      </w:r>
    </w:p>
    <w:p w:rsidR="00A551E6" w:rsidRDefault="006A5739" w:rsidP="00550638">
      <w:pPr>
        <w:pStyle w:val="NormalWeb"/>
        <w:jc w:val="both"/>
      </w:pPr>
      <w:r w:rsidRPr="00A551E6">
        <w:t xml:space="preserve">Otra forma de presunto impago que plantea Gross es de forma “sigilosa” a través de tipos de interés y un rendimiento de los bonos del Tesoro “muy por debajo de los niveles históricos” De esta forma, el gobierno paga a los ahorradores estadounidenses menos rendimientos por sus inversiones en deuda del Tesoro con “la esperanza de que estos no se quejarán”, añadió. </w:t>
      </w:r>
    </w:p>
    <w:p w:rsidR="00A551E6" w:rsidRPr="00A551E6" w:rsidRDefault="00A551E6" w:rsidP="00550638">
      <w:pPr>
        <w:pStyle w:val="NormalWeb"/>
        <w:jc w:val="both"/>
        <w:rPr>
          <w:u w:val="single"/>
        </w:rPr>
      </w:pPr>
      <w:r w:rsidRPr="00A551E6">
        <w:rPr>
          <w:u w:val="single"/>
        </w:rPr>
        <w:t>Los americanos a lo suyo: la pobreza y la salud “no” son “problemas sociales”</w:t>
      </w:r>
    </w:p>
    <w:p w:rsidR="006A5739" w:rsidRPr="00781812" w:rsidRDefault="006A5739"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781812">
        <w:rPr>
          <w:rFonts w:ascii="Times New Roman" w:hAnsi="Times New Roman"/>
          <w:sz w:val="24"/>
          <w:szCs w:val="24"/>
          <w:u w:val="single"/>
        </w:rPr>
        <w:t>Libres para morir</w:t>
      </w:r>
      <w:r>
        <w:rPr>
          <w:rFonts w:ascii="Times New Roman" w:hAnsi="Times New Roman"/>
          <w:sz w:val="24"/>
          <w:szCs w:val="24"/>
        </w:rPr>
        <w:t xml:space="preserve"> (El País - </w:t>
      </w:r>
      <w:r w:rsidRPr="00781812">
        <w:rPr>
          <w:rFonts w:ascii="Times New Roman" w:hAnsi="Times New Roman"/>
          <w:b/>
          <w:sz w:val="24"/>
          <w:szCs w:val="24"/>
        </w:rPr>
        <w:t>18/9/11</w:t>
      </w:r>
      <w:r>
        <w:rPr>
          <w:rFonts w:ascii="Times New Roman" w:hAnsi="Times New Roman"/>
          <w:sz w:val="24"/>
          <w:szCs w:val="24"/>
        </w:rPr>
        <w:t>)</w:t>
      </w:r>
      <w:r w:rsidR="00A551E6">
        <w:rPr>
          <w:rFonts w:ascii="Times New Roman" w:hAnsi="Times New Roman"/>
          <w:sz w:val="24"/>
          <w:szCs w:val="24"/>
        </w:rPr>
        <w:t xml:space="preserve">                                              Lectura recomendada</w:t>
      </w:r>
    </w:p>
    <w:p w:rsidR="006A5739" w:rsidRPr="00781812" w:rsidRDefault="006A5739" w:rsidP="00550638">
      <w:pPr>
        <w:spacing w:line="240" w:lineRule="auto"/>
        <w:jc w:val="both"/>
        <w:rPr>
          <w:rFonts w:ascii="Times New Roman" w:hAnsi="Times New Roman"/>
          <w:sz w:val="24"/>
          <w:szCs w:val="24"/>
        </w:rPr>
      </w:pPr>
      <w:r>
        <w:rPr>
          <w:rFonts w:ascii="Times New Roman" w:hAnsi="Times New Roman"/>
          <w:sz w:val="24"/>
          <w:szCs w:val="24"/>
        </w:rPr>
        <w:t>(Por P</w:t>
      </w:r>
      <w:r w:rsidR="00A551E6">
        <w:rPr>
          <w:rFonts w:ascii="Times New Roman" w:hAnsi="Times New Roman"/>
          <w:sz w:val="24"/>
          <w:szCs w:val="24"/>
        </w:rPr>
        <w:t>aul Krugman)</w:t>
      </w:r>
    </w:p>
    <w:p w:rsidR="006A5739" w:rsidRPr="00EA12A9" w:rsidRDefault="006A5739" w:rsidP="00550638">
      <w:pPr>
        <w:spacing w:line="240" w:lineRule="auto"/>
        <w:jc w:val="both"/>
        <w:rPr>
          <w:rFonts w:ascii="Times New Roman" w:hAnsi="Times New Roman"/>
          <w:color w:val="FF0000"/>
          <w:sz w:val="24"/>
          <w:szCs w:val="24"/>
          <w:u w:val="single"/>
        </w:rPr>
      </w:pPr>
      <w:r w:rsidRPr="00EA12A9">
        <w:rPr>
          <w:rFonts w:ascii="Times New Roman" w:hAnsi="Times New Roman"/>
          <w:color w:val="FF0000"/>
          <w:sz w:val="24"/>
          <w:szCs w:val="24"/>
          <w:u w:val="single"/>
        </w:rPr>
        <w:t>Allá por 1980, justo cuando Estados Unidos realizaba su giro político hacia la derecha, Milton Friedman prestaba su voz al cambio con la famosa serie de televisión Libres para elegir. En un episodio tras otro, el genial economista identificaba la economía del laissez-faire con la elección personal y la asunción de poder, una visión optimista de la que se haría eco y que amplificaría Ronald Reagan.</w:t>
      </w:r>
    </w:p>
    <w:p w:rsidR="006A5739" w:rsidRPr="00EA12A9" w:rsidRDefault="006A5739" w:rsidP="00550638">
      <w:pPr>
        <w:spacing w:line="240" w:lineRule="auto"/>
        <w:jc w:val="both"/>
        <w:rPr>
          <w:rFonts w:ascii="Times New Roman" w:hAnsi="Times New Roman"/>
          <w:color w:val="FF0000"/>
          <w:sz w:val="24"/>
          <w:szCs w:val="24"/>
          <w:u w:val="single"/>
        </w:rPr>
      </w:pPr>
      <w:r w:rsidRPr="00781812">
        <w:rPr>
          <w:rFonts w:ascii="Times New Roman" w:hAnsi="Times New Roman"/>
          <w:sz w:val="24"/>
          <w:szCs w:val="24"/>
        </w:rPr>
        <w:lastRenderedPageBreak/>
        <w:t xml:space="preserve">Me refiero, como supondrán, a lo que ha pasado durante el debate presidencial del Partido Republicano del lunes. </w:t>
      </w:r>
      <w:r w:rsidRPr="00EA12A9">
        <w:rPr>
          <w:rFonts w:ascii="Times New Roman" w:hAnsi="Times New Roman"/>
          <w:color w:val="FF0000"/>
          <w:sz w:val="24"/>
          <w:szCs w:val="24"/>
          <w:u w:val="single"/>
        </w:rPr>
        <w:t>Wolf Blitzer, de la CNN, le preguntó al representante Ron Paul por lo que deberíamos hacer si un hombre de 30 años que hubiese decidido no contratar un seguro sanitario de repente se encontrase en la necesidad de pasar seis meses en cuida</w:t>
      </w:r>
      <w:r w:rsidR="00A551E6">
        <w:rPr>
          <w:rFonts w:ascii="Times New Roman" w:hAnsi="Times New Roman"/>
          <w:color w:val="FF0000"/>
          <w:sz w:val="24"/>
          <w:szCs w:val="24"/>
          <w:u w:val="single"/>
        </w:rPr>
        <w:t>dos intensivos. Paul contestó: “</w:t>
      </w:r>
      <w:r w:rsidRPr="00EA12A9">
        <w:rPr>
          <w:rFonts w:ascii="Times New Roman" w:hAnsi="Times New Roman"/>
          <w:color w:val="FF0000"/>
          <w:sz w:val="24"/>
          <w:szCs w:val="24"/>
          <w:u w:val="single"/>
        </w:rPr>
        <w:t xml:space="preserve">En eso consiste la libertad, en </w:t>
      </w:r>
      <w:r w:rsidR="00A551E6">
        <w:rPr>
          <w:rFonts w:ascii="Times New Roman" w:hAnsi="Times New Roman"/>
          <w:color w:val="FF0000"/>
          <w:sz w:val="24"/>
          <w:szCs w:val="24"/>
          <w:u w:val="single"/>
        </w:rPr>
        <w:t>asumir nuestros propios riesgos”</w:t>
      </w:r>
      <w:r w:rsidRPr="00EA12A9">
        <w:rPr>
          <w:rFonts w:ascii="Times New Roman" w:hAnsi="Times New Roman"/>
          <w:color w:val="FF0000"/>
          <w:sz w:val="24"/>
          <w:szCs w:val="24"/>
          <w:u w:val="single"/>
        </w:rPr>
        <w:t>. Blitzer vol</w:t>
      </w:r>
      <w:r w:rsidR="00A551E6">
        <w:rPr>
          <w:rFonts w:ascii="Times New Roman" w:hAnsi="Times New Roman"/>
          <w:color w:val="FF0000"/>
          <w:sz w:val="24"/>
          <w:szCs w:val="24"/>
          <w:u w:val="single"/>
        </w:rPr>
        <w:t>vió a insistirle y preguntó si “</w:t>
      </w:r>
      <w:r w:rsidRPr="00EA12A9">
        <w:rPr>
          <w:rFonts w:ascii="Times New Roman" w:hAnsi="Times New Roman"/>
          <w:color w:val="FF0000"/>
          <w:sz w:val="24"/>
          <w:szCs w:val="24"/>
          <w:u w:val="single"/>
        </w:rPr>
        <w:t xml:space="preserve">la sociedad </w:t>
      </w:r>
      <w:r w:rsidR="00A551E6">
        <w:rPr>
          <w:rFonts w:ascii="Times New Roman" w:hAnsi="Times New Roman"/>
          <w:color w:val="FF0000"/>
          <w:sz w:val="24"/>
          <w:szCs w:val="24"/>
          <w:u w:val="single"/>
        </w:rPr>
        <w:t>debía limitarse a dejarle morir”</w:t>
      </w:r>
      <w:r w:rsidRPr="00EA12A9">
        <w:rPr>
          <w:rFonts w:ascii="Times New Roman" w:hAnsi="Times New Roman"/>
          <w:color w:val="FF0000"/>
          <w:sz w:val="24"/>
          <w:szCs w:val="24"/>
          <w:u w:val="single"/>
        </w:rPr>
        <w:t xml:space="preserve">. Y la multitud </w:t>
      </w:r>
      <w:r w:rsidR="00A551E6">
        <w:rPr>
          <w:rFonts w:ascii="Times New Roman" w:hAnsi="Times New Roman"/>
          <w:color w:val="FF0000"/>
          <w:sz w:val="24"/>
          <w:szCs w:val="24"/>
          <w:u w:val="single"/>
        </w:rPr>
        <w:t>estalló en vítores y gritos de “¡sí!”</w:t>
      </w:r>
      <w:r w:rsidRPr="00EA12A9">
        <w:rPr>
          <w:rFonts w:ascii="Times New Roman" w:hAnsi="Times New Roman"/>
          <w:color w:val="FF0000"/>
          <w:sz w:val="24"/>
          <w:szCs w:val="24"/>
          <w:u w:val="single"/>
        </w:rPr>
        <w:t>.</w:t>
      </w:r>
    </w:p>
    <w:p w:rsidR="006A5739" w:rsidRPr="00EA12A9" w:rsidRDefault="006A5739" w:rsidP="00550638">
      <w:pPr>
        <w:spacing w:line="240" w:lineRule="auto"/>
        <w:jc w:val="both"/>
        <w:rPr>
          <w:rFonts w:ascii="Times New Roman" w:hAnsi="Times New Roman"/>
          <w:sz w:val="24"/>
          <w:szCs w:val="24"/>
          <w:u w:val="single"/>
        </w:rPr>
      </w:pPr>
      <w:r w:rsidRPr="00781812">
        <w:rPr>
          <w:rFonts w:ascii="Times New Roman" w:hAnsi="Times New Roman"/>
          <w:sz w:val="24"/>
          <w:szCs w:val="24"/>
        </w:rPr>
        <w:t xml:space="preserve">El incidente subrayaba algo que no creo que la mayoría de los analistas políticos hayan asimilado plenamente: en este momento, </w:t>
      </w:r>
      <w:r w:rsidRPr="00EA12A9">
        <w:rPr>
          <w:rFonts w:ascii="Times New Roman" w:hAnsi="Times New Roman"/>
          <w:sz w:val="24"/>
          <w:szCs w:val="24"/>
          <w:u w:val="single"/>
        </w:rPr>
        <w:t>la política estadounidense es básicamente una cuestión de opiniones morales diferentes.</w:t>
      </w:r>
    </w:p>
    <w:p w:rsidR="006A5739" w:rsidRPr="00EA12A9" w:rsidRDefault="006A5739" w:rsidP="00550638">
      <w:pPr>
        <w:spacing w:line="240" w:lineRule="auto"/>
        <w:jc w:val="both"/>
        <w:rPr>
          <w:rFonts w:ascii="Times New Roman" w:hAnsi="Times New Roman"/>
          <w:sz w:val="24"/>
          <w:szCs w:val="24"/>
          <w:u w:val="single"/>
        </w:rPr>
      </w:pPr>
      <w:r w:rsidRPr="00781812">
        <w:rPr>
          <w:rFonts w:ascii="Times New Roman" w:hAnsi="Times New Roman"/>
          <w:sz w:val="24"/>
          <w:szCs w:val="24"/>
        </w:rPr>
        <w:t xml:space="preserve">Ahora bien, hay dos cosas que deberían saber sobre el intercambio entre Blitzer y Paul. La primera es que, después de que la multitud interviniese, Paul esencialmente intentó eludir la pregunta, afirmando que los médicos afectuosos y los individuos caritativos siempre se asegurarían de que las personas recibiesen la asistencia que necesitasen; o, al menos, lo harían si no los hubiese corrompido el Estado del bienestar. </w:t>
      </w:r>
      <w:r w:rsidRPr="00EA12A9">
        <w:rPr>
          <w:rFonts w:ascii="Times New Roman" w:hAnsi="Times New Roman"/>
          <w:sz w:val="24"/>
          <w:szCs w:val="24"/>
          <w:u w:val="single"/>
        </w:rPr>
        <w:t>Lo siento, pero eso son fantasías. Las personas que no pueden permitirse la asistencia sanitaria básica por lo general no la consiguen -y siempre ha sido así- y a veces mueren como consecuencia de ello.</w:t>
      </w:r>
    </w:p>
    <w:p w:rsidR="006A5739" w:rsidRPr="00EA12A9" w:rsidRDefault="006A5739" w:rsidP="00550638">
      <w:pPr>
        <w:spacing w:line="240" w:lineRule="auto"/>
        <w:jc w:val="both"/>
        <w:rPr>
          <w:rFonts w:ascii="Times New Roman" w:hAnsi="Times New Roman"/>
          <w:sz w:val="24"/>
          <w:szCs w:val="24"/>
          <w:u w:val="single"/>
        </w:rPr>
      </w:pPr>
      <w:r w:rsidRPr="00781812">
        <w:rPr>
          <w:rFonts w:ascii="Times New Roman" w:hAnsi="Times New Roman"/>
          <w:sz w:val="24"/>
          <w:szCs w:val="24"/>
        </w:rPr>
        <w:t xml:space="preserve">La segunda es que muy pocos de los que mueren por falta de asistencia sanitaria se parecen al individuo hipotético de Blitzer, que podía contratar un seguro y debería haberlo hecho. </w:t>
      </w:r>
      <w:r w:rsidRPr="00EA12A9">
        <w:rPr>
          <w:rFonts w:ascii="Times New Roman" w:hAnsi="Times New Roman"/>
          <w:sz w:val="24"/>
          <w:szCs w:val="24"/>
          <w:u w:val="single"/>
        </w:rPr>
        <w:t>En realidad, la mayoría de los estadounidenses no asegurados tienen pocos ingresos y no pueden permitirse un seguro, o bien son rechazados por las aseguradoras porque padecen enfermedades crónicas.</w:t>
      </w:r>
    </w:p>
    <w:p w:rsidR="006A5739" w:rsidRPr="00EA12A9" w:rsidRDefault="006A5739" w:rsidP="00550638">
      <w:pPr>
        <w:spacing w:line="240" w:lineRule="auto"/>
        <w:jc w:val="both"/>
        <w:rPr>
          <w:rFonts w:ascii="Times New Roman" w:hAnsi="Times New Roman"/>
          <w:color w:val="FF0000"/>
          <w:sz w:val="24"/>
          <w:szCs w:val="24"/>
          <w:u w:val="single"/>
        </w:rPr>
      </w:pPr>
      <w:r w:rsidRPr="00EA12A9">
        <w:rPr>
          <w:rFonts w:ascii="Times New Roman" w:hAnsi="Times New Roman"/>
          <w:color w:val="FF0000"/>
          <w:sz w:val="24"/>
          <w:szCs w:val="24"/>
          <w:u w:val="single"/>
        </w:rPr>
        <w:t>Entonces, ¿estaría la gente de la derecha dispuesta a dejar morir por falta de asistencia a aquellos que no están asegurados aunque no sea culpa suya? La respuesta, si nos basamos en la h</w:t>
      </w:r>
      <w:r w:rsidR="00A551E6">
        <w:rPr>
          <w:rFonts w:ascii="Times New Roman" w:hAnsi="Times New Roman"/>
          <w:color w:val="FF0000"/>
          <w:sz w:val="24"/>
          <w:szCs w:val="24"/>
          <w:u w:val="single"/>
        </w:rPr>
        <w:t>istoria reciente, es un sonoro “¡sí!”</w:t>
      </w:r>
      <w:r w:rsidRPr="00EA12A9">
        <w:rPr>
          <w:rFonts w:ascii="Times New Roman" w:hAnsi="Times New Roman"/>
          <w:color w:val="FF0000"/>
          <w:sz w:val="24"/>
          <w:szCs w:val="24"/>
          <w:u w:val="single"/>
        </w:rPr>
        <w:t>.</w:t>
      </w:r>
    </w:p>
    <w:p w:rsidR="006A5739" w:rsidRPr="00481551" w:rsidRDefault="006A5739" w:rsidP="00550638">
      <w:pPr>
        <w:spacing w:line="240" w:lineRule="auto"/>
        <w:jc w:val="both"/>
        <w:rPr>
          <w:rFonts w:ascii="Times New Roman" w:hAnsi="Times New Roman"/>
          <w:sz w:val="24"/>
          <w:szCs w:val="24"/>
          <w:u w:val="single"/>
        </w:rPr>
      </w:pPr>
      <w:r w:rsidRPr="00781812">
        <w:rPr>
          <w:rFonts w:ascii="Times New Roman" w:hAnsi="Times New Roman"/>
          <w:sz w:val="24"/>
          <w:szCs w:val="24"/>
        </w:rPr>
        <w:t xml:space="preserve">Piensen, en particular, en los niños. Al día siguiente del debate, la Oficina del Censo publicaba sus últimos cálculos sobre ingresos, pobreza y seguros sanitarios. </w:t>
      </w:r>
      <w:r w:rsidRPr="00481551">
        <w:rPr>
          <w:rFonts w:ascii="Times New Roman" w:hAnsi="Times New Roman"/>
          <w:sz w:val="24"/>
          <w:szCs w:val="24"/>
          <w:u w:val="single"/>
        </w:rPr>
        <w:t>El panorama general era terrible: la debilidad económica sigue haciendo estragos en las vidas de los estadounidenses. Un dato relativamente esperanzador, no obstante, era la asistencia sanitaria a los niños: el porcentaje de niños sin cobertura sanitaria era más bajo en 2010 que antes de la recesión, gracias en gran parte a la ampliación en 2009 del Programa Estatal de Seguros Sanitarios Infantiles, o S-CHIP, por sus siglas en inglés.</w:t>
      </w:r>
    </w:p>
    <w:p w:rsidR="006A5739" w:rsidRPr="00781812" w:rsidRDefault="006A5739" w:rsidP="00550638">
      <w:pPr>
        <w:spacing w:line="240" w:lineRule="auto"/>
        <w:jc w:val="both"/>
        <w:rPr>
          <w:rFonts w:ascii="Times New Roman" w:hAnsi="Times New Roman"/>
          <w:sz w:val="24"/>
          <w:szCs w:val="24"/>
        </w:rPr>
      </w:pPr>
      <w:r w:rsidRPr="00781812">
        <w:rPr>
          <w:rFonts w:ascii="Times New Roman" w:hAnsi="Times New Roman"/>
          <w:sz w:val="24"/>
          <w:szCs w:val="24"/>
        </w:rPr>
        <w:t>Y la razón por la que el S-CHIP se amplió en 2009 pero no antes fue, por supuesto, que el expresidente George W. Bush bloqueó los intentos anteriores de incluir a más niños (con los vítores de muchos derechistas). ¿He mencionado que uno de cada seis niños de Texas carece de seguro sanitario, la segunda tasa más alta del país?</w:t>
      </w:r>
    </w:p>
    <w:p w:rsidR="006A5739" w:rsidRPr="00481551" w:rsidRDefault="006A5739" w:rsidP="00550638">
      <w:pPr>
        <w:spacing w:line="240" w:lineRule="auto"/>
        <w:jc w:val="both"/>
        <w:rPr>
          <w:rFonts w:ascii="Times New Roman" w:hAnsi="Times New Roman"/>
          <w:color w:val="FF0000"/>
          <w:sz w:val="24"/>
          <w:szCs w:val="24"/>
          <w:u w:val="single"/>
        </w:rPr>
      </w:pPr>
      <w:r w:rsidRPr="00481551">
        <w:rPr>
          <w:rFonts w:ascii="Times New Roman" w:hAnsi="Times New Roman"/>
          <w:color w:val="FF0000"/>
          <w:sz w:val="24"/>
          <w:szCs w:val="24"/>
          <w:u w:val="single"/>
        </w:rPr>
        <w:t>Así que la libertad para morir se extiende, en la práctica, a los niños y a los desafortunados, así como a los poco previsores. Y el hecho de que la derecha apruebe esa idea indica un cambio importante en la naturaleza de la política estadounidense.</w:t>
      </w:r>
    </w:p>
    <w:p w:rsidR="006A5739" w:rsidRPr="00481551" w:rsidRDefault="006A5739" w:rsidP="00550638">
      <w:pPr>
        <w:spacing w:line="240" w:lineRule="auto"/>
        <w:jc w:val="both"/>
        <w:rPr>
          <w:rFonts w:ascii="Times New Roman" w:hAnsi="Times New Roman"/>
          <w:sz w:val="24"/>
          <w:szCs w:val="24"/>
          <w:u w:val="single"/>
        </w:rPr>
      </w:pPr>
      <w:r w:rsidRPr="00481551">
        <w:rPr>
          <w:rFonts w:ascii="Times New Roman" w:hAnsi="Times New Roman"/>
          <w:sz w:val="24"/>
          <w:szCs w:val="24"/>
          <w:u w:val="single"/>
        </w:rPr>
        <w:t>En el pasado, los conservadores aceptaban la necesidad de que el Gobierno proporcionase una red de seguridad por motivos humanitarios. No lo digo yo, lo decía Friedrich Hayek, el héroe intelectual conservador que manifestaba expresamente en Ca</w:t>
      </w:r>
      <w:r w:rsidR="00A551E6">
        <w:rPr>
          <w:rFonts w:ascii="Times New Roman" w:hAnsi="Times New Roman"/>
          <w:sz w:val="24"/>
          <w:szCs w:val="24"/>
          <w:u w:val="single"/>
        </w:rPr>
        <w:t>mino de servidumbre su apoyo a “</w:t>
      </w:r>
      <w:r w:rsidRPr="00481551">
        <w:rPr>
          <w:rFonts w:ascii="Times New Roman" w:hAnsi="Times New Roman"/>
          <w:sz w:val="24"/>
          <w:szCs w:val="24"/>
          <w:u w:val="single"/>
        </w:rPr>
        <w:t>un sist</w:t>
      </w:r>
      <w:r w:rsidR="00A551E6">
        <w:rPr>
          <w:rFonts w:ascii="Times New Roman" w:hAnsi="Times New Roman"/>
          <w:sz w:val="24"/>
          <w:szCs w:val="24"/>
          <w:u w:val="single"/>
        </w:rPr>
        <w:t>ema general de seguridad social”</w:t>
      </w:r>
      <w:r w:rsidRPr="00481551">
        <w:rPr>
          <w:rFonts w:ascii="Times New Roman" w:hAnsi="Times New Roman"/>
          <w:sz w:val="24"/>
          <w:szCs w:val="24"/>
          <w:u w:val="single"/>
        </w:rPr>
        <w:t xml:space="preserve"> para </w:t>
      </w:r>
      <w:r w:rsidR="00A551E6">
        <w:rPr>
          <w:rFonts w:ascii="Times New Roman" w:hAnsi="Times New Roman"/>
          <w:sz w:val="24"/>
          <w:szCs w:val="24"/>
          <w:u w:val="single"/>
        </w:rPr>
        <w:lastRenderedPageBreak/>
        <w:t>proteger a los ciudadanos ante “</w:t>
      </w:r>
      <w:r w:rsidRPr="00481551">
        <w:rPr>
          <w:rFonts w:ascii="Times New Roman" w:hAnsi="Times New Roman"/>
          <w:sz w:val="24"/>
          <w:szCs w:val="24"/>
          <w:u w:val="single"/>
        </w:rPr>
        <w:t>los</w:t>
      </w:r>
      <w:r w:rsidR="00A551E6">
        <w:rPr>
          <w:rFonts w:ascii="Times New Roman" w:hAnsi="Times New Roman"/>
          <w:sz w:val="24"/>
          <w:szCs w:val="24"/>
          <w:u w:val="single"/>
        </w:rPr>
        <w:t xml:space="preserve"> peligros habituales de la vida”</w:t>
      </w:r>
      <w:r w:rsidRPr="00481551">
        <w:rPr>
          <w:rFonts w:ascii="Times New Roman" w:hAnsi="Times New Roman"/>
          <w:sz w:val="24"/>
          <w:szCs w:val="24"/>
          <w:u w:val="single"/>
        </w:rPr>
        <w:t>, y destacaba la salud en particular.</w:t>
      </w:r>
    </w:p>
    <w:p w:rsidR="006A5739" w:rsidRPr="00781812" w:rsidRDefault="006A5739" w:rsidP="00550638">
      <w:pPr>
        <w:spacing w:line="240" w:lineRule="auto"/>
        <w:jc w:val="both"/>
        <w:rPr>
          <w:rFonts w:ascii="Times New Roman" w:hAnsi="Times New Roman"/>
          <w:sz w:val="24"/>
          <w:szCs w:val="24"/>
        </w:rPr>
      </w:pPr>
      <w:r w:rsidRPr="00781812">
        <w:rPr>
          <w:rFonts w:ascii="Times New Roman" w:hAnsi="Times New Roman"/>
          <w:sz w:val="24"/>
          <w:szCs w:val="24"/>
        </w:rPr>
        <w:t>Dada la reconocida conveniencia de proteger a los ciudadanos contra lo peor, el asunto se convertía entonces en un problema de costes y beneficios; y la asistencia sanitaria era uno de esos ámbitos en los que hasta los conservadores solían estar dispuestos a aceptar la intervención gubernamental en nombre de la compasión, dada la prueba clara de que cubrir a los no asegurados no costaría, de hecho, demasiado dinero. Como han señalado muchos observadores, el plan de asistencia sanitaria de Obama estaba en gran parte basado en antiguos planes republicanos y es prácticamente idéntico a la reforma sanitaria de Mitt Romney en Massachusetts.</w:t>
      </w:r>
    </w:p>
    <w:p w:rsidR="006A5739" w:rsidRPr="00481551" w:rsidRDefault="006A5739" w:rsidP="00550638">
      <w:pPr>
        <w:spacing w:line="240" w:lineRule="auto"/>
        <w:jc w:val="both"/>
        <w:rPr>
          <w:rFonts w:ascii="Times New Roman" w:hAnsi="Times New Roman"/>
          <w:color w:val="FF0000"/>
          <w:sz w:val="24"/>
          <w:szCs w:val="24"/>
          <w:u w:val="single"/>
        </w:rPr>
      </w:pPr>
      <w:r w:rsidRPr="00481551">
        <w:rPr>
          <w:rFonts w:ascii="Times New Roman" w:hAnsi="Times New Roman"/>
          <w:color w:val="FF0000"/>
          <w:sz w:val="24"/>
          <w:szCs w:val="24"/>
          <w:u w:val="single"/>
        </w:rPr>
        <w:t>Ahora, sin embargo, la compasión no está de moda; de hecho, la falta de compasión se ha convertido en una cuestión de principios, al menos entre las bases del Partido Republicano.</w:t>
      </w:r>
    </w:p>
    <w:p w:rsidR="006A5739" w:rsidRPr="00481551" w:rsidRDefault="006A5739" w:rsidP="00550638">
      <w:pPr>
        <w:spacing w:line="240" w:lineRule="auto"/>
        <w:jc w:val="both"/>
        <w:rPr>
          <w:rFonts w:ascii="Times New Roman" w:hAnsi="Times New Roman"/>
          <w:sz w:val="24"/>
          <w:szCs w:val="24"/>
          <w:u w:val="single"/>
        </w:rPr>
      </w:pPr>
      <w:r w:rsidRPr="00481551">
        <w:rPr>
          <w:rFonts w:ascii="Times New Roman" w:hAnsi="Times New Roman"/>
          <w:sz w:val="24"/>
          <w:szCs w:val="24"/>
          <w:u w:val="single"/>
        </w:rPr>
        <w:t>Y lo que esto significa es que el conservadurismo moderno es realmente un movimiento profundamente radical, hostil a la clase de sociedad que hemos tenido durante las tres últimas generaciones, es decir, una sociedad que, actuando a través del Gobierno, t</w:t>
      </w:r>
      <w:r w:rsidR="00A551E6">
        <w:rPr>
          <w:rFonts w:ascii="Times New Roman" w:hAnsi="Times New Roman"/>
          <w:sz w:val="24"/>
          <w:szCs w:val="24"/>
          <w:u w:val="single"/>
        </w:rPr>
        <w:t>rata de mitigar algunos de los “peligros habituales de la vida”</w:t>
      </w:r>
      <w:r w:rsidRPr="00481551">
        <w:rPr>
          <w:rFonts w:ascii="Times New Roman" w:hAnsi="Times New Roman"/>
          <w:sz w:val="24"/>
          <w:szCs w:val="24"/>
          <w:u w:val="single"/>
        </w:rPr>
        <w:t xml:space="preserve"> mediante programas como la Seguridad Social, el seguro por desempleo, Medicare y Medicaid.</w:t>
      </w:r>
    </w:p>
    <w:p w:rsidR="006A5739" w:rsidRPr="00781812" w:rsidRDefault="006A5739" w:rsidP="00550638">
      <w:pPr>
        <w:spacing w:line="240" w:lineRule="auto"/>
        <w:jc w:val="both"/>
        <w:rPr>
          <w:rFonts w:ascii="Times New Roman" w:hAnsi="Times New Roman"/>
          <w:sz w:val="24"/>
          <w:szCs w:val="24"/>
        </w:rPr>
      </w:pPr>
      <w:r w:rsidRPr="00781812">
        <w:rPr>
          <w:rFonts w:ascii="Times New Roman" w:hAnsi="Times New Roman"/>
          <w:sz w:val="24"/>
          <w:szCs w:val="24"/>
        </w:rPr>
        <w:t>¿Están los votantes dispuestos a asumir ese rechazo radical hacia la clase de nación en la que todos hemos crecido? Supongo que lo averiguaremos el año que viene.</w:t>
      </w:r>
    </w:p>
    <w:p w:rsidR="006A5739" w:rsidRDefault="006A5739" w:rsidP="00550638">
      <w:pPr>
        <w:spacing w:line="240" w:lineRule="auto"/>
        <w:jc w:val="both"/>
        <w:rPr>
          <w:rFonts w:ascii="Times New Roman" w:hAnsi="Times New Roman"/>
          <w:sz w:val="24"/>
          <w:szCs w:val="24"/>
        </w:rPr>
      </w:pPr>
      <w:r>
        <w:rPr>
          <w:rFonts w:ascii="Times New Roman" w:hAnsi="Times New Roman"/>
          <w:sz w:val="24"/>
          <w:szCs w:val="24"/>
        </w:rPr>
        <w:t>(</w:t>
      </w:r>
      <w:r w:rsidRPr="00781812">
        <w:rPr>
          <w:rFonts w:ascii="Times New Roman" w:hAnsi="Times New Roman"/>
          <w:sz w:val="24"/>
          <w:szCs w:val="24"/>
        </w:rPr>
        <w:t>Paul Krugman es profesor de economía en Princeton y premio Nobel 2008 © New York Times Servic</w:t>
      </w:r>
      <w:r w:rsidR="00A551E6">
        <w:rPr>
          <w:rFonts w:ascii="Times New Roman" w:hAnsi="Times New Roman"/>
          <w:sz w:val="24"/>
          <w:szCs w:val="24"/>
        </w:rPr>
        <w:t>e 2011)</w:t>
      </w:r>
    </w:p>
    <w:p w:rsidR="00A551E6" w:rsidRPr="00240237" w:rsidRDefault="00A551E6" w:rsidP="00550638">
      <w:pPr>
        <w:spacing w:line="240" w:lineRule="auto"/>
        <w:jc w:val="both"/>
        <w:rPr>
          <w:rFonts w:ascii="Times New Roman" w:hAnsi="Times New Roman"/>
          <w:sz w:val="24"/>
          <w:szCs w:val="24"/>
          <w:u w:val="single"/>
        </w:rPr>
      </w:pPr>
      <w:r w:rsidRPr="00240237">
        <w:rPr>
          <w:rFonts w:ascii="Times New Roman" w:hAnsi="Times New Roman"/>
          <w:sz w:val="24"/>
          <w:szCs w:val="24"/>
          <w:u w:val="single"/>
        </w:rPr>
        <w:t>Un tema de debate en el sistema de salud europeo: el “copago” sanitario</w:t>
      </w:r>
    </w:p>
    <w:p w:rsidR="00240237" w:rsidRDefault="00240237" w:rsidP="00550638">
      <w:pPr>
        <w:pStyle w:val="figcaption"/>
        <w:jc w:val="both"/>
      </w:pPr>
      <w:r>
        <w:rPr>
          <w:i/>
        </w:rPr>
        <w:t>“</w:t>
      </w:r>
      <w:r w:rsidR="006A5739" w:rsidRPr="00240237">
        <w:rPr>
          <w:i/>
        </w:rPr>
        <w:t>Las fórmulas de cofinanciación de los cuidados médicos y los medicamentos se imponen en los países europeos</w:t>
      </w:r>
      <w:r>
        <w:rPr>
          <w:i/>
        </w:rPr>
        <w:t>”..</w:t>
      </w:r>
      <w:r w:rsidR="006A5739" w:rsidRPr="00240237">
        <w:rPr>
          <w:i/>
        </w:rPr>
        <w:t>.</w:t>
      </w:r>
      <w:r>
        <w:rPr>
          <w:i/>
        </w:rPr>
        <w:t xml:space="preserve"> </w:t>
      </w:r>
      <w:r w:rsidRPr="001A5700">
        <w:rPr>
          <w:u w:val="single"/>
        </w:rPr>
        <w:t>El copago sanitario es mayoritario en los grandes países de la UE</w:t>
      </w:r>
      <w:r>
        <w:t xml:space="preserve"> (Libertad Digital - </w:t>
      </w:r>
      <w:r w:rsidRPr="00857BD1">
        <w:rPr>
          <w:b/>
        </w:rPr>
        <w:t>24/11/11</w:t>
      </w:r>
      <w:r>
        <w:t>)</w:t>
      </w:r>
    </w:p>
    <w:p w:rsidR="006A5739" w:rsidRDefault="006A5739" w:rsidP="00550638">
      <w:pPr>
        <w:pStyle w:val="figcaption"/>
        <w:jc w:val="both"/>
      </w:pPr>
    </w:p>
    <w:p w:rsidR="006A5739" w:rsidRDefault="006A5739" w:rsidP="00550638">
      <w:pPr>
        <w:pStyle w:val="figcaption"/>
        <w:jc w:val="both"/>
      </w:pPr>
      <w:r w:rsidRPr="00240237">
        <w:t>La sanidad pública tiene un problema de origen de índole económica: es un sistema gratuito que permite al usuario disponer de toda la cantidad de servicios que desee sin sobrecoste. Esto quiere decir que cualquiera puede ir a un médico, a urgencias o a cualquier otro servicio las veces que crea conveniente. Nadie le obligará a pagar nada por ello. Evidentemente, la mayoría de la población no acude por diversión al médico. Pero los incentivos sí incitan a sobreutilizar los servicios.</w:t>
      </w:r>
    </w:p>
    <w:p w:rsidR="0087750F" w:rsidRPr="00240237" w:rsidRDefault="0087750F" w:rsidP="00550638">
      <w:pPr>
        <w:pStyle w:val="figcaption"/>
        <w:jc w:val="both"/>
      </w:pPr>
    </w:p>
    <w:p w:rsidR="006A5739" w:rsidRPr="00240237" w:rsidRDefault="006A5739" w:rsidP="00550638">
      <w:pPr>
        <w:pStyle w:val="figcaption"/>
        <w:jc w:val="both"/>
      </w:pPr>
      <w:r w:rsidRPr="00240237">
        <w:t xml:space="preserve">El profesor David Cantarero, doctor en Economía y experto en Economía Pública y de la Salud de la Universidad de Cantabria, admite que la situación es preocupante: </w:t>
      </w:r>
      <w:r w:rsidR="00240237" w:rsidRPr="00240237">
        <w:t>“</w:t>
      </w:r>
      <w:r w:rsidRPr="00240237">
        <w:t>La saturación sigue siendo alta en el sistema y es complicado hacer más con menos recursos. La solvencia financiera está en entredicho: el desequilibrio acumulado es de 15.000 millones de euros y podría seguir aumentando en los próximos años. En atención primaria, los pacientes son asignados a un promedio de tiempo de me</w:t>
      </w:r>
      <w:r w:rsidR="00240237" w:rsidRPr="00240237">
        <w:t>nos de siete minutos por visita”</w:t>
      </w:r>
      <w:r w:rsidRPr="00240237">
        <w:t>.</w:t>
      </w:r>
    </w:p>
    <w:p w:rsidR="006A5739" w:rsidRPr="00240237" w:rsidRDefault="006A5739" w:rsidP="00550638">
      <w:pPr>
        <w:pStyle w:val="figcaption"/>
        <w:jc w:val="both"/>
      </w:pPr>
      <w:r w:rsidRPr="00240237">
        <w:t xml:space="preserve"> </w:t>
      </w:r>
    </w:p>
    <w:p w:rsidR="006A5739" w:rsidRPr="00240237" w:rsidRDefault="006A5739" w:rsidP="00550638">
      <w:pPr>
        <w:pStyle w:val="figcaption"/>
        <w:jc w:val="both"/>
      </w:pPr>
      <w:r w:rsidRPr="00240237">
        <w:t>Una de las razones está en que los españole</w:t>
      </w:r>
      <w:r w:rsidR="00240237" w:rsidRPr="00240237">
        <w:t>s están entre los europeos que “</w:t>
      </w:r>
      <w:r w:rsidRPr="00240237">
        <w:t>más veces acuden al médico al año, 8 veces de media. Estamos por encima del promedio europeo y lo mismo sucede con e</w:t>
      </w:r>
      <w:r w:rsidR="00240237" w:rsidRPr="00240237">
        <w:t>l gasto farmacéutico por cápita”</w:t>
      </w:r>
      <w:r w:rsidRPr="00240237">
        <w:t>. De hecho, e</w:t>
      </w:r>
      <w:r w:rsidR="00240237" w:rsidRPr="00240237">
        <w:t xml:space="preserve">n el tema de los </w:t>
      </w:r>
      <w:r w:rsidR="00240237" w:rsidRPr="00240237">
        <w:lastRenderedPageBreak/>
        <w:t>medicamentos, “</w:t>
      </w:r>
      <w:r w:rsidRPr="00240237">
        <w:t>un 75% de las recetas se concentran un 20% de la población que está exenta de pago (los pensionistas) y su consumo ha pasado a unas 55 recetas por año fren</w:t>
      </w:r>
      <w:r w:rsidR="00240237" w:rsidRPr="00240237">
        <w:t>te a las siete de un trabajador”</w:t>
      </w:r>
      <w:r w:rsidRPr="00240237">
        <w:t>.</w:t>
      </w:r>
    </w:p>
    <w:p w:rsidR="00240237" w:rsidRPr="0087750F" w:rsidRDefault="006A5739" w:rsidP="00550638">
      <w:pPr>
        <w:pStyle w:val="NormalWeb"/>
        <w:jc w:val="both"/>
      </w:pPr>
      <w:r>
        <w:rPr>
          <w:noProof/>
        </w:rPr>
        <w:drawing>
          <wp:inline distT="0" distB="0" distL="0" distR="0" wp14:anchorId="0AE08982" wp14:editId="6307EBC2">
            <wp:extent cx="5478416" cy="2969971"/>
            <wp:effectExtent l="0" t="0" r="8255" b="1905"/>
            <wp:docPr id="189" name="Imagen 189" descr="copago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opago_1"/>
                    <pic:cNvPicPr>
                      <a:picLocks noChangeAspect="1" noChangeArrowheads="1"/>
                    </pic:cNvPicPr>
                  </pic:nvPicPr>
                  <pic:blipFill>
                    <a:blip r:embed="rId376">
                      <a:extLst>
                        <a:ext uri="{28A0092B-C50C-407E-A947-70E740481C1C}">
                          <a14:useLocalDpi xmlns:a14="http://schemas.microsoft.com/office/drawing/2010/main" val="0"/>
                        </a:ext>
                      </a:extLst>
                    </a:blip>
                    <a:srcRect/>
                    <a:stretch>
                      <a:fillRect/>
                    </a:stretch>
                  </pic:blipFill>
                  <pic:spPr bwMode="auto">
                    <a:xfrm>
                      <a:off x="0" y="0"/>
                      <a:ext cx="5478780" cy="2970168"/>
                    </a:xfrm>
                    <a:prstGeom prst="rect">
                      <a:avLst/>
                    </a:prstGeom>
                    <a:noFill/>
                    <a:ln>
                      <a:noFill/>
                    </a:ln>
                  </pic:spPr>
                </pic:pic>
              </a:graphicData>
            </a:graphic>
          </wp:inline>
        </w:drawing>
      </w:r>
    </w:p>
    <w:p w:rsidR="006A5739" w:rsidRDefault="006A5739" w:rsidP="00550638">
      <w:pPr>
        <w:pStyle w:val="NormalWeb"/>
        <w:jc w:val="both"/>
      </w:pPr>
      <w:r w:rsidRPr="00240237">
        <w:t xml:space="preserve">Lo cierto es que el gasto sanitario se ha disparado en la última década. Desde 2002 a 2009, el total ha pasado de 34.800 millones de euros a los 59.000 millones (de 876 a 1.316 euros per cápita). </w:t>
      </w:r>
      <w:r>
        <w:t>Por ejemplo, según explica Pablo Vázque</w:t>
      </w:r>
      <w:r w:rsidR="00240237">
        <w:t>z, de Fedea, en este artículo, “</w:t>
      </w:r>
      <w:r>
        <w:t>el presupuesto del Servicio Madrileño de Salud en 2010 será equivalente al presupuesto que tenía todo el Insalud en 2001; es decir, con lo que hoy nos gastamos en atender 1 Comunidad Autónoma, 30 hospitales y 140 centros de salud (que es lo que hoy tiene Madrid) en 2001 atendíamos 10 CCAA, 82 hos</w:t>
      </w:r>
      <w:r w:rsidR="00240237">
        <w:t>pitales y 1800 centros de salud”</w:t>
      </w:r>
      <w:r>
        <w:t>.</w:t>
      </w:r>
    </w:p>
    <w:p w:rsidR="006A5739" w:rsidRDefault="006A5739" w:rsidP="00550638">
      <w:pPr>
        <w:pStyle w:val="NormalWeb"/>
      </w:pPr>
      <w:r>
        <w:t xml:space="preserve"> </w:t>
      </w:r>
    </w:p>
    <w:p w:rsidR="006A5739" w:rsidRDefault="006A5739" w:rsidP="00550638">
      <w:pPr>
        <w:pStyle w:val="NormalWeb"/>
        <w:jc w:val="center"/>
      </w:pPr>
      <w:r>
        <w:rPr>
          <w:noProof/>
        </w:rPr>
        <w:drawing>
          <wp:inline distT="0" distB="0" distL="0" distR="0" wp14:anchorId="41EC5FC5" wp14:editId="2422F0CB">
            <wp:extent cx="5479027" cy="2896820"/>
            <wp:effectExtent l="0" t="0" r="7620" b="0"/>
            <wp:docPr id="188" name="Imagen 188" descr="copago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opago_2"/>
                    <pic:cNvPicPr>
                      <a:picLocks noChangeAspect="1" noChangeArrowheads="1"/>
                    </pic:cNvPicPr>
                  </pic:nvPicPr>
                  <pic:blipFill>
                    <a:blip r:embed="rId377">
                      <a:extLst>
                        <a:ext uri="{28A0092B-C50C-407E-A947-70E740481C1C}">
                          <a14:useLocalDpi xmlns:a14="http://schemas.microsoft.com/office/drawing/2010/main" val="0"/>
                        </a:ext>
                      </a:extLst>
                    </a:blip>
                    <a:srcRect/>
                    <a:stretch>
                      <a:fillRect/>
                    </a:stretch>
                  </pic:blipFill>
                  <pic:spPr bwMode="auto">
                    <a:xfrm>
                      <a:off x="0" y="0"/>
                      <a:ext cx="5478780" cy="2896689"/>
                    </a:xfrm>
                    <a:prstGeom prst="rect">
                      <a:avLst/>
                    </a:prstGeom>
                    <a:noFill/>
                    <a:ln>
                      <a:noFill/>
                    </a:ln>
                  </pic:spPr>
                </pic:pic>
              </a:graphicData>
            </a:graphic>
          </wp:inline>
        </w:drawing>
      </w:r>
    </w:p>
    <w:p w:rsidR="006A5739" w:rsidRPr="00240237" w:rsidRDefault="006A5739" w:rsidP="00550638">
      <w:pPr>
        <w:pStyle w:val="figcaption"/>
        <w:jc w:val="both"/>
      </w:pPr>
      <w:r w:rsidRPr="00240237">
        <w:lastRenderedPageBreak/>
        <w:t>El copago en Europa</w:t>
      </w:r>
    </w:p>
    <w:p w:rsidR="006A5739" w:rsidRPr="00240237" w:rsidRDefault="006A5739" w:rsidP="00550638">
      <w:pPr>
        <w:pStyle w:val="figcaption"/>
        <w:jc w:val="both"/>
      </w:pPr>
      <w:r w:rsidRPr="00240237">
        <w:t xml:space="preserve"> </w:t>
      </w:r>
    </w:p>
    <w:p w:rsidR="006A5739" w:rsidRPr="00240237" w:rsidRDefault="006A5739" w:rsidP="00550638">
      <w:pPr>
        <w:pStyle w:val="figcaption"/>
        <w:jc w:val="both"/>
      </w:pPr>
      <w:r w:rsidRPr="00240237">
        <w:t>La financiación de la sanidad está en cuestión en toda Europa. Los avances tecnológicos son una muy buena noticia para la humanidad, pero desde el punto de vista económico suponen un elemento de presión sobre los sistemas sanitarios occidentales. Por un lado, los pacientes viven cada vez más; por otro, los tratamientos son cada vez más caros.</w:t>
      </w:r>
    </w:p>
    <w:p w:rsidR="006A5739" w:rsidRPr="00240237" w:rsidRDefault="006A5739" w:rsidP="00550638">
      <w:pPr>
        <w:pStyle w:val="figcaption"/>
        <w:jc w:val="both"/>
      </w:pPr>
      <w:r w:rsidRPr="00240237">
        <w:t xml:space="preserve"> </w:t>
      </w:r>
    </w:p>
    <w:p w:rsidR="006A5739" w:rsidRPr="00240237" w:rsidRDefault="006A5739" w:rsidP="00550638">
      <w:pPr>
        <w:pStyle w:val="figcaption"/>
        <w:jc w:val="both"/>
      </w:pPr>
      <w:r w:rsidRPr="00240237">
        <w:t>El copago tiene una larga tradición en muchos países del Viejo Continente, pero en los últimos años ha cobrado actualidad. Hacer que los usuarios paguen una pequeña parte del coste de su tratamiento o su medicamento es una forma de desincentivar el uso excesivo de los servicios sanitarios.</w:t>
      </w:r>
    </w:p>
    <w:p w:rsidR="006A5739" w:rsidRPr="00240237" w:rsidRDefault="006A5739" w:rsidP="00550638">
      <w:pPr>
        <w:pStyle w:val="figcaption"/>
        <w:jc w:val="both"/>
      </w:pPr>
      <w:r w:rsidRPr="00240237">
        <w:t xml:space="preserve"> </w:t>
      </w:r>
    </w:p>
    <w:p w:rsidR="006A5739" w:rsidRPr="00240237" w:rsidRDefault="006A5739" w:rsidP="00550638">
      <w:pPr>
        <w:pStyle w:val="figcaption"/>
        <w:jc w:val="both"/>
      </w:pPr>
      <w:r w:rsidRPr="00240237">
        <w:t>Los sistemas varían mucho en función de cada país. Unos aplican un ticket moderador a todas las visitas, otros sólo en atención especializada o en urgencias, el copago en algunos casos supone un porcentaje del coste total y normalmente hay elementos correctores en función de la renta o de la duración de la enfermedad. De esta manera, la factura suele subir cuando se visita a un especialista o a urgencias y niños, ancianos o enfermos crónicos están exentos en muchos casos de cualquier tipo de copago.</w:t>
      </w:r>
    </w:p>
    <w:p w:rsidR="006A5739" w:rsidRPr="00240237" w:rsidRDefault="006A5739" w:rsidP="00550638">
      <w:pPr>
        <w:pStyle w:val="figcaption"/>
        <w:jc w:val="both"/>
      </w:pPr>
      <w:r w:rsidRPr="00240237">
        <w:t xml:space="preserve"> </w:t>
      </w:r>
    </w:p>
    <w:p w:rsidR="006A5739" w:rsidRPr="00240237" w:rsidRDefault="006A5739" w:rsidP="00550638">
      <w:pPr>
        <w:pStyle w:val="figcaption"/>
        <w:jc w:val="both"/>
      </w:pPr>
      <w:r w:rsidRPr="00240237">
        <w:t>En Francia, por ejemplo, existe un ticket que se sitúa en el entorno del 30% del coste del tratamiento primario, que se une a un pago de un euro por consulta, con un máximo de 50 por año. Además, en la atención especializada se paga hasta el 25% del coste de la consulta y se pagan 16 euros por día de hospitalización. Además, existe una contribución variable de entre el 35 y el 65% del coste de cada medicamento y una fija de un euro por receta.</w:t>
      </w:r>
    </w:p>
    <w:p w:rsidR="006A5739" w:rsidRPr="00240237" w:rsidRDefault="006A5739" w:rsidP="00550638">
      <w:pPr>
        <w:pStyle w:val="figcaption"/>
        <w:jc w:val="both"/>
      </w:pPr>
      <w:r w:rsidRPr="00240237">
        <w:t xml:space="preserve"> </w:t>
      </w:r>
    </w:p>
    <w:p w:rsidR="006A5739" w:rsidRPr="00240237" w:rsidRDefault="006A5739" w:rsidP="00550638">
      <w:pPr>
        <w:pStyle w:val="figcaption"/>
        <w:jc w:val="both"/>
      </w:pPr>
      <w:r w:rsidRPr="00240237">
        <w:t>En el siguiente cuadro, extraído del estudio Impulsar un cambio posible en el sistema sanitario, de McKinsey y Fedea, se muestran las características más destacadas de los copagos en Europa. Muy posiblemente, pese a las reiteradas negativas de todos los políticos, formatos parecidos acaben implantándose en España en los próximos años.</w:t>
      </w:r>
    </w:p>
    <w:p w:rsidR="00AA1140" w:rsidRDefault="00AA1140" w:rsidP="00550638">
      <w:pPr>
        <w:pStyle w:val="figcaption"/>
        <w:jc w:val="both"/>
      </w:pPr>
      <w:r>
        <w:rPr>
          <w:noProof/>
        </w:rPr>
        <w:drawing>
          <wp:inline distT="0" distB="0" distL="0" distR="0" wp14:anchorId="6B7C689F" wp14:editId="1EC6838A">
            <wp:extent cx="5640019" cy="3474720"/>
            <wp:effectExtent l="0" t="0" r="0" b="0"/>
            <wp:docPr id="187" name="Imagen 187" descr="copago_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pago_3"/>
                    <pic:cNvPicPr>
                      <a:picLocks noChangeAspect="1" noChangeArrowheads="1"/>
                    </pic:cNvPicPr>
                  </pic:nvPicPr>
                  <pic:blipFill>
                    <a:blip r:embed="rId378">
                      <a:extLst>
                        <a:ext uri="{28A0092B-C50C-407E-A947-70E740481C1C}">
                          <a14:useLocalDpi xmlns:a14="http://schemas.microsoft.com/office/drawing/2010/main" val="0"/>
                        </a:ext>
                      </a:extLst>
                    </a:blip>
                    <a:srcRect/>
                    <a:stretch>
                      <a:fillRect/>
                    </a:stretch>
                  </pic:blipFill>
                  <pic:spPr bwMode="auto">
                    <a:xfrm>
                      <a:off x="0" y="0"/>
                      <a:ext cx="5642110" cy="3476008"/>
                    </a:xfrm>
                    <a:prstGeom prst="rect">
                      <a:avLst/>
                    </a:prstGeom>
                    <a:noFill/>
                    <a:ln>
                      <a:noFill/>
                    </a:ln>
                  </pic:spPr>
                </pic:pic>
              </a:graphicData>
            </a:graphic>
          </wp:inline>
        </w:drawing>
      </w:r>
    </w:p>
    <w:p w:rsidR="006A5739" w:rsidRPr="00E81443" w:rsidRDefault="006A5739" w:rsidP="00550638">
      <w:pPr>
        <w:pStyle w:val="NormalWeb"/>
        <w:jc w:val="both"/>
      </w:pPr>
      <w:r w:rsidRPr="00E81443">
        <w:rPr>
          <w:u w:val="single"/>
        </w:rPr>
        <w:lastRenderedPageBreak/>
        <w:t>Copago sanitario: un repaso a las medidas que se han implementado en otros países</w:t>
      </w:r>
      <w:r w:rsidR="00240237">
        <w:t xml:space="preserve"> </w:t>
      </w:r>
    </w:p>
    <w:p w:rsidR="006A5739" w:rsidRPr="00E81443" w:rsidRDefault="006A5739" w:rsidP="00550638">
      <w:pPr>
        <w:pStyle w:val="NormalWeb"/>
        <w:jc w:val="both"/>
      </w:pPr>
      <w:r w:rsidRPr="00E81443">
        <w:t>Mientras el debate sobre el copago sanitario continúa abierto en España, otros países ya han introducido fórmulas al respecto.</w:t>
      </w:r>
      <w:r w:rsidRPr="00E81443">
        <w:rPr>
          <w:i/>
          <w:iCs/>
        </w:rPr>
        <w:t xml:space="preserve"> Euribor.com.es</w:t>
      </w:r>
      <w:r w:rsidRPr="00E81443">
        <w:t xml:space="preserve"> recoge cómo está la situación en otros países de nuestro entorno:</w:t>
      </w:r>
    </w:p>
    <w:p w:rsidR="006A5739" w:rsidRPr="00E81443" w:rsidRDefault="006A5739" w:rsidP="00550638">
      <w:pPr>
        <w:pStyle w:val="NormalWeb"/>
        <w:jc w:val="both"/>
      </w:pPr>
      <w:r w:rsidRPr="00E81443">
        <w:rPr>
          <w:b/>
          <w:bCs/>
        </w:rPr>
        <w:t>*Alemania</w:t>
      </w:r>
      <w:r w:rsidRPr="00E81443">
        <w:t xml:space="preserve">: 10 euros por día de hospitalización (hasta un máximo). Al comprar medicamentos, la </w:t>
      </w:r>
      <w:r w:rsidR="00240237" w:rsidRPr="00E81443">
        <w:t>aportaciones</w:t>
      </w:r>
      <w:r w:rsidRPr="00E81443">
        <w:t xml:space="preserve"> del 10% del precio, con un mínimo de 5 euros y un máximo de 10. Para ir al médico o al especialista, realizan un pago único trimestral de 10 euros.</w:t>
      </w:r>
    </w:p>
    <w:p w:rsidR="006A5739" w:rsidRPr="00E81443" w:rsidRDefault="006A5739" w:rsidP="00550638">
      <w:pPr>
        <w:pStyle w:val="NormalWeb"/>
        <w:jc w:val="both"/>
      </w:pPr>
      <w:r w:rsidRPr="00E81443">
        <w:rPr>
          <w:b/>
          <w:bCs/>
        </w:rPr>
        <w:t>* Italia:</w:t>
      </w:r>
      <w:r w:rsidRPr="00E81443">
        <w:t xml:space="preserve"> 10 euros por consulta y 25 por urgencias leves</w:t>
      </w:r>
    </w:p>
    <w:p w:rsidR="006A5739" w:rsidRPr="00E81443" w:rsidRDefault="006A5739" w:rsidP="00550638">
      <w:pPr>
        <w:pStyle w:val="NormalWeb"/>
        <w:jc w:val="both"/>
      </w:pPr>
      <w:r w:rsidRPr="00E81443">
        <w:rPr>
          <w:b/>
          <w:bCs/>
        </w:rPr>
        <w:t>* Francia</w:t>
      </w:r>
      <w:r w:rsidRPr="00E81443">
        <w:t>: 14 euros por día de hospitalización. También deben abonar un euro por cada prueba o visita al especialista y 50 céntimos por las medicinas</w:t>
      </w:r>
    </w:p>
    <w:p w:rsidR="006A5739" w:rsidRPr="00E81443" w:rsidRDefault="006A5739" w:rsidP="00550638">
      <w:pPr>
        <w:pStyle w:val="NormalWeb"/>
        <w:jc w:val="both"/>
      </w:pPr>
      <w:r w:rsidRPr="00E81443">
        <w:t xml:space="preserve">* </w:t>
      </w:r>
      <w:r w:rsidRPr="00E81443">
        <w:rPr>
          <w:b/>
          <w:bCs/>
        </w:rPr>
        <w:t>Portugal</w:t>
      </w:r>
      <w:r w:rsidRPr="00E81443">
        <w:t>: 2,2 euros por consulta; entre 3 y 4,5 euros por cada visita al hospital; entre 3,7 y 9,4 euros por cada asistencia en urgencias; 5,2 euros por ingresos hospitalarios</w:t>
      </w:r>
    </w:p>
    <w:p w:rsidR="006A5739" w:rsidRPr="00E81443" w:rsidRDefault="006A5739" w:rsidP="00550638">
      <w:pPr>
        <w:pStyle w:val="NormalWeb"/>
        <w:jc w:val="both"/>
      </w:pPr>
      <w:r w:rsidRPr="00E81443">
        <w:t xml:space="preserve">* </w:t>
      </w:r>
      <w:r w:rsidRPr="00E81443">
        <w:rPr>
          <w:b/>
          <w:bCs/>
        </w:rPr>
        <w:t>Reino Unido</w:t>
      </w:r>
      <w:r w:rsidRPr="00E81443">
        <w:t>: 9,19 libras por medicamento prescrito</w:t>
      </w:r>
    </w:p>
    <w:p w:rsidR="006A5739" w:rsidRPr="00E81443" w:rsidRDefault="006A5739" w:rsidP="00550638">
      <w:pPr>
        <w:pStyle w:val="NormalWeb"/>
        <w:jc w:val="both"/>
      </w:pPr>
      <w:r w:rsidRPr="00E81443">
        <w:t xml:space="preserve">* </w:t>
      </w:r>
      <w:r w:rsidRPr="00E81443">
        <w:rPr>
          <w:b/>
          <w:bCs/>
        </w:rPr>
        <w:t>Austria</w:t>
      </w:r>
      <w:r w:rsidRPr="00E81443">
        <w:t>: 8 euros por día de hospitalización (hasta un máximo)</w:t>
      </w:r>
    </w:p>
    <w:p w:rsidR="006A5739" w:rsidRPr="00E81443" w:rsidRDefault="006A5739" w:rsidP="00550638">
      <w:pPr>
        <w:pStyle w:val="NormalWeb"/>
        <w:jc w:val="both"/>
      </w:pPr>
      <w:r w:rsidRPr="00E81443">
        <w:t xml:space="preserve">* </w:t>
      </w:r>
      <w:r w:rsidRPr="00E81443">
        <w:rPr>
          <w:b/>
          <w:bCs/>
        </w:rPr>
        <w:t>Luxemburgo</w:t>
      </w:r>
      <w:r w:rsidRPr="00E81443">
        <w:t>: 11,4 euros por día de hospitalización (hasta un máximo)</w:t>
      </w:r>
    </w:p>
    <w:p w:rsidR="006A5739" w:rsidRPr="00E81443" w:rsidRDefault="006A5739" w:rsidP="00550638">
      <w:pPr>
        <w:pStyle w:val="NormalWeb"/>
        <w:jc w:val="both"/>
      </w:pPr>
      <w:r w:rsidRPr="00E81443">
        <w:t xml:space="preserve">* </w:t>
      </w:r>
      <w:r w:rsidRPr="00E81443">
        <w:rPr>
          <w:b/>
          <w:bCs/>
        </w:rPr>
        <w:t>Suecia</w:t>
      </w:r>
      <w:r w:rsidRPr="00E81443">
        <w:t>: 8,9 euros por día de hospitalización (hasta un máximo)</w:t>
      </w:r>
    </w:p>
    <w:p w:rsidR="006A5739" w:rsidRPr="00E81443" w:rsidRDefault="006A5739" w:rsidP="00550638">
      <w:pPr>
        <w:pStyle w:val="NormalWeb"/>
        <w:jc w:val="both"/>
      </w:pPr>
      <w:r w:rsidRPr="00E81443">
        <w:t xml:space="preserve">* </w:t>
      </w:r>
      <w:r w:rsidRPr="00E81443">
        <w:rPr>
          <w:b/>
          <w:bCs/>
        </w:rPr>
        <w:t>Irlanda</w:t>
      </w:r>
      <w:r w:rsidRPr="00E81443">
        <w:t xml:space="preserve"> 55 euros por día de hospitalización (hasta un máximo)</w:t>
      </w:r>
    </w:p>
    <w:p w:rsidR="006A5739" w:rsidRPr="00E81443" w:rsidRDefault="006A5739" w:rsidP="00550638">
      <w:pPr>
        <w:pStyle w:val="NormalWeb"/>
        <w:jc w:val="both"/>
      </w:pPr>
      <w:r w:rsidRPr="00E81443">
        <w:t xml:space="preserve">* </w:t>
      </w:r>
      <w:r w:rsidRPr="00E81443">
        <w:rPr>
          <w:b/>
          <w:bCs/>
        </w:rPr>
        <w:t>Finlandia</w:t>
      </w:r>
      <w:r w:rsidRPr="00E81443">
        <w:t>: 26 euros por día de hospitalización (hasta un máximo)</w:t>
      </w:r>
    </w:p>
    <w:p w:rsidR="006A5739" w:rsidRPr="00E81443" w:rsidRDefault="006A5739" w:rsidP="00550638">
      <w:pPr>
        <w:pStyle w:val="NormalWeb"/>
        <w:jc w:val="both"/>
      </w:pPr>
      <w:r w:rsidRPr="00E81443">
        <w:t xml:space="preserve">* </w:t>
      </w:r>
      <w:r w:rsidRPr="00E81443">
        <w:rPr>
          <w:b/>
          <w:bCs/>
        </w:rPr>
        <w:t>Holanda</w:t>
      </w:r>
      <w:r w:rsidRPr="00E81443">
        <w:t>: porcentaje del salario del paciente (hasta un máximo)</w:t>
      </w:r>
    </w:p>
    <w:p w:rsidR="006A5739" w:rsidRDefault="006A5739" w:rsidP="00550638">
      <w:pPr>
        <w:pStyle w:val="NormalWeb"/>
        <w:jc w:val="both"/>
      </w:pPr>
      <w:r w:rsidRPr="00E81443">
        <w:t xml:space="preserve">* </w:t>
      </w:r>
      <w:r w:rsidRPr="00E81443">
        <w:rPr>
          <w:b/>
          <w:bCs/>
        </w:rPr>
        <w:t>Suiza</w:t>
      </w:r>
      <w:r w:rsidRPr="00E81443">
        <w:t>: 10% del coste de hospitalización más 6,8 euros por día de hospitalización</w:t>
      </w:r>
    </w:p>
    <w:p w:rsidR="00240237" w:rsidRPr="00626F28" w:rsidRDefault="00240237" w:rsidP="00550638">
      <w:pPr>
        <w:pStyle w:val="NormalWeb"/>
        <w:jc w:val="both"/>
        <w:rPr>
          <w:u w:val="single"/>
        </w:rPr>
      </w:pPr>
      <w:r w:rsidRPr="00626F28">
        <w:rPr>
          <w:u w:val="single"/>
        </w:rPr>
        <w:t>Técnicas inútiles de rehabilitación</w:t>
      </w:r>
      <w:r w:rsidR="00626F28" w:rsidRPr="00626F28">
        <w:rPr>
          <w:u w:val="single"/>
        </w:rPr>
        <w:t xml:space="preserve"> y otros derroches sanitarios (tomando nota)</w:t>
      </w:r>
    </w:p>
    <w:p w:rsidR="00ED5939" w:rsidRPr="00626F28" w:rsidRDefault="00626F28" w:rsidP="00550638">
      <w:pPr>
        <w:pStyle w:val="NormalWeb"/>
        <w:jc w:val="both"/>
      </w:pPr>
      <w:r>
        <w:rPr>
          <w:i/>
        </w:rPr>
        <w:t>“</w:t>
      </w:r>
      <w:r w:rsidR="00ED5939" w:rsidRPr="00626F28">
        <w:rPr>
          <w:i/>
        </w:rPr>
        <w:t>Si lo que sucede en Canarias es un síntoma, el sistema nacional de salud está gravemente enfermo. Y, lo que es peor, es un manirroto. Un estudio hecho solamente con el gasto en técnicas de rehabilitación para dolores de cuello, espalda y hombro arroja que entre 2007 y 2010 se derrocharon “por lo menos” tres millones de euros en tratamientos inútiles cuando no directamente perjudiciales</w:t>
      </w:r>
      <w:r>
        <w:rPr>
          <w:i/>
        </w:rPr>
        <w:t>”..</w:t>
      </w:r>
      <w:r w:rsidR="00ED5939" w:rsidRPr="00626F28">
        <w:rPr>
          <w:i/>
        </w:rPr>
        <w:t>.</w:t>
      </w:r>
      <w:r>
        <w:rPr>
          <w:i/>
        </w:rPr>
        <w:t xml:space="preserve"> </w:t>
      </w:r>
      <w:r w:rsidRPr="00A906F9">
        <w:rPr>
          <w:u w:val="single"/>
        </w:rPr>
        <w:t>El derroche en tratamientos inútiles sangra la sanidad pública</w:t>
      </w:r>
      <w:r>
        <w:t xml:space="preserve"> (El País - </w:t>
      </w:r>
      <w:r w:rsidRPr="00A906F9">
        <w:rPr>
          <w:b/>
        </w:rPr>
        <w:t>15/2/12</w:t>
      </w:r>
      <w:r>
        <w:t>)</w:t>
      </w:r>
    </w:p>
    <w:p w:rsidR="00ED5939" w:rsidRDefault="00ED5939" w:rsidP="00550638">
      <w:pPr>
        <w:pStyle w:val="NormalWeb"/>
        <w:jc w:val="both"/>
      </w:pPr>
      <w:r>
        <w:t>El trabajo, que ha sido financiado por entidades sin ánimo de lucro como la Agencia de Calidad del Sistema Nacional de Salud, el Instituto de Salud Carlos III, la Fundación Canaria de Investigación y Salud y la Fundación Kovacs (especializada en dolores de espalda), se ha centrado en Canarias, simplemente, porque tiene datos al respecto, han explicado el presidente de la Organización Médica Colegial (OMC), Juan José Rodríguez Sendín, y el de la Fundación Kovacs, Francisco Kovacs.</w:t>
      </w:r>
    </w:p>
    <w:p w:rsidR="00ED5939" w:rsidRDefault="00ED5939" w:rsidP="00550638">
      <w:pPr>
        <w:pStyle w:val="NormalWeb"/>
        <w:jc w:val="both"/>
      </w:pPr>
      <w:r>
        <w:lastRenderedPageBreak/>
        <w:t xml:space="preserve"> El cálculo es “muy conservador”, ha dicho Kovacs, ya que se ha centrado en lo que se puede medir: lo gastado en centros privados concertados que dan rehabilitación, y esto supone un 70% de lo que dedicó la comunidad. Además, los criterios con los que se revisaron las técnicas fueron muy generosos, ya que se tomó la opinión más favorable de todas las publicadas.</w:t>
      </w:r>
    </w:p>
    <w:p w:rsidR="00ED5939" w:rsidRDefault="00ED5939" w:rsidP="00550638">
      <w:pPr>
        <w:pStyle w:val="NormalWeb"/>
        <w:jc w:val="both"/>
      </w:pPr>
      <w:r>
        <w:t>Extrapolar estos datos de ineficiencia y de derroche es imposible, como recordó el presidente de la OMC. Solo en el caso de las mismas patologías, y teniendo en cuenta que las comunidades ofertan más o menos lo mismo, en el periodo estudiado el desembolso en técnicas inútiles superaría los 75 millones, calculó Kovacs. Para ello, tomó los tres millones del estudio y los multiplicó por 25, ya que aproximadamente uno de cada 25 españoles vive en Canarias.</w:t>
      </w:r>
    </w:p>
    <w:p w:rsidR="00ED5939" w:rsidRDefault="00ED5939" w:rsidP="00550638">
      <w:pPr>
        <w:pStyle w:val="NormalWeb"/>
        <w:jc w:val="both"/>
      </w:pPr>
      <w:r>
        <w:t>Pero lo importante del trabajo, como se encargaron de insistir los dos ponentes, no es el dato en sí, sino lo que representa. Y más en tiempos de crisis y de recortes. Precisamente ayer los colegios de médicos de toda España suscribieron un manifiesto en el que se comprometían a denunciar los malos usos, y este trabajo puede ser la primera piedra en ese camino. Por eso Kovacs y Sendín coincidieron en que antes de hablar de recortes indiscriminados o, más allá, de</w:t>
      </w:r>
      <w:r w:rsidR="00C41CD9">
        <w:t xml:space="preserve"> implantar una tasa por receta -</w:t>
      </w:r>
      <w:r>
        <w:t>como va a hacer Cataluña- habría que reevaluar lo que se está haciendo, ya que eliminar terapias inútiles podría ser el primer paso, y no supondría ningún tipo de merma de prestaciones. La Organización Mundial de la Salud calcula que el 30% de ellas son, en el mundo, inoperantes.</w:t>
      </w:r>
    </w:p>
    <w:p w:rsidR="00ED5939" w:rsidRDefault="00ED5939" w:rsidP="00550638">
      <w:pPr>
        <w:pStyle w:val="NormalWeb"/>
        <w:jc w:val="both"/>
      </w:pPr>
      <w:r>
        <w:t>A España no le faltan herramientas para ello. Aparte de la Agencia de Evaluación estatal, hay otras seis comunidades que tienen una, aparte de servicios en cada autonomía. Pero si en el caso de los nue</w:t>
      </w:r>
      <w:r w:rsidR="00626F28">
        <w:t>vos fármacos se exigen ensayos -</w:t>
      </w:r>
      <w:r>
        <w:t>lo que no evita que el 50% de las reacciones adversas se detecten cuando ya están en el mercado, dijo Kovacs-, en las tecnologías esto no es así en muchos casos.</w:t>
      </w:r>
    </w:p>
    <w:p w:rsidR="00ED5939" w:rsidRDefault="00ED5939" w:rsidP="00550638">
      <w:pPr>
        <w:pStyle w:val="NormalWeb"/>
        <w:jc w:val="both"/>
      </w:pPr>
      <w:r>
        <w:t xml:space="preserve">Y hay otro aspecto posterior: que las autoridades luego apliquen las recomendaciones de sus propios expertos. En el caso de este estudio, que ha sido publicado en BMC Musculoeskeletal Disorders, no hay constancia de que el Gobierno canario, que lo encargó, haya tomado medidas para dejar de financiar los tratamientos inútiles (Kovacs apuntó al cambio en el Ejecutivo de la comunidad como una posible causa). </w:t>
      </w:r>
    </w:p>
    <w:p w:rsidR="00ED5939" w:rsidRDefault="00ED5939" w:rsidP="00550638">
      <w:pPr>
        <w:pStyle w:val="NormalWeb"/>
        <w:jc w:val="both"/>
      </w:pPr>
      <w:r>
        <w:t xml:space="preserve">“El sistema para quitar lo obsoleto de las prestaciones está obturado”, denuncia Juan José Artells, experto en consultoría sanitaria que ahora trabaja en Cic Co. “El cúmulo de agencias regionales no ha tenido ningún efecto en el saneamiento del catálogo de prestaciones”, añade. El ministerio quiere reforzar su papel, e intentará que las agencias trabajen en red, según una portavoz. </w:t>
      </w:r>
    </w:p>
    <w:p w:rsidR="00ED5939" w:rsidRDefault="00ED5939" w:rsidP="00550638">
      <w:pPr>
        <w:pStyle w:val="NormalWeb"/>
        <w:jc w:val="both"/>
      </w:pPr>
      <w:r>
        <w:t>Mejorar la eficacia del sistema es también la clave de los datos que maneja la Federación de Asociaciones para la Defensa de la Sanidad Pública (FADSP). Esta afirma que solo con evitar el uso de medicamentos innecesarios se podían ahorrar 1.300 millones al año. A ellos se añadirían 950 millones por una adecuada utilización de las tecnologías sanitarias. La disminución de la hospitalización innecesaria aportaría 5.750 millones, y reducir en un 10% las visitas a urgencias supondría otros 650 millones.</w:t>
      </w:r>
    </w:p>
    <w:p w:rsidR="00ED5939" w:rsidRDefault="00ED5939" w:rsidP="00550638">
      <w:pPr>
        <w:pStyle w:val="NormalWeb"/>
        <w:jc w:val="both"/>
      </w:pPr>
      <w:r>
        <w:lastRenderedPageBreak/>
        <w:t xml:space="preserve"> En la línea de un mejor uso de los recursos, disminuir los efectos adversos durante la hospitalización, como las infecciones, podría aportar otros 975 millones. Junto con la prescripción por principio activo, estas medidas podrían suponer un ahorro de más de 13.000 millones (un 22% del gasto sanitario público, según los datos del Ministerio de Sanidad).</w:t>
      </w:r>
    </w:p>
    <w:p w:rsidR="00ED5939" w:rsidRDefault="00ED5939" w:rsidP="00550638">
      <w:pPr>
        <w:pStyle w:val="NormalWeb"/>
        <w:jc w:val="both"/>
      </w:pPr>
      <w:r>
        <w:t xml:space="preserve"> A otro nivel, el reciente estudio del ministerio sobre la inutilidad de muchas terapias alternativas, empezando por la homeopatía, no ha llevado a que se limite su uso. Aunque, eso sí, en la mayoría de los casos estas se aplican en la sanidad privada, y no en la pública, con la excepción de algunos tratamientos de acupuntura para los que parece que hay algunas evidencias.</w:t>
      </w:r>
    </w:p>
    <w:p w:rsidR="00626F28" w:rsidRPr="00626F28" w:rsidRDefault="00626F28" w:rsidP="00550638">
      <w:pPr>
        <w:pStyle w:val="NormalWeb"/>
        <w:jc w:val="both"/>
        <w:rPr>
          <w:u w:val="single"/>
        </w:rPr>
      </w:pPr>
      <w:r w:rsidRPr="00626F28">
        <w:rPr>
          <w:u w:val="single"/>
        </w:rPr>
        <w:t>Una “guardería”</w:t>
      </w:r>
      <w:r>
        <w:rPr>
          <w:u w:val="single"/>
        </w:rPr>
        <w:t xml:space="preserve"> gratis</w:t>
      </w:r>
      <w:r w:rsidRPr="00626F28">
        <w:rPr>
          <w:u w:val="single"/>
        </w:rPr>
        <w:t xml:space="preserve"> llamada “sala de espera”</w:t>
      </w:r>
      <w:r>
        <w:rPr>
          <w:u w:val="single"/>
        </w:rPr>
        <w:t xml:space="preserve"> (</w:t>
      </w:r>
      <w:r w:rsidR="002263F9">
        <w:rPr>
          <w:u w:val="single"/>
        </w:rPr>
        <w:t>hiperfrecuencia e hipermedicación</w:t>
      </w:r>
      <w:r>
        <w:rPr>
          <w:u w:val="single"/>
        </w:rPr>
        <w:t xml:space="preserve">) </w:t>
      </w:r>
      <w:r w:rsidRPr="00626F28">
        <w:rPr>
          <w:u w:val="single"/>
        </w:rPr>
        <w:t xml:space="preserve"> </w:t>
      </w:r>
    </w:p>
    <w:p w:rsidR="00736D17" w:rsidRPr="00626F28" w:rsidRDefault="00626F28" w:rsidP="00550638">
      <w:pPr>
        <w:pStyle w:val="NormalWeb"/>
        <w:jc w:val="both"/>
        <w:rPr>
          <w:i/>
        </w:rPr>
      </w:pPr>
      <w:r>
        <w:rPr>
          <w:i/>
        </w:rPr>
        <w:t>“</w:t>
      </w:r>
      <w:r w:rsidR="00ED5939" w:rsidRPr="00626F28">
        <w:rPr>
          <w:i/>
        </w:rPr>
        <w:t xml:space="preserve">La Sanidad española está muy lejos de seguir el principio médico de </w:t>
      </w:r>
      <w:r w:rsidR="00ED5939" w:rsidRPr="00626F28">
        <w:rPr>
          <w:i/>
          <w:iCs/>
        </w:rPr>
        <w:t>primum non nocere</w:t>
      </w:r>
      <w:r w:rsidR="00ED5939" w:rsidRPr="00626F28">
        <w:rPr>
          <w:i/>
        </w:rPr>
        <w:t>: lo primero es no hacer daño. Al contrario. Cuantos más medicamentos se prescriban y cuantas más pruebas, tratamientos e intervenciones se someta al paciente, mejor. Ésta parece ser la regla en el Sistema Nacional de Salud</w:t>
      </w:r>
      <w:r>
        <w:rPr>
          <w:i/>
        </w:rPr>
        <w:t>”..</w:t>
      </w:r>
      <w:r w:rsidR="00ED5939" w:rsidRPr="00626F28">
        <w:rPr>
          <w:i/>
        </w:rPr>
        <w:t>.</w:t>
      </w:r>
      <w:r>
        <w:rPr>
          <w:i/>
        </w:rPr>
        <w:t xml:space="preserve"> </w:t>
      </w:r>
      <w:r w:rsidR="00736D17" w:rsidRPr="00B26E16">
        <w:rPr>
          <w:u w:val="single"/>
        </w:rPr>
        <w:t>Los españoles son líderes europeos en visitas al médico y segundos en número de recetas</w:t>
      </w:r>
      <w:r w:rsidR="00736D17">
        <w:t xml:space="preserve"> (El Economista - </w:t>
      </w:r>
      <w:r w:rsidR="00736D17" w:rsidRPr="00B26E16">
        <w:rPr>
          <w:b/>
        </w:rPr>
        <w:t>20/2/12</w:t>
      </w:r>
      <w:r w:rsidR="00736D17">
        <w:t>)</w:t>
      </w:r>
    </w:p>
    <w:p w:rsidR="00ED5939" w:rsidRPr="00626F28" w:rsidRDefault="00ED5939" w:rsidP="00550638">
      <w:pPr>
        <w:pStyle w:val="NormalWeb"/>
        <w:jc w:val="both"/>
      </w:pPr>
      <w:r w:rsidRPr="00626F28">
        <w:rPr>
          <w:bCs/>
        </w:rPr>
        <w:t>Con 20,7 recetas por habitante y año, los españoles son los europeos más medicados del mundo</w:t>
      </w:r>
      <w:r w:rsidRPr="00626F28">
        <w:t>, tras los franceses, y ocupan el segundo puesto europeo en volumen de fármacos consumidos de los ocho principales grupos terapéuticos de medicamentos. También son los que más veces visitan la consulta del médico de familia, con una media de 7,5 veces al año, muy por encim</w:t>
      </w:r>
      <w:r w:rsidR="00626F28">
        <w:t>a de la europea, según la OCDE.</w:t>
      </w:r>
    </w:p>
    <w:p w:rsidR="00ED5939" w:rsidRPr="00626F28" w:rsidRDefault="00ED5939" w:rsidP="00550638">
      <w:pPr>
        <w:pStyle w:val="NormalWeb"/>
        <w:jc w:val="both"/>
      </w:pPr>
      <w:r w:rsidRPr="00626F28">
        <w:t xml:space="preserve">Esta hiperfrecuentación también se aprecia en los Servicios de Urgencias hospitalarios, donde se ha producido </w:t>
      </w:r>
      <w:r w:rsidR="00626F28">
        <w:t>en la última década un “incremento desmesurado”</w:t>
      </w:r>
      <w:r w:rsidRPr="00626F28">
        <w:t>, según un estudio presentado por Pfizer, que indica un alza del 26,5% de visitas, frente al aumento poblacional de sólo el 14,1% y sin que se traduzca en un mayor número de ingresos hospitalarios.</w:t>
      </w:r>
    </w:p>
    <w:p w:rsidR="00ED5939" w:rsidRDefault="00ED5939" w:rsidP="00550638">
      <w:pPr>
        <w:pStyle w:val="NormalWeb"/>
        <w:jc w:val="both"/>
      </w:pPr>
      <w:r w:rsidRPr="00626F28">
        <w:t xml:space="preserve">Incluso los propios ciudadanos reconocen en el barómetro fiscal del Instituto de Estudios Fiscales que se hace un mal uso de la sanidad, por encima de cualquier otra prestación pública. </w:t>
      </w:r>
      <w:r w:rsidRPr="00626F28">
        <w:rPr>
          <w:bCs/>
        </w:rPr>
        <w:t>El 43,5% opina que se abusa del sistema de prestaciones.</w:t>
      </w:r>
      <w:r w:rsidRPr="00626F28">
        <w:t xml:space="preserve"> Y es que una de cada tres visitas al médico de familia podría ser innecesaria, al igual que entre un 30 y un 80% de las visitas a Urgencias podrían serlo, según un estudio de Fedea.</w:t>
      </w:r>
    </w:p>
    <w:p w:rsidR="0087750F" w:rsidRPr="00736D17" w:rsidRDefault="0087750F" w:rsidP="0087750F">
      <w:pPr>
        <w:pStyle w:val="NormalWeb"/>
        <w:jc w:val="both"/>
      </w:pPr>
      <w:r w:rsidRPr="00B26E16">
        <w:t xml:space="preserve">Además de ser un pozo sin fondo, la medicina que se practica en España tiene también muchos efectos secundarios. La Comunidad Valenciana ha puesto en marcha un </w:t>
      </w:r>
      <w:r w:rsidRPr="00736D17">
        <w:t xml:space="preserve">novedoso programa de alertas sanitarias para controlar los historiales de cerca de un millón de pacientes polimedicados, que reciben entre cuatro y siete tratamientos. En el piloto realizado en Elche para revisar los medicamentos usados para tratar la osteoporosis se ha detectado que </w:t>
      </w:r>
      <w:r w:rsidRPr="00736D17">
        <w:rPr>
          <w:bCs/>
        </w:rPr>
        <w:t>el 80% de los tratamientos era inapropiado y se aconsejaba interrumpirlo</w:t>
      </w:r>
      <w:r w:rsidRPr="00736D17">
        <w:t>. El potencial de ahorro de esta revisión automatizada de historiales es de 14 millones de euros sólo en este grupo de fármacos y para la Comunidad Valenciana, según explica a este diario el director general de Farmacia, José Clérigues.</w:t>
      </w:r>
    </w:p>
    <w:p w:rsidR="0087750F" w:rsidRPr="00626F28" w:rsidRDefault="0087750F" w:rsidP="00550638">
      <w:pPr>
        <w:pStyle w:val="NormalWeb"/>
        <w:jc w:val="both"/>
      </w:pPr>
    </w:p>
    <w:p w:rsidR="00736D17" w:rsidRDefault="00ED5939" w:rsidP="00550638">
      <w:pPr>
        <w:pStyle w:val="NormalWeb"/>
        <w:jc w:val="both"/>
      </w:pPr>
      <w:r>
        <w:rPr>
          <w:noProof/>
        </w:rPr>
        <w:drawing>
          <wp:inline distT="0" distB="0" distL="0" distR="0" wp14:anchorId="40B10EA3" wp14:editId="638B6452">
            <wp:extent cx="5998210" cy="5135245"/>
            <wp:effectExtent l="0" t="0" r="2540" b="8255"/>
            <wp:docPr id="16" name="Imagen 16" descr="medico-espano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edico-espanoles"/>
                    <pic:cNvPicPr>
                      <a:picLocks noChangeAspect="1" noChangeArrowheads="1"/>
                    </pic:cNvPicPr>
                  </pic:nvPicPr>
                  <pic:blipFill>
                    <a:blip r:embed="rId379">
                      <a:extLst>
                        <a:ext uri="{28A0092B-C50C-407E-A947-70E740481C1C}">
                          <a14:useLocalDpi xmlns:a14="http://schemas.microsoft.com/office/drawing/2010/main" val="0"/>
                        </a:ext>
                      </a:extLst>
                    </a:blip>
                    <a:srcRect/>
                    <a:stretch>
                      <a:fillRect/>
                    </a:stretch>
                  </pic:blipFill>
                  <pic:spPr bwMode="auto">
                    <a:xfrm>
                      <a:off x="0" y="0"/>
                      <a:ext cx="5998210" cy="5135245"/>
                    </a:xfrm>
                    <a:prstGeom prst="rect">
                      <a:avLst/>
                    </a:prstGeom>
                    <a:noFill/>
                    <a:ln>
                      <a:noFill/>
                    </a:ln>
                  </pic:spPr>
                </pic:pic>
              </a:graphicData>
            </a:graphic>
          </wp:inline>
        </w:drawing>
      </w:r>
    </w:p>
    <w:p w:rsidR="00ED5939" w:rsidRPr="00736D17" w:rsidRDefault="00ED5939" w:rsidP="00550638">
      <w:pPr>
        <w:pStyle w:val="NormalWeb"/>
        <w:jc w:val="both"/>
      </w:pPr>
      <w:r w:rsidRPr="00736D17">
        <w:t xml:space="preserve">Es sólo una muestra más del descontrol y despilfarro en la partida de gasto farmacéutico que absorbe el 30% de los presupuestos autonómicos en salud de 2012 y que en la Comunidad Valenciana alcanza el 36% de su cuenta en salud. Regiones como Madrid también han denunciado que </w:t>
      </w:r>
      <w:r w:rsidRPr="00736D17">
        <w:rPr>
          <w:bCs/>
        </w:rPr>
        <w:t>cada año se tiran al sistema de recogida de envases (Sigre) fármacos por valor de 53 millones, la mitad sin abrir</w:t>
      </w:r>
      <w:r w:rsidRPr="00736D17">
        <w:t>, según datos de la Subdirección de Productos Sanitarios madrileña.</w:t>
      </w:r>
    </w:p>
    <w:p w:rsidR="00ED5939" w:rsidRPr="00736D17" w:rsidRDefault="00ED5939" w:rsidP="00550638">
      <w:pPr>
        <w:pStyle w:val="Ttulo2"/>
        <w:spacing w:line="240" w:lineRule="auto"/>
        <w:jc w:val="both"/>
        <w:rPr>
          <w:rFonts w:ascii="Times New Roman" w:hAnsi="Times New Roman" w:cs="Times New Roman"/>
          <w:b w:val="0"/>
          <w:color w:val="auto"/>
          <w:sz w:val="24"/>
          <w:szCs w:val="24"/>
        </w:rPr>
      </w:pPr>
      <w:r w:rsidRPr="00736D17">
        <w:rPr>
          <w:rFonts w:ascii="Times New Roman" w:hAnsi="Times New Roman" w:cs="Times New Roman"/>
          <w:b w:val="0"/>
          <w:color w:val="auto"/>
          <w:sz w:val="24"/>
          <w:szCs w:val="24"/>
        </w:rPr>
        <w:t>Tecnologías inútiles</w:t>
      </w:r>
    </w:p>
    <w:p w:rsidR="00ED5939" w:rsidRPr="00736D17" w:rsidRDefault="00ED5939" w:rsidP="00550638">
      <w:pPr>
        <w:pStyle w:val="NormalWeb"/>
        <w:jc w:val="both"/>
      </w:pPr>
      <w:r w:rsidRPr="00736D17">
        <w:t xml:space="preserve">Las ineficiencias no son patrimonio exclusivo del capítulo farmacéutico. Simplemente es la partida en que más se observan. El doctor Francisco M. Kovacs, presidente de la Fundación Kovacs, especializada en dolores de espalda, ha asegurado que cada año </w:t>
      </w:r>
      <w:r w:rsidRPr="00736D17">
        <w:rPr>
          <w:bCs/>
        </w:rPr>
        <w:t>en España se realizan 97</w:t>
      </w:r>
      <w:r w:rsidR="00736D17">
        <w:rPr>
          <w:bCs/>
        </w:rPr>
        <w:t>0.000 resonancias magnéticas y “</w:t>
      </w:r>
      <w:r w:rsidRPr="00736D17">
        <w:rPr>
          <w:bCs/>
        </w:rPr>
        <w:t>dos tercios se consideran inútiles y contraproducentes</w:t>
      </w:r>
      <w:r w:rsidR="00736D17">
        <w:t>”</w:t>
      </w:r>
      <w:r w:rsidRPr="00736D17">
        <w:t>.</w:t>
      </w:r>
    </w:p>
    <w:p w:rsidR="00ED5939" w:rsidRPr="00736D17" w:rsidRDefault="00ED5939" w:rsidP="00550638">
      <w:pPr>
        <w:pStyle w:val="NormalWeb"/>
        <w:jc w:val="both"/>
      </w:pPr>
      <w:r w:rsidRPr="00736D17">
        <w:t xml:space="preserve">No es el único caso detectado de mal uso de algunas tecnologías sanitarias o de inversiones en equipos o técnicas ineficaces. Canarias se gasta cada año 3 millones de </w:t>
      </w:r>
      <w:r w:rsidRPr="00736D17">
        <w:lastRenderedPageBreak/>
        <w:t>euros en</w:t>
      </w:r>
      <w:r w:rsidR="00736D17">
        <w:t xml:space="preserve"> tecnologías de rehabilitación “</w:t>
      </w:r>
      <w:r w:rsidRPr="00736D17">
        <w:t>demostradamente inútiles para el tratamiento del dolor de cuello y l</w:t>
      </w:r>
      <w:r w:rsidR="00736D17">
        <w:t>umbar”</w:t>
      </w:r>
      <w:r w:rsidRPr="00736D17">
        <w:t>, según el doctor Kovacs.</w:t>
      </w:r>
    </w:p>
    <w:p w:rsidR="00ED5939" w:rsidRPr="00736D17" w:rsidRDefault="00ED5939" w:rsidP="00550638">
      <w:pPr>
        <w:pStyle w:val="NormalWeb"/>
        <w:jc w:val="both"/>
      </w:pPr>
      <w:r w:rsidRPr="00736D17">
        <w:t>La Organización Médica Colegial y la Fundación Kovacs presentaron días atrás el primer estudio español que cuantifica en 70 millones de euros el gasto público en técnicas rehabilitadoras de dolencias de espalda, cuello y hombro que carecen de fundamento científico.</w:t>
      </w:r>
    </w:p>
    <w:p w:rsidR="00ED5939" w:rsidRDefault="00ED5939" w:rsidP="00550638">
      <w:pPr>
        <w:pStyle w:val="NormalWeb"/>
        <w:jc w:val="both"/>
      </w:pPr>
      <w:r w:rsidRPr="00736D17">
        <w:rPr>
          <w:bCs/>
        </w:rPr>
        <w:t>Los expertos abogan por desinvertir en sanidad</w:t>
      </w:r>
      <w:r w:rsidRPr="00736D17">
        <w:t>. El profesor de la Universidad Pomp</w:t>
      </w:r>
      <w:r w:rsidR="00736D17">
        <w:t>eu Fabra Jaume Puig-Junoy pide “</w:t>
      </w:r>
      <w:r w:rsidRPr="00736D17">
        <w:t>eliminar práctica médica, medicamentos o tecnologías para los que existe evidencia científica de que aportan poc</w:t>
      </w:r>
      <w:r w:rsidR="00736D17">
        <w:t>o o ningún beneficio a la salud”</w:t>
      </w:r>
      <w:r w:rsidRPr="00736D17">
        <w:t>.</w:t>
      </w:r>
    </w:p>
    <w:p w:rsidR="00736D17" w:rsidRPr="00736D17" w:rsidRDefault="00736D17" w:rsidP="00550638">
      <w:pPr>
        <w:pStyle w:val="NormalWeb"/>
        <w:jc w:val="both"/>
        <w:rPr>
          <w:u w:val="single"/>
        </w:rPr>
      </w:pPr>
      <w:r w:rsidRPr="00736D17">
        <w:rPr>
          <w:u w:val="single"/>
        </w:rPr>
        <w:t>Propuestas extremas: que por privatizar no sea (algunos liberales no tienen límit</w:t>
      </w:r>
      <w:r>
        <w:rPr>
          <w:u w:val="single"/>
        </w:rPr>
        <w:t>e</w:t>
      </w:r>
      <w:r w:rsidRPr="00736D17">
        <w:rPr>
          <w:u w:val="single"/>
        </w:rPr>
        <w:t xml:space="preserve">) </w:t>
      </w:r>
    </w:p>
    <w:p w:rsidR="00ED5939" w:rsidRDefault="00ED5939" w:rsidP="00550638">
      <w:pPr>
        <w:pStyle w:val="centro-texto-notis"/>
        <w:jc w:val="both"/>
      </w:pPr>
      <w:r>
        <w:t xml:space="preserve">- </w:t>
      </w:r>
      <w:r w:rsidRPr="00D14EF7">
        <w:rPr>
          <w:u w:val="single"/>
        </w:rPr>
        <w:t>El copago es sólo un parche</w:t>
      </w:r>
      <w:r>
        <w:t xml:space="preserve"> (Libertad Digital - </w:t>
      </w:r>
      <w:r w:rsidRPr="00D14EF7">
        <w:rPr>
          <w:b/>
        </w:rPr>
        <w:t>19/3/12</w:t>
      </w:r>
      <w:r>
        <w:t>)</w:t>
      </w:r>
      <w:r w:rsidR="002263F9">
        <w:t xml:space="preserve">               Lectura recomendada</w:t>
      </w:r>
    </w:p>
    <w:p w:rsidR="00ED5939" w:rsidRDefault="00ED5939" w:rsidP="00550638">
      <w:pPr>
        <w:pStyle w:val="centro-texto-notis"/>
        <w:jc w:val="both"/>
      </w:pPr>
      <w:r>
        <w:t>(Por Manuel Llamas)</w:t>
      </w:r>
    </w:p>
    <w:p w:rsidR="00ED5939" w:rsidRPr="00F46723" w:rsidRDefault="00ED5939" w:rsidP="00550638">
      <w:pPr>
        <w:pStyle w:val="centro-texto-notis"/>
        <w:jc w:val="both"/>
        <w:rPr>
          <w:color w:val="FF0000"/>
          <w:u w:val="single"/>
        </w:rPr>
      </w:pPr>
      <w:r w:rsidRPr="00F46723">
        <w:rPr>
          <w:color w:val="FF0000"/>
          <w:u w:val="single"/>
        </w:rPr>
        <w:t xml:space="preserve">La solución es privatizar al 100% la sanidad, la educación y las pensiones, y que el Estado asista a las rentas más desfavorecidas financiándoles, directamente, el coste de dichos servicios </w:t>
      </w:r>
    </w:p>
    <w:p w:rsidR="00ED5939" w:rsidRPr="00F46723" w:rsidRDefault="00ED5939" w:rsidP="00550638">
      <w:pPr>
        <w:pStyle w:val="centro-texto-notis"/>
        <w:jc w:val="both"/>
        <w:rPr>
          <w:color w:val="FF0000"/>
          <w:u w:val="single"/>
        </w:rPr>
      </w:pPr>
      <w:r w:rsidRPr="00F46723">
        <w:rPr>
          <w:u w:val="single"/>
        </w:rPr>
        <w:t>El copago ya está aquí.</w:t>
      </w:r>
      <w:r>
        <w:t xml:space="preserve"> La verdad es que era cuestión de tiempo. Rajoy aseveró durante la campaña electoral que su gobierno garantizaría el llamado Estado del Bienestar, pues éste era intocable para el Partido Popular. Sin embargo, </w:t>
      </w:r>
      <w:r w:rsidRPr="00F46723">
        <w:rPr>
          <w:u w:val="single"/>
        </w:rPr>
        <w:t>la realidad de los hechos, como siempre, se ha acabado imponiendo. El Estado del Bienestar español es insostenible financieramente</w:t>
      </w:r>
      <w:r>
        <w:t xml:space="preserve">. </w:t>
      </w:r>
      <w:r w:rsidRPr="00F46723">
        <w:rPr>
          <w:color w:val="FF0000"/>
          <w:u w:val="single"/>
        </w:rPr>
        <w:t>Durante los últimos diez años, la provisión de servicios públicos creció de forma sustancial al calor de la burbuja crediticia, gracias a unos ingresos artificialmente inflados que los políticos creyeron permanentes e indefinidos. La crisis ha destapado el inmenso error cometido. Ahora no hay dinero suficiente para sufragar un sistema en el que parte del gasto estructural se sostenía sobre unos ingresos coyunturales que ya no existen y, además, no volverán. La reforma de los servicios públicos es, pues, inevitable y urgente. La cuestión es cómo afrontarla.</w:t>
      </w:r>
    </w:p>
    <w:p w:rsidR="00ED5939" w:rsidRDefault="00ED5939" w:rsidP="00550638">
      <w:pPr>
        <w:pStyle w:val="centro-texto-notis"/>
        <w:jc w:val="both"/>
      </w:pPr>
      <w:r>
        <w:t>Los excesos cometidos en esta materia han sido de gran calado a todos los niveles de la administración. La Ley de Dependencia, el cheque-bebé, la renta básica de emancipación o la subida permanente de las pensiones no contr</w:t>
      </w:r>
      <w:r w:rsidR="00736D17">
        <w:t>ibutivas fueron algunos de los “derechos sociales”</w:t>
      </w:r>
      <w:r>
        <w:t xml:space="preserve"> inventados por Zapatero en pleno auge económico; las comunidades autónomas, por su parte, </w:t>
      </w:r>
      <w:r w:rsidR="00736D17">
        <w:t>acrecentaron, año tras año, el “gasto social”</w:t>
      </w:r>
      <w:r>
        <w:t xml:space="preserve"> destinado a educación y sanidad: los ayuntamientos no se quedaron atrás y también reforzaron su amplio listado de servicios públicos. Y ello, sin contar la megalomanía que surgió por doquier, a base de infraestructuras faraónicas -AVE, aeropuertos, grandes autovías, tranvías, pabellones deportivos, ciudades de la cultura...- que o bien no son rentables, en el mejor de los casos, o han quedado desiertos. </w:t>
      </w:r>
      <w:r w:rsidRPr="00F46723">
        <w:rPr>
          <w:u w:val="single"/>
        </w:rPr>
        <w:t>El boom económico fue una época de grandes excesos y despilfarros públicos, el sueño de todo político: gastar a manos llenas, sin importar en qué, para satisfacer a sus votantes</w:t>
      </w:r>
      <w:r>
        <w:t xml:space="preserve"> y, </w:t>
      </w:r>
      <w:r w:rsidR="00736D17">
        <w:t>aun</w:t>
      </w:r>
      <w:r>
        <w:t xml:space="preserve"> así, registrar incluso superávit presupuestario.</w:t>
      </w:r>
    </w:p>
    <w:p w:rsidR="00ED5939" w:rsidRDefault="00ED5939" w:rsidP="00550638">
      <w:pPr>
        <w:pStyle w:val="centro-texto-notis"/>
        <w:jc w:val="both"/>
      </w:pPr>
      <w:r w:rsidRPr="00F46723">
        <w:rPr>
          <w:u w:val="single"/>
        </w:rPr>
        <w:lastRenderedPageBreak/>
        <w:t>Pero la época de las vacas gordas hace tiempo que terminó y, aunque algunos han tardado en darse cuenta, es hora de pagar la factura.</w:t>
      </w:r>
      <w:r>
        <w:t xml:space="preserve"> </w:t>
      </w:r>
      <w:r w:rsidRPr="00F46723">
        <w:rPr>
          <w:u w:val="single"/>
        </w:rPr>
        <w:t>De ahí, precisamente, que haya surgido el debate sobre implantar el copago en determinados servicios básicos. La atención en estos momentos se centra en la sanidad, y más concretamente en las recetas farmacéuticas, pero esto es sólo el comienzo.</w:t>
      </w:r>
      <w:r>
        <w:t xml:space="preserve"> </w:t>
      </w:r>
      <w:r w:rsidRPr="00F46723">
        <w:rPr>
          <w:u w:val="single"/>
        </w:rPr>
        <w:t>Y es que, muy posiblemente, se acabará extendiendo a las urgencias, las consultas médicas, determinadas intervenciones e, incluso, la hospitalización, tal y como sucede en otros países</w:t>
      </w:r>
      <w:r>
        <w:t>. La educación pública tampoco está exenta de una evolución similar mediante el aumento de tasas y precios públicos, al igual que la gestión de carreteras e infraestructuras (peajes). De hecho, las pensiones públicas están condenadas a experimentar otra reforma, consistente en elevar de nuevo la edad de jubilación y reducir las prestaciones futuras.</w:t>
      </w:r>
    </w:p>
    <w:p w:rsidR="00ED5939" w:rsidRDefault="00ED5939" w:rsidP="00550638">
      <w:pPr>
        <w:pStyle w:val="centro-texto-notis"/>
        <w:jc w:val="both"/>
      </w:pPr>
      <w:r w:rsidRPr="00F46723">
        <w:rPr>
          <w:u w:val="single"/>
        </w:rPr>
        <w:t>Y es que el Gobierno se verá abocado a buscar nuevas vías para sostener el Estado del Bienestar</w:t>
      </w:r>
      <w:r>
        <w:t xml:space="preserve">. Para ello, </w:t>
      </w:r>
      <w:r w:rsidRPr="00F46723">
        <w:rPr>
          <w:u w:val="single"/>
        </w:rPr>
        <w:t>algunos (como PSOE o IU) apuestan por subir aún más los impuestos</w:t>
      </w:r>
      <w:r>
        <w:t xml:space="preserve"> mientras que </w:t>
      </w:r>
      <w:r w:rsidRPr="00F46723">
        <w:rPr>
          <w:u w:val="single"/>
        </w:rPr>
        <w:t>otros (PP) combinarán subidas fiscal</w:t>
      </w:r>
      <w:r w:rsidR="00736D17">
        <w:rPr>
          <w:u w:val="single"/>
        </w:rPr>
        <w:t>es con fórmulas de copago para “</w:t>
      </w:r>
      <w:r w:rsidRPr="00F46723">
        <w:rPr>
          <w:u w:val="single"/>
        </w:rPr>
        <w:t>rac</w:t>
      </w:r>
      <w:r w:rsidR="00736D17">
        <w:rPr>
          <w:u w:val="single"/>
        </w:rPr>
        <w:t>ionalizar”</w:t>
      </w:r>
      <w:r w:rsidRPr="00F46723">
        <w:rPr>
          <w:u w:val="single"/>
        </w:rPr>
        <w:t xml:space="preserve"> el gasto público, desincentivando el uso excesivo de ciertos servicios</w:t>
      </w:r>
      <w:r>
        <w:t xml:space="preserve">. </w:t>
      </w:r>
      <w:r w:rsidRPr="00F46723">
        <w:rPr>
          <w:color w:val="FF0000"/>
          <w:u w:val="single"/>
        </w:rPr>
        <w:t>El problema es que ambos están equivocados</w:t>
      </w:r>
      <w:r>
        <w:t xml:space="preserve">, ya que tales medidas tan sólo son parches temporales para contener la hemorragia. </w:t>
      </w:r>
    </w:p>
    <w:p w:rsidR="00ED5939" w:rsidRDefault="00ED5939" w:rsidP="00550638">
      <w:pPr>
        <w:pStyle w:val="centro-texto-notis"/>
        <w:jc w:val="both"/>
      </w:pPr>
      <w:r>
        <w:t xml:space="preserve">Así, por ejemplo, no es la primera vez que sanidad y pensiones sufren ajustes de similar naturaleza: no hace mucho, la sanidad pública se financiaba con las cotizaciones sociales (Seguridad Social), pero desde 1999 se paga vía presupuestos (impuestos); en el caso de las pensiones, su cálculo ha variado en múltiples ocasiones, siempre en detrimento del beneficiario. Hoy, tras la última reforma, el importe se estima sobre los últimos 25 años cotizados y la edad de jubilación asciende a los 67 años, pero desde hace tiempo se trabaja en extender el período de cálculo a toda la vida laboral al tiempo que se eleva la edad legal a los 70. </w:t>
      </w:r>
    </w:p>
    <w:p w:rsidR="00ED5939" w:rsidRPr="00F46723" w:rsidRDefault="00ED5939" w:rsidP="00550638">
      <w:pPr>
        <w:pStyle w:val="centro-texto-notis"/>
        <w:jc w:val="both"/>
        <w:rPr>
          <w:color w:val="FF0000"/>
          <w:u w:val="single"/>
        </w:rPr>
      </w:pPr>
      <w:r>
        <w:t xml:space="preserve">Es decir, el Estado del Bienestar ha estado sometido a continuos cambios y modificaciones, puesto que su insostenibilidad es, simplemente, estructural. El problema clave, sin embargo, estriba en ámbitos muy distintos. Y es que </w:t>
      </w:r>
      <w:r w:rsidRPr="00F46723">
        <w:rPr>
          <w:u w:val="single"/>
        </w:rPr>
        <w:t>la pregunta no consiste en cómo mantener el actual sistema sino en cómo sustituirlo por uno más eficiente y ventajoso para todo el mundo</w:t>
      </w:r>
      <w:r>
        <w:t xml:space="preserve">. </w:t>
      </w:r>
      <w:r w:rsidRPr="00F46723">
        <w:rPr>
          <w:color w:val="FF0000"/>
          <w:u w:val="single"/>
        </w:rPr>
        <w:t>El Estado del Bienestar es una fórmula de expropiación similar al comunista, sólo que mucho más limitada y de perfil más bajo. No en vano consiste, por definición, en que el Gobierno se encargue de la provisión de determinad</w:t>
      </w:r>
      <w:r w:rsidR="00736D17">
        <w:rPr>
          <w:color w:val="FF0000"/>
          <w:u w:val="single"/>
        </w:rPr>
        <w:t>os servicios, calificados como “públicos” o “básicos”</w:t>
      </w:r>
      <w:r w:rsidRPr="00F46723">
        <w:rPr>
          <w:color w:val="FF0000"/>
          <w:u w:val="single"/>
        </w:rPr>
        <w:t>, que, sin embargo, ya son ofertados por la iniciativa privada de una forma mucho más eficiente.</w:t>
      </w:r>
    </w:p>
    <w:p w:rsidR="00ED5939" w:rsidRPr="00F46723" w:rsidRDefault="00ED5939" w:rsidP="00550638">
      <w:pPr>
        <w:pStyle w:val="centro-texto-notis"/>
        <w:jc w:val="both"/>
        <w:rPr>
          <w:u w:val="single"/>
        </w:rPr>
      </w:pPr>
      <w:r w:rsidRPr="00F46723">
        <w:rPr>
          <w:u w:val="single"/>
        </w:rPr>
        <w:t>El Estado expropia de forma coactiva una parte muy sustancial de la renta del contribuyente para sufragar tales gastos y, si bien no impide la competencia de las empresas privadas, en el fondo ejerce un monopolio de facto tanto en el ámbito de la demanda como en el de la oferta: el contribuyente paga aunque no use el servicio y tanto la sanidad como la educación pública copan de una u otra forma el mercado existente, dejando escaso margen al resto de oferentes.</w:t>
      </w:r>
    </w:p>
    <w:p w:rsidR="00ED5939" w:rsidRDefault="00ED5939" w:rsidP="00550638">
      <w:pPr>
        <w:pStyle w:val="centro-texto-notis"/>
        <w:jc w:val="both"/>
      </w:pPr>
      <w:r w:rsidRPr="00F46723">
        <w:rPr>
          <w:color w:val="FF0000"/>
          <w:u w:val="single"/>
        </w:rPr>
        <w:t>El auténtico cambio radica, pues, en eliminar el actual sistema público, permitiendo la libre competencia entre agentes y un mercado totalmente libre en el campo de la sanidad, la educación y las pensiones</w:t>
      </w:r>
      <w:r>
        <w:t xml:space="preserve">. Si el consenso político y social radica en que el Estado debe ejercer una función asistencial, el hecho de que provea en régimen de monopolio estos servicios no es sólo contradictorio sino enormemente </w:t>
      </w:r>
      <w:r>
        <w:lastRenderedPageBreak/>
        <w:t xml:space="preserve">contraproducente. Así pues, </w:t>
      </w:r>
      <w:r w:rsidRPr="00F46723">
        <w:rPr>
          <w:color w:val="FF0000"/>
          <w:u w:val="single"/>
        </w:rPr>
        <w:t>la solución es otra: privatizar al 100% la sanidad, la educación y las pensiones, entre otras prestaciones, y que el Estado asista a las rentas más desfavorecidas financiándoles, directamente, el coste de dichos servicios mediante cheques u otras fórmulas análogas</w:t>
      </w:r>
      <w:r>
        <w:t xml:space="preserve">. Dicho de otro modo, que el Estado se dedique, simplemente, a asistir no a producir los actuales servicios públicos y que el individuo, con su dinero, pueda decidir libremente qué oferta escoger. Tan sólo con este cambio España se situaría a la cabeza </w:t>
      </w:r>
      <w:r w:rsidR="00736D17">
        <w:t>de los países desarrollados en “bienestar social”</w:t>
      </w:r>
      <w:r>
        <w:t>, dejando así atrás el actual Bienestar del Estado, que tanto favorece a los políticos y tan poco al contribuyente.</w:t>
      </w:r>
    </w:p>
    <w:p w:rsidR="00736D17" w:rsidRPr="009D5CA3" w:rsidRDefault="009D5CA3" w:rsidP="00550638">
      <w:pPr>
        <w:pStyle w:val="centro-texto-notis"/>
        <w:jc w:val="both"/>
        <w:rPr>
          <w:u w:val="single"/>
        </w:rPr>
      </w:pPr>
      <w:r>
        <w:rPr>
          <w:u w:val="single"/>
        </w:rPr>
        <w:t>Una o</w:t>
      </w:r>
      <w:r w:rsidRPr="009D5CA3">
        <w:rPr>
          <w:u w:val="single"/>
        </w:rPr>
        <w:t>pinión sobre la Ley de Asistencia Asequible (Obamacare)</w:t>
      </w:r>
    </w:p>
    <w:p w:rsidR="00ED5939" w:rsidRPr="00B327E6" w:rsidRDefault="00ED5939" w:rsidP="00550638">
      <w:pPr>
        <w:spacing w:before="100" w:beforeAutospacing="1" w:after="100" w:afterAutospacing="1" w:line="240" w:lineRule="auto"/>
        <w:jc w:val="both"/>
        <w:rPr>
          <w:rFonts w:ascii="Times New Roman" w:eastAsia="Times New Roman" w:hAnsi="Times New Roman"/>
          <w:bCs/>
          <w:sz w:val="24"/>
          <w:szCs w:val="24"/>
          <w:lang w:eastAsia="es-ES"/>
        </w:rPr>
      </w:pPr>
      <w:r w:rsidRPr="00B327E6">
        <w:rPr>
          <w:rFonts w:ascii="Times New Roman" w:eastAsia="Times New Roman" w:hAnsi="Times New Roman"/>
          <w:bCs/>
          <w:sz w:val="24"/>
          <w:szCs w:val="24"/>
          <w:lang w:eastAsia="es-ES"/>
        </w:rPr>
        <w:t xml:space="preserve">- </w:t>
      </w:r>
      <w:r w:rsidRPr="00B327E6">
        <w:rPr>
          <w:rFonts w:ascii="Times New Roman" w:eastAsia="Times New Roman" w:hAnsi="Times New Roman"/>
          <w:bCs/>
          <w:sz w:val="24"/>
          <w:szCs w:val="24"/>
          <w:u w:val="single"/>
          <w:lang w:eastAsia="es-ES"/>
        </w:rPr>
        <w:t>No seguir a Estados Unidos en cuanto a atención de salud</w:t>
      </w:r>
      <w:r>
        <w:rPr>
          <w:rFonts w:ascii="Times New Roman" w:eastAsia="Times New Roman" w:hAnsi="Times New Roman"/>
          <w:bCs/>
          <w:sz w:val="24"/>
          <w:szCs w:val="24"/>
          <w:lang w:eastAsia="es-ES"/>
        </w:rPr>
        <w:t xml:space="preserve"> (Project Syndicate - </w:t>
      </w:r>
      <w:r w:rsidRPr="00B327E6">
        <w:rPr>
          <w:rFonts w:ascii="Times New Roman" w:eastAsia="Times New Roman" w:hAnsi="Times New Roman"/>
          <w:b/>
          <w:bCs/>
          <w:sz w:val="24"/>
          <w:szCs w:val="24"/>
          <w:lang w:eastAsia="es-ES"/>
        </w:rPr>
        <w:t>28/3/12</w:t>
      </w:r>
      <w:r>
        <w:rPr>
          <w:rFonts w:ascii="Times New Roman" w:eastAsia="Times New Roman" w:hAnsi="Times New Roman"/>
          <w:bCs/>
          <w:sz w:val="24"/>
          <w:szCs w:val="24"/>
          <w:lang w:eastAsia="es-ES"/>
        </w:rPr>
        <w:t>)</w:t>
      </w:r>
      <w:r w:rsidRPr="00B327E6">
        <w:rPr>
          <w:rFonts w:ascii="Times New Roman" w:eastAsia="Times New Roman" w:hAnsi="Times New Roman"/>
          <w:bCs/>
          <w:sz w:val="24"/>
          <w:szCs w:val="24"/>
          <w:lang w:eastAsia="es-ES"/>
        </w:rPr>
        <w:t xml:space="preserve"> </w:t>
      </w:r>
    </w:p>
    <w:p w:rsidR="00ED5939" w:rsidRPr="00B327E6" w:rsidRDefault="00ED5939" w:rsidP="00550638">
      <w:pPr>
        <w:spacing w:before="100" w:beforeAutospacing="1" w:after="100" w:afterAutospacing="1" w:line="240" w:lineRule="auto"/>
        <w:jc w:val="both"/>
        <w:rPr>
          <w:rFonts w:ascii="Times New Roman" w:eastAsia="Times New Roman" w:hAnsi="Times New Roman"/>
          <w:bCs/>
          <w:sz w:val="24"/>
          <w:szCs w:val="24"/>
          <w:lang w:eastAsia="es-ES"/>
        </w:rPr>
      </w:pPr>
      <w:r>
        <w:rPr>
          <w:rFonts w:ascii="Times New Roman" w:eastAsia="Times New Roman" w:hAnsi="Times New Roman"/>
          <w:bCs/>
          <w:sz w:val="24"/>
          <w:szCs w:val="24"/>
          <w:lang w:eastAsia="es-ES"/>
        </w:rPr>
        <w:t xml:space="preserve">(Por </w:t>
      </w:r>
      <w:r w:rsidRPr="00B327E6">
        <w:rPr>
          <w:rFonts w:ascii="Times New Roman" w:eastAsia="Times New Roman" w:hAnsi="Times New Roman"/>
          <w:bCs/>
          <w:sz w:val="24"/>
          <w:szCs w:val="24"/>
          <w:lang w:eastAsia="es-ES"/>
        </w:rPr>
        <w:t>Prabhat Jha, Dean T. Jamison</w:t>
      </w:r>
      <w:r>
        <w:rPr>
          <w:rFonts w:ascii="Times New Roman" w:eastAsia="Times New Roman" w:hAnsi="Times New Roman"/>
          <w:bCs/>
          <w:sz w:val="24"/>
          <w:szCs w:val="24"/>
          <w:lang w:eastAsia="es-ES"/>
        </w:rPr>
        <w:t>)</w:t>
      </w:r>
      <w:r w:rsidR="009D5CA3">
        <w:rPr>
          <w:rFonts w:ascii="Times New Roman" w:eastAsia="Times New Roman" w:hAnsi="Times New Roman"/>
          <w:bCs/>
          <w:sz w:val="24"/>
          <w:szCs w:val="24"/>
          <w:lang w:eastAsia="es-ES"/>
        </w:rPr>
        <w:t xml:space="preserve">                                                  Lectura recomendada</w:t>
      </w:r>
    </w:p>
    <w:p w:rsidR="00ED5939" w:rsidRPr="00845F88" w:rsidRDefault="009D5CA3" w:rsidP="00550638">
      <w:pPr>
        <w:spacing w:before="100" w:beforeAutospacing="1" w:after="100" w:afterAutospacing="1" w:line="240" w:lineRule="auto"/>
        <w:jc w:val="both"/>
        <w:rPr>
          <w:rFonts w:ascii="Times New Roman" w:eastAsia="Times New Roman" w:hAnsi="Times New Roman"/>
          <w:b/>
          <w:bCs/>
          <w:color w:val="FF0000"/>
          <w:sz w:val="24"/>
          <w:szCs w:val="24"/>
          <w:u w:val="single"/>
          <w:lang w:eastAsia="es-ES"/>
        </w:rPr>
      </w:pPr>
      <w:r>
        <w:rPr>
          <w:rFonts w:ascii="Times New Roman" w:eastAsia="Times New Roman" w:hAnsi="Times New Roman"/>
          <w:bCs/>
          <w:sz w:val="24"/>
          <w:szCs w:val="24"/>
          <w:lang w:eastAsia="es-ES"/>
        </w:rPr>
        <w:t xml:space="preserve">Toronto.- </w:t>
      </w:r>
      <w:r w:rsidR="00ED5939" w:rsidRPr="00B327E6">
        <w:rPr>
          <w:rFonts w:ascii="Times New Roman" w:eastAsia="Times New Roman" w:hAnsi="Times New Roman"/>
          <w:bCs/>
          <w:sz w:val="24"/>
          <w:szCs w:val="24"/>
          <w:lang w:eastAsia="es-ES"/>
        </w:rPr>
        <w:t xml:space="preserve"> En momentos que la Corte Suprema de Estados Unidos se encuentra a punto de abordar la </w:t>
      </w:r>
      <w:r w:rsidR="00ED5939" w:rsidRPr="00845F88">
        <w:rPr>
          <w:rFonts w:ascii="Times New Roman" w:eastAsia="Times New Roman" w:hAnsi="Times New Roman"/>
          <w:bCs/>
          <w:color w:val="FF0000"/>
          <w:sz w:val="24"/>
          <w:szCs w:val="24"/>
          <w:lang w:eastAsia="es-ES"/>
        </w:rPr>
        <w:t>Ley de Asistencia Asequible</w:t>
      </w:r>
      <w:r w:rsidR="00ED5939" w:rsidRPr="00B327E6">
        <w:rPr>
          <w:rFonts w:ascii="Times New Roman" w:eastAsia="Times New Roman" w:hAnsi="Times New Roman"/>
          <w:bCs/>
          <w:sz w:val="24"/>
          <w:szCs w:val="24"/>
          <w:lang w:eastAsia="es-ES"/>
        </w:rPr>
        <w:t xml:space="preserve"> (la histórica reforma de salud ridiculizada por sus opositores como </w:t>
      </w:r>
      <w:r>
        <w:rPr>
          <w:rFonts w:ascii="Times New Roman" w:eastAsia="Times New Roman" w:hAnsi="Times New Roman"/>
          <w:bCs/>
          <w:color w:val="FF0000"/>
          <w:sz w:val="24"/>
          <w:szCs w:val="24"/>
          <w:lang w:eastAsia="es-ES"/>
        </w:rPr>
        <w:t>“Obamacare”</w:t>
      </w:r>
      <w:r w:rsidR="00ED5939" w:rsidRPr="00B327E6">
        <w:rPr>
          <w:rFonts w:ascii="Times New Roman" w:eastAsia="Times New Roman" w:hAnsi="Times New Roman"/>
          <w:bCs/>
          <w:sz w:val="24"/>
          <w:szCs w:val="24"/>
          <w:lang w:eastAsia="es-ES"/>
        </w:rPr>
        <w:t xml:space="preserve">), </w:t>
      </w:r>
      <w:r w:rsidR="00ED5939" w:rsidRPr="00845F88">
        <w:rPr>
          <w:rFonts w:ascii="Times New Roman" w:eastAsia="Times New Roman" w:hAnsi="Times New Roman"/>
          <w:b/>
          <w:bCs/>
          <w:color w:val="FF0000"/>
          <w:sz w:val="24"/>
          <w:szCs w:val="24"/>
          <w:u w:val="single"/>
          <w:lang w:eastAsia="es-ES"/>
        </w:rPr>
        <w:t>vale la pena señalar que el número de estadounidenses sin seguro de salud alcanzó un máximo histórico en 2010, su año de promulgación. Alrededor de 50 millones de residentes de Estados Unidos (uno de cada seis) pagan de su bolsillo los gastos médicos en que incurren.</w:t>
      </w:r>
    </w:p>
    <w:p w:rsidR="00ED5939" w:rsidRPr="00845F88" w:rsidRDefault="00ED5939" w:rsidP="00550638">
      <w:pPr>
        <w:spacing w:before="100" w:beforeAutospacing="1" w:after="100" w:afterAutospacing="1" w:line="240" w:lineRule="auto"/>
        <w:jc w:val="both"/>
        <w:rPr>
          <w:rFonts w:ascii="Times New Roman" w:eastAsia="Times New Roman" w:hAnsi="Times New Roman"/>
          <w:bCs/>
          <w:sz w:val="24"/>
          <w:szCs w:val="24"/>
          <w:u w:val="single"/>
          <w:lang w:eastAsia="es-ES"/>
        </w:rPr>
      </w:pPr>
      <w:r w:rsidRPr="00B327E6">
        <w:rPr>
          <w:rFonts w:ascii="Times New Roman" w:eastAsia="Times New Roman" w:hAnsi="Times New Roman"/>
          <w:bCs/>
          <w:sz w:val="24"/>
          <w:szCs w:val="24"/>
          <w:lang w:eastAsia="es-ES"/>
        </w:rPr>
        <w:t xml:space="preserve">La recesión de 2008 no es la única razón para esta escalofriante cifra; también hay que culpar a políticas y decisiones políticas de larga data. </w:t>
      </w:r>
      <w:r w:rsidRPr="00845F88">
        <w:rPr>
          <w:rFonts w:ascii="Times New Roman" w:eastAsia="Times New Roman" w:hAnsi="Times New Roman"/>
          <w:bCs/>
          <w:sz w:val="24"/>
          <w:szCs w:val="24"/>
          <w:u w:val="single"/>
          <w:lang w:eastAsia="es-ES"/>
        </w:rPr>
        <w:t>A nivel mundial, pero especialmente para las economías de rápido crecimiento, la lección es simple: evitar el modelo de salud privada de Estados Unidos.</w:t>
      </w:r>
    </w:p>
    <w:p w:rsidR="00ED5939" w:rsidRPr="00B327E6" w:rsidRDefault="00ED5939" w:rsidP="00550638">
      <w:pPr>
        <w:spacing w:before="100" w:beforeAutospacing="1" w:after="100" w:afterAutospacing="1" w:line="240" w:lineRule="auto"/>
        <w:jc w:val="both"/>
        <w:rPr>
          <w:rFonts w:ascii="Times New Roman" w:eastAsia="Times New Roman" w:hAnsi="Times New Roman"/>
          <w:bCs/>
          <w:sz w:val="24"/>
          <w:szCs w:val="24"/>
          <w:lang w:eastAsia="es-ES"/>
        </w:rPr>
      </w:pPr>
      <w:r w:rsidRPr="00845F88">
        <w:rPr>
          <w:rFonts w:ascii="Times New Roman" w:eastAsia="Times New Roman" w:hAnsi="Times New Roman"/>
          <w:bCs/>
          <w:color w:val="FF0000"/>
          <w:sz w:val="24"/>
          <w:szCs w:val="24"/>
          <w:u w:val="single"/>
          <w:lang w:eastAsia="es-ES"/>
        </w:rPr>
        <w:t>EE.UU. es uno de los pocos países de ingresos altos que no financia la asistencia sanitaria mediante un sistema financiado con fondos públicos de prepago.</w:t>
      </w:r>
      <w:r w:rsidRPr="00B327E6">
        <w:rPr>
          <w:rFonts w:ascii="Times New Roman" w:eastAsia="Times New Roman" w:hAnsi="Times New Roman"/>
          <w:bCs/>
          <w:sz w:val="24"/>
          <w:szCs w:val="24"/>
          <w:lang w:eastAsia="es-ES"/>
        </w:rPr>
        <w:t xml:space="preserve"> </w:t>
      </w:r>
      <w:r w:rsidRPr="00845F88">
        <w:rPr>
          <w:rFonts w:ascii="Times New Roman" w:eastAsia="Times New Roman" w:hAnsi="Times New Roman"/>
          <w:bCs/>
          <w:color w:val="FF0000"/>
          <w:sz w:val="24"/>
          <w:szCs w:val="24"/>
          <w:u w:val="single"/>
          <w:lang w:eastAsia="es-ES"/>
        </w:rPr>
        <w:t>En promedio, los países más ricos gastan aproximadamente el 11% de su PIB en salud, con una financiación pública de más del 80%; sólo el 14% de los gastos tienen lugar sobre una base de pago por servicio</w:t>
      </w:r>
      <w:r w:rsidRPr="00B327E6">
        <w:rPr>
          <w:rFonts w:ascii="Times New Roman" w:eastAsia="Times New Roman" w:hAnsi="Times New Roman"/>
          <w:bCs/>
          <w:sz w:val="24"/>
          <w:szCs w:val="24"/>
          <w:lang w:eastAsia="es-ES"/>
        </w:rPr>
        <w:t xml:space="preserve">. </w:t>
      </w:r>
      <w:r w:rsidRPr="00845F88">
        <w:rPr>
          <w:rFonts w:ascii="Times New Roman" w:eastAsia="Times New Roman" w:hAnsi="Times New Roman"/>
          <w:bCs/>
          <w:sz w:val="24"/>
          <w:szCs w:val="24"/>
          <w:u w:val="single"/>
          <w:lang w:eastAsia="es-ES"/>
        </w:rPr>
        <w:t>Las finanzas públicas (o, en algunos casos, fondos de seguros cooperativos regulados por el gobierno que equivalen a financiación pública) cubren la mayoría de los servicios médicos discrecionales; los seguros privados complementan solo servicios adicionales mínimos</w:t>
      </w:r>
      <w:r w:rsidRPr="00B327E6">
        <w:rPr>
          <w:rFonts w:ascii="Times New Roman" w:eastAsia="Times New Roman" w:hAnsi="Times New Roman"/>
          <w:bCs/>
          <w:sz w:val="24"/>
          <w:szCs w:val="24"/>
          <w:lang w:eastAsia="es-ES"/>
        </w:rPr>
        <w:t>.</w:t>
      </w:r>
    </w:p>
    <w:p w:rsidR="00ED5939" w:rsidRPr="00845F88" w:rsidRDefault="00ED5939" w:rsidP="00550638">
      <w:pPr>
        <w:spacing w:before="100" w:beforeAutospacing="1" w:after="100" w:afterAutospacing="1" w:line="240" w:lineRule="auto"/>
        <w:jc w:val="both"/>
        <w:rPr>
          <w:rFonts w:ascii="Times New Roman" w:eastAsia="Times New Roman" w:hAnsi="Times New Roman"/>
          <w:bCs/>
          <w:color w:val="FF0000"/>
          <w:sz w:val="24"/>
          <w:szCs w:val="24"/>
          <w:u w:val="single"/>
          <w:lang w:eastAsia="es-ES"/>
        </w:rPr>
      </w:pPr>
      <w:r w:rsidRPr="00845F88">
        <w:rPr>
          <w:rFonts w:ascii="Times New Roman" w:eastAsia="Times New Roman" w:hAnsi="Times New Roman"/>
          <w:bCs/>
          <w:color w:val="FF0000"/>
          <w:sz w:val="24"/>
          <w:szCs w:val="24"/>
          <w:u w:val="single"/>
          <w:lang w:eastAsia="es-ES"/>
        </w:rPr>
        <w:t xml:space="preserve">La mayoría de los países ricos opta por financiar su atención de la salud de manera pública por varias razones. En primer lugar, la atención de salud de libre mercado suele ser injusta e ineficiente. Las necesidades individuales varían considerablemente, y las empresas privadas suelen ser reacias a asegurar a las personas que más lo necesitan (como quienes ya están enfermos o sufren de dolencias como la diabetes, que les predisponen a otros problemas de salud). Más aún, es improbable que </w:t>
      </w:r>
      <w:r w:rsidR="009D5CA3">
        <w:rPr>
          <w:rFonts w:ascii="Times New Roman" w:eastAsia="Times New Roman" w:hAnsi="Times New Roman"/>
          <w:bCs/>
          <w:color w:val="FF0000"/>
          <w:sz w:val="24"/>
          <w:szCs w:val="24"/>
          <w:u w:val="single"/>
          <w:lang w:eastAsia="es-ES"/>
        </w:rPr>
        <w:t>quienes adquieren la atención -</w:t>
      </w:r>
      <w:r w:rsidRPr="00845F88">
        <w:rPr>
          <w:rFonts w:ascii="Times New Roman" w:eastAsia="Times New Roman" w:hAnsi="Times New Roman"/>
          <w:bCs/>
          <w:color w:val="FF0000"/>
          <w:sz w:val="24"/>
          <w:szCs w:val="24"/>
          <w:u w:val="single"/>
          <w:lang w:eastAsia="es-ES"/>
        </w:rPr>
        <w:t>l</w:t>
      </w:r>
      <w:r w:rsidR="009D5CA3">
        <w:rPr>
          <w:rFonts w:ascii="Times New Roman" w:eastAsia="Times New Roman" w:hAnsi="Times New Roman"/>
          <w:bCs/>
          <w:color w:val="FF0000"/>
          <w:sz w:val="24"/>
          <w:szCs w:val="24"/>
          <w:u w:val="single"/>
          <w:lang w:eastAsia="es-ES"/>
        </w:rPr>
        <w:t>as aseguradoras y los pacientes</w:t>
      </w:r>
      <w:r w:rsidRPr="00845F88">
        <w:rPr>
          <w:rFonts w:ascii="Times New Roman" w:eastAsia="Times New Roman" w:hAnsi="Times New Roman"/>
          <w:bCs/>
          <w:color w:val="FF0000"/>
          <w:sz w:val="24"/>
          <w:szCs w:val="24"/>
          <w:u w:val="single"/>
          <w:lang w:eastAsia="es-ES"/>
        </w:rPr>
        <w:t>- tengan la información necesaria para elegir los tratamientos más seguros y eficaces.</w:t>
      </w:r>
    </w:p>
    <w:p w:rsidR="00ED5939" w:rsidRPr="00845F88" w:rsidRDefault="00ED5939" w:rsidP="00550638">
      <w:pPr>
        <w:spacing w:before="100" w:beforeAutospacing="1" w:after="100" w:afterAutospacing="1" w:line="240" w:lineRule="auto"/>
        <w:jc w:val="both"/>
        <w:rPr>
          <w:rFonts w:ascii="Times New Roman" w:eastAsia="Times New Roman" w:hAnsi="Times New Roman"/>
          <w:bCs/>
          <w:color w:val="FF0000"/>
          <w:sz w:val="24"/>
          <w:szCs w:val="24"/>
          <w:u w:val="single"/>
          <w:lang w:eastAsia="es-ES"/>
        </w:rPr>
      </w:pPr>
      <w:r w:rsidRPr="00845F88">
        <w:rPr>
          <w:rFonts w:ascii="Times New Roman" w:eastAsia="Times New Roman" w:hAnsi="Times New Roman"/>
          <w:bCs/>
          <w:color w:val="FF0000"/>
          <w:sz w:val="24"/>
          <w:szCs w:val="24"/>
          <w:u w:val="single"/>
          <w:lang w:eastAsia="es-ES"/>
        </w:rPr>
        <w:t xml:space="preserve">Al mismo tiempo, el gasto público actúa como un freno sobre el gasto general, y evita la rápida escalada de costes a la que contribuyen las empresas de seguros privadas de Estados Unidos. El país gasta el 1% de su PIB cada año, simplemente para administrar </w:t>
      </w:r>
      <w:r w:rsidRPr="00845F88">
        <w:rPr>
          <w:rFonts w:ascii="Times New Roman" w:eastAsia="Times New Roman" w:hAnsi="Times New Roman"/>
          <w:bCs/>
          <w:color w:val="FF0000"/>
          <w:sz w:val="24"/>
          <w:szCs w:val="24"/>
          <w:u w:val="single"/>
          <w:lang w:eastAsia="es-ES"/>
        </w:rPr>
        <w:lastRenderedPageBreak/>
        <w:t>su complejo y difícil sistema de seguros. Sin una reforma del tipo que tiene ante sí la Corte Suprema de Justicia, el total de los gastos de salud de Estados Unidos aumentará de 16% del PIB hoy al 25% en 2025.</w:t>
      </w:r>
    </w:p>
    <w:p w:rsidR="00ED5939" w:rsidRPr="00845F88" w:rsidRDefault="00ED5939" w:rsidP="00550638">
      <w:pPr>
        <w:spacing w:before="100" w:beforeAutospacing="1" w:after="100" w:afterAutospacing="1" w:line="240" w:lineRule="auto"/>
        <w:jc w:val="both"/>
        <w:rPr>
          <w:rFonts w:ascii="Times New Roman" w:eastAsia="Times New Roman" w:hAnsi="Times New Roman"/>
          <w:bCs/>
          <w:sz w:val="24"/>
          <w:szCs w:val="24"/>
          <w:u w:val="single"/>
          <w:lang w:eastAsia="es-ES"/>
        </w:rPr>
      </w:pPr>
      <w:r w:rsidRPr="00845F88">
        <w:rPr>
          <w:rFonts w:ascii="Times New Roman" w:eastAsia="Times New Roman" w:hAnsi="Times New Roman"/>
          <w:bCs/>
          <w:sz w:val="24"/>
          <w:szCs w:val="24"/>
          <w:u w:val="single"/>
          <w:lang w:eastAsia="es-ES"/>
        </w:rPr>
        <w:t xml:space="preserve">El impacto económico del sistema actual ya </w:t>
      </w:r>
      <w:r w:rsidR="009D5CA3">
        <w:rPr>
          <w:rFonts w:ascii="Times New Roman" w:eastAsia="Times New Roman" w:hAnsi="Times New Roman"/>
          <w:bCs/>
          <w:sz w:val="24"/>
          <w:szCs w:val="24"/>
          <w:u w:val="single"/>
          <w:lang w:eastAsia="es-ES"/>
        </w:rPr>
        <w:t>es grave. El último censo de EE</w:t>
      </w:r>
      <w:r w:rsidRPr="00845F88">
        <w:rPr>
          <w:rFonts w:ascii="Times New Roman" w:eastAsia="Times New Roman" w:hAnsi="Times New Roman"/>
          <w:bCs/>
          <w:sz w:val="24"/>
          <w:szCs w:val="24"/>
          <w:u w:val="single"/>
          <w:lang w:eastAsia="es-ES"/>
        </w:rPr>
        <w:t>UU mostró un marcado incremento en el número de estadounidenses que viven por debajo del umbral de pobreza, hecho estrechamente relacionado con la falta de seguro de salud, que a su vez refleja el exceso de confianza en la cobertura de seguro provista por los empleadores.</w:t>
      </w:r>
    </w:p>
    <w:p w:rsidR="00ED5939" w:rsidRPr="00845F88" w:rsidRDefault="00ED5939" w:rsidP="00550638">
      <w:pPr>
        <w:spacing w:before="100" w:beforeAutospacing="1" w:after="100" w:afterAutospacing="1" w:line="240" w:lineRule="auto"/>
        <w:jc w:val="both"/>
        <w:rPr>
          <w:rFonts w:ascii="Times New Roman" w:eastAsia="Times New Roman" w:hAnsi="Times New Roman"/>
          <w:bCs/>
          <w:sz w:val="24"/>
          <w:szCs w:val="24"/>
          <w:u w:val="single"/>
          <w:lang w:eastAsia="es-ES"/>
        </w:rPr>
      </w:pPr>
      <w:r w:rsidRPr="00845F88">
        <w:rPr>
          <w:rFonts w:ascii="Times New Roman" w:eastAsia="Times New Roman" w:hAnsi="Times New Roman"/>
          <w:bCs/>
          <w:sz w:val="24"/>
          <w:szCs w:val="24"/>
          <w:u w:val="single"/>
          <w:lang w:eastAsia="es-ES"/>
        </w:rPr>
        <w:t>En las economías de los países emergentes, los gobiernos deberían tener en cuenta cinco consideraciones a la hora de diseñar los sistemas de salud. En primer lugar, las inversiones en salud proporcionan una importante red de seguridad contra las trampas de la pobreza, especialmente en tiempos de crisis económica. Por ejemplo, cada año, 37 millones de indios sin seguro caen por debajo del umbral de la pobreza debido a gastos catastróficos en salud (que por lo general se definen como costes superiores al 10%</w:t>
      </w:r>
      <w:r w:rsidR="00977312">
        <w:rPr>
          <w:rFonts w:ascii="Times New Roman" w:eastAsia="Times New Roman" w:hAnsi="Times New Roman"/>
          <w:bCs/>
          <w:sz w:val="24"/>
          <w:szCs w:val="24"/>
          <w:u w:val="single"/>
          <w:lang w:eastAsia="es-ES"/>
        </w:rPr>
        <w:t xml:space="preserve"> </w:t>
      </w:r>
      <w:r w:rsidRPr="00845F88">
        <w:rPr>
          <w:rFonts w:ascii="Times New Roman" w:eastAsia="Times New Roman" w:hAnsi="Times New Roman"/>
          <w:bCs/>
          <w:sz w:val="24"/>
          <w:szCs w:val="24"/>
          <w:u w:val="single"/>
          <w:lang w:eastAsia="es-ES"/>
        </w:rPr>
        <w:t>de los gastos totales de un hogar).</w:t>
      </w:r>
    </w:p>
    <w:p w:rsidR="00ED5939" w:rsidRPr="00845F88" w:rsidRDefault="00ED5939" w:rsidP="00550638">
      <w:pPr>
        <w:spacing w:before="100" w:beforeAutospacing="1" w:after="100" w:afterAutospacing="1" w:line="240" w:lineRule="auto"/>
        <w:jc w:val="both"/>
        <w:rPr>
          <w:rFonts w:ascii="Times New Roman" w:eastAsia="Times New Roman" w:hAnsi="Times New Roman"/>
          <w:bCs/>
          <w:sz w:val="24"/>
          <w:szCs w:val="24"/>
          <w:u w:val="single"/>
          <w:lang w:eastAsia="es-ES"/>
        </w:rPr>
      </w:pPr>
      <w:r w:rsidRPr="00845F88">
        <w:rPr>
          <w:rFonts w:ascii="Times New Roman" w:eastAsia="Times New Roman" w:hAnsi="Times New Roman"/>
          <w:bCs/>
          <w:sz w:val="24"/>
          <w:szCs w:val="24"/>
          <w:u w:val="single"/>
          <w:lang w:eastAsia="es-ES"/>
        </w:rPr>
        <w:t xml:space="preserve">En segundo lugar, la financiación pública de la atención sanitaria permite a los pobres usar ese dinero para satisfacer otras necesidades. En países de bajos ingresos, la mitad de todos los gastos de atención de salud (alrededor del 2,5% del PIB) son privados (en comparación con el 2% en países de ingresos medios). Este gasto consume una gran proporción de los ingresos de los hogares más pobres, impide inversiones más productivas en el hogar, crea pocos puestos de trabajo, y con frecuencia permanece sin pagar impuestos, ya que a menudo se paga </w:t>
      </w:r>
      <w:r w:rsidR="009D5CA3">
        <w:rPr>
          <w:rFonts w:ascii="Times New Roman" w:eastAsia="Times New Roman" w:hAnsi="Times New Roman"/>
          <w:bCs/>
          <w:sz w:val="24"/>
          <w:szCs w:val="24"/>
          <w:u w:val="single"/>
          <w:lang w:eastAsia="es-ES"/>
        </w:rPr>
        <w:t>a los médicos y los hospitales “en negro”</w:t>
      </w:r>
      <w:r w:rsidRPr="00845F88">
        <w:rPr>
          <w:rFonts w:ascii="Times New Roman" w:eastAsia="Times New Roman" w:hAnsi="Times New Roman"/>
          <w:bCs/>
          <w:sz w:val="24"/>
          <w:szCs w:val="24"/>
          <w:u w:val="single"/>
          <w:lang w:eastAsia="es-ES"/>
        </w:rPr>
        <w:t>.</w:t>
      </w:r>
    </w:p>
    <w:p w:rsidR="00ED5939" w:rsidRPr="00845F88" w:rsidRDefault="00ED5939" w:rsidP="00550638">
      <w:pPr>
        <w:spacing w:before="100" w:beforeAutospacing="1" w:after="100" w:afterAutospacing="1" w:line="240" w:lineRule="auto"/>
        <w:jc w:val="both"/>
        <w:rPr>
          <w:rFonts w:ascii="Times New Roman" w:eastAsia="Times New Roman" w:hAnsi="Times New Roman"/>
          <w:bCs/>
          <w:sz w:val="24"/>
          <w:szCs w:val="24"/>
          <w:u w:val="single"/>
          <w:lang w:eastAsia="es-ES"/>
        </w:rPr>
      </w:pPr>
      <w:r w:rsidRPr="00845F88">
        <w:rPr>
          <w:rFonts w:ascii="Times New Roman" w:eastAsia="Times New Roman" w:hAnsi="Times New Roman"/>
          <w:bCs/>
          <w:sz w:val="24"/>
          <w:szCs w:val="24"/>
          <w:u w:val="single"/>
          <w:lang w:eastAsia="es-ES"/>
        </w:rPr>
        <w:t>En tercer lugar, financiar la salud con fondos públicos podría aumentar el empleo en general. Las provincias de Canadá fueron integrando de a fases el seguro nacional de salud de 1961 a 1975. El empleo y los salarios aumentaron en las áreas donde se introdujo el programa, a pesar de que el promedio de horas de trabajo se mantuvo sin cambios. Por el contrario, las provincias con altos niveles de cobertura de seguro privado tenían menores tasas de empleo y un más lento crecimiento de los salarios. Más re</w:t>
      </w:r>
      <w:r w:rsidR="009D5CA3">
        <w:rPr>
          <w:rFonts w:ascii="Times New Roman" w:eastAsia="Times New Roman" w:hAnsi="Times New Roman"/>
          <w:bCs/>
          <w:sz w:val="24"/>
          <w:szCs w:val="24"/>
          <w:u w:val="single"/>
          <w:lang w:eastAsia="es-ES"/>
        </w:rPr>
        <w:t>cientemente, Canadá venció a EEUU</w:t>
      </w:r>
      <w:r w:rsidRPr="00845F88">
        <w:rPr>
          <w:rFonts w:ascii="Times New Roman" w:eastAsia="Times New Roman" w:hAnsi="Times New Roman"/>
          <w:bCs/>
          <w:sz w:val="24"/>
          <w:szCs w:val="24"/>
          <w:u w:val="single"/>
          <w:lang w:eastAsia="es-ES"/>
        </w:rPr>
        <w:t xml:space="preserve"> al competir por dónde se crearía una nueva planta de Toyota, en parte porque los costes de se</w:t>
      </w:r>
      <w:r w:rsidR="009D5CA3">
        <w:rPr>
          <w:rFonts w:ascii="Times New Roman" w:eastAsia="Times New Roman" w:hAnsi="Times New Roman"/>
          <w:bCs/>
          <w:sz w:val="24"/>
          <w:szCs w:val="24"/>
          <w:u w:val="single"/>
          <w:lang w:eastAsia="es-ES"/>
        </w:rPr>
        <w:t>guro privado de salud en EEUU</w:t>
      </w:r>
      <w:r w:rsidRPr="00845F88">
        <w:rPr>
          <w:rFonts w:ascii="Times New Roman" w:eastAsia="Times New Roman" w:hAnsi="Times New Roman"/>
          <w:bCs/>
          <w:sz w:val="24"/>
          <w:szCs w:val="24"/>
          <w:u w:val="single"/>
          <w:lang w:eastAsia="es-ES"/>
        </w:rPr>
        <w:t xml:space="preserve"> suponían añadir varios miles de dólares al coste de fabricación de un coche allí.</w:t>
      </w:r>
    </w:p>
    <w:p w:rsidR="00ED5939" w:rsidRPr="00845F88" w:rsidRDefault="00ED5939" w:rsidP="00550638">
      <w:pPr>
        <w:spacing w:before="100" w:beforeAutospacing="1" w:after="100" w:afterAutospacing="1" w:line="240" w:lineRule="auto"/>
        <w:jc w:val="both"/>
        <w:rPr>
          <w:rFonts w:ascii="Times New Roman" w:eastAsia="Times New Roman" w:hAnsi="Times New Roman"/>
          <w:bCs/>
          <w:sz w:val="24"/>
          <w:szCs w:val="24"/>
          <w:u w:val="single"/>
          <w:lang w:eastAsia="es-ES"/>
        </w:rPr>
      </w:pPr>
      <w:r w:rsidRPr="00845F88">
        <w:rPr>
          <w:rFonts w:ascii="Times New Roman" w:eastAsia="Times New Roman" w:hAnsi="Times New Roman"/>
          <w:bCs/>
          <w:sz w:val="24"/>
          <w:szCs w:val="24"/>
          <w:u w:val="single"/>
          <w:lang w:eastAsia="es-ES"/>
        </w:rPr>
        <w:t>En cuarto lugar, los sistemas de salud nacionales existentes en los países más ricos pueden servir como modelos para las economías de mercados emergentes que opten por adoptar sistemas similares. Es importante destacar que las finanzas públicas no tienen por qué significar solamente la provisión pública; los hospitales y clínicas privadas a veces pueden ofrecer servicios con mayor eficacia. Taiwán inició un sistema de pagador único en 1995, frenando significativamente los costes de salud y mejorando la calidad de vida de la población. El nuevo sistema de cobertura universal de México se puso en marcha primero en las zonas más pobres del país.</w:t>
      </w:r>
    </w:p>
    <w:p w:rsidR="00ED5939" w:rsidRPr="00B327E6" w:rsidRDefault="00ED5939" w:rsidP="00550638">
      <w:pPr>
        <w:spacing w:before="100" w:beforeAutospacing="1" w:after="100" w:afterAutospacing="1" w:line="240" w:lineRule="auto"/>
        <w:jc w:val="both"/>
        <w:rPr>
          <w:rFonts w:ascii="Times New Roman" w:eastAsia="Times New Roman" w:hAnsi="Times New Roman"/>
          <w:bCs/>
          <w:sz w:val="24"/>
          <w:szCs w:val="24"/>
          <w:lang w:eastAsia="es-ES"/>
        </w:rPr>
      </w:pPr>
      <w:r w:rsidRPr="00B327E6">
        <w:rPr>
          <w:rFonts w:ascii="Times New Roman" w:eastAsia="Times New Roman" w:hAnsi="Times New Roman"/>
          <w:bCs/>
          <w:sz w:val="24"/>
          <w:szCs w:val="24"/>
          <w:lang w:eastAsia="es-ES"/>
        </w:rPr>
        <w:t xml:space="preserve">Por otra parte, China constituye un ejemplo aleccionador de las consecuencias de retirar el seguro de salud financiado públicamente. A principios de la década de 1980, las reformas de mercado dejaron alrededor de 100 millones de ciudadanos rurales sin seguro, casi de la mañana a la noche. Los costes privados se dispararon, las tasas de mortalidad infantil dejaron de disminuir, y se debilitó el sistema de vigilancia de </w:t>
      </w:r>
      <w:r w:rsidRPr="00B327E6">
        <w:rPr>
          <w:rFonts w:ascii="Times New Roman" w:eastAsia="Times New Roman" w:hAnsi="Times New Roman"/>
          <w:bCs/>
          <w:sz w:val="24"/>
          <w:szCs w:val="24"/>
          <w:lang w:eastAsia="es-ES"/>
        </w:rPr>
        <w:lastRenderedPageBreak/>
        <w:t>enfermedades, lo cual puede haber contribuido a la epidemia de SARS de 2002-2003, que se cobró más de 900 vidas en todo el mundo y causó pérdidas económicas por un valor estimado de $60 mil millones de dólares. El gobierno chino ha reconocido que las reformas fueron un fracaso, y se ha comprometido a destinar varios miles de millones de dólares a asistencia sanitaria financiada con fondos públicos.</w:t>
      </w:r>
    </w:p>
    <w:p w:rsidR="00ED5939" w:rsidRPr="00B327E6" w:rsidRDefault="00ED5939" w:rsidP="00550638">
      <w:pPr>
        <w:spacing w:before="100" w:beforeAutospacing="1" w:after="100" w:afterAutospacing="1" w:line="240" w:lineRule="auto"/>
        <w:jc w:val="both"/>
        <w:rPr>
          <w:rFonts w:ascii="Times New Roman" w:eastAsia="Times New Roman" w:hAnsi="Times New Roman"/>
          <w:bCs/>
          <w:sz w:val="24"/>
          <w:szCs w:val="24"/>
          <w:lang w:eastAsia="es-ES"/>
        </w:rPr>
      </w:pPr>
      <w:r w:rsidRPr="002B4E12">
        <w:rPr>
          <w:rFonts w:ascii="Times New Roman" w:eastAsia="Times New Roman" w:hAnsi="Times New Roman"/>
          <w:bCs/>
          <w:sz w:val="24"/>
          <w:szCs w:val="24"/>
          <w:u w:val="single"/>
          <w:lang w:eastAsia="es-ES"/>
        </w:rPr>
        <w:t xml:space="preserve">Por último, </w:t>
      </w:r>
      <w:r w:rsidR="004160DB">
        <w:rPr>
          <w:rFonts w:ascii="Times New Roman" w:eastAsia="Times New Roman" w:hAnsi="Times New Roman"/>
          <w:bCs/>
          <w:sz w:val="24"/>
          <w:szCs w:val="24"/>
          <w:u w:val="single"/>
          <w:lang w:eastAsia="es-ES"/>
        </w:rPr>
        <w:t>siguiendo el principio, “</w:t>
      </w:r>
      <w:r w:rsidRPr="002B4E12">
        <w:rPr>
          <w:rFonts w:ascii="Times New Roman" w:eastAsia="Times New Roman" w:hAnsi="Times New Roman"/>
          <w:bCs/>
          <w:sz w:val="24"/>
          <w:szCs w:val="24"/>
          <w:u w:val="single"/>
          <w:lang w:eastAsia="es-ES"/>
        </w:rPr>
        <w:t>todo el mundo está cubie</w:t>
      </w:r>
      <w:r w:rsidR="004160DB">
        <w:rPr>
          <w:rFonts w:ascii="Times New Roman" w:eastAsia="Times New Roman" w:hAnsi="Times New Roman"/>
          <w:bCs/>
          <w:sz w:val="24"/>
          <w:szCs w:val="24"/>
          <w:u w:val="single"/>
          <w:lang w:eastAsia="es-ES"/>
        </w:rPr>
        <w:t>rto, pero no todo está cubierto”</w:t>
      </w:r>
      <w:r w:rsidRPr="002B4E12">
        <w:rPr>
          <w:rFonts w:ascii="Times New Roman" w:eastAsia="Times New Roman" w:hAnsi="Times New Roman"/>
          <w:bCs/>
          <w:sz w:val="24"/>
          <w:szCs w:val="24"/>
          <w:u w:val="single"/>
          <w:lang w:eastAsia="es-ES"/>
        </w:rPr>
        <w:t>, los gobiernos deben investigar qué servicios son más eficaces en función de los costes y cuáles no deben ser financiados con fondos públicos, debido a que son costosos e ineficaces. La lista de los servicios asegurados siempre puede elevarse en sintonía con las rentas y los ingresos del gobierno</w:t>
      </w:r>
      <w:r w:rsidRPr="00B327E6">
        <w:rPr>
          <w:rFonts w:ascii="Times New Roman" w:eastAsia="Times New Roman" w:hAnsi="Times New Roman"/>
          <w:bCs/>
          <w:sz w:val="24"/>
          <w:szCs w:val="24"/>
          <w:lang w:eastAsia="es-ES"/>
        </w:rPr>
        <w:t>. En particular, el aumento de los impuestos del tabaco produce un beneficio doble: reducir el tabaquismo, la principal causa de muerte en adultos, y aumentar los ingresos.</w:t>
      </w:r>
    </w:p>
    <w:p w:rsidR="00ED5939" w:rsidRPr="00B327E6" w:rsidRDefault="00ED5939" w:rsidP="00550638">
      <w:pPr>
        <w:spacing w:before="100" w:beforeAutospacing="1" w:after="100" w:afterAutospacing="1" w:line="240" w:lineRule="auto"/>
        <w:jc w:val="both"/>
        <w:rPr>
          <w:rFonts w:ascii="Times New Roman" w:eastAsia="Times New Roman" w:hAnsi="Times New Roman"/>
          <w:bCs/>
          <w:sz w:val="24"/>
          <w:szCs w:val="24"/>
          <w:lang w:eastAsia="es-ES"/>
        </w:rPr>
      </w:pPr>
      <w:r w:rsidRPr="002B4E12">
        <w:rPr>
          <w:rFonts w:ascii="Times New Roman" w:eastAsia="Times New Roman" w:hAnsi="Times New Roman"/>
          <w:bCs/>
          <w:sz w:val="24"/>
          <w:szCs w:val="24"/>
          <w:u w:val="single"/>
          <w:lang w:eastAsia="es-ES"/>
        </w:rPr>
        <w:t>China, India y Sudáfrica se han comprometido a adoptar un seguro nacional de salud.</w:t>
      </w:r>
      <w:r w:rsidRPr="00B327E6">
        <w:rPr>
          <w:rFonts w:ascii="Times New Roman" w:eastAsia="Times New Roman" w:hAnsi="Times New Roman"/>
          <w:bCs/>
          <w:sz w:val="24"/>
          <w:szCs w:val="24"/>
          <w:lang w:eastAsia="es-ES"/>
        </w:rPr>
        <w:t xml:space="preserve"> Cuál de estos países lo logre primero no sólo dependerá de sus ingresos, sino también de su voluntad política por superar intereses creados. También de la capacidad de las instituciones para diseñar una atención de salud racional, monitorear la entrega del servicio y valorar correctamente los nuevos tratamientos.</w:t>
      </w:r>
    </w:p>
    <w:p w:rsidR="00ED5939" w:rsidRDefault="00ED5939" w:rsidP="00550638">
      <w:pPr>
        <w:spacing w:before="100" w:beforeAutospacing="1" w:after="100" w:afterAutospacing="1" w:line="240" w:lineRule="auto"/>
        <w:jc w:val="both"/>
        <w:rPr>
          <w:rFonts w:ascii="Times New Roman" w:eastAsia="Times New Roman" w:hAnsi="Times New Roman"/>
          <w:bCs/>
          <w:color w:val="FF0000"/>
          <w:sz w:val="24"/>
          <w:szCs w:val="24"/>
          <w:u w:val="single"/>
          <w:lang w:eastAsia="es-ES"/>
        </w:rPr>
      </w:pPr>
      <w:r w:rsidRPr="002B4E12">
        <w:rPr>
          <w:rFonts w:ascii="Times New Roman" w:eastAsia="Times New Roman" w:hAnsi="Times New Roman"/>
          <w:bCs/>
          <w:color w:val="FF0000"/>
          <w:sz w:val="24"/>
          <w:szCs w:val="24"/>
          <w:u w:val="single"/>
          <w:lang w:eastAsia="es-ES"/>
        </w:rPr>
        <w:t>Los cost</w:t>
      </w:r>
      <w:r w:rsidR="009D5CA3">
        <w:rPr>
          <w:rFonts w:ascii="Times New Roman" w:eastAsia="Times New Roman" w:hAnsi="Times New Roman"/>
          <w:bCs/>
          <w:color w:val="FF0000"/>
          <w:sz w:val="24"/>
          <w:szCs w:val="24"/>
          <w:u w:val="single"/>
          <w:lang w:eastAsia="es-ES"/>
        </w:rPr>
        <w:t>es de salud en EEUU</w:t>
      </w:r>
      <w:r w:rsidRPr="002B4E12">
        <w:rPr>
          <w:rFonts w:ascii="Times New Roman" w:eastAsia="Times New Roman" w:hAnsi="Times New Roman"/>
          <w:bCs/>
          <w:color w:val="FF0000"/>
          <w:sz w:val="24"/>
          <w:szCs w:val="24"/>
          <w:u w:val="single"/>
          <w:lang w:eastAsia="es-ES"/>
        </w:rPr>
        <w:t xml:space="preserve"> son exorbitantes, con escaso valor por el di</w:t>
      </w:r>
      <w:r w:rsidR="009D5CA3">
        <w:rPr>
          <w:rFonts w:ascii="Times New Roman" w:eastAsia="Times New Roman" w:hAnsi="Times New Roman"/>
          <w:bCs/>
          <w:color w:val="FF0000"/>
          <w:sz w:val="24"/>
          <w:szCs w:val="24"/>
          <w:u w:val="single"/>
          <w:lang w:eastAsia="es-ES"/>
        </w:rPr>
        <w:t>nero. Solo cabe esperar que el “Obamacare”</w:t>
      </w:r>
      <w:r w:rsidRPr="002B4E12">
        <w:rPr>
          <w:rFonts w:ascii="Times New Roman" w:eastAsia="Times New Roman" w:hAnsi="Times New Roman"/>
          <w:bCs/>
          <w:color w:val="FF0000"/>
          <w:sz w:val="24"/>
          <w:szCs w:val="24"/>
          <w:u w:val="single"/>
          <w:lang w:eastAsia="es-ES"/>
        </w:rPr>
        <w:t>, junto con los modelos que están implementando los futuros competidores de EEUU, le inclinen a adoptar el sistema de atención universal y con financiamiento público que hace mucho debería haber instaurado.</w:t>
      </w:r>
    </w:p>
    <w:p w:rsidR="009D5CA3" w:rsidRPr="009D5CA3" w:rsidRDefault="009D5CA3" w:rsidP="00550638">
      <w:pPr>
        <w:spacing w:before="100" w:beforeAutospacing="1" w:after="100" w:afterAutospacing="1" w:line="240" w:lineRule="auto"/>
        <w:jc w:val="both"/>
        <w:rPr>
          <w:rFonts w:ascii="Times New Roman" w:eastAsia="Times New Roman" w:hAnsi="Times New Roman"/>
          <w:bCs/>
          <w:sz w:val="24"/>
          <w:szCs w:val="24"/>
          <w:u w:val="single"/>
          <w:lang w:eastAsia="es-ES"/>
        </w:rPr>
      </w:pPr>
      <w:r w:rsidRPr="009D5CA3">
        <w:rPr>
          <w:rFonts w:ascii="Times New Roman" w:eastAsia="Times New Roman" w:hAnsi="Times New Roman"/>
          <w:bCs/>
          <w:sz w:val="24"/>
          <w:szCs w:val="24"/>
          <w:u w:val="single"/>
          <w:lang w:eastAsia="es-ES"/>
        </w:rPr>
        <w:t>Los antibióticos como proble</w:t>
      </w:r>
      <w:r>
        <w:rPr>
          <w:rFonts w:ascii="Times New Roman" w:eastAsia="Times New Roman" w:hAnsi="Times New Roman"/>
          <w:bCs/>
          <w:sz w:val="24"/>
          <w:szCs w:val="24"/>
          <w:u w:val="single"/>
          <w:lang w:eastAsia="es-ES"/>
        </w:rPr>
        <w:t>ma de salud pública (</w:t>
      </w:r>
      <w:r w:rsidR="00DC4300">
        <w:rPr>
          <w:rFonts w:ascii="Times New Roman" w:eastAsia="Times New Roman" w:hAnsi="Times New Roman"/>
          <w:bCs/>
          <w:sz w:val="24"/>
          <w:szCs w:val="24"/>
          <w:u w:val="single"/>
          <w:lang w:eastAsia="es-ES"/>
        </w:rPr>
        <w:t>la resistencia se dispara</w:t>
      </w:r>
      <w:r w:rsidRPr="009D5CA3">
        <w:rPr>
          <w:rFonts w:ascii="Times New Roman" w:eastAsia="Times New Roman" w:hAnsi="Times New Roman"/>
          <w:bCs/>
          <w:sz w:val="24"/>
          <w:szCs w:val="24"/>
          <w:u w:val="single"/>
          <w:lang w:eastAsia="es-ES"/>
        </w:rPr>
        <w:t>)</w:t>
      </w:r>
    </w:p>
    <w:p w:rsidR="00ED5939" w:rsidRDefault="00ED5939"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F40666">
        <w:rPr>
          <w:rFonts w:ascii="Times New Roman" w:hAnsi="Times New Roman"/>
          <w:sz w:val="24"/>
          <w:szCs w:val="24"/>
          <w:u w:val="single"/>
        </w:rPr>
        <w:t>La era post-antibióticos, a la vuelta de la esquina</w:t>
      </w:r>
      <w:r>
        <w:rPr>
          <w:rFonts w:ascii="Times New Roman" w:hAnsi="Times New Roman"/>
          <w:sz w:val="24"/>
          <w:szCs w:val="24"/>
        </w:rPr>
        <w:t xml:space="preserve"> (El Confidencial - </w:t>
      </w:r>
      <w:r w:rsidRPr="00F40666">
        <w:rPr>
          <w:rFonts w:ascii="Times New Roman" w:hAnsi="Times New Roman"/>
          <w:b/>
          <w:sz w:val="24"/>
          <w:szCs w:val="24"/>
        </w:rPr>
        <w:t>1/4/12</w:t>
      </w:r>
      <w:r>
        <w:rPr>
          <w:rFonts w:ascii="Times New Roman" w:hAnsi="Times New Roman"/>
          <w:sz w:val="24"/>
          <w:szCs w:val="24"/>
        </w:rPr>
        <w:t>)</w:t>
      </w:r>
    </w:p>
    <w:p w:rsidR="00ED5939" w:rsidRPr="00F40666" w:rsidRDefault="00ED5939" w:rsidP="00550638">
      <w:pPr>
        <w:pStyle w:val="centro-texto-notis"/>
        <w:jc w:val="both"/>
      </w:pPr>
      <w:r>
        <w:rPr>
          <w:rStyle w:val="firma-negra-grande"/>
        </w:rPr>
        <w:t>(</w:t>
      </w:r>
      <w:r w:rsidRPr="00F40666">
        <w:rPr>
          <w:rStyle w:val="firma-negra-grande"/>
        </w:rPr>
        <w:t xml:space="preserve">Por </w:t>
      </w:r>
      <w:hyperlink r:id="rId380" w:history="1">
        <w:r w:rsidRPr="00F40666">
          <w:rPr>
            <w:rStyle w:val="Hipervnculo"/>
            <w:rFonts w:eastAsiaTheme="majorEastAsia"/>
            <w:color w:val="auto"/>
          </w:rPr>
          <w:t>Rubén Díaz Caviedes</w:t>
        </w:r>
      </w:hyperlink>
      <w:r w:rsidRPr="00F40666">
        <w:rPr>
          <w:rStyle w:val="hora-publi"/>
        </w:rPr>
        <w:t>)</w:t>
      </w:r>
      <w:r w:rsidR="009D5CA3">
        <w:rPr>
          <w:rStyle w:val="hora-publi"/>
        </w:rPr>
        <w:t xml:space="preserve">                                                               Lectura recomendada</w:t>
      </w:r>
    </w:p>
    <w:p w:rsidR="00ED5939" w:rsidRPr="0087750F" w:rsidRDefault="00ED5939" w:rsidP="00550638">
      <w:pPr>
        <w:pStyle w:val="NormalWeb"/>
        <w:jc w:val="both"/>
      </w:pPr>
      <w:r w:rsidRPr="00CA30F5">
        <w:rPr>
          <w:color w:val="FF0000"/>
          <w:u w:val="single"/>
        </w:rPr>
        <w:t>La directora gen</w:t>
      </w:r>
      <w:r w:rsidR="009D5CA3">
        <w:rPr>
          <w:color w:val="FF0000"/>
          <w:u w:val="single"/>
        </w:rPr>
        <w:t>eral de la OMS -</w:t>
      </w:r>
      <w:r w:rsidRPr="00CA30F5">
        <w:rPr>
          <w:color w:val="FF0000"/>
          <w:u w:val="single"/>
        </w:rPr>
        <w:t>O</w:t>
      </w:r>
      <w:r w:rsidR="00DC4300">
        <w:rPr>
          <w:color w:val="FF0000"/>
          <w:u w:val="single"/>
        </w:rPr>
        <w:t>rganización Mundial de la Salud-</w:t>
      </w:r>
      <w:r w:rsidRPr="00CA30F5">
        <w:rPr>
          <w:color w:val="FF0000"/>
          <w:u w:val="single"/>
        </w:rPr>
        <w:t xml:space="preserve"> y premio Príncipe de Asturias de Cooperación, </w:t>
      </w:r>
      <w:r w:rsidRPr="0087750F">
        <w:rPr>
          <w:bCs/>
          <w:color w:val="FF0000"/>
          <w:u w:val="single"/>
        </w:rPr>
        <w:t>Margaret Chan</w:t>
      </w:r>
      <w:r w:rsidRPr="00CA30F5">
        <w:rPr>
          <w:color w:val="FF0000"/>
          <w:u w:val="single"/>
        </w:rPr>
        <w:t xml:space="preserve">, alertaba la semana pasada de </w:t>
      </w:r>
      <w:r w:rsidRPr="006964D5">
        <w:rPr>
          <w:bCs/>
          <w:color w:val="FF0000"/>
          <w:u w:val="single"/>
        </w:rPr>
        <w:t>la creciente amenaza de las bacterias resistentes a los antibióticos</w:t>
      </w:r>
      <w:r w:rsidRPr="006964D5">
        <w:t>.</w:t>
      </w:r>
      <w:r>
        <w:t xml:space="preserve"> Lo hacía durante la presentación de </w:t>
      </w:r>
      <w:hyperlink r:id="rId381" w:history="1">
        <w:r w:rsidRPr="009D5CA3">
          <w:rPr>
            <w:rStyle w:val="Hipervnculo"/>
            <w:rFonts w:eastAsiaTheme="majorEastAsia"/>
            <w:i/>
            <w:iCs/>
            <w:color w:val="auto"/>
          </w:rPr>
          <w:t>The Evolving Threat of Antimicrobial Resistance: Options for Action</w:t>
        </w:r>
      </w:hyperlink>
      <w:r w:rsidRPr="009D5CA3">
        <w:t xml:space="preserve">, </w:t>
      </w:r>
      <w:r>
        <w:t xml:space="preserve">una completa publicación con la que la OMS pretende arrojar luz sobre un fenómeno que </w:t>
      </w:r>
      <w:r w:rsidRPr="0087750F">
        <w:rPr>
          <w:bCs/>
        </w:rPr>
        <w:t>amenaza con convertirse silenciosamente en un problema de salud pública</w:t>
      </w:r>
      <w:r w:rsidRPr="0087750F">
        <w:t xml:space="preserve"> </w:t>
      </w:r>
      <w:r w:rsidRPr="0087750F">
        <w:rPr>
          <w:bCs/>
        </w:rPr>
        <w:t>de primer orden</w:t>
      </w:r>
      <w:r w:rsidRPr="0087750F">
        <w:t xml:space="preserve">. </w:t>
      </w:r>
    </w:p>
    <w:p w:rsidR="00ED5939" w:rsidRPr="00CA30F5" w:rsidRDefault="00ED5939" w:rsidP="00550638">
      <w:pPr>
        <w:pStyle w:val="NormalWeb"/>
        <w:jc w:val="both"/>
        <w:rPr>
          <w:color w:val="FF0000"/>
          <w:u w:val="single"/>
        </w:rPr>
      </w:pPr>
      <w:r w:rsidRPr="00CA30F5">
        <w:rPr>
          <w:color w:val="FF0000"/>
          <w:u w:val="single"/>
        </w:rPr>
        <w:t xml:space="preserve">Margaret Chan no ha escatimado dramatismo a la hora de concienciar del problema. </w:t>
      </w:r>
      <w:r w:rsidRPr="006964D5">
        <w:rPr>
          <w:color w:val="FF0000"/>
          <w:u w:val="single"/>
        </w:rPr>
        <w:t>“</w:t>
      </w:r>
      <w:r w:rsidRPr="006964D5">
        <w:rPr>
          <w:bCs/>
          <w:color w:val="FF0000"/>
          <w:u w:val="single"/>
        </w:rPr>
        <w:t>La era post-antibióticos implica acabar con la medicina moderna tal y como la conocemos</w:t>
      </w:r>
      <w:r w:rsidRPr="0087750F">
        <w:rPr>
          <w:b/>
          <w:color w:val="FF0000"/>
          <w:u w:val="single"/>
        </w:rPr>
        <w:t>.</w:t>
      </w:r>
      <w:r w:rsidRPr="00CA30F5">
        <w:rPr>
          <w:color w:val="FF0000"/>
          <w:u w:val="single"/>
        </w:rPr>
        <w:t xml:space="preserve"> Cosas tan comunes como una infección de garganta o el rasguño de la rodilla de un niño podrían volver a matar”. </w:t>
      </w:r>
    </w:p>
    <w:p w:rsidR="00ED5939" w:rsidRDefault="00ED5939" w:rsidP="00550638">
      <w:pPr>
        <w:pStyle w:val="NormalWeb"/>
        <w:jc w:val="both"/>
        <w:rPr>
          <w:color w:val="FF0000"/>
          <w:u w:val="single"/>
        </w:rPr>
      </w:pPr>
      <w:r w:rsidRPr="00CA30F5">
        <w:rPr>
          <w:color w:val="FF0000"/>
          <w:u w:val="single"/>
        </w:rPr>
        <w:t>Algunas de las enfermedades más comunes relacionadas con bacterias resistentes al antibiótico son la neumonía, la tuberculosis, la artritis infecciosa, la meningitis, la sepsis, la fascitis necrotizante o la bacteriemia. La lista crece cada día y en las próximas décadas podría ampliarse con un repertorio de infecciones más graves.</w:t>
      </w:r>
    </w:p>
    <w:p w:rsidR="0087750F" w:rsidRPr="00CA30F5" w:rsidRDefault="0087750F" w:rsidP="00550638">
      <w:pPr>
        <w:pStyle w:val="NormalWeb"/>
        <w:jc w:val="both"/>
        <w:rPr>
          <w:color w:val="FF0000"/>
          <w:u w:val="single"/>
        </w:rPr>
      </w:pPr>
    </w:p>
    <w:p w:rsidR="00ED5939" w:rsidRPr="00C41CD9" w:rsidRDefault="00ED5939" w:rsidP="00550638">
      <w:pPr>
        <w:pStyle w:val="NormalWeb"/>
        <w:jc w:val="both"/>
      </w:pPr>
      <w:r w:rsidRPr="009D5CA3">
        <w:rPr>
          <w:bCs/>
        </w:rPr>
        <w:lastRenderedPageBreak/>
        <w:t xml:space="preserve">La resistencia a los antibióticos </w:t>
      </w:r>
      <w:r w:rsidR="00C41CD9">
        <w:rPr>
          <w:bCs/>
        </w:rPr>
        <w:t>“</w:t>
      </w:r>
      <w:r w:rsidRPr="00C41CD9">
        <w:rPr>
          <w:bCs/>
          <w:iCs/>
        </w:rPr>
        <w:t>se dispara</w:t>
      </w:r>
      <w:r w:rsidR="00C41CD9">
        <w:rPr>
          <w:bCs/>
          <w:iCs/>
        </w:rPr>
        <w:t>”</w:t>
      </w:r>
    </w:p>
    <w:p w:rsidR="00ED5939" w:rsidRPr="00CA30F5" w:rsidRDefault="00ED5939" w:rsidP="00550638">
      <w:pPr>
        <w:pStyle w:val="NormalWeb"/>
        <w:jc w:val="both"/>
        <w:rPr>
          <w:u w:val="single"/>
        </w:rPr>
      </w:pPr>
      <w:r w:rsidRPr="00CA30F5">
        <w:rPr>
          <w:u w:val="single"/>
        </w:rPr>
        <w:t xml:space="preserve">Aunque los virus y ciertos parásitos son capaces de desarrollar resistencia a los antibióticos, </w:t>
      </w:r>
      <w:r w:rsidRPr="0087750F">
        <w:rPr>
          <w:bCs/>
          <w:u w:val="single"/>
        </w:rPr>
        <w:t>son las bacterias las que gozan de una mayor capacidad de adaptación</w:t>
      </w:r>
      <w:r w:rsidRPr="0087750F">
        <w:rPr>
          <w:u w:val="single"/>
        </w:rPr>
        <w:t>.</w:t>
      </w:r>
      <w:r w:rsidRPr="00CA30F5">
        <w:rPr>
          <w:u w:val="single"/>
        </w:rPr>
        <w:t xml:space="preserve"> Con una vida media de veinte minutos, las sucesivas generaciones de bacterias se suceden a una velocidad de vértigo, por lo que </w:t>
      </w:r>
      <w:r w:rsidRPr="0087750F">
        <w:rPr>
          <w:bCs/>
          <w:u w:val="single"/>
        </w:rPr>
        <w:t>las mutaciones propias de la selección natural operan en ellas con gran rapidez</w:t>
      </w:r>
      <w:r w:rsidRPr="0087750F">
        <w:rPr>
          <w:u w:val="single"/>
        </w:rPr>
        <w:t>.</w:t>
      </w:r>
      <w:r w:rsidRPr="00CA30F5">
        <w:rPr>
          <w:u w:val="single"/>
        </w:rPr>
        <w:t xml:space="preserve"> Además, estos microorganismos tienen la habilidad de transmitirse genes entre sí mediante la llamada </w:t>
      </w:r>
      <w:hyperlink r:id="rId382" w:history="1">
        <w:r w:rsidRPr="009D5CA3">
          <w:rPr>
            <w:rStyle w:val="Hipervnculo"/>
            <w:rFonts w:eastAsiaTheme="majorEastAsia"/>
            <w:color w:val="auto"/>
          </w:rPr>
          <w:t>transferencia horizontal</w:t>
        </w:r>
      </w:hyperlink>
      <w:r w:rsidRPr="009D5CA3">
        <w:rPr>
          <w:u w:val="single"/>
        </w:rPr>
        <w:t xml:space="preserve">; </w:t>
      </w:r>
      <w:r w:rsidRPr="0087750F">
        <w:rPr>
          <w:bCs/>
          <w:u w:val="single"/>
        </w:rPr>
        <w:t xml:space="preserve">cuando una bacteria porta los genes de resistencia, puede </w:t>
      </w:r>
      <w:r w:rsidR="00C41CD9">
        <w:rPr>
          <w:bCs/>
          <w:u w:val="single"/>
        </w:rPr>
        <w:t>“</w:t>
      </w:r>
      <w:r w:rsidRPr="00C41CD9">
        <w:rPr>
          <w:bCs/>
          <w:iCs/>
          <w:u w:val="single"/>
        </w:rPr>
        <w:t>pasarse</w:t>
      </w:r>
      <w:r w:rsidR="00C41CD9">
        <w:rPr>
          <w:bCs/>
          <w:iCs/>
          <w:u w:val="single"/>
        </w:rPr>
        <w:t>”</w:t>
      </w:r>
      <w:r w:rsidRPr="0087750F">
        <w:rPr>
          <w:bCs/>
          <w:u w:val="single"/>
        </w:rPr>
        <w:t xml:space="preserve"> esta información genética a otra</w:t>
      </w:r>
      <w:r w:rsidRPr="00CA30F5">
        <w:rPr>
          <w:u w:val="single"/>
        </w:rPr>
        <w:t xml:space="preserve"> y hacerla, como ella, inmune. </w:t>
      </w:r>
    </w:p>
    <w:p w:rsidR="00ED5939" w:rsidRDefault="00ED5939" w:rsidP="00550638">
      <w:pPr>
        <w:pStyle w:val="NormalWeb"/>
        <w:jc w:val="both"/>
      </w:pPr>
      <w:r>
        <w:t xml:space="preserve">Aunque los antimicrobianos nos parezcan hoy una parte fundamental de la disciplina médica, lo cierto es que </w:t>
      </w:r>
      <w:r w:rsidRPr="0087750F">
        <w:rPr>
          <w:bCs/>
        </w:rPr>
        <w:t>su uso generalizado no alcanza siquiera el siglo</w:t>
      </w:r>
      <w:r w:rsidRPr="0087750F">
        <w:t>.</w:t>
      </w:r>
      <w:r>
        <w:t xml:space="preserve"> </w:t>
      </w:r>
    </w:p>
    <w:p w:rsidR="00ED5939" w:rsidRPr="00CA30F5" w:rsidRDefault="00ED5939" w:rsidP="00550638">
      <w:pPr>
        <w:pStyle w:val="NormalWeb"/>
        <w:jc w:val="both"/>
        <w:rPr>
          <w:u w:val="single"/>
        </w:rPr>
      </w:pPr>
      <w:r w:rsidRPr="00CA30F5">
        <w:rPr>
          <w:u w:val="single"/>
        </w:rPr>
        <w:t xml:space="preserve">El primer antibiótico producido en masa sería la penicilina, cuyo uso médico se sistematizó a partir de 1943. </w:t>
      </w:r>
      <w:r w:rsidRPr="0087750F">
        <w:rPr>
          <w:bCs/>
          <w:u w:val="single"/>
        </w:rPr>
        <w:t xml:space="preserve">Sólo cuatro años después, en 1947, se descubrieron las primeras cepas de bacterias </w:t>
      </w:r>
      <w:r w:rsidR="00BE3369">
        <w:rPr>
          <w:bCs/>
          <w:u w:val="single"/>
        </w:rPr>
        <w:t>“</w:t>
      </w:r>
      <w:r w:rsidRPr="00BE3369">
        <w:rPr>
          <w:bCs/>
          <w:iCs/>
          <w:u w:val="single"/>
        </w:rPr>
        <w:t>staphylococcus aureus</w:t>
      </w:r>
      <w:r w:rsidR="00BE3369">
        <w:rPr>
          <w:bCs/>
          <w:iCs/>
          <w:u w:val="single"/>
        </w:rPr>
        <w:t>”</w:t>
      </w:r>
      <w:r w:rsidRPr="0087750F">
        <w:rPr>
          <w:bCs/>
          <w:u w:val="single"/>
        </w:rPr>
        <w:t xml:space="preserve"> resistentes</w:t>
      </w:r>
      <w:r w:rsidRPr="00CA30F5">
        <w:rPr>
          <w:u w:val="single"/>
        </w:rPr>
        <w:t xml:space="preserve"> a la penicilina y quince años más tarde el microorganismo ya resistía el uso de la meticilina. Hoy </w:t>
      </w:r>
      <w:hyperlink r:id="rId383" w:history="1">
        <w:r w:rsidRPr="009D5CA3">
          <w:rPr>
            <w:rStyle w:val="Hipervnculo"/>
            <w:rFonts w:eastAsiaTheme="majorEastAsia"/>
            <w:color w:val="auto"/>
          </w:rPr>
          <w:t>la mitad de infecciones de este estafilococo</w:t>
        </w:r>
      </w:hyperlink>
      <w:r w:rsidRPr="00CA30F5">
        <w:rPr>
          <w:i/>
          <w:iCs/>
          <w:u w:val="single"/>
        </w:rPr>
        <w:t xml:space="preserve"> </w:t>
      </w:r>
      <w:r w:rsidRPr="00CA30F5">
        <w:rPr>
          <w:u w:val="single"/>
        </w:rPr>
        <w:t>en Estados Unidos son inmunes también a la tetraciclina y la eritromicina.</w:t>
      </w:r>
      <w:r w:rsidRPr="00CA30F5">
        <w:rPr>
          <w:i/>
          <w:iCs/>
          <w:u w:val="single"/>
        </w:rPr>
        <w:t xml:space="preserve"> </w:t>
      </w:r>
    </w:p>
    <w:p w:rsidR="00ED5939" w:rsidRPr="00CA30F5" w:rsidRDefault="00ED5939" w:rsidP="00550638">
      <w:pPr>
        <w:pStyle w:val="NormalWeb"/>
        <w:jc w:val="both"/>
        <w:rPr>
          <w:color w:val="FF0000"/>
          <w:u w:val="single"/>
        </w:rPr>
      </w:pPr>
      <w:r w:rsidRPr="00CA30F5">
        <w:rPr>
          <w:color w:val="FF0000"/>
          <w:u w:val="single"/>
        </w:rPr>
        <w:t xml:space="preserve">La resistencia al antibiótico es una estrategia adaptativa. Es inevitable que las bacterias la desarrollen, pero dos factores, según los expertos, están </w:t>
      </w:r>
      <w:r w:rsidR="00BE3369">
        <w:rPr>
          <w:color w:val="FF0000"/>
          <w:u w:val="single"/>
        </w:rPr>
        <w:t>“</w:t>
      </w:r>
      <w:r w:rsidRPr="00BE3369">
        <w:rPr>
          <w:iCs/>
          <w:color w:val="FF0000"/>
          <w:u w:val="single"/>
        </w:rPr>
        <w:t>disparando</w:t>
      </w:r>
      <w:r w:rsidR="00BE3369">
        <w:rPr>
          <w:iCs/>
          <w:color w:val="FF0000"/>
          <w:u w:val="single"/>
        </w:rPr>
        <w:t>”</w:t>
      </w:r>
      <w:r w:rsidRPr="00BE3369">
        <w:rPr>
          <w:color w:val="FF0000"/>
          <w:u w:val="single"/>
        </w:rPr>
        <w:t xml:space="preserve"> </w:t>
      </w:r>
      <w:r w:rsidRPr="00CA30F5">
        <w:rPr>
          <w:color w:val="FF0000"/>
          <w:u w:val="single"/>
        </w:rPr>
        <w:t xml:space="preserve">la velocidad con que lo hacen. El primero es </w:t>
      </w:r>
      <w:r w:rsidRPr="0087750F">
        <w:rPr>
          <w:bCs/>
          <w:color w:val="FF0000"/>
          <w:u w:val="single"/>
        </w:rPr>
        <w:t>el abuso del antibiótico</w:t>
      </w:r>
      <w:r w:rsidRPr="0087750F">
        <w:rPr>
          <w:color w:val="FF0000"/>
          <w:u w:val="single"/>
        </w:rPr>
        <w:t xml:space="preserve">. </w:t>
      </w:r>
      <w:r w:rsidRPr="00CA30F5">
        <w:rPr>
          <w:color w:val="FF0000"/>
          <w:u w:val="single"/>
        </w:rPr>
        <w:t xml:space="preserve">Al </w:t>
      </w:r>
      <w:r w:rsidR="00DC4300">
        <w:rPr>
          <w:color w:val="FF0000"/>
          <w:u w:val="single"/>
        </w:rPr>
        <w:t>tomarlos en exceso de cantidad -</w:t>
      </w:r>
      <w:r w:rsidRPr="00CA30F5">
        <w:rPr>
          <w:color w:val="FF0000"/>
          <w:u w:val="single"/>
        </w:rPr>
        <w:t>sin sufrir infección</w:t>
      </w:r>
      <w:r w:rsidR="00DC4300">
        <w:rPr>
          <w:color w:val="FF0000"/>
          <w:u w:val="single"/>
        </w:rPr>
        <w:t xml:space="preserve"> o para la infección incorrecta- o calidad -</w:t>
      </w:r>
      <w:r w:rsidRPr="00CA30F5">
        <w:rPr>
          <w:color w:val="FF0000"/>
          <w:u w:val="single"/>
        </w:rPr>
        <w:t xml:space="preserve">tomar antibióticos de amplio espectro, práctica </w:t>
      </w:r>
      <w:r w:rsidR="00DC4300">
        <w:rPr>
          <w:color w:val="FF0000"/>
          <w:u w:val="single"/>
        </w:rPr>
        <w:t>recurrente en la automedicación-</w:t>
      </w:r>
      <w:r w:rsidRPr="00CA30F5">
        <w:rPr>
          <w:color w:val="FF0000"/>
          <w:u w:val="single"/>
        </w:rPr>
        <w:t xml:space="preserve">, contribuimos a que las bacterias se conviertan en resistentes de forma más rápida. También lo hacemos si no completamos la toma prescrita o si recurrimos a antibióticos de baja calidad. </w:t>
      </w:r>
    </w:p>
    <w:p w:rsidR="00ED5939" w:rsidRPr="00CA30F5" w:rsidRDefault="009D5CA3" w:rsidP="00550638">
      <w:pPr>
        <w:pStyle w:val="NormalWeb"/>
        <w:jc w:val="both"/>
        <w:rPr>
          <w:color w:val="FF0000"/>
          <w:u w:val="single"/>
        </w:rPr>
      </w:pPr>
      <w:r>
        <w:rPr>
          <w:color w:val="FF0000"/>
          <w:u w:val="single"/>
        </w:rPr>
        <w:t>El otro factor -</w:t>
      </w:r>
      <w:r w:rsidR="00ED5939" w:rsidRPr="00CA30F5">
        <w:rPr>
          <w:color w:val="FF0000"/>
          <w:u w:val="single"/>
        </w:rPr>
        <w:t>y</w:t>
      </w:r>
      <w:r>
        <w:rPr>
          <w:color w:val="FF0000"/>
          <w:u w:val="single"/>
        </w:rPr>
        <w:t xml:space="preserve"> para muchos, el más importante-</w:t>
      </w:r>
      <w:r w:rsidR="00ED5939" w:rsidRPr="00CA30F5">
        <w:rPr>
          <w:color w:val="FF0000"/>
          <w:u w:val="single"/>
        </w:rPr>
        <w:t xml:space="preserve"> es </w:t>
      </w:r>
      <w:r w:rsidR="00ED5939" w:rsidRPr="0087750F">
        <w:rPr>
          <w:bCs/>
          <w:color w:val="FF0000"/>
          <w:u w:val="single"/>
        </w:rPr>
        <w:t>la administración sistemática de antibióticos a animales sanos</w:t>
      </w:r>
      <w:r w:rsidR="00ED5939" w:rsidRPr="00CA30F5">
        <w:rPr>
          <w:color w:val="FF0000"/>
          <w:u w:val="single"/>
        </w:rPr>
        <w:t xml:space="preserve">. De poco sirve el consumo responsable en personas cuando más de la mitad de </w:t>
      </w:r>
      <w:hyperlink r:id="rId384" w:history="1">
        <w:r w:rsidR="00ED5939" w:rsidRPr="00CA30F5">
          <w:rPr>
            <w:rStyle w:val="Hipervnculo"/>
            <w:rFonts w:eastAsiaTheme="majorEastAsia"/>
            <w:color w:val="FF0000"/>
          </w:rPr>
          <w:t>los antibióticos que producen los países</w:t>
        </w:r>
      </w:hyperlink>
      <w:r w:rsidR="00ED5939" w:rsidRPr="00CA30F5">
        <w:rPr>
          <w:color w:val="FF0000"/>
          <w:u w:val="single"/>
        </w:rPr>
        <w:t xml:space="preserve"> se destina, de hecho, al consumo animal en piensos y compuestos alimenticios. Muchas bacterias se propagan con facilidad entre animales humanos y </w:t>
      </w:r>
      <w:r w:rsidR="00ED5939" w:rsidRPr="0087750F">
        <w:rPr>
          <w:bCs/>
          <w:color w:val="FF0000"/>
          <w:u w:val="single"/>
        </w:rPr>
        <w:t>el hecho de que se conviertan en resistentes al antibiótico no sólo las hace más peligrosas: también propicia el salto zoológico</w:t>
      </w:r>
      <w:r w:rsidR="00ED5939" w:rsidRPr="0087750F">
        <w:rPr>
          <w:color w:val="FF0000"/>
          <w:u w:val="single"/>
        </w:rPr>
        <w:t>.</w:t>
      </w:r>
      <w:r w:rsidR="00ED5939" w:rsidRPr="00CA30F5">
        <w:rPr>
          <w:color w:val="FF0000"/>
          <w:u w:val="single"/>
        </w:rPr>
        <w:t xml:space="preserve"> </w:t>
      </w:r>
    </w:p>
    <w:p w:rsidR="00ED5939" w:rsidRPr="00CA30F5" w:rsidRDefault="00ED5939" w:rsidP="00550638">
      <w:pPr>
        <w:pStyle w:val="NormalWeb"/>
        <w:jc w:val="both"/>
        <w:rPr>
          <w:color w:val="FF0000"/>
          <w:u w:val="single"/>
        </w:rPr>
      </w:pPr>
      <w:r>
        <w:t xml:space="preserve">Son cada día más las instituciones médicas que </w:t>
      </w:r>
      <w:hyperlink r:id="rId385" w:history="1">
        <w:r w:rsidRPr="00DC4300">
          <w:rPr>
            <w:rStyle w:val="Hipervnculo"/>
            <w:rFonts w:eastAsiaTheme="majorEastAsia"/>
            <w:color w:val="auto"/>
          </w:rPr>
          <w:t>piden acabar con esta práctica</w:t>
        </w:r>
      </w:hyperlink>
      <w:r w:rsidRPr="00DC4300">
        <w:t xml:space="preserve">, especialmente desde que </w:t>
      </w:r>
      <w:hyperlink r:id="rId386" w:history="1">
        <w:r w:rsidRPr="00DC4300">
          <w:rPr>
            <w:rStyle w:val="Hipervnculo"/>
            <w:rFonts w:eastAsiaTheme="majorEastAsia"/>
            <w:color w:val="auto"/>
          </w:rPr>
          <w:t xml:space="preserve">la documentación de cepas del </w:t>
        </w:r>
        <w:r w:rsidR="00BE3369">
          <w:rPr>
            <w:rStyle w:val="Hipervnculo"/>
            <w:rFonts w:eastAsiaTheme="majorEastAsia"/>
            <w:color w:val="auto"/>
          </w:rPr>
          <w:t>“</w:t>
        </w:r>
        <w:r w:rsidRPr="00BE3369">
          <w:rPr>
            <w:rStyle w:val="Hipervnculo"/>
            <w:rFonts w:eastAsiaTheme="majorEastAsia"/>
            <w:iCs/>
            <w:color w:val="auto"/>
          </w:rPr>
          <w:t>staphylococcus aureus</w:t>
        </w:r>
        <w:r w:rsidR="00BE3369">
          <w:rPr>
            <w:rStyle w:val="Hipervnculo"/>
            <w:rFonts w:eastAsiaTheme="majorEastAsia"/>
            <w:iCs/>
            <w:color w:val="auto"/>
          </w:rPr>
          <w:t>”</w:t>
        </w:r>
        <w:r w:rsidRPr="00DC4300">
          <w:rPr>
            <w:rStyle w:val="Hipervnculo"/>
            <w:rFonts w:eastAsiaTheme="majorEastAsia"/>
            <w:i/>
            <w:iCs/>
            <w:color w:val="auto"/>
          </w:rPr>
          <w:t xml:space="preserve"> </w:t>
        </w:r>
        <w:r w:rsidRPr="00DC4300">
          <w:rPr>
            <w:rStyle w:val="Hipervnculo"/>
            <w:rFonts w:eastAsiaTheme="majorEastAsia"/>
            <w:color w:val="auto"/>
          </w:rPr>
          <w:t>en caballos, gatos y perros</w:t>
        </w:r>
      </w:hyperlink>
      <w:r w:rsidR="009D5CA3" w:rsidRPr="00DC4300">
        <w:t xml:space="preserve"> -</w:t>
      </w:r>
      <w:r w:rsidRPr="00DC4300">
        <w:t xml:space="preserve">que </w:t>
      </w:r>
      <w:r w:rsidR="009D5CA3" w:rsidRPr="00DC4300">
        <w:t>se creen derivadas de la humana-</w:t>
      </w:r>
      <w:r w:rsidRPr="00DC4300">
        <w:t xml:space="preserve"> hiciera </w:t>
      </w:r>
      <w:hyperlink r:id="rId387" w:tgtFrame="_blank" w:history="1">
        <w:r w:rsidRPr="00DC4300">
          <w:rPr>
            <w:rStyle w:val="Hipervnculo"/>
            <w:rFonts w:eastAsiaTheme="majorEastAsia"/>
            <w:color w:val="auto"/>
          </w:rPr>
          <w:t>saltar las alarmas</w:t>
        </w:r>
      </w:hyperlink>
      <w:r w:rsidRPr="00DC4300">
        <w:t xml:space="preserve">. </w:t>
      </w:r>
      <w:r w:rsidRPr="00CA30F5">
        <w:rPr>
          <w:color w:val="FF0000"/>
          <w:u w:val="single"/>
        </w:rPr>
        <w:t xml:space="preserve">La propia Chan aseguraba en Copenhague que “el hecho de que </w:t>
      </w:r>
      <w:r w:rsidRPr="0087750F">
        <w:rPr>
          <w:bCs/>
          <w:color w:val="FF0000"/>
          <w:u w:val="single"/>
        </w:rPr>
        <w:t>se esté administrando mucha más cantidad de antibióticos a animales sanos que a seres humanos enfermos</w:t>
      </w:r>
      <w:r w:rsidRPr="0087750F">
        <w:rPr>
          <w:color w:val="FF0000"/>
          <w:u w:val="single"/>
        </w:rPr>
        <w:t xml:space="preserve"> </w:t>
      </w:r>
      <w:r w:rsidRPr="00CA30F5">
        <w:rPr>
          <w:color w:val="FF0000"/>
          <w:u w:val="single"/>
        </w:rPr>
        <w:t xml:space="preserve">es digno de preocupación”. </w:t>
      </w:r>
    </w:p>
    <w:p w:rsidR="00ED5939" w:rsidRPr="00DC4300" w:rsidRDefault="00ED5939" w:rsidP="00550638">
      <w:pPr>
        <w:pStyle w:val="NormalWeb"/>
        <w:jc w:val="both"/>
      </w:pPr>
      <w:r w:rsidRPr="00DC4300">
        <w:rPr>
          <w:bCs/>
        </w:rPr>
        <w:t>Un problema de salud pública</w:t>
      </w:r>
    </w:p>
    <w:p w:rsidR="00ED5939" w:rsidRPr="0087750F" w:rsidRDefault="00ED5939" w:rsidP="00550638">
      <w:pPr>
        <w:pStyle w:val="NormalWeb"/>
        <w:jc w:val="both"/>
      </w:pPr>
      <w:r>
        <w:t xml:space="preserve">Chan también alerta del peligro de poner todas nuestras esperanzas en alternativas que, como </w:t>
      </w:r>
      <w:r w:rsidRPr="00DC4300">
        <w:t xml:space="preserve">la </w:t>
      </w:r>
      <w:hyperlink r:id="rId388" w:anchor="Terapia_f.C3.A1gica" w:history="1">
        <w:r w:rsidRPr="00DC4300">
          <w:rPr>
            <w:rStyle w:val="Hipervnculo"/>
            <w:rFonts w:eastAsiaTheme="majorEastAsia"/>
            <w:color w:val="auto"/>
          </w:rPr>
          <w:t>terapia fágica</w:t>
        </w:r>
      </w:hyperlink>
      <w:r>
        <w:t>, podrían sustituir al antibiótico en determinados supuestos: “Los tratamientos alternativos son más costosos, más tóxicos, requieren una administración mucho más larga y en ocasiones, el internamiento en u</w:t>
      </w:r>
      <w:r w:rsidR="00DC4300">
        <w:t xml:space="preserve">nidades de cuidados intensivos </w:t>
      </w:r>
      <w:r w:rsidR="00DC4300">
        <w:lastRenderedPageBreak/>
        <w:t>(…)</w:t>
      </w:r>
      <w:r>
        <w:t xml:space="preserve"> Algunas intervenciones complejas, como el reemplazo de la cadera, el trasplante de órganos, la quimioterapia para el cáncer o el cuidado de niños prematuros </w:t>
      </w:r>
      <w:r w:rsidRPr="0087750F">
        <w:rPr>
          <w:bCs/>
        </w:rPr>
        <w:t>serán más complicadas e incluso más peligrosas de acometer</w:t>
      </w:r>
      <w:r w:rsidRPr="0087750F">
        <w:t xml:space="preserve">”. </w:t>
      </w:r>
    </w:p>
    <w:p w:rsidR="00ED5939" w:rsidRDefault="00ED5939" w:rsidP="00550638">
      <w:pPr>
        <w:pStyle w:val="NormalWeb"/>
        <w:jc w:val="both"/>
      </w:pPr>
      <w:r w:rsidRPr="00CA30F5">
        <w:rPr>
          <w:color w:val="FF0000"/>
          <w:u w:val="single"/>
        </w:rPr>
        <w:t xml:space="preserve">Para la directora de la OMS, la estrategia pasa por la racionalización del uso de antibióticos y la desaparición del producto de la dieta industrial para animales: </w:t>
      </w:r>
      <w:r w:rsidRPr="0087750F">
        <w:rPr>
          <w:bCs/>
          <w:color w:val="FF0000"/>
          <w:u w:val="single"/>
        </w:rPr>
        <w:t>“¿Por qué invertir cantidades de dinero considerables en el desarrollo de nuevos antimicrobianos si el uso irracional acelerara su inefectividad antes de que se pueda recuperar la inversión?”</w:t>
      </w:r>
      <w:r w:rsidRPr="00CA30F5">
        <w:rPr>
          <w:color w:val="FF0000"/>
          <w:u w:val="single"/>
        </w:rPr>
        <w:t>, se planteó</w:t>
      </w:r>
      <w:r>
        <w:t xml:space="preserve">. La pregunta de Chan bien podría ir dirigida a las industrias farmacéuticas y del alimento para animales, que tradicionalmente han eludido tanta recomendación haya emitido la OMS al respecto. </w:t>
      </w:r>
    </w:p>
    <w:p w:rsidR="00ED5939" w:rsidRDefault="00ED5939" w:rsidP="00550638">
      <w:pPr>
        <w:pStyle w:val="NormalWeb"/>
        <w:jc w:val="both"/>
        <w:rPr>
          <w:u w:val="single"/>
        </w:rPr>
      </w:pPr>
      <w:r w:rsidRPr="00CA30F5">
        <w:rPr>
          <w:u w:val="single"/>
        </w:rPr>
        <w:t xml:space="preserve">Junto con </w:t>
      </w:r>
      <w:r w:rsidRPr="0087750F">
        <w:rPr>
          <w:bCs/>
          <w:u w:val="single"/>
        </w:rPr>
        <w:t>la concienciación de los profesionales de la medicina, la regulación institucional y la actuación responsable de las industrias</w:t>
      </w:r>
      <w:r w:rsidRPr="0087750F">
        <w:rPr>
          <w:u w:val="single"/>
        </w:rPr>
        <w:t>,</w:t>
      </w:r>
      <w:r w:rsidRPr="00CA30F5">
        <w:rPr>
          <w:u w:val="single"/>
        </w:rPr>
        <w:t xml:space="preserve"> Chan destaca que la iniciativa individual es fundamental para atajar el problema. Prevenir la infección mediante la higiene y recurrir exclusivamente al tratamiento de antibióticos prescrito por un médico son costumbres que ayudarán a que nuestros hijos y nietos disfruten de medicamentos tan eficaces como los antibióticos de hoy en día. </w:t>
      </w:r>
    </w:p>
    <w:p w:rsidR="00975C8F" w:rsidRDefault="00975C8F" w:rsidP="00550638">
      <w:pPr>
        <w:pStyle w:val="NormalWeb"/>
        <w:jc w:val="both"/>
        <w:rPr>
          <w:u w:val="single"/>
        </w:rPr>
      </w:pPr>
      <w:r>
        <w:rPr>
          <w:u w:val="single"/>
        </w:rPr>
        <w:t xml:space="preserve">Krugman avisa: está en peligro la cobertura sanitaria de 30 millones de estadounidenses </w:t>
      </w:r>
    </w:p>
    <w:p w:rsidR="00ED5939" w:rsidRPr="00CA068D" w:rsidRDefault="00ED5939"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CA068D">
        <w:rPr>
          <w:rFonts w:ascii="Times New Roman" w:hAnsi="Times New Roman"/>
          <w:sz w:val="24"/>
          <w:szCs w:val="24"/>
          <w:u w:val="single"/>
        </w:rPr>
        <w:t>Brécol y mala fe</w:t>
      </w:r>
      <w:r>
        <w:rPr>
          <w:rFonts w:ascii="Times New Roman" w:hAnsi="Times New Roman"/>
          <w:sz w:val="24"/>
          <w:szCs w:val="24"/>
        </w:rPr>
        <w:t xml:space="preserve"> (El País - </w:t>
      </w:r>
      <w:r w:rsidRPr="00CA068D">
        <w:rPr>
          <w:rFonts w:ascii="Times New Roman" w:hAnsi="Times New Roman"/>
          <w:b/>
          <w:sz w:val="24"/>
          <w:szCs w:val="24"/>
        </w:rPr>
        <w:t>1/4/12</w:t>
      </w:r>
      <w:r>
        <w:rPr>
          <w:rFonts w:ascii="Times New Roman" w:hAnsi="Times New Roman"/>
          <w:sz w:val="24"/>
          <w:szCs w:val="24"/>
        </w:rPr>
        <w:t>)</w:t>
      </w:r>
      <w:r w:rsidR="00975C8F">
        <w:rPr>
          <w:rFonts w:ascii="Times New Roman" w:hAnsi="Times New Roman"/>
          <w:sz w:val="24"/>
          <w:szCs w:val="24"/>
        </w:rPr>
        <w:t xml:space="preserve">                                                 Lectura recomendada</w:t>
      </w:r>
    </w:p>
    <w:p w:rsidR="00ED5939" w:rsidRPr="00CA068D" w:rsidRDefault="00ED5939" w:rsidP="00550638">
      <w:pPr>
        <w:spacing w:line="240" w:lineRule="auto"/>
        <w:jc w:val="both"/>
        <w:rPr>
          <w:rFonts w:ascii="Times New Roman" w:hAnsi="Times New Roman"/>
          <w:sz w:val="24"/>
          <w:szCs w:val="24"/>
        </w:rPr>
      </w:pPr>
      <w:r>
        <w:rPr>
          <w:rFonts w:ascii="Times New Roman" w:hAnsi="Times New Roman"/>
          <w:sz w:val="24"/>
          <w:szCs w:val="24"/>
        </w:rPr>
        <w:t xml:space="preserve">(Por </w:t>
      </w:r>
      <w:r w:rsidRPr="00CA068D">
        <w:rPr>
          <w:rFonts w:ascii="Times New Roman" w:hAnsi="Times New Roman"/>
          <w:sz w:val="24"/>
          <w:szCs w:val="24"/>
        </w:rPr>
        <w:t>Pau</w:t>
      </w:r>
      <w:r>
        <w:rPr>
          <w:rFonts w:ascii="Times New Roman" w:hAnsi="Times New Roman"/>
          <w:sz w:val="24"/>
          <w:szCs w:val="24"/>
        </w:rPr>
        <w:t>l Krugman)</w:t>
      </w:r>
      <w:r w:rsidRPr="00CA068D">
        <w:rPr>
          <w:rFonts w:ascii="Times New Roman" w:hAnsi="Times New Roman"/>
          <w:sz w:val="24"/>
          <w:szCs w:val="24"/>
        </w:rPr>
        <w:t xml:space="preserve"> </w:t>
      </w:r>
    </w:p>
    <w:p w:rsidR="00ED5939" w:rsidRPr="00CA068D" w:rsidRDefault="00ED5939" w:rsidP="00550638">
      <w:pPr>
        <w:spacing w:line="240" w:lineRule="auto"/>
        <w:jc w:val="both"/>
        <w:rPr>
          <w:rFonts w:ascii="Times New Roman" w:hAnsi="Times New Roman"/>
          <w:sz w:val="24"/>
          <w:szCs w:val="24"/>
        </w:rPr>
      </w:pPr>
      <w:r w:rsidRPr="00746563">
        <w:rPr>
          <w:rFonts w:ascii="Times New Roman" w:hAnsi="Times New Roman"/>
          <w:color w:val="FF0000"/>
          <w:sz w:val="24"/>
          <w:szCs w:val="24"/>
          <w:u w:val="single"/>
        </w:rPr>
        <w:t>Nadie sabe lo que decidirá el Tribunal Supremo de Estados Unidos en relación con la ley de reforma sanitaria de Barak Obama. Pero tras las vistas de esta semana parece bastante posible que el trib</w:t>
      </w:r>
      <w:r w:rsidR="00975C8F">
        <w:rPr>
          <w:rFonts w:ascii="Times New Roman" w:hAnsi="Times New Roman"/>
          <w:color w:val="FF0000"/>
          <w:sz w:val="24"/>
          <w:szCs w:val="24"/>
          <w:u w:val="single"/>
        </w:rPr>
        <w:t>unal revoque el llamado mandato -</w:t>
      </w:r>
      <w:r w:rsidRPr="00746563">
        <w:rPr>
          <w:rFonts w:ascii="Times New Roman" w:hAnsi="Times New Roman"/>
          <w:color w:val="FF0000"/>
          <w:sz w:val="24"/>
          <w:szCs w:val="24"/>
          <w:u w:val="single"/>
        </w:rPr>
        <w:t xml:space="preserve">la obligatoriedad de que los individuos contraten un seguro </w:t>
      </w:r>
      <w:r w:rsidR="00975C8F">
        <w:rPr>
          <w:rFonts w:ascii="Times New Roman" w:hAnsi="Times New Roman"/>
          <w:color w:val="FF0000"/>
          <w:sz w:val="24"/>
          <w:szCs w:val="24"/>
          <w:u w:val="single"/>
        </w:rPr>
        <w:t>sanitario-</w:t>
      </w:r>
      <w:r w:rsidRPr="00746563">
        <w:rPr>
          <w:rFonts w:ascii="Times New Roman" w:hAnsi="Times New Roman"/>
          <w:color w:val="FF0000"/>
          <w:sz w:val="24"/>
          <w:szCs w:val="24"/>
          <w:u w:val="single"/>
        </w:rPr>
        <w:t>, y puede que la ley en su totalidad</w:t>
      </w:r>
      <w:r w:rsidRPr="00CA068D">
        <w:rPr>
          <w:rFonts w:ascii="Times New Roman" w:hAnsi="Times New Roman"/>
          <w:sz w:val="24"/>
          <w:szCs w:val="24"/>
        </w:rPr>
        <w:t>. La supresión del mandato haría la ley mucho menos factible, mientras que revocarla por entero equivaldría a negar la cobertura sanitaria a 30 millones de estadounidenses o más.</w:t>
      </w:r>
    </w:p>
    <w:p w:rsidR="00ED5939" w:rsidRPr="0068582B" w:rsidRDefault="00ED5939" w:rsidP="00550638">
      <w:pPr>
        <w:spacing w:line="240" w:lineRule="auto"/>
        <w:jc w:val="both"/>
        <w:rPr>
          <w:rFonts w:ascii="Times New Roman" w:hAnsi="Times New Roman"/>
          <w:sz w:val="24"/>
          <w:szCs w:val="24"/>
          <w:u w:val="single"/>
        </w:rPr>
      </w:pPr>
      <w:r w:rsidRPr="0068582B">
        <w:rPr>
          <w:rFonts w:ascii="Times New Roman" w:hAnsi="Times New Roman"/>
          <w:sz w:val="24"/>
          <w:szCs w:val="24"/>
          <w:u w:val="single"/>
        </w:rPr>
        <w:t>Dado lo que está en juego, uno podría haber esperado que todos los miembros del tribunal tuviesen mucho cuidado al hablar tanto de la realidad de la asistencia sanitaria como de los antecedentes legales. Sin embargo, el hecho es que el segundo día de vistas indicó que los jueces más hostiles a la ley no comprenden, o prefieren no comprender, cómo funcionan los seguros. Y el tercer día fue, en cierto sentido, todavía peor, ya que los jueces contrarios a la reforma parecían aceptar cualquier argumento, por endeble que fuese, que pudiesen utilizar para acabar con la reforma.</w:t>
      </w:r>
    </w:p>
    <w:p w:rsidR="00ED5939" w:rsidRPr="0068582B" w:rsidRDefault="00ED5939" w:rsidP="00550638">
      <w:pPr>
        <w:spacing w:line="240" w:lineRule="auto"/>
        <w:jc w:val="both"/>
        <w:rPr>
          <w:rFonts w:ascii="Times New Roman" w:hAnsi="Times New Roman"/>
          <w:color w:val="FF0000"/>
          <w:sz w:val="24"/>
          <w:szCs w:val="24"/>
          <w:u w:val="single"/>
        </w:rPr>
      </w:pPr>
      <w:r w:rsidRPr="0068582B">
        <w:rPr>
          <w:rFonts w:ascii="Times New Roman" w:hAnsi="Times New Roman"/>
          <w:color w:val="FF0000"/>
          <w:sz w:val="24"/>
          <w:szCs w:val="24"/>
          <w:u w:val="single"/>
        </w:rPr>
        <w:t>Empecemos con la ya famosa intervención en la que el juez Antonin Scalia comparaba la contratación de un seguro sanitario con la compra de brécol, dando a entender que si el Gobierno puede obligarnos a hacer lo primero, también puede obligarnos a hacer lo segundo. Esa comparación horrorizó a los expertos en asistencia sanitaria de todo Estados Unidos, porque los seguros sanitarios no se parecen en nada al brécol.</w:t>
      </w:r>
    </w:p>
    <w:p w:rsidR="0087750F" w:rsidRDefault="00ED5939" w:rsidP="00550638">
      <w:pPr>
        <w:spacing w:line="240" w:lineRule="auto"/>
        <w:jc w:val="both"/>
        <w:rPr>
          <w:rFonts w:ascii="Times New Roman" w:hAnsi="Times New Roman"/>
          <w:color w:val="FF0000"/>
          <w:sz w:val="24"/>
          <w:szCs w:val="24"/>
          <w:u w:val="single"/>
        </w:rPr>
      </w:pPr>
      <w:r w:rsidRPr="0068582B">
        <w:rPr>
          <w:rFonts w:ascii="Times New Roman" w:hAnsi="Times New Roman"/>
          <w:color w:val="FF0000"/>
          <w:sz w:val="24"/>
          <w:szCs w:val="24"/>
          <w:u w:val="single"/>
        </w:rPr>
        <w:t>¿Por qué? Cuando la gente decide no comprar brécol, no hace que el brécol deje de estar al alcance de aquellos que lo quieren. Pero cuando la gente no contrata un segu</w:t>
      </w:r>
      <w:r w:rsidR="00975C8F">
        <w:rPr>
          <w:rFonts w:ascii="Times New Roman" w:hAnsi="Times New Roman"/>
          <w:color w:val="FF0000"/>
          <w:sz w:val="24"/>
          <w:szCs w:val="24"/>
          <w:u w:val="single"/>
        </w:rPr>
        <w:t>ro sanitario hasta que enferma -</w:t>
      </w:r>
      <w:r w:rsidRPr="0068582B">
        <w:rPr>
          <w:rFonts w:ascii="Times New Roman" w:hAnsi="Times New Roman"/>
          <w:color w:val="FF0000"/>
          <w:sz w:val="24"/>
          <w:szCs w:val="24"/>
          <w:u w:val="single"/>
        </w:rPr>
        <w:t>que es lo que p</w:t>
      </w:r>
      <w:r w:rsidR="00975C8F">
        <w:rPr>
          <w:rFonts w:ascii="Times New Roman" w:hAnsi="Times New Roman"/>
          <w:color w:val="FF0000"/>
          <w:sz w:val="24"/>
          <w:szCs w:val="24"/>
          <w:u w:val="single"/>
        </w:rPr>
        <w:t>asa cuando no existe un mandato-</w:t>
      </w:r>
      <w:r w:rsidRPr="0068582B">
        <w:rPr>
          <w:rFonts w:ascii="Times New Roman" w:hAnsi="Times New Roman"/>
          <w:color w:val="FF0000"/>
          <w:sz w:val="24"/>
          <w:szCs w:val="24"/>
          <w:u w:val="single"/>
        </w:rPr>
        <w:t xml:space="preserve">, el consiguiente empeoramiento del fondo contra riesgos hace que los seguros sean más </w:t>
      </w:r>
      <w:r w:rsidRPr="0068582B">
        <w:rPr>
          <w:rFonts w:ascii="Times New Roman" w:hAnsi="Times New Roman"/>
          <w:color w:val="FF0000"/>
          <w:sz w:val="24"/>
          <w:szCs w:val="24"/>
          <w:u w:val="single"/>
        </w:rPr>
        <w:lastRenderedPageBreak/>
        <w:t>caros, y a menudo inasequibles, para el resto de la gente. Como consecuencia, los seguros sanitarios no regulados básicamente no funcionan, y nunca lo han hecho.</w:t>
      </w:r>
    </w:p>
    <w:p w:rsidR="00ED5939" w:rsidRPr="0087750F" w:rsidRDefault="00ED5939" w:rsidP="00550638">
      <w:pPr>
        <w:spacing w:line="240" w:lineRule="auto"/>
        <w:jc w:val="both"/>
        <w:rPr>
          <w:rFonts w:ascii="Times New Roman" w:hAnsi="Times New Roman"/>
          <w:color w:val="FF0000"/>
          <w:sz w:val="24"/>
          <w:szCs w:val="24"/>
          <w:u w:val="single"/>
        </w:rPr>
      </w:pPr>
      <w:r w:rsidRPr="0068582B">
        <w:rPr>
          <w:rFonts w:ascii="Times New Roman" w:hAnsi="Times New Roman"/>
          <w:sz w:val="24"/>
          <w:szCs w:val="24"/>
          <w:u w:val="single"/>
        </w:rPr>
        <w:t>Hay al menos dos formas de hacer frente a esta realidad (que, por cierto, es en gran medida un proceso que entraña comercio interestatal y, por tanto, es un problema que atañe a las autoridades federales).</w:t>
      </w:r>
      <w:r w:rsidR="00975C8F">
        <w:rPr>
          <w:rFonts w:ascii="Times New Roman" w:hAnsi="Times New Roman"/>
          <w:sz w:val="24"/>
          <w:szCs w:val="24"/>
          <w:u w:val="single"/>
        </w:rPr>
        <w:t xml:space="preserve"> Una es gravar a todo el mundo -sanos y enfermos por igual-</w:t>
      </w:r>
      <w:r w:rsidRPr="0068582B">
        <w:rPr>
          <w:rFonts w:ascii="Times New Roman" w:hAnsi="Times New Roman"/>
          <w:sz w:val="24"/>
          <w:szCs w:val="24"/>
          <w:u w:val="single"/>
        </w:rPr>
        <w:t xml:space="preserve"> y utilizar el dinero recaudado para proporcionar cobertura sanitaria. Eso es lo que hacen Medicare y Medicaid. La otra es exigir que todo el mundo contrate un seguro, a la vez que se ayuda a aquellos para los que esto supone una dificultad económica.</w:t>
      </w:r>
    </w:p>
    <w:p w:rsidR="00ED5939" w:rsidRPr="0068582B" w:rsidRDefault="00ED5939" w:rsidP="00550638">
      <w:pPr>
        <w:spacing w:line="240" w:lineRule="auto"/>
        <w:jc w:val="both"/>
        <w:rPr>
          <w:rFonts w:ascii="Times New Roman" w:hAnsi="Times New Roman"/>
          <w:color w:val="FF0000"/>
          <w:sz w:val="24"/>
          <w:szCs w:val="24"/>
          <w:u w:val="single"/>
        </w:rPr>
      </w:pPr>
      <w:r w:rsidRPr="0068582B">
        <w:rPr>
          <w:rFonts w:ascii="Times New Roman" w:hAnsi="Times New Roman"/>
          <w:color w:val="FF0000"/>
          <w:sz w:val="24"/>
          <w:szCs w:val="24"/>
          <w:u w:val="single"/>
        </w:rPr>
        <w:t>¿Son estos planteamientos diferentes en el fondo? ¿Exigir que los ciudadanos paguen un impuesto que financie la cobertura sanitaria está bien, pero exigir que contraten un seguro sanitario es inconstitucional? Resulta difícil ver la razón</w:t>
      </w:r>
      <w:r w:rsidRPr="00CA068D">
        <w:rPr>
          <w:rFonts w:ascii="Times New Roman" w:hAnsi="Times New Roman"/>
          <w:sz w:val="24"/>
          <w:szCs w:val="24"/>
        </w:rPr>
        <w:t xml:space="preserve"> (y no somos solo los que no tenemos formación en temas legales los que consideramos extraña esa distinción). Esto es lo que decía </w:t>
      </w:r>
      <w:r w:rsidRPr="0068582B">
        <w:rPr>
          <w:rFonts w:ascii="Times New Roman" w:hAnsi="Times New Roman"/>
          <w:color w:val="FF0000"/>
          <w:sz w:val="24"/>
          <w:szCs w:val="24"/>
        </w:rPr>
        <w:t>Charles Fried</w:t>
      </w:r>
      <w:r w:rsidR="00975C8F">
        <w:rPr>
          <w:rFonts w:ascii="Times New Roman" w:hAnsi="Times New Roman"/>
          <w:sz w:val="24"/>
          <w:szCs w:val="24"/>
        </w:rPr>
        <w:t xml:space="preserve"> -</w:t>
      </w:r>
      <w:r w:rsidRPr="00CA068D">
        <w:rPr>
          <w:rFonts w:ascii="Times New Roman" w:hAnsi="Times New Roman"/>
          <w:sz w:val="24"/>
          <w:szCs w:val="24"/>
        </w:rPr>
        <w:t xml:space="preserve">que fue </w:t>
      </w:r>
      <w:r w:rsidRPr="0068582B">
        <w:rPr>
          <w:rFonts w:ascii="Times New Roman" w:hAnsi="Times New Roman"/>
          <w:color w:val="FF0000"/>
          <w:sz w:val="24"/>
          <w:szCs w:val="24"/>
        </w:rPr>
        <w:t>subsecretario de Justicia de Ronald Reagan</w:t>
      </w:r>
      <w:r w:rsidR="00975C8F">
        <w:rPr>
          <w:rFonts w:ascii="Times New Roman" w:hAnsi="Times New Roman"/>
          <w:sz w:val="24"/>
          <w:szCs w:val="24"/>
        </w:rPr>
        <w:t>-</w:t>
      </w:r>
      <w:r w:rsidRPr="00CA068D">
        <w:rPr>
          <w:rFonts w:ascii="Times New Roman" w:hAnsi="Times New Roman"/>
          <w:sz w:val="24"/>
          <w:szCs w:val="24"/>
        </w:rPr>
        <w:t xml:space="preserve"> en una entrevista reciente con The Washington Post: </w:t>
      </w:r>
      <w:r w:rsidRPr="0068582B">
        <w:rPr>
          <w:rFonts w:ascii="Times New Roman" w:hAnsi="Times New Roman"/>
          <w:color w:val="FF0000"/>
          <w:sz w:val="24"/>
          <w:szCs w:val="24"/>
          <w:u w:val="single"/>
        </w:rPr>
        <w:t>“Nunca he entendido por qué establecer una norma que obligue a las personas a comprar algo es por alguna razón más doloroso que establecer una norma que les obligue a pagar impuestos para luego dárselo”.</w:t>
      </w:r>
    </w:p>
    <w:p w:rsidR="00ED5939" w:rsidRPr="00CA068D" w:rsidRDefault="00ED5939" w:rsidP="00550638">
      <w:pPr>
        <w:spacing w:line="240" w:lineRule="auto"/>
        <w:jc w:val="both"/>
        <w:rPr>
          <w:rFonts w:ascii="Times New Roman" w:hAnsi="Times New Roman"/>
          <w:sz w:val="24"/>
          <w:szCs w:val="24"/>
        </w:rPr>
      </w:pPr>
      <w:r w:rsidRPr="00CA068D">
        <w:rPr>
          <w:rFonts w:ascii="Times New Roman" w:hAnsi="Times New Roman"/>
          <w:sz w:val="24"/>
          <w:szCs w:val="24"/>
        </w:rPr>
        <w:t>De hecho, a los conservadores solía gustarles la idea de las compras obligatorias como una alternativa a los impuestos, que es la razón por la que la idea del mandato fue inicialmente propuesta no por los liberales, sino por la ultraconservadora Fundación Heritage. (Por cierto, otro proyecto p</w:t>
      </w:r>
      <w:r w:rsidR="00975C8F">
        <w:rPr>
          <w:rFonts w:ascii="Times New Roman" w:hAnsi="Times New Roman"/>
          <w:sz w:val="24"/>
          <w:szCs w:val="24"/>
        </w:rPr>
        <w:t>redilecto de los conservadores -</w:t>
      </w:r>
      <w:r w:rsidRPr="00CA068D">
        <w:rPr>
          <w:rFonts w:ascii="Times New Roman" w:hAnsi="Times New Roman"/>
          <w:sz w:val="24"/>
          <w:szCs w:val="24"/>
        </w:rPr>
        <w:t>las cuentas privadas como su</w:t>
      </w:r>
      <w:r w:rsidR="00975C8F">
        <w:rPr>
          <w:rFonts w:ascii="Times New Roman" w:hAnsi="Times New Roman"/>
          <w:sz w:val="24"/>
          <w:szCs w:val="24"/>
        </w:rPr>
        <w:t>stitutas de la Seguridad Social-</w:t>
      </w:r>
      <w:r w:rsidRPr="00CA068D">
        <w:rPr>
          <w:rFonts w:ascii="Times New Roman" w:hAnsi="Times New Roman"/>
          <w:sz w:val="24"/>
          <w:szCs w:val="24"/>
        </w:rPr>
        <w:t xml:space="preserve"> depende de, sí, las contribuciones o</w:t>
      </w:r>
      <w:r>
        <w:rPr>
          <w:rFonts w:ascii="Times New Roman" w:hAnsi="Times New Roman"/>
          <w:sz w:val="24"/>
          <w:szCs w:val="24"/>
        </w:rPr>
        <w:t>bligatorias de los individuos).</w:t>
      </w:r>
      <w:r w:rsidRPr="00CA068D">
        <w:rPr>
          <w:rFonts w:ascii="Times New Roman" w:hAnsi="Times New Roman"/>
          <w:sz w:val="24"/>
          <w:szCs w:val="24"/>
        </w:rPr>
        <w:t xml:space="preserve"> </w:t>
      </w:r>
    </w:p>
    <w:p w:rsidR="00ED5939" w:rsidRPr="00CA068D" w:rsidRDefault="00ED5939" w:rsidP="00550638">
      <w:pPr>
        <w:spacing w:line="240" w:lineRule="auto"/>
        <w:jc w:val="both"/>
        <w:rPr>
          <w:rFonts w:ascii="Times New Roman" w:hAnsi="Times New Roman"/>
          <w:sz w:val="24"/>
          <w:szCs w:val="24"/>
        </w:rPr>
      </w:pPr>
      <w:r w:rsidRPr="00CA068D">
        <w:rPr>
          <w:rFonts w:ascii="Times New Roman" w:hAnsi="Times New Roman"/>
          <w:sz w:val="24"/>
          <w:szCs w:val="24"/>
        </w:rPr>
        <w:t>De modo que ¿ha habido aquí un cambio real en el pensamiento legal? Fried opina que no es más que política (y otros debates durante las vistas respaldan fuertemente esa percepción).</w:t>
      </w:r>
    </w:p>
    <w:p w:rsidR="00ED5939" w:rsidRPr="0068582B" w:rsidRDefault="00ED5939" w:rsidP="00550638">
      <w:pPr>
        <w:spacing w:line="240" w:lineRule="auto"/>
        <w:jc w:val="both"/>
        <w:rPr>
          <w:rFonts w:ascii="Times New Roman" w:hAnsi="Times New Roman"/>
          <w:color w:val="FF0000"/>
          <w:sz w:val="24"/>
          <w:szCs w:val="24"/>
          <w:u w:val="single"/>
        </w:rPr>
      </w:pPr>
      <w:r w:rsidRPr="0068582B">
        <w:rPr>
          <w:rFonts w:ascii="Times New Roman" w:hAnsi="Times New Roman"/>
          <w:color w:val="FF0000"/>
          <w:sz w:val="24"/>
          <w:szCs w:val="24"/>
          <w:u w:val="single"/>
        </w:rPr>
        <w:t>En concreto, me llamó la atención la discusión sobre si exigir que los Gobiernos estatales participe</w:t>
      </w:r>
      <w:r w:rsidR="00975C8F">
        <w:rPr>
          <w:rFonts w:ascii="Times New Roman" w:hAnsi="Times New Roman"/>
          <w:color w:val="FF0000"/>
          <w:sz w:val="24"/>
          <w:szCs w:val="24"/>
          <w:u w:val="single"/>
        </w:rPr>
        <w:t>n en la ampliación de Medicaid -</w:t>
      </w:r>
      <w:r w:rsidRPr="0068582B">
        <w:rPr>
          <w:rFonts w:ascii="Times New Roman" w:hAnsi="Times New Roman"/>
          <w:color w:val="FF0000"/>
          <w:sz w:val="24"/>
          <w:szCs w:val="24"/>
          <w:u w:val="single"/>
        </w:rPr>
        <w:t>una ampliación, por cierto, por la que solo pagarían un</w:t>
      </w:r>
      <w:r w:rsidR="00975C8F">
        <w:rPr>
          <w:rFonts w:ascii="Times New Roman" w:hAnsi="Times New Roman"/>
          <w:color w:val="FF0000"/>
          <w:sz w:val="24"/>
          <w:szCs w:val="24"/>
          <w:u w:val="single"/>
        </w:rPr>
        <w:t>a pequeña parte del coste total-</w:t>
      </w:r>
      <w:r w:rsidRPr="0068582B">
        <w:rPr>
          <w:rFonts w:ascii="Times New Roman" w:hAnsi="Times New Roman"/>
          <w:color w:val="FF0000"/>
          <w:sz w:val="24"/>
          <w:szCs w:val="24"/>
          <w:u w:val="single"/>
        </w:rPr>
        <w:t xml:space="preserve"> constituía una coacción inaceptable. Uno habría pensado que esta afirmación era manifiestamente absurda. Después de todo, los Estados son libres de descolgarse de Medicaid si así lo deciden; el poder de coacción de Medicaid proviene solo del hecho de que el Gobierno federal ofrece subvenciones a los Estados que están dispuestos a seguir las directrices del programa. Si ustedes se ofrecen a darme un montón de dinero, pero solo si llevo a cabo ciertas tareas, ¿es servidumbre? </w:t>
      </w:r>
    </w:p>
    <w:p w:rsidR="00ED5939" w:rsidRPr="00CA068D" w:rsidRDefault="00ED5939" w:rsidP="00550638">
      <w:pPr>
        <w:spacing w:line="240" w:lineRule="auto"/>
        <w:jc w:val="both"/>
        <w:rPr>
          <w:rFonts w:ascii="Times New Roman" w:hAnsi="Times New Roman"/>
          <w:sz w:val="24"/>
          <w:szCs w:val="24"/>
        </w:rPr>
      </w:pPr>
      <w:r w:rsidRPr="0068582B">
        <w:rPr>
          <w:rFonts w:ascii="Times New Roman" w:hAnsi="Times New Roman"/>
          <w:color w:val="FF0000"/>
          <w:sz w:val="24"/>
          <w:szCs w:val="24"/>
          <w:u w:val="single"/>
        </w:rPr>
        <w:t>Sin embargo, varios de los jueces conservadores parecían defender la premisa de que la ampliación de un programa con financiación federal en el que los Estados deciden participar porque reciben ayuda federal representa un abuso de poder, simplemente porque los Estados se han vuelto dependientes de esa ayuda.</w:t>
      </w:r>
      <w:r w:rsidRPr="00CA068D">
        <w:rPr>
          <w:rFonts w:ascii="Times New Roman" w:hAnsi="Times New Roman"/>
          <w:sz w:val="24"/>
          <w:szCs w:val="24"/>
        </w:rPr>
        <w:t xml:space="preserve"> A la juez Sonia Sotomayor le dejó atónita esta afirmación: “Vamos a decirle al Gobierno federal que, cuanto mayor es el problema, menor es su poder. Porque una vez que entrega todo ese dinero, no puede estructurar el programa como le venga en gana”. Y la juez tenía razón: es una afirmación que no tiene ningún sentido (a menos que el objetivo sea destruir la reforma sanitaria usando cualquier argumento al alcance de la mano).</w:t>
      </w:r>
    </w:p>
    <w:p w:rsidR="00ED5939" w:rsidRPr="0068582B" w:rsidRDefault="00ED5939" w:rsidP="00550638">
      <w:pPr>
        <w:spacing w:line="240" w:lineRule="auto"/>
        <w:jc w:val="both"/>
        <w:rPr>
          <w:rFonts w:ascii="Times New Roman" w:hAnsi="Times New Roman"/>
          <w:color w:val="FF0000"/>
          <w:sz w:val="24"/>
          <w:szCs w:val="24"/>
          <w:u w:val="single"/>
        </w:rPr>
      </w:pPr>
      <w:r w:rsidRPr="00CA068D">
        <w:rPr>
          <w:rFonts w:ascii="Times New Roman" w:hAnsi="Times New Roman"/>
          <w:sz w:val="24"/>
          <w:szCs w:val="24"/>
        </w:rPr>
        <w:lastRenderedPageBreak/>
        <w:t xml:space="preserve">Como he dicho, no sabemos cómo evolucionará esto. Pero es difícil no tener una sensación de aprensión y </w:t>
      </w:r>
      <w:r w:rsidRPr="0068582B">
        <w:rPr>
          <w:rFonts w:ascii="Times New Roman" w:hAnsi="Times New Roman"/>
          <w:color w:val="FF0000"/>
          <w:sz w:val="24"/>
          <w:szCs w:val="24"/>
          <w:u w:val="single"/>
        </w:rPr>
        <w:t>preocuparse por el hecho de que la ya gravemente dañada fe del país en la capacidad del Tribunal Supremo para estar por encima de la política esté a punto de sufrir otro duro golpe.</w:t>
      </w:r>
    </w:p>
    <w:p w:rsidR="00ED5939" w:rsidRDefault="00ED5939" w:rsidP="00550638">
      <w:pPr>
        <w:spacing w:line="240" w:lineRule="auto"/>
        <w:jc w:val="both"/>
        <w:rPr>
          <w:rFonts w:ascii="Times New Roman" w:hAnsi="Times New Roman"/>
          <w:sz w:val="24"/>
          <w:szCs w:val="24"/>
        </w:rPr>
      </w:pPr>
      <w:r>
        <w:rPr>
          <w:rFonts w:ascii="Times New Roman" w:hAnsi="Times New Roman"/>
          <w:sz w:val="24"/>
          <w:szCs w:val="24"/>
        </w:rPr>
        <w:t>(</w:t>
      </w:r>
      <w:r w:rsidRPr="00CA068D">
        <w:rPr>
          <w:rFonts w:ascii="Times New Roman" w:hAnsi="Times New Roman"/>
          <w:sz w:val="24"/>
          <w:szCs w:val="24"/>
        </w:rPr>
        <w:t>Paul Krugman es profesor de Economía d</w:t>
      </w:r>
      <w:r>
        <w:rPr>
          <w:rFonts w:ascii="Times New Roman" w:hAnsi="Times New Roman"/>
          <w:sz w:val="24"/>
          <w:szCs w:val="24"/>
        </w:rPr>
        <w:t>e Princeton y premio Nobel 2008)</w:t>
      </w:r>
    </w:p>
    <w:p w:rsidR="00975C8F" w:rsidRPr="00975C8F" w:rsidRDefault="00975C8F" w:rsidP="00550638">
      <w:pPr>
        <w:spacing w:line="240" w:lineRule="auto"/>
        <w:jc w:val="both"/>
        <w:rPr>
          <w:rFonts w:ascii="Times New Roman" w:hAnsi="Times New Roman"/>
          <w:sz w:val="24"/>
          <w:szCs w:val="24"/>
          <w:u w:val="single"/>
        </w:rPr>
      </w:pPr>
      <w:r w:rsidRPr="00975C8F">
        <w:rPr>
          <w:rFonts w:ascii="Times New Roman" w:hAnsi="Times New Roman"/>
          <w:sz w:val="24"/>
          <w:szCs w:val="24"/>
          <w:u w:val="single"/>
        </w:rPr>
        <w:t>Health Consumer Index 2009</w:t>
      </w:r>
      <w:r w:rsidR="00120E8D">
        <w:rPr>
          <w:rFonts w:ascii="Times New Roman" w:hAnsi="Times New Roman"/>
          <w:sz w:val="24"/>
          <w:szCs w:val="24"/>
          <w:u w:val="single"/>
        </w:rPr>
        <w:t xml:space="preserve"> (radiografía</w:t>
      </w:r>
      <w:r w:rsidR="00F674DF">
        <w:rPr>
          <w:rFonts w:ascii="Times New Roman" w:hAnsi="Times New Roman"/>
          <w:sz w:val="24"/>
          <w:szCs w:val="24"/>
          <w:u w:val="single"/>
        </w:rPr>
        <w:t xml:space="preserve"> de la sanidad europea)</w:t>
      </w:r>
    </w:p>
    <w:p w:rsidR="00ED5939" w:rsidRPr="00975C8F" w:rsidRDefault="00975C8F" w:rsidP="00550638">
      <w:pPr>
        <w:spacing w:line="240" w:lineRule="auto"/>
        <w:jc w:val="both"/>
        <w:rPr>
          <w:rFonts w:ascii="Times New Roman" w:hAnsi="Times New Roman"/>
          <w:sz w:val="24"/>
          <w:szCs w:val="24"/>
        </w:rPr>
      </w:pPr>
      <w:r>
        <w:rPr>
          <w:rFonts w:ascii="Times New Roman" w:hAnsi="Times New Roman"/>
          <w:i/>
          <w:sz w:val="24"/>
          <w:szCs w:val="24"/>
        </w:rPr>
        <w:t>“</w:t>
      </w:r>
      <w:r w:rsidR="00ED5939" w:rsidRPr="00975C8F">
        <w:rPr>
          <w:rFonts w:ascii="Times New Roman" w:hAnsi="Times New Roman"/>
          <w:i/>
          <w:sz w:val="24"/>
          <w:szCs w:val="24"/>
        </w:rPr>
        <w:t>El sistema sanitario público español está clasificado en el puesto 22 de entre los 32 países europeos incluidos en el Health Consumer Index 2009, el principal indicador independiente acerca de la sanidad de entre los que se publican en Europa. Por detrás, sólo aparecen países del este y el sur de Europa (Malta, Grecia, Macedonia,...). Por delante, España ve en la lejanía a los líderes (Holanda y Dinamarca), e incluso se tiene que conformar con una calificación peor que estados más pobres, como Portugal, Chipre o Hungría</w:t>
      </w:r>
      <w:r>
        <w:rPr>
          <w:rFonts w:ascii="Times New Roman" w:hAnsi="Times New Roman"/>
          <w:i/>
          <w:sz w:val="24"/>
          <w:szCs w:val="24"/>
        </w:rPr>
        <w:t>”..</w:t>
      </w:r>
      <w:r w:rsidR="00ED5939" w:rsidRPr="00975C8F">
        <w:rPr>
          <w:rFonts w:ascii="Times New Roman" w:hAnsi="Times New Roman"/>
          <w:i/>
          <w:sz w:val="24"/>
          <w:szCs w:val="24"/>
        </w:rPr>
        <w:t>.</w:t>
      </w:r>
      <w:r>
        <w:rPr>
          <w:rFonts w:ascii="Times New Roman" w:hAnsi="Times New Roman"/>
          <w:i/>
          <w:sz w:val="24"/>
          <w:szCs w:val="24"/>
        </w:rPr>
        <w:t xml:space="preserve"> </w:t>
      </w:r>
      <w:r w:rsidRPr="00F672B0">
        <w:rPr>
          <w:rFonts w:ascii="Times New Roman" w:hAnsi="Times New Roman"/>
          <w:sz w:val="24"/>
          <w:szCs w:val="24"/>
          <w:u w:val="single"/>
        </w:rPr>
        <w:t>La sanidad española saca peor nota que la portuguesa o la chipriota</w:t>
      </w:r>
      <w:r>
        <w:rPr>
          <w:rFonts w:ascii="Times New Roman" w:hAnsi="Times New Roman"/>
          <w:sz w:val="24"/>
          <w:szCs w:val="24"/>
        </w:rPr>
        <w:t xml:space="preserve"> (Libertad Digital - </w:t>
      </w:r>
      <w:r w:rsidRPr="00F672B0">
        <w:rPr>
          <w:rFonts w:ascii="Times New Roman" w:hAnsi="Times New Roman"/>
          <w:b/>
          <w:sz w:val="24"/>
          <w:szCs w:val="24"/>
        </w:rPr>
        <w:t>11/4/12</w:t>
      </w:r>
      <w:r>
        <w:rPr>
          <w:rFonts w:ascii="Times New Roman" w:hAnsi="Times New Roman"/>
          <w:sz w:val="24"/>
          <w:szCs w:val="24"/>
        </w:rPr>
        <w:t>)</w:t>
      </w:r>
    </w:p>
    <w:p w:rsidR="00ED5939" w:rsidRPr="00F672B0" w:rsidRDefault="00ED5939" w:rsidP="00550638">
      <w:pPr>
        <w:spacing w:line="240" w:lineRule="auto"/>
        <w:jc w:val="both"/>
        <w:rPr>
          <w:rFonts w:ascii="Times New Roman" w:hAnsi="Times New Roman"/>
          <w:sz w:val="24"/>
          <w:szCs w:val="24"/>
        </w:rPr>
      </w:pPr>
      <w:r w:rsidRPr="00F672B0">
        <w:rPr>
          <w:rFonts w:ascii="Times New Roman" w:hAnsi="Times New Roman"/>
          <w:sz w:val="24"/>
          <w:szCs w:val="24"/>
        </w:rPr>
        <w:t>Este informe, realizado en Bruselas por Health Consumer Powerhouse, el principal think-tank (laboratorio de ideas) europeo de la materia, analiza todas las variables que influyen en la calidad de la oferta sanitaria. De esta manera, se estudian los derechos de información de los pacientes, la integración en las nuevas tecnologías, las listas de espera, el éxito de determinados tratamientos, la amplitud del sistema y los servicios farmacéuticos.</w:t>
      </w:r>
    </w:p>
    <w:p w:rsidR="00ED5939" w:rsidRPr="00F672B0" w:rsidRDefault="00ED5939" w:rsidP="00550638">
      <w:pPr>
        <w:spacing w:line="240" w:lineRule="auto"/>
        <w:jc w:val="both"/>
        <w:rPr>
          <w:rFonts w:ascii="Times New Roman" w:hAnsi="Times New Roman"/>
          <w:sz w:val="24"/>
          <w:szCs w:val="24"/>
          <w:lang w:val="en-US"/>
        </w:rPr>
      </w:pPr>
      <w:r w:rsidRPr="00F672B0">
        <w:rPr>
          <w:rFonts w:ascii="Times New Roman" w:hAnsi="Times New Roman"/>
          <w:sz w:val="24"/>
          <w:szCs w:val="24"/>
        </w:rPr>
        <w:t xml:space="preserve">Pues bien, en la clasificación general, el sistema público de salud de España ocupa el puesto 22, entre Portugal y Croacia, con 630 puntos sobre un máximo de 1.000. </w:t>
      </w:r>
      <w:r w:rsidRPr="00F672B0">
        <w:rPr>
          <w:rFonts w:ascii="Times New Roman" w:hAnsi="Times New Roman"/>
          <w:sz w:val="24"/>
          <w:szCs w:val="24"/>
          <w:lang w:val="en-US"/>
        </w:rPr>
        <w:t>Mientras, Holanda saca 863 puntos y Dinamarca 819 (ver tabla completa).</w:t>
      </w:r>
    </w:p>
    <w:p w:rsidR="00ED5939" w:rsidRPr="00F672B0" w:rsidRDefault="00ED5939" w:rsidP="00550638">
      <w:pPr>
        <w:pStyle w:val="NormalWeb"/>
        <w:jc w:val="center"/>
      </w:pPr>
      <w:r>
        <w:rPr>
          <w:noProof/>
        </w:rPr>
        <w:drawing>
          <wp:inline distT="0" distB="0" distL="0" distR="0" wp14:anchorId="75948736" wp14:editId="5E141242">
            <wp:extent cx="5683652" cy="4045306"/>
            <wp:effectExtent l="0" t="0" r="0" b="0"/>
            <wp:docPr id="29" name="Imagen 29" descr="sanidad_clasificacion_gene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anidad_clasificacion_general"/>
                    <pic:cNvPicPr>
                      <a:picLocks noChangeAspect="1" noChangeArrowheads="1"/>
                    </pic:cNvPicPr>
                  </pic:nvPicPr>
                  <pic:blipFill>
                    <a:blip r:embed="rId389">
                      <a:extLst>
                        <a:ext uri="{28A0092B-C50C-407E-A947-70E740481C1C}">
                          <a14:useLocalDpi xmlns:a14="http://schemas.microsoft.com/office/drawing/2010/main" val="0"/>
                        </a:ext>
                      </a:extLst>
                    </a:blip>
                    <a:srcRect/>
                    <a:stretch>
                      <a:fillRect/>
                    </a:stretch>
                  </pic:blipFill>
                  <pic:spPr bwMode="auto">
                    <a:xfrm>
                      <a:off x="0" y="0"/>
                      <a:ext cx="5683885" cy="4045472"/>
                    </a:xfrm>
                    <a:prstGeom prst="rect">
                      <a:avLst/>
                    </a:prstGeom>
                    <a:noFill/>
                    <a:ln>
                      <a:noFill/>
                    </a:ln>
                  </pic:spPr>
                </pic:pic>
              </a:graphicData>
            </a:graphic>
          </wp:inline>
        </w:drawing>
      </w:r>
    </w:p>
    <w:p w:rsidR="00ED5939" w:rsidRPr="00F672B0" w:rsidRDefault="00ED5939" w:rsidP="00550638">
      <w:pPr>
        <w:spacing w:line="240" w:lineRule="auto"/>
        <w:jc w:val="both"/>
        <w:rPr>
          <w:rFonts w:ascii="Times New Roman" w:hAnsi="Times New Roman"/>
          <w:sz w:val="24"/>
          <w:szCs w:val="24"/>
        </w:rPr>
      </w:pPr>
      <w:r w:rsidRPr="00F672B0">
        <w:rPr>
          <w:rFonts w:ascii="Times New Roman" w:hAnsi="Times New Roman"/>
          <w:sz w:val="24"/>
          <w:szCs w:val="24"/>
        </w:rPr>
        <w:lastRenderedPageBreak/>
        <w:t>El sistema público español saca malas notas en casi todas los apartados del estudio, excepto en el caso de la tasa de éxito en el trato de determinados tratamientos (por ejemplo, la mortalidad en caso de ataque al corazón). Especialmente negativa es la foto en dos cuestiones: la información al paciente y el tiempo de espera para recibir los servicios.</w:t>
      </w:r>
    </w:p>
    <w:p w:rsidR="00ED5939" w:rsidRPr="00F672B0" w:rsidRDefault="00ED5939" w:rsidP="00550638">
      <w:pPr>
        <w:spacing w:line="240" w:lineRule="auto"/>
        <w:jc w:val="both"/>
        <w:rPr>
          <w:rFonts w:ascii="Times New Roman" w:hAnsi="Times New Roman"/>
          <w:sz w:val="24"/>
          <w:szCs w:val="24"/>
        </w:rPr>
      </w:pPr>
      <w:r w:rsidRPr="00F672B0">
        <w:rPr>
          <w:rFonts w:ascii="Times New Roman" w:hAnsi="Times New Roman"/>
          <w:sz w:val="24"/>
          <w:szCs w:val="24"/>
        </w:rPr>
        <w:t>En esta última cuestión, la foto es especia</w:t>
      </w:r>
      <w:r w:rsidR="00C41CD9">
        <w:rPr>
          <w:rFonts w:ascii="Times New Roman" w:hAnsi="Times New Roman"/>
          <w:sz w:val="24"/>
          <w:szCs w:val="24"/>
        </w:rPr>
        <w:t>lmente desoladora. El grupo de “Tiempo de espera”</w:t>
      </w:r>
      <w:r w:rsidRPr="00F672B0">
        <w:rPr>
          <w:rFonts w:ascii="Times New Roman" w:hAnsi="Times New Roman"/>
          <w:sz w:val="24"/>
          <w:szCs w:val="24"/>
        </w:rPr>
        <w:t xml:space="preserve"> se subdivide en cinco apartados: acceso al doctor de familia el mismo día, acceso directo al especialista, espera inferior a 90 días para operaciones no urgentes, terapia de cáncer en un plazo inferior a 21 días y escáner en menos de siete días. Pues bien, Espa</w:t>
      </w:r>
      <w:r w:rsidR="00F674DF">
        <w:rPr>
          <w:rFonts w:ascii="Times New Roman" w:hAnsi="Times New Roman"/>
          <w:sz w:val="24"/>
          <w:szCs w:val="24"/>
        </w:rPr>
        <w:t>ña no tiene la calificación de “bueno”</w:t>
      </w:r>
      <w:r w:rsidRPr="00F672B0">
        <w:rPr>
          <w:rFonts w:ascii="Times New Roman" w:hAnsi="Times New Roman"/>
          <w:sz w:val="24"/>
          <w:szCs w:val="24"/>
        </w:rPr>
        <w:t xml:space="preserve"> en ninguno de ellos, en dos obtiene un </w:t>
      </w:r>
      <w:r w:rsidR="00F674DF">
        <w:rPr>
          <w:rFonts w:ascii="Times New Roman" w:hAnsi="Times New Roman"/>
          <w:sz w:val="24"/>
          <w:szCs w:val="24"/>
        </w:rPr>
        <w:t>“intermedio” y en tres la nota es “no bueno”</w:t>
      </w:r>
      <w:r w:rsidRPr="00F672B0">
        <w:rPr>
          <w:rFonts w:ascii="Times New Roman" w:hAnsi="Times New Roman"/>
          <w:sz w:val="24"/>
          <w:szCs w:val="24"/>
        </w:rPr>
        <w:t>.</w:t>
      </w:r>
    </w:p>
    <w:p w:rsidR="00ED5939" w:rsidRPr="00F672B0" w:rsidRDefault="00ED5939" w:rsidP="00550638">
      <w:pPr>
        <w:spacing w:line="240" w:lineRule="auto"/>
        <w:jc w:val="both"/>
        <w:rPr>
          <w:rFonts w:ascii="Times New Roman" w:hAnsi="Times New Roman"/>
          <w:sz w:val="24"/>
          <w:szCs w:val="24"/>
        </w:rPr>
      </w:pPr>
      <w:r w:rsidRPr="00F672B0">
        <w:rPr>
          <w:rFonts w:ascii="Times New Roman" w:hAnsi="Times New Roman"/>
          <w:sz w:val="24"/>
          <w:szCs w:val="24"/>
        </w:rPr>
        <w:t xml:space="preserve"> Estos datos coinciden con los publicados en el informe sobre el sistema sanitario español publicado por el Observatorio Europeo de la Salud (dependiente de la UE) en 2010. Según sus datos, la media de espera en el sistema para ver a un especialista era en 2009 de 52 días, apenas un descenso de dos días respecto a los 54 de diciembre de 2006. Y el 33% de los pacientes debe esperar más de 60 días para ver a este facultativo.</w:t>
      </w:r>
    </w:p>
    <w:p w:rsidR="00ED5939" w:rsidRPr="00F672B0" w:rsidRDefault="00ED5939" w:rsidP="00550638">
      <w:pPr>
        <w:spacing w:before="100" w:beforeAutospacing="1" w:after="100" w:afterAutospacing="1" w:line="240" w:lineRule="auto"/>
        <w:jc w:val="center"/>
        <w:rPr>
          <w:rFonts w:ascii="Times New Roman" w:eastAsia="Times New Roman" w:hAnsi="Times New Roman"/>
          <w:sz w:val="24"/>
          <w:szCs w:val="24"/>
          <w:lang w:eastAsia="es-ES"/>
        </w:rPr>
      </w:pPr>
      <w:r>
        <w:rPr>
          <w:rFonts w:ascii="Times New Roman" w:eastAsia="Times New Roman" w:hAnsi="Times New Roman"/>
          <w:noProof/>
          <w:sz w:val="24"/>
          <w:szCs w:val="24"/>
          <w:lang w:eastAsia="es-ES"/>
        </w:rPr>
        <w:drawing>
          <wp:inline distT="0" distB="0" distL="0" distR="0" wp14:anchorId="430D60B1" wp14:editId="734343A9">
            <wp:extent cx="5515660" cy="3057753"/>
            <wp:effectExtent l="0" t="0" r="8890" b="9525"/>
            <wp:docPr id="28" name="Imagen 28" descr="sanidad_listas_esp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anidad_listas_espera"/>
                    <pic:cNvPicPr>
                      <a:picLocks noChangeAspect="1" noChangeArrowheads="1"/>
                    </pic:cNvPicPr>
                  </pic:nvPicPr>
                  <pic:blipFill>
                    <a:blip r:embed="rId390">
                      <a:extLst>
                        <a:ext uri="{28A0092B-C50C-407E-A947-70E740481C1C}">
                          <a14:useLocalDpi xmlns:a14="http://schemas.microsoft.com/office/drawing/2010/main" val="0"/>
                        </a:ext>
                      </a:extLst>
                    </a:blip>
                    <a:srcRect/>
                    <a:stretch>
                      <a:fillRect/>
                    </a:stretch>
                  </pic:blipFill>
                  <pic:spPr bwMode="auto">
                    <a:xfrm>
                      <a:off x="0" y="0"/>
                      <a:ext cx="5515784" cy="3057822"/>
                    </a:xfrm>
                    <a:prstGeom prst="rect">
                      <a:avLst/>
                    </a:prstGeom>
                    <a:noFill/>
                    <a:ln>
                      <a:noFill/>
                    </a:ln>
                  </pic:spPr>
                </pic:pic>
              </a:graphicData>
            </a:graphic>
          </wp:inline>
        </w:drawing>
      </w:r>
    </w:p>
    <w:p w:rsidR="00F674DF" w:rsidRPr="00F674DF" w:rsidRDefault="00F674DF"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F674DF">
        <w:rPr>
          <w:rFonts w:ascii="Times New Roman" w:eastAsia="Times New Roman" w:hAnsi="Times New Roman"/>
          <w:sz w:val="24"/>
          <w:szCs w:val="24"/>
          <w:u w:val="single"/>
          <w:lang w:eastAsia="es-ES"/>
        </w:rPr>
        <w:t>Cuando los laboratorios médicos “crean” patologías para vender más</w:t>
      </w:r>
      <w:r>
        <w:rPr>
          <w:rFonts w:ascii="Times New Roman" w:eastAsia="Times New Roman" w:hAnsi="Times New Roman"/>
          <w:sz w:val="24"/>
          <w:szCs w:val="24"/>
          <w:u w:val="single"/>
          <w:lang w:eastAsia="es-ES"/>
        </w:rPr>
        <w:t xml:space="preserve"> (mala praxis) </w:t>
      </w:r>
    </w:p>
    <w:p w:rsidR="00AA1140" w:rsidRPr="006936F6" w:rsidRDefault="00F674DF"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AA1140" w:rsidRPr="00F674DF">
        <w:rPr>
          <w:rFonts w:ascii="Times New Roman" w:eastAsia="Times New Roman" w:hAnsi="Times New Roman"/>
          <w:i/>
          <w:sz w:val="24"/>
          <w:szCs w:val="24"/>
          <w:lang w:eastAsia="es-ES"/>
        </w:rPr>
        <w:t>El fraude por el que GlaxoSmithKline debe pagar una multa astronóm</w:t>
      </w:r>
      <w:r w:rsidRPr="00F674DF">
        <w:rPr>
          <w:rFonts w:ascii="Times New Roman" w:eastAsia="Times New Roman" w:hAnsi="Times New Roman"/>
          <w:i/>
          <w:sz w:val="24"/>
          <w:szCs w:val="24"/>
          <w:lang w:eastAsia="es-ES"/>
        </w:rPr>
        <w:t>ica obedece a la estrategia de “crear”</w:t>
      </w:r>
      <w:r w:rsidR="00AA1140" w:rsidRPr="00F674DF">
        <w:rPr>
          <w:rFonts w:ascii="Times New Roman" w:eastAsia="Times New Roman" w:hAnsi="Times New Roman"/>
          <w:i/>
          <w:sz w:val="24"/>
          <w:szCs w:val="24"/>
          <w:lang w:eastAsia="es-ES"/>
        </w:rPr>
        <w:t xml:space="preserve"> patologías para vender </w:t>
      </w:r>
      <w:r w:rsidRPr="00F674DF">
        <w:rPr>
          <w:rFonts w:ascii="Times New Roman" w:eastAsia="Times New Roman" w:hAnsi="Times New Roman"/>
          <w:i/>
          <w:sz w:val="24"/>
          <w:szCs w:val="24"/>
          <w:lang w:eastAsia="es-ES"/>
        </w:rPr>
        <w:t>más. El Paxil se presentó como “la píldora de la timidez”</w:t>
      </w:r>
      <w:r>
        <w:rPr>
          <w:rFonts w:ascii="Times New Roman" w:eastAsia="Times New Roman" w:hAnsi="Times New Roman"/>
          <w:i/>
          <w:sz w:val="24"/>
          <w:szCs w:val="24"/>
          <w:lang w:eastAsia="es-ES"/>
        </w:rPr>
        <w:t>…</w:t>
      </w:r>
      <w:r>
        <w:rPr>
          <w:rFonts w:ascii="Times New Roman" w:eastAsia="Times New Roman" w:hAnsi="Times New Roman"/>
          <w:sz w:val="24"/>
          <w:szCs w:val="24"/>
          <w:lang w:eastAsia="es-ES"/>
        </w:rPr>
        <w:t xml:space="preserve"> </w:t>
      </w:r>
      <w:r w:rsidRPr="00635BBD">
        <w:rPr>
          <w:rFonts w:ascii="Times New Roman" w:eastAsia="Times New Roman" w:hAnsi="Times New Roman"/>
          <w:sz w:val="24"/>
          <w:szCs w:val="24"/>
          <w:u w:val="single"/>
          <w:lang w:eastAsia="es-ES"/>
        </w:rPr>
        <w:t>Medicamentos en busca de enfermedad</w:t>
      </w:r>
      <w:r>
        <w:rPr>
          <w:rFonts w:ascii="Times New Roman" w:eastAsia="Times New Roman" w:hAnsi="Times New Roman"/>
          <w:sz w:val="24"/>
          <w:szCs w:val="24"/>
          <w:lang w:eastAsia="es-ES"/>
        </w:rPr>
        <w:t xml:space="preserve"> (El País - </w:t>
      </w:r>
      <w:r w:rsidRPr="00635BBD">
        <w:rPr>
          <w:rFonts w:ascii="Times New Roman" w:eastAsia="Times New Roman" w:hAnsi="Times New Roman"/>
          <w:b/>
          <w:sz w:val="24"/>
          <w:szCs w:val="24"/>
          <w:lang w:eastAsia="es-ES"/>
        </w:rPr>
        <w:t>9/7/12</w:t>
      </w:r>
      <w:r>
        <w:rPr>
          <w:rFonts w:ascii="Times New Roman" w:eastAsia="Times New Roman" w:hAnsi="Times New Roman"/>
          <w:sz w:val="24"/>
          <w:szCs w:val="24"/>
          <w:lang w:eastAsia="es-ES"/>
        </w:rPr>
        <w:t>)</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 xml:space="preserve">La imagen de la Big Pharma ha sufrido un nuevo golpe. Dos grandes laboratorios farmacéuticos, GlaxoSmithKline y Abbott, han aceptado en las últimas semanas pagar multas astronómicas por haber incurrido en graves malas prácticas en la promoción y venta de medicamentos. Ambas compañías se han reconocido culpables y han aceptado sendos acuerdos extrajudiciales para evitar males mayores, en el caso de que los procesos que se seguían contra ellas llegaran a juicio. Las malas prácticas reconocidas incluyen vender medicamentos para patologías en las que no están indicados, pagar a </w:t>
      </w:r>
      <w:r w:rsidRPr="00F674DF">
        <w:rPr>
          <w:rFonts w:ascii="Times New Roman" w:eastAsia="Times New Roman" w:hAnsi="Times New Roman"/>
          <w:sz w:val="24"/>
          <w:szCs w:val="24"/>
          <w:lang w:eastAsia="es-ES"/>
        </w:rPr>
        <w:lastRenderedPageBreak/>
        <w:t xml:space="preserve">los médicos dádivas y sobornos para que los prescriban y, lo que es más grave, ocultar la existencia de efectos adversos. </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En el trasfondo de estas multas multimillonarias subyace el giro estratégico emprendido por algunos laboratorios a finales de los años ochenta para incrementar los beneficios, no por la vía de obtener nuevos y mejores fármacos, algo que resulta cada vez más costoso, sino por la de conseguir nuevas indicaciones para sus viejos medicamentos. Esta estrategia incluye la creación artificial de enfermedades, lo que en inglés se conoce como disease mongering, es decir, el intento, muchas veces culminado con éxito, de convertir procesos naturales en la vida como la menopausia, la tristeza o la timidez, en patologías susceptibles de ser tratadas con fármacos.</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Dos casos han contribuido a afianzar la imagen de villana que acompaña a la Big Pharma, para disgusto de los laboratorios serios y comprometidos, que deploran este tipo de comportamientos. El papel de héroe lo ha asumido en este caso el Gobierno de Estados Unidos, que bajo la presidencia del demócrata Bill Clinton decidió acabar con los abusos y desmanes en que incurrían algunas farmacéuticas dispuestas a saltarse las normas de la ética e incluso la ley para preservar la cuenta de resultados.</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GlaxoSmithKline, la tercera mayor farmacéutica del mundo, con una facturación de 33.998 millones de euros en 2010, tendrá que pagar ahora 2.400 millones de euros por haber promovido durante años la prescripción en menores de un antidepresivo, el Paxil, autorizado únicamente para adultos por los efectos adversos demostrados en pacientes jóvenes; por haber indicado otro medicamento, el Wellbutrin, para procesos en los que no tenía actividad terapéutica demostrada, como la obesidad o la disfunción sexual; y por haber ocultado que uno de sus medicamentos más vendidos, el Avandia, aprobado para tratar la diabetes, aumentaba el riesgo de afección cardiaca.</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 xml:space="preserve">El de GSK ha sido considerado el mayor fraude de la historia, pero no era el único. En mayo, la farmacéutica Abbott llegó a un acuerdo similar y aceptó pagar una multa de 1.225 millones de euros por haber extendido el uso de un anticonvulsivo aprobado en 1983 para tratar la epilepsia y el trastorno bipolar, a otras patologías en las que no tiene ninguna eficacia probada, como la agitación en ancianos con demencia senil. El laboratorio pagó durante 10 años a médicos y residencias de ancianos para que prescribieran el fármaco. También Pfizer aceptó pagar en 2009 una multa de 1.800 millones de euros por la promoción fraudulenta de otros 13 medicamentos. </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En la mayor parte de estos casos subyace una misma estrategia: promover de forma fraudulenta el uso de fármacos en afecciones en las que no están indicados. Y una vez logrado, ocultar los efectos adversos para evitar perder mercado. La comercialización de Paxil en 1999 es un ejemplo paradigmático de disease mongering. Hasta ese momento se reconocía como entidad patológica la agorafobia, un trastorno muy severo por el cual las personas que lo sufren son incapaces de salir de casa y cuando lo hacen, pueden sufrir ataques de pánico. El lanzamiento de Paxil se centró en una nueva entidad, la fobia social, que daba mucho juego puesto que podía abarcar desde formas leves de agorafobia a la simple y llana dificultad para hablar en público. Paxil se presentó con gran acompañamiento mediático como la píldora de la timidez y el laboratorio eligió para su lanzamiento en Europa la ciudad de Londres, capital del reino donde, según el tópico, hay más tímidos.</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lastRenderedPageBreak/>
        <w:t>El Paxil era en realidad un viejo antidepresivo, la paroxetina, que volvía al mercado con nuevos ropajes y, por supuesto, nueva indicación. Cuando desde los foros de salud pública se criticó al laboratorio por esta manipulación, sus responsables culparon a la prensa de la distorsión. Pero en su discurso ante la junta de accionistas, el que entonces era el máximo ejecutivo de la división responsable del nuevo fármaco, Barry Brand, fue bastante más sincero: “El sueño de todo comercial es dar con un mercado por conocer o identificar, y desarrollarlo. Eso es justamente lo que hemos logrado hacer con el síndrome de ansiedad social”, proclamó, entre grandes aplausos. Efectivamente, la evolución de la compañía en Bolsa así lo acreditaba.</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En la misma época que el Paxil se comercializó toda una oleada de fármacos conocidos como las píldoras de la felicidad destinados a librarnos, a golpe de pastilla, de las angustias, temores, fobias y frustraciones que inevitablemente nos acompañan en la vida. En la mayoría de los casos eran principios activos con eficacia demostrada en muy acotadas patologías. El objetivo de la estrategia de comercialización era ampliar todo lo posible el campo terapéutico a cubrir.</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En las últimas décadas, la industria se debate entre el viejo paradigma de buscar nuevos o mejores fármacos para las viejas y nuevas enfermedades, algo que resulta muy arriesgado, y el que defienden los ejecutivos más agresivos, muchos de los cuales no tienen ninguna relación con la farmacología, partidarios de recurrir a otras estrategias para aumentar los beneficios. Así se ha pasado muchas veces del viejo paradigma de “enfermedad en busca de medicamento” al mucho más lucrativo de “medicamento en busca de enfermedad”.</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Esta estrategia, objeto de numerosos artículos en las revistas médicas, suele articularse en tres fases. En la primera se trata de identificar las patologías, próximas o no a la indicación inicial, en las que podría justificarse de algún modo la prescripción del fármaco. La segunda consiste en colonizar los medios de comunicación con estudios, reportajes y entrevistas, de apariencia independiente, sobre la importancia social de la patología a tratar, y lo mucho que sufren quienes las sufren. Una vez sensibilizada la población y las autoridades sanitarias, se pasa a la tercera fase: ofrecer la solución. Para lograr este círculo virtuoso es importante contar, si es posible, con el concurso de los propios pacientes.</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 xml:space="preserve">En 1999 la oficina de Nueva York de </w:t>
      </w:r>
      <w:r w:rsidRPr="00303178">
        <w:rPr>
          <w:rFonts w:ascii="Times New Roman" w:eastAsia="Times New Roman" w:hAnsi="Times New Roman"/>
          <w:i/>
          <w:sz w:val="24"/>
          <w:szCs w:val="24"/>
          <w:lang w:eastAsia="es-ES"/>
        </w:rPr>
        <w:t>PRNews</w:t>
      </w:r>
      <w:r w:rsidRPr="00F674DF">
        <w:rPr>
          <w:rFonts w:ascii="Times New Roman" w:eastAsia="Times New Roman" w:hAnsi="Times New Roman"/>
          <w:sz w:val="24"/>
          <w:szCs w:val="24"/>
          <w:lang w:eastAsia="es-ES"/>
        </w:rPr>
        <w:t xml:space="preserve"> contabilizó un millón de menciones del nuevo fármaco Paxil, el único aprobado hasta ese momento contra la ansiedad social. Una investigación posterior del diario The Washington Post reveló que entre 1997 y 1998 se habían publicado más de 50 reportajes extensos en la prensa norteamericana sobre lo terrible que era la ansiedad social y lo mucho que estaba aumentando. </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 xml:space="preserve">A esa época pertenecen también los dos fármacos que mejor simbolizan los grandes réditos de esta estrategia: Viagra y Prozac. Poco antes del lanzamiento de Viagra, los problemas de la disfunción eréctil tuvieron una sorprendente atención en los medios de comunicación. Entre los estudios de mayor eco mediático figuraba uno que revelaba que nada menos que el 72% de los hombres entre 40 y 70 años de Estados Unidos sufrían algún tipo de dificultad a la hora de conseguir la erección, lo cual resultaba terriblemente alarmante para los expertos que opinaban sobre el tema. La píldora azul ha tenido tal éxito que no solo se prescribe en los casos de auténtica disfunción eréctil, sino en muchos otros en los que es dudoso que tenga alguna eficacia. Últimamente se </w:t>
      </w:r>
      <w:r w:rsidRPr="00F674DF">
        <w:rPr>
          <w:rFonts w:ascii="Times New Roman" w:eastAsia="Times New Roman" w:hAnsi="Times New Roman"/>
          <w:sz w:val="24"/>
          <w:szCs w:val="24"/>
          <w:lang w:eastAsia="es-ES"/>
        </w:rPr>
        <w:lastRenderedPageBreak/>
        <w:t>usa también con fines recreativos, para prolongar la erección. No existen estadísticas precisas de las víctimas, incluso mortales, de estos abusos, pero las hay.</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 xml:space="preserve">La fluoxetina, el principio activo de Prozac, se aprobó en Estados Unidos en 1992. Llegó a España en 1997 precedida por una intensa y exitosa campaña que incluía menciones elogiosas en obras literarias y cinematográficas. La comercialización de Prozac incorporó una novedad: por primera vez los laboratorios no se dirigían a los médicos para aumentar la prescripción, sino a los posibles usuarios. Como era de esperar, batió el récord de progresión de ventas de un fármaco. Ya en el primer año se vendieron dos millones de unidades, la mayor parte con cargo a la Seguridad Social, a la que se le pasó una factura de 9.200 millones de pesetas. </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Para hacerse una idea de lo que esa cifra representa basta con recordar que el lanzamiento de Prozac coincidió con la promulgación de la normativa que introducía en España la comercialización de genéricos y el sistema de precios de referencia. La aplicación combinada de esas dos medidas debía producir el primer año un ahorro de 8.000 millones. Prozac se comió todo el ahorro previsto.</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Siguiendo fielmente la pauta del disease mongering se presentó también el fármaco que debía ayudar a las mujeres a superar esa fase tan terrible de la vida que es la menopausia, protegerlas del infarto y la osteoporosis y garantizarles poco menos que la eterna juventud: la controvertida terapia hormonal sustitutoria. De nuevo llegó al mercado precedida de un gran número de reportajes e informes sobre las consecuencias de la menopausia, que no solo trae sofocos, sequedad vaginal, aumento de peso y dificultades para dormir, sino graves riesgos para la salud. Varios estudios habían mostrado que la caída de estrógenos tras la menopausia hace perder a las mujeres la protección que tenían frente al infarto y acelera la pérdida de masa ósea. Todo ello era cierto, pero no lo era tanto que el nuevo fármaco tuviera los efectos protectores que proclamaba. A pesar de ello, se presentó como la gran panacea. Como ocurrió en otros países, los jefes de ginecología de los principales hospitales españoles convocaron a la prensa para recomendar que la terapia fuera administrada con carácter preventivo a todas las mujeres a partir de los 50 años y por un periodo de por lo menos 10. Afortunadamente, la Seguridad Social no les hizo caso.</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 xml:space="preserve">Durante los años siguientes se produjo un goteo de estudios que alertaban de los posibles efectos adversos de esta terapia. En 2002, cuando en España ya la habían tomado más de 600.000 mujeres y en Estados Unidos más de 20 millones, llegó el “jarro de agua fría a la eterna juventud femenina”, para utilizar la expresión con que tituló la crónica el diario </w:t>
      </w:r>
      <w:r w:rsidRPr="00C41CD9">
        <w:rPr>
          <w:rFonts w:ascii="Times New Roman" w:eastAsia="Times New Roman" w:hAnsi="Times New Roman"/>
          <w:i/>
          <w:sz w:val="24"/>
          <w:szCs w:val="24"/>
          <w:lang w:eastAsia="es-ES"/>
        </w:rPr>
        <w:t>The New York Times</w:t>
      </w:r>
      <w:r w:rsidRPr="00F674DF">
        <w:rPr>
          <w:rFonts w:ascii="Times New Roman" w:eastAsia="Times New Roman" w:hAnsi="Times New Roman"/>
          <w:sz w:val="24"/>
          <w:szCs w:val="24"/>
          <w:lang w:eastAsia="es-ES"/>
        </w:rPr>
        <w:t xml:space="preserve">. La FDA interrumpió de golpe un estudio en el que participaban 16.000 mujeres, el Women Health Iniciative, que debía demostrar todas las bondades y efectos preventivos por los que se estaba recetando. El estudio debía finalizar en 2005, pero los resultados preliminares indicaban que el tratamiento no solo no tenía los efectos protectores sino que a partir de los 5,2 años de tratamiento, aumentaba el riesgo de sufrir cáncer de mama invasivo y accidente cerebro-vascular. Con el tiempo se ha visto que el fármaco tiene su utilidad en casos muy concretos y muy cuidadosamente evaluados, pero nunca debe administrarse, como se pretendió, como tratamiento preventivo con carácter general y menos como “píldora” para combatir el miedo a envejecer. </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lastRenderedPageBreak/>
        <w:t>Mientras tanto, nuevos síndromes han aparecido y son objeto de intensas campañas para que se les reconozca como patología tratada. Nuevos fármacos se suman a la estrategia del disease mongering. La polémica se centra ahora en el amplio abanico de los trastornos de la personalidad, el desorden bipolar y el déficit de atención.</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Efectos adversos que no debían salir a la luz</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En 2004 se supo que GSK había ocultado que entre los niños y adolescentes tratados con Paxil se producía una mayor tasa de pensamientos y conductas suicidas. Al ser descubierta, la compañía llegó a un acuerdo extrajudicial y se comprometió a publicar todos los datos de sus estudios clínicos. Mientras tanto, la investigación de este y otros casos motivó en 2007 un cambio legislativo en Estados Unidos que obligó a las farmacéuticas a publicar todos los datos de los estudios clínicos que hicieran. Esta normativa es la que permitió descubrir que GSK había ocultado también datos comprometedores de su fármaco Avandia, que se recetaba para tratar la diabetes.</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La farmacéutica había iniciado en 1999 un estudio secreto para averiguar si Avandia era más seguro que su competidor Actos, de la empresa Takeda. Los resultados fueron desastrosos: no solo no era más eficaz, sino que presentaba un significativo mayor riesgo de daño cardiaco. Estos resultados deberían haberse comunicado a las autoridades sanitarias, pero en lugar de hacerlo, la compañía hizo todo tipo de maniobras para evitar que trascendieran. Una investigación del diario The New York Times reveló en 2010 diversos correos internos entre directivos en los que se advertía de que los datos del estudio no debían ver, bajo ningún concepto, “la luz del día”.</w:t>
      </w:r>
    </w:p>
    <w:p w:rsidR="00AA1140" w:rsidRPr="00F674DF"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Los riesgos de Avandia fueron confirmados en un estudio independiente de un cardiólogo de Cleveland. GSK reconoció que conocía los riesgos de Avandia desde 2005, pero las investigaciones posteriores indican que la compañía ya tenía conocimiento de los efectos adversos no declarados desde antes de su comercialización, en 1999, y no solo permitió que se prescribiera sin ninguna advertencia, sino que hizo todo lo posible por ocultarlo sabiendo que había alternativas más seguras para los pacientes.</w:t>
      </w:r>
    </w:p>
    <w:p w:rsidR="00AA1140" w:rsidRDefault="00AA1140" w:rsidP="00550638">
      <w:pPr>
        <w:spacing w:before="100" w:beforeAutospacing="1" w:after="100" w:afterAutospacing="1" w:line="240" w:lineRule="auto"/>
        <w:jc w:val="both"/>
        <w:rPr>
          <w:rFonts w:ascii="Times New Roman" w:eastAsia="Times New Roman" w:hAnsi="Times New Roman"/>
          <w:sz w:val="24"/>
          <w:szCs w:val="24"/>
          <w:lang w:eastAsia="es-ES"/>
        </w:rPr>
      </w:pPr>
      <w:r w:rsidRPr="00F674DF">
        <w:rPr>
          <w:rFonts w:ascii="Times New Roman" w:eastAsia="Times New Roman" w:hAnsi="Times New Roman"/>
          <w:sz w:val="24"/>
          <w:szCs w:val="24"/>
          <w:lang w:eastAsia="es-ES"/>
        </w:rPr>
        <w:t>Que Avandia mantuviera su cuota de mercado era una cuestión estratégica para GSK, en un momento en que su portafolio estaba huérfano de nuevos productos. Entre los documentos conocidos ahora figura un informe interno, en el que la compañía evaluaba el coste que tendría la revelación de los efectos adversos: 600 millones de dólares solo entre 2002 y 2004.</w:t>
      </w:r>
    </w:p>
    <w:p w:rsidR="00F674DF" w:rsidRPr="00F674DF" w:rsidRDefault="00995959"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Larga vida</w:t>
      </w:r>
      <w:r w:rsidR="00F674DF" w:rsidRPr="00F674DF">
        <w:rPr>
          <w:rFonts w:ascii="Times New Roman" w:eastAsia="Times New Roman" w:hAnsi="Times New Roman"/>
          <w:sz w:val="24"/>
          <w:szCs w:val="24"/>
          <w:u w:val="single"/>
          <w:lang w:eastAsia="es-ES"/>
        </w:rPr>
        <w:t xml:space="preserve">: </w:t>
      </w:r>
      <w:r w:rsidR="00F674DF">
        <w:rPr>
          <w:rFonts w:ascii="Times New Roman" w:hAnsi="Times New Roman"/>
          <w:sz w:val="24"/>
          <w:szCs w:val="24"/>
          <w:u w:val="single"/>
        </w:rPr>
        <w:t>¿c</w:t>
      </w:r>
      <w:r w:rsidR="00F674DF" w:rsidRPr="00F674DF">
        <w:rPr>
          <w:rFonts w:ascii="Times New Roman" w:hAnsi="Times New Roman"/>
          <w:sz w:val="24"/>
          <w:szCs w:val="24"/>
          <w:u w:val="single"/>
        </w:rPr>
        <w:t>uánto costará mantener a tantos mayores en condiciones adecuadas?</w:t>
      </w:r>
    </w:p>
    <w:p w:rsidR="00AA1140" w:rsidRPr="00995959" w:rsidRDefault="00F674DF" w:rsidP="00550638">
      <w:pPr>
        <w:spacing w:line="240" w:lineRule="auto"/>
        <w:jc w:val="both"/>
        <w:rPr>
          <w:rFonts w:ascii="Times New Roman" w:hAnsi="Times New Roman"/>
          <w:sz w:val="24"/>
          <w:szCs w:val="24"/>
        </w:rPr>
      </w:pPr>
      <w:r>
        <w:rPr>
          <w:rFonts w:ascii="Times New Roman" w:hAnsi="Times New Roman"/>
          <w:i/>
          <w:sz w:val="24"/>
          <w:szCs w:val="24"/>
        </w:rPr>
        <w:t>“</w:t>
      </w:r>
      <w:r w:rsidR="00AA1140" w:rsidRPr="00F674DF">
        <w:rPr>
          <w:rFonts w:ascii="Times New Roman" w:hAnsi="Times New Roman"/>
          <w:i/>
          <w:sz w:val="24"/>
          <w:szCs w:val="24"/>
        </w:rPr>
        <w:t>La ciencia ha comenzado a desentrañar los mecanismos del envejecimiento biológico y con ello la posibilidad de prolongar la vida de las personas más allá de los cien años. La incógnita es saber el precio (social y personal) que habrá que pagar por alcanzar una longevidad extraordinaria</w:t>
      </w:r>
      <w:r>
        <w:rPr>
          <w:rFonts w:ascii="Times New Roman" w:hAnsi="Times New Roman"/>
          <w:i/>
          <w:sz w:val="24"/>
          <w:szCs w:val="24"/>
        </w:rPr>
        <w:t>”..</w:t>
      </w:r>
      <w:r w:rsidR="00AA1140" w:rsidRPr="00F674DF">
        <w:rPr>
          <w:rFonts w:ascii="Times New Roman" w:hAnsi="Times New Roman"/>
          <w:i/>
          <w:sz w:val="24"/>
          <w:szCs w:val="24"/>
        </w:rPr>
        <w:t>.</w:t>
      </w:r>
      <w:r w:rsidR="00995959">
        <w:rPr>
          <w:rFonts w:ascii="Times New Roman" w:hAnsi="Times New Roman"/>
          <w:sz w:val="24"/>
          <w:szCs w:val="24"/>
        </w:rPr>
        <w:t xml:space="preserve"> </w:t>
      </w:r>
      <w:r w:rsidR="00995959" w:rsidRPr="008B679B">
        <w:rPr>
          <w:rFonts w:ascii="Times New Roman" w:hAnsi="Times New Roman"/>
          <w:sz w:val="24"/>
          <w:szCs w:val="24"/>
          <w:u w:val="single"/>
        </w:rPr>
        <w:t>¿Compensa vivir cien años?</w:t>
      </w:r>
      <w:r w:rsidR="00995959">
        <w:rPr>
          <w:rFonts w:ascii="Times New Roman" w:hAnsi="Times New Roman"/>
          <w:sz w:val="24"/>
          <w:szCs w:val="24"/>
        </w:rPr>
        <w:t xml:space="preserve"> (Expansión - </w:t>
      </w:r>
      <w:r w:rsidR="00995959" w:rsidRPr="008B679B">
        <w:rPr>
          <w:rFonts w:ascii="Times New Roman" w:hAnsi="Times New Roman"/>
          <w:b/>
          <w:sz w:val="24"/>
          <w:szCs w:val="24"/>
        </w:rPr>
        <w:t>14/9/12</w:t>
      </w:r>
      <w:r w:rsidR="00995959">
        <w:rPr>
          <w:rFonts w:ascii="Times New Roman" w:hAnsi="Times New Roman"/>
          <w:sz w:val="24"/>
          <w:szCs w:val="24"/>
        </w:rPr>
        <w:t>)</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 xml:space="preserve">El secreto de una larga vida hay que buscarlo en la conjunción genes y entorno. Los investigadores han encontrado algunas de las piezas del puzzle del envejecimiento, como son la enzima telomerasa (en la que el grupo de María Blasco, la directora del Centro Nacional de Investigaciones Oncológicas, es un referente mundial) o la proteína </w:t>
      </w:r>
      <w:r w:rsidRPr="00995959">
        <w:rPr>
          <w:rFonts w:ascii="Times New Roman" w:hAnsi="Times New Roman"/>
          <w:sz w:val="24"/>
          <w:szCs w:val="24"/>
        </w:rPr>
        <w:lastRenderedPageBreak/>
        <w:t>progerina, una de las líneas de trabajo del equipo de Carlos López-Otí</w:t>
      </w:r>
      <w:r w:rsidR="00995959" w:rsidRPr="00995959">
        <w:rPr>
          <w:rFonts w:ascii="Times New Roman" w:hAnsi="Times New Roman"/>
          <w:sz w:val="24"/>
          <w:szCs w:val="24"/>
        </w:rPr>
        <w:t>n en la Universidad de Oviedo. “</w:t>
      </w:r>
      <w:r w:rsidRPr="00995959">
        <w:rPr>
          <w:rFonts w:ascii="Times New Roman" w:hAnsi="Times New Roman"/>
          <w:sz w:val="24"/>
          <w:szCs w:val="24"/>
        </w:rPr>
        <w:t>Utilizamos técnicas genómicas para estudiar el envejecimiento. La estrategia es comparar los genomas de individuos que tienen longevidades anómalas y los de longevidades normales y así encontraremos algunas claves del envejeci</w:t>
      </w:r>
      <w:r w:rsidR="00995959" w:rsidRPr="00995959">
        <w:rPr>
          <w:rFonts w:ascii="Times New Roman" w:hAnsi="Times New Roman"/>
          <w:sz w:val="24"/>
          <w:szCs w:val="24"/>
        </w:rPr>
        <w:t>miento”</w:t>
      </w:r>
      <w:r w:rsidRPr="00995959">
        <w:rPr>
          <w:rFonts w:ascii="Times New Roman" w:hAnsi="Times New Roman"/>
          <w:sz w:val="24"/>
          <w:szCs w:val="24"/>
        </w:rPr>
        <w:t xml:space="preserve">, explica el científico. </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 xml:space="preserve">Esos hallazgos abrirán la puerta a estrategias de rejuvenecimiento basadas en reprogramaciones de alguna parte de los genes o de tratamientos farmacológicos que actúen también sobre los genes. </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Otro proyecto es el de descifrar los genomas de personas centenarias. Para acelerar esta línea, la X Prize Foundation (una organización sin ánimo de lucro cuyo objetivo es incentivar la innovación) ha creado el premio Archon Genomics X Prize, que entregará 10 millones de dólares al primer equipo de científicos que consiga secuenciar con precisión y fiabilidad el genoma de cien individuos que hayan sobrepasado el siglo de vida. La competición com</w:t>
      </w:r>
      <w:r w:rsidR="00995959" w:rsidRPr="00995959">
        <w:rPr>
          <w:rFonts w:ascii="Times New Roman" w:hAnsi="Times New Roman"/>
          <w:sz w:val="24"/>
          <w:szCs w:val="24"/>
        </w:rPr>
        <w:t>enzará en septiembre del</w:t>
      </w:r>
      <w:r w:rsidRPr="00995959">
        <w:rPr>
          <w:rFonts w:ascii="Times New Roman" w:hAnsi="Times New Roman"/>
          <w:sz w:val="24"/>
          <w:szCs w:val="24"/>
        </w:rPr>
        <w:t xml:space="preserve"> año</w:t>
      </w:r>
      <w:r w:rsidR="00995959" w:rsidRPr="00995959">
        <w:rPr>
          <w:rFonts w:ascii="Times New Roman" w:hAnsi="Times New Roman"/>
          <w:sz w:val="24"/>
          <w:szCs w:val="24"/>
        </w:rPr>
        <w:t xml:space="preserve"> 2013</w:t>
      </w:r>
      <w:r w:rsidRPr="00995959">
        <w:rPr>
          <w:rFonts w:ascii="Times New Roman" w:hAnsi="Times New Roman"/>
          <w:sz w:val="24"/>
          <w:szCs w:val="24"/>
        </w:rPr>
        <w:t xml:space="preserve"> y los requisitos son que los cien genomas estén completados en un plazo de un mes y que el coste de cada uno no exceda los mil dólares.</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Mientras que la ciencia trabaja en estas cuestiones, los políticos y la sociedad se tienen que preparar para afrontar las consecuencias de tener poblaciones altamente envejecidas. Para la profesora María Ángeles Durán, del Consejo Superior d</w:t>
      </w:r>
      <w:r w:rsidR="00995959" w:rsidRPr="00995959">
        <w:rPr>
          <w:rFonts w:ascii="Times New Roman" w:hAnsi="Times New Roman"/>
          <w:sz w:val="24"/>
          <w:szCs w:val="24"/>
        </w:rPr>
        <w:t>e Investigaciones Científicas, “</w:t>
      </w:r>
      <w:r w:rsidRPr="00995959">
        <w:rPr>
          <w:rFonts w:ascii="Times New Roman" w:hAnsi="Times New Roman"/>
          <w:sz w:val="24"/>
          <w:szCs w:val="24"/>
        </w:rPr>
        <w:t>el objetivo de alargar la esperanza de vida en buenas condiciones de salud y calidad de la existencia es mucho más difícil de lograr que el de la simple supervivencia. Es ahí donde se plantean los grandes retos sociales, económicos y políticos. Los recursos son siempre limitados y la cantidad de personas dependientes que cada sociedad decide mantener es un asunto  delicado, u</w:t>
      </w:r>
      <w:r w:rsidR="00995959" w:rsidRPr="00995959">
        <w:rPr>
          <w:rFonts w:ascii="Times New Roman" w:hAnsi="Times New Roman"/>
          <w:sz w:val="24"/>
          <w:szCs w:val="24"/>
        </w:rPr>
        <w:t>n equilibrio inestable”</w:t>
      </w:r>
      <w:r w:rsidRPr="00995959">
        <w:rPr>
          <w:rFonts w:ascii="Times New Roman" w:hAnsi="Times New Roman"/>
          <w:sz w:val="24"/>
          <w:szCs w:val="24"/>
        </w:rPr>
        <w:t>.</w:t>
      </w:r>
    </w:p>
    <w:p w:rsidR="00AA1140" w:rsidRPr="00995959" w:rsidRDefault="00995959" w:rsidP="00550638">
      <w:pPr>
        <w:spacing w:line="240" w:lineRule="auto"/>
        <w:jc w:val="both"/>
        <w:rPr>
          <w:rFonts w:ascii="Times New Roman" w:hAnsi="Times New Roman"/>
          <w:sz w:val="24"/>
          <w:szCs w:val="24"/>
        </w:rPr>
      </w:pPr>
      <w:r w:rsidRPr="00995959">
        <w:rPr>
          <w:rFonts w:ascii="Times New Roman" w:hAnsi="Times New Roman"/>
          <w:sz w:val="24"/>
          <w:szCs w:val="24"/>
        </w:rPr>
        <w:t>Durán subraya que, “</w:t>
      </w:r>
      <w:r w:rsidR="00AA1140" w:rsidRPr="00995959">
        <w:rPr>
          <w:rFonts w:ascii="Times New Roman" w:hAnsi="Times New Roman"/>
          <w:sz w:val="24"/>
          <w:szCs w:val="24"/>
        </w:rPr>
        <w:t>a menos que aumentase simultáneamente la productividad, el aumento de la población dependiente exigiría una nueva redistribución de los recursos. Pero no es un tema que pueda simplificarse; por ejemplo,  hay que sacar el propio concepto de productividad del contexto de la producción de mercancías para el mercado en que ahora lo manejamos y extenderlo a otras actividades necesarias, c</w:t>
      </w:r>
      <w:r w:rsidRPr="00995959">
        <w:rPr>
          <w:rFonts w:ascii="Times New Roman" w:hAnsi="Times New Roman"/>
          <w:sz w:val="24"/>
          <w:szCs w:val="24"/>
        </w:rPr>
        <w:t>omo el cuidado y el autocuidado”</w:t>
      </w:r>
      <w:r w:rsidR="00AA1140" w:rsidRPr="00995959">
        <w:rPr>
          <w:rFonts w:ascii="Times New Roman" w:hAnsi="Times New Roman"/>
          <w:sz w:val="24"/>
          <w:szCs w:val="24"/>
        </w:rPr>
        <w:t>.</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David Reher, catedrático de Sociología de la Universidad Com</w:t>
      </w:r>
      <w:r w:rsidR="00995959" w:rsidRPr="00995959">
        <w:rPr>
          <w:rFonts w:ascii="Times New Roman" w:hAnsi="Times New Roman"/>
          <w:sz w:val="24"/>
          <w:szCs w:val="24"/>
        </w:rPr>
        <w:t>plutense de Madrid, afirma que “</w:t>
      </w:r>
      <w:r w:rsidRPr="00995959">
        <w:rPr>
          <w:rFonts w:ascii="Times New Roman" w:hAnsi="Times New Roman"/>
          <w:sz w:val="24"/>
          <w:szCs w:val="24"/>
        </w:rPr>
        <w:t>el mundo está inmerso en un camino nunca antes recorrido en la historia y no sabemos hasta qué punto la sociedad actual está preparada para soportar una población muy envejecida. Entran en juego muchas variables que plantean cuestiones como ¿Cuántos años se vivirán y con qué estado salud? ¿Cuántos hay para pagar y cuántos para cobrar? ¿Cuánto costará mantener a tantos mayores en condiciones adecuadas? ¿Las fuerzas políticas van a apoyar a los contribuyentes o a las personas que viven de las cuentas del estado? Parece terrible decir esto, pero podría llegar a plantears</w:t>
      </w:r>
      <w:r w:rsidR="00995959" w:rsidRPr="00995959">
        <w:rPr>
          <w:rFonts w:ascii="Times New Roman" w:hAnsi="Times New Roman"/>
          <w:sz w:val="24"/>
          <w:szCs w:val="24"/>
        </w:rPr>
        <w:t>e la cuestión en estos términos”</w:t>
      </w:r>
      <w:r w:rsidRPr="00995959">
        <w:rPr>
          <w:rFonts w:ascii="Times New Roman" w:hAnsi="Times New Roman"/>
          <w:sz w:val="24"/>
          <w:szCs w:val="24"/>
        </w:rPr>
        <w:t xml:space="preserve">. </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 xml:space="preserve">La </w:t>
      </w:r>
      <w:r w:rsidR="004160DB" w:rsidRPr="00995959">
        <w:rPr>
          <w:rFonts w:ascii="Times New Roman" w:hAnsi="Times New Roman"/>
          <w:sz w:val="24"/>
          <w:szCs w:val="24"/>
        </w:rPr>
        <w:t>caída</w:t>
      </w:r>
      <w:r w:rsidRPr="00995959">
        <w:rPr>
          <w:rFonts w:ascii="Times New Roman" w:hAnsi="Times New Roman"/>
          <w:sz w:val="24"/>
          <w:szCs w:val="24"/>
        </w:rPr>
        <w:t xml:space="preserve"> de la natalidad es una dificultad añadida al reto de tener una población envejecida. El Instituto Nacional de Estadística (INE), en su informe Proyección del a Población de España Corto Plazo 2011-2021 predice que nuestro país perderá medio millón de habitante y en 2020 habrá un 18% menos de nacimientos que en 2010. </w:t>
      </w:r>
    </w:p>
    <w:p w:rsidR="00AA1140" w:rsidRPr="00995959" w:rsidRDefault="00995959" w:rsidP="00550638">
      <w:pPr>
        <w:spacing w:line="240" w:lineRule="auto"/>
        <w:jc w:val="both"/>
        <w:rPr>
          <w:rFonts w:ascii="Times New Roman" w:hAnsi="Times New Roman"/>
          <w:sz w:val="24"/>
          <w:szCs w:val="24"/>
        </w:rPr>
      </w:pPr>
      <w:r w:rsidRPr="00995959">
        <w:rPr>
          <w:rFonts w:ascii="Times New Roman" w:hAnsi="Times New Roman"/>
          <w:sz w:val="24"/>
          <w:szCs w:val="24"/>
        </w:rPr>
        <w:lastRenderedPageBreak/>
        <w:t>Reher recuerda que “</w:t>
      </w:r>
      <w:r w:rsidR="00AA1140" w:rsidRPr="00995959">
        <w:rPr>
          <w:rFonts w:ascii="Times New Roman" w:hAnsi="Times New Roman"/>
          <w:sz w:val="24"/>
          <w:szCs w:val="24"/>
        </w:rPr>
        <w:t>todas las previsiones existentes para el futuro de las pensiones, de la sociedad y de la economía se basan en mayor o menor grado en el supuesto de un empleo elevado (empezando más joven, trabajando hasta más tarde y niveles de actividad similares entre hombres y mujeres). ¿Cómo podría ser de otra manera ante una población en edad de trabajar en clara disminución y unos niveles de población depend</w:t>
      </w:r>
      <w:r w:rsidRPr="00995959">
        <w:rPr>
          <w:rFonts w:ascii="Times New Roman" w:hAnsi="Times New Roman"/>
          <w:sz w:val="24"/>
          <w:szCs w:val="24"/>
        </w:rPr>
        <w:t>iente en aceleradísimo aumento?”, una solución que “</w:t>
      </w:r>
      <w:r w:rsidR="00AA1140" w:rsidRPr="00995959">
        <w:rPr>
          <w:rFonts w:ascii="Times New Roman" w:hAnsi="Times New Roman"/>
          <w:sz w:val="24"/>
          <w:szCs w:val="24"/>
        </w:rPr>
        <w:t>en vista de lo que está suce</w:t>
      </w:r>
      <w:r w:rsidRPr="00995959">
        <w:rPr>
          <w:rFonts w:ascii="Times New Roman" w:hAnsi="Times New Roman"/>
          <w:sz w:val="24"/>
          <w:szCs w:val="24"/>
        </w:rPr>
        <w:t>diendo, suena un poco a quimera”</w:t>
      </w:r>
      <w:r w:rsidR="00AA1140" w:rsidRPr="00995959">
        <w:rPr>
          <w:rFonts w:ascii="Times New Roman" w:hAnsi="Times New Roman"/>
          <w:sz w:val="24"/>
          <w:szCs w:val="24"/>
        </w:rPr>
        <w:t>.</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 xml:space="preserve">Ante este panorama, parece inevitable prolongar la edad de jubilación. Pero Reher </w:t>
      </w:r>
      <w:r w:rsidR="00995959" w:rsidRPr="00995959">
        <w:rPr>
          <w:rFonts w:ascii="Times New Roman" w:hAnsi="Times New Roman"/>
          <w:sz w:val="24"/>
          <w:szCs w:val="24"/>
        </w:rPr>
        <w:t>tiene una propuesta diferente: “</w:t>
      </w:r>
      <w:r w:rsidRPr="00995959">
        <w:rPr>
          <w:rFonts w:ascii="Times New Roman" w:hAnsi="Times New Roman"/>
          <w:sz w:val="24"/>
          <w:szCs w:val="24"/>
        </w:rPr>
        <w:t>¿Por qué no dejar a la gente cobrar su pensión y también seguir trabajando? Una persona cobra la pensión de acuerdo con los años cotizados (es un derecho suyo), si además trabaja resultará que seguirá cotizando a la Seguridad Social y también aumentará su contribución a los gastos del Estado mediante unos impuestos más altos. Desde la perspectiva de las personas, tal vez ganar más dinero que lo que le da su pensión (e incluso más que lo que ganaba antes) le supone un alic</w:t>
      </w:r>
      <w:r w:rsidR="00995959" w:rsidRPr="00995959">
        <w:rPr>
          <w:rFonts w:ascii="Times New Roman" w:hAnsi="Times New Roman"/>
          <w:sz w:val="24"/>
          <w:szCs w:val="24"/>
        </w:rPr>
        <w:t>iente para continuar trabajando”</w:t>
      </w:r>
      <w:r w:rsidRPr="00995959">
        <w:rPr>
          <w:rFonts w:ascii="Times New Roman" w:hAnsi="Times New Roman"/>
          <w:sz w:val="24"/>
          <w:szCs w:val="24"/>
        </w:rPr>
        <w:t xml:space="preserve">. </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 xml:space="preserve">El profesor Axel Borsche-Supan, del Instituto Mannheim de Investigación Económica del Envejecimiento y </w:t>
      </w:r>
      <w:r w:rsidR="00120E8D" w:rsidRPr="00995959">
        <w:rPr>
          <w:rFonts w:ascii="Times New Roman" w:hAnsi="Times New Roman"/>
          <w:sz w:val="24"/>
          <w:szCs w:val="24"/>
        </w:rPr>
        <w:t>coordinador</w:t>
      </w:r>
      <w:r w:rsidRPr="00995959">
        <w:rPr>
          <w:rFonts w:ascii="Times New Roman" w:hAnsi="Times New Roman"/>
          <w:sz w:val="24"/>
          <w:szCs w:val="24"/>
        </w:rPr>
        <w:t xml:space="preserve"> de la Encuesta sobre Salud Envejecimiento y Jubilación</w:t>
      </w:r>
      <w:r w:rsidR="00995959" w:rsidRPr="00995959">
        <w:rPr>
          <w:rFonts w:ascii="Times New Roman" w:hAnsi="Times New Roman"/>
          <w:sz w:val="24"/>
          <w:szCs w:val="24"/>
        </w:rPr>
        <w:t xml:space="preserve"> en Europa (Share), afirma que “</w:t>
      </w:r>
      <w:r w:rsidRPr="00995959">
        <w:rPr>
          <w:rFonts w:ascii="Times New Roman" w:hAnsi="Times New Roman"/>
          <w:sz w:val="24"/>
          <w:szCs w:val="24"/>
        </w:rPr>
        <w:t xml:space="preserve">los países mediterráneos tienen pensiones públicas generosas pero poco más, </w:t>
      </w:r>
      <w:r w:rsidR="00120E8D" w:rsidRPr="00995959">
        <w:rPr>
          <w:rFonts w:ascii="Times New Roman" w:hAnsi="Times New Roman"/>
          <w:sz w:val="24"/>
          <w:szCs w:val="24"/>
        </w:rPr>
        <w:t>mientras</w:t>
      </w:r>
      <w:r w:rsidRPr="00995959">
        <w:rPr>
          <w:rFonts w:ascii="Times New Roman" w:hAnsi="Times New Roman"/>
          <w:sz w:val="24"/>
          <w:szCs w:val="24"/>
        </w:rPr>
        <w:t xml:space="preserve"> que en los países del norte las pensiones pr</w:t>
      </w:r>
      <w:r w:rsidR="00995959" w:rsidRPr="00995959">
        <w:rPr>
          <w:rFonts w:ascii="Times New Roman" w:hAnsi="Times New Roman"/>
          <w:sz w:val="24"/>
          <w:szCs w:val="24"/>
        </w:rPr>
        <w:t>ivadas compensan a las públicas”</w:t>
      </w:r>
      <w:r w:rsidRPr="00995959">
        <w:rPr>
          <w:rFonts w:ascii="Times New Roman" w:hAnsi="Times New Roman"/>
          <w:sz w:val="24"/>
          <w:szCs w:val="24"/>
        </w:rPr>
        <w:t>.</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El experto alemán cree que el problema para España l</w:t>
      </w:r>
      <w:r w:rsidR="00995959" w:rsidRPr="00995959">
        <w:rPr>
          <w:rFonts w:ascii="Times New Roman" w:hAnsi="Times New Roman"/>
          <w:sz w:val="24"/>
          <w:szCs w:val="24"/>
        </w:rPr>
        <w:t>legará dentro de 25 años, pero “</w:t>
      </w:r>
      <w:r w:rsidRPr="00995959">
        <w:rPr>
          <w:rFonts w:ascii="Times New Roman" w:hAnsi="Times New Roman"/>
          <w:sz w:val="24"/>
          <w:szCs w:val="24"/>
        </w:rPr>
        <w:t xml:space="preserve">tiene margen para acometer las reformas necesarias. Suecia lo hizo a raíz de su crisis financiera de los años 90 y Alemania ha hecho un buen </w:t>
      </w:r>
      <w:r w:rsidR="00995959" w:rsidRPr="00995959">
        <w:rPr>
          <w:rFonts w:ascii="Times New Roman" w:hAnsi="Times New Roman"/>
          <w:sz w:val="24"/>
          <w:szCs w:val="24"/>
        </w:rPr>
        <w:t>trabajo en materia de pensiones”</w:t>
      </w:r>
      <w:r w:rsidRPr="00995959">
        <w:rPr>
          <w:rFonts w:ascii="Times New Roman" w:hAnsi="Times New Roman"/>
          <w:sz w:val="24"/>
          <w:szCs w:val="24"/>
        </w:rPr>
        <w:t xml:space="preserve">. </w:t>
      </w:r>
    </w:p>
    <w:p w:rsidR="00AA1140" w:rsidRPr="00995959"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En este escenario, ¿compensa lle</w:t>
      </w:r>
      <w:r w:rsidR="00995959" w:rsidRPr="00995959">
        <w:rPr>
          <w:rFonts w:ascii="Times New Roman" w:hAnsi="Times New Roman"/>
          <w:sz w:val="24"/>
          <w:szCs w:val="24"/>
        </w:rPr>
        <w:t>gar a vivir cien años? “</w:t>
      </w:r>
      <w:r w:rsidRPr="00995959">
        <w:rPr>
          <w:rFonts w:ascii="Times New Roman" w:hAnsi="Times New Roman"/>
          <w:sz w:val="24"/>
          <w:szCs w:val="24"/>
        </w:rPr>
        <w:t>Me imagino que no, aunque la verdad es que hay científicos como James Vaupel que no hace más que cantar las glorias de llegar a una altísima edad. Supongo que todo ello depende en buena medida de la salud y la calidad de vida de las</w:t>
      </w:r>
      <w:r w:rsidR="00995959" w:rsidRPr="00995959">
        <w:rPr>
          <w:rFonts w:ascii="Times New Roman" w:hAnsi="Times New Roman"/>
          <w:sz w:val="24"/>
          <w:szCs w:val="24"/>
        </w:rPr>
        <w:t xml:space="preserve"> personas durante su vejez”</w:t>
      </w:r>
      <w:r w:rsidRPr="00995959">
        <w:rPr>
          <w:rFonts w:ascii="Times New Roman" w:hAnsi="Times New Roman"/>
          <w:sz w:val="24"/>
          <w:szCs w:val="24"/>
        </w:rPr>
        <w:t xml:space="preserve">, sostiene David Reher. </w:t>
      </w:r>
      <w:r w:rsidR="00995959" w:rsidRPr="00995959">
        <w:rPr>
          <w:rFonts w:ascii="Times New Roman" w:hAnsi="Times New Roman"/>
          <w:sz w:val="24"/>
          <w:szCs w:val="24"/>
        </w:rPr>
        <w:t>María Ángeles Durán opina que “</w:t>
      </w:r>
      <w:r w:rsidRPr="00995959">
        <w:rPr>
          <w:rFonts w:ascii="Times New Roman" w:hAnsi="Times New Roman"/>
          <w:sz w:val="24"/>
          <w:szCs w:val="24"/>
        </w:rPr>
        <w:t>es una cuestión individual y cultural. Dependiendo  de en qué condiciones, la vida es un regalo maravilloso o una tortura de la que se desea escapar. Algunas sociedades permiten un alto margen de autonomía a sus miembros en relación al principio y final de la vida, en otras no hay</w:t>
      </w:r>
      <w:r w:rsidR="00995959" w:rsidRPr="00995959">
        <w:rPr>
          <w:rFonts w:ascii="Times New Roman" w:hAnsi="Times New Roman"/>
          <w:sz w:val="24"/>
          <w:szCs w:val="24"/>
        </w:rPr>
        <w:t xml:space="preserve"> margen para la opción personal”</w:t>
      </w:r>
      <w:r w:rsidRPr="00995959">
        <w:rPr>
          <w:rFonts w:ascii="Times New Roman" w:hAnsi="Times New Roman"/>
          <w:sz w:val="24"/>
          <w:szCs w:val="24"/>
        </w:rPr>
        <w:t>.</w:t>
      </w:r>
    </w:p>
    <w:p w:rsidR="00AA1140" w:rsidRDefault="00AA1140" w:rsidP="00550638">
      <w:pPr>
        <w:spacing w:line="240" w:lineRule="auto"/>
        <w:jc w:val="both"/>
        <w:rPr>
          <w:rFonts w:ascii="Times New Roman" w:hAnsi="Times New Roman"/>
          <w:sz w:val="24"/>
          <w:szCs w:val="24"/>
        </w:rPr>
      </w:pPr>
      <w:r w:rsidRPr="00995959">
        <w:rPr>
          <w:rFonts w:ascii="Times New Roman" w:hAnsi="Times New Roman"/>
          <w:sz w:val="24"/>
          <w:szCs w:val="24"/>
        </w:rPr>
        <w:t>Los hombres de ciencia tienen una opinión más optimis</w:t>
      </w:r>
      <w:r w:rsidR="00995959" w:rsidRPr="00995959">
        <w:rPr>
          <w:rFonts w:ascii="Times New Roman" w:hAnsi="Times New Roman"/>
          <w:sz w:val="24"/>
          <w:szCs w:val="24"/>
        </w:rPr>
        <w:t>ta. Carlos López-Otín dice que “</w:t>
      </w:r>
      <w:r w:rsidRPr="00995959">
        <w:rPr>
          <w:rFonts w:ascii="Times New Roman" w:hAnsi="Times New Roman"/>
          <w:sz w:val="24"/>
          <w:szCs w:val="24"/>
        </w:rPr>
        <w:t>ahora es normal llegar bien hasta los 80 años y mucha gente quiere vivir más si</w:t>
      </w:r>
      <w:r w:rsidR="00995959" w:rsidRPr="00995959">
        <w:rPr>
          <w:rFonts w:ascii="Times New Roman" w:hAnsi="Times New Roman"/>
          <w:sz w:val="24"/>
          <w:szCs w:val="24"/>
        </w:rPr>
        <w:t xml:space="preserve"> lo hacen en buenas condiciones”</w:t>
      </w:r>
      <w:r w:rsidRPr="00995959">
        <w:rPr>
          <w:rFonts w:ascii="Times New Roman" w:hAnsi="Times New Roman"/>
          <w:sz w:val="24"/>
          <w:szCs w:val="24"/>
        </w:rPr>
        <w:t>, y el geriatra Isidoro Ruipérez, del Hospital Central de la Cruz Ro</w:t>
      </w:r>
      <w:r w:rsidR="00995959" w:rsidRPr="00995959">
        <w:rPr>
          <w:rFonts w:ascii="Times New Roman" w:hAnsi="Times New Roman"/>
          <w:sz w:val="24"/>
          <w:szCs w:val="24"/>
        </w:rPr>
        <w:t>ja, en Madrid, es contundente: “</w:t>
      </w:r>
      <w:r w:rsidRPr="00995959">
        <w:rPr>
          <w:rFonts w:ascii="Times New Roman" w:hAnsi="Times New Roman"/>
          <w:sz w:val="24"/>
          <w:szCs w:val="24"/>
        </w:rPr>
        <w:t>Por supuesto. Tenemos más de 700 pacientes de más de 85 años y están encantados de vivir, y se aferran a la vida. También tenemos muchos nonage</w:t>
      </w:r>
      <w:r w:rsidR="00995959" w:rsidRPr="00995959">
        <w:rPr>
          <w:rFonts w:ascii="Times New Roman" w:hAnsi="Times New Roman"/>
          <w:sz w:val="24"/>
          <w:szCs w:val="24"/>
        </w:rPr>
        <w:t>narios y su actitud es la misma”</w:t>
      </w:r>
      <w:r w:rsidRPr="00995959">
        <w:rPr>
          <w:rFonts w:ascii="Times New Roman" w:hAnsi="Times New Roman"/>
          <w:sz w:val="24"/>
          <w:szCs w:val="24"/>
        </w:rPr>
        <w:t>.</w:t>
      </w:r>
    </w:p>
    <w:p w:rsidR="00120E8D" w:rsidRPr="00120E8D" w:rsidRDefault="00120E8D" w:rsidP="00550638">
      <w:pPr>
        <w:pStyle w:val="NormalWeb"/>
        <w:jc w:val="both"/>
        <w:rPr>
          <w:u w:val="single"/>
        </w:rPr>
      </w:pPr>
      <w:r w:rsidRPr="00120E8D">
        <w:rPr>
          <w:u w:val="single"/>
        </w:rPr>
        <w:t>Mientras unos juegan a Dios (y se lo creen), otros no saben cómo pagar las aspirinas</w:t>
      </w:r>
    </w:p>
    <w:p w:rsidR="00A47085" w:rsidRPr="0052271D" w:rsidRDefault="00A47085" w:rsidP="00550638">
      <w:pPr>
        <w:pStyle w:val="NormalWeb"/>
        <w:jc w:val="both"/>
      </w:pPr>
      <w:r w:rsidRPr="00055ADC">
        <w:t xml:space="preserve">- </w:t>
      </w:r>
      <w:r w:rsidRPr="00055ADC">
        <w:rPr>
          <w:u w:val="single"/>
        </w:rPr>
        <w:t>¿Deberíamos vivir hasta cumplir 1.000 años?</w:t>
      </w:r>
      <w:r>
        <w:t xml:space="preserve"> </w:t>
      </w:r>
      <w:r w:rsidRPr="0052271D">
        <w:t xml:space="preserve">(Project Syndicate - </w:t>
      </w:r>
      <w:r w:rsidRPr="0052271D">
        <w:rPr>
          <w:b/>
        </w:rPr>
        <w:t>10/12/12</w:t>
      </w:r>
      <w:r w:rsidRPr="0052271D">
        <w:t>)</w:t>
      </w:r>
    </w:p>
    <w:p w:rsidR="00A47085" w:rsidRPr="00120E8D" w:rsidRDefault="00A47085" w:rsidP="00550638">
      <w:pPr>
        <w:pStyle w:val="NormalWeb"/>
        <w:jc w:val="both"/>
      </w:pPr>
      <w:r w:rsidRPr="00120E8D">
        <w:t>(Por Peter Singer)</w:t>
      </w:r>
      <w:r w:rsidR="00120E8D" w:rsidRPr="00120E8D">
        <w:t xml:space="preserve">                                                                              Lectura recomendada</w:t>
      </w:r>
    </w:p>
    <w:p w:rsidR="00A47085" w:rsidRPr="00D44D20" w:rsidRDefault="00120E8D" w:rsidP="00550638">
      <w:pPr>
        <w:pStyle w:val="NormalWeb"/>
        <w:jc w:val="both"/>
        <w:rPr>
          <w:u w:val="single"/>
        </w:rPr>
      </w:pPr>
      <w:r>
        <w:t>Princeton.-</w:t>
      </w:r>
      <w:r w:rsidR="00A47085" w:rsidRPr="00055ADC">
        <w:t xml:space="preserve"> </w:t>
      </w:r>
      <w:r w:rsidR="00A47085" w:rsidRPr="00D44D20">
        <w:rPr>
          <w:u w:val="single"/>
        </w:rPr>
        <w:t xml:space="preserve">¿En cuáles problemas deberíamos enfocar la investigación en medicina y ciencias biológicas? Existe un argumento sólido a favor de luchar contra las </w:t>
      </w:r>
      <w:r w:rsidR="00A47085" w:rsidRPr="00D44D20">
        <w:rPr>
          <w:u w:val="single"/>
        </w:rPr>
        <w:lastRenderedPageBreak/>
        <w:t>enferme</w:t>
      </w:r>
      <w:r>
        <w:rPr>
          <w:u w:val="single"/>
        </w:rPr>
        <w:t>dades que matan a más personas -</w:t>
      </w:r>
      <w:r w:rsidR="00A47085" w:rsidRPr="00D44D20">
        <w:rPr>
          <w:u w:val="single"/>
        </w:rPr>
        <w:t xml:space="preserve"> enfermedades como la malaria, el sarampión y la diarrea, que son las que matan a millones de personas en los países en desarrollo, pero a muy pocas en el mundo desarrollado.</w:t>
      </w:r>
    </w:p>
    <w:p w:rsidR="00A47085" w:rsidRPr="00D44D20" w:rsidRDefault="00A47085" w:rsidP="00550638">
      <w:pPr>
        <w:pStyle w:val="NormalWeb"/>
        <w:jc w:val="both"/>
        <w:rPr>
          <w:u w:val="single"/>
        </w:rPr>
      </w:pPr>
      <w:r w:rsidRPr="00D44D20">
        <w:rPr>
          <w:u w:val="single"/>
        </w:rPr>
        <w:t>Los países desarrollados, sin embargo, dedican la mayor parte de sus fondos de investigación a las enfermedades que sufren sus ciudadanos, y es muy probable que esta situación continúe así en el futuro previsible. Teniendo en cuenta esta restricción, ¿qué avance médico sería el que logre más en cuanto a mejorar nuestras vidas?</w:t>
      </w:r>
    </w:p>
    <w:p w:rsidR="00A47085" w:rsidRPr="00D44D20" w:rsidRDefault="00A47085" w:rsidP="00550638">
      <w:pPr>
        <w:pStyle w:val="NormalWeb"/>
        <w:jc w:val="both"/>
        <w:rPr>
          <w:color w:val="FF0000"/>
          <w:u w:val="single"/>
        </w:rPr>
      </w:pPr>
      <w:r w:rsidRPr="00055ADC">
        <w:t xml:space="preserve">Si su primer pensamiento es “una cura para el cáncer” o “una cura para las enfermedades cardiacas”, piénselo de nuevo. </w:t>
      </w:r>
      <w:r w:rsidRPr="00D44D20">
        <w:rPr>
          <w:color w:val="FF0000"/>
          <w:u w:val="single"/>
        </w:rPr>
        <w:t>Aubrey de Grey, director científico de la fundación SENS y el defensor más destacado del mundo en el campo de la investigación anti-envejecimiento, afirma que no tiene sentido gastar la mayor parte de nuestros recursos médicos en tratar de luchar contra las enfermedades de la vejez, sin combatir el envejecimiento en sí. Si curamos una de estas enfermedades, los que hubieran muerto a causa de la misma pueden esperar sucumbir a causa de otra, unos pocos años más adelante. Por lo tanto, el beneficio es modesto.</w:t>
      </w:r>
    </w:p>
    <w:p w:rsidR="00A47085" w:rsidRPr="00D44D20" w:rsidRDefault="00A47085" w:rsidP="00550638">
      <w:pPr>
        <w:pStyle w:val="NormalWeb"/>
        <w:jc w:val="both"/>
        <w:rPr>
          <w:color w:val="FF0000"/>
          <w:u w:val="single"/>
        </w:rPr>
      </w:pPr>
      <w:r w:rsidRPr="00D44D20">
        <w:rPr>
          <w:u w:val="single"/>
        </w:rPr>
        <w:t>En los países desarrollados, el envejecimiento es la causa final del 90% de todas las muertes de seres humanos; por lo tanto, el tratamiento del envejecimiento es una forma de medicina preventiva para todas las enfermedades de la vejez.</w:t>
      </w:r>
      <w:r w:rsidRPr="00055ADC">
        <w:t xml:space="preserve"> </w:t>
      </w:r>
      <w:r w:rsidRPr="00D44D20">
        <w:rPr>
          <w:u w:val="single"/>
        </w:rPr>
        <w:t>Además, incluso antes de que el envejecimiento conduzca a la muerte, reduce nuestra capacidad para disfrutar de nuestras propias vidas y para contribuir positivamente a la vida de los demás</w:t>
      </w:r>
      <w:r w:rsidRPr="00055ADC">
        <w:t xml:space="preserve">. Por esta razón, en lugar de enfocarse en enfermedades específicas que podrían sobrevenir con más probabilidad cuando las personas llegan a una cierta edad, </w:t>
      </w:r>
      <w:r w:rsidRPr="00D44D20">
        <w:rPr>
          <w:color w:val="FF0000"/>
          <w:u w:val="single"/>
        </w:rPr>
        <w:t>¿no sería una mejor estrategia tratar de prevenir o reparar el daño causado a nuestros cuerpos por el proceso de envejecimiento?</w:t>
      </w:r>
    </w:p>
    <w:p w:rsidR="00A47085" w:rsidRPr="00D44D20" w:rsidRDefault="00A47085" w:rsidP="00550638">
      <w:pPr>
        <w:pStyle w:val="NormalWeb"/>
        <w:jc w:val="both"/>
        <w:rPr>
          <w:b/>
          <w:color w:val="FF0000"/>
          <w:u w:val="single"/>
        </w:rPr>
      </w:pPr>
      <w:r w:rsidRPr="00055ADC">
        <w:t xml:space="preserve">De Grey cree que el avance, inclusive si es modesto, en este ámbito durante los próximos diez años podría conducir a una extensión dramática en la duración de la vida de los humanos. </w:t>
      </w:r>
      <w:r w:rsidRPr="00D44D20">
        <w:rPr>
          <w:color w:val="FF0000"/>
          <w:u w:val="single"/>
        </w:rPr>
        <w:t>Todo lo que tenemos que hacer es llegar a lo que él denomina “la velocidad de escape de</w:t>
      </w:r>
      <w:r w:rsidR="004160DB">
        <w:rPr>
          <w:color w:val="FF0000"/>
          <w:u w:val="single"/>
        </w:rPr>
        <w:t xml:space="preserve"> la longevidad” -</w:t>
      </w:r>
      <w:r w:rsidRPr="00D44D20">
        <w:rPr>
          <w:color w:val="FF0000"/>
          <w:u w:val="single"/>
        </w:rPr>
        <w:t xml:space="preserve"> es decir, el punto en el que podemos extender la vida lo suficiente como para dar tiempo a que, a su vez, nuevos avances científicos permitan extensiones adicionales, y por lo tanto un mayor avance y una mayor longevidad.</w:t>
      </w:r>
      <w:r w:rsidRPr="00055ADC">
        <w:t xml:space="preserve"> En una disertación recientemente en la Universidad de Princeton, de Grey, dijo: </w:t>
      </w:r>
      <w:r w:rsidRPr="00D44D20">
        <w:rPr>
          <w:b/>
          <w:color w:val="FF0000"/>
          <w:u w:val="single"/>
        </w:rPr>
        <w:t xml:space="preserve">“no sé qué edad tiene en la actualidad la primera persona que vivirá hasta sus 150 años, pero se puede decir casi con certeza que la primera persona que vivirá hasta sus 1.000 años es menos de 20 años menor que dicha persona”. </w:t>
      </w:r>
    </w:p>
    <w:p w:rsidR="00A47085" w:rsidRPr="00055ADC" w:rsidRDefault="00A47085" w:rsidP="00550638">
      <w:pPr>
        <w:pStyle w:val="NormalWeb"/>
        <w:jc w:val="both"/>
      </w:pPr>
      <w:r w:rsidRPr="00D44D20">
        <w:rPr>
          <w:u w:val="single"/>
        </w:rPr>
        <w:t>Lo que más atrae a Aubrey de Grey acerca de esta perspectiva no es poder vivir para siempre, sino poder prologar el periodo de vida saludable y juvenil que llegaría como consecuencia de lograr a un grado de control sobre el proceso de envejecimiento</w:t>
      </w:r>
      <w:r w:rsidRPr="00055ADC">
        <w:t>. En los países desarrollados, hacer posible que aquellos que son jóvenes o de mediana edad permanezcan juveniles</w:t>
      </w:r>
      <w:r w:rsidR="00120E8D">
        <w:t>,</w:t>
      </w:r>
      <w:r w:rsidRPr="00055ADC">
        <w:t xml:space="preserve"> </w:t>
      </w:r>
      <w:r w:rsidR="00120E8D">
        <w:t>podría</w:t>
      </w:r>
      <w:r w:rsidRPr="00055ADC">
        <w:t xml:space="preserve"> atenuar el inminente problema demográfico relacionado a que una proporción de la población, sin precedentes históricos, es</w:t>
      </w:r>
      <w:r w:rsidR="00120E8D">
        <w:t>tá llegando a la edad avanzada -</w:t>
      </w:r>
      <w:r w:rsidRPr="00055ADC">
        <w:t xml:space="preserve"> y que con frecuencia se está tornando en dependiente de las personas más jóvenes.</w:t>
      </w:r>
    </w:p>
    <w:p w:rsidR="00A47085" w:rsidRPr="00D44D20" w:rsidRDefault="00A47085" w:rsidP="00550638">
      <w:pPr>
        <w:pStyle w:val="NormalWeb"/>
        <w:jc w:val="both"/>
        <w:rPr>
          <w:color w:val="FF0000"/>
          <w:u w:val="single"/>
        </w:rPr>
      </w:pPr>
      <w:r w:rsidRPr="00D44D20">
        <w:rPr>
          <w:color w:val="FF0000"/>
          <w:u w:val="single"/>
        </w:rPr>
        <w:lastRenderedPageBreak/>
        <w:t xml:space="preserve">Por otro lado, aún tenemos que plantearnos la pregunta ética: ¿estamos siendo egoísta al intentar extender nuestras vidas de manera tan dramática? Y, si tenemos éxito, ¿será el resultado bueno para algunos, pero injusto para otros? </w:t>
      </w:r>
    </w:p>
    <w:p w:rsidR="00A47085" w:rsidRPr="00D44D20" w:rsidRDefault="00A47085" w:rsidP="00550638">
      <w:pPr>
        <w:pStyle w:val="NormalWeb"/>
        <w:jc w:val="both"/>
        <w:rPr>
          <w:u w:val="single"/>
        </w:rPr>
      </w:pPr>
      <w:r w:rsidRPr="00D44D20">
        <w:rPr>
          <w:u w:val="single"/>
        </w:rPr>
        <w:t xml:space="preserve">Las personas en los países ricos ya en la actualidad pueden esperar vivir alrededor de unos 30 años más que las personas en los países más pobres. Si descubrimos cómo retrasar el envejecimiento, podríamos tener un mundo en el que la mayoría de los pobres deban enfrentar a la muerte en un momento en que los miembros de la minoría rica se encuentren tan sólo en una décima parte del recorrido de su periodo de vida esperado. </w:t>
      </w:r>
    </w:p>
    <w:p w:rsidR="00A47085" w:rsidRPr="00D44D20" w:rsidRDefault="00A47085" w:rsidP="00550638">
      <w:pPr>
        <w:pStyle w:val="NormalWeb"/>
        <w:jc w:val="both"/>
        <w:rPr>
          <w:u w:val="single"/>
        </w:rPr>
      </w:pPr>
      <w:r w:rsidRPr="00D44D20">
        <w:rPr>
          <w:u w:val="single"/>
        </w:rPr>
        <w:t>Esa disparidad es una de las razones para creer que la superación de envejecimiento aumentará la cantidad de injusticia en el mundo. Otra es que si las personas continúan naciendo, mientras que otras no mueren, la población del planeta se incrementará a un ritmo aún más rápido del que ahora lo hace, lo que a su vez también haría que la vida para algunos sea mucho peor de lo que hubiese sido bajo otras circunstancias.</w:t>
      </w:r>
    </w:p>
    <w:p w:rsidR="00A47085" w:rsidRPr="00055ADC" w:rsidRDefault="00A47085" w:rsidP="00550638">
      <w:pPr>
        <w:pStyle w:val="NormalWeb"/>
        <w:jc w:val="both"/>
      </w:pPr>
      <w:r w:rsidRPr="00055ADC">
        <w:t>Si podemos o no podemos superar estas objeciones depende de nuestro grado de optimismo acerca de los futuros avances tecnológicos y económicos. La respuesta que proporciona Aubrey de Grey a la primera objeción es que, no obstante que los tratamientos contra el envejecimiento podrían llegar a ser costosos al principio, es probable que el precio disminuya, tal como ocurre con tantas otras innovaciones, desde los computadores hasta los fármacos que impiden el desarrollo del SIDA. Si el mundo puede continuar desarrollándose económica y tecnológicamente, las personas se hacen más ricas, y, en el largo plazo, el tratamiento anti-envejecimiento beneficiará a todos. Entonces, ¿por qué no empezar y hacer que dicho tratamiento sea una prioridad ahora?</w:t>
      </w:r>
    </w:p>
    <w:p w:rsidR="00A47085" w:rsidRPr="00D44D20" w:rsidRDefault="00A47085" w:rsidP="00550638">
      <w:pPr>
        <w:pStyle w:val="NormalWeb"/>
        <w:jc w:val="both"/>
        <w:rPr>
          <w:u w:val="single"/>
        </w:rPr>
      </w:pPr>
      <w:r w:rsidRPr="00D44D20">
        <w:rPr>
          <w:u w:val="single"/>
        </w:rPr>
        <w:t>En cuanto a la segunda objeción, al contrario de lo que muchas personas suponen, el éxito en la superación del envejecimiento por sí mismo podría darnos un respiro para encontrar soluciones al problema de la población, ya que también podría retrasar o eliminar la menopausia, lo que permitiría que las mujeres tengan su primer hijo mucho más tarde de lo que ahora pueden. Si el desarrollo económico continúa, las tasas de fecundidad en los países en desarrollo caerán, como ha ocurrido en los países desarrollados. En última instancia, la tecnología también puede ayudar a superar la objeción relativa a la población, al proporcionar nuevas fuentes de energía que no aumenten nuestra huella de carbono.</w:t>
      </w:r>
    </w:p>
    <w:p w:rsidR="00A47085" w:rsidRPr="00BB2092" w:rsidRDefault="00A47085" w:rsidP="00550638">
      <w:pPr>
        <w:pStyle w:val="NormalWeb"/>
        <w:jc w:val="both"/>
        <w:rPr>
          <w:color w:val="FF0000"/>
          <w:u w:val="single"/>
        </w:rPr>
      </w:pPr>
      <w:r w:rsidRPr="00BB2092">
        <w:rPr>
          <w:color w:val="FF0000"/>
          <w:u w:val="single"/>
        </w:rPr>
        <w:t>La objeción relativa a la población plantea una pregunta filosófica más profunda. Si nuestro planeta tiene una capacidad limitada para soportar vida humana, ¿es mejor tener un menor número de personas que viven vidas más largas o más personas que viven vidas más cortas? Una de las razones para pensar que es mejor tener menos personas que vive vidas más largas es que sólo quienes han nacido conocen aquello que la muerte les priva; y los que no existen no pueden saber lo que están perdiendo.</w:t>
      </w:r>
    </w:p>
    <w:p w:rsidR="00A47085" w:rsidRDefault="00A47085" w:rsidP="00550638">
      <w:pPr>
        <w:pStyle w:val="NormalWeb"/>
        <w:jc w:val="both"/>
      </w:pPr>
      <w:r w:rsidRPr="00055ADC">
        <w:t>De Grey ha creado la Fundación SENS con el objetivo de promover la investigación anti-envejecimiento. Según la mayoría de los parámetros de comparación, los esfuerzos de recaudación de fondos de esta fundación han tenido éxito, considerando que cuenta con un presupuesto anual de alrededor de $</w:t>
      </w:r>
      <w:r w:rsidR="00120E8D">
        <w:t xml:space="preserve"> </w:t>
      </w:r>
      <w:r w:rsidRPr="00055ADC">
        <w:t xml:space="preserve">4 millones. Pero dicha cantidad aún continúa siendo tristemente pequeña en comparación con los niveles de recaudación de las fundaciones de investigación médica. De Grey podría estar equivocado, pero si sólo </w:t>
      </w:r>
      <w:r w:rsidRPr="00055ADC">
        <w:lastRenderedPageBreak/>
        <w:t>existe una pequeña posibilidad de que él tenga razón, los enormes beneficios harían que la investigación anti-envejecimiento sea una mejor opción que las áreas de la investigación médica que actualmente se encuentran mucho mejor financiadas.</w:t>
      </w:r>
    </w:p>
    <w:p w:rsidR="00A47085" w:rsidRPr="00A47085" w:rsidRDefault="00A47085" w:rsidP="00550638">
      <w:pPr>
        <w:pStyle w:val="NormalWeb"/>
        <w:jc w:val="both"/>
      </w:pPr>
      <w:r>
        <w:rPr>
          <w:lang w:val="en-US"/>
        </w:rPr>
        <w:t>(</w:t>
      </w:r>
      <w:r w:rsidRPr="00055ADC">
        <w:rPr>
          <w:lang w:val="en-US"/>
        </w:rPr>
        <w:t xml:space="preserve">Peter Singer, Professor of Bioethics at Princeton University and Laureate Professor at the University of Melbourne, is one of the world’s most prominent ethicists. </w:t>
      </w:r>
      <w:r w:rsidRPr="00A47085">
        <w:t>He is the author of Practical…)</w:t>
      </w:r>
    </w:p>
    <w:p w:rsidR="00A47085" w:rsidRDefault="00A47085" w:rsidP="00550638">
      <w:pPr>
        <w:pStyle w:val="NormalWeb"/>
        <w:jc w:val="both"/>
      </w:pPr>
      <w:r>
        <w:t xml:space="preserve">- </w:t>
      </w:r>
      <w:r w:rsidRPr="00925ACE">
        <w:rPr>
          <w:u w:val="single"/>
        </w:rPr>
        <w:t>Informe de la Comisión Europea</w:t>
      </w:r>
      <w:r>
        <w:t xml:space="preserve"> </w:t>
      </w:r>
      <w:r w:rsidR="00120E8D">
        <w:t>-</w:t>
      </w:r>
      <w:r>
        <w:t xml:space="preserve"> </w:t>
      </w:r>
      <w:r w:rsidR="00120E8D">
        <w:t>(</w:t>
      </w:r>
      <w:r>
        <w:t xml:space="preserve">El Confidencial - </w:t>
      </w:r>
      <w:r w:rsidRPr="00925ACE">
        <w:rPr>
          <w:b/>
        </w:rPr>
        <w:t>19/12/12</w:t>
      </w:r>
      <w:r>
        <w:t>)</w:t>
      </w:r>
    </w:p>
    <w:p w:rsidR="00A47085" w:rsidRDefault="00A47085" w:rsidP="00550638">
      <w:pPr>
        <w:pStyle w:val="NormalWeb"/>
        <w:jc w:val="both"/>
      </w:pPr>
      <w:r>
        <w:rPr>
          <w:noProof/>
        </w:rPr>
        <w:drawing>
          <wp:inline distT="0" distB="0" distL="0" distR="0" wp14:anchorId="768790AB" wp14:editId="49C5EE13">
            <wp:extent cx="6108133" cy="3065069"/>
            <wp:effectExtent l="0" t="0" r="6985" b="2540"/>
            <wp:docPr id="192" name="Imagen 192" descr="2012121855sanche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2012121855sanchez3"/>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6108131" cy="3065068"/>
                    </a:xfrm>
                    <a:prstGeom prst="rect">
                      <a:avLst/>
                    </a:prstGeom>
                    <a:noFill/>
                    <a:ln>
                      <a:noFill/>
                    </a:ln>
                  </pic:spPr>
                </pic:pic>
              </a:graphicData>
            </a:graphic>
          </wp:inline>
        </w:drawing>
      </w:r>
    </w:p>
    <w:p w:rsidR="00120E8D" w:rsidRDefault="00A47085" w:rsidP="00550638">
      <w:pPr>
        <w:pStyle w:val="NormalWeb"/>
        <w:jc w:val="both"/>
      </w:pPr>
      <w:r>
        <w:rPr>
          <w:noProof/>
        </w:rPr>
        <w:drawing>
          <wp:inline distT="0" distB="0" distL="0" distR="0" wp14:anchorId="494B35C7" wp14:editId="655AFC31">
            <wp:extent cx="5947257" cy="2618842"/>
            <wp:effectExtent l="0" t="0" r="0" b="0"/>
            <wp:docPr id="191" name="Imagen 191" descr="2012121881sanche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2012121881sanchez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947491" cy="2618945"/>
                    </a:xfrm>
                    <a:prstGeom prst="rect">
                      <a:avLst/>
                    </a:prstGeom>
                    <a:noFill/>
                    <a:ln>
                      <a:noFill/>
                    </a:ln>
                  </pic:spPr>
                </pic:pic>
              </a:graphicData>
            </a:graphic>
          </wp:inline>
        </w:drawing>
      </w:r>
    </w:p>
    <w:p w:rsidR="00120E8D" w:rsidRPr="00120E8D" w:rsidRDefault="00120E8D" w:rsidP="00550638">
      <w:pPr>
        <w:pStyle w:val="NormalWeb"/>
        <w:jc w:val="both"/>
        <w:rPr>
          <w:u w:val="single"/>
        </w:rPr>
      </w:pPr>
      <w:r w:rsidRPr="00120E8D">
        <w:rPr>
          <w:u w:val="single"/>
        </w:rPr>
        <w:t>La sanidad holandesa: ¿un modelo para Europa?</w:t>
      </w:r>
    </w:p>
    <w:p w:rsidR="00A47085" w:rsidRDefault="00A47085" w:rsidP="00550638">
      <w:pPr>
        <w:pStyle w:val="NormalWeb"/>
        <w:jc w:val="both"/>
      </w:pPr>
      <w:r>
        <w:t xml:space="preserve">- </w:t>
      </w:r>
      <w:r w:rsidRPr="008A16C2">
        <w:rPr>
          <w:u w:val="single"/>
        </w:rPr>
        <w:t>Holanda: así funciona el mejor sistema sanitario de Europa</w:t>
      </w:r>
      <w:r>
        <w:t xml:space="preserve"> (Libertad Digital - </w:t>
      </w:r>
      <w:r w:rsidRPr="008A16C2">
        <w:rPr>
          <w:b/>
        </w:rPr>
        <w:t>21/12/12</w:t>
      </w:r>
      <w:r>
        <w:t>)</w:t>
      </w:r>
    </w:p>
    <w:p w:rsidR="00A47085" w:rsidRPr="00D43232" w:rsidRDefault="00A47085" w:rsidP="00550638">
      <w:pPr>
        <w:pStyle w:val="NormalWeb"/>
        <w:jc w:val="both"/>
        <w:rPr>
          <w:color w:val="FF0000"/>
        </w:rPr>
      </w:pPr>
      <w:r w:rsidRPr="00D43232">
        <w:rPr>
          <w:color w:val="FF0000"/>
        </w:rPr>
        <w:lastRenderedPageBreak/>
        <w:t>Su modelo público se basa en la competencia entre aseguradores privados y en la libre elección de los pacientes.</w:t>
      </w:r>
    </w:p>
    <w:p w:rsidR="00120E8D" w:rsidRDefault="00A47085"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00120E8D">
        <w:rPr>
          <w:rFonts w:ascii="Times New Roman" w:eastAsia="Times New Roman" w:hAnsi="Times New Roman"/>
          <w:sz w:val="24"/>
          <w:szCs w:val="24"/>
          <w:lang w:eastAsia="es-ES"/>
        </w:rPr>
        <w:t>D. Soriano)                                                                                Lectura recomendada</w:t>
      </w:r>
    </w:p>
    <w:p w:rsidR="00120E8D" w:rsidRDefault="00120E8D" w:rsidP="00550638">
      <w:pPr>
        <w:spacing w:after="0" w:line="240" w:lineRule="auto"/>
        <w:jc w:val="both"/>
        <w:rPr>
          <w:rFonts w:ascii="Times New Roman" w:eastAsia="Times New Roman" w:hAnsi="Times New Roman"/>
          <w:sz w:val="24"/>
          <w:szCs w:val="24"/>
          <w:lang w:eastAsia="es-ES"/>
        </w:rPr>
      </w:pPr>
    </w:p>
    <w:p w:rsidR="00A47085" w:rsidRPr="008A16C2" w:rsidRDefault="00A47085" w:rsidP="00550638">
      <w:pPr>
        <w:spacing w:after="0" w:line="240" w:lineRule="auto"/>
        <w:jc w:val="both"/>
        <w:rPr>
          <w:rFonts w:ascii="Times New Roman" w:eastAsia="Times New Roman" w:hAnsi="Times New Roman"/>
          <w:color w:val="FF0000"/>
          <w:sz w:val="24"/>
          <w:szCs w:val="24"/>
          <w:u w:val="single"/>
          <w:lang w:eastAsia="es-ES"/>
        </w:rPr>
      </w:pPr>
      <w:r w:rsidRPr="008A16C2">
        <w:rPr>
          <w:rFonts w:ascii="Times New Roman" w:eastAsia="Times New Roman" w:hAnsi="Times New Roman"/>
          <w:sz w:val="24"/>
          <w:szCs w:val="24"/>
          <w:lang w:eastAsia="es-ES"/>
        </w:rPr>
        <w:t xml:space="preserve">Desde hace siete años, </w:t>
      </w:r>
      <w:hyperlink r:id="rId393" w:history="1">
        <w:r w:rsidRPr="00120E8D">
          <w:rPr>
            <w:rFonts w:ascii="Times New Roman" w:eastAsia="Times New Roman" w:hAnsi="Times New Roman"/>
            <w:sz w:val="24"/>
            <w:szCs w:val="24"/>
            <w:u w:val="single"/>
            <w:lang w:eastAsia="es-ES"/>
          </w:rPr>
          <w:t>Health Consumer Powerhouse</w:t>
        </w:r>
      </w:hyperlink>
      <w:r w:rsidRPr="00120E8D">
        <w:rPr>
          <w:rFonts w:ascii="Times New Roman" w:eastAsia="Times New Roman" w:hAnsi="Times New Roman"/>
          <w:sz w:val="24"/>
          <w:szCs w:val="24"/>
          <w:lang w:eastAsia="es-ES"/>
        </w:rPr>
        <w:t xml:space="preserve">, una organización de consumidores sueca especializada en sanidad y que colabora con la Comisión Europea, realiza el </w:t>
      </w:r>
      <w:hyperlink r:id="rId394" w:history="1">
        <w:r w:rsidRPr="00120E8D">
          <w:rPr>
            <w:rFonts w:ascii="Times New Roman" w:eastAsia="Times New Roman" w:hAnsi="Times New Roman"/>
            <w:i/>
            <w:iCs/>
            <w:sz w:val="24"/>
            <w:szCs w:val="24"/>
            <w:u w:val="single"/>
            <w:lang w:eastAsia="es-ES"/>
          </w:rPr>
          <w:t>Euro Health Consumer Index</w:t>
        </w:r>
      </w:hyperlink>
      <w:r w:rsidRPr="008A16C2">
        <w:rPr>
          <w:rFonts w:ascii="Times New Roman" w:eastAsia="Times New Roman" w:hAnsi="Times New Roman"/>
          <w:i/>
          <w:iCs/>
          <w:sz w:val="24"/>
          <w:szCs w:val="24"/>
          <w:lang w:eastAsia="es-ES"/>
        </w:rPr>
        <w:t xml:space="preserve"> (EHCI)</w:t>
      </w:r>
      <w:r w:rsidRPr="008A16C2">
        <w:rPr>
          <w:rFonts w:ascii="Times New Roman" w:eastAsia="Times New Roman" w:hAnsi="Times New Roman"/>
          <w:sz w:val="24"/>
          <w:szCs w:val="24"/>
          <w:lang w:eastAsia="es-ES"/>
        </w:rPr>
        <w:t xml:space="preserve">, un informe en el que se mide la calidad del </w:t>
      </w:r>
      <w:r w:rsidRPr="0087750F">
        <w:rPr>
          <w:rFonts w:ascii="Times New Roman" w:eastAsia="Times New Roman" w:hAnsi="Times New Roman"/>
          <w:bCs/>
          <w:sz w:val="24"/>
          <w:szCs w:val="24"/>
          <w:lang w:eastAsia="es-ES"/>
        </w:rPr>
        <w:t>sistema público de salud de 35 países</w:t>
      </w:r>
      <w:r w:rsidRPr="008A16C2">
        <w:rPr>
          <w:rFonts w:ascii="Times New Roman" w:eastAsia="Times New Roman" w:hAnsi="Times New Roman"/>
          <w:sz w:val="24"/>
          <w:szCs w:val="24"/>
          <w:lang w:eastAsia="es-ES"/>
        </w:rPr>
        <w:t xml:space="preserve"> del Viejo Continente. </w:t>
      </w:r>
      <w:r w:rsidRPr="008A16C2">
        <w:rPr>
          <w:rFonts w:ascii="Times New Roman" w:eastAsia="Times New Roman" w:hAnsi="Times New Roman"/>
          <w:color w:val="FF0000"/>
          <w:sz w:val="24"/>
          <w:szCs w:val="24"/>
          <w:u w:val="single"/>
          <w:lang w:eastAsia="es-ES"/>
        </w:rPr>
        <w:t>Los parámetros para organizar la clasificación son cinco: derechos de los pacientes e información (175 puntos), listas de espera (250 puntos), resultados (300 puntos), servicios cubiertos (175 puntos) y productos farmacéuticos (100 puntos), para un total máximo de 1.000 puntos.</w:t>
      </w:r>
    </w:p>
    <w:p w:rsidR="00A47085" w:rsidRPr="008A16C2" w:rsidRDefault="00A47085" w:rsidP="00550638">
      <w:pPr>
        <w:spacing w:before="100" w:beforeAutospacing="1" w:after="100" w:afterAutospacing="1" w:line="240" w:lineRule="auto"/>
        <w:jc w:val="both"/>
        <w:rPr>
          <w:rFonts w:ascii="Times New Roman" w:eastAsia="Times New Roman" w:hAnsi="Times New Roman"/>
          <w:sz w:val="24"/>
          <w:szCs w:val="24"/>
          <w:lang w:eastAsia="es-ES"/>
        </w:rPr>
      </w:pPr>
      <w:r w:rsidRPr="008A16C2">
        <w:rPr>
          <w:rFonts w:ascii="Times New Roman" w:eastAsia="Times New Roman" w:hAnsi="Times New Roman"/>
          <w:sz w:val="24"/>
          <w:szCs w:val="24"/>
          <w:u w:val="single"/>
          <w:lang w:eastAsia="es-ES"/>
        </w:rPr>
        <w:t xml:space="preserve">Desde su creación, los primeros puestos han estado ocupados por los </w:t>
      </w:r>
      <w:r w:rsidRPr="00D43232">
        <w:rPr>
          <w:rFonts w:ascii="Times New Roman" w:eastAsia="Times New Roman" w:hAnsi="Times New Roman"/>
          <w:i/>
          <w:iCs/>
          <w:sz w:val="24"/>
          <w:szCs w:val="24"/>
          <w:u w:val="single"/>
          <w:lang w:eastAsia="es-ES"/>
        </w:rPr>
        <w:t>sospechosos habituales</w:t>
      </w:r>
      <w:r w:rsidRPr="008A16C2">
        <w:rPr>
          <w:rFonts w:ascii="Times New Roman" w:eastAsia="Times New Roman" w:hAnsi="Times New Roman"/>
          <w:sz w:val="24"/>
          <w:szCs w:val="24"/>
          <w:u w:val="single"/>
          <w:lang w:eastAsia="es-ES"/>
        </w:rPr>
        <w:t xml:space="preserve"> en los </w:t>
      </w:r>
      <w:r w:rsidRPr="00D43232">
        <w:rPr>
          <w:rFonts w:ascii="Times New Roman" w:eastAsia="Times New Roman" w:hAnsi="Times New Roman"/>
          <w:i/>
          <w:iCs/>
          <w:sz w:val="24"/>
          <w:szCs w:val="24"/>
          <w:u w:val="single"/>
          <w:lang w:eastAsia="es-ES"/>
        </w:rPr>
        <w:t>ranking</w:t>
      </w:r>
      <w:r w:rsidRPr="008A16C2">
        <w:rPr>
          <w:rFonts w:ascii="Times New Roman" w:eastAsia="Times New Roman" w:hAnsi="Times New Roman"/>
          <w:sz w:val="24"/>
          <w:szCs w:val="24"/>
          <w:u w:val="single"/>
          <w:lang w:eastAsia="es-ES"/>
        </w:rPr>
        <w:t xml:space="preserve">s de países con mejor calidad de vida: </w:t>
      </w:r>
      <w:r w:rsidRPr="0087750F">
        <w:rPr>
          <w:rFonts w:ascii="Times New Roman" w:eastAsia="Times New Roman" w:hAnsi="Times New Roman"/>
          <w:bCs/>
          <w:sz w:val="24"/>
          <w:szCs w:val="24"/>
          <w:u w:val="single"/>
          <w:lang w:eastAsia="es-ES"/>
        </w:rPr>
        <w:t xml:space="preserve">Dinamarca, Islandia, Luxemburgo, </w:t>
      </w:r>
      <w:hyperlink r:id="rId395" w:history="1">
        <w:r w:rsidRPr="0087750F">
          <w:rPr>
            <w:rFonts w:ascii="Times New Roman" w:eastAsia="Times New Roman" w:hAnsi="Times New Roman"/>
            <w:bCs/>
            <w:sz w:val="24"/>
            <w:szCs w:val="24"/>
            <w:u w:val="single"/>
            <w:lang w:eastAsia="es-ES"/>
          </w:rPr>
          <w:t>Suecia</w:t>
        </w:r>
      </w:hyperlink>
      <w:r w:rsidRPr="0087750F">
        <w:rPr>
          <w:rFonts w:ascii="Times New Roman" w:eastAsia="Times New Roman" w:hAnsi="Times New Roman"/>
          <w:bCs/>
          <w:sz w:val="24"/>
          <w:szCs w:val="24"/>
          <w:u w:val="single"/>
          <w:lang w:eastAsia="es-ES"/>
        </w:rPr>
        <w:t xml:space="preserve"> o Suiza</w:t>
      </w:r>
      <w:r w:rsidRPr="0087750F">
        <w:rPr>
          <w:rFonts w:ascii="Times New Roman" w:eastAsia="Times New Roman" w:hAnsi="Times New Roman"/>
          <w:sz w:val="24"/>
          <w:szCs w:val="24"/>
          <w:u w:val="single"/>
          <w:lang w:eastAsia="es-ES"/>
        </w:rPr>
        <w:t>.</w:t>
      </w:r>
      <w:r w:rsidRPr="0087750F">
        <w:rPr>
          <w:rFonts w:ascii="Times New Roman" w:eastAsia="Times New Roman" w:hAnsi="Times New Roman"/>
          <w:sz w:val="24"/>
          <w:szCs w:val="24"/>
          <w:lang w:eastAsia="es-ES"/>
        </w:rPr>
        <w:t xml:space="preserve"> </w:t>
      </w:r>
      <w:r w:rsidRPr="008A16C2">
        <w:rPr>
          <w:rFonts w:ascii="Times New Roman" w:eastAsia="Times New Roman" w:hAnsi="Times New Roman"/>
          <w:sz w:val="24"/>
          <w:szCs w:val="24"/>
          <w:lang w:eastAsia="es-ES"/>
        </w:rPr>
        <w:t>Los países nórdicos y los dos estados más capitalistas del continente no sólo encabezan año tras año los índices de libertad económica, sino que con la riqueza que generan sus ciudadanos han sido capaces de construir un buen modelo de servicios públicos, en el que, por otro lado, están normalmente muy presentes los proveedores privados.</w:t>
      </w:r>
    </w:p>
    <w:p w:rsidR="00A47085" w:rsidRPr="008A16C2" w:rsidRDefault="00A47085" w:rsidP="00550638">
      <w:pPr>
        <w:spacing w:before="100" w:beforeAutospacing="1" w:after="100" w:afterAutospacing="1" w:line="240" w:lineRule="auto"/>
        <w:jc w:val="both"/>
        <w:rPr>
          <w:rFonts w:ascii="Times New Roman" w:eastAsia="Times New Roman" w:hAnsi="Times New Roman"/>
          <w:sz w:val="24"/>
          <w:szCs w:val="24"/>
          <w:lang w:eastAsia="es-ES"/>
        </w:rPr>
      </w:pPr>
      <w:r w:rsidRPr="008A16C2">
        <w:rPr>
          <w:rFonts w:ascii="Times New Roman" w:eastAsia="Times New Roman" w:hAnsi="Times New Roman"/>
          <w:color w:val="FF0000"/>
          <w:sz w:val="24"/>
          <w:szCs w:val="24"/>
          <w:u w:val="single"/>
          <w:lang w:eastAsia="es-ES"/>
        </w:rPr>
        <w:t xml:space="preserve">Sin embargo, en lo que respecta a los sistemas sanitarios, hay un país que destaca desde hace años, edición tras edición del EHCI: </w:t>
      </w:r>
      <w:r w:rsidRPr="0087750F">
        <w:rPr>
          <w:rFonts w:ascii="Times New Roman" w:eastAsia="Times New Roman" w:hAnsi="Times New Roman"/>
          <w:bCs/>
          <w:color w:val="FF0000"/>
          <w:sz w:val="24"/>
          <w:szCs w:val="24"/>
          <w:u w:val="single"/>
          <w:lang w:eastAsia="es-ES"/>
        </w:rPr>
        <w:t>Holanda</w:t>
      </w:r>
      <w:r w:rsidRPr="008A16C2">
        <w:rPr>
          <w:rFonts w:ascii="Times New Roman" w:eastAsia="Times New Roman" w:hAnsi="Times New Roman"/>
          <w:color w:val="FF0000"/>
          <w:sz w:val="24"/>
          <w:szCs w:val="24"/>
          <w:u w:val="single"/>
          <w:lang w:eastAsia="es-ES"/>
        </w:rPr>
        <w:t>. En el número de 2012 obtiene 872 puntos y le saca 50 a Dinamarca, que ocupa la segunda posición.</w:t>
      </w:r>
      <w:r w:rsidRPr="008A16C2">
        <w:rPr>
          <w:rFonts w:ascii="Times New Roman" w:eastAsia="Times New Roman" w:hAnsi="Times New Roman"/>
          <w:sz w:val="24"/>
          <w:szCs w:val="24"/>
          <w:lang w:eastAsia="es-ES"/>
        </w:rPr>
        <w:t xml:space="preserve"> Tanto una cifra como la otra son excepcionalmente buenas y demuestran que el modelo neerlandés funciona. Es lógico que cualquiera con un mínimo de curiosidad se pregunte por qué es tan bueno este sistema.</w:t>
      </w:r>
    </w:p>
    <w:p w:rsidR="00A47085" w:rsidRPr="00120E8D" w:rsidRDefault="00A47085" w:rsidP="00550638">
      <w:pPr>
        <w:spacing w:before="100" w:beforeAutospacing="1" w:after="100" w:afterAutospacing="1" w:line="240" w:lineRule="auto"/>
        <w:jc w:val="both"/>
        <w:outlineLvl w:val="1"/>
        <w:rPr>
          <w:rFonts w:ascii="Times New Roman" w:eastAsia="Times New Roman" w:hAnsi="Times New Roman"/>
          <w:bCs/>
          <w:sz w:val="24"/>
          <w:szCs w:val="24"/>
          <w:lang w:eastAsia="es-ES"/>
        </w:rPr>
      </w:pPr>
      <w:r w:rsidRPr="00120E8D">
        <w:rPr>
          <w:rFonts w:ascii="Times New Roman" w:eastAsia="Times New Roman" w:hAnsi="Times New Roman"/>
          <w:bCs/>
          <w:sz w:val="24"/>
          <w:szCs w:val="24"/>
          <w:lang w:eastAsia="es-ES"/>
        </w:rPr>
        <w:t>El modelo</w:t>
      </w:r>
    </w:p>
    <w:p w:rsidR="00A47085" w:rsidRPr="008A16C2" w:rsidRDefault="00A47085"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8A16C2">
        <w:rPr>
          <w:rFonts w:ascii="Times New Roman" w:eastAsia="Times New Roman" w:hAnsi="Times New Roman"/>
          <w:sz w:val="24"/>
          <w:szCs w:val="24"/>
          <w:u w:val="single"/>
          <w:lang w:eastAsia="es-ES"/>
        </w:rPr>
        <w:t xml:space="preserve">Desde 2006, en un proceso que contó con el consenso de los principales partidos del arco parlamentario, tanto a izquierda como a derecha, está en vigor en </w:t>
      </w:r>
      <w:hyperlink r:id="rId396" w:history="1">
        <w:r w:rsidRPr="00120E8D">
          <w:rPr>
            <w:rFonts w:ascii="Times New Roman" w:eastAsia="Times New Roman" w:hAnsi="Times New Roman"/>
            <w:sz w:val="24"/>
            <w:szCs w:val="24"/>
            <w:u w:val="single"/>
            <w:lang w:eastAsia="es-ES"/>
          </w:rPr>
          <w:t>Holanda</w:t>
        </w:r>
      </w:hyperlink>
      <w:r w:rsidRPr="00120E8D">
        <w:rPr>
          <w:rFonts w:ascii="Times New Roman" w:eastAsia="Times New Roman" w:hAnsi="Times New Roman"/>
          <w:sz w:val="24"/>
          <w:szCs w:val="24"/>
          <w:u w:val="single"/>
          <w:lang w:eastAsia="es-ES"/>
        </w:rPr>
        <w:t xml:space="preserve"> </w:t>
      </w:r>
      <w:r w:rsidRPr="008A16C2">
        <w:rPr>
          <w:rFonts w:ascii="Times New Roman" w:eastAsia="Times New Roman" w:hAnsi="Times New Roman"/>
          <w:sz w:val="24"/>
          <w:szCs w:val="24"/>
          <w:u w:val="single"/>
          <w:lang w:eastAsia="es-ES"/>
        </w:rPr>
        <w:t xml:space="preserve">un modelo muy novedoso que podría resumirse como de </w:t>
      </w:r>
      <w:r w:rsidRPr="0087750F">
        <w:rPr>
          <w:rFonts w:ascii="Times New Roman" w:eastAsia="Times New Roman" w:hAnsi="Times New Roman"/>
          <w:bCs/>
          <w:sz w:val="24"/>
          <w:szCs w:val="24"/>
          <w:u w:val="single"/>
          <w:lang w:eastAsia="es-ES"/>
        </w:rPr>
        <w:t>financiación pública y prestación de servicios privada</w:t>
      </w:r>
      <w:r w:rsidRPr="0087750F">
        <w:rPr>
          <w:rFonts w:ascii="Times New Roman" w:eastAsia="Times New Roman" w:hAnsi="Times New Roman"/>
          <w:sz w:val="24"/>
          <w:szCs w:val="24"/>
          <w:lang w:eastAsia="es-ES"/>
        </w:rPr>
        <w:t>.</w:t>
      </w:r>
      <w:r w:rsidRPr="008A16C2">
        <w:rPr>
          <w:rFonts w:ascii="Times New Roman" w:eastAsia="Times New Roman" w:hAnsi="Times New Roman"/>
          <w:sz w:val="24"/>
          <w:szCs w:val="24"/>
          <w:lang w:eastAsia="es-ES"/>
        </w:rPr>
        <w:t xml:space="preserve"> </w:t>
      </w:r>
      <w:r w:rsidRPr="008A16C2">
        <w:rPr>
          <w:rFonts w:ascii="Times New Roman" w:eastAsia="Times New Roman" w:hAnsi="Times New Roman"/>
          <w:color w:val="FF0000"/>
          <w:sz w:val="24"/>
          <w:szCs w:val="24"/>
          <w:u w:val="single"/>
          <w:lang w:eastAsia="es-ES"/>
        </w:rPr>
        <w:t>Es decir, que el Estado asegura a todos sus ciudadanos que quedarán totalmente cubiertos, sin importar su edad o historial clínico, pero son las empresas del sector las que compiten por atraer a los clientes/contribuyentes.</w:t>
      </w:r>
    </w:p>
    <w:p w:rsidR="00A47085" w:rsidRPr="008A16C2" w:rsidRDefault="00A47085"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8A16C2">
        <w:rPr>
          <w:rFonts w:ascii="Times New Roman" w:eastAsia="Times New Roman" w:hAnsi="Times New Roman"/>
          <w:color w:val="FF0000"/>
          <w:sz w:val="24"/>
          <w:szCs w:val="24"/>
          <w:u w:val="single"/>
          <w:lang w:eastAsia="es-ES"/>
        </w:rPr>
        <w:t xml:space="preserve">En primer lugar, la legislación neerlandesa obliga a todos los ciudadanos a contratar un </w:t>
      </w:r>
      <w:r w:rsidRPr="0087750F">
        <w:rPr>
          <w:rFonts w:ascii="Times New Roman" w:eastAsia="Times New Roman" w:hAnsi="Times New Roman"/>
          <w:bCs/>
          <w:color w:val="FF0000"/>
          <w:sz w:val="24"/>
          <w:szCs w:val="24"/>
          <w:u w:val="single"/>
          <w:lang w:eastAsia="es-ES"/>
        </w:rPr>
        <w:t>seguro médico</w:t>
      </w:r>
      <w:r w:rsidRPr="0087750F">
        <w:rPr>
          <w:rFonts w:ascii="Times New Roman" w:eastAsia="Times New Roman" w:hAnsi="Times New Roman"/>
          <w:color w:val="FF0000"/>
          <w:sz w:val="24"/>
          <w:szCs w:val="24"/>
          <w:u w:val="single"/>
          <w:lang w:eastAsia="es-ES"/>
        </w:rPr>
        <w:t>.</w:t>
      </w:r>
      <w:r w:rsidRPr="008A16C2">
        <w:rPr>
          <w:rFonts w:ascii="Times New Roman" w:eastAsia="Times New Roman" w:hAnsi="Times New Roman"/>
          <w:sz w:val="24"/>
          <w:szCs w:val="24"/>
          <w:lang w:eastAsia="es-ES"/>
        </w:rPr>
        <w:t xml:space="preserve"> La normativa establece un catálogo mínimo de prestaciones que toda </w:t>
      </w:r>
      <w:hyperlink r:id="rId397" w:history="1">
        <w:r w:rsidRPr="00120E8D">
          <w:rPr>
            <w:rFonts w:ascii="Times New Roman" w:eastAsia="Times New Roman" w:hAnsi="Times New Roman"/>
            <w:sz w:val="24"/>
            <w:szCs w:val="24"/>
            <w:u w:val="single"/>
            <w:lang w:eastAsia="es-ES"/>
          </w:rPr>
          <w:t>compañía aseguradora</w:t>
        </w:r>
      </w:hyperlink>
      <w:r w:rsidRPr="008A16C2">
        <w:rPr>
          <w:rFonts w:ascii="Times New Roman" w:eastAsia="Times New Roman" w:hAnsi="Times New Roman"/>
          <w:sz w:val="24"/>
          <w:szCs w:val="24"/>
          <w:lang w:eastAsia="es-ES"/>
        </w:rPr>
        <w:t xml:space="preserve"> debe ofrecer y que está entre los más completos de todos los sistemas públicos europeos. Y </w:t>
      </w:r>
      <w:r w:rsidRPr="008A16C2">
        <w:rPr>
          <w:rFonts w:ascii="Times New Roman" w:eastAsia="Times New Roman" w:hAnsi="Times New Roman"/>
          <w:sz w:val="24"/>
          <w:szCs w:val="24"/>
          <w:u w:val="single"/>
          <w:lang w:eastAsia="es-ES"/>
        </w:rPr>
        <w:t xml:space="preserve">una cuestión importante, las empresas que compiten en este mercado tienen prohibido rechazar a los pacientes en función de su edad o historial clínico. Es más, reciben un plus por parte del Estado si una persona perteneciente a un grupo de </w:t>
      </w:r>
      <w:r w:rsidRPr="000B25C0">
        <w:rPr>
          <w:rFonts w:ascii="Times New Roman" w:eastAsia="Times New Roman" w:hAnsi="Times New Roman"/>
          <w:i/>
          <w:iCs/>
          <w:sz w:val="24"/>
          <w:szCs w:val="24"/>
          <w:u w:val="single"/>
          <w:lang w:eastAsia="es-ES"/>
        </w:rPr>
        <w:t>riesgo</w:t>
      </w:r>
      <w:r w:rsidRPr="008A16C2">
        <w:rPr>
          <w:rFonts w:ascii="Times New Roman" w:eastAsia="Times New Roman" w:hAnsi="Times New Roman"/>
          <w:sz w:val="24"/>
          <w:szCs w:val="24"/>
          <w:u w:val="single"/>
          <w:lang w:eastAsia="es-ES"/>
        </w:rPr>
        <w:t xml:space="preserve"> acaba contratando su póliza, por lo que muchas empresas incluso buscan a este tipo de asegurado.</w:t>
      </w:r>
    </w:p>
    <w:p w:rsidR="00A47085" w:rsidRPr="008A16C2" w:rsidRDefault="00A47085" w:rsidP="00550638">
      <w:pPr>
        <w:spacing w:before="100" w:beforeAutospacing="1" w:after="100" w:afterAutospacing="1" w:line="240" w:lineRule="auto"/>
        <w:jc w:val="both"/>
        <w:rPr>
          <w:rFonts w:ascii="Times New Roman" w:eastAsia="Times New Roman" w:hAnsi="Times New Roman"/>
          <w:sz w:val="24"/>
          <w:szCs w:val="24"/>
          <w:lang w:eastAsia="es-ES"/>
        </w:rPr>
      </w:pPr>
      <w:r w:rsidRPr="008A16C2">
        <w:rPr>
          <w:rFonts w:ascii="Times New Roman" w:eastAsia="Times New Roman" w:hAnsi="Times New Roman"/>
          <w:color w:val="FF0000"/>
          <w:sz w:val="24"/>
          <w:szCs w:val="24"/>
          <w:u w:val="single"/>
          <w:lang w:eastAsia="es-ES"/>
        </w:rPr>
        <w:t>La segunda cuestión importante es quién paga este seguro. Lo cierto es que se abona entre el Gobierno, las empresas (a sus empleados) y los propios asegurados</w:t>
      </w:r>
      <w:r w:rsidRPr="008A16C2">
        <w:rPr>
          <w:rFonts w:ascii="Times New Roman" w:eastAsia="Times New Roman" w:hAnsi="Times New Roman"/>
          <w:sz w:val="24"/>
          <w:szCs w:val="24"/>
          <w:lang w:eastAsia="es-ES"/>
        </w:rPr>
        <w:t xml:space="preserve">. </w:t>
      </w:r>
      <w:r w:rsidRPr="008A16C2">
        <w:rPr>
          <w:rFonts w:ascii="Times New Roman" w:eastAsia="Times New Roman" w:hAnsi="Times New Roman"/>
          <w:sz w:val="24"/>
          <w:szCs w:val="24"/>
          <w:u w:val="single"/>
          <w:lang w:eastAsia="es-ES"/>
        </w:rPr>
        <w:t>Este año, la cuota mensual que debía abonar el paciente estaba en el entorno de los 100 euros por adulto (los niños de cada familia están incluidos en la póliza de sus padres)</w:t>
      </w:r>
      <w:r w:rsidRPr="008A16C2">
        <w:rPr>
          <w:rFonts w:ascii="Times New Roman" w:eastAsia="Times New Roman" w:hAnsi="Times New Roman"/>
          <w:sz w:val="24"/>
          <w:szCs w:val="24"/>
          <w:lang w:eastAsia="es-ES"/>
        </w:rPr>
        <w:t xml:space="preserve">. </w:t>
      </w:r>
      <w:r w:rsidRPr="008A16C2">
        <w:rPr>
          <w:rFonts w:ascii="Times New Roman" w:eastAsia="Times New Roman" w:hAnsi="Times New Roman"/>
          <w:sz w:val="24"/>
          <w:szCs w:val="24"/>
          <w:u w:val="single"/>
          <w:lang w:eastAsia="es-ES"/>
        </w:rPr>
        <w:t xml:space="preserve">Eso sí, para </w:t>
      </w:r>
      <w:r w:rsidRPr="008A16C2">
        <w:rPr>
          <w:rFonts w:ascii="Times New Roman" w:eastAsia="Times New Roman" w:hAnsi="Times New Roman"/>
          <w:sz w:val="24"/>
          <w:szCs w:val="24"/>
          <w:u w:val="single"/>
          <w:lang w:eastAsia="es-ES"/>
        </w:rPr>
        <w:lastRenderedPageBreak/>
        <w:t>aquellos que temen este sobrecoste en los bolsillos de unos contribuyentes ya muy asediados, el Estado holandés asegura una serie de ayudas en función de los ingresos.</w:t>
      </w:r>
      <w:r w:rsidRPr="008A16C2">
        <w:rPr>
          <w:rFonts w:ascii="Times New Roman" w:eastAsia="Times New Roman" w:hAnsi="Times New Roman"/>
          <w:sz w:val="24"/>
          <w:szCs w:val="24"/>
          <w:lang w:eastAsia="es-ES"/>
        </w:rPr>
        <w:t xml:space="preserve"> </w:t>
      </w:r>
      <w:r w:rsidRPr="008A16C2">
        <w:rPr>
          <w:rFonts w:ascii="Times New Roman" w:eastAsia="Times New Roman" w:hAnsi="Times New Roman"/>
          <w:sz w:val="24"/>
          <w:szCs w:val="24"/>
          <w:u w:val="single"/>
          <w:lang w:eastAsia="es-ES"/>
        </w:rPr>
        <w:t>Hasta el 70% de los hogares del país recibe algún tipo de subvención pública para ayudar en el pago del seguro</w:t>
      </w:r>
      <w:r w:rsidRPr="008A16C2">
        <w:rPr>
          <w:rFonts w:ascii="Times New Roman" w:eastAsia="Times New Roman" w:hAnsi="Times New Roman"/>
          <w:sz w:val="24"/>
          <w:szCs w:val="24"/>
          <w:lang w:eastAsia="es-ES"/>
        </w:rPr>
        <w:t>. Por ejemplo: en 2010, para una persona soltera que viviera sola y ganase 33.000 euros, la ayuda mensual alcanzaba los 61 euros. Y en el caso de hogares de muy bajos ingresos, el Estado puede llegar a pagar la práctica totalidad del seguro.</w:t>
      </w:r>
    </w:p>
    <w:p w:rsidR="00A47085" w:rsidRPr="008A16C2" w:rsidRDefault="00A47085" w:rsidP="00550638">
      <w:pPr>
        <w:spacing w:before="100" w:beforeAutospacing="1" w:after="100" w:afterAutospacing="1" w:line="240" w:lineRule="auto"/>
        <w:jc w:val="both"/>
        <w:rPr>
          <w:rFonts w:ascii="Times New Roman" w:eastAsia="Times New Roman" w:hAnsi="Times New Roman"/>
          <w:sz w:val="24"/>
          <w:szCs w:val="24"/>
          <w:lang w:eastAsia="es-ES"/>
        </w:rPr>
      </w:pPr>
      <w:r w:rsidRPr="008A16C2">
        <w:rPr>
          <w:rFonts w:ascii="Times New Roman" w:eastAsia="Times New Roman" w:hAnsi="Times New Roman"/>
          <w:sz w:val="24"/>
          <w:szCs w:val="24"/>
          <w:u w:val="single"/>
          <w:lang w:eastAsia="es-ES"/>
        </w:rPr>
        <w:t xml:space="preserve">Además de esta póliza, cada holandés tiene que pagar cada año una pequeña cantidad que se asemeja a un </w:t>
      </w:r>
      <w:r w:rsidRPr="00C41CD9">
        <w:rPr>
          <w:rFonts w:ascii="Times New Roman" w:eastAsia="Times New Roman" w:hAnsi="Times New Roman"/>
          <w:bCs/>
          <w:sz w:val="24"/>
          <w:szCs w:val="24"/>
          <w:u w:val="single"/>
          <w:lang w:eastAsia="es-ES"/>
        </w:rPr>
        <w:t>copago</w:t>
      </w:r>
      <w:r w:rsidRPr="008A16C2">
        <w:rPr>
          <w:rFonts w:ascii="Times New Roman" w:eastAsia="Times New Roman" w:hAnsi="Times New Roman"/>
          <w:sz w:val="24"/>
          <w:szCs w:val="24"/>
          <w:u w:val="single"/>
          <w:lang w:eastAsia="es-ES"/>
        </w:rPr>
        <w:t xml:space="preserve"> del que va </w:t>
      </w:r>
      <w:r w:rsidR="00C41CD9">
        <w:rPr>
          <w:rFonts w:ascii="Times New Roman" w:eastAsia="Times New Roman" w:hAnsi="Times New Roman"/>
          <w:sz w:val="24"/>
          <w:szCs w:val="24"/>
          <w:u w:val="single"/>
          <w:lang w:eastAsia="es-ES"/>
        </w:rPr>
        <w:t>“</w:t>
      </w:r>
      <w:r w:rsidRPr="00C41CD9">
        <w:rPr>
          <w:rFonts w:ascii="Times New Roman" w:eastAsia="Times New Roman" w:hAnsi="Times New Roman"/>
          <w:iCs/>
          <w:sz w:val="24"/>
          <w:szCs w:val="24"/>
          <w:u w:val="single"/>
          <w:lang w:eastAsia="es-ES"/>
        </w:rPr>
        <w:t>tirando</w:t>
      </w:r>
      <w:r w:rsidR="00C41CD9">
        <w:rPr>
          <w:rFonts w:ascii="Times New Roman" w:eastAsia="Times New Roman" w:hAnsi="Times New Roman"/>
          <w:iCs/>
          <w:sz w:val="24"/>
          <w:szCs w:val="24"/>
          <w:u w:val="single"/>
          <w:lang w:eastAsia="es-ES"/>
        </w:rPr>
        <w:t>”</w:t>
      </w:r>
      <w:r w:rsidRPr="008A16C2">
        <w:rPr>
          <w:rFonts w:ascii="Times New Roman" w:eastAsia="Times New Roman" w:hAnsi="Times New Roman"/>
          <w:sz w:val="24"/>
          <w:szCs w:val="24"/>
          <w:u w:val="single"/>
          <w:lang w:eastAsia="es-ES"/>
        </w:rPr>
        <w:t xml:space="preserve"> en sus primeras visitas al médico (este año era de 220 euros)</w:t>
      </w:r>
      <w:r w:rsidRPr="008A16C2">
        <w:rPr>
          <w:rFonts w:ascii="Times New Roman" w:eastAsia="Times New Roman" w:hAnsi="Times New Roman"/>
          <w:sz w:val="24"/>
          <w:szCs w:val="24"/>
          <w:lang w:eastAsia="es-ES"/>
        </w:rPr>
        <w:t>. De esta manera, cuando acude por primera vez al especialista o acude a la farmacia es como si sacara dinero de esta especie de cuenta personal. En el momento en que la agota, entra en juego el seguro privado del que hablábamos antes.</w:t>
      </w:r>
    </w:p>
    <w:p w:rsidR="00A47085" w:rsidRPr="00120E8D" w:rsidRDefault="00A47085" w:rsidP="00550638">
      <w:pPr>
        <w:spacing w:before="100" w:beforeAutospacing="1" w:after="100" w:afterAutospacing="1" w:line="240" w:lineRule="auto"/>
        <w:jc w:val="both"/>
        <w:outlineLvl w:val="1"/>
        <w:rPr>
          <w:rFonts w:ascii="Times New Roman" w:eastAsia="Times New Roman" w:hAnsi="Times New Roman"/>
          <w:bCs/>
          <w:sz w:val="24"/>
          <w:szCs w:val="24"/>
          <w:lang w:eastAsia="es-ES"/>
        </w:rPr>
      </w:pPr>
      <w:r w:rsidRPr="00120E8D">
        <w:rPr>
          <w:rFonts w:ascii="Times New Roman" w:eastAsia="Times New Roman" w:hAnsi="Times New Roman"/>
          <w:bCs/>
          <w:sz w:val="24"/>
          <w:szCs w:val="24"/>
          <w:lang w:eastAsia="es-ES"/>
        </w:rPr>
        <w:t>El resto del sistema</w:t>
      </w:r>
    </w:p>
    <w:p w:rsidR="00A47085" w:rsidRPr="008A16C2" w:rsidRDefault="00A47085" w:rsidP="00550638">
      <w:pPr>
        <w:spacing w:before="100" w:beforeAutospacing="1" w:after="100" w:afterAutospacing="1" w:line="240" w:lineRule="auto"/>
        <w:jc w:val="both"/>
        <w:rPr>
          <w:rFonts w:ascii="Times New Roman" w:eastAsia="Times New Roman" w:hAnsi="Times New Roman"/>
          <w:sz w:val="24"/>
          <w:szCs w:val="24"/>
          <w:lang w:eastAsia="es-ES"/>
        </w:rPr>
      </w:pPr>
      <w:r w:rsidRPr="008A16C2">
        <w:rPr>
          <w:rFonts w:ascii="Times New Roman" w:eastAsia="Times New Roman" w:hAnsi="Times New Roman"/>
          <w:sz w:val="24"/>
          <w:szCs w:val="24"/>
          <w:lang w:eastAsia="es-ES"/>
        </w:rPr>
        <w:t xml:space="preserve">Éstas son las características más importantes del modelo holandés. Como decíamos antes, </w:t>
      </w:r>
      <w:r w:rsidRPr="008A16C2">
        <w:rPr>
          <w:rFonts w:ascii="Times New Roman" w:eastAsia="Times New Roman" w:hAnsi="Times New Roman"/>
          <w:sz w:val="24"/>
          <w:szCs w:val="24"/>
          <w:u w:val="single"/>
          <w:lang w:eastAsia="es-ES"/>
        </w:rPr>
        <w:t>básicamente consiste en que el Estado se cerciora de que todos los ciudadanos están asegurados, pero luego son estos los que deciden a quién confían la provisión de los servicios</w:t>
      </w:r>
      <w:r w:rsidRPr="008A16C2">
        <w:rPr>
          <w:rFonts w:ascii="Times New Roman" w:eastAsia="Times New Roman" w:hAnsi="Times New Roman"/>
          <w:sz w:val="24"/>
          <w:szCs w:val="24"/>
          <w:lang w:eastAsia="es-ES"/>
        </w:rPr>
        <w:t>. Esto tiene una serie de ventajas que, a pesar de lo poco que lleva el sistema en vigor, apenas desde 2006, ya han comenzado a dar sus frutos:</w:t>
      </w:r>
    </w:p>
    <w:p w:rsidR="00A47085" w:rsidRPr="008A16C2" w:rsidRDefault="00A47085" w:rsidP="00550638">
      <w:pPr>
        <w:numPr>
          <w:ilvl w:val="0"/>
          <w:numId w:val="22"/>
        </w:numPr>
        <w:spacing w:before="100" w:beforeAutospacing="1" w:after="100" w:afterAutospacing="1" w:line="240" w:lineRule="auto"/>
        <w:jc w:val="both"/>
        <w:rPr>
          <w:rFonts w:ascii="Times New Roman" w:eastAsia="Times New Roman" w:hAnsi="Times New Roman"/>
          <w:sz w:val="24"/>
          <w:szCs w:val="24"/>
          <w:lang w:eastAsia="es-ES"/>
        </w:rPr>
      </w:pPr>
      <w:r w:rsidRPr="000B25C0">
        <w:rPr>
          <w:rFonts w:ascii="Times New Roman" w:eastAsia="Times New Roman" w:hAnsi="Times New Roman"/>
          <w:b/>
          <w:bCs/>
          <w:sz w:val="24"/>
          <w:szCs w:val="24"/>
          <w:u w:val="single"/>
          <w:lang w:eastAsia="es-ES"/>
        </w:rPr>
        <w:t xml:space="preserve">Grandes enfermos: </w:t>
      </w:r>
      <w:r w:rsidRPr="008A16C2">
        <w:rPr>
          <w:rFonts w:ascii="Times New Roman" w:eastAsia="Times New Roman" w:hAnsi="Times New Roman"/>
          <w:sz w:val="24"/>
          <w:szCs w:val="24"/>
          <w:u w:val="single"/>
          <w:lang w:eastAsia="es-ES"/>
        </w:rPr>
        <w:t>siempre que se habla de seguros de salud hay quien habla de los incentivos perversos que tienen las compañías para rechaza o no tratar de forma adecuada a los enfermos más graves o crónicos. Como explicamos más arriba, el Estado neerlandés paga una prima por los grupos de riesgo</w:t>
      </w:r>
      <w:r w:rsidRPr="008A16C2">
        <w:rPr>
          <w:rFonts w:ascii="Times New Roman" w:eastAsia="Times New Roman" w:hAnsi="Times New Roman"/>
          <w:sz w:val="24"/>
          <w:szCs w:val="24"/>
          <w:lang w:eastAsia="es-ES"/>
        </w:rPr>
        <w:t>, por lo que las compañías tienen esos incentivos para</w:t>
      </w:r>
      <w:r>
        <w:rPr>
          <w:rFonts w:ascii="Times New Roman" w:eastAsia="Times New Roman" w:hAnsi="Times New Roman"/>
          <w:sz w:val="24"/>
          <w:szCs w:val="24"/>
          <w:lang w:eastAsia="es-ES"/>
        </w:rPr>
        <w:t xml:space="preserve"> (no)</w:t>
      </w:r>
      <w:r w:rsidRPr="008A16C2">
        <w:rPr>
          <w:rFonts w:ascii="Times New Roman" w:eastAsia="Times New Roman" w:hAnsi="Times New Roman"/>
          <w:sz w:val="24"/>
          <w:szCs w:val="24"/>
          <w:lang w:eastAsia="es-ES"/>
        </w:rPr>
        <w:t xml:space="preserve"> excluirles (algo que, por otro lado, no podrían hacer porque está prohibido por ley). Pero además, en el caso de enfermos crónicos o de enfermedades especiales, existe un seguro público que cubre este tipo de tratamientos.</w:t>
      </w:r>
    </w:p>
    <w:p w:rsidR="00A47085" w:rsidRPr="008A16C2" w:rsidRDefault="00A47085" w:rsidP="00550638">
      <w:pPr>
        <w:numPr>
          <w:ilvl w:val="0"/>
          <w:numId w:val="22"/>
        </w:numPr>
        <w:spacing w:before="100" w:beforeAutospacing="1" w:after="100" w:afterAutospacing="1" w:line="240" w:lineRule="auto"/>
        <w:jc w:val="both"/>
        <w:rPr>
          <w:rFonts w:ascii="Times New Roman" w:eastAsia="Times New Roman" w:hAnsi="Times New Roman"/>
          <w:sz w:val="24"/>
          <w:szCs w:val="24"/>
          <w:lang w:eastAsia="es-ES"/>
        </w:rPr>
      </w:pPr>
      <w:r w:rsidRPr="000B25C0">
        <w:rPr>
          <w:rFonts w:ascii="Times New Roman" w:eastAsia="Times New Roman" w:hAnsi="Times New Roman"/>
          <w:b/>
          <w:bCs/>
          <w:sz w:val="24"/>
          <w:szCs w:val="24"/>
          <w:u w:val="single"/>
          <w:lang w:eastAsia="es-ES"/>
        </w:rPr>
        <w:t>Competencia:</w:t>
      </w:r>
      <w:r w:rsidRPr="008A16C2">
        <w:rPr>
          <w:rFonts w:ascii="Times New Roman" w:eastAsia="Times New Roman" w:hAnsi="Times New Roman"/>
          <w:sz w:val="24"/>
          <w:szCs w:val="24"/>
          <w:u w:val="single"/>
          <w:lang w:eastAsia="es-ES"/>
        </w:rPr>
        <w:t xml:space="preserve"> este modelo ha disparado la competencia entre las compañías aseguradoras privadas</w:t>
      </w:r>
      <w:r w:rsidRPr="008A16C2">
        <w:rPr>
          <w:rFonts w:ascii="Times New Roman" w:eastAsia="Times New Roman" w:hAnsi="Times New Roman"/>
          <w:sz w:val="24"/>
          <w:szCs w:val="24"/>
          <w:lang w:eastAsia="es-ES"/>
        </w:rPr>
        <w:t>. Decenas de ellas ofrecen sus servicios a todos los ciudadanos, se anuncian y buscan atraer clientes que mejoren su cuenta de resultados. Luego, en el trato diario, su objetivo es agradarles, para conseguir de este modo que repitan año tras año. Los holandeses incluso bromean en que tienen demasiadas alternativas entre las que elegir, dentro de un mercado vibrante y dinámico.</w:t>
      </w:r>
    </w:p>
    <w:p w:rsidR="00A47085" w:rsidRPr="008A16C2" w:rsidRDefault="00A47085" w:rsidP="00550638">
      <w:pPr>
        <w:numPr>
          <w:ilvl w:val="0"/>
          <w:numId w:val="22"/>
        </w:numPr>
        <w:spacing w:before="100" w:beforeAutospacing="1" w:after="100" w:afterAutospacing="1" w:line="240" w:lineRule="auto"/>
        <w:jc w:val="both"/>
        <w:rPr>
          <w:rFonts w:ascii="Times New Roman" w:eastAsia="Times New Roman" w:hAnsi="Times New Roman"/>
          <w:sz w:val="24"/>
          <w:szCs w:val="24"/>
          <w:lang w:eastAsia="es-ES"/>
        </w:rPr>
      </w:pPr>
      <w:r w:rsidRPr="000B25C0">
        <w:rPr>
          <w:rFonts w:ascii="Times New Roman" w:eastAsia="Times New Roman" w:hAnsi="Times New Roman"/>
          <w:b/>
          <w:bCs/>
          <w:sz w:val="24"/>
          <w:szCs w:val="24"/>
          <w:u w:val="single"/>
          <w:lang w:eastAsia="es-ES"/>
        </w:rPr>
        <w:t>Más servicios:</w:t>
      </w:r>
      <w:r w:rsidRPr="008A16C2">
        <w:rPr>
          <w:rFonts w:ascii="Times New Roman" w:eastAsia="Times New Roman" w:hAnsi="Times New Roman"/>
          <w:sz w:val="24"/>
          <w:szCs w:val="24"/>
          <w:u w:val="single"/>
          <w:lang w:eastAsia="es-ES"/>
        </w:rPr>
        <w:t xml:space="preserve"> evidentemente, aunque el catálogo mínimo de prestaciones en realidad cubre mucho más que en otros países europeos, las compañías pueden ofrecer a quien así lo desee complementos en el seguro</w:t>
      </w:r>
      <w:r w:rsidRPr="008A16C2">
        <w:rPr>
          <w:rFonts w:ascii="Times New Roman" w:eastAsia="Times New Roman" w:hAnsi="Times New Roman"/>
          <w:sz w:val="24"/>
          <w:szCs w:val="24"/>
          <w:lang w:eastAsia="es-ES"/>
        </w:rPr>
        <w:t xml:space="preserve"> (desde servicios dentales, hasta fisioterapia, pasando por mejores condiciones de hospitalización). </w:t>
      </w:r>
      <w:r w:rsidRPr="008A16C2">
        <w:rPr>
          <w:rFonts w:ascii="Times New Roman" w:eastAsia="Times New Roman" w:hAnsi="Times New Roman"/>
          <w:sz w:val="24"/>
          <w:szCs w:val="24"/>
          <w:u w:val="single"/>
          <w:lang w:eastAsia="es-ES"/>
        </w:rPr>
        <w:t>Quien lo desee, puede pagar complementos a su póliza y cubrir así estas necesidades especiales.</w:t>
      </w:r>
    </w:p>
    <w:p w:rsidR="00A47085" w:rsidRDefault="00A47085" w:rsidP="00550638">
      <w:pPr>
        <w:numPr>
          <w:ilvl w:val="0"/>
          <w:numId w:val="22"/>
        </w:numPr>
        <w:spacing w:before="100" w:beforeAutospacing="1" w:after="100" w:afterAutospacing="1" w:line="240" w:lineRule="auto"/>
        <w:jc w:val="both"/>
        <w:rPr>
          <w:rFonts w:ascii="Times New Roman" w:eastAsia="Times New Roman" w:hAnsi="Times New Roman"/>
          <w:sz w:val="24"/>
          <w:szCs w:val="24"/>
          <w:lang w:eastAsia="es-ES"/>
        </w:rPr>
      </w:pPr>
      <w:r w:rsidRPr="000B25C0">
        <w:rPr>
          <w:rFonts w:ascii="Times New Roman" w:eastAsia="Times New Roman" w:hAnsi="Times New Roman"/>
          <w:b/>
          <w:bCs/>
          <w:sz w:val="24"/>
          <w:szCs w:val="24"/>
          <w:u w:val="single"/>
          <w:lang w:eastAsia="es-ES"/>
        </w:rPr>
        <w:t>Coste:</w:t>
      </w:r>
      <w:r w:rsidRPr="008A16C2">
        <w:rPr>
          <w:rFonts w:ascii="Times New Roman" w:eastAsia="Times New Roman" w:hAnsi="Times New Roman"/>
          <w:sz w:val="24"/>
          <w:szCs w:val="24"/>
          <w:u w:val="single"/>
          <w:lang w:eastAsia="es-ES"/>
        </w:rPr>
        <w:t xml:space="preserve"> lo que hay que tener en cuenta es </w:t>
      </w:r>
      <w:r w:rsidRPr="00787AC5">
        <w:rPr>
          <w:rFonts w:ascii="Times New Roman" w:eastAsia="Times New Roman" w:hAnsi="Times New Roman"/>
          <w:sz w:val="24"/>
          <w:szCs w:val="24"/>
          <w:u w:val="single"/>
          <w:lang w:eastAsia="es-ES"/>
        </w:rPr>
        <w:t xml:space="preserve">que </w:t>
      </w:r>
      <w:hyperlink r:id="rId398" w:history="1">
        <w:r w:rsidRPr="00787AC5">
          <w:rPr>
            <w:rFonts w:ascii="Times New Roman" w:eastAsia="Times New Roman" w:hAnsi="Times New Roman"/>
            <w:sz w:val="24"/>
            <w:szCs w:val="24"/>
            <w:u w:val="single"/>
            <w:lang w:eastAsia="es-ES"/>
          </w:rPr>
          <w:t>este modelo no es barato</w:t>
        </w:r>
      </w:hyperlink>
      <w:r w:rsidRPr="00787AC5">
        <w:rPr>
          <w:rFonts w:ascii="Times New Roman" w:eastAsia="Times New Roman" w:hAnsi="Times New Roman"/>
          <w:sz w:val="24"/>
          <w:szCs w:val="24"/>
          <w:u w:val="single"/>
          <w:lang w:eastAsia="es-ES"/>
        </w:rPr>
        <w:t xml:space="preserve">, aunque </w:t>
      </w:r>
      <w:r w:rsidRPr="008A16C2">
        <w:rPr>
          <w:rFonts w:ascii="Times New Roman" w:eastAsia="Times New Roman" w:hAnsi="Times New Roman"/>
          <w:sz w:val="24"/>
          <w:szCs w:val="24"/>
          <w:u w:val="single"/>
          <w:lang w:eastAsia="es-ES"/>
        </w:rPr>
        <w:t>una de las razones es que los holandeses no quieren que lo sea. Los ciudadanos del país valoran los servicios de las aseguradoras y un porcentaje elevado contrata extras respecto al mínimo legal establecido. Así, el coste por habitante y año subió en 2010 a los 3.890 euros, sólo superado en Europa por Noruega y Suiza</w:t>
      </w:r>
      <w:r w:rsidRPr="008A16C2">
        <w:rPr>
          <w:rFonts w:ascii="Times New Roman" w:eastAsia="Times New Roman" w:hAnsi="Times New Roman"/>
          <w:sz w:val="24"/>
          <w:szCs w:val="24"/>
          <w:lang w:eastAsia="es-ES"/>
        </w:rPr>
        <w:t xml:space="preserve">. </w:t>
      </w:r>
      <w:r w:rsidRPr="008A16C2">
        <w:rPr>
          <w:rFonts w:ascii="Times New Roman" w:eastAsia="Times New Roman" w:hAnsi="Times New Roman"/>
          <w:sz w:val="24"/>
          <w:szCs w:val="24"/>
          <w:u w:val="single"/>
          <w:lang w:eastAsia="es-ES"/>
        </w:rPr>
        <w:t>También desde el punto de vista porcentual el gasto es elevado, puesto que alcanza el 12,0% del PIB, por encima de Francia, Alemania o Dinamarca.</w:t>
      </w:r>
      <w:r w:rsidRPr="008A16C2">
        <w:rPr>
          <w:rFonts w:ascii="Times New Roman" w:eastAsia="Times New Roman" w:hAnsi="Times New Roman"/>
          <w:sz w:val="24"/>
          <w:szCs w:val="24"/>
          <w:lang w:eastAsia="es-ES"/>
        </w:rPr>
        <w:t xml:space="preserve"> </w:t>
      </w:r>
      <w:r w:rsidRPr="008A16C2">
        <w:rPr>
          <w:rFonts w:ascii="Times New Roman" w:eastAsia="Times New Roman" w:hAnsi="Times New Roman"/>
          <w:color w:val="FF0000"/>
          <w:sz w:val="24"/>
          <w:szCs w:val="24"/>
          <w:u w:val="single"/>
          <w:lang w:eastAsia="es-ES"/>
        </w:rPr>
        <w:lastRenderedPageBreak/>
        <w:t>Lo que hay que pensar es si merece la pena tener el mejor sistema del continente, incluso aunque cueste algo más</w:t>
      </w:r>
      <w:r w:rsidRPr="008A16C2">
        <w:rPr>
          <w:rFonts w:ascii="Times New Roman" w:eastAsia="Times New Roman" w:hAnsi="Times New Roman"/>
          <w:sz w:val="24"/>
          <w:szCs w:val="24"/>
          <w:lang w:eastAsia="es-ES"/>
        </w:rPr>
        <w:t>. Casi todo el mundo considera su salud como el más preciado de los bienes; por eso, a mucha gente no le importa algo más por un buen servicio, con más motivo si tiene capacidad de elección sobre quién quiere que sea su médico.</w:t>
      </w:r>
    </w:p>
    <w:p w:rsidR="006B2897" w:rsidRPr="006B2897" w:rsidRDefault="006B2897" w:rsidP="00550638">
      <w:pPr>
        <w:pStyle w:val="NormalWeb"/>
        <w:jc w:val="both"/>
        <w:rPr>
          <w:u w:val="single"/>
        </w:rPr>
      </w:pPr>
      <w:r>
        <w:rPr>
          <w:u w:val="single"/>
        </w:rPr>
        <w:t xml:space="preserve">Algo de cordura: los </w:t>
      </w:r>
      <w:r w:rsidRPr="006B2897">
        <w:rPr>
          <w:u w:val="single"/>
        </w:rPr>
        <w:t>ciudadanos in</w:t>
      </w:r>
      <w:r>
        <w:rPr>
          <w:u w:val="single"/>
        </w:rPr>
        <w:t>gleses prefieren perder la Virgin en el NHS</w:t>
      </w:r>
    </w:p>
    <w:p w:rsidR="00A47085" w:rsidRPr="006B2897" w:rsidRDefault="006B2897" w:rsidP="00550638">
      <w:pPr>
        <w:pStyle w:val="NormalWeb"/>
        <w:jc w:val="both"/>
        <w:rPr>
          <w:i/>
        </w:rPr>
      </w:pPr>
      <w:r>
        <w:rPr>
          <w:i/>
        </w:rPr>
        <w:t>“</w:t>
      </w:r>
      <w:r w:rsidR="00A47085" w:rsidRPr="006B2897">
        <w:rPr>
          <w:i/>
        </w:rPr>
        <w:t>Richard Branson hizo una fortuna estampando su irreverente marca Virgin en todo tipo de industrias, desde la aérea a la discográfica. Pero ahora el multimillonario es blanco de las críticas por tratar de poner el sello de Virgin en un servicio que muchos británicos no quieren que tenga marca: su sistema público de salud</w:t>
      </w:r>
      <w:r>
        <w:rPr>
          <w:i/>
        </w:rPr>
        <w:t>”..</w:t>
      </w:r>
      <w:r w:rsidR="00A47085" w:rsidRPr="006B2897">
        <w:rPr>
          <w:i/>
        </w:rPr>
        <w:t xml:space="preserve">. </w:t>
      </w:r>
      <w:r>
        <w:rPr>
          <w:u w:val="single"/>
        </w:rPr>
        <w:t>Los británicos dicen “</w:t>
      </w:r>
      <w:r w:rsidRPr="006D3827">
        <w:rPr>
          <w:u w:val="single"/>
        </w:rPr>
        <w:t>no</w:t>
      </w:r>
      <w:r>
        <w:rPr>
          <w:u w:val="single"/>
        </w:rPr>
        <w:t>”</w:t>
      </w:r>
      <w:r w:rsidRPr="006D3827">
        <w:rPr>
          <w:u w:val="single"/>
        </w:rPr>
        <w:t xml:space="preserve"> a Virgin en la salud</w:t>
      </w:r>
      <w:r>
        <w:t xml:space="preserve"> (The Wall Street Journal - </w:t>
      </w:r>
      <w:r w:rsidRPr="006D3827">
        <w:rPr>
          <w:b/>
        </w:rPr>
        <w:t>27/12/12</w:t>
      </w:r>
      <w:r>
        <w:t>)</w:t>
      </w:r>
    </w:p>
    <w:p w:rsidR="00A47085" w:rsidRDefault="00A47085" w:rsidP="00550638">
      <w:pPr>
        <w:pStyle w:val="NormalWeb"/>
        <w:jc w:val="both"/>
      </w:pPr>
      <w:r>
        <w:t xml:space="preserve">La división Virgin Care, parte de Virgin Group, de Branson, ha pasado los últimos dos años y medio proporcionando servicios médicos como podología y dermatología al Servicio Nacional de Salud (NHS, por sus siglas en inglés), que está recurriendo cada vez más a contratistas en el sector privado para ahorrar dinero y mejorar el servicio. </w:t>
      </w:r>
    </w:p>
    <w:p w:rsidR="00A47085" w:rsidRDefault="00A47085" w:rsidP="00550638">
      <w:pPr>
        <w:pStyle w:val="NormalWeb"/>
        <w:jc w:val="both"/>
      </w:pPr>
      <w:r>
        <w:t xml:space="preserve">Muchos médicos, pacientes y ciudadanos están en contra de la tercerización, e insisten en que no les gusta la idea de que las empresas del sector privado intenten exprimir ganancias de NHS, que ya está agobiado económicamente. </w:t>
      </w:r>
    </w:p>
    <w:p w:rsidR="00A47085" w:rsidRDefault="00A47085" w:rsidP="00550638">
      <w:pPr>
        <w:pStyle w:val="NormalWeb"/>
        <w:jc w:val="both"/>
      </w:pPr>
      <w:r>
        <w:t xml:space="preserve">Virgin, uno de los nombres más grandes y reconocidos de los negocios, se ha convertido en un blanco popular para las críticas. </w:t>
      </w:r>
    </w:p>
    <w:p w:rsidR="00A47085" w:rsidRDefault="00A47085" w:rsidP="00550638">
      <w:pPr>
        <w:pStyle w:val="NormalWeb"/>
        <w:jc w:val="both"/>
      </w:pPr>
      <w:r>
        <w:t>La empresa señala que sus contratos detallan que para generar una ganancia, primero tiene que lograr que el NHS ahorre cantidades específicas de dinero.</w:t>
      </w:r>
    </w:p>
    <w:p w:rsidR="00A47085" w:rsidRDefault="00A47085" w:rsidP="00550638">
      <w:pPr>
        <w:pStyle w:val="NormalWeb"/>
        <w:jc w:val="both"/>
      </w:pPr>
      <w:r>
        <w:t xml:space="preserve">Aun así, en los últimos meses, trabajadores del sector de la salud han organizado numerosas manifestaciones delante de las </w:t>
      </w:r>
      <w:r w:rsidR="00C15CAC">
        <w:t xml:space="preserve">tiendas Virgin Media VMED </w:t>
      </w:r>
      <w:r>
        <w:t>y los gimnasios Virgin Active, donde se concentran a protestar luciendo caretas de Richard Branson y pancartas que dicen</w:t>
      </w:r>
      <w:r w:rsidR="006B2897">
        <w:t>: “</w:t>
      </w:r>
      <w:r>
        <w:t xml:space="preserve">Branson: </w:t>
      </w:r>
      <w:r w:rsidR="006B2897">
        <w:t>¡Saca las manos de nuestro NHS!”</w:t>
      </w:r>
      <w:r w:rsidR="00C15CAC">
        <w:t>.</w:t>
      </w:r>
      <w:r>
        <w:t xml:space="preserve"> </w:t>
      </w:r>
    </w:p>
    <w:p w:rsidR="00A47085" w:rsidRDefault="00A47085" w:rsidP="00550638">
      <w:pPr>
        <w:pStyle w:val="NormalWeb"/>
        <w:jc w:val="both"/>
      </w:pPr>
      <w:r>
        <w:t>Jacky Davis, una radióloga de NHS que ayudó a organizar una de las protestas, aseveró que el cuidado médico en par</w:t>
      </w:r>
      <w:r w:rsidR="006B2897">
        <w:t>ticular “</w:t>
      </w:r>
      <w:r>
        <w:t xml:space="preserve">no </w:t>
      </w:r>
      <w:r w:rsidR="006B2897">
        <w:t>encaja con el mercado comercial”</w:t>
      </w:r>
      <w:r>
        <w:t xml:space="preserve">. </w:t>
      </w:r>
    </w:p>
    <w:p w:rsidR="00C15CAC" w:rsidRDefault="006B2897" w:rsidP="00550638">
      <w:pPr>
        <w:pStyle w:val="NormalWeb"/>
        <w:jc w:val="both"/>
      </w:pPr>
      <w:r>
        <w:t>“</w:t>
      </w:r>
      <w:r w:rsidR="00A47085">
        <w:t>Las multinacionales consiguen sus ganancias rebajando las condiciones de trabajo de sus emple</w:t>
      </w:r>
      <w:r>
        <w:t>ados y recortando los servicios”, apuntó. “</w:t>
      </w:r>
      <w:r w:rsidR="00A47085">
        <w:t>En ambos casos</w:t>
      </w:r>
      <w:r>
        <w:t>, los pacientes salen perdiendo”</w:t>
      </w:r>
      <w:r w:rsidR="00C15CAC">
        <w:t xml:space="preserve">. </w:t>
      </w:r>
    </w:p>
    <w:p w:rsidR="00C15CAC" w:rsidRDefault="00C15CAC" w:rsidP="00C15CAC">
      <w:pPr>
        <w:pStyle w:val="NormalWeb"/>
        <w:jc w:val="both"/>
      </w:pPr>
      <w:r>
        <w:t xml:space="preserve">Virgin afirma que algunos aspectos del NHS son tan ineficientes que existen muchas posibilidades de mejorar el servicio </w:t>
      </w:r>
      <w:r w:rsidR="00C41CD9">
        <w:t>y también de lograr ganancias. “</w:t>
      </w:r>
      <w:r>
        <w:t>Todos sabemos que en algunas ocasiones, el NHS puede proporcionar servicios fantásticos, pero de vez en cuan</w:t>
      </w:r>
      <w:r w:rsidR="00C41CD9">
        <w:t>do también pueden ser mejorados”</w:t>
      </w:r>
      <w:r>
        <w:t xml:space="preserve">, puntualizó Bart Johnson, el presidente ejecutivo de Virgin Care. </w:t>
      </w:r>
    </w:p>
    <w:p w:rsidR="00C15CAC" w:rsidRDefault="00C15CAC" w:rsidP="00550638">
      <w:pPr>
        <w:pStyle w:val="NormalWeb"/>
        <w:jc w:val="both"/>
      </w:pPr>
      <w:r>
        <w:t xml:space="preserve">Johnson no quiso divulgar cuáles son las metas de ganancias a las que está apuntando Virgin en el sector de salud, pero aseguró que existe una “correlación completa entre el servicio de alta calidad y los robustos retornos financieros”. </w:t>
      </w:r>
    </w:p>
    <w:p w:rsidR="006B2897" w:rsidRDefault="00C15CAC" w:rsidP="00550638">
      <w:pPr>
        <w:pStyle w:val="NormalWeb"/>
        <w:jc w:val="both"/>
      </w:pPr>
      <w:r>
        <w:rPr>
          <w:noProof/>
        </w:rPr>
        <w:lastRenderedPageBreak/>
        <w:drawing>
          <wp:anchor distT="0" distB="0" distL="114300" distR="114300" simplePos="0" relativeHeight="251663360" behindDoc="0" locked="0" layoutInCell="1" allowOverlap="1" wp14:anchorId="1B1F98E4" wp14:editId="263923F1">
            <wp:simplePos x="0" y="0"/>
            <wp:positionH relativeFrom="column">
              <wp:posOffset>50165</wp:posOffset>
            </wp:positionH>
            <wp:positionV relativeFrom="paragraph">
              <wp:posOffset>235585</wp:posOffset>
            </wp:positionV>
            <wp:extent cx="5400675" cy="2428875"/>
            <wp:effectExtent l="0" t="0" r="9525" b="9525"/>
            <wp:wrapNone/>
            <wp:docPr id="213" name="Imagen 213" descr="OA-BA687_wsjamd_NS_201212271939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OA-BA687_wsjamd_NS_20121227193949[1]"/>
                    <pic:cNvPicPr>
                      <a:picLocks noChangeAspect="1" noChangeArrowheads="1"/>
                    </pic:cNvPicPr>
                  </pic:nvPicPr>
                  <pic:blipFill>
                    <a:blip r:embed="rId399">
                      <a:extLst>
                        <a:ext uri="{28A0092B-C50C-407E-A947-70E740481C1C}">
                          <a14:useLocalDpi xmlns:a14="http://schemas.microsoft.com/office/drawing/2010/main" val="0"/>
                        </a:ext>
                      </a:extLst>
                    </a:blip>
                    <a:srcRect/>
                    <a:stretch>
                      <a:fillRect/>
                    </a:stretch>
                  </pic:blipFill>
                  <pic:spPr bwMode="auto">
                    <a:xfrm>
                      <a:off x="0" y="0"/>
                      <a:ext cx="5400675" cy="2428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47085" w:rsidRDefault="00A47085" w:rsidP="00550638">
      <w:pPr>
        <w:pStyle w:val="NormalWeb"/>
        <w:jc w:val="both"/>
      </w:pPr>
    </w:p>
    <w:p w:rsidR="00A47085" w:rsidRDefault="00A47085" w:rsidP="00550638">
      <w:pPr>
        <w:pStyle w:val="NormalWeb"/>
        <w:jc w:val="both"/>
      </w:pPr>
    </w:p>
    <w:p w:rsidR="00A47085" w:rsidRDefault="00A47085" w:rsidP="00550638">
      <w:pPr>
        <w:pStyle w:val="NormalWeb"/>
        <w:jc w:val="both"/>
      </w:pPr>
      <w:r>
        <w:t xml:space="preserve"> .</w:t>
      </w:r>
    </w:p>
    <w:p w:rsidR="006B2897" w:rsidRDefault="00A47085" w:rsidP="00550638">
      <w:pPr>
        <w:pStyle w:val="NormalWeb"/>
        <w:jc w:val="both"/>
      </w:pPr>
      <w:r>
        <w:t>Virgin afirma que algunos aspectos del NHS son tan ineficientes que existen muchas posibilidades de mejorar el servicio y también de lograr ganancias. "Todos sabemos que en algunas ocasiones, el NHS puede proporcionar servicios fantásticos, pero de vez en cuando también pueden ser mejorados", puntualizó Bart Johnson, el presidente ejecutivo de Virgin Care.</w:t>
      </w:r>
      <w:r w:rsidR="0087750F">
        <w:t xml:space="preserve"> </w:t>
      </w:r>
    </w:p>
    <w:p w:rsidR="00A47085" w:rsidRDefault="00A47085" w:rsidP="00550638">
      <w:pPr>
        <w:pStyle w:val="NormalWeb"/>
        <w:jc w:val="both"/>
      </w:pPr>
      <w:r>
        <w:t xml:space="preserve">Johnson no quiso divulgar cuáles son las metas de ganancias a las que está apuntando Al igual que la mayoría de los países industrializados, Gran Bretaña lucha con un alza en los costos del cuidado de la salud y un creciente déficit fiscal, lo que obliga al NHS a encontrar formas de ahorrar. El gobierno laborista anterior comenzó a tercerizar algunos servicios de salud a compañías privadas a mediados de los 2000, en lo que describió como un intento por recortar costos y mejorar los servicios. </w:t>
      </w:r>
    </w:p>
    <w:p w:rsidR="00A47085" w:rsidRDefault="00A47085" w:rsidP="00550638">
      <w:pPr>
        <w:pStyle w:val="NormalWeb"/>
        <w:jc w:val="both"/>
      </w:pPr>
      <w:r>
        <w:t xml:space="preserve">El proceso se ha agilizado bajo el actual gobierno conservador y este año se aprobó una ley para abrir más la puerta al sector privado. El NHS indicó que contratistas del sector privado realizaron 4,3% de las operaciones hospitalarias electivas que se llevaron a cabo en el año fiscal de 2012. </w:t>
      </w:r>
    </w:p>
    <w:p w:rsidR="00A47085" w:rsidRDefault="00A47085" w:rsidP="00550638">
      <w:pPr>
        <w:pStyle w:val="NormalWeb"/>
        <w:jc w:val="both"/>
      </w:pPr>
      <w:r>
        <w:t xml:space="preserve">Los esfuerzos de Gran Bretaña por aumentar el papel del sector privado en la salud pública contrastan con Estados Unidos, donde la ley de salud del gobierno de Barack Obama incrementa el papel del Estado en la financiación y regulación del cuidado de salud. </w:t>
      </w:r>
    </w:p>
    <w:p w:rsidR="00A47085" w:rsidRDefault="00A47085" w:rsidP="00550638">
      <w:pPr>
        <w:pStyle w:val="NormalWeb"/>
        <w:jc w:val="both"/>
      </w:pPr>
      <w:r>
        <w:t>Sin embargo, no todas las reacciones han sido negativas. Surrey Link, una organización sin fines de lucro, asegura que Vi</w:t>
      </w:r>
      <w:r w:rsidR="006B2897">
        <w:t>rgin siempre ha tomado medidas “</w:t>
      </w:r>
      <w:r>
        <w:t xml:space="preserve">cada vez que hemos señalado áreas donde </w:t>
      </w:r>
      <w:r w:rsidR="006B2897">
        <w:t>se pueden mejorar los servicios”</w:t>
      </w:r>
      <w:r>
        <w:t>. Por ejemplo, la compañía rep</w:t>
      </w:r>
      <w:r w:rsidR="00C41CD9">
        <w:t>aró edificios “</w:t>
      </w:r>
      <w:r>
        <w:t xml:space="preserve">en los que no se </w:t>
      </w:r>
      <w:r w:rsidR="00C41CD9">
        <w:t>había invertido en mucho tiempo”</w:t>
      </w:r>
      <w:r>
        <w:t>, dijo el grupo en un comunicado.</w:t>
      </w:r>
    </w:p>
    <w:p w:rsidR="008D12E2" w:rsidRPr="008D12E2" w:rsidRDefault="008D12E2" w:rsidP="00550638">
      <w:pPr>
        <w:pStyle w:val="NormalWeb"/>
        <w:jc w:val="both"/>
        <w:rPr>
          <w:u w:val="single"/>
        </w:rPr>
      </w:pPr>
      <w:r w:rsidRPr="008D12E2">
        <w:rPr>
          <w:u w:val="single"/>
        </w:rPr>
        <w:t>La industria farmacéutica vuelve a estar en el punto de mira.</w:t>
      </w:r>
    </w:p>
    <w:p w:rsidR="008D12E2" w:rsidRPr="008D12E2" w:rsidRDefault="008D12E2" w:rsidP="00550638">
      <w:pPr>
        <w:pStyle w:val="NormalWeb"/>
        <w:jc w:val="both"/>
        <w:rPr>
          <w:i/>
        </w:rPr>
      </w:pPr>
      <w:r>
        <w:rPr>
          <w:i/>
        </w:rPr>
        <w:t>“</w:t>
      </w:r>
      <w:r w:rsidR="00015ED8" w:rsidRPr="008D12E2">
        <w:rPr>
          <w:i/>
        </w:rPr>
        <w:t xml:space="preserve">El pasado miércoles, la agencia francesa de seguridad del medicamento (ANSM, por sus siglas en francés) ordenó retirar del mercado la píldora anticonceptiva Diane 35 después de que se filtrasen unos informes en los que se asociaban </w:t>
      </w:r>
      <w:r w:rsidR="00015ED8" w:rsidRPr="008D12E2">
        <w:rPr>
          <w:bCs/>
          <w:i/>
        </w:rPr>
        <w:t>cuatro muertes</w:t>
      </w:r>
      <w:r w:rsidR="00015ED8" w:rsidRPr="008D12E2">
        <w:rPr>
          <w:i/>
        </w:rPr>
        <w:t xml:space="preserve"> al consumo de este fármaco. Un medicamento que en España se prescribe principalmente para tratar el acné y la alopecia</w:t>
      </w:r>
      <w:r>
        <w:rPr>
          <w:i/>
        </w:rPr>
        <w:t>”..</w:t>
      </w:r>
      <w:r w:rsidR="00015ED8" w:rsidRPr="008D12E2">
        <w:rPr>
          <w:i/>
        </w:rPr>
        <w:t xml:space="preserve">. </w:t>
      </w:r>
      <w:r w:rsidRPr="009A3D76">
        <w:rPr>
          <w:u w:val="single"/>
        </w:rPr>
        <w:t>¿De verdad son seguros los medicamentos que nos recetan?</w:t>
      </w:r>
      <w:r>
        <w:t xml:space="preserve"> (El Confidencial - </w:t>
      </w:r>
      <w:r w:rsidRPr="009A3D76">
        <w:rPr>
          <w:b/>
        </w:rPr>
        <w:t>1/2/13</w:t>
      </w:r>
      <w:r>
        <w:t>)</w:t>
      </w:r>
    </w:p>
    <w:p w:rsidR="00015ED8" w:rsidRPr="008D12E2" w:rsidRDefault="00015ED8" w:rsidP="00550638">
      <w:pPr>
        <w:pStyle w:val="NormalWeb"/>
        <w:jc w:val="both"/>
      </w:pPr>
      <w:r w:rsidRPr="008D12E2">
        <w:t xml:space="preserve">La desconfianza de la sociedad francesa hacia la industria farmacéutica ha alcanzado unos niveles similares a los de 2009, cuando saltó a la luz pública el escándalo del Mediator, un medicamento para tratar la diabetes y al que se asociaron 64 muertes por sus efectos secundarios. Y es que el </w:t>
      </w:r>
      <w:r w:rsidRPr="008D12E2">
        <w:rPr>
          <w:bCs/>
        </w:rPr>
        <w:t xml:space="preserve">propio ministerio galo ha instado a la UE a que </w:t>
      </w:r>
      <w:r w:rsidRPr="008D12E2">
        <w:rPr>
          <w:bCs/>
        </w:rPr>
        <w:lastRenderedPageBreak/>
        <w:t>reconsidere la autorización comercial de varias marcas</w:t>
      </w:r>
      <w:r w:rsidRPr="008D12E2">
        <w:t xml:space="preserve"> de píldoras anticonceptivas de tercera y cuarta generación. </w:t>
      </w:r>
    </w:p>
    <w:p w:rsidR="00015ED8" w:rsidRPr="008D12E2" w:rsidRDefault="00015ED8" w:rsidP="00550638">
      <w:pPr>
        <w:pStyle w:val="NormalWeb"/>
        <w:jc w:val="both"/>
      </w:pPr>
      <w:r w:rsidRPr="008D12E2">
        <w:t xml:space="preserve">Los medios de comunicación del país vecino han puesto su foco sobre esta cuestión desde hace varias semanas. Mientras tanto, el ensayo </w:t>
      </w:r>
      <w:r w:rsidRPr="008D12E2">
        <w:rPr>
          <w:i/>
          <w:iCs/>
        </w:rPr>
        <w:t xml:space="preserve">Le guide des médicaments: utiles, inutiles ou dangereux </w:t>
      </w:r>
      <w:r w:rsidRPr="008D12E2">
        <w:t xml:space="preserve">de </w:t>
      </w:r>
      <w:r w:rsidRPr="008D12E2">
        <w:rPr>
          <w:bCs/>
        </w:rPr>
        <w:t>Philippe Even</w:t>
      </w:r>
      <w:r w:rsidRPr="008D12E2">
        <w:t xml:space="preserve"> ha tenido una repercusión sin parangón, liderando las listas de ventas y obligando a la editorial a triplicar la tirada (hasta alcanzar los 200.000 ejemplares) por la expectación generada en la pr</w:t>
      </w:r>
      <w:r w:rsidR="008D12E2">
        <w:t>imera semana de su publicación.</w:t>
      </w:r>
    </w:p>
    <w:p w:rsidR="00015ED8" w:rsidRPr="008D12E2" w:rsidRDefault="00015ED8" w:rsidP="00550638">
      <w:pPr>
        <w:pStyle w:val="NormalWeb"/>
        <w:jc w:val="both"/>
      </w:pPr>
      <w:r w:rsidRPr="008D12E2">
        <w:t xml:space="preserve">La tesis central de este profesor emérito de la Universidad París Descartes y antiguo miembro de la comisión científica del Ministerio de Sanidad galo es que </w:t>
      </w:r>
      <w:hyperlink r:id="rId400" w:tgtFrame="_blank" w:history="1">
        <w:r w:rsidRPr="008D12E2">
          <w:rPr>
            <w:rStyle w:val="Hipervnculo"/>
            <w:rFonts w:eastAsiaTheme="majorEastAsia"/>
            <w:color w:val="auto"/>
            <w:u w:val="none"/>
          </w:rPr>
          <w:t>“sólo un medicamento de cada tres es eficaz de verdad”</w:t>
        </w:r>
      </w:hyperlink>
      <w:r w:rsidRPr="008D12E2">
        <w:t xml:space="preserve">, mientras que apunta a la complicidad entre laboratorios, gobiernos y médicos como principal causa de esta situación. Entre la opinión pública española la preocupación apenas existe, aunque los especialistas sí han llamado la atención sobre cuestiones como la </w:t>
      </w:r>
      <w:r w:rsidRPr="008D12E2">
        <w:rPr>
          <w:bCs/>
        </w:rPr>
        <w:t>medicación excesiva, el elevado número de personas mayores polimedicadas y los efectos secundarios</w:t>
      </w:r>
      <w:r w:rsidRPr="008D12E2">
        <w:t xml:space="preserve"> de algunos fármacos. Entre los medicamentos más peligrosos para la salud, según los datos obtenidos por Even y su equipo de colaboradores tras analizar cerca de 20.000 informes sobre fármacos comercializados en Francia, el porcentaje más alto se encuentra en aquellos destinados a tratar</w:t>
      </w:r>
      <w:r w:rsidRPr="008D12E2">
        <w:rPr>
          <w:bCs/>
        </w:rPr>
        <w:t xml:space="preserve"> la hipertensión arterial, la osteoporosis, la diabetes, el asma y el colesterol.</w:t>
      </w:r>
    </w:p>
    <w:p w:rsidR="00015ED8" w:rsidRPr="008D12E2" w:rsidRDefault="00015ED8" w:rsidP="00550638">
      <w:pPr>
        <w:pStyle w:val="NormalWeb"/>
        <w:jc w:val="both"/>
      </w:pPr>
      <w:r w:rsidRPr="008D12E2">
        <w:t xml:space="preserve">La Sociedad Española de Salud Pública y Administración Sanitaria (Sespas) menciona alguna de estas cuestiones en su último </w:t>
      </w:r>
      <w:hyperlink r:id="rId401" w:tgtFrame="_blank" w:history="1">
        <w:r w:rsidRPr="008D12E2">
          <w:rPr>
            <w:rStyle w:val="Hipervnculo"/>
            <w:rFonts w:eastAsiaTheme="majorEastAsia"/>
            <w:color w:val="auto"/>
            <w:u w:val="none"/>
          </w:rPr>
          <w:t>informe bianual</w:t>
        </w:r>
      </w:hyperlink>
      <w:r w:rsidRPr="008D12E2">
        <w:t xml:space="preserve">, así como la consejería de Salud valenciana en el </w:t>
      </w:r>
      <w:hyperlink r:id="rId402" w:tgtFrame="_blank" w:history="1">
        <w:r w:rsidRPr="008D12E2">
          <w:rPr>
            <w:rStyle w:val="Hipervnculo"/>
            <w:rFonts w:eastAsiaTheme="majorEastAsia"/>
            <w:color w:val="auto"/>
            <w:u w:val="none"/>
          </w:rPr>
          <w:t>Boletín de Información Farmacoterapéutica</w:t>
        </w:r>
      </w:hyperlink>
      <w:r w:rsidRPr="008D12E2">
        <w:t xml:space="preserve">. Pero, realmente, ¿existen motivos para preocuparse? La doctora en Farmacología de la Universidad Complutense de Madrid, </w:t>
      </w:r>
      <w:r w:rsidRPr="008D12E2">
        <w:rPr>
          <w:bCs/>
        </w:rPr>
        <w:t>María Teresa Tejerina Sánchez</w:t>
      </w:r>
      <w:r w:rsidR="00787AC5">
        <w:t xml:space="preserve">, responde </w:t>
      </w:r>
      <w:r w:rsidRPr="008D12E2">
        <w:t xml:space="preserve">que no, puesto que los controles son ahora más rigurosos que nunca. Además existe una serie de </w:t>
      </w:r>
      <w:r w:rsidRPr="008D12E2">
        <w:rPr>
          <w:bCs/>
        </w:rPr>
        <w:t>mitos falsamente construidos</w:t>
      </w:r>
      <w:r w:rsidRPr="008D12E2">
        <w:t xml:space="preserve"> que es necesario matizar para entender el mundo de la industria f</w:t>
      </w:r>
      <w:r w:rsidR="008D12E2">
        <w:t>armacéutica y de la medicación.</w:t>
      </w:r>
    </w:p>
    <w:p w:rsidR="00015ED8" w:rsidRPr="008D12E2" w:rsidRDefault="00015ED8" w:rsidP="00550638">
      <w:pPr>
        <w:pStyle w:val="NormalWeb"/>
        <w:jc w:val="both"/>
      </w:pPr>
      <w:r w:rsidRPr="008D12E2">
        <w:t xml:space="preserve">No todo el mundo reacciona igual a un mismo fármaco. </w:t>
      </w:r>
      <w:r w:rsidRPr="008D12E2">
        <w:rPr>
          <w:bCs/>
        </w:rPr>
        <w:t>“La respuesta de cada paciente depende de sus biomarcadores”</w:t>
      </w:r>
      <w:r w:rsidRPr="008D12E2">
        <w:t>, por lo que es fundamental que se adecue el tratamiento a estas características, como se propone desde el campo de estudio de la medicina personalizada. Tejerina sospecha que las cuatro muertes en Francia asociadas al consumo de la píldora Diane 35 se deben a que no se suministraron a la persona correcta.</w:t>
      </w:r>
    </w:p>
    <w:p w:rsidR="00015ED8" w:rsidRPr="008D12E2" w:rsidRDefault="00015ED8" w:rsidP="00550638">
      <w:pPr>
        <w:pStyle w:val="NormalWeb"/>
        <w:jc w:val="both"/>
      </w:pPr>
      <w:r w:rsidRPr="008D12E2">
        <w:t xml:space="preserve">Otra de las explicaciones que señala Tejerina a los </w:t>
      </w:r>
      <w:r w:rsidRPr="008D12E2">
        <w:rPr>
          <w:bCs/>
        </w:rPr>
        <w:t>efectos secundarios de los medicamentos provendrían del “abuso”</w:t>
      </w:r>
      <w:r w:rsidRPr="008D12E2">
        <w:t xml:space="preserve"> que hacen de ellos los pacientes, tanto por una medicación excesiva como por el consumo de fármacos demasiado fuertes para la dolencia que se tiene.</w:t>
      </w:r>
    </w:p>
    <w:p w:rsidR="00015ED8" w:rsidRPr="008D12E2" w:rsidRDefault="00015ED8" w:rsidP="00550638">
      <w:pPr>
        <w:pStyle w:val="NormalWeb"/>
        <w:jc w:val="both"/>
      </w:pPr>
      <w:r w:rsidRPr="008D12E2">
        <w:t xml:space="preserve">La farmacóloga entiende que no existen medicamentos inútiles porque </w:t>
      </w:r>
      <w:r w:rsidRPr="008D12E2">
        <w:rPr>
          <w:bCs/>
        </w:rPr>
        <w:t>“desarrollarlos supone una inversión media de 1.318 millones de dólares y entre diez y doce años de trabajo”</w:t>
      </w:r>
      <w:r w:rsidRPr="008D12E2">
        <w:t>. En un principio, añade, no merece la pena hacer una apuesta inversora de este tipo si las expectativas de éxito en el mercado no son muy altas. Esto no significa, añade la doctora, que existan algunos medicamentos que tengan un efecto placebo para determinados pacientes.</w:t>
      </w:r>
    </w:p>
    <w:p w:rsidR="00015ED8" w:rsidRPr="008D12E2" w:rsidRDefault="00015ED8" w:rsidP="00550638">
      <w:pPr>
        <w:pStyle w:val="NormalWeb"/>
        <w:jc w:val="both"/>
      </w:pPr>
      <w:r w:rsidRPr="008D12E2">
        <w:lastRenderedPageBreak/>
        <w:t>Unos argumentos que chocan con lo</w:t>
      </w:r>
      <w:r w:rsidR="00977312">
        <w:t>s de Philippe Even, para quien “</w:t>
      </w:r>
      <w:r w:rsidRPr="008D12E2">
        <w:t xml:space="preserve">un tercio de los medicamentos comercializados son completamente ineficaces, sin ningún efecto terapéutico. Otro tercio puede causar problemas secundarios al no ser bien tolerados por el paciente o se utilizan mal al prescribirlos a personas que no los necesitan”. Por último, establecía en el 33% restante la cantidad de fármacos </w:t>
      </w:r>
      <w:r w:rsidRPr="008D12E2">
        <w:rPr>
          <w:bCs/>
        </w:rPr>
        <w:t>“realmente útiles para curar una enfermedad o algún problema de salud”</w:t>
      </w:r>
      <w:r w:rsidRPr="008D12E2">
        <w:t xml:space="preserve">. </w:t>
      </w:r>
    </w:p>
    <w:p w:rsidR="00015ED8" w:rsidRPr="008D12E2" w:rsidRDefault="00015ED8" w:rsidP="00550638">
      <w:pPr>
        <w:pStyle w:val="NormalWeb"/>
        <w:jc w:val="both"/>
      </w:pPr>
      <w:r w:rsidRPr="008D12E2">
        <w:t xml:space="preserve">Para la farmacóloga “todos los medicamentos sirven para algo, siempre y cuando sean bien administrados por el médico en base a un riguroso historial clínico del paciente”. Lo que no se puede hacer, sentencia, “es eso del café con leche para todos porque </w:t>
      </w:r>
      <w:r w:rsidRPr="008D12E2">
        <w:rPr>
          <w:bCs/>
        </w:rPr>
        <w:t>cada paciente es diferente</w:t>
      </w:r>
      <w:r w:rsidRPr="008D12E2">
        <w:t>”. Además, añade que de entre los 35 fármacos aprobados el pasado año por la Food and Drug Administration (FDA), la agencia reguladora norteamericana, casi la mitad de ellos fueron calificados co</w:t>
      </w:r>
      <w:r w:rsidR="008D12E2">
        <w:t>mo de “gran innovación médica”.</w:t>
      </w:r>
    </w:p>
    <w:p w:rsidR="00015ED8" w:rsidRPr="008D12E2" w:rsidRDefault="00015ED8" w:rsidP="00550638">
      <w:pPr>
        <w:pStyle w:val="NormalWeb"/>
        <w:jc w:val="both"/>
      </w:pPr>
      <w:r w:rsidRPr="008D12E2">
        <w:t xml:space="preserve">“Hoy en día la aspirina no conseguiría una autorización para su comercialización”. Un ejemplo que pone Tejerina para demostrar cómo se han endurecido y evolucionado los controles de la Agencia Europea del Medicamento (EMA). Pese a ello, apunta que existe una </w:t>
      </w:r>
      <w:r w:rsidRPr="008D12E2">
        <w:rPr>
          <w:bCs/>
        </w:rPr>
        <w:t>agresiva campaña a nivel europeo</w:t>
      </w:r>
      <w:r w:rsidRPr="008D12E2">
        <w:t xml:space="preserve"> de las distintas administraciones públicas contra la industria farmacéutica. </w:t>
      </w:r>
    </w:p>
    <w:p w:rsidR="00015ED8" w:rsidRDefault="00015ED8" w:rsidP="00550638">
      <w:pPr>
        <w:pStyle w:val="NormalWeb"/>
        <w:jc w:val="both"/>
        <w:rPr>
          <w:bCs/>
        </w:rPr>
      </w:pPr>
      <w:r w:rsidRPr="008D12E2">
        <w:t xml:space="preserve">Una reacción generalizada que podría deberse a la guerra de la financiación de los fármacos por parte de los sistemas nacionales de salud. Sin embargo, Even pone el foco sobre los intereses económicos que compartirían laboratorios, gobiernos y médicos. Para ello no duda en señalar </w:t>
      </w:r>
      <w:r w:rsidRPr="008D12E2">
        <w:rPr>
          <w:bCs/>
        </w:rPr>
        <w:t xml:space="preserve">al máximo responsable de la EMA, Andreas Pott, por tener una gran cantidad de acciones en empresas farmacéuticas. </w:t>
      </w:r>
    </w:p>
    <w:p w:rsidR="008D12E2" w:rsidRPr="008D12E2" w:rsidRDefault="008D12E2" w:rsidP="00550638">
      <w:pPr>
        <w:pStyle w:val="NormalWeb"/>
        <w:jc w:val="both"/>
        <w:rPr>
          <w:u w:val="single"/>
        </w:rPr>
      </w:pPr>
      <w:r w:rsidRPr="008D12E2">
        <w:rPr>
          <w:u w:val="single"/>
        </w:rPr>
        <w:t>UK: entre 400 y 1.200 personas murieron por negligencias “espantosas” en cuatro años</w:t>
      </w:r>
    </w:p>
    <w:p w:rsidR="00015ED8" w:rsidRPr="008D12E2" w:rsidRDefault="008D12E2" w:rsidP="00550638">
      <w:pPr>
        <w:pStyle w:val="NormalWeb"/>
        <w:jc w:val="both"/>
      </w:pPr>
      <w:r>
        <w:rPr>
          <w:bCs/>
        </w:rPr>
        <w:t>“</w:t>
      </w:r>
      <w:r w:rsidR="00015ED8" w:rsidRPr="008D12E2">
        <w:rPr>
          <w:i/>
        </w:rPr>
        <w:t>El primer ministro británico, David Cameron, ha pedido hoy disculpas públicas por las negligencias “verdaderamente espantosas” que se tradujeron en la muerte innecesaria de centenares de pacientes en uno de los hospitales públicos del Reino Unido. Su comparecencia ante la Cámara de los Comunes se ha producido poco después de la difusión de las conclusiones de una investigación sobre el maltrato sistemático a los pacientes de un centro sanitario de Staffordshire (centro de Inglaterra), privados en algunos casos incluso de agua y alimentos, y que se tradujo en una inusual y altísima tasa de bajas mortales entre 2005 y 2008</w:t>
      </w:r>
      <w:r>
        <w:rPr>
          <w:i/>
        </w:rPr>
        <w:t>”..</w:t>
      </w:r>
      <w:r w:rsidR="00015ED8" w:rsidRPr="008D12E2">
        <w:rPr>
          <w:i/>
        </w:rPr>
        <w:t xml:space="preserve">. </w:t>
      </w:r>
      <w:r w:rsidRPr="002446C6">
        <w:rPr>
          <w:u w:val="single"/>
        </w:rPr>
        <w:t>Cameron pide perdón por el mayor escándalo sanitario en Reino Unido</w:t>
      </w:r>
      <w:r>
        <w:t xml:space="preserve"> (El País - </w:t>
      </w:r>
      <w:r w:rsidRPr="002446C6">
        <w:rPr>
          <w:b/>
        </w:rPr>
        <w:t>7/2/13</w:t>
      </w:r>
      <w:r>
        <w:t>)</w:t>
      </w:r>
    </w:p>
    <w:p w:rsidR="00015ED8" w:rsidRPr="008D12E2" w:rsidRDefault="00015ED8" w:rsidP="00550638">
      <w:pPr>
        <w:pStyle w:val="NormalWeb"/>
        <w:jc w:val="both"/>
      </w:pPr>
      <w:r>
        <w:t>El personal del servicio de sanidad pública (NHS, en sus siglas inglesas), es decir, los médicos, enfermeras y gestores, deberá afrontar sa</w:t>
      </w:r>
      <w:r w:rsidR="008D12E2">
        <w:t xml:space="preserve">nciones penales si encubren sus </w:t>
      </w:r>
      <w:r>
        <w:t xml:space="preserve">errores o los de sus colegas en el trato que dispensan al paciente, según las recomendaciones de la investigación dirigida por el abogado especialista en negligencias médicas Robert Francis. Las cifras de mortalidad registradas por el hospital en aquel periodo superaron las previsiones estadísticas entre 400 y 1.200 personas y, si bien resulta imposible establecer que habrían sobrevivido con mejor atención y </w:t>
      </w:r>
      <w:r w:rsidRPr="008D12E2">
        <w:t>tratamiento, sí se ha confirmado que cuando menos fueron víctimas de una gestión que primaba “la consecución de objetivos económicos por encima de la calidad del servicio”.</w:t>
      </w:r>
    </w:p>
    <w:p w:rsidR="00015ED8" w:rsidRPr="008D12E2" w:rsidRDefault="00015ED8" w:rsidP="00550638">
      <w:pPr>
        <w:pStyle w:val="NormalWeb"/>
        <w:jc w:val="both"/>
      </w:pPr>
      <w:r w:rsidRPr="008D12E2">
        <w:lastRenderedPageBreak/>
        <w:t>El escándalo mayúsculo, que saltó a la palestra en 2009, ha sido objeto desde entonces de cinco investigaciones que se saldaron con una crítica a los patéticos estándares hospitalarios, el abandono voluntario de algunos de sus gestores y ninguna sanción expresa. Y ello a pesar del tremendo relato de los horrores de cómo las recepcionistas determinaban quién era o no aceptado para su ingreso, de la falta de formación de las enfermeras para usar los equipos o la inexperiencia de algunos médicos a los que se encomendaron pacientes en estado crítico. Tanta era la dejadez, que a veces la bandeja con el almuerzo o la cena era depositada fuera del alcance del paciente que yacía en la cama.</w:t>
      </w:r>
    </w:p>
    <w:p w:rsidR="00015ED8" w:rsidRPr="008D12E2" w:rsidRDefault="00015ED8" w:rsidP="00550638">
      <w:pPr>
        <w:pStyle w:val="NormalWeb"/>
        <w:jc w:val="both"/>
      </w:pPr>
      <w:r w:rsidRPr="008D12E2">
        <w:t xml:space="preserve">La presión de los familiares de esos pacientes maltratados, exigiendo un examen en profundidad del sistema para buscar soluciones y dirimir responsabilidades, ha forzado esta última encuesta oficial que el Partido Conservador prometió en su programa electoral y Cameron hizo efectiva en cuanto ocupó Downing Street. Su resultado, sin embargo, conforma un catálogo de nada menos que 290 recomendaciones que se resumiría en el establecimiento de un código más férreo de conducta, el reforzamiento de los controles del personal y, como explicó el primer ministro, la creación de un cuerpo de inspectores para velar por unos centros sanitarios “limpios seguros y en los que se cuide a los pacientes, no de meros espacios de gestión burocrática”. Se apunta a los errores de gestión, desde los máximos responsables hasta la base, pero no habrá mayores consecuencias más allá de la severa censura. </w:t>
      </w:r>
    </w:p>
    <w:p w:rsidR="00015ED8" w:rsidRDefault="00015ED8" w:rsidP="00550638">
      <w:pPr>
        <w:pStyle w:val="NormalWeb"/>
        <w:jc w:val="both"/>
      </w:pPr>
      <w:r w:rsidRPr="008D12E2">
        <w:t>Si bien es cierto que el caso no puede imputarse directa o únicamente a la mengua de los recursos económicos que el NHS viene encajando en los últim</w:t>
      </w:r>
      <w:r w:rsidR="00963EEC">
        <w:t>os años -</w:t>
      </w:r>
      <w:r w:rsidRPr="008D12E2">
        <w:t>porque el trato inhumano a aquellos pacient</w:t>
      </w:r>
      <w:r w:rsidR="00963EEC">
        <w:t>es carece de toda justificación-</w:t>
      </w:r>
      <w:r w:rsidRPr="008D12E2">
        <w:t xml:space="preserve"> también debe subrayarse que ese contexto idílico que ambiciona Cameron aparece muy difícil en los actuales tiempos de recortes drásticos. Las recomendaciones con las que se ha saldado el veredicto sobre el hospital de Staffordshire, y que el Gobierno quiere aplicar en todos los centros del sistema, suponen un alivio para los responsables del Departamento de Sanidad, que temían la demanda de otra costosa reforma del NHS que finalmente no deberá ejecutarse. Porque esa declaración de buenas intenciones que contiene la enésima investigación del caso no se centra en la exigencia de un personal cualificado y suficiente numéricamente (lo cual significa inversión en la sanidad pública), sino que pone el acento en el comportamiento individual de cada trabajador independientemente de las condiciones laborales. Y estas, a tenor del gasto sanitario del próximo presupuesto del Gobierno, no parecen nada halagüeñas.</w:t>
      </w:r>
    </w:p>
    <w:p w:rsidR="00B803DD" w:rsidRPr="00B803DD" w:rsidRDefault="00B803DD" w:rsidP="00550638">
      <w:pPr>
        <w:pStyle w:val="NormalWeb"/>
        <w:jc w:val="both"/>
        <w:rPr>
          <w:u w:val="single"/>
        </w:rPr>
      </w:pPr>
      <w:r w:rsidRPr="00B803DD">
        <w:rPr>
          <w:u w:val="single"/>
        </w:rPr>
        <w:t>Cuestionan el modelo de salud de la sociedad desarrollada, basado en la práctica preventiva, que tiene repercusiones sobre las personas sanas</w:t>
      </w:r>
    </w:p>
    <w:p w:rsidR="00015ED8" w:rsidRDefault="00015ED8" w:rsidP="00550638">
      <w:pPr>
        <w:pStyle w:val="NormalWeb"/>
        <w:jc w:val="both"/>
      </w:pPr>
      <w:r>
        <w:t xml:space="preserve">- </w:t>
      </w:r>
      <w:r w:rsidR="00B803DD">
        <w:rPr>
          <w:u w:val="single"/>
        </w:rPr>
        <w:t>“</w:t>
      </w:r>
      <w:r w:rsidRPr="007A0F7C">
        <w:rPr>
          <w:u w:val="single"/>
        </w:rPr>
        <w:t>Un tercio de la ate</w:t>
      </w:r>
      <w:r w:rsidR="00B803DD">
        <w:rPr>
          <w:u w:val="single"/>
        </w:rPr>
        <w:t>nción sanitarias es innecesaria”</w:t>
      </w:r>
      <w:r>
        <w:t xml:space="preserve"> (Gaceta.es - </w:t>
      </w:r>
      <w:r w:rsidRPr="007A0F7C">
        <w:rPr>
          <w:b/>
        </w:rPr>
        <w:t>6/3/13</w:t>
      </w:r>
      <w:r>
        <w:t>)</w:t>
      </w:r>
      <w:r w:rsidR="00B803DD">
        <w:t xml:space="preserve"> Lectura recomendada</w:t>
      </w:r>
    </w:p>
    <w:p w:rsidR="00015ED8" w:rsidRDefault="00015ED8" w:rsidP="00550638">
      <w:pPr>
        <w:pStyle w:val="NormalWeb"/>
        <w:jc w:val="both"/>
      </w:pPr>
      <w:r>
        <w:t>Suenan al Pepito Grillo de la profesión médica. El matrimonio formado por Juan Gervás y Mercedes Pérez Fernández</w:t>
      </w:r>
      <w:r w:rsidR="00B803DD">
        <w:t>,</w:t>
      </w:r>
      <w:r>
        <w:t xml:space="preserve"> recogen su crítica a la medicina en el libro Sano y salvo (Los Libros del Lince), después de más de cuarenta años de profesión como médicos generalistas, investigadores y docentes en la Universidad Autónoma de Madrid.</w:t>
      </w:r>
    </w:p>
    <w:p w:rsidR="00C15CAC" w:rsidRDefault="00C15CAC" w:rsidP="00550638">
      <w:pPr>
        <w:pStyle w:val="NormalWeb"/>
        <w:jc w:val="both"/>
      </w:pPr>
    </w:p>
    <w:p w:rsidR="00015ED8" w:rsidRDefault="00015ED8" w:rsidP="00550638">
      <w:pPr>
        <w:pStyle w:val="NormalWeb"/>
        <w:jc w:val="both"/>
      </w:pPr>
      <w:r>
        <w:lastRenderedPageBreak/>
        <w:t>–</w:t>
      </w:r>
      <w:r w:rsidR="00B803DD">
        <w:t xml:space="preserve"> </w:t>
      </w:r>
      <w:r>
        <w:t>¿Cuántas intervenciones médicas son innecesarias?</w:t>
      </w:r>
    </w:p>
    <w:p w:rsidR="00015ED8" w:rsidRDefault="00015ED8" w:rsidP="00550638">
      <w:pPr>
        <w:pStyle w:val="NormalWeb"/>
        <w:jc w:val="both"/>
      </w:pPr>
      <w:r>
        <w:t xml:space="preserve"> Juan Gervás: Cerca del 30%, no sólo en atención clínica, también en salud pública.</w:t>
      </w:r>
    </w:p>
    <w:p w:rsidR="00015ED8" w:rsidRDefault="00015ED8" w:rsidP="00550638">
      <w:pPr>
        <w:pStyle w:val="NormalWeb"/>
        <w:jc w:val="both"/>
      </w:pPr>
      <w:r>
        <w:t>–</w:t>
      </w:r>
      <w:r w:rsidR="00B803DD">
        <w:t xml:space="preserve"> </w:t>
      </w:r>
      <w:r>
        <w:t>¿De quién es la culpa?</w:t>
      </w:r>
    </w:p>
    <w:p w:rsidR="00015ED8" w:rsidRDefault="00015ED8" w:rsidP="00550638">
      <w:pPr>
        <w:pStyle w:val="NormalWeb"/>
        <w:jc w:val="both"/>
      </w:pPr>
      <w:r>
        <w:t xml:space="preserve"> Mercedes Pérez: La culpa es de todos y al final de nadie. El paciente ha visto que se ha duplicado la expectativa de vida de los 40 a los 80 años. Ahora la palabra muerte suena a obsceno y hay una expectativa de salud que se convierte en un imposible. </w:t>
      </w:r>
    </w:p>
    <w:p w:rsidR="00015ED8" w:rsidRDefault="00015ED8" w:rsidP="00550638">
      <w:pPr>
        <w:pStyle w:val="NormalWeb"/>
        <w:jc w:val="both"/>
      </w:pPr>
      <w:r>
        <w:t>J. G.: El médico no evita la muerte. Prolonga vidas. Lo único que hace es cambiar una causa de muerte por otra. Evitamos una muerte pero finalmente los cuerpos encuentran las formas de morir. Luego hay intereses de las industrias, que hacen negocio a costa del miedo. La farmacéutica desde luego, pero también la alimentaria, la tecnológica...</w:t>
      </w:r>
    </w:p>
    <w:p w:rsidR="00015ED8" w:rsidRDefault="00015ED8" w:rsidP="00550638">
      <w:pPr>
        <w:pStyle w:val="NormalWeb"/>
        <w:jc w:val="both"/>
      </w:pPr>
      <w:r>
        <w:t xml:space="preserve">M. P.: Cada vez hay tecnologías más novedosas y, como resultado, se encuentran más cosas. Si hay un bisturí estupendo para quitar las amígdalas, va a haber más amigdalectomías. </w:t>
      </w:r>
    </w:p>
    <w:p w:rsidR="00015ED8" w:rsidRDefault="00015ED8" w:rsidP="00550638">
      <w:pPr>
        <w:pStyle w:val="NormalWeb"/>
        <w:jc w:val="both"/>
      </w:pPr>
      <w:r>
        <w:t>–</w:t>
      </w:r>
      <w:r w:rsidR="00B803DD">
        <w:t xml:space="preserve"> </w:t>
      </w:r>
      <w:r>
        <w:t>¿Entonces el diagnóstico precoz no siempre es interesante?</w:t>
      </w:r>
    </w:p>
    <w:p w:rsidR="00015ED8" w:rsidRDefault="00015ED8" w:rsidP="00550638">
      <w:pPr>
        <w:pStyle w:val="NormalWeb"/>
        <w:jc w:val="both"/>
      </w:pPr>
      <w:r>
        <w:t xml:space="preserve"> M. P.: El diagnóstico precoz te hipoteca la salud. </w:t>
      </w:r>
    </w:p>
    <w:p w:rsidR="00015ED8" w:rsidRDefault="00015ED8" w:rsidP="00550638">
      <w:pPr>
        <w:pStyle w:val="NormalWeb"/>
        <w:jc w:val="both"/>
      </w:pPr>
      <w:r>
        <w:t>J. G.: Hay un diagnóstico sin límites. Por ejemplo, el determinar el ácido úrico en la sangre. Si a un paciente le sale alto, no significa nada y lo normal es no tratarlo. Y sin embargo, se empiezan tratamientos, análisis, dieta... El diagnóstico precoz tiene que tener un límite más allá del cual es perjudicial, porque produce miedo, incertidumbre y te enferma.</w:t>
      </w:r>
    </w:p>
    <w:p w:rsidR="00015ED8" w:rsidRDefault="00015ED8" w:rsidP="00550638">
      <w:pPr>
        <w:pStyle w:val="NormalWeb"/>
        <w:jc w:val="both"/>
      </w:pPr>
      <w:r>
        <w:t>–</w:t>
      </w:r>
      <w:r w:rsidR="00B803DD">
        <w:t xml:space="preserve"> </w:t>
      </w:r>
      <w:r>
        <w:t>¿Y las revisiones anuales en el ginecólogo o las mamografías a partir de los 40 tampoco son necesarias?</w:t>
      </w:r>
    </w:p>
    <w:p w:rsidR="00015ED8" w:rsidRDefault="00015ED8" w:rsidP="00550638">
      <w:pPr>
        <w:pStyle w:val="NormalWeb"/>
        <w:jc w:val="both"/>
      </w:pPr>
      <w:r>
        <w:t xml:space="preserve"> J. G.: Como mucho, una citología de cuello de útero cada tres años, aunque hay estudios que demuestran que no son necesarias. El problema de la mamografía es que gran cantidad de los cánceres que determina son histológicos.</w:t>
      </w:r>
    </w:p>
    <w:p w:rsidR="00015ED8" w:rsidRDefault="00015ED8" w:rsidP="00550638">
      <w:pPr>
        <w:pStyle w:val="NormalWeb"/>
        <w:jc w:val="both"/>
      </w:pPr>
      <w:r>
        <w:t>–</w:t>
      </w:r>
      <w:r w:rsidR="00B803DD">
        <w:t xml:space="preserve"> </w:t>
      </w:r>
      <w:r>
        <w:t>¿Qué son esos cánceres?</w:t>
      </w:r>
    </w:p>
    <w:p w:rsidR="00015ED8" w:rsidRDefault="00015ED8" w:rsidP="00550638">
      <w:pPr>
        <w:pStyle w:val="NormalWeb"/>
        <w:jc w:val="both"/>
      </w:pPr>
      <w:r>
        <w:t xml:space="preserve"> J. G.: Cánceres que, si no se diagnosticaran, la gente viviría con ellos y no pasaría nada nunca. En el cáncer de mama, hay un 30% que son histológicos, pero en algunas edades puede llegar al 47%. Y en el cáncer de próstata al 60%. Es el sobrediagnóstico, se diagnostica bien pero en exceso.</w:t>
      </w:r>
    </w:p>
    <w:p w:rsidR="00015ED8" w:rsidRDefault="00015ED8" w:rsidP="00550638">
      <w:pPr>
        <w:pStyle w:val="NormalWeb"/>
        <w:jc w:val="both"/>
      </w:pPr>
      <w:r>
        <w:t>M. P.: Otro ejemplo es el neuroblastoma, un cáncer infantil extracraneal, del que hubo que dejar de hacer los screening porque los niños morían a causa de intervenciones. Les mataba el tratamiento y no les hubiera matado el cáncer.</w:t>
      </w:r>
    </w:p>
    <w:p w:rsidR="00015ED8" w:rsidRDefault="00015ED8" w:rsidP="00550638">
      <w:pPr>
        <w:pStyle w:val="NormalWeb"/>
        <w:jc w:val="both"/>
      </w:pPr>
      <w:r>
        <w:t>–</w:t>
      </w:r>
      <w:r w:rsidR="00B803DD">
        <w:t xml:space="preserve"> </w:t>
      </w:r>
      <w:r>
        <w:t>¿Y diciendo todas estas cosas ustedes se llevan bien con sus compañeros de profesión?</w:t>
      </w:r>
    </w:p>
    <w:p w:rsidR="00015ED8" w:rsidRDefault="00015ED8" w:rsidP="00550638">
      <w:pPr>
        <w:pStyle w:val="NormalWeb"/>
        <w:jc w:val="both"/>
      </w:pPr>
      <w:r>
        <w:lastRenderedPageBreak/>
        <w:t xml:space="preserve"> J. G.: No somos los únicos que las pensamos. Muchos compañeros se sienten agobiados en la práctica clínica haciendo cosas que no se deben hacer y viendo que luego no hay tiempo lo que sí hay que hacer. Lo que pasa es que no hablan tan claro.</w:t>
      </w:r>
    </w:p>
    <w:p w:rsidR="00015ED8" w:rsidRDefault="00015ED8" w:rsidP="00550638">
      <w:pPr>
        <w:pStyle w:val="NormalWeb"/>
        <w:jc w:val="both"/>
      </w:pPr>
      <w:r>
        <w:t>–</w:t>
      </w:r>
      <w:r w:rsidR="00B803DD">
        <w:t xml:space="preserve"> </w:t>
      </w:r>
      <w:r>
        <w:t>¿Cuántas de las vacunas que nos ponemos son necesarias?</w:t>
      </w:r>
    </w:p>
    <w:p w:rsidR="00015ED8" w:rsidRDefault="00015ED8" w:rsidP="00550638">
      <w:pPr>
        <w:pStyle w:val="NormalWeb"/>
        <w:jc w:val="both"/>
      </w:pPr>
      <w:r>
        <w:t xml:space="preserve"> J. G.: Somos provacunas pero críticos. Las del sarampión, difteria, rabia y tétanos son imprescindibles y uno de los mejores tesoros que tenemos. Pero al calor de esas vacunas eficaces se empiezan a promover otras absurdas, como, la del Alzheimer. Hay otras, como la del virus del papiloma humano, el neumococo, el rotavirus, la varicela y la gripe, poco efectivas, que están introduciendo más daño que bien y fomentando un movimiento antivacuna del que son responsables los que quieren venderlas.</w:t>
      </w:r>
    </w:p>
    <w:p w:rsidR="00015ED8" w:rsidRDefault="00015ED8" w:rsidP="00550638">
      <w:pPr>
        <w:pStyle w:val="NormalWeb"/>
        <w:jc w:val="both"/>
      </w:pPr>
      <w:r>
        <w:t>–</w:t>
      </w:r>
      <w:r w:rsidR="00B803DD">
        <w:t xml:space="preserve"> </w:t>
      </w:r>
      <w:r>
        <w:t>La vacuna del virus del papiloma humano ha generado una gran controversia.</w:t>
      </w:r>
    </w:p>
    <w:p w:rsidR="00015ED8" w:rsidRDefault="00015ED8" w:rsidP="00550638">
      <w:pPr>
        <w:pStyle w:val="NormalWeb"/>
        <w:jc w:val="both"/>
      </w:pPr>
      <w:r>
        <w:t xml:space="preserve"> J. G.: De hecho, se fundó un movimiento pidiendo una moratoria firmado por catedráticos de Salud Pública, que apoyaron 8.000 profesionales sanitarios. En este caso sí se puede echar la culpa a la industria, porque esta vacuna vale tanto como todas las otras juntas pero se refiere a un problema menor. Mueren de cáncer de cuello de útero el 0,5% de las mujeres.</w:t>
      </w:r>
    </w:p>
    <w:p w:rsidR="00015ED8" w:rsidRDefault="00015ED8" w:rsidP="00550638">
      <w:pPr>
        <w:pStyle w:val="NormalWeb"/>
        <w:jc w:val="both"/>
      </w:pPr>
      <w:r>
        <w:t>–</w:t>
      </w:r>
      <w:r w:rsidR="00B803DD">
        <w:t xml:space="preserve"> </w:t>
      </w:r>
      <w:r>
        <w:t>¿Cuánto cuesta este gasto ineficiente en el sistema sanitario?</w:t>
      </w:r>
    </w:p>
    <w:p w:rsidR="00015ED8" w:rsidRDefault="00015ED8" w:rsidP="00550638">
      <w:pPr>
        <w:pStyle w:val="NormalWeb"/>
        <w:jc w:val="both"/>
      </w:pPr>
      <w:r>
        <w:t xml:space="preserve"> En torno al 30% del presupuesto, unos 30,000 millones anuales en España. Más del 75% del despilfarro correspondería a prevención innecesaria. </w:t>
      </w:r>
    </w:p>
    <w:p w:rsidR="00015ED8" w:rsidRDefault="00015ED8" w:rsidP="00550638">
      <w:pPr>
        <w:pStyle w:val="NormalWeb"/>
        <w:jc w:val="both"/>
      </w:pPr>
      <w:r>
        <w:t>–</w:t>
      </w:r>
      <w:r w:rsidR="00B803DD">
        <w:t xml:space="preserve"> </w:t>
      </w:r>
      <w:r>
        <w:t>¿</w:t>
      </w:r>
      <w:r w:rsidR="00B803DD">
        <w:t>Cómo</w:t>
      </w:r>
      <w:r>
        <w:t xml:space="preserve"> cuál?</w:t>
      </w:r>
    </w:p>
    <w:p w:rsidR="00015ED8" w:rsidRDefault="00015ED8" w:rsidP="00550638">
      <w:pPr>
        <w:pStyle w:val="NormalWeb"/>
        <w:jc w:val="both"/>
      </w:pPr>
      <w:r>
        <w:t xml:space="preserve"> J. G.: Pruebas “innecesarias” preoperatorias en los hospitales: análisis, radiografía de tórax, electrocardiograma, espirometría... Su uso apropiado ahorraría más de 3 millones anuales en Canarias.</w:t>
      </w:r>
    </w:p>
    <w:p w:rsidR="00015ED8" w:rsidRDefault="00015ED8" w:rsidP="00550638">
      <w:pPr>
        <w:pStyle w:val="NormalWeb"/>
        <w:jc w:val="both"/>
      </w:pPr>
      <w:r>
        <w:t xml:space="preserve"> M. P.: Trabajar con calidad es más barato. Las consultas están llenas de pacientes sanos. Para ver al médico hay que esperar diez días. Y la gente se va a urgencias</w:t>
      </w:r>
    </w:p>
    <w:p w:rsidR="00015ED8" w:rsidRDefault="00015ED8" w:rsidP="00550638">
      <w:pPr>
        <w:pStyle w:val="NormalWeb"/>
        <w:jc w:val="both"/>
      </w:pPr>
      <w:r>
        <w:t>–</w:t>
      </w:r>
      <w:r w:rsidR="00B803DD">
        <w:t xml:space="preserve"> </w:t>
      </w:r>
      <w:r>
        <w:t>¿Entonces no hay que hacer prevención?</w:t>
      </w:r>
    </w:p>
    <w:p w:rsidR="00015ED8" w:rsidRDefault="00015ED8" w:rsidP="00550638">
      <w:pPr>
        <w:pStyle w:val="NormalWeb"/>
        <w:jc w:val="both"/>
      </w:pPr>
      <w:r>
        <w:t xml:space="preserve"> J. G.: Hay cosas que se pueden hacer. Además de las vacunas, en el tratamiento del sida para no transmitirlo al niño, tabaco, tratamiento de la hipertensión... Pero la gente, de tanto prevenir, deja de ser feliz.</w:t>
      </w:r>
    </w:p>
    <w:p w:rsidR="00B803DD" w:rsidRPr="00B803DD" w:rsidRDefault="00B803DD" w:rsidP="00550638">
      <w:pPr>
        <w:pStyle w:val="NormalWeb"/>
        <w:jc w:val="both"/>
        <w:rPr>
          <w:u w:val="single"/>
        </w:rPr>
      </w:pPr>
      <w:r w:rsidRPr="00B803DD">
        <w:rPr>
          <w:u w:val="single"/>
        </w:rPr>
        <w:t>La vida más cor</w:t>
      </w:r>
      <w:r>
        <w:rPr>
          <w:u w:val="single"/>
        </w:rPr>
        <w:t>ta de los pobres (la enfermedad de la pobreza</w:t>
      </w:r>
      <w:r w:rsidRPr="00B803DD">
        <w:rPr>
          <w:u w:val="single"/>
        </w:rPr>
        <w:t>)</w:t>
      </w:r>
    </w:p>
    <w:p w:rsidR="00676D56" w:rsidRDefault="00676D56" w:rsidP="00550638">
      <w:pPr>
        <w:pStyle w:val="NormalWeb"/>
        <w:jc w:val="both"/>
      </w:pPr>
      <w:r>
        <w:t xml:space="preserve">- </w:t>
      </w:r>
      <w:r w:rsidRPr="007D6DC0">
        <w:rPr>
          <w:u w:val="single"/>
        </w:rPr>
        <w:t>Solo los pobres mueren jóvenes</w:t>
      </w:r>
      <w:r>
        <w:t xml:space="preserve"> (Project Syndicate - </w:t>
      </w:r>
      <w:r w:rsidRPr="007D6DC0">
        <w:rPr>
          <w:b/>
        </w:rPr>
        <w:t>17/6/13</w:t>
      </w:r>
      <w:r>
        <w:t>)</w:t>
      </w:r>
    </w:p>
    <w:p w:rsidR="00676D56" w:rsidRDefault="00676D56" w:rsidP="00550638">
      <w:pPr>
        <w:pStyle w:val="NormalWeb"/>
        <w:jc w:val="both"/>
      </w:pPr>
      <w:r w:rsidRPr="00576EE7">
        <w:t>(Por Johan P. Mackenbach)</w:t>
      </w:r>
      <w:r>
        <w:tab/>
      </w:r>
      <w:r w:rsidR="00B803DD">
        <w:t xml:space="preserve">                                                            Lectura recomendada</w:t>
      </w:r>
    </w:p>
    <w:p w:rsidR="00676D56" w:rsidRPr="001F2E0A" w:rsidRDefault="00A90837" w:rsidP="00550638">
      <w:pPr>
        <w:pStyle w:val="NormalWeb"/>
        <w:jc w:val="both"/>
        <w:rPr>
          <w:color w:val="FF0000"/>
          <w:u w:val="single"/>
        </w:rPr>
      </w:pPr>
      <w:r>
        <w:t>Rot</w:t>
      </w:r>
      <w:r w:rsidR="00B803DD">
        <w:t>terdam.-</w:t>
      </w:r>
      <w:r w:rsidR="00676D56">
        <w:t xml:space="preserve"> </w:t>
      </w:r>
      <w:r w:rsidR="00676D56" w:rsidRPr="001F2E0A">
        <w:rPr>
          <w:color w:val="FF0000"/>
          <w:u w:val="single"/>
        </w:rPr>
        <w:t xml:space="preserve">Las personas de menor nivel socioeconómico (por sus niveles de educación, ocupación o ingresos) viven en promedio vidas más cortas y menos saludables que las de estratos más altos. De hecho, a menudo la expectativa de vida al </w:t>
      </w:r>
      <w:r w:rsidR="00676D56" w:rsidRPr="001F2E0A">
        <w:rPr>
          <w:color w:val="FF0000"/>
          <w:u w:val="single"/>
        </w:rPr>
        <w:lastRenderedPageBreak/>
        <w:t>nacer varía de 5 a 10 años según sea el factor de bienestar social y económico. Por sufrir distintas  enfermedades o discapacidades, los pobres pierden entre 10 y 20 más años que sus contrapartes más ricas.</w:t>
      </w:r>
    </w:p>
    <w:p w:rsidR="00676D56" w:rsidRPr="001F2E0A" w:rsidRDefault="00676D56" w:rsidP="00550638">
      <w:pPr>
        <w:pStyle w:val="NormalWeb"/>
        <w:jc w:val="both"/>
        <w:rPr>
          <w:color w:val="FF0000"/>
          <w:u w:val="single"/>
        </w:rPr>
      </w:pPr>
      <w:r w:rsidRPr="001F2E0A">
        <w:rPr>
          <w:color w:val="FF0000"/>
          <w:u w:val="single"/>
        </w:rPr>
        <w:t>Esto no habría sorprendido a nadie en el siglo diecinueve, con su promedio de bajos ingresos, su pobreza generalizada y su falta de sistemas de seguridad social. Sin embargo, hoy en día es común que ese tipo de información se refiera a países de altos ingresos, incluso aquellos que presentan altos índices de prosperidad económica y desarrollo humano. Los estados de bienestar altamente desarrollados de Europa Occidental no son la excepción.</w:t>
      </w:r>
    </w:p>
    <w:p w:rsidR="00676D56" w:rsidRPr="001F2E0A" w:rsidRDefault="00676D56" w:rsidP="00550638">
      <w:pPr>
        <w:pStyle w:val="NormalWeb"/>
        <w:jc w:val="both"/>
        <w:rPr>
          <w:u w:val="single"/>
        </w:rPr>
      </w:pPr>
      <w:r w:rsidRPr="001F2E0A">
        <w:rPr>
          <w:u w:val="single"/>
        </w:rPr>
        <w:t>Desde fines de la Segunda Guerra Mundial, los países europeos occidentales han intentado reducir la desigualdad socioeconómica o paliar sus consecuencias a través de la fiscalidad progresiva, programas de seguridad social y una amplia gama de prestaciones financiadas con fondos públicos, como vivienda, educación, sanidad y centros culturales y recreativos. No obstante, si bien estas políticas han conseguido reducir las desigualdades en ciertos ámbitos sociales y económicos, como el ingreso, la calidad de la vivienda y el acceso a los servicios de atención sanitaria, han sido insuficientes para eliminar las desigualdades en ámbito general de la salud.</w:t>
      </w:r>
    </w:p>
    <w:p w:rsidR="00676D56" w:rsidRDefault="00676D56" w:rsidP="00550638">
      <w:pPr>
        <w:pStyle w:val="NormalWeb"/>
        <w:jc w:val="both"/>
      </w:pPr>
      <w:r w:rsidRPr="001F2E0A">
        <w:rPr>
          <w:color w:val="FF0000"/>
          <w:u w:val="single"/>
        </w:rPr>
        <w:t>Las series de datos tomados a lo largo de varias décadas  indican que la brecha socioeconómica de la mortalidad se estrechó antes de los años</w:t>
      </w:r>
      <w:r w:rsidR="00A90837">
        <w:rPr>
          <w:color w:val="FF0000"/>
          <w:u w:val="single"/>
        </w:rPr>
        <w:t xml:space="preserve"> </w:t>
      </w:r>
      <w:r w:rsidRPr="001F2E0A">
        <w:rPr>
          <w:color w:val="FF0000"/>
          <w:u w:val="single"/>
        </w:rPr>
        <w:t>50, pero que ha aumentado de manera importante desde entonces</w:t>
      </w:r>
      <w:r>
        <w:t>. Más sorprendente es el hecho de que no necesariamente las políticas de bienestar más generosas se traducen en menos disparidades en términos de salud. Incluso los países nórdicos, líderes mundiales en lo referente a la creación de políticas de bienestar amplias y bien diseñadas que protejan a los ciudadanos a lo largo de sus vidas, enfrentan importantes disparidades en el ámbito de la salud, a pesar de que la desigualdad de sus ingresos es relativamente baja.</w:t>
      </w:r>
    </w:p>
    <w:p w:rsidR="00676D56" w:rsidRPr="001F2E0A" w:rsidRDefault="00676D56" w:rsidP="00550638">
      <w:pPr>
        <w:pStyle w:val="NormalWeb"/>
        <w:jc w:val="both"/>
        <w:rPr>
          <w:color w:val="FF0000"/>
          <w:u w:val="single"/>
        </w:rPr>
      </w:pPr>
      <w:r w:rsidRPr="001F2E0A">
        <w:rPr>
          <w:color w:val="FF0000"/>
          <w:u w:val="single"/>
        </w:rPr>
        <w:t>Es necesario advertir que los estados de bienestar modernos se encuentran lejos de abolir la desigualdad social: las disparidades del acceso a los recursos humanos y materiales siguen generando vidas altamente desiguales entre sus ciudadanos. Sin embargo, el objetivo del estado de bienestar nunca ha sido la redistribución radical de la riqueza, sino más bien crear una suerte de punto medio entre los intereses de empleadores y empleados, obreros y clases medias. Como resultado, sus efectos redistributivos son modestos.</w:t>
      </w:r>
    </w:p>
    <w:p w:rsidR="00676D56" w:rsidRPr="001F2E0A" w:rsidRDefault="00676D56" w:rsidP="00550638">
      <w:pPr>
        <w:pStyle w:val="NormalWeb"/>
        <w:jc w:val="both"/>
        <w:rPr>
          <w:u w:val="single"/>
        </w:rPr>
      </w:pPr>
      <w:r>
        <w:t xml:space="preserve">Así, si bien </w:t>
      </w:r>
      <w:r w:rsidRPr="001F2E0A">
        <w:rPr>
          <w:u w:val="single"/>
        </w:rPr>
        <w:t>las desigualdades en el ámbito de la salud</w:t>
      </w:r>
      <w:r>
        <w:t xml:space="preserve"> se pueden  explicar en parte por el fracaso del estado de bienestar, es necesario mirar a otro lugar para comprender su aumento (y revertirlo). </w:t>
      </w:r>
      <w:r w:rsidRPr="001F2E0A">
        <w:rPr>
          <w:u w:val="single"/>
        </w:rPr>
        <w:t>Del creciente número de trabajos científicos sobre el tema han surgido dos posibles explicaciones: la movilidad social ascendente selectiva y la demora en la difusión del cambio conductual. En realidad, ambos factores están en acción.</w:t>
      </w:r>
    </w:p>
    <w:p w:rsidR="00676D56" w:rsidRDefault="00676D56" w:rsidP="00550638">
      <w:pPr>
        <w:pStyle w:val="NormalWeb"/>
        <w:jc w:val="both"/>
      </w:pPr>
      <w:r w:rsidRPr="001F2E0A">
        <w:rPr>
          <w:u w:val="single"/>
        </w:rPr>
        <w:t>A lo largo del siglo veinte la movilidad social aumentó a ritmo lento pero constante en todos los países de ingresos altos</w:t>
      </w:r>
      <w:r>
        <w:t>, lo que se refleja en que los logros educacionales y el estatus en el empleo dependen menos de los lazos familiares y más de las habilidades cognitivas y otras características individuales. Como resultado, los grupos de menor nivel socioeconómico no solo se han reducido en tamaño, sino que probablemente se hayan vuelto más homogéneos en términos de características individuales que eleven el riesgo de sufrir problemas de salud.</w:t>
      </w:r>
    </w:p>
    <w:p w:rsidR="00676D56" w:rsidRPr="001F2E0A" w:rsidRDefault="00676D56" w:rsidP="00550638">
      <w:pPr>
        <w:pStyle w:val="NormalWeb"/>
        <w:jc w:val="both"/>
        <w:rPr>
          <w:u w:val="single"/>
        </w:rPr>
      </w:pPr>
      <w:r w:rsidRPr="001F2E0A">
        <w:rPr>
          <w:u w:val="single"/>
        </w:rPr>
        <w:lastRenderedPageBreak/>
        <w:t>Más aún, quienes gozan de posiciones socioeconómicas más altas tienden a adoptar primero los cambios de hábitos y se muestran más dispuestos a abandonar conductas nocivas para la salud, como fumar tabaco y consumir alimentos con altos contenidos de grasas. Si se considera todo esto, las recomendaciones de cambios de conducta que promueven las autoridades sanitarias tienden a exacerbar las desigualdades de la salud, al menos temporalmente.</w:t>
      </w:r>
    </w:p>
    <w:p w:rsidR="00676D56" w:rsidRPr="001F2E0A" w:rsidRDefault="00676D56" w:rsidP="00550638">
      <w:pPr>
        <w:pStyle w:val="NormalWeb"/>
        <w:jc w:val="both"/>
        <w:rPr>
          <w:u w:val="single"/>
        </w:rPr>
      </w:pPr>
      <w:r w:rsidRPr="001F2E0A">
        <w:rPr>
          <w:u w:val="single"/>
        </w:rPr>
        <w:t>En muchos de los estados de bienestar de Europa Occidental existen importantes disparidades en el tabaquismo, la práctica de ejercicio físico, la alimentación y el consumo de alcohol. El sistema de bienestar, creado para combatir la pobreza, ha tenido menos eficacia contra las llamadas “enfermedades de la riqueza” como las cardiopatías y el cáncer de pulmón.</w:t>
      </w:r>
    </w:p>
    <w:p w:rsidR="00676D56" w:rsidRPr="001F2E0A" w:rsidRDefault="00676D56" w:rsidP="00550638">
      <w:pPr>
        <w:pStyle w:val="NormalWeb"/>
        <w:jc w:val="both"/>
        <w:rPr>
          <w:color w:val="FF0000"/>
          <w:u w:val="single"/>
        </w:rPr>
      </w:pPr>
      <w:r w:rsidRPr="001F2E0A">
        <w:rPr>
          <w:color w:val="FF0000"/>
          <w:u w:val="single"/>
        </w:rPr>
        <w:t>Todo lo anterior recalca la necesidad de dar con soluciones creativas a disparidades que deterioran de manera injusta e innecesaria las vidas de quienes menos tienen, generan enormes costes de atención sanitaria y suponen una barrera a una mayor participación en la fuerza laboral (poniendo obstáculos en algunos países a las iniciativas para elevar la edad de jubilación.)</w:t>
      </w:r>
    </w:p>
    <w:p w:rsidR="00676D56" w:rsidRPr="001F2E0A" w:rsidRDefault="00676D56" w:rsidP="00550638">
      <w:pPr>
        <w:pStyle w:val="NormalWeb"/>
        <w:jc w:val="both"/>
        <w:rPr>
          <w:color w:val="FF0000"/>
          <w:u w:val="single"/>
        </w:rPr>
      </w:pPr>
      <w:r w:rsidRPr="001F2E0A">
        <w:rPr>
          <w:color w:val="FF0000"/>
          <w:u w:val="single"/>
        </w:rPr>
        <w:t>En las últimas décadas, las políticas sociales en la mayoría de los países de Europa Occidental se han alejado de la redistribución. Se trata de un error, ya que en el largo plazo las consecuencias de este cambio (aumento de la desigualdad de los ingresos, redes de seguridad social más débiles y menor acceso a la atención sanitaria) agravarán las desigualdades en el ámbito de la salud.</w:t>
      </w:r>
    </w:p>
    <w:p w:rsidR="00676D56" w:rsidRPr="003E435E" w:rsidRDefault="00676D56" w:rsidP="00550638">
      <w:pPr>
        <w:pStyle w:val="NormalWeb"/>
        <w:jc w:val="both"/>
        <w:rPr>
          <w:u w:val="single"/>
        </w:rPr>
      </w:pPr>
      <w:r w:rsidRPr="003E435E">
        <w:rPr>
          <w:u w:val="single"/>
        </w:rPr>
        <w:t>De hecho, para mejorar los resultados en materia de salud en los grupos socioeconómicos más bajos es crucial adoptar más y mejores políticas redistributivas que den cuenta de los efectos de la movilidad social ascendente selectiva y los diferentes ritmos de difusión del cambio conductual. El apoyo al ingreso se debería complementar con programas de salud preventiva, al tiempo que la implementación de programas de educación en el campo de la salud podría ayudar a reducir el vínculo entre bajas habilidades cognitivas y una mala salud.</w:t>
      </w:r>
    </w:p>
    <w:p w:rsidR="00676D56" w:rsidRDefault="00676D56" w:rsidP="00550638">
      <w:pPr>
        <w:pStyle w:val="NormalWeb"/>
        <w:jc w:val="both"/>
      </w:pPr>
      <w:r w:rsidRPr="003E435E">
        <w:rPr>
          <w:color w:val="FF0000"/>
          <w:u w:val="single"/>
        </w:rPr>
        <w:t>No basta con la igualdad del acceso a la atención sanitaria. Para reducir las desigualdades en los resultados en el ámbito de la salud se requiere una atención sanitaria más intensiva para los pacientes que provengan de estratos socioeconómicos bajos, diseñada para dar respuesta a sus necesidades y retos específicos</w:t>
      </w:r>
      <w:r>
        <w:t>. Por ejemplo, los ingresos por concepto de impuestos al tabaco, que afectan desproporcionadamente a los grupos de menores ingresos, se deben destinar al financiamiento de grupos de apoyo al abandono del tabaquismo que apunten a los fumadores menos favorecidos.</w:t>
      </w:r>
    </w:p>
    <w:p w:rsidR="00676D56" w:rsidRPr="003E435E" w:rsidRDefault="00676D56" w:rsidP="00550638">
      <w:pPr>
        <w:pStyle w:val="NormalWeb"/>
        <w:jc w:val="both"/>
        <w:rPr>
          <w:color w:val="FF0000"/>
          <w:u w:val="single"/>
        </w:rPr>
      </w:pPr>
      <w:r w:rsidRPr="003E435E">
        <w:rPr>
          <w:color w:val="FF0000"/>
          <w:u w:val="single"/>
        </w:rPr>
        <w:t>La importante y persistente desigualdad en el ámbito de la salud indica que, si se elevan los niveles de salud de quienes poseen menos ingresos o una menor educación, se podría avanzar muchísimo en la mejora de la salud general de la población. Hasta cierto punto, para esto serían necesarias reformas al sistema de bienestar, pero sus beneficios bien valdrían el esfuerzo.</w:t>
      </w:r>
    </w:p>
    <w:p w:rsidR="00676D56" w:rsidRDefault="00676D56" w:rsidP="00550638">
      <w:pPr>
        <w:pStyle w:val="NormalWeb"/>
        <w:jc w:val="both"/>
        <w:rPr>
          <w:lang w:val="en-US"/>
        </w:rPr>
      </w:pPr>
      <w:r>
        <w:rPr>
          <w:lang w:val="en-US"/>
        </w:rPr>
        <w:t>(</w:t>
      </w:r>
      <w:r w:rsidRPr="007D6DC0">
        <w:rPr>
          <w:lang w:val="en-US"/>
        </w:rPr>
        <w:t>Johan P. Mackenbach is Professor of Public Health and Chair of the Department of Public Health at Erasmus MC, University Medical Center Rotterdam and a member of the Royal Netherlands Academy of Ar</w:t>
      </w:r>
      <w:r>
        <w:rPr>
          <w:lang w:val="en-US"/>
        </w:rPr>
        <w:t>…)</w:t>
      </w:r>
    </w:p>
    <w:p w:rsidR="00B803DD" w:rsidRPr="00B803DD" w:rsidRDefault="00B803DD" w:rsidP="00550638">
      <w:pPr>
        <w:pStyle w:val="NormalWeb"/>
        <w:jc w:val="both"/>
        <w:rPr>
          <w:u w:val="single"/>
        </w:rPr>
      </w:pPr>
      <w:r>
        <w:rPr>
          <w:u w:val="single"/>
        </w:rPr>
        <w:lastRenderedPageBreak/>
        <w:t>La vida más larg</w:t>
      </w:r>
      <w:r w:rsidR="009F48E5">
        <w:rPr>
          <w:u w:val="single"/>
        </w:rPr>
        <w:t>a de los ricos (la salud del dinero</w:t>
      </w:r>
      <w:r w:rsidRPr="00B803DD">
        <w:rPr>
          <w:u w:val="single"/>
        </w:rPr>
        <w:t>)</w:t>
      </w:r>
    </w:p>
    <w:p w:rsidR="00676D56" w:rsidRPr="0052271D" w:rsidRDefault="00676D56" w:rsidP="00550638">
      <w:pPr>
        <w:pStyle w:val="NormalWeb"/>
        <w:jc w:val="both"/>
        <w:rPr>
          <w:color w:val="000000"/>
        </w:rPr>
      </w:pPr>
      <w:r>
        <w:rPr>
          <w:color w:val="000000"/>
        </w:rPr>
        <w:t xml:space="preserve">- </w:t>
      </w:r>
      <w:r w:rsidRPr="00983588">
        <w:rPr>
          <w:color w:val="000000"/>
          <w:u w:val="single"/>
        </w:rPr>
        <w:t>¿Por qué los ricos son más sanos?</w:t>
      </w:r>
      <w:r>
        <w:rPr>
          <w:color w:val="000000"/>
        </w:rPr>
        <w:t xml:space="preserve"> </w:t>
      </w:r>
      <w:r w:rsidRPr="0052271D">
        <w:rPr>
          <w:color w:val="000000"/>
        </w:rPr>
        <w:t xml:space="preserve">(Project Syndicate - </w:t>
      </w:r>
      <w:r w:rsidRPr="0052271D">
        <w:rPr>
          <w:b/>
          <w:color w:val="000000"/>
        </w:rPr>
        <w:t>19/6/13</w:t>
      </w:r>
      <w:r w:rsidRPr="0052271D">
        <w:rPr>
          <w:color w:val="000000"/>
        </w:rPr>
        <w:t>)</w:t>
      </w:r>
      <w:r w:rsidRPr="0052271D">
        <w:rPr>
          <w:color w:val="000000"/>
        </w:rPr>
        <w:tab/>
      </w:r>
    </w:p>
    <w:p w:rsidR="00676D56" w:rsidRPr="00B803DD" w:rsidRDefault="00676D56" w:rsidP="00550638">
      <w:pPr>
        <w:pStyle w:val="NormalWeb"/>
        <w:jc w:val="both"/>
        <w:rPr>
          <w:color w:val="000000"/>
        </w:rPr>
      </w:pPr>
      <w:r w:rsidRPr="00B803DD">
        <w:rPr>
          <w:color w:val="000000"/>
        </w:rPr>
        <w:t>(Por Clare Bambra)</w:t>
      </w:r>
      <w:r w:rsidR="00B803DD" w:rsidRPr="00B803DD">
        <w:rPr>
          <w:color w:val="000000"/>
        </w:rPr>
        <w:t xml:space="preserve">                                                                          Lectura recomendada</w:t>
      </w:r>
    </w:p>
    <w:p w:rsidR="00676D56" w:rsidRPr="001C08E3" w:rsidRDefault="00676D56" w:rsidP="00550638">
      <w:pPr>
        <w:pStyle w:val="NormalWeb"/>
        <w:jc w:val="both"/>
        <w:rPr>
          <w:color w:val="FF0000"/>
          <w:u w:val="single"/>
        </w:rPr>
      </w:pPr>
      <w:r w:rsidRPr="00983588">
        <w:rPr>
          <w:color w:val="000000"/>
        </w:rPr>
        <w:t>D</w:t>
      </w:r>
      <w:r w:rsidR="00B803DD">
        <w:rPr>
          <w:color w:val="000000"/>
        </w:rPr>
        <w:t xml:space="preserve">urham.- </w:t>
      </w:r>
      <w:r w:rsidRPr="001C08E3">
        <w:rPr>
          <w:color w:val="FF0000"/>
          <w:u w:val="single"/>
        </w:rPr>
        <w:t>En 1842, el reformista social inglés Edwin Chadwick documentó la existencia de una discrepancia de 30 años entre la expectativa de vida de los hombres de las clases sociales más pobres y la de las clases altas. En la actualidad, los habitantes de las áreas más prósperas del Reino Unido, como Kensington y Chelsea, tienen una expectativa de vida 14 años mayor que los habitantes de las ciudades más pobres, como Glasgow.</w:t>
      </w:r>
    </w:p>
    <w:p w:rsidR="00676D56" w:rsidRPr="001C08E3" w:rsidRDefault="00676D56" w:rsidP="00550638">
      <w:pPr>
        <w:pStyle w:val="NormalWeb"/>
        <w:jc w:val="both"/>
        <w:rPr>
          <w:color w:val="FF0000"/>
          <w:u w:val="single"/>
        </w:rPr>
      </w:pPr>
      <w:r w:rsidRPr="001C08E3">
        <w:rPr>
          <w:color w:val="FF0000"/>
          <w:u w:val="single"/>
        </w:rPr>
        <w:t>Desigualdades como estas existen, en mayor o menor medida, en todos los países desarrollados. En Estados Unidos, con su sistema neoliberal, la situación de los más pobres es especialmente mala: en algunas ciudades estadounidenses (por ejemplo, Nueva Orleans), la diferencia de expectativa de vida alcanza los 25 años.</w:t>
      </w:r>
    </w:p>
    <w:p w:rsidR="00676D56" w:rsidRPr="001C08E3" w:rsidRDefault="00676D56" w:rsidP="00550638">
      <w:pPr>
        <w:pStyle w:val="NormalWeb"/>
        <w:jc w:val="both"/>
        <w:rPr>
          <w:color w:val="000000"/>
          <w:u w:val="single"/>
        </w:rPr>
      </w:pPr>
      <w:r w:rsidRPr="00983588">
        <w:rPr>
          <w:color w:val="000000"/>
        </w:rPr>
        <w:t xml:space="preserve">Comprender y reducir estas desigualdades sanitarias es todavía uno de los principales desafíos a los que se enfrentan en todo el mundo los encargados de definir políticas públicas. </w:t>
      </w:r>
      <w:r w:rsidRPr="001C08E3">
        <w:rPr>
          <w:color w:val="000000"/>
          <w:u w:val="single"/>
        </w:rPr>
        <w:t>Y no se trata solamente de una cuestión moral, ya que este tipo de desigualdades conlleva importantes costos económicos. Pero sus causas son complejas y muy debatidas, mientras que las soluciones son difíciles de hallar.</w:t>
      </w:r>
    </w:p>
    <w:p w:rsidR="00676D56" w:rsidRPr="001C08E3" w:rsidRDefault="00676D56" w:rsidP="00550638">
      <w:pPr>
        <w:pStyle w:val="NormalWeb"/>
        <w:jc w:val="both"/>
        <w:rPr>
          <w:color w:val="000000"/>
          <w:u w:val="single"/>
        </w:rPr>
      </w:pPr>
      <w:r w:rsidRPr="001C08E3">
        <w:rPr>
          <w:color w:val="000000"/>
          <w:u w:val="single"/>
        </w:rPr>
        <w:t>La explicación más difundida sobre las desigualdades sanitarias se basa en los determinantes sociales de la salud, esto es, en los ambientes en los que vive y trabaja la gente. Las personas pudientes tienen mejor acceso a entornos favorables a la salud, por ejemplo, escuelas bien mantenidas con una buena oferta educativa, alojamientos de alta calidad y empleo estable en sitios protegidos y seguros. Pero las personas más pobres están más expuestas a entornos insalubres, tanto más expuestas, cuanto más pobres son.</w:t>
      </w:r>
    </w:p>
    <w:p w:rsidR="00676D56" w:rsidRPr="001C08E3" w:rsidRDefault="00676D56" w:rsidP="00550638">
      <w:pPr>
        <w:pStyle w:val="NormalWeb"/>
        <w:jc w:val="both"/>
        <w:rPr>
          <w:color w:val="FF0000"/>
          <w:u w:val="single"/>
        </w:rPr>
      </w:pPr>
      <w:r w:rsidRPr="001C08E3">
        <w:rPr>
          <w:color w:val="FF0000"/>
          <w:u w:val="single"/>
        </w:rPr>
        <w:t xml:space="preserve">A partir de este marco conceptual básico se han elaborado diversas teorías, cada una de las cuales explica la cuestión en modo diferente y propone distintas estrategias para reducir las desigualdades sanitarias. Por ejemplo, </w:t>
      </w:r>
      <w:r w:rsidRPr="00C15CAC">
        <w:rPr>
          <w:color w:val="FF0000"/>
          <w:u w:val="single"/>
        </w:rPr>
        <w:t>el enfoque “cultural-conductista”</w:t>
      </w:r>
      <w:r w:rsidRPr="001C08E3">
        <w:rPr>
          <w:color w:val="FF0000"/>
          <w:u w:val="single"/>
        </w:rPr>
        <w:t xml:space="preserve"> explica estas desigualdades sobre la base de diferencias en los comportamientos individuales y asegura que los pobres tienen más problemas de salud porque son más propensos a fumar, beber alcohol y comer alimentos menos saludables. Lógicamente, este punto de vista favorece el empleo de intervenciones tales como programas de educación sanitaria o servicios de ayuda para dejar de fumar dirigidos a sectores específicos.</w:t>
      </w:r>
    </w:p>
    <w:p w:rsidR="00676D56" w:rsidRPr="001C08E3" w:rsidRDefault="00676D56" w:rsidP="00550638">
      <w:pPr>
        <w:pStyle w:val="NormalWeb"/>
        <w:jc w:val="both"/>
        <w:rPr>
          <w:color w:val="FF0000"/>
          <w:u w:val="single"/>
        </w:rPr>
      </w:pPr>
      <w:r w:rsidRPr="006964D5">
        <w:rPr>
          <w:color w:val="FF0000"/>
          <w:u w:val="single"/>
        </w:rPr>
        <w:t>El enfoque “materialista”</w:t>
      </w:r>
      <w:r w:rsidRPr="001C08E3">
        <w:rPr>
          <w:color w:val="FF0000"/>
          <w:u w:val="single"/>
        </w:rPr>
        <w:t xml:space="preserve"> se basa en una visión más amplia y sostiene que, básicamente, la gente más adinerada es capaz de adquirir una salud mejor porque tiene acceso a educación, atención médica y servicios sociales de mejor calidad. En consecuencia, los países que quieran reducir las desigualdades sanitarias deberían elevar el ingreso mínimo de sus ciudadanos más pobres y garantizar el acceso universal a los servicios públicos.</w:t>
      </w:r>
    </w:p>
    <w:p w:rsidR="00676D56" w:rsidRPr="001C08E3" w:rsidRDefault="00676D56" w:rsidP="00550638">
      <w:pPr>
        <w:pStyle w:val="NormalWeb"/>
        <w:jc w:val="both"/>
        <w:rPr>
          <w:color w:val="FF0000"/>
          <w:u w:val="single"/>
        </w:rPr>
      </w:pPr>
      <w:r w:rsidRPr="001C08E3">
        <w:rPr>
          <w:color w:val="FF0000"/>
          <w:u w:val="single"/>
        </w:rPr>
        <w:t xml:space="preserve">Por su parte, </w:t>
      </w:r>
      <w:r w:rsidRPr="006964D5">
        <w:rPr>
          <w:color w:val="FF0000"/>
          <w:u w:val="single"/>
        </w:rPr>
        <w:t>las teorías</w:t>
      </w:r>
      <w:r w:rsidRPr="001C08E3">
        <w:rPr>
          <w:b/>
          <w:color w:val="FF0000"/>
          <w:u w:val="single"/>
        </w:rPr>
        <w:t xml:space="preserve"> </w:t>
      </w:r>
      <w:r w:rsidRPr="006964D5">
        <w:rPr>
          <w:color w:val="FF0000"/>
          <w:u w:val="single"/>
        </w:rPr>
        <w:t>“psicosociales”</w:t>
      </w:r>
      <w:r w:rsidRPr="001C08E3">
        <w:rPr>
          <w:color w:val="FF0000"/>
          <w:u w:val="single"/>
        </w:rPr>
        <w:t xml:space="preserve"> ponen el acento en la experiencia psicológica de la desigualdad, esto es, en los sentimientos de inferioridad o superioridad derivados de las jerarquías sociales. Este punto de vista implica que es necesario lograr que los </w:t>
      </w:r>
      <w:r w:rsidRPr="001C08E3">
        <w:rPr>
          <w:color w:val="FF0000"/>
          <w:u w:val="single"/>
        </w:rPr>
        <w:lastRenderedPageBreak/>
        <w:t>individuos y las comunidades más pobres se sientan productivos, valorados y capaces de tomar control de sus vidas, en vez de atrapados en una posición subordinada.</w:t>
      </w:r>
    </w:p>
    <w:p w:rsidR="00676D56" w:rsidRPr="001C08E3" w:rsidRDefault="00676D56" w:rsidP="00550638">
      <w:pPr>
        <w:pStyle w:val="NormalWeb"/>
        <w:jc w:val="both"/>
        <w:rPr>
          <w:color w:val="FF0000"/>
          <w:u w:val="single"/>
        </w:rPr>
      </w:pPr>
      <w:r w:rsidRPr="001C08E3">
        <w:rPr>
          <w:color w:val="FF0000"/>
          <w:u w:val="single"/>
        </w:rPr>
        <w:t xml:space="preserve">La perspectiva de </w:t>
      </w:r>
      <w:r w:rsidRPr="006964D5">
        <w:rPr>
          <w:color w:val="FF0000"/>
          <w:u w:val="single"/>
        </w:rPr>
        <w:t>la “trayectoria vital”</w:t>
      </w:r>
      <w:r w:rsidRPr="001C08E3">
        <w:rPr>
          <w:color w:val="FF0000"/>
          <w:u w:val="single"/>
        </w:rPr>
        <w:t xml:space="preserve"> combina varias teorías y sostiene que las desigualdades sanitarias surgen de la acumulación diferencial de ventajas o desventajas sociales, psicológicas y biológicas que comienza antes del nacimiento y se prolonga a lo largo del tiempo. Los partidarios de este enfoque demandan intervenciones tempranas que coloquen a los niños en una senda saludable, combinadas con una adecuada red de seguridad social que acompañe a los ciudadanos durante toda su vida.</w:t>
      </w:r>
    </w:p>
    <w:p w:rsidR="00676D56" w:rsidRPr="001C08E3" w:rsidRDefault="00676D56" w:rsidP="00550638">
      <w:pPr>
        <w:pStyle w:val="NormalWeb"/>
        <w:jc w:val="both"/>
        <w:rPr>
          <w:color w:val="FF0000"/>
          <w:u w:val="single"/>
        </w:rPr>
      </w:pPr>
      <w:r w:rsidRPr="001C08E3">
        <w:rPr>
          <w:color w:val="FF0000"/>
          <w:u w:val="single"/>
        </w:rPr>
        <w:t xml:space="preserve">Finalmente, la visión más abarcadora, la de </w:t>
      </w:r>
      <w:r w:rsidRPr="006964D5">
        <w:rPr>
          <w:color w:val="FF0000"/>
          <w:u w:val="single"/>
        </w:rPr>
        <w:t>la escuela de “economía política”,</w:t>
      </w:r>
      <w:r w:rsidRPr="001C08E3">
        <w:rPr>
          <w:color w:val="FF0000"/>
          <w:u w:val="single"/>
        </w:rPr>
        <w:t xml:space="preserve"> sostiene que las desigualdades sanitarias resultan de la estructura jerárquica de las economías capitalistas y las consiguientes elecciones políticas respecto de la distribución de recursos. Este análisis demanda el curso de acción más radical: desarrollar un sistema económico y social que distribuya en forma más igualitaria los recursos (especialmente la riqueza y el poder).</w:t>
      </w:r>
    </w:p>
    <w:p w:rsidR="00676D56" w:rsidRPr="00983588" w:rsidRDefault="00676D56" w:rsidP="00550638">
      <w:pPr>
        <w:pStyle w:val="NormalWeb"/>
        <w:jc w:val="both"/>
        <w:rPr>
          <w:color w:val="000000"/>
        </w:rPr>
      </w:pPr>
      <w:r w:rsidRPr="00983588">
        <w:rPr>
          <w:color w:val="000000"/>
        </w:rPr>
        <w:t xml:space="preserve">Puesto que hasta cierto punto todas estas teorías cuentan con respaldo científico, puede ser </w:t>
      </w:r>
      <w:r w:rsidRPr="001C08E3">
        <w:rPr>
          <w:color w:val="000000"/>
          <w:u w:val="single"/>
        </w:rPr>
        <w:t>que a la hora de determinar qué estrategias deberían adoptar los gobiernos para reducir las desigualdades sanitarias, la política sea más importante que la ciencia.</w:t>
      </w:r>
      <w:r w:rsidRPr="00983588">
        <w:rPr>
          <w:color w:val="000000"/>
        </w:rPr>
        <w:t xml:space="preserve"> Después de todo, algunas de las soluciones posibles son políticamente más viable</w:t>
      </w:r>
      <w:r>
        <w:rPr>
          <w:color w:val="000000"/>
        </w:rPr>
        <w:t>s en un sistema dado que otras.</w:t>
      </w:r>
    </w:p>
    <w:p w:rsidR="00676D56" w:rsidRPr="00983588" w:rsidRDefault="00676D56" w:rsidP="00550638">
      <w:pPr>
        <w:pStyle w:val="NormalWeb"/>
        <w:jc w:val="both"/>
        <w:rPr>
          <w:color w:val="000000"/>
        </w:rPr>
      </w:pPr>
      <w:r w:rsidRPr="001C08E3">
        <w:rPr>
          <w:color w:val="000000"/>
          <w:u w:val="single"/>
        </w:rPr>
        <w:t>Por ejemplo, las intervenciones cuyo objetivo es cambiar los comportamientos individuales representan un desafío mucho menor para las estructuras de poder predominantes que otras iniciativas que demandan cuantiosas inversiones sociales o la revitalización de todo el sistema</w:t>
      </w:r>
      <w:r w:rsidRPr="00983588">
        <w:rPr>
          <w:color w:val="000000"/>
        </w:rPr>
        <w:t xml:space="preserve">. Por eso, los gobiernos interesados en reducir la brecha sanitaria (como el del Partido Laborista en Gran Bretaña entre 1997 y 2010) suelen decantarse por adoptar ese tipo de intervenciones (relativamente más fáciles de implementar) que apuntan más </w:t>
      </w:r>
      <w:r>
        <w:rPr>
          <w:color w:val="000000"/>
        </w:rPr>
        <w:t>a los efectos que a las causas.</w:t>
      </w:r>
    </w:p>
    <w:p w:rsidR="00676D56" w:rsidRPr="001C08E3" w:rsidRDefault="00676D56" w:rsidP="00550638">
      <w:pPr>
        <w:pStyle w:val="NormalWeb"/>
        <w:jc w:val="both"/>
        <w:rPr>
          <w:color w:val="000000"/>
          <w:u w:val="single"/>
        </w:rPr>
      </w:pPr>
      <w:r w:rsidRPr="001C08E3">
        <w:rPr>
          <w:color w:val="000000"/>
          <w:u w:val="single"/>
        </w:rPr>
        <w:t>Pero está demostrado que esta forma de reducir las desigualdades sanitarias es de eficacia limitada, y por eso casi nadie duda de la necesidad de emplear medidas más integrales. De hecho, la mayor parte de las mejoras sanitarias obtenidas a lo largo de los siglos XIX y XX se lograron mediante reformas económicas, políticas y sociales a gran escala.</w:t>
      </w:r>
    </w:p>
    <w:p w:rsidR="00676D56" w:rsidRPr="001C08E3" w:rsidRDefault="00676D56" w:rsidP="00550638">
      <w:pPr>
        <w:pStyle w:val="NormalWeb"/>
        <w:jc w:val="both"/>
        <w:rPr>
          <w:color w:val="FF0000"/>
          <w:u w:val="single"/>
        </w:rPr>
      </w:pPr>
      <w:r w:rsidRPr="001C08E3">
        <w:rPr>
          <w:color w:val="FF0000"/>
          <w:u w:val="single"/>
        </w:rPr>
        <w:t>En definitiva, las sociedades más igualitarias también son más saludables. Aunque incluso los países desarrollados más igualitarios tienen disparidades en materia de salud, todos sus ciudadanos gozan de mejores condiciones y viven más tiempo</w:t>
      </w:r>
      <w:r w:rsidRPr="00983588">
        <w:rPr>
          <w:color w:val="000000"/>
        </w:rPr>
        <w:t xml:space="preserve">. En países socialdemócratas como Suecia y Noruega, los grupos más pobres y vulnerables son mucho más saludables y viven más que sus homólogos en países neoliberales como el Reino Unido o Estados Unidos. </w:t>
      </w:r>
      <w:r w:rsidRPr="001C08E3">
        <w:rPr>
          <w:color w:val="FF0000"/>
          <w:u w:val="single"/>
        </w:rPr>
        <w:t>Aquellos países más igualitarios también han logrado un crecimiento económico comparativamente estable e inclusivo y altos niveles de vida. De modo que juzgando la cuestión desde un punto de vista neutral, está claro que la socialdemocracia es la mejor elección para todos.</w:t>
      </w:r>
    </w:p>
    <w:p w:rsidR="00676D56" w:rsidRDefault="00676D56" w:rsidP="00550638">
      <w:pPr>
        <w:pStyle w:val="NormalWeb"/>
        <w:jc w:val="both"/>
        <w:rPr>
          <w:color w:val="000000"/>
          <w:lang w:val="en-US"/>
        </w:rPr>
      </w:pPr>
      <w:r>
        <w:rPr>
          <w:color w:val="000000"/>
          <w:lang w:val="en-US"/>
        </w:rPr>
        <w:t>(</w:t>
      </w:r>
      <w:r w:rsidRPr="00983588">
        <w:rPr>
          <w:color w:val="000000"/>
          <w:lang w:val="en-US"/>
        </w:rPr>
        <w:t xml:space="preserve">Clare Bambra, Professor of Public Health Policy and Director of the Wolfson Research Institute for Health and Wellbeing at Durham University, United Kingdom, is the author of </w:t>
      </w:r>
      <w:r w:rsidRPr="00983588">
        <w:rPr>
          <w:i/>
          <w:iCs/>
          <w:color w:val="000000"/>
          <w:lang w:val="en-US"/>
        </w:rPr>
        <w:t>Work, Worklessness,</w:t>
      </w:r>
      <w:r w:rsidRPr="00983588">
        <w:rPr>
          <w:color w:val="000000"/>
          <w:lang w:val="en-US"/>
        </w:rPr>
        <w:t>…</w:t>
      </w:r>
      <w:r>
        <w:rPr>
          <w:color w:val="000000"/>
          <w:lang w:val="en-US"/>
        </w:rPr>
        <w:t>)</w:t>
      </w:r>
    </w:p>
    <w:p w:rsidR="00B803DD" w:rsidRPr="00B803DD" w:rsidRDefault="00B803DD" w:rsidP="00550638">
      <w:pPr>
        <w:pStyle w:val="NormalWeb"/>
        <w:jc w:val="both"/>
        <w:rPr>
          <w:color w:val="000000"/>
          <w:u w:val="single"/>
        </w:rPr>
      </w:pPr>
      <w:r w:rsidRPr="00B803DD">
        <w:rPr>
          <w:color w:val="000000"/>
          <w:u w:val="single"/>
        </w:rPr>
        <w:lastRenderedPageBreak/>
        <w:t>Mala ciencia y mala fama (“vivos”, de milagro)</w:t>
      </w:r>
    </w:p>
    <w:p w:rsidR="00676D56" w:rsidRDefault="00676D56" w:rsidP="00550638">
      <w:pPr>
        <w:pStyle w:val="NormalWeb"/>
        <w:jc w:val="both"/>
      </w:pPr>
      <w:r>
        <w:t xml:space="preserve">- </w:t>
      </w:r>
      <w:r w:rsidRPr="00DA1E64">
        <w:rPr>
          <w:u w:val="single"/>
        </w:rPr>
        <w:t>Las malas prácticas de las farmacéuticas, desveladas</w:t>
      </w:r>
      <w:r>
        <w:rPr>
          <w:u w:val="single"/>
        </w:rPr>
        <w:t xml:space="preserve"> </w:t>
      </w:r>
      <w:r>
        <w:t xml:space="preserve">(El Confidencial - </w:t>
      </w:r>
      <w:r w:rsidRPr="00DA1E64">
        <w:rPr>
          <w:b/>
        </w:rPr>
        <w:t>18/7/13</w:t>
      </w:r>
      <w:r>
        <w:t>)</w:t>
      </w:r>
    </w:p>
    <w:p w:rsidR="00676D56" w:rsidRDefault="00676D56" w:rsidP="00550638">
      <w:pPr>
        <w:pStyle w:val="NormalWeb"/>
        <w:jc w:val="both"/>
      </w:pPr>
      <w:r>
        <w:t>(Por Héctor G. Barnés)</w:t>
      </w:r>
      <w:r w:rsidR="00B803DD">
        <w:t xml:space="preserve">                                                                      Lectura recomendada</w:t>
      </w:r>
    </w:p>
    <w:p w:rsidR="00676D56" w:rsidRPr="00B803DD" w:rsidRDefault="00676D56" w:rsidP="00550638">
      <w:pPr>
        <w:pStyle w:val="NormalWeb"/>
        <w:shd w:val="clear" w:color="auto" w:fill="FFFFFF"/>
        <w:jc w:val="both"/>
      </w:pPr>
      <w:r w:rsidRPr="00B803DD">
        <w:rPr>
          <w:color w:val="FF0000"/>
          <w:u w:val="single"/>
        </w:rPr>
        <w:t xml:space="preserve">“La medicina está en quiebra, y creo sinceramente que si los pacientes y el público en general llegaran a </w:t>
      </w:r>
      <w:r w:rsidRPr="00B803DD">
        <w:rPr>
          <w:bCs/>
          <w:color w:val="FF0000"/>
          <w:u w:val="single"/>
        </w:rPr>
        <w:t>comprender plenamente el perjuicio que se les causa</w:t>
      </w:r>
      <w:r w:rsidR="00B803DD" w:rsidRPr="00B803DD">
        <w:rPr>
          <w:color w:val="FF0000"/>
          <w:u w:val="single"/>
        </w:rPr>
        <w:t xml:space="preserve"> -</w:t>
      </w:r>
      <w:r w:rsidRPr="00B803DD">
        <w:rPr>
          <w:color w:val="FF0000"/>
          <w:u w:val="single"/>
        </w:rPr>
        <w:t>consentido por médicos, académicos y entidades regul</w:t>
      </w:r>
      <w:r w:rsidR="00B803DD" w:rsidRPr="00B803DD">
        <w:rPr>
          <w:color w:val="FF0000"/>
          <w:u w:val="single"/>
        </w:rPr>
        <w:t>adoras-</w:t>
      </w:r>
      <w:r w:rsidRPr="00B803DD">
        <w:rPr>
          <w:color w:val="FF0000"/>
          <w:u w:val="single"/>
        </w:rPr>
        <w:t xml:space="preserve"> se indignarían”.</w:t>
      </w:r>
      <w:r w:rsidRPr="00B803DD">
        <w:t xml:space="preserve"> De esta manera tan tajante comienza el psiquiatra y periodista </w:t>
      </w:r>
      <w:r w:rsidRPr="00B803DD">
        <w:rPr>
          <w:bCs/>
          <w:color w:val="FF0000"/>
        </w:rPr>
        <w:t>Ben Goldacre</w:t>
      </w:r>
      <w:r w:rsidRPr="00B803DD">
        <w:rPr>
          <w:color w:val="FF0000"/>
        </w:rPr>
        <w:t xml:space="preserve"> su último libro, </w:t>
      </w:r>
      <w:r w:rsidRPr="00BB5AAA">
        <w:rPr>
          <w:i/>
          <w:color w:val="FF0000"/>
        </w:rPr>
        <w:t>Mala farma</w:t>
      </w:r>
      <w:r w:rsidRPr="00B803DD">
        <w:rPr>
          <w:color w:val="FF0000"/>
        </w:rPr>
        <w:t xml:space="preserve"> (Paidós Contextos)</w:t>
      </w:r>
      <w:r w:rsidRPr="00B803DD">
        <w:t>, en el que, sin caer en teorías conspirativas, denuncia las malas prácticas que la industria farmacéutica lleva a cabo y expone con profusión de datos en qué consisten.</w:t>
      </w:r>
    </w:p>
    <w:p w:rsidR="00676D56" w:rsidRPr="00B803DD" w:rsidRDefault="00676D56" w:rsidP="00550638">
      <w:pPr>
        <w:pStyle w:val="NormalWeb"/>
        <w:shd w:val="clear" w:color="auto" w:fill="FFFFFF"/>
        <w:jc w:val="both"/>
      </w:pPr>
      <w:r w:rsidRPr="00B803DD">
        <w:t xml:space="preserve">Según explica el locuaz divulgador autor de </w:t>
      </w:r>
      <w:r w:rsidRPr="00B803DD">
        <w:rPr>
          <w:i/>
          <w:iCs/>
        </w:rPr>
        <w:t>Mala ciencia: no te dejes engañar por curanderos, charlatanes y otros farsantes</w:t>
      </w:r>
      <w:r w:rsidRPr="00B803DD">
        <w:t xml:space="preserve"> (Paidós), </w:t>
      </w:r>
      <w:r w:rsidRPr="00B803DD">
        <w:rPr>
          <w:color w:val="FF0000"/>
          <w:u w:val="single"/>
        </w:rPr>
        <w:t xml:space="preserve">los ensayos defectuosos e incompletos, las campañas de marketing exageradas y la complicidad de médicos y académicos ha provocado que el mercado de las medicinas se llene de una exagerada cantidad de productos cuyos efectos no han sido correctamente delimitados o identificados, lo que produce que no sepamos, en la mayor parte de casos, </w:t>
      </w:r>
      <w:r w:rsidRPr="00B803DD">
        <w:rPr>
          <w:bCs/>
          <w:color w:val="FF0000"/>
          <w:u w:val="single"/>
        </w:rPr>
        <w:t>cuál es el mejor tratamiento</w:t>
      </w:r>
      <w:r w:rsidRPr="00B803DD">
        <w:rPr>
          <w:color w:val="FF0000"/>
          <w:u w:val="single"/>
        </w:rPr>
        <w:t>.</w:t>
      </w:r>
      <w:r w:rsidRPr="00B803DD">
        <w:t xml:space="preserve"> Una práctica que beneficia a la industria farmacéutica y que perjudica de manera sensible al paciente. El doctor explica a El Confidencial los detalles de este preocupante sistema.</w:t>
      </w:r>
    </w:p>
    <w:p w:rsidR="00676D56" w:rsidRPr="00B803DD" w:rsidRDefault="00676D56" w:rsidP="00550638">
      <w:pPr>
        <w:pStyle w:val="NormalWeb"/>
        <w:shd w:val="clear" w:color="auto" w:fill="FFFFFF"/>
        <w:jc w:val="both"/>
      </w:pPr>
      <w:r w:rsidRPr="00B803DD">
        <w:rPr>
          <w:bCs/>
        </w:rPr>
        <w:t>Usted plantea que las farmacéuticas invierten una gran cantidad de dinero y llevan a cabo acciones que impiden que tengamos acceso a toda la información que necesitaríamos. ¿Cómo sería la medicina si dispusiésemos de esos datos?</w:t>
      </w:r>
    </w:p>
    <w:p w:rsidR="00676D56" w:rsidRPr="00B803DD" w:rsidRDefault="00676D56" w:rsidP="00550638">
      <w:pPr>
        <w:pStyle w:val="NormalWeb"/>
        <w:shd w:val="clear" w:color="auto" w:fill="FFFFFF"/>
        <w:jc w:val="both"/>
      </w:pPr>
      <w:r w:rsidRPr="00B803DD">
        <w:t xml:space="preserve">Simple y llanamente, podríamos tomar mejores decisiones sobre qué tratamientos son mejores para los pacientes. Es verdad que </w:t>
      </w:r>
      <w:r w:rsidRPr="00B803DD">
        <w:rPr>
          <w:bCs/>
        </w:rPr>
        <w:t>es muy poco común que las medicinas que llegan al mercado hagan más mal que bien</w:t>
      </w:r>
      <w:r w:rsidRPr="00B803DD">
        <w:t xml:space="preserve">. Puede ocurrir, pero no es habitual. </w:t>
      </w:r>
      <w:r w:rsidRPr="00B803DD">
        <w:rPr>
          <w:u w:val="single"/>
        </w:rPr>
        <w:t>Lo que es mucho más común es la dificultad de saber cuál de los tratamientos que hay en el mercado es el mejor.</w:t>
      </w:r>
      <w:r w:rsidRPr="00B803DD">
        <w:t xml:space="preserve"> Digamos que hay una droga que salva seis de cada cien vidas y otra que salva ocho de cada cien. ¿Cuál querrías? La que salva ocho vidas. El problema que existe en este momento es que mucha gente piensa que una medicina es mejor que otra equivocadamente por una combinación de pruebas mal diseñadas, estudios incompletos y ocultación de estudios. Resolviendo esas imperfecciones en la medicina podremos ayudar al paciente.</w:t>
      </w:r>
    </w:p>
    <w:p w:rsidR="00676D56" w:rsidRPr="00B803DD" w:rsidRDefault="00676D56" w:rsidP="00550638">
      <w:pPr>
        <w:pStyle w:val="NormalWeb"/>
        <w:shd w:val="clear" w:color="auto" w:fill="FFFFFF"/>
        <w:jc w:val="both"/>
      </w:pPr>
      <w:r w:rsidRPr="00B803DD">
        <w:rPr>
          <w:bCs/>
        </w:rPr>
        <w:t>¿Ello quiere decir que estamos curándonos a base de placebos?</w:t>
      </w:r>
    </w:p>
    <w:p w:rsidR="00676D56" w:rsidRPr="00B803DD" w:rsidRDefault="00676D56" w:rsidP="00550638">
      <w:pPr>
        <w:pStyle w:val="NormalWeb"/>
        <w:shd w:val="clear" w:color="auto" w:fill="FFFFFF"/>
        <w:jc w:val="both"/>
        <w:rPr>
          <w:u w:val="single"/>
        </w:rPr>
      </w:pPr>
      <w:r w:rsidRPr="00B803DD">
        <w:rPr>
          <w:u w:val="single"/>
        </w:rPr>
        <w:t>No, todo lo contrario. El problema es que todas estas medicinas son mejores que un placebo y que no hay suficientes investigaciones que identifiquen la utilidad de un medicamento frente a otro.</w:t>
      </w:r>
      <w:r w:rsidRPr="00B803DD">
        <w:t xml:space="preserve"> Nos hemos permitido ser poco ambiciosos sobre la perfección de estos métodos. Nos contentamos con saber que una medicina es mejor que nada, pero muchas veces, “mejor que nada” es poner el listón muy bajo. Necesitamos averiguar cuál es el fármaco que cura a seis de cada cien personas y cuál cura a ocho de cada cien personas, y necesitamos asegurarnos de que los resultados se publican y se prescriben las mejores medicinas. </w:t>
      </w:r>
      <w:r w:rsidRPr="00B803DD">
        <w:rPr>
          <w:u w:val="single"/>
        </w:rPr>
        <w:t xml:space="preserve">El problema es que </w:t>
      </w:r>
      <w:r w:rsidRPr="00B803DD">
        <w:rPr>
          <w:bCs/>
          <w:u w:val="single"/>
        </w:rPr>
        <w:t xml:space="preserve">no estamos haciendo pruebas que comparen los mejores medicamentos </w:t>
      </w:r>
      <w:r w:rsidRPr="00B803DD">
        <w:rPr>
          <w:u w:val="single"/>
        </w:rPr>
        <w:t xml:space="preserve">disponibles, y sólo nos apoyamos en los estudios </w:t>
      </w:r>
      <w:r w:rsidRPr="00B803DD">
        <w:rPr>
          <w:u w:val="single"/>
        </w:rPr>
        <w:lastRenderedPageBreak/>
        <w:t>que dicen que los medicamentos son mejores que el placebo. En segundo lugar, permitimos que los resultados de algunos estudios no lleguen a los médicos, a los pacientes y al público. Eso no es aceptable.</w:t>
      </w:r>
    </w:p>
    <w:p w:rsidR="00676D56" w:rsidRPr="00B803DD" w:rsidRDefault="00676D56" w:rsidP="00550638">
      <w:pPr>
        <w:pStyle w:val="NormalWeb"/>
        <w:shd w:val="clear" w:color="auto" w:fill="FFFFFF"/>
        <w:jc w:val="both"/>
      </w:pPr>
      <w:r w:rsidRPr="00B803DD">
        <w:rPr>
          <w:bCs/>
        </w:rPr>
        <w:t>Cuando hay una medicina que cura a seis personas y otra a ocho, hay dos personas que están muriendo. ¿Quién tiene la culpa de esas dos muertes?</w:t>
      </w:r>
    </w:p>
    <w:p w:rsidR="00676D56" w:rsidRPr="00B803DD" w:rsidRDefault="00676D56" w:rsidP="00550638">
      <w:pPr>
        <w:pStyle w:val="NormalWeb"/>
        <w:shd w:val="clear" w:color="auto" w:fill="FFFFFF"/>
        <w:jc w:val="both"/>
      </w:pPr>
      <w:r w:rsidRPr="00B803DD">
        <w:t xml:space="preserve">Es la pregunta del millón de dólares. Hay un complejo ecosistema de problemas que se retroalimentan entre sí. La gente se quita las culpas emocionalmente, pero olvida que cuando permitimos que las imperfecciones entren en el diseño de nuestros estudios, esto afecta a gente real. </w:t>
      </w:r>
      <w:r w:rsidRPr="00B803DD">
        <w:rPr>
          <w:color w:val="FF0000"/>
          <w:u w:val="single"/>
        </w:rPr>
        <w:t xml:space="preserve">Los números con los que trabajamos son mucho más que signos abstractos, ya que </w:t>
      </w:r>
      <w:r w:rsidRPr="00B803DD">
        <w:rPr>
          <w:bCs/>
          <w:color w:val="FF0000"/>
          <w:u w:val="single"/>
        </w:rPr>
        <w:t>tratan de gente real, con sangre, carne y dolores reales</w:t>
      </w:r>
      <w:r w:rsidRPr="00B803DD">
        <w:t>. Yo soy médico y cuando estás en urgencias, tienes que salvar la vida de pacientes que están al borde de la muerte, y sabes que al otro lado de la cortina está su mujer, con la que ha estado casada 50 años y que lo ama profundamente y tienes que aprender a ignorar ese sufrimiento para poder hacer tu trabajo correctamente. Pero creo que cuando das un paso atrás y ves los problemas de la industria farmacéutica, te das cuenta de que quizá deberíamos obligarnos a hacer lo contrario y recordar que esos números no son abstractos, que detrás de ellos hay dolor y muerte. Si no hacemos nuestro trabajo correctamente, esa gente morirá y quizá lo podríamos haber evitado. Cuando enseño a los estudiantes epidemiología puedo ver cómo se duermen en clase, y hay que animarlos a recordar que todos esos gráficos sirven para salvar la vida de muchos bebés.</w:t>
      </w:r>
    </w:p>
    <w:p w:rsidR="00676D56" w:rsidRPr="00B803DD" w:rsidRDefault="00676D56" w:rsidP="00550638">
      <w:pPr>
        <w:pStyle w:val="NormalWeb"/>
        <w:shd w:val="clear" w:color="auto" w:fill="FFFFFF"/>
        <w:jc w:val="both"/>
      </w:pPr>
      <w:r w:rsidRPr="00B803DD">
        <w:rPr>
          <w:bCs/>
        </w:rPr>
        <w:t xml:space="preserve">¿Significa eso que la industria farmacéutica ya no se esfuerza a la hora de diseñar nuevos productos realmente útiles? </w:t>
      </w:r>
    </w:p>
    <w:p w:rsidR="00676D56" w:rsidRPr="00B803DD" w:rsidRDefault="00676D56" w:rsidP="00550638">
      <w:pPr>
        <w:pStyle w:val="NormalWeb"/>
        <w:shd w:val="clear" w:color="auto" w:fill="FFFFFF"/>
        <w:jc w:val="both"/>
      </w:pPr>
      <w:r w:rsidRPr="00B803DD">
        <w:t xml:space="preserve">No, porque al fin y al cabo, ese es su trabajo. </w:t>
      </w:r>
      <w:r w:rsidRPr="00B803DD">
        <w:rPr>
          <w:u w:val="single"/>
        </w:rPr>
        <w:t xml:space="preserve">El problema son las imperfecciones en el sistema, que les permiten exagerar los beneficios de los medicamentos cuando se los venden a los doctores y </w:t>
      </w:r>
      <w:r w:rsidRPr="00B803DD">
        <w:rPr>
          <w:bCs/>
          <w:u w:val="single"/>
        </w:rPr>
        <w:t>ocultan las pruebas que no les favorecen</w:t>
      </w:r>
      <w:r w:rsidRPr="00B803DD">
        <w:t>. Pero al mismo tiempo trata del gran problema de cómo atraemos la atención necesaria para solucionar estas imperfecciones. Todo el m</w:t>
      </w:r>
      <w:r w:rsidR="00D44948">
        <w:t>undo se pone nervioso si dices “esta pastilla mató a un hombre”</w:t>
      </w:r>
      <w:r w:rsidRPr="00B803DD">
        <w:t>,  todo el mundo presta atención. Pero si dic</w:t>
      </w:r>
      <w:r w:rsidR="00D44948">
        <w:t>es “</w:t>
      </w:r>
      <w:r w:rsidRPr="00B803DD">
        <w:t>estas pastillas son mejores que nada, pero el sistema que hemos impuesto es muy imperfecto, por lo que no lo hacemos lo mejor que</w:t>
      </w:r>
      <w:r w:rsidR="00D44948">
        <w:t xml:space="preserve"> podemos así que la gente muere”</w:t>
      </w:r>
      <w:r w:rsidRPr="00B803DD">
        <w:t>, la gente presta menos atención. Pero las consecuencias son enormes, significativas y muy reales</w:t>
      </w:r>
      <w:r w:rsidR="00D44948">
        <w:t xml:space="preserve">. Por supuesto que es mejor que </w:t>
      </w:r>
      <w:r w:rsidRPr="00B803DD">
        <w:t>nada, pero eso no es suficiente, y la gente se lleva a engaño. Si tienes una compañía que salva seis vidas de cien, aunque la otra gane ocho, puedes dormir bien por las noches, abrazar a tus hijos y sentirte como una b</w:t>
      </w:r>
      <w:r w:rsidR="00D44948">
        <w:t>uena persona porque dices “</w:t>
      </w:r>
      <w:r w:rsidRPr="00B803DD">
        <w:t>hey, he creado una pastilla qu</w:t>
      </w:r>
      <w:r w:rsidR="00D44948">
        <w:t>e salva seis vidas de cada cien”</w:t>
      </w:r>
      <w:r w:rsidRPr="00B803DD">
        <w:t xml:space="preserve">. </w:t>
      </w:r>
    </w:p>
    <w:p w:rsidR="00676D56" w:rsidRPr="00B803DD" w:rsidRDefault="00676D56" w:rsidP="00550638">
      <w:pPr>
        <w:pStyle w:val="NormalWeb"/>
        <w:shd w:val="clear" w:color="auto" w:fill="FFFFFF"/>
        <w:jc w:val="both"/>
      </w:pPr>
      <w:r w:rsidRPr="00B803DD">
        <w:rPr>
          <w:bCs/>
        </w:rPr>
        <w:t xml:space="preserve">¿No cree que esto es producto de una fe ciega en la ciencia? La gente considera que ya que los medicamentos han pasado el test de la ciencia, son buenos, y no se plantean que quizá no sean tan útiles como parece. ¿No se encuentra esto en la raíz del problema? </w:t>
      </w:r>
    </w:p>
    <w:p w:rsidR="00676D56" w:rsidRPr="00B803DD" w:rsidRDefault="00676D56" w:rsidP="00550638">
      <w:pPr>
        <w:pStyle w:val="NormalWeb"/>
        <w:shd w:val="clear" w:color="auto" w:fill="FFFFFF"/>
        <w:jc w:val="both"/>
      </w:pPr>
      <w:r w:rsidRPr="00B803DD">
        <w:t xml:space="preserve">Diría más bien que </w:t>
      </w:r>
      <w:r w:rsidRPr="00B803DD">
        <w:rPr>
          <w:u w:val="single"/>
        </w:rPr>
        <w:t>la gente tiene una fe ciega en la cultura de las medicinas, lo que es un error.</w:t>
      </w:r>
      <w:r w:rsidRPr="00B803DD">
        <w:t xml:space="preserve"> Pero no es una fe ciega en la ciencia, porque la ciencia en sí no es un problema. </w:t>
      </w:r>
      <w:r w:rsidRPr="00B803DD">
        <w:rPr>
          <w:u w:val="single"/>
        </w:rPr>
        <w:t>El problema es que hemos hecho mala ciencia, de forma incompetente e imperfecta.</w:t>
      </w:r>
      <w:r w:rsidRPr="00B803DD">
        <w:t xml:space="preserve"> La academia nos permite apoyarnos demasiado en pruebas como resultados de análisis de sangre, o electrocardiogramas, en lugar de utilizar otro tipo de datos. No es un problema con la ciencia, sino con la gente que la hace. </w:t>
      </w:r>
      <w:r w:rsidRPr="00B803DD">
        <w:rPr>
          <w:u w:val="single"/>
        </w:rPr>
        <w:t xml:space="preserve">Hay gente en la industria </w:t>
      </w:r>
      <w:r w:rsidRPr="00B803DD">
        <w:rPr>
          <w:u w:val="single"/>
        </w:rPr>
        <w:lastRenderedPageBreak/>
        <w:t xml:space="preserve">que quiere tranquilizar al público y decirle que todos esos problemas se están solucionando en los despachos. Pero estamos al tanto de todos esos problemas desde 1986. </w:t>
      </w:r>
      <w:r w:rsidRPr="00B803DD">
        <w:rPr>
          <w:bCs/>
          <w:u w:val="single"/>
        </w:rPr>
        <w:t>¡Eso son 27 años y no hemos hecho nada!</w:t>
      </w:r>
      <w:r w:rsidRPr="00B803DD">
        <w:rPr>
          <w:u w:val="single"/>
        </w:rPr>
        <w:t xml:space="preserve"> Ya no tenemos el derecho de decir que lo estamos solucionando,</w:t>
      </w:r>
      <w:r w:rsidRPr="00B803DD">
        <w:t xml:space="preserve"> y estoy muy contento de que desde que se publicó el libro, se ha creado un comité del parlamento de ciencias para solucionarlo y crear una campaña, AllTrials, que ahora apoyan todos los cuerpos académicos del UK y el Medical Research Council. Incluso GlaxoSmithKline (GSK), una de las grandes compañías farmacéuticas del mundo, firmó esa campaña. </w:t>
      </w:r>
    </w:p>
    <w:p w:rsidR="00676D56" w:rsidRPr="00B803DD" w:rsidRDefault="00676D56" w:rsidP="00550638">
      <w:pPr>
        <w:pStyle w:val="NormalWeb"/>
        <w:shd w:val="clear" w:color="auto" w:fill="FFFFFF"/>
        <w:jc w:val="both"/>
        <w:rPr>
          <w:u w:val="single"/>
        </w:rPr>
      </w:pPr>
      <w:r w:rsidRPr="00B803DD">
        <w:rPr>
          <w:bCs/>
          <w:u w:val="single"/>
        </w:rPr>
        <w:t xml:space="preserve">Probablemente, es complicado para los gobiernos legislar contra los intereses de una industria tan poderosa como la farmacéutica. </w:t>
      </w:r>
    </w:p>
    <w:p w:rsidR="00676D56" w:rsidRPr="00B803DD" w:rsidRDefault="00676D56" w:rsidP="00550638">
      <w:pPr>
        <w:pStyle w:val="NormalWeb"/>
        <w:shd w:val="clear" w:color="auto" w:fill="FFFFFF"/>
        <w:jc w:val="both"/>
        <w:rPr>
          <w:u w:val="single"/>
        </w:rPr>
      </w:pPr>
      <w:r w:rsidRPr="00B803DD">
        <w:rPr>
          <w:u w:val="single"/>
        </w:rPr>
        <w:t xml:space="preserve">Sí, por supuesto. Es decepcionante pero es verdad. Mira lo que ocurrió con la Food and Drug Administration Amendments Act de 2007 en Estados Unidos, que supuestamente obligaba a que todas las pruebas realizadas después de octubre de 2008 fuesen publicadas </w:t>
      </w:r>
      <w:r w:rsidRPr="00B803DD">
        <w:rPr>
          <w:i/>
          <w:iCs/>
          <w:u w:val="single"/>
        </w:rPr>
        <w:t>online</w:t>
      </w:r>
      <w:r w:rsidRPr="00B803DD">
        <w:rPr>
          <w:u w:val="single"/>
        </w:rPr>
        <w:t xml:space="preserve">, algo que en realidad, nunca ocurrió. </w:t>
      </w:r>
      <w:r w:rsidRPr="00B803DD">
        <w:rPr>
          <w:bCs/>
          <w:u w:val="single"/>
        </w:rPr>
        <w:t>Sólo se ha publicado el 22%</w:t>
      </w:r>
      <w:r w:rsidRPr="00B803DD">
        <w:rPr>
          <w:u w:val="single"/>
        </w:rPr>
        <w:t xml:space="preserve">, y no ha habido una multa para los que no han obedecido esta orden. Es algo muy triste, pero también es culpa de la cultura de la medicina, que no es lo suficientemente ambiciosa para solucionar estos problemas. </w:t>
      </w:r>
    </w:p>
    <w:p w:rsidR="00676D56" w:rsidRPr="00B803DD" w:rsidRDefault="00676D56" w:rsidP="00550638">
      <w:pPr>
        <w:pStyle w:val="NormalWeb"/>
        <w:shd w:val="clear" w:color="auto" w:fill="FFFFFF"/>
        <w:jc w:val="both"/>
      </w:pPr>
      <w:r w:rsidRPr="00B803DD">
        <w:rPr>
          <w:bCs/>
        </w:rPr>
        <w:t>¿Qué porcentaje de culpa pertenece a los médicos, que en el libro salen bastante bien parados?</w:t>
      </w:r>
    </w:p>
    <w:p w:rsidR="00676D56" w:rsidRPr="00B803DD" w:rsidRDefault="00676D56" w:rsidP="00550638">
      <w:pPr>
        <w:pStyle w:val="NormalWeb"/>
        <w:shd w:val="clear" w:color="auto" w:fill="FFFFFF"/>
        <w:jc w:val="both"/>
        <w:rPr>
          <w:u w:val="single"/>
        </w:rPr>
      </w:pPr>
      <w:r w:rsidRPr="00B803DD">
        <w:t xml:space="preserve">Los médicos no lo han hecho muy bien en algunos casos. Por ejemplo, algunos han fallado a la hora de hacer públicos los resultados de todos los estudios, o a la hora de animar a las compañías a hacerlo. También a la hora de formarse a sí mismos, ya que se han apoyado demasiado en lo que las compañías farmacéuticas les decían. </w:t>
      </w:r>
      <w:r w:rsidRPr="00B803DD">
        <w:rPr>
          <w:u w:val="single"/>
        </w:rPr>
        <w:t xml:space="preserve">Los pacientes tienden a olvidarlo, pero </w:t>
      </w:r>
      <w:r w:rsidRPr="00B803DD">
        <w:rPr>
          <w:bCs/>
          <w:u w:val="single"/>
        </w:rPr>
        <w:t xml:space="preserve">los médicos tienen que formarse a sí mismos durante 30 </w:t>
      </w:r>
      <w:r w:rsidR="00D44948" w:rsidRPr="00B803DD">
        <w:rPr>
          <w:bCs/>
          <w:u w:val="single"/>
        </w:rPr>
        <w:t>o</w:t>
      </w:r>
      <w:r w:rsidRPr="00B803DD">
        <w:rPr>
          <w:bCs/>
          <w:u w:val="single"/>
        </w:rPr>
        <w:t xml:space="preserve"> 40 años</w:t>
      </w:r>
      <w:r w:rsidRPr="00B803DD">
        <w:rPr>
          <w:u w:val="single"/>
        </w:rPr>
        <w:t xml:space="preserve"> después de dejar la universidad. El gobierno no hace nada, tienes que actualizarte tú, y mientras tanto, hay muchos cambios ocurriendo a tu alrededor. La mayor parte del entrenamiento es realizado por la industria y orientado hacia sus intereses. La realidad es que muchos médicos no piensan en su próximo paciente, piensan en la hora del almuerzo o en lo que harán cuando lleguen a casa.</w:t>
      </w:r>
    </w:p>
    <w:p w:rsidR="00676D56" w:rsidRPr="00B803DD" w:rsidRDefault="00676D56" w:rsidP="00550638">
      <w:pPr>
        <w:pStyle w:val="NormalWeb"/>
        <w:shd w:val="clear" w:color="auto" w:fill="FFFFFF"/>
        <w:jc w:val="both"/>
      </w:pPr>
      <w:r w:rsidRPr="00B803DD">
        <w:rPr>
          <w:bCs/>
        </w:rPr>
        <w:t xml:space="preserve">¿Y la prensa, qué papel juega en ello? </w:t>
      </w:r>
    </w:p>
    <w:p w:rsidR="00676D56" w:rsidRPr="00B803DD" w:rsidRDefault="00676D56" w:rsidP="00550638">
      <w:pPr>
        <w:pStyle w:val="NormalWeb"/>
        <w:shd w:val="clear" w:color="auto" w:fill="FFFFFF"/>
        <w:jc w:val="both"/>
      </w:pPr>
      <w:r w:rsidRPr="00B803DD">
        <w:t xml:space="preserve">Es muy fácil escribir historias sobre casos particulares de drogas letales que pueden llevar a la confusión. Mi último libro, </w:t>
      </w:r>
      <w:r w:rsidRPr="00B803DD">
        <w:rPr>
          <w:i/>
          <w:iCs/>
        </w:rPr>
        <w:t>Mala ciencia</w:t>
      </w:r>
      <w:r w:rsidRPr="00B803DD">
        <w:t>, iba de eso. Creo que a menudo confunden al público con problemas que en realidad son muy pequeños y al mismo tiempo fracasan a la hora de identificar problemas mayores, como este. Es muy difícil explicar esta clase de problemas. No tienes un paciente que ha muerto de un medicamento concreto, no hay un marido llorando porque su mujer ha muerto, sino que tienes</w:t>
      </w:r>
      <w:r w:rsidRPr="00B803DD">
        <w:rPr>
          <w:bCs/>
        </w:rPr>
        <w:t xml:space="preserve"> un error que afecta a todo el sistema</w:t>
      </w:r>
      <w:r w:rsidRPr="00B803DD">
        <w:t xml:space="preserve"> y que estadísticamente afecta a toda la población. Pero, por ejemplo, los economistas escriben sobre los problemas del sistema bancario sin tener que hablar de un banco en concreto.</w:t>
      </w:r>
    </w:p>
    <w:p w:rsidR="00676D56" w:rsidRPr="00B803DD" w:rsidRDefault="00676D56" w:rsidP="00550638">
      <w:pPr>
        <w:pStyle w:val="NormalWeb"/>
        <w:shd w:val="clear" w:color="auto" w:fill="FFFFFF"/>
        <w:jc w:val="both"/>
      </w:pPr>
      <w:r w:rsidRPr="00B803DD">
        <w:rPr>
          <w:bCs/>
        </w:rPr>
        <w:t>En el libro, también aborda de qué manera se realizan pruebas con las personas más pobres o en países del Tercer Mundo. ¿Son nuestras cobayas?</w:t>
      </w:r>
    </w:p>
    <w:p w:rsidR="00676D56" w:rsidRDefault="00676D56" w:rsidP="00550638">
      <w:pPr>
        <w:pStyle w:val="NormalWeb"/>
        <w:shd w:val="clear" w:color="auto" w:fill="FFFFFF"/>
        <w:jc w:val="both"/>
      </w:pPr>
      <w:r w:rsidRPr="00B803DD">
        <w:lastRenderedPageBreak/>
        <w:t>Las pruebas cada vez se llevan a cabo con más frecuencia en países en vías de desarrollo, lo que conduce a delicados dilemas éticos, puesto que probamos medicinas en</w:t>
      </w:r>
      <w:r w:rsidRPr="00B803DD">
        <w:rPr>
          <w:bCs/>
        </w:rPr>
        <w:t xml:space="preserve"> un sector de la población que nunca podrá comprarlas</w:t>
      </w:r>
      <w:r w:rsidRPr="00B803DD">
        <w:t>. Hay otro problema añadido, que es de qué manera podemos asegurar la fiabilidad de las investigaciones y los datos recogidos en países más caóticos, o con diferentes condiciones. ¿Es igual la depresión en Mumbai que en Long Beach o Barcelona? Seguramente no, y los resultados probablemente serán muy diferentes entre sí. </w:t>
      </w:r>
    </w:p>
    <w:p w:rsidR="00702472" w:rsidRPr="00702472" w:rsidRDefault="00702472" w:rsidP="00550638">
      <w:pPr>
        <w:pStyle w:val="NormalWeb"/>
        <w:shd w:val="clear" w:color="auto" w:fill="FFFFFF"/>
        <w:jc w:val="both"/>
        <w:rPr>
          <w:u w:val="single"/>
        </w:rPr>
      </w:pPr>
      <w:r w:rsidRPr="00702472">
        <w:rPr>
          <w:u w:val="single"/>
        </w:rPr>
        <w:t>Estados Unidos</w:t>
      </w:r>
      <w:r>
        <w:rPr>
          <w:u w:val="single"/>
        </w:rPr>
        <w:t xml:space="preserve">: salud para ricos y </w:t>
      </w:r>
      <w:r w:rsidRPr="00702472">
        <w:rPr>
          <w:u w:val="single"/>
        </w:rPr>
        <w:t>salud para pobres</w:t>
      </w:r>
      <w:r>
        <w:rPr>
          <w:u w:val="single"/>
        </w:rPr>
        <w:t xml:space="preserve"> (la “privatización” de la pobreza)</w:t>
      </w:r>
    </w:p>
    <w:p w:rsidR="00676D56" w:rsidRDefault="00676D56" w:rsidP="00550638">
      <w:pPr>
        <w:pStyle w:val="NormalWeb"/>
        <w:jc w:val="both"/>
      </w:pPr>
      <w:r>
        <w:t xml:space="preserve">- </w:t>
      </w:r>
      <w:r w:rsidRPr="009A0E64">
        <w:rPr>
          <w:u w:val="single"/>
        </w:rPr>
        <w:t>La divisoria de los Estados Unidos en materia de atención de salud</w:t>
      </w:r>
      <w:r>
        <w:t xml:space="preserve"> (Project Syndicate - </w:t>
      </w:r>
      <w:r w:rsidRPr="009A0E64">
        <w:rPr>
          <w:b/>
        </w:rPr>
        <w:t>30/7/13</w:t>
      </w:r>
      <w:r>
        <w:t xml:space="preserve">) </w:t>
      </w:r>
    </w:p>
    <w:p w:rsidR="00676D56" w:rsidRDefault="00676D56" w:rsidP="00550638">
      <w:pPr>
        <w:pStyle w:val="NormalWeb"/>
        <w:jc w:val="both"/>
      </w:pPr>
      <w:r>
        <w:t xml:space="preserve">(Por </w:t>
      </w:r>
      <w:r w:rsidRPr="00AC55F3">
        <w:t>J. Bradford DeLong)</w:t>
      </w:r>
      <w:r w:rsidR="00702472">
        <w:t xml:space="preserve">                                                                 Lectura recomendada</w:t>
      </w:r>
    </w:p>
    <w:p w:rsidR="00676D56" w:rsidRDefault="00702472" w:rsidP="00550638">
      <w:pPr>
        <w:pStyle w:val="NormalWeb"/>
        <w:jc w:val="both"/>
      </w:pPr>
      <w:r>
        <w:t>Berkeley.-</w:t>
      </w:r>
      <w:r w:rsidR="00676D56">
        <w:t xml:space="preserve"> En 1883, el autoritario gobierno imperial del príncipe Otto von Bismark, a quien se debe esta famosa declaración: “Las grandes cuestiones de nuestro tiempo no se decidirán con discursos y votaciones mayoritarias (...) sino con sangre y hierro”, creó el seguro nacional de salud para Alemania.</w:t>
      </w:r>
    </w:p>
    <w:p w:rsidR="00676D56" w:rsidRPr="00F766B0" w:rsidRDefault="00676D56" w:rsidP="00550638">
      <w:pPr>
        <w:pStyle w:val="NormalWeb"/>
        <w:jc w:val="both"/>
        <w:rPr>
          <w:color w:val="FF0000"/>
          <w:u w:val="single"/>
        </w:rPr>
      </w:pPr>
      <w:r w:rsidRPr="00F766B0">
        <w:rPr>
          <w:color w:val="FF0000"/>
          <w:u w:val="single"/>
        </w:rPr>
        <w:t>La razón para la existencia de un seguro nacional de salud está tan clara ahora como lo estaba para Bismark hace</w:t>
      </w:r>
      <w:r w:rsidR="00A90837">
        <w:rPr>
          <w:color w:val="FF0000"/>
          <w:u w:val="single"/>
        </w:rPr>
        <w:t xml:space="preserve"> 130 años. El éxito de un país -</w:t>
      </w:r>
      <w:r w:rsidRPr="00F766B0">
        <w:rPr>
          <w:color w:val="FF0000"/>
          <w:u w:val="single"/>
        </w:rPr>
        <w:t>ya se calibre con la gloria de sus káiseres, la ampliación de su territorio, la seguridad de sus fronteras</w:t>
      </w:r>
      <w:r w:rsidR="00A90837">
        <w:rPr>
          <w:color w:val="FF0000"/>
          <w:u w:val="single"/>
        </w:rPr>
        <w:t xml:space="preserve"> o el bienestar de su población-</w:t>
      </w:r>
      <w:r w:rsidRPr="00F766B0">
        <w:rPr>
          <w:color w:val="FF0000"/>
          <w:u w:val="single"/>
        </w:rPr>
        <w:t xml:space="preserve"> estriba en la salud de sus ciudadanos.</w:t>
      </w:r>
    </w:p>
    <w:p w:rsidR="00676D56" w:rsidRDefault="00676D56" w:rsidP="00550638">
      <w:pPr>
        <w:pStyle w:val="NormalWeb"/>
        <w:jc w:val="both"/>
      </w:pPr>
      <w:r>
        <w:t>Las enfermedades graves pueden afectar a cualquiera y las personas gravemente enfermas, por lo general, no ganan mucho dinero. Cuanto más se tarde en tratar a las personas gravemente enfermas, más costosos llegarán a ser su tratamiento y su mantenimiento posteriores.</w:t>
      </w:r>
    </w:p>
    <w:p w:rsidR="00676D56" w:rsidRPr="00F766B0" w:rsidRDefault="00676D56" w:rsidP="00550638">
      <w:pPr>
        <w:pStyle w:val="NormalWeb"/>
        <w:jc w:val="both"/>
        <w:rPr>
          <w:color w:val="FF0000"/>
          <w:u w:val="single"/>
        </w:rPr>
      </w:pPr>
      <w:r w:rsidRPr="00F766B0">
        <w:rPr>
          <w:color w:val="FF0000"/>
          <w:u w:val="single"/>
        </w:rPr>
        <w:t>Por lo general, los ahorros privados pueden pagar los costos del tratamiento sólo en el caso de las personas ahorrativas y de las adineradas. Así, pues, a no ser que adoptemos la opinión de que quienes no tienen ahorros abundantes y caen gravemente enfermos deben morir rápidamente (y con ello disminuir el exceso de población), un país con un seguro nacional de salud será más rico y tendrá más éxito. Esos argumentos fueron enteramente convincentes para Bismark. Son igualmente convincentes actualmente.</w:t>
      </w:r>
    </w:p>
    <w:p w:rsidR="00676D56" w:rsidRDefault="00676D56" w:rsidP="00550638">
      <w:pPr>
        <w:pStyle w:val="NormalWeb"/>
        <w:jc w:val="both"/>
      </w:pPr>
      <w:r w:rsidRPr="00F766B0">
        <w:rPr>
          <w:u w:val="single"/>
        </w:rPr>
        <w:t>El 1 de enero de 2014, los Estados Uni</w:t>
      </w:r>
      <w:r w:rsidR="00702472">
        <w:rPr>
          <w:u w:val="single"/>
        </w:rPr>
        <w:t>dos aplicarán en parte una ley -</w:t>
      </w:r>
      <w:r w:rsidRPr="00F766B0">
        <w:rPr>
          <w:u w:val="single"/>
        </w:rPr>
        <w:t xml:space="preserve">la  Ley de Asistencia Sanitaria Asequible </w:t>
      </w:r>
      <w:r w:rsidR="00702472">
        <w:rPr>
          <w:u w:val="single"/>
        </w:rPr>
        <w:t>(ACA, por sus siglas en inglés)-</w:t>
      </w:r>
      <w:r w:rsidRPr="00F766B0">
        <w:rPr>
          <w:u w:val="single"/>
        </w:rPr>
        <w:t xml:space="preserve"> por la que no se creará un seguro nacional de salud, pero que, según las proyecciones de la Oficina Presupuestaria del Congreso, reducirá a la mitad el número de ciudadanos de los Estados Unidos carentes de seguro de salud</w:t>
      </w:r>
      <w:r>
        <w:t>. En 2009, el Presidente Barack Obama podría haber propuesto un programa tan amplio como el emprendido por Bismarck. Dicho programa podría haber permit</w:t>
      </w:r>
      <w:r w:rsidR="00702472">
        <w:t>ido y fomentado la posibilidad -</w:t>
      </w:r>
      <w:r>
        <w:t>y habe</w:t>
      </w:r>
      <w:r w:rsidR="00702472">
        <w:t>rle brindado carácter asequible-</w:t>
      </w:r>
      <w:r>
        <w:t xml:space="preserve"> de que los americanos carentes de seguro contaran con un seguro de salud similar al que tienen los miembros del Congreso o podría haberse limitado a ampliar el vigente sistema Medicare para las personas mayores de 65 años de edad a fin de que cubriera a todos los americanos.</w:t>
      </w:r>
    </w:p>
    <w:p w:rsidR="00676D56" w:rsidRPr="00F766B0" w:rsidRDefault="00676D56" w:rsidP="00550638">
      <w:pPr>
        <w:pStyle w:val="NormalWeb"/>
        <w:jc w:val="both"/>
        <w:rPr>
          <w:u w:val="single"/>
        </w:rPr>
      </w:pPr>
      <w:r>
        <w:lastRenderedPageBreak/>
        <w:t xml:space="preserve">En cambio, </w:t>
      </w:r>
      <w:r w:rsidRPr="00F766B0">
        <w:rPr>
          <w:u w:val="single"/>
        </w:rPr>
        <w:t>Obama aportó su influencia en pro de la complicada ACA. La razón, como se explicó en 2009, fue la de que la base de la ACA era idéntica al plan que el ex Gobernador de Massachusetts Mitt Romney había propuesto y firmado como ley en ese estado en 2006: el “ObamaCare” sería el “RomneyCare” con una nueva mano de pintura. Al ser Romney el probable candidato del Partido Republicano a las elecciones presidenciales de 2012, pocos republicanos podrían votar contra lo que había sido la iniciativa legislativa propuesta y firmada de su candidato cuando era goberna</w:t>
      </w:r>
      <w:r w:rsidR="00A90837">
        <w:rPr>
          <w:u w:val="single"/>
        </w:rPr>
        <w:t>dor. Así, el Congreso de los EE</w:t>
      </w:r>
      <w:r w:rsidRPr="00F766B0">
        <w:rPr>
          <w:u w:val="single"/>
        </w:rPr>
        <w:t>U</w:t>
      </w:r>
      <w:r w:rsidR="00A90837">
        <w:rPr>
          <w:u w:val="single"/>
        </w:rPr>
        <w:t>U</w:t>
      </w:r>
      <w:r w:rsidR="00702472">
        <w:rPr>
          <w:u w:val="single"/>
        </w:rPr>
        <w:t xml:space="preserve"> promulgaría -se suponía-</w:t>
      </w:r>
      <w:r w:rsidRPr="00F766B0">
        <w:rPr>
          <w:u w:val="single"/>
        </w:rPr>
        <w:t xml:space="preserve"> la ACA con mayorías importantes y votadas por los dos partidos y Obama demostraría que podía transcender la paralización partidaria de Washington.</w:t>
      </w:r>
    </w:p>
    <w:p w:rsidR="00676D56" w:rsidRDefault="00676D56" w:rsidP="00550638">
      <w:pPr>
        <w:pStyle w:val="NormalWeb"/>
        <w:jc w:val="both"/>
      </w:pPr>
      <w:r w:rsidRPr="00F766B0">
        <w:rPr>
          <w:u w:val="single"/>
        </w:rPr>
        <w:t>Ya sabemos cómo fue. Ni un solo republicano votó a favor de la Ley de Asistencia Sanitaria Asequible en la Cámara de Representantes</w:t>
      </w:r>
      <w:r w:rsidR="00702472">
        <w:t>. Una senadora republicana -Oympia Snowe, de Maine-</w:t>
      </w:r>
      <w:r>
        <w:t xml:space="preserve"> votó a favor de ella en comisión, pero después cambió de bando, amenazó con acabar con ella mediante el filibusterismo parlamentario y votó en contra en el debate final.</w:t>
      </w:r>
    </w:p>
    <w:p w:rsidR="00676D56" w:rsidRDefault="00676D56" w:rsidP="00550638">
      <w:pPr>
        <w:pStyle w:val="NormalWeb"/>
        <w:jc w:val="both"/>
      </w:pPr>
      <w:r w:rsidRPr="00F766B0">
        <w:rPr>
          <w:u w:val="single"/>
        </w:rPr>
        <w:t>En cuanto a Romney, se negó a reconocer parentesco alguno entre su proyecto de ley y la ACA</w:t>
      </w:r>
      <w:r>
        <w:t>, algo parecido a su negativa a reconocer detalles relativos a la participación en las Olimpiadas de 2012 de un caballo de doma que era de su propiedad.</w:t>
      </w:r>
    </w:p>
    <w:p w:rsidR="00676D56" w:rsidRPr="00F766B0" w:rsidRDefault="00676D56" w:rsidP="00550638">
      <w:pPr>
        <w:pStyle w:val="NormalWeb"/>
        <w:jc w:val="both"/>
        <w:rPr>
          <w:u w:val="single"/>
        </w:rPr>
      </w:pPr>
      <w:r w:rsidRPr="00F766B0">
        <w:rPr>
          <w:u w:val="single"/>
        </w:rPr>
        <w:t>Pero ahora se acerca el 1 de enero de 2014 y está a punto de aplicarse la Ley de Asistencia Sanitaria Asequible... pero tal vez no en todas partes. En el sur y en otras regiones controladas por los republicanos, los legisladores se han negado a contestar las preguntas de los electores sobre cómo negociar la nueva y cambiada burocracia. También han denegado los dólares federales consignados para ampliar sus programas de Medicaid en el nivel estatal y se han negado a levantar un dedo para establecer los “intercambios” que deben conceder a las personas y a las empresas pequeñas el mismo acceso al seguro de salud con los precios competitivos que los empleados de empresas grandes mediante los departamentos de prestaciones de éstas.</w:t>
      </w:r>
    </w:p>
    <w:p w:rsidR="00676D56" w:rsidRPr="00F766B0" w:rsidRDefault="00676D56" w:rsidP="00550638">
      <w:pPr>
        <w:pStyle w:val="NormalWeb"/>
        <w:jc w:val="both"/>
        <w:rPr>
          <w:u w:val="single"/>
        </w:rPr>
      </w:pPr>
      <w:r w:rsidRPr="00F766B0">
        <w:rPr>
          <w:u w:val="single"/>
        </w:rPr>
        <w:t>En los estados “azules”, controlados por los demócratas, en los que vive el 60 por c</w:t>
      </w:r>
      <w:r w:rsidR="00702472">
        <w:rPr>
          <w:u w:val="single"/>
        </w:rPr>
        <w:t>iento de la población de los EEUU</w:t>
      </w:r>
      <w:r w:rsidRPr="00F766B0">
        <w:rPr>
          <w:u w:val="single"/>
        </w:rPr>
        <w:t xml:space="preserve"> (y que representan el 70 por ciento de la renta nacional y el 80 por ciento de su riqueza), la aplicación de la ACA será probablemente la del RomneyCare en Massachusetts: un camino algo accidentado, pero con un éxito claro que nadie deseará revocar a posteriori, pero nadie sabe qué ocurrirá en los “estados rojos”, donde la infraestructura política republicana no está dispuesta a ceder.</w:t>
      </w:r>
    </w:p>
    <w:p w:rsidR="00676D56" w:rsidRDefault="00676D56" w:rsidP="00550638">
      <w:pPr>
        <w:pStyle w:val="NormalWeb"/>
        <w:jc w:val="both"/>
      </w:pPr>
      <w:r>
        <w:t>¿Qué harán los médicos y administradores de hospitales en Phoenix, Kansas City, Houston y Atlanta después de haber hablado con sus colegas de Los Ángeles, Seattle, Minneapolis, Chicago, Baltimore y Nueva York, donde los gobiernos y las estructuras estatales están intentando conseguir que la aplicación de la ACA sea un éxito? ¿Compararán las condiciones en las que trabajan? ¿A qué candidatos apoyarán con donaciones y votos en las elecciones de 2014 y 2016? ¿Qué harán las enfermeras y los pacientes a los que se hayan denegado las prestaciones de la ACA?</w:t>
      </w:r>
    </w:p>
    <w:p w:rsidR="00676D56" w:rsidRPr="00F766B0" w:rsidRDefault="00676D56" w:rsidP="00550638">
      <w:pPr>
        <w:pStyle w:val="NormalWeb"/>
        <w:jc w:val="both"/>
        <w:rPr>
          <w:u w:val="single"/>
          <w:lang w:val="en-US"/>
        </w:rPr>
      </w:pPr>
      <w:r w:rsidRPr="00F766B0">
        <w:rPr>
          <w:u w:val="single"/>
        </w:rPr>
        <w:t xml:space="preserve">El acaloramiento partidista de los Estados Unidos está a punto de intensificarse en los próximos ciclos electorales, cuando comience el juego de las acusaciones. </w:t>
      </w:r>
      <w:r w:rsidRPr="00F766B0">
        <w:rPr>
          <w:u w:val="single"/>
          <w:lang w:val="en-US"/>
        </w:rPr>
        <w:t>Bismarck habría sabido de quién era la culpa.</w:t>
      </w:r>
    </w:p>
    <w:p w:rsidR="00676D56" w:rsidRDefault="00676D56" w:rsidP="00550638">
      <w:pPr>
        <w:pStyle w:val="NormalWeb"/>
        <w:jc w:val="both"/>
      </w:pPr>
      <w:r>
        <w:rPr>
          <w:lang w:val="en-US"/>
        </w:rPr>
        <w:lastRenderedPageBreak/>
        <w:t>(</w:t>
      </w:r>
      <w:r w:rsidRPr="009A0E64">
        <w:rPr>
          <w:lang w:val="en-US"/>
        </w:rPr>
        <w:t xml:space="preserve">J. Bradford DeLong is Professor of Economics at the University of California at Berkeley and a research associate at the National Bureau for Economic Research. </w:t>
      </w:r>
      <w:r w:rsidRPr="00A61C2D">
        <w:t>He was Deputy Assistant US Treasury S…)</w:t>
      </w:r>
    </w:p>
    <w:p w:rsidR="00571F71" w:rsidRPr="00571F71" w:rsidRDefault="00571F71" w:rsidP="00550638">
      <w:pPr>
        <w:pStyle w:val="Epgrafe1"/>
        <w:jc w:val="both"/>
        <w:rPr>
          <w:color w:val="000000"/>
          <w:u w:val="single"/>
        </w:rPr>
      </w:pPr>
      <w:r w:rsidRPr="00571F71">
        <w:rPr>
          <w:u w:val="single"/>
        </w:rPr>
        <w:t xml:space="preserve">Arranca el Obamacare: </w:t>
      </w:r>
      <w:r w:rsidRPr="00571F71">
        <w:rPr>
          <w:color w:val="000000"/>
          <w:u w:val="single"/>
        </w:rPr>
        <w:t>algunos estados promueven información sobre el nuevo sistema, otros no tanto</w:t>
      </w:r>
    </w:p>
    <w:p w:rsidR="00571F71" w:rsidRPr="00571F71" w:rsidRDefault="00571F71" w:rsidP="00550638">
      <w:pPr>
        <w:pStyle w:val="ingress"/>
        <w:jc w:val="both"/>
        <w:rPr>
          <w:b w:val="0"/>
          <w:i/>
        </w:rPr>
      </w:pPr>
      <w:r>
        <w:rPr>
          <w:b w:val="0"/>
          <w:i/>
        </w:rPr>
        <w:t>“</w:t>
      </w:r>
      <w:r w:rsidR="00787AC5" w:rsidRPr="00571F71">
        <w:rPr>
          <w:b w:val="0"/>
          <w:i/>
        </w:rPr>
        <w:t xml:space="preserve">Es irónico que el mismo día que el gobierno federal estadounidense </w:t>
      </w:r>
      <w:r w:rsidRPr="00571F71">
        <w:rPr>
          <w:b w:val="0"/>
          <w:i/>
        </w:rPr>
        <w:t>tuviera</w:t>
      </w:r>
      <w:r w:rsidR="00787AC5" w:rsidRPr="00571F71">
        <w:rPr>
          <w:b w:val="0"/>
          <w:i/>
        </w:rPr>
        <w:t xml:space="preserve"> que cerrar algunas dependencias por falta de fondos, haya entrado en vigencia la parte clave de la reforma de</w:t>
      </w:r>
      <w:r w:rsidRPr="00571F71">
        <w:rPr>
          <w:b w:val="0"/>
          <w:i/>
        </w:rPr>
        <w:t>l sistema de salud, el llamado “Obamacare”</w:t>
      </w:r>
      <w:r w:rsidR="00787AC5" w:rsidRPr="00571F71">
        <w:rPr>
          <w:b w:val="0"/>
          <w:i/>
        </w:rPr>
        <w:t>, que era justo lo que los republicanos querían evitar con el pulso parlamentario que mantuvieron con los demócratas en torno al presupuesto</w:t>
      </w:r>
      <w:r>
        <w:rPr>
          <w:b w:val="0"/>
          <w:i/>
        </w:rPr>
        <w:t xml:space="preserve">… </w:t>
      </w:r>
      <w:r>
        <w:rPr>
          <w:b w:val="0"/>
          <w:color w:val="000000"/>
          <w:u w:val="single"/>
        </w:rPr>
        <w:t>EEUU</w:t>
      </w:r>
      <w:r w:rsidRPr="00677E04">
        <w:rPr>
          <w:b w:val="0"/>
          <w:color w:val="000000"/>
          <w:u w:val="single"/>
        </w:rPr>
        <w:t>: cierra el gobierno, nace el nuevo sistema de salud</w:t>
      </w:r>
      <w:r>
        <w:rPr>
          <w:b w:val="0"/>
          <w:color w:val="000000"/>
        </w:rPr>
        <w:t xml:space="preserve"> (BBCMundo - </w:t>
      </w:r>
      <w:r w:rsidRPr="00677E04">
        <w:rPr>
          <w:color w:val="000000"/>
        </w:rPr>
        <w:t>2/10/13</w:t>
      </w:r>
      <w:r>
        <w:rPr>
          <w:b w:val="0"/>
          <w:color w:val="000000"/>
        </w:rPr>
        <w:t>)</w:t>
      </w:r>
    </w:p>
    <w:p w:rsidR="00787AC5" w:rsidRPr="00571F71" w:rsidRDefault="00787AC5" w:rsidP="00550638">
      <w:pPr>
        <w:pStyle w:val="NormalWeb"/>
        <w:jc w:val="both"/>
      </w:pPr>
      <w:r w:rsidRPr="00571F71">
        <w:t>La mayor ampliación de un programa social federal desde que en 1965 se creara el Medicaid, para dar cobertura médica a lo más pobres, compartió la atención informativa con la suerte de casi un millón de empleados que quedaron automáticamente sin sueldo.</w:t>
      </w:r>
    </w:p>
    <w:p w:rsidR="00787AC5" w:rsidRPr="00571F71" w:rsidRDefault="00787AC5" w:rsidP="00550638">
      <w:pPr>
        <w:pStyle w:val="NormalWeb"/>
        <w:jc w:val="both"/>
      </w:pPr>
      <w:r w:rsidRPr="00571F71">
        <w:t>El pulso político sigue, con el gobierno cerrado pero con Obamacare funcionando, porque no depende de presupuestos anuales.</w:t>
      </w:r>
    </w:p>
    <w:p w:rsidR="00787AC5" w:rsidRPr="00571F71" w:rsidRDefault="00787AC5" w:rsidP="00550638">
      <w:pPr>
        <w:pStyle w:val="NormalWeb"/>
        <w:jc w:val="both"/>
      </w:pPr>
      <w:r w:rsidRPr="00571F71">
        <w:t>Como el resto del sistema de atención médica para retirados y los más pobres (Medicare y Medicaid), es un derecho adquirido y por tanto goza obligatoriamente de las asignaciones de fondos necesarias, al igual que pasa con la Seguridad Social.</w:t>
      </w:r>
    </w:p>
    <w:p w:rsidR="00787AC5" w:rsidRPr="00571F71" w:rsidRDefault="00787AC5" w:rsidP="00550638">
      <w:pPr>
        <w:pStyle w:val="NormalWeb"/>
        <w:jc w:val="both"/>
      </w:pPr>
      <w:r w:rsidRPr="00571F71">
        <w:t>Eso hace difícil de comprender para muchos por qué la bancada republicana se empeñó en bloquear el presupuesto federal y forzar un cierre del gobierno por primera vez en 17 años.</w:t>
      </w:r>
    </w:p>
    <w:p w:rsidR="00787AC5" w:rsidRPr="00571F71" w:rsidRDefault="00571F71" w:rsidP="00550638">
      <w:pPr>
        <w:pStyle w:val="NormalWeb"/>
        <w:jc w:val="both"/>
      </w:pPr>
      <w:r w:rsidRPr="00571F71">
        <w:t>“</w:t>
      </w:r>
      <w:r w:rsidR="00787AC5" w:rsidRPr="00571F71">
        <w:t xml:space="preserve">Este cierre no es sobre déficits. No es sobre presupuestos. Este cierre es acerca de revertir nuestros esfuerzos por proveer seguros de salud a personas que no lo tienen. Todo es sobre revertir la Ley </w:t>
      </w:r>
      <w:r w:rsidRPr="00571F71">
        <w:t xml:space="preserve">de Cuidados de Salud Accesibles”, dijo </w:t>
      </w:r>
      <w:r w:rsidR="00787AC5" w:rsidRPr="00571F71">
        <w:t>el presidente Barack Obama en la Casa Blanca usando el nombre oficial de lo que se considera es su mayor legado hasta ahora.</w:t>
      </w:r>
    </w:p>
    <w:p w:rsidR="00787AC5" w:rsidRPr="00571F71" w:rsidRDefault="00787AC5" w:rsidP="00550638">
      <w:pPr>
        <w:pStyle w:val="NormalWeb"/>
        <w:jc w:val="both"/>
      </w:pPr>
      <w:r w:rsidRPr="00571F71">
        <w:t>La ley fue firmada en marzo de 2010 por Obama luego de que fuera aprobada por la mayoría demócrata que había entonces en ambas cámaras del Congreso.</w:t>
      </w:r>
    </w:p>
    <w:p w:rsidR="00787AC5" w:rsidRPr="00571F71" w:rsidRDefault="00787AC5" w:rsidP="00550638">
      <w:pPr>
        <w:pStyle w:val="NormalWeb"/>
        <w:jc w:val="both"/>
      </w:pPr>
      <w:r w:rsidRPr="00571F71">
        <w:t>Desde entonces diferentes provisiones han ido entrando en vigor y, como estaba previsto, el martes 1 de octubre de 2013 empezó a regir lo que se</w:t>
      </w:r>
      <w:r w:rsidR="00571F71" w:rsidRPr="00571F71">
        <w:t xml:space="preserve"> considera su parte clave: las “bolsas de seguros de salud”</w:t>
      </w:r>
      <w:r w:rsidRPr="00571F71">
        <w:t xml:space="preserve"> con las que se espera que unas 30 millones de personas actualmente sin seguro puedan adquirir pólizas a precios menores, o en algunos casos subsidiadas, sin las limitaciones de cobertura o edad que solía haber.</w:t>
      </w:r>
    </w:p>
    <w:p w:rsidR="00787AC5" w:rsidRPr="009F48E5" w:rsidRDefault="00787AC5" w:rsidP="00550638">
      <w:pPr>
        <w:pStyle w:val="NormalWeb"/>
        <w:jc w:val="both"/>
      </w:pPr>
      <w:r w:rsidRPr="00571F71">
        <w:t>La clave del éxito de las nuevas bolsas de seguros dependerá de cuánta gente logre atraer, sobre todo adultos jóvenes que suelen no adquirir pólizas por considerarse sanos</w:t>
      </w:r>
      <w:r w:rsidRPr="00571F71">
        <w:rPr>
          <w:u w:val="single"/>
        </w:rPr>
        <w:t xml:space="preserve"> </w:t>
      </w:r>
      <w:r w:rsidRPr="009F48E5">
        <w:t>y es justamente el sector social en el que se concentra el esfuerzo promocional del gobierno en el semestre de enrolamiento.</w:t>
      </w:r>
    </w:p>
    <w:p w:rsidR="00787AC5" w:rsidRPr="009F48E5" w:rsidRDefault="00787AC5" w:rsidP="00550638">
      <w:pPr>
        <w:pStyle w:val="NormalWeb"/>
        <w:jc w:val="both"/>
      </w:pPr>
      <w:r w:rsidRPr="009F48E5">
        <w:lastRenderedPageBreak/>
        <w:t xml:space="preserve">La Oficina de </w:t>
      </w:r>
      <w:r w:rsidR="00571F71" w:rsidRPr="009F48E5">
        <w:t>Presupuestos del Congreso de EEUU</w:t>
      </w:r>
      <w:r w:rsidRPr="009F48E5">
        <w:t xml:space="preserve"> estima que en la fase inicial del sistema de bolsas, hasta marzo de 2014, unos 7 millones de personas contrataran coberturas y que para 2016 lo harán unas 25 millones más.</w:t>
      </w:r>
    </w:p>
    <w:p w:rsidR="00787AC5" w:rsidRPr="009F48E5" w:rsidRDefault="00787AC5" w:rsidP="00550638">
      <w:pPr>
        <w:pStyle w:val="NormalWeb"/>
        <w:jc w:val="both"/>
      </w:pPr>
      <w:r w:rsidRPr="009F48E5">
        <w:t>Para marzo de 2014 todo el que pueda adquirir un seguro de salud deberá tenerlo, en caso contrario, tendrá que pagar una multa.</w:t>
      </w:r>
    </w:p>
    <w:p w:rsidR="00787AC5" w:rsidRPr="00571F71" w:rsidRDefault="00571F71" w:rsidP="00550638">
      <w:pPr>
        <w:pStyle w:val="Ttulo3"/>
        <w:spacing w:line="240" w:lineRule="auto"/>
        <w:jc w:val="both"/>
        <w:rPr>
          <w:rFonts w:ascii="Times New Roman" w:hAnsi="Times New Roman" w:cs="Times New Roman"/>
          <w:b w:val="0"/>
          <w:color w:val="000000"/>
          <w:sz w:val="24"/>
          <w:szCs w:val="24"/>
        </w:rPr>
      </w:pPr>
      <w:r w:rsidRPr="00571F71">
        <w:rPr>
          <w:rFonts w:ascii="Times New Roman" w:hAnsi="Times New Roman" w:cs="Times New Roman"/>
          <w:b w:val="0"/>
          <w:color w:val="000000"/>
          <w:sz w:val="24"/>
          <w:szCs w:val="24"/>
        </w:rPr>
        <w:t>Cifras de la salud</w:t>
      </w:r>
      <w:r w:rsidR="00787AC5" w:rsidRPr="00571F71">
        <w:rPr>
          <w:rFonts w:ascii="Times New Roman" w:hAnsi="Times New Roman" w:cs="Times New Roman"/>
          <w:color w:val="000000"/>
          <w:sz w:val="24"/>
          <w:szCs w:val="24"/>
        </w:rPr>
        <w:t xml:space="preserve">                   </w:t>
      </w:r>
    </w:p>
    <w:p w:rsidR="00787AC5" w:rsidRPr="00A917B3" w:rsidRDefault="00787AC5" w:rsidP="00550638">
      <w:pPr>
        <w:numPr>
          <w:ilvl w:val="0"/>
          <w:numId w:val="41"/>
        </w:numPr>
        <w:spacing w:before="100" w:beforeAutospacing="1" w:after="100" w:afterAutospacing="1" w:line="240" w:lineRule="auto"/>
        <w:jc w:val="both"/>
        <w:rPr>
          <w:rFonts w:ascii="Times New Roman" w:hAnsi="Times New Roman" w:cs="Times New Roman"/>
          <w:color w:val="FF0000"/>
          <w:sz w:val="24"/>
          <w:szCs w:val="24"/>
        </w:rPr>
      </w:pPr>
      <w:r w:rsidRPr="00A917B3">
        <w:rPr>
          <w:rFonts w:ascii="Times New Roman" w:hAnsi="Times New Roman" w:cs="Times New Roman"/>
          <w:color w:val="FF0000"/>
          <w:sz w:val="24"/>
          <w:szCs w:val="24"/>
        </w:rPr>
        <w:t>82,6% ciudadanos asegurados</w:t>
      </w:r>
    </w:p>
    <w:p w:rsidR="00787AC5" w:rsidRPr="00A917B3" w:rsidRDefault="00787AC5" w:rsidP="00550638">
      <w:pPr>
        <w:numPr>
          <w:ilvl w:val="0"/>
          <w:numId w:val="41"/>
        </w:numPr>
        <w:spacing w:before="100" w:beforeAutospacing="1" w:after="100" w:afterAutospacing="1" w:line="240" w:lineRule="auto"/>
        <w:jc w:val="both"/>
        <w:rPr>
          <w:rFonts w:ascii="Times New Roman" w:hAnsi="Times New Roman" w:cs="Times New Roman"/>
          <w:color w:val="FF0000"/>
          <w:sz w:val="24"/>
          <w:szCs w:val="24"/>
        </w:rPr>
      </w:pPr>
      <w:r w:rsidRPr="00A917B3">
        <w:rPr>
          <w:rFonts w:ascii="Times New Roman" w:hAnsi="Times New Roman" w:cs="Times New Roman"/>
          <w:color w:val="FF0000"/>
          <w:sz w:val="24"/>
          <w:szCs w:val="24"/>
        </w:rPr>
        <w:t>50% ciudadanos cubiertos por empresas</w:t>
      </w:r>
    </w:p>
    <w:p w:rsidR="00787AC5" w:rsidRPr="00A917B3" w:rsidRDefault="00787AC5" w:rsidP="00550638">
      <w:pPr>
        <w:numPr>
          <w:ilvl w:val="0"/>
          <w:numId w:val="41"/>
        </w:numPr>
        <w:spacing w:before="100" w:beforeAutospacing="1" w:after="100" w:afterAutospacing="1" w:line="240" w:lineRule="auto"/>
        <w:jc w:val="both"/>
        <w:rPr>
          <w:rFonts w:ascii="Times New Roman" w:hAnsi="Times New Roman" w:cs="Times New Roman"/>
          <w:color w:val="FF0000"/>
          <w:sz w:val="24"/>
          <w:szCs w:val="24"/>
        </w:rPr>
      </w:pPr>
      <w:r w:rsidRPr="00A917B3">
        <w:rPr>
          <w:rFonts w:ascii="Times New Roman" w:hAnsi="Times New Roman" w:cs="Times New Roman"/>
          <w:color w:val="FF0000"/>
          <w:sz w:val="24"/>
          <w:szCs w:val="24"/>
        </w:rPr>
        <w:t>30% cubiertos por programas oficiales</w:t>
      </w:r>
    </w:p>
    <w:p w:rsidR="00787AC5" w:rsidRPr="00A917B3" w:rsidRDefault="00787AC5" w:rsidP="00550638">
      <w:pPr>
        <w:numPr>
          <w:ilvl w:val="0"/>
          <w:numId w:val="41"/>
        </w:numPr>
        <w:spacing w:before="100" w:beforeAutospacing="1" w:after="100" w:afterAutospacing="1" w:line="240" w:lineRule="auto"/>
        <w:jc w:val="both"/>
        <w:rPr>
          <w:rFonts w:ascii="Times New Roman" w:hAnsi="Times New Roman" w:cs="Times New Roman"/>
          <w:color w:val="FF0000"/>
          <w:sz w:val="24"/>
          <w:szCs w:val="24"/>
        </w:rPr>
      </w:pPr>
      <w:r w:rsidRPr="00A917B3">
        <w:rPr>
          <w:rFonts w:ascii="Times New Roman" w:hAnsi="Times New Roman" w:cs="Times New Roman"/>
          <w:color w:val="FF0000"/>
          <w:sz w:val="24"/>
          <w:szCs w:val="24"/>
        </w:rPr>
        <w:t>17.4% sin seguros (57 millones de personas)</w:t>
      </w:r>
    </w:p>
    <w:p w:rsidR="00787AC5" w:rsidRDefault="00787AC5" w:rsidP="00550638">
      <w:pPr>
        <w:pStyle w:val="NormalWeb"/>
        <w:jc w:val="both"/>
        <w:rPr>
          <w:rStyle w:val="nfasis"/>
          <w:rFonts w:eastAsiaTheme="majorEastAsia"/>
          <w:i w:val="0"/>
          <w:color w:val="000000"/>
        </w:rPr>
      </w:pPr>
      <w:r w:rsidRPr="00571F71">
        <w:rPr>
          <w:rStyle w:val="nfasis"/>
          <w:rFonts w:eastAsiaTheme="majorEastAsia"/>
          <w:i w:val="0"/>
          <w:color w:val="000000"/>
        </w:rPr>
        <w:t>Fuente: Oficina del Censo de</w:t>
      </w:r>
      <w:r w:rsidR="00571F71">
        <w:rPr>
          <w:rStyle w:val="nfasis"/>
          <w:rFonts w:eastAsiaTheme="majorEastAsia"/>
          <w:i w:val="0"/>
          <w:color w:val="000000"/>
        </w:rPr>
        <w:t xml:space="preserve"> EEUU</w:t>
      </w:r>
    </w:p>
    <w:p w:rsidR="009F48E5" w:rsidRPr="009F48E5" w:rsidRDefault="009F48E5" w:rsidP="00550638">
      <w:pPr>
        <w:pStyle w:val="Ttulo2"/>
        <w:spacing w:line="240" w:lineRule="auto"/>
        <w:jc w:val="both"/>
        <w:rPr>
          <w:rFonts w:ascii="Times New Roman" w:hAnsi="Times New Roman" w:cs="Times New Roman"/>
          <w:b w:val="0"/>
          <w:color w:val="000000"/>
          <w:sz w:val="24"/>
          <w:szCs w:val="24"/>
        </w:rPr>
      </w:pPr>
      <w:r>
        <w:rPr>
          <w:rFonts w:ascii="Times New Roman" w:hAnsi="Times New Roman" w:cs="Times New Roman"/>
          <w:b w:val="0"/>
          <w:color w:val="000000"/>
          <w:sz w:val="24"/>
          <w:szCs w:val="24"/>
        </w:rPr>
        <w:t>Críticas republicanas</w:t>
      </w:r>
    </w:p>
    <w:p w:rsidR="00787AC5" w:rsidRPr="00677E04" w:rsidRDefault="00787AC5" w:rsidP="00550638">
      <w:pPr>
        <w:pStyle w:val="NormalWeb"/>
        <w:jc w:val="both"/>
        <w:rPr>
          <w:color w:val="000000"/>
        </w:rPr>
      </w:pPr>
      <w:r w:rsidRPr="00677E04">
        <w:rPr>
          <w:color w:val="000000"/>
        </w:rPr>
        <w:t>Desde la promulgación de la reforma, los republicanos han intentado revertirla o al menos dejarla en suspenso, unas 43 veces con diferentes iniciativas en el Congreso. Todas han fracasado.</w:t>
      </w:r>
    </w:p>
    <w:p w:rsidR="00787AC5" w:rsidRPr="00571F71" w:rsidRDefault="00787AC5" w:rsidP="00550638">
      <w:pPr>
        <w:pStyle w:val="NormalWeb"/>
        <w:jc w:val="both"/>
      </w:pPr>
      <w:r w:rsidRPr="00571F71">
        <w:t>Para los republicanos la expansión del sistema de salud equivale a la expansión del gobierno y sus controles, incluyendo la creación de nuevos impuestos, algo a lo que se oponen por principio doctrinario.</w:t>
      </w:r>
    </w:p>
    <w:p w:rsidR="00787AC5" w:rsidRPr="00571F71" w:rsidRDefault="00787AC5" w:rsidP="00550638">
      <w:pPr>
        <w:pStyle w:val="NormalWeb"/>
        <w:jc w:val="both"/>
      </w:pPr>
      <w:r w:rsidRPr="00571F71">
        <w:t>Además, aseguran que algunas previsiones de la ley implican aumento de costos para las empresas y en algunos casos debilitan la calidad del empleo, porque muchas compañías prefieren reducir sus nóminas para evitar tener que cumplir con algunos aspectos de la reforma.</w:t>
      </w:r>
    </w:p>
    <w:p w:rsidR="00787AC5" w:rsidRPr="00571F71" w:rsidRDefault="00787AC5" w:rsidP="00550638">
      <w:pPr>
        <w:pStyle w:val="NormalWeb"/>
        <w:jc w:val="both"/>
      </w:pPr>
      <w:r w:rsidRPr="00571F71">
        <w:t>En el proceso de adaptación a la nueva ley, en los últimos meses varias grandes firmas han anunciado reducciones de horas de trabajo para su personal y la eliminación de seguros de la empresa para sus empleados para no caer bajo alguno de los nuevos mandatos.</w:t>
      </w:r>
    </w:p>
    <w:p w:rsidR="00787AC5" w:rsidRPr="00571F71" w:rsidRDefault="00787AC5" w:rsidP="00550638">
      <w:pPr>
        <w:pStyle w:val="NormalWeb"/>
        <w:jc w:val="both"/>
      </w:pPr>
      <w:r w:rsidRPr="00571F71">
        <w:t>Es previsible que los trabajadores afectados acudan ahora a las bolsas de seguro para tener cobertura médica a partir del próximo 1 de enero.</w:t>
      </w:r>
    </w:p>
    <w:p w:rsidR="00787AC5" w:rsidRPr="00571F71" w:rsidRDefault="00787AC5" w:rsidP="00550638">
      <w:pPr>
        <w:pStyle w:val="NormalWeb"/>
        <w:jc w:val="both"/>
      </w:pPr>
      <w:r w:rsidRPr="00571F71">
        <w:t>Con esos argumentos, en las presidenciales de 2012, el aspirante republicano Mitt Romney hizo del rechazo a la reforma sanitaria demócrata su principal punto de camp</w:t>
      </w:r>
      <w:r w:rsidR="00571F71">
        <w:t>aña, a la que bautizó como una “</w:t>
      </w:r>
      <w:r w:rsidRPr="00571F71">
        <w:t xml:space="preserve">máquina de </w:t>
      </w:r>
      <w:r w:rsidR="00571F71">
        <w:t>destruir empleos”</w:t>
      </w:r>
      <w:r w:rsidRPr="00571F71">
        <w:t>.</w:t>
      </w:r>
    </w:p>
    <w:p w:rsidR="00787AC5" w:rsidRPr="00677E04" w:rsidRDefault="00787AC5" w:rsidP="00550638">
      <w:pPr>
        <w:pStyle w:val="NormalWeb"/>
        <w:jc w:val="both"/>
        <w:rPr>
          <w:color w:val="000000"/>
        </w:rPr>
      </w:pPr>
      <w:r w:rsidRPr="00677E04">
        <w:rPr>
          <w:color w:val="000000"/>
        </w:rPr>
        <w:t>Sin embargo, Obama fue reelegido y por eso los demócratas repiten que la ley cuenta con el respaldo del electorado, con la legítima sanción del Congreso y con el aval de la Corte Suprema, que este año determinó que era perfectamente constitucional.</w:t>
      </w:r>
    </w:p>
    <w:p w:rsidR="00787AC5" w:rsidRPr="00677E04" w:rsidRDefault="00787AC5" w:rsidP="00550638">
      <w:pPr>
        <w:pStyle w:val="NormalWeb"/>
        <w:jc w:val="both"/>
        <w:rPr>
          <w:color w:val="000000"/>
        </w:rPr>
      </w:pPr>
      <w:r w:rsidRPr="00677E04">
        <w:rPr>
          <w:color w:val="000000"/>
        </w:rPr>
        <w:t>Los demócratas se quejan de que en algunos estados con gobernadores republicanos no se ha puesto a disposición de los ciudadanos la suficiente información para que opten por el nuevo sistema.</w:t>
      </w:r>
    </w:p>
    <w:p w:rsidR="00787AC5" w:rsidRPr="00571F71" w:rsidRDefault="00787AC5" w:rsidP="00550638">
      <w:pPr>
        <w:pStyle w:val="NormalWeb"/>
        <w:jc w:val="both"/>
        <w:rPr>
          <w:color w:val="000000"/>
        </w:rPr>
      </w:pPr>
      <w:r w:rsidRPr="00571F71">
        <w:rPr>
          <w:color w:val="000000"/>
        </w:rPr>
        <w:lastRenderedPageBreak/>
        <w:t>La ley no funcionará igual en todos los estados, porque la Corte Suprema hizo opcional la participación de los estados en la expansión del plan de cobertura para los pobres, el Medicaid.</w:t>
      </w:r>
    </w:p>
    <w:p w:rsidR="00787AC5" w:rsidRPr="00571F71" w:rsidRDefault="00787AC5" w:rsidP="00550638">
      <w:pPr>
        <w:pStyle w:val="NormalWeb"/>
        <w:jc w:val="both"/>
        <w:rPr>
          <w:color w:val="000000"/>
        </w:rPr>
      </w:pPr>
      <w:r w:rsidRPr="00571F71">
        <w:rPr>
          <w:color w:val="000000"/>
        </w:rPr>
        <w:t>Solo 26 gobiernos regionales se han sumado al plan para subsidiar los seguros privados para quienes ganen hasta un 33% por encima de la línea federal de pobreza (US$</w:t>
      </w:r>
      <w:r w:rsidR="00571F71" w:rsidRPr="00571F71">
        <w:rPr>
          <w:color w:val="000000"/>
        </w:rPr>
        <w:t xml:space="preserve"> </w:t>
      </w:r>
      <w:r w:rsidRPr="00571F71">
        <w:rPr>
          <w:color w:val="000000"/>
        </w:rPr>
        <w:t>31.322 para familias de 4 personas), el resto son estados con gobiernos republicanos que se negaron a participar.</w:t>
      </w:r>
    </w:p>
    <w:p w:rsidR="00787AC5" w:rsidRPr="00677E04" w:rsidRDefault="00787AC5" w:rsidP="00550638">
      <w:pPr>
        <w:pStyle w:val="NormalWeb"/>
        <w:jc w:val="both"/>
        <w:rPr>
          <w:color w:val="000000"/>
        </w:rPr>
      </w:pPr>
      <w:r w:rsidRPr="00677E04">
        <w:rPr>
          <w:color w:val="000000"/>
        </w:rPr>
        <w:t>Para muchos, la frustración no pasa por el pulso político en torno a la ley que se vive en Washington o el cierre del gobierno, sino por las dificultades técnica</w:t>
      </w:r>
      <w:r w:rsidR="00571F71">
        <w:rPr>
          <w:color w:val="000000"/>
        </w:rPr>
        <w:t>s que experimentaron</w:t>
      </w:r>
      <w:r w:rsidRPr="00677E04">
        <w:rPr>
          <w:color w:val="000000"/>
        </w:rPr>
        <w:t xml:space="preserve"> cuando intentaron ingresar a los portales electrónicos donde pueden comprar los nuevos seguros.</w:t>
      </w:r>
    </w:p>
    <w:p w:rsidR="00787AC5" w:rsidRPr="00677E04" w:rsidRDefault="00787AC5" w:rsidP="00550638">
      <w:pPr>
        <w:pStyle w:val="NormalWeb"/>
        <w:jc w:val="both"/>
        <w:rPr>
          <w:color w:val="000000"/>
        </w:rPr>
      </w:pPr>
      <w:r w:rsidRPr="00677E04">
        <w:rPr>
          <w:color w:val="000000"/>
        </w:rPr>
        <w:t>En medio de la avalancha de informaciones sobre las consecuencias del cierre, algunos medios tuvieron espacio para reportar esos problemas, que muchos consideraron previsibles dado el alto tráfico registrado.</w:t>
      </w:r>
    </w:p>
    <w:p w:rsidR="00787AC5" w:rsidRPr="00677E04" w:rsidRDefault="00787AC5" w:rsidP="00550638">
      <w:pPr>
        <w:pStyle w:val="NormalWeb"/>
        <w:jc w:val="both"/>
        <w:rPr>
          <w:color w:val="000000"/>
        </w:rPr>
      </w:pPr>
      <w:r w:rsidRPr="00677E04">
        <w:rPr>
          <w:color w:val="000000"/>
        </w:rPr>
        <w:t>El propio presidente Obama los reconoció, aunque recordó que cuando recientemente Apple tuvo dificultades c</w:t>
      </w:r>
      <w:r w:rsidR="00375C6C">
        <w:rPr>
          <w:color w:val="000000"/>
        </w:rPr>
        <w:t>on un nuevo sistema operativo, “lo solucionó”</w:t>
      </w:r>
      <w:r w:rsidRPr="00677E04">
        <w:rPr>
          <w:color w:val="000000"/>
        </w:rPr>
        <w:t xml:space="preserve"> sin que alguien sugiriera que dejara de vender sus populares teléfonos iPhone o que alguien amenazara con cerrar la empresa.</w:t>
      </w:r>
    </w:p>
    <w:p w:rsidR="00787AC5" w:rsidRPr="00677E04" w:rsidRDefault="00787AC5" w:rsidP="00550638">
      <w:pPr>
        <w:pStyle w:val="NormalWeb"/>
        <w:jc w:val="both"/>
        <w:rPr>
          <w:color w:val="000000"/>
        </w:rPr>
      </w:pPr>
      <w:r w:rsidRPr="00677E04">
        <w:rPr>
          <w:color w:val="000000"/>
        </w:rPr>
        <w:t>El cierre de la administración pública desvió la mirada de lo que es la mayor ampliación de un programa social del gobierno federal estadounidense en medio siglo, un evento notable que en condiciones normales habría concentrado la cobertura periodística de la jornada.</w:t>
      </w:r>
    </w:p>
    <w:p w:rsidR="00787AC5" w:rsidRPr="00677E04" w:rsidRDefault="00787AC5" w:rsidP="00550638">
      <w:pPr>
        <w:pStyle w:val="NormalWeb"/>
        <w:jc w:val="both"/>
        <w:rPr>
          <w:color w:val="000000"/>
        </w:rPr>
      </w:pPr>
      <w:r w:rsidRPr="00677E04">
        <w:rPr>
          <w:color w:val="000000"/>
        </w:rPr>
        <w:t>Aunque vistas las complicaciones técnicas del estreno del sistema, quizá haya sido conveniente que la atención de buena parte del público estuviera copada por las preocupaciones en torno al cierre del gobierno.</w:t>
      </w:r>
    </w:p>
    <w:p w:rsidR="00787AC5" w:rsidRPr="00677E04" w:rsidRDefault="00787AC5" w:rsidP="00550638">
      <w:pPr>
        <w:pStyle w:val="NormalWeb"/>
        <w:jc w:val="both"/>
        <w:rPr>
          <w:color w:val="000000"/>
        </w:rPr>
      </w:pPr>
      <w:r w:rsidRPr="00677E04">
        <w:rPr>
          <w:color w:val="000000"/>
        </w:rPr>
        <w:t>Sin duda que, en condiciones normales, la noticia del día habrían sido esas dificultades en el acceso a los sitios web de las bolsas de seguros.</w:t>
      </w:r>
    </w:p>
    <w:p w:rsidR="00787AC5" w:rsidRPr="00677E04" w:rsidRDefault="00787AC5" w:rsidP="00550638">
      <w:pPr>
        <w:pStyle w:val="NormalWeb"/>
        <w:jc w:val="both"/>
        <w:rPr>
          <w:color w:val="000000"/>
        </w:rPr>
      </w:pPr>
      <w:r w:rsidRPr="00677E04">
        <w:rPr>
          <w:color w:val="000000"/>
        </w:rPr>
        <w:t>Aunque se trata de un problema técnico que con seguridad se solucionará en los próximos días, habría gen</w:t>
      </w:r>
      <w:r w:rsidR="00182E38">
        <w:rPr>
          <w:color w:val="000000"/>
        </w:rPr>
        <w:t>erado una andanada de críticas -</w:t>
      </w:r>
      <w:r w:rsidRPr="00677E04">
        <w:rPr>
          <w:color w:val="000000"/>
        </w:rPr>
        <w:t xml:space="preserve">sobre todo en medios de tendencia conservadora, como </w:t>
      </w:r>
      <w:r w:rsidRPr="00302D7F">
        <w:rPr>
          <w:i/>
          <w:color w:val="000000"/>
        </w:rPr>
        <w:t>Fox News</w:t>
      </w:r>
      <w:r w:rsidRPr="00677E04">
        <w:rPr>
          <w:color w:val="000000"/>
        </w:rPr>
        <w:t>- sobre la supuesta falta de preparación del nuevo sistema.</w:t>
      </w:r>
    </w:p>
    <w:p w:rsidR="00787AC5" w:rsidRDefault="00787AC5" w:rsidP="00550638">
      <w:pPr>
        <w:pStyle w:val="NormalWeb"/>
        <w:jc w:val="both"/>
        <w:rPr>
          <w:color w:val="000000"/>
        </w:rPr>
      </w:pPr>
      <w:r w:rsidRPr="00677E04">
        <w:rPr>
          <w:color w:val="000000"/>
        </w:rPr>
        <w:t>Así que de alguna manera, el bloqueo político entre republicanos y demócratas en el Congreso, aunque pone en riesgo el crecimiento del país y las economías familiares de millones de estadounidenses, terminó haciéndole un favor a la reputación inmediata de Obamacare.</w:t>
      </w:r>
    </w:p>
    <w:p w:rsidR="00787AC5" w:rsidRPr="00B948AA" w:rsidRDefault="00787AC5" w:rsidP="00550638">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948AA">
        <w:rPr>
          <w:rFonts w:ascii="Times New Roman" w:hAnsi="Times New Roman" w:cs="Times New Roman"/>
          <w:sz w:val="24"/>
          <w:szCs w:val="24"/>
          <w:u w:val="single"/>
        </w:rPr>
        <w:t>La reforma se convierte en una realidad</w:t>
      </w:r>
      <w:r>
        <w:rPr>
          <w:rFonts w:ascii="Times New Roman" w:hAnsi="Times New Roman" w:cs="Times New Roman"/>
          <w:sz w:val="24"/>
          <w:szCs w:val="24"/>
        </w:rPr>
        <w:t xml:space="preserve"> (El País - </w:t>
      </w:r>
      <w:r w:rsidRPr="00B948AA">
        <w:rPr>
          <w:rFonts w:ascii="Times New Roman" w:hAnsi="Times New Roman" w:cs="Times New Roman"/>
          <w:b/>
          <w:sz w:val="24"/>
          <w:szCs w:val="24"/>
        </w:rPr>
        <w:t>6/10/13</w:t>
      </w:r>
      <w:r>
        <w:rPr>
          <w:rFonts w:ascii="Times New Roman" w:hAnsi="Times New Roman" w:cs="Times New Roman"/>
          <w:sz w:val="24"/>
          <w:szCs w:val="24"/>
        </w:rPr>
        <w:t>)</w:t>
      </w:r>
    </w:p>
    <w:p w:rsidR="00787AC5" w:rsidRPr="008174E9" w:rsidRDefault="00787AC5" w:rsidP="00550638">
      <w:pPr>
        <w:spacing w:before="100" w:beforeAutospacing="1" w:after="100" w:afterAutospacing="1" w:line="240" w:lineRule="auto"/>
        <w:jc w:val="both"/>
        <w:rPr>
          <w:rFonts w:ascii="Times New Roman" w:hAnsi="Times New Roman" w:cs="Times New Roman"/>
          <w:sz w:val="24"/>
          <w:szCs w:val="24"/>
        </w:rPr>
      </w:pPr>
      <w:r w:rsidRPr="008174E9">
        <w:rPr>
          <w:rFonts w:ascii="Times New Roman" w:hAnsi="Times New Roman" w:cs="Times New Roman"/>
          <w:sz w:val="24"/>
          <w:szCs w:val="24"/>
        </w:rPr>
        <w:t>(Por Paul Krugman)</w:t>
      </w:r>
      <w:r w:rsidR="00571F71">
        <w:rPr>
          <w:rFonts w:ascii="Times New Roman" w:hAnsi="Times New Roman" w:cs="Times New Roman"/>
          <w:sz w:val="24"/>
          <w:szCs w:val="24"/>
        </w:rPr>
        <w:t xml:space="preserve">                                                                          Lectura recomendada</w:t>
      </w:r>
    </w:p>
    <w:p w:rsidR="00787AC5" w:rsidRPr="00155308" w:rsidRDefault="00787AC5" w:rsidP="00550638">
      <w:pPr>
        <w:spacing w:before="100" w:beforeAutospacing="1" w:after="100" w:afterAutospacing="1" w:line="240" w:lineRule="auto"/>
        <w:jc w:val="both"/>
        <w:rPr>
          <w:rFonts w:ascii="Times New Roman" w:hAnsi="Times New Roman" w:cs="Times New Roman"/>
          <w:sz w:val="24"/>
          <w:szCs w:val="24"/>
          <w:u w:val="single"/>
        </w:rPr>
      </w:pPr>
      <w:r w:rsidRPr="00155308">
        <w:rPr>
          <w:rFonts w:ascii="Times New Roman" w:hAnsi="Times New Roman" w:cs="Times New Roman"/>
          <w:color w:val="FF0000"/>
          <w:sz w:val="24"/>
          <w:szCs w:val="24"/>
          <w:u w:val="single"/>
        </w:rPr>
        <w:lastRenderedPageBreak/>
        <w:t>Llegados a este punto, la crisis del sistema de Gobierno estadounidense ha cobrado viva propia.</w:t>
      </w:r>
      <w:r w:rsidRPr="00155308">
        <w:rPr>
          <w:rFonts w:ascii="Times New Roman" w:hAnsi="Times New Roman" w:cs="Times New Roman"/>
          <w:color w:val="FF0000"/>
          <w:sz w:val="24"/>
          <w:szCs w:val="24"/>
        </w:rPr>
        <w:t xml:space="preserve"> </w:t>
      </w:r>
      <w:r w:rsidRPr="00B948AA">
        <w:rPr>
          <w:rFonts w:ascii="Times New Roman" w:hAnsi="Times New Roman" w:cs="Times New Roman"/>
          <w:sz w:val="24"/>
          <w:szCs w:val="24"/>
        </w:rPr>
        <w:t>Algunos republicanos dicen ahora abiertamente que quieren concesiones a cambio de reabrir el Gobierno y evitar la suspensión de pagos, no porque tengan algún objetivo político en mente, sino simplemente porque no quieren tener la sensación de “que se les falta al respeto</w:t>
      </w:r>
      <w:r w:rsidRPr="00375C6C">
        <w:rPr>
          <w:rFonts w:ascii="Times New Roman" w:hAnsi="Times New Roman" w:cs="Times New Roman"/>
          <w:sz w:val="24"/>
          <w:szCs w:val="24"/>
        </w:rPr>
        <w:t xml:space="preserve">”. </w:t>
      </w:r>
      <w:r w:rsidRPr="00155308">
        <w:rPr>
          <w:rFonts w:ascii="Times New Roman" w:hAnsi="Times New Roman" w:cs="Times New Roman"/>
          <w:sz w:val="24"/>
          <w:szCs w:val="24"/>
          <w:u w:val="single"/>
        </w:rPr>
        <w:t>Y no se vislumbra el final de todo esto.</w:t>
      </w:r>
    </w:p>
    <w:p w:rsidR="00787AC5" w:rsidRPr="00155308" w:rsidRDefault="00787AC5" w:rsidP="00550638">
      <w:pPr>
        <w:spacing w:before="100" w:beforeAutospacing="1" w:after="100" w:afterAutospacing="1" w:line="240" w:lineRule="auto"/>
        <w:jc w:val="both"/>
        <w:rPr>
          <w:rFonts w:ascii="Times New Roman" w:hAnsi="Times New Roman" w:cs="Times New Roman"/>
          <w:color w:val="FF0000"/>
          <w:sz w:val="24"/>
          <w:szCs w:val="24"/>
          <w:u w:val="single"/>
        </w:rPr>
      </w:pPr>
      <w:r w:rsidRPr="00155308">
        <w:rPr>
          <w:rFonts w:ascii="Times New Roman" w:hAnsi="Times New Roman" w:cs="Times New Roman"/>
          <w:sz w:val="24"/>
          <w:szCs w:val="24"/>
          <w:u w:val="single"/>
        </w:rPr>
        <w:t>Pero este enfrentamiento empezó por un problema real: los intentos republi</w:t>
      </w:r>
      <w:r w:rsidR="00182E38">
        <w:rPr>
          <w:rFonts w:ascii="Times New Roman" w:hAnsi="Times New Roman" w:cs="Times New Roman"/>
          <w:sz w:val="24"/>
          <w:szCs w:val="24"/>
          <w:u w:val="single"/>
        </w:rPr>
        <w:t>canos de impedir que Obamacare (</w:t>
      </w:r>
      <w:r w:rsidRPr="00155308">
        <w:rPr>
          <w:rFonts w:ascii="Times New Roman" w:hAnsi="Times New Roman" w:cs="Times New Roman"/>
          <w:sz w:val="24"/>
          <w:szCs w:val="24"/>
          <w:u w:val="single"/>
        </w:rPr>
        <w:t>la reform</w:t>
      </w:r>
      <w:r w:rsidR="00182E38">
        <w:rPr>
          <w:rFonts w:ascii="Times New Roman" w:hAnsi="Times New Roman" w:cs="Times New Roman"/>
          <w:sz w:val="24"/>
          <w:szCs w:val="24"/>
          <w:u w:val="single"/>
        </w:rPr>
        <w:t>a sanitaria impulsada por Obama)</w:t>
      </w:r>
      <w:r w:rsidRPr="00155308">
        <w:rPr>
          <w:rFonts w:ascii="Times New Roman" w:hAnsi="Times New Roman" w:cs="Times New Roman"/>
          <w:sz w:val="24"/>
          <w:szCs w:val="24"/>
          <w:u w:val="single"/>
        </w:rPr>
        <w:t xml:space="preserve"> entrase en vigor.</w:t>
      </w:r>
      <w:r w:rsidRPr="00B948AA">
        <w:rPr>
          <w:rFonts w:ascii="Times New Roman" w:hAnsi="Times New Roman" w:cs="Times New Roman"/>
          <w:sz w:val="24"/>
          <w:szCs w:val="24"/>
        </w:rPr>
        <w:t xml:space="preserve"> Hace mucho tiempo que está claro que el gran temor del Partido Republicano no era que la reforma fracasase, sino que tuviese éxito. </w:t>
      </w:r>
      <w:r w:rsidRPr="00155308">
        <w:rPr>
          <w:rFonts w:ascii="Times New Roman" w:hAnsi="Times New Roman" w:cs="Times New Roman"/>
          <w:color w:val="FF0000"/>
          <w:sz w:val="24"/>
          <w:szCs w:val="24"/>
          <w:u w:val="single"/>
        </w:rPr>
        <w:t>Y los acontecimientos que se han producido desde el martes, cuando se abrieron los mercados en los que la gente puede contratar un seguro sanitario, indican claramente que sus peores temores se van a confirmar sin lugar a dudas: esto va a funcionar.</w:t>
      </w:r>
    </w:p>
    <w:p w:rsidR="00787AC5" w:rsidRPr="00B948AA" w:rsidRDefault="00787AC5" w:rsidP="00550638">
      <w:pPr>
        <w:spacing w:before="100" w:beforeAutospacing="1" w:after="100" w:afterAutospacing="1" w:line="240" w:lineRule="auto"/>
        <w:jc w:val="both"/>
        <w:rPr>
          <w:rFonts w:ascii="Times New Roman" w:hAnsi="Times New Roman" w:cs="Times New Roman"/>
          <w:sz w:val="24"/>
          <w:szCs w:val="24"/>
        </w:rPr>
      </w:pPr>
      <w:r w:rsidRPr="00B948AA">
        <w:rPr>
          <w:rFonts w:ascii="Times New Roman" w:hAnsi="Times New Roman" w:cs="Times New Roman"/>
          <w:sz w:val="24"/>
          <w:szCs w:val="24"/>
        </w:rPr>
        <w:t>Espere un momento, estarán diciendo algunos lectores. ¿Acaso las noticias que ha habido hasta ahora no han sido sobre los problemas técnicos con los ordenadores, sobre personas que se topan con una pantalla que les dice que los servidores están ocupados y que deben volver a intentarlo más tarde? En efecto, así ha sido. Pero todos los que están informados sobre el proceso esperaban algunos problemas iniciales y la naturaleza de los problemas de esta semana ha sido de hecho tremendamente alentadora pa</w:t>
      </w:r>
      <w:r>
        <w:rPr>
          <w:rFonts w:ascii="Times New Roman" w:hAnsi="Times New Roman" w:cs="Times New Roman"/>
          <w:sz w:val="24"/>
          <w:szCs w:val="24"/>
        </w:rPr>
        <w:t>ra los defensores del programa.</w:t>
      </w:r>
    </w:p>
    <w:p w:rsidR="00787AC5" w:rsidRPr="00B948AA" w:rsidRDefault="00787AC5" w:rsidP="00550638">
      <w:pPr>
        <w:spacing w:before="100" w:beforeAutospacing="1" w:after="100" w:afterAutospacing="1" w:line="240" w:lineRule="auto"/>
        <w:jc w:val="both"/>
        <w:rPr>
          <w:rFonts w:ascii="Times New Roman" w:hAnsi="Times New Roman" w:cs="Times New Roman"/>
          <w:sz w:val="24"/>
          <w:szCs w:val="24"/>
        </w:rPr>
      </w:pPr>
      <w:r w:rsidRPr="00B948AA">
        <w:rPr>
          <w:rFonts w:ascii="Times New Roman" w:hAnsi="Times New Roman" w:cs="Times New Roman"/>
          <w:sz w:val="24"/>
          <w:szCs w:val="24"/>
        </w:rPr>
        <w:t>En primer lugar, permítanme decir algo sobre la irrelevancia subyacente de los problemas que tienen al principio los nu</w:t>
      </w:r>
      <w:r>
        <w:rPr>
          <w:rFonts w:ascii="Times New Roman" w:hAnsi="Times New Roman" w:cs="Times New Roman"/>
          <w:sz w:val="24"/>
          <w:szCs w:val="24"/>
        </w:rPr>
        <w:t>evos programas gubernamentales.</w:t>
      </w:r>
    </w:p>
    <w:p w:rsidR="00787AC5" w:rsidRPr="00155308" w:rsidRDefault="00787AC5" w:rsidP="00550638">
      <w:pPr>
        <w:spacing w:before="100" w:beforeAutospacing="1" w:after="100" w:afterAutospacing="1" w:line="240" w:lineRule="auto"/>
        <w:jc w:val="both"/>
        <w:rPr>
          <w:rFonts w:ascii="Times New Roman" w:hAnsi="Times New Roman" w:cs="Times New Roman"/>
          <w:sz w:val="24"/>
          <w:szCs w:val="24"/>
          <w:u w:val="single"/>
        </w:rPr>
      </w:pPr>
      <w:r w:rsidRPr="00155308">
        <w:rPr>
          <w:rFonts w:ascii="Times New Roman" w:hAnsi="Times New Roman" w:cs="Times New Roman"/>
          <w:sz w:val="24"/>
          <w:szCs w:val="24"/>
          <w:u w:val="single"/>
        </w:rPr>
        <w:t>El gran temor de los republicanos no era que la reforma fracasase, sino que tuviese éxito</w:t>
      </w:r>
    </w:p>
    <w:p w:rsidR="00787AC5" w:rsidRPr="00B948AA" w:rsidRDefault="00787AC5" w:rsidP="00550638">
      <w:pPr>
        <w:spacing w:before="100" w:beforeAutospacing="1" w:after="100" w:afterAutospacing="1" w:line="240" w:lineRule="auto"/>
        <w:jc w:val="both"/>
        <w:rPr>
          <w:rFonts w:ascii="Times New Roman" w:hAnsi="Times New Roman" w:cs="Times New Roman"/>
          <w:sz w:val="24"/>
          <w:szCs w:val="24"/>
        </w:rPr>
      </w:pPr>
      <w:r w:rsidRPr="00B948AA">
        <w:rPr>
          <w:rFonts w:ascii="Times New Roman" w:hAnsi="Times New Roman" w:cs="Times New Roman"/>
          <w:sz w:val="24"/>
          <w:szCs w:val="24"/>
        </w:rPr>
        <w:t>En Estados Unidos, la información política, especialmente, pero no solo, en la televisión, tiende a centrarse en el comentario punto por punto. ¿Quién ha ganado el ciclo informativo de hoy? Y, para ser justos, este tipo de cosas pueden tener importancia durante los ú</w:t>
      </w:r>
      <w:r>
        <w:rPr>
          <w:rFonts w:ascii="Times New Roman" w:hAnsi="Times New Roman" w:cs="Times New Roman"/>
          <w:sz w:val="24"/>
          <w:szCs w:val="24"/>
        </w:rPr>
        <w:t>ltimos días de unas elecciones.</w:t>
      </w:r>
    </w:p>
    <w:p w:rsidR="00787AC5" w:rsidRPr="00155308" w:rsidRDefault="00787AC5" w:rsidP="00550638">
      <w:pPr>
        <w:spacing w:before="100" w:beforeAutospacing="1" w:after="100" w:afterAutospacing="1" w:line="240" w:lineRule="auto"/>
        <w:jc w:val="both"/>
        <w:rPr>
          <w:rFonts w:ascii="Times New Roman" w:hAnsi="Times New Roman" w:cs="Times New Roman"/>
          <w:sz w:val="24"/>
          <w:szCs w:val="24"/>
          <w:u w:val="single"/>
        </w:rPr>
      </w:pPr>
      <w:r w:rsidRPr="00155308">
        <w:rPr>
          <w:rFonts w:ascii="Times New Roman" w:hAnsi="Times New Roman" w:cs="Times New Roman"/>
          <w:sz w:val="24"/>
          <w:szCs w:val="24"/>
          <w:u w:val="single"/>
        </w:rPr>
        <w:t>Pero Obamacare no va a someterse a un referéndum popular, o a un refrendo de ningún tipo. Es la ley, y va a entrar en vigor. Su futuro dependerá de cómo funcione a lo largo de los próximos años, no en las próximas semanas.</w:t>
      </w:r>
    </w:p>
    <w:p w:rsidR="00787AC5" w:rsidRPr="00155308" w:rsidRDefault="00787AC5" w:rsidP="00550638">
      <w:pPr>
        <w:spacing w:before="100" w:beforeAutospacing="1" w:after="100" w:afterAutospacing="1" w:line="240" w:lineRule="auto"/>
        <w:jc w:val="both"/>
        <w:rPr>
          <w:rFonts w:ascii="Times New Roman" w:hAnsi="Times New Roman" w:cs="Times New Roman"/>
          <w:sz w:val="24"/>
          <w:szCs w:val="24"/>
          <w:u w:val="single"/>
        </w:rPr>
      </w:pPr>
      <w:r w:rsidRPr="00155308">
        <w:rPr>
          <w:rFonts w:ascii="Times New Roman" w:hAnsi="Times New Roman" w:cs="Times New Roman"/>
          <w:sz w:val="24"/>
          <w:szCs w:val="24"/>
          <w:u w:val="single"/>
        </w:rPr>
        <w:t>Para ilustrar este argumento, piensen en Medicare Parte D, la subvención para medicamentos, que entró en vigor en 2006. Tuvo un comienzo que se consideró desastroso, con mayores que no tenían claro qué ayudas les correspondían, farmacias que a menudo se negaban a satisfacer demandas legítimas, problemas informáticos, y demás. Al final, sin embargo, el programa ha dado beneficios duraderos y quebraderos de cabeza a cualquier político que proponga que sea derogado.</w:t>
      </w:r>
    </w:p>
    <w:p w:rsidR="00787AC5" w:rsidRPr="00B948AA" w:rsidRDefault="00787AC5" w:rsidP="00550638">
      <w:pPr>
        <w:spacing w:before="100" w:beforeAutospacing="1" w:after="100" w:afterAutospacing="1" w:line="240" w:lineRule="auto"/>
        <w:jc w:val="both"/>
        <w:rPr>
          <w:rFonts w:ascii="Times New Roman" w:hAnsi="Times New Roman" w:cs="Times New Roman"/>
          <w:sz w:val="24"/>
          <w:szCs w:val="24"/>
        </w:rPr>
      </w:pPr>
      <w:r w:rsidRPr="00B948AA">
        <w:rPr>
          <w:rFonts w:ascii="Times New Roman" w:hAnsi="Times New Roman" w:cs="Times New Roman"/>
          <w:sz w:val="24"/>
          <w:szCs w:val="24"/>
        </w:rPr>
        <w:t>De modo que los problemas técnicos de octubre no importarán a la larga. ¿Pero por qué son en realidad esperanzadores? Porque parece que, en la mayoría de los casos, son consecuencia del tremendo volumen del tráfico en Internet, que ha sido mucho mayor de lo esperado. Y esto significa que la gran preocupación de</w:t>
      </w:r>
      <w:r w:rsidR="00182E38">
        <w:rPr>
          <w:rFonts w:ascii="Times New Roman" w:hAnsi="Times New Roman" w:cs="Times New Roman"/>
          <w:sz w:val="24"/>
          <w:szCs w:val="24"/>
        </w:rPr>
        <w:t xml:space="preserve"> los defensores de Obamacare -</w:t>
      </w:r>
      <w:r w:rsidRPr="00B948AA">
        <w:rPr>
          <w:rFonts w:ascii="Times New Roman" w:hAnsi="Times New Roman" w:cs="Times New Roman"/>
          <w:sz w:val="24"/>
          <w:szCs w:val="24"/>
        </w:rPr>
        <w:t>que no hubiese suficiente gente que conociese el programa y, por tanto, muchos estadounidenses con derecho a a</w:t>
      </w:r>
      <w:r w:rsidR="00182E38">
        <w:rPr>
          <w:rFonts w:ascii="Times New Roman" w:hAnsi="Times New Roman" w:cs="Times New Roman"/>
          <w:sz w:val="24"/>
          <w:szCs w:val="24"/>
        </w:rPr>
        <w:t>cogerse a él no se inscribiesen-</w:t>
      </w:r>
      <w:r w:rsidRPr="00B948AA">
        <w:rPr>
          <w:rFonts w:ascii="Times New Roman" w:hAnsi="Times New Roman" w:cs="Times New Roman"/>
          <w:sz w:val="24"/>
          <w:szCs w:val="24"/>
        </w:rPr>
        <w:t xml:space="preserve"> se </w:t>
      </w:r>
      <w:r>
        <w:rPr>
          <w:rFonts w:ascii="Times New Roman" w:hAnsi="Times New Roman" w:cs="Times New Roman"/>
          <w:sz w:val="24"/>
          <w:szCs w:val="24"/>
        </w:rPr>
        <w:t>está desvaneciendo rápidamente.</w:t>
      </w:r>
    </w:p>
    <w:p w:rsidR="00787AC5" w:rsidRPr="00155308" w:rsidRDefault="00787AC5" w:rsidP="00550638">
      <w:pPr>
        <w:spacing w:before="100" w:beforeAutospacing="1" w:after="100" w:afterAutospacing="1" w:line="240" w:lineRule="auto"/>
        <w:jc w:val="both"/>
        <w:rPr>
          <w:rFonts w:ascii="Times New Roman" w:hAnsi="Times New Roman" w:cs="Times New Roman"/>
          <w:sz w:val="24"/>
          <w:szCs w:val="24"/>
          <w:u w:val="single"/>
        </w:rPr>
      </w:pPr>
      <w:r w:rsidRPr="00155308">
        <w:rPr>
          <w:rFonts w:ascii="Times New Roman" w:hAnsi="Times New Roman" w:cs="Times New Roman"/>
          <w:sz w:val="24"/>
          <w:szCs w:val="24"/>
          <w:u w:val="single"/>
        </w:rPr>
        <w:lastRenderedPageBreak/>
        <w:t>Por supuesto, es importante que la gente que quiera inscribirse pueda hacerlo realmente. Pero los problemas informáticos pueden solucionarse. Así que el 31 de marzo, cuando se cierre el plazo de inscripción de 2014, podremos estar razonablemente seguros de que millones de estadounidenses que antes no tenían seguro estarán cubiertos gracias a la Ley de Asistencia Sanitaria Asequible. Obamacare se habrá convertido en una realidad, en algo de lo que depende la gente, en vez de ser una idea difusa que los republicanos puedan demonizar. Y será muy difícil suprimir esa cobertura.</w:t>
      </w:r>
    </w:p>
    <w:p w:rsidR="00787AC5" w:rsidRPr="00155308" w:rsidRDefault="00787AC5" w:rsidP="00550638">
      <w:pPr>
        <w:spacing w:before="100" w:beforeAutospacing="1" w:after="100" w:afterAutospacing="1" w:line="240" w:lineRule="auto"/>
        <w:jc w:val="both"/>
        <w:rPr>
          <w:rFonts w:ascii="Times New Roman" w:hAnsi="Times New Roman" w:cs="Times New Roman"/>
          <w:sz w:val="24"/>
          <w:szCs w:val="24"/>
          <w:u w:val="single"/>
        </w:rPr>
      </w:pPr>
      <w:r w:rsidRPr="00155308">
        <w:rPr>
          <w:rFonts w:ascii="Times New Roman" w:hAnsi="Times New Roman" w:cs="Times New Roman"/>
          <w:color w:val="FF0000"/>
          <w:sz w:val="24"/>
          <w:szCs w:val="24"/>
          <w:u w:val="single"/>
        </w:rPr>
        <w:t>Lo que todavía no sabemos, y es crucial para el éxito a largo plazo del programa, es quién se inscribirá. ¿Habrá un número suficiente de jóvenes sanos inscritos, que aporten un fondo común de riesgos favorable y mantengan las primas relativamente bajas?</w:t>
      </w:r>
      <w:r w:rsidRPr="00155308">
        <w:rPr>
          <w:rFonts w:ascii="Times New Roman" w:hAnsi="Times New Roman" w:cs="Times New Roman"/>
          <w:color w:val="FF0000"/>
          <w:sz w:val="24"/>
          <w:szCs w:val="24"/>
        </w:rPr>
        <w:t xml:space="preserve"> </w:t>
      </w:r>
      <w:r w:rsidRPr="00155308">
        <w:rPr>
          <w:rFonts w:ascii="Times New Roman" w:hAnsi="Times New Roman" w:cs="Times New Roman"/>
          <w:sz w:val="24"/>
          <w:szCs w:val="24"/>
          <w:u w:val="single"/>
        </w:rPr>
        <w:t>Tengan en cuenta que los colectivos conservador</w:t>
      </w:r>
      <w:r w:rsidR="00182E38">
        <w:rPr>
          <w:rFonts w:ascii="Times New Roman" w:hAnsi="Times New Roman" w:cs="Times New Roman"/>
          <w:sz w:val="24"/>
          <w:szCs w:val="24"/>
          <w:u w:val="single"/>
        </w:rPr>
        <w:t>es se han gastado mucho dinero -</w:t>
      </w:r>
      <w:r w:rsidRPr="00155308">
        <w:rPr>
          <w:rFonts w:ascii="Times New Roman" w:hAnsi="Times New Roman" w:cs="Times New Roman"/>
          <w:sz w:val="24"/>
          <w:szCs w:val="24"/>
          <w:u w:val="single"/>
        </w:rPr>
        <w:t>y han hecho anunci</w:t>
      </w:r>
      <w:r w:rsidR="00182E38">
        <w:rPr>
          <w:rFonts w:ascii="Times New Roman" w:hAnsi="Times New Roman" w:cs="Times New Roman"/>
          <w:sz w:val="24"/>
          <w:szCs w:val="24"/>
          <w:u w:val="single"/>
        </w:rPr>
        <w:t>os verdaderamente espeluznantes-</w:t>
      </w:r>
      <w:r w:rsidRPr="00155308">
        <w:rPr>
          <w:rFonts w:ascii="Times New Roman" w:hAnsi="Times New Roman" w:cs="Times New Roman"/>
          <w:sz w:val="24"/>
          <w:szCs w:val="24"/>
          <w:u w:val="single"/>
        </w:rPr>
        <w:t xml:space="preserve"> en un intento de disuadir a la gente joven de que se inscriba para contratar un seguro. No obstante, las aseguradoras están apostando a que la gente joven sí se inscribirá, como demuestran las primas sorprendentemente bajas que están ofreciendo para el año que viene.</w:t>
      </w:r>
    </w:p>
    <w:p w:rsidR="00787AC5" w:rsidRPr="00155308" w:rsidRDefault="00787AC5" w:rsidP="00550638">
      <w:pPr>
        <w:spacing w:before="100" w:beforeAutospacing="1" w:after="100" w:afterAutospacing="1" w:line="240" w:lineRule="auto"/>
        <w:jc w:val="both"/>
        <w:rPr>
          <w:rFonts w:ascii="Times New Roman" w:hAnsi="Times New Roman" w:cs="Times New Roman"/>
          <w:sz w:val="24"/>
          <w:szCs w:val="24"/>
          <w:u w:val="single"/>
        </w:rPr>
      </w:pPr>
      <w:r w:rsidRPr="00155308">
        <w:rPr>
          <w:rFonts w:ascii="Times New Roman" w:hAnsi="Times New Roman" w:cs="Times New Roman"/>
          <w:sz w:val="24"/>
          <w:szCs w:val="24"/>
          <w:u w:val="single"/>
        </w:rPr>
        <w:t>Y las aseguradoras probablemente estén en lo cierto. Para ver por qué los mensajes contra Obamacare probablemente estén condenados al fracaso, piensen en las personas de las que estamos hablando. Es decir, ¿quiénes son los individuos sanos sin seguro que es necesario que se acojan al plan? Pues bien, en su mayoría no son ricos, porque los jóvenes ricos suelen tener trabajos que incluyen la cobertura sanitaria. Y, en la inmensa mayoría de los casos, no son blancos.</w:t>
      </w:r>
    </w:p>
    <w:p w:rsidR="00787AC5" w:rsidRPr="00155308" w:rsidRDefault="00787AC5" w:rsidP="00550638">
      <w:pPr>
        <w:spacing w:before="100" w:beforeAutospacing="1" w:after="100" w:afterAutospacing="1" w:line="240" w:lineRule="auto"/>
        <w:jc w:val="both"/>
        <w:rPr>
          <w:rFonts w:ascii="Times New Roman" w:hAnsi="Times New Roman" w:cs="Times New Roman"/>
          <w:sz w:val="24"/>
          <w:szCs w:val="24"/>
          <w:u w:val="single"/>
        </w:rPr>
      </w:pPr>
      <w:r w:rsidRPr="00B948AA">
        <w:rPr>
          <w:rFonts w:ascii="Times New Roman" w:hAnsi="Times New Roman" w:cs="Times New Roman"/>
          <w:sz w:val="24"/>
          <w:szCs w:val="24"/>
        </w:rPr>
        <w:t xml:space="preserve">En otras palabras, para obtener una descripción del tipo de persona que necesita el programa de Obamacare, </w:t>
      </w:r>
      <w:r w:rsidRPr="00155308">
        <w:rPr>
          <w:rFonts w:ascii="Times New Roman" w:hAnsi="Times New Roman" w:cs="Times New Roman"/>
          <w:sz w:val="24"/>
          <w:szCs w:val="24"/>
          <w:u w:val="single"/>
        </w:rPr>
        <w:t>tomen la descripción del típico miembro del Tea Par</w:t>
      </w:r>
      <w:r w:rsidR="00182E38">
        <w:rPr>
          <w:rFonts w:ascii="Times New Roman" w:hAnsi="Times New Roman" w:cs="Times New Roman"/>
          <w:sz w:val="24"/>
          <w:szCs w:val="24"/>
          <w:u w:val="single"/>
        </w:rPr>
        <w:t xml:space="preserve">ty o telespectador de </w:t>
      </w:r>
      <w:r w:rsidR="00182E38" w:rsidRPr="00302D7F">
        <w:rPr>
          <w:rFonts w:ascii="Times New Roman" w:hAnsi="Times New Roman" w:cs="Times New Roman"/>
          <w:i/>
          <w:sz w:val="24"/>
          <w:szCs w:val="24"/>
          <w:u w:val="single"/>
        </w:rPr>
        <w:t>Fox News</w:t>
      </w:r>
      <w:r w:rsidR="00182E38">
        <w:rPr>
          <w:rFonts w:ascii="Times New Roman" w:hAnsi="Times New Roman" w:cs="Times New Roman"/>
          <w:sz w:val="24"/>
          <w:szCs w:val="24"/>
          <w:u w:val="single"/>
        </w:rPr>
        <w:t xml:space="preserve"> -</w:t>
      </w:r>
      <w:r w:rsidRPr="00155308">
        <w:rPr>
          <w:rFonts w:ascii="Times New Roman" w:hAnsi="Times New Roman" w:cs="Times New Roman"/>
          <w:sz w:val="24"/>
          <w:szCs w:val="24"/>
          <w:u w:val="single"/>
        </w:rPr>
        <w:t>mayor, rico, blanco</w:t>
      </w:r>
      <w:r w:rsidR="00182E38">
        <w:rPr>
          <w:rFonts w:ascii="Times New Roman" w:hAnsi="Times New Roman" w:cs="Times New Roman"/>
          <w:sz w:val="24"/>
          <w:szCs w:val="24"/>
        </w:rPr>
        <w:t>-</w:t>
      </w:r>
      <w:r w:rsidRPr="00B948AA">
        <w:rPr>
          <w:rFonts w:ascii="Times New Roman" w:hAnsi="Times New Roman" w:cs="Times New Roman"/>
          <w:sz w:val="24"/>
          <w:szCs w:val="24"/>
        </w:rPr>
        <w:t xml:space="preserve"> y pongan un “no” delante de cada característica. La maquinaria de los eslóganes de derechas no está configurada para dirigirse a estas personas, pero se puede llegar a ellas por muchos de los mismos canales, desde los anuncios en medios de comunicación de lengua española hasta los tuits de los famosos, que consiguieron votantes para Obama el año pasado. </w:t>
      </w:r>
      <w:r w:rsidRPr="00155308">
        <w:rPr>
          <w:rFonts w:ascii="Times New Roman" w:hAnsi="Times New Roman" w:cs="Times New Roman"/>
          <w:sz w:val="24"/>
          <w:szCs w:val="24"/>
          <w:u w:val="single"/>
        </w:rPr>
        <w:t>Tengo que admitir que la imagen de los conservadores radicales derrotados por un ejército de famosos tuiteros me resulta tremendamente atractiva; pero también es realista. El proceso de inscripción seguramente va a ir bien.</w:t>
      </w:r>
    </w:p>
    <w:p w:rsidR="00787AC5" w:rsidRPr="00155308" w:rsidRDefault="00787AC5" w:rsidP="00550638">
      <w:pPr>
        <w:spacing w:before="100" w:beforeAutospacing="1" w:after="100" w:afterAutospacing="1" w:line="240" w:lineRule="auto"/>
        <w:jc w:val="both"/>
        <w:rPr>
          <w:rFonts w:ascii="Times New Roman" w:hAnsi="Times New Roman" w:cs="Times New Roman"/>
          <w:color w:val="FF0000"/>
          <w:sz w:val="24"/>
          <w:szCs w:val="24"/>
          <w:u w:val="single"/>
        </w:rPr>
      </w:pPr>
      <w:r w:rsidRPr="00155308">
        <w:rPr>
          <w:rFonts w:ascii="Times New Roman" w:hAnsi="Times New Roman" w:cs="Times New Roman"/>
          <w:color w:val="FF0000"/>
          <w:sz w:val="24"/>
          <w:szCs w:val="24"/>
          <w:u w:val="single"/>
        </w:rPr>
        <w:t>De modo que Obamacare ha empezado con buen pie, y hasta las malas noticias son noticias muy buenas para el futuro del programa. Todavía no hemos alcanzado la meta pero, cada vez más, parece que la reforma sanitaria ha llegado para quedarse.</w:t>
      </w:r>
    </w:p>
    <w:p w:rsidR="002263F9" w:rsidRDefault="00787AC5" w:rsidP="00550638">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w:t>
      </w:r>
      <w:r w:rsidRPr="00B948AA">
        <w:rPr>
          <w:rFonts w:ascii="Times New Roman" w:hAnsi="Times New Roman" w:cs="Times New Roman"/>
          <w:sz w:val="24"/>
          <w:szCs w:val="24"/>
        </w:rPr>
        <w:t>Paul Krugman, premio Nobel de Economía</w:t>
      </w:r>
      <w:r>
        <w:rPr>
          <w:rFonts w:ascii="Times New Roman" w:hAnsi="Times New Roman" w:cs="Times New Roman"/>
          <w:sz w:val="24"/>
          <w:szCs w:val="24"/>
        </w:rPr>
        <w:t xml:space="preserve"> 2008, es profesor en Princeton - </w:t>
      </w:r>
      <w:r w:rsidRPr="00B948AA">
        <w:rPr>
          <w:rFonts w:ascii="Times New Roman" w:hAnsi="Times New Roman" w:cs="Times New Roman"/>
          <w:sz w:val="24"/>
          <w:szCs w:val="24"/>
        </w:rPr>
        <w:t>© New York Times Service, 2013</w:t>
      </w:r>
      <w:r>
        <w:rPr>
          <w:rFonts w:ascii="Times New Roman" w:hAnsi="Times New Roman" w:cs="Times New Roman"/>
          <w:sz w:val="24"/>
          <w:szCs w:val="24"/>
        </w:rPr>
        <w:t>)</w:t>
      </w:r>
    </w:p>
    <w:p w:rsidR="00787AC5" w:rsidRPr="002263F9" w:rsidRDefault="00787AC5" w:rsidP="00550638">
      <w:pPr>
        <w:spacing w:before="100" w:beforeAutospacing="1" w:after="100" w:afterAutospacing="1"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sidR="00182E38">
        <w:rPr>
          <w:rFonts w:ascii="Times New Roman" w:eastAsia="Times New Roman" w:hAnsi="Times New Roman" w:cs="Times New Roman"/>
          <w:sz w:val="24"/>
          <w:szCs w:val="24"/>
          <w:u w:val="single"/>
        </w:rPr>
        <w:t>El “Obamacare”</w:t>
      </w:r>
      <w:r w:rsidRPr="006A4151">
        <w:rPr>
          <w:rFonts w:ascii="Times New Roman" w:eastAsia="Times New Roman" w:hAnsi="Times New Roman" w:cs="Times New Roman"/>
          <w:sz w:val="24"/>
          <w:szCs w:val="24"/>
          <w:u w:val="single"/>
        </w:rPr>
        <w:t xml:space="preserve"> y la deuda</w:t>
      </w:r>
      <w:r>
        <w:rPr>
          <w:rFonts w:ascii="Times New Roman" w:eastAsia="Times New Roman" w:hAnsi="Times New Roman" w:cs="Times New Roman"/>
          <w:sz w:val="24"/>
          <w:szCs w:val="24"/>
        </w:rPr>
        <w:t xml:space="preserve"> (Libertad Digital - </w:t>
      </w:r>
      <w:r w:rsidRPr="006A4151">
        <w:rPr>
          <w:rFonts w:ascii="Times New Roman" w:eastAsia="Times New Roman" w:hAnsi="Times New Roman" w:cs="Times New Roman"/>
          <w:b/>
          <w:sz w:val="24"/>
          <w:szCs w:val="24"/>
        </w:rPr>
        <w:t>6/10/13</w:t>
      </w:r>
      <w:r>
        <w:rPr>
          <w:rFonts w:ascii="Times New Roman" w:eastAsia="Times New Roman" w:hAnsi="Times New Roman" w:cs="Times New Roman"/>
          <w:sz w:val="24"/>
          <w:szCs w:val="24"/>
        </w:rPr>
        <w:t>)</w:t>
      </w:r>
      <w:r w:rsidR="00182E38">
        <w:rPr>
          <w:rFonts w:ascii="Times New Roman" w:eastAsia="Times New Roman" w:hAnsi="Times New Roman" w:cs="Times New Roman"/>
          <w:sz w:val="24"/>
          <w:szCs w:val="24"/>
        </w:rPr>
        <w:t xml:space="preserve">   </w:t>
      </w:r>
    </w:p>
    <w:p w:rsidR="00787AC5" w:rsidRDefault="00787AC5"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6A4151">
        <w:rPr>
          <w:rFonts w:ascii="Times New Roman" w:eastAsia="Times New Roman" w:hAnsi="Times New Roman" w:cs="Times New Roman"/>
          <w:sz w:val="24"/>
          <w:szCs w:val="24"/>
        </w:rPr>
        <w:t>Carlos Alberto Montaner</w:t>
      </w:r>
      <w:r>
        <w:rPr>
          <w:rFonts w:ascii="Times New Roman" w:eastAsia="Times New Roman" w:hAnsi="Times New Roman" w:cs="Times New Roman"/>
          <w:sz w:val="24"/>
          <w:szCs w:val="24"/>
        </w:rPr>
        <w:t>)</w:t>
      </w:r>
      <w:r w:rsidR="00182E38">
        <w:rPr>
          <w:rFonts w:ascii="Times New Roman" w:eastAsia="Times New Roman" w:hAnsi="Times New Roman" w:cs="Times New Roman"/>
          <w:sz w:val="24"/>
          <w:szCs w:val="24"/>
        </w:rPr>
        <w:t xml:space="preserve">                                                         Lectura recomendada</w:t>
      </w:r>
    </w:p>
    <w:p w:rsidR="00787AC5" w:rsidRPr="00C632D8" w:rsidRDefault="00787AC5" w:rsidP="00550638">
      <w:pPr>
        <w:pStyle w:val="NormalWeb"/>
        <w:jc w:val="both"/>
        <w:rPr>
          <w:color w:val="FF0000"/>
          <w:u w:val="single"/>
        </w:rPr>
      </w:pPr>
      <w:r w:rsidRPr="00375C6C">
        <w:rPr>
          <w:rStyle w:val="Textoennegrita"/>
          <w:b w:val="0"/>
          <w:color w:val="FF0000"/>
          <w:u w:val="single"/>
        </w:rPr>
        <w:t>Los republicanos se equivocan</w:t>
      </w:r>
      <w:r w:rsidRPr="00C632D8">
        <w:rPr>
          <w:rStyle w:val="Textoennegrita"/>
          <w:color w:val="FF0000"/>
          <w:u w:val="single"/>
        </w:rPr>
        <w:t>.</w:t>
      </w:r>
      <w:r w:rsidRPr="00C632D8">
        <w:rPr>
          <w:color w:val="FF0000"/>
          <w:u w:val="single"/>
        </w:rPr>
        <w:t xml:space="preserve"> El </w:t>
      </w:r>
      <w:r w:rsidR="00BE3369">
        <w:rPr>
          <w:color w:val="FF0000"/>
          <w:u w:val="single"/>
        </w:rPr>
        <w:t>“</w:t>
      </w:r>
      <w:r w:rsidRPr="00BE3369">
        <w:rPr>
          <w:rStyle w:val="nfasis"/>
          <w:rFonts w:eastAsiaTheme="majorEastAsia"/>
          <w:i w:val="0"/>
          <w:color w:val="FF0000"/>
          <w:u w:val="single"/>
        </w:rPr>
        <w:t>Obamacare</w:t>
      </w:r>
      <w:r w:rsidR="00BE3369">
        <w:rPr>
          <w:rStyle w:val="nfasis"/>
          <w:rFonts w:eastAsiaTheme="majorEastAsia"/>
          <w:i w:val="0"/>
          <w:color w:val="FF0000"/>
          <w:u w:val="single"/>
        </w:rPr>
        <w:t>”</w:t>
      </w:r>
      <w:r w:rsidRPr="00C632D8">
        <w:rPr>
          <w:color w:val="FF0000"/>
          <w:u w:val="single"/>
        </w:rPr>
        <w:t xml:space="preserve"> no tiene absolutamente nada que ver con el dulce socialismo europeo. Es una versión limitada del modelo suizo de salud, rabiosamente conservador y muy de acuerdo con un principio básico del liberalismo </w:t>
      </w:r>
      <w:r w:rsidRPr="00C632D8">
        <w:rPr>
          <w:color w:val="FF0000"/>
          <w:u w:val="single"/>
        </w:rPr>
        <w:lastRenderedPageBreak/>
        <w:t>clásico: las personas deben ser responsables de sus vidas. Cada palo debe aguantar su vela.</w:t>
      </w:r>
    </w:p>
    <w:p w:rsidR="00787AC5" w:rsidRPr="00C632D8" w:rsidRDefault="00787AC5" w:rsidP="00550638">
      <w:pPr>
        <w:pStyle w:val="NormalWeb"/>
        <w:jc w:val="both"/>
        <w:rPr>
          <w:color w:val="FF0000"/>
          <w:u w:val="single"/>
        </w:rPr>
      </w:pPr>
      <w:r w:rsidRPr="00375C6C">
        <w:rPr>
          <w:rStyle w:val="Textoennegrita"/>
          <w:b w:val="0"/>
          <w:color w:val="FF0000"/>
          <w:u w:val="single"/>
        </w:rPr>
        <w:t>Los suizos tienen uno de los mejores sistemas de salud del mundo.</w:t>
      </w:r>
      <w:r w:rsidRPr="00C632D8">
        <w:rPr>
          <w:rStyle w:val="Textoennegrita"/>
          <w:color w:val="FF0000"/>
          <w:u w:val="single"/>
        </w:rPr>
        <w:t xml:space="preserve"> </w:t>
      </w:r>
      <w:r w:rsidRPr="00C632D8">
        <w:rPr>
          <w:color w:val="FF0000"/>
          <w:u w:val="single"/>
        </w:rPr>
        <w:t xml:space="preserve">Es eficiente, rápido, y con un altísimo nivel científico. Todas las personas que viven en el país, incluso los ilegales, desde que nacen hasta que mueren, tienen que suscribir un seguro de salud en una de las 93 compañías privadas que lo ofrecen y compiten en precio y calidad. El Estado federal regula las prestaciones de esos seguros o </w:t>
      </w:r>
      <w:r w:rsidR="00BE3369">
        <w:rPr>
          <w:color w:val="FF0000"/>
          <w:u w:val="single"/>
        </w:rPr>
        <w:t>“</w:t>
      </w:r>
      <w:r w:rsidRPr="00BE3369">
        <w:rPr>
          <w:rStyle w:val="nfasis"/>
          <w:rFonts w:eastAsiaTheme="majorEastAsia"/>
          <w:i w:val="0"/>
          <w:color w:val="FF0000"/>
          <w:u w:val="single"/>
        </w:rPr>
        <w:t>cajas de enfermedad</w:t>
      </w:r>
      <w:r w:rsidR="00BE3369">
        <w:rPr>
          <w:rStyle w:val="nfasis"/>
          <w:rFonts w:eastAsiaTheme="majorEastAsia"/>
          <w:i w:val="0"/>
          <w:color w:val="FF0000"/>
          <w:u w:val="single"/>
        </w:rPr>
        <w:t>”</w:t>
      </w:r>
      <w:r w:rsidRPr="00C632D8">
        <w:rPr>
          <w:color w:val="FF0000"/>
          <w:u w:val="single"/>
        </w:rPr>
        <w:t xml:space="preserve"> y los cantones los administran. Si alguien no puede pagar por el seguro, el cantón se ocupa de sufragar esos gastos.</w:t>
      </w:r>
    </w:p>
    <w:p w:rsidR="00787AC5" w:rsidRPr="00DB0AA9" w:rsidRDefault="00787AC5" w:rsidP="00550638">
      <w:pPr>
        <w:pStyle w:val="NormalWeb"/>
        <w:jc w:val="both"/>
        <w:rPr>
          <w:u w:val="single"/>
        </w:rPr>
      </w:pPr>
      <w:r w:rsidRPr="00C632D8">
        <w:rPr>
          <w:color w:val="FF0000"/>
          <w:u w:val="single"/>
        </w:rPr>
        <w:t>El sistema de salud suizo no es barato. Consume aproximadamente un 12% del PIB nacional (que es la media de los países de ODCE), pero en Estados Unidos es casi el 18%, mientras las medicinas son las más caras del planeta</w:t>
      </w:r>
      <w:r>
        <w:t xml:space="preserve">. </w:t>
      </w:r>
      <w:r w:rsidRPr="00DB0AA9">
        <w:rPr>
          <w:u w:val="single"/>
        </w:rPr>
        <w:t xml:space="preserve">En Estados Unidos, además, hasta la promulgación del </w:t>
      </w:r>
      <w:r w:rsidR="00BE3369">
        <w:rPr>
          <w:u w:val="single"/>
        </w:rPr>
        <w:t>“</w:t>
      </w:r>
      <w:r w:rsidRPr="00BE3369">
        <w:rPr>
          <w:rStyle w:val="nfasis"/>
          <w:rFonts w:eastAsiaTheme="majorEastAsia"/>
          <w:i w:val="0"/>
          <w:u w:val="single"/>
        </w:rPr>
        <w:t>Obamacare</w:t>
      </w:r>
      <w:r w:rsidR="00BE3369">
        <w:rPr>
          <w:rStyle w:val="nfasis"/>
          <w:rFonts w:eastAsiaTheme="majorEastAsia"/>
          <w:i w:val="0"/>
          <w:u w:val="single"/>
        </w:rPr>
        <w:t>”</w:t>
      </w:r>
      <w:r w:rsidRPr="00DB0AA9">
        <w:rPr>
          <w:u w:val="single"/>
        </w:rPr>
        <w:t xml:space="preserve">, existía </w:t>
      </w:r>
      <w:r w:rsidRPr="00375C6C">
        <w:rPr>
          <w:rStyle w:val="Textoennegrita"/>
          <w:b w:val="0"/>
          <w:u w:val="single"/>
        </w:rPr>
        <w:t>esa vergüenza increíble</w:t>
      </w:r>
      <w:r w:rsidRPr="00DB0AA9">
        <w:rPr>
          <w:u w:val="single"/>
        </w:rPr>
        <w:t xml:space="preserve"> de las personas a las que se les negaba un seguro médico por padecer alguna enfermedad crónica, o se les exigía una cantidad inalcanzable de dinero por la prima. Eso es indigno de la primera economía del planeta.</w:t>
      </w:r>
    </w:p>
    <w:p w:rsidR="00787AC5" w:rsidRPr="00DB0AA9" w:rsidRDefault="00787AC5" w:rsidP="00550638">
      <w:pPr>
        <w:pStyle w:val="NormalWeb"/>
        <w:jc w:val="both"/>
        <w:rPr>
          <w:u w:val="single"/>
        </w:rPr>
      </w:pPr>
      <w:r w:rsidRPr="00375C6C">
        <w:rPr>
          <w:rStyle w:val="Textoennegrita"/>
          <w:b w:val="0"/>
          <w:u w:val="single"/>
        </w:rPr>
        <w:t xml:space="preserve">El </w:t>
      </w:r>
      <w:r w:rsidR="00BE3369">
        <w:rPr>
          <w:rStyle w:val="Textoennegrita"/>
          <w:b w:val="0"/>
          <w:u w:val="single"/>
        </w:rPr>
        <w:t>“</w:t>
      </w:r>
      <w:r w:rsidRPr="00BE3369">
        <w:rPr>
          <w:rStyle w:val="nfasis"/>
          <w:rFonts w:eastAsiaTheme="majorEastAsia"/>
          <w:bCs/>
          <w:i w:val="0"/>
          <w:u w:val="single"/>
        </w:rPr>
        <w:t>Obamacare</w:t>
      </w:r>
      <w:r w:rsidR="00BE3369">
        <w:rPr>
          <w:rStyle w:val="nfasis"/>
          <w:rFonts w:eastAsiaTheme="majorEastAsia"/>
          <w:bCs/>
          <w:i w:val="0"/>
          <w:u w:val="single"/>
        </w:rPr>
        <w:t>”</w:t>
      </w:r>
      <w:r w:rsidRPr="00375C6C">
        <w:rPr>
          <w:rStyle w:val="Textoennegrita"/>
          <w:b w:val="0"/>
          <w:u w:val="single"/>
        </w:rPr>
        <w:t xml:space="preserve"> se parece mucho al modelo suizo</w:t>
      </w:r>
      <w:r w:rsidRPr="00DB0AA9">
        <w:rPr>
          <w:u w:val="single"/>
        </w:rPr>
        <w:t>, pese a los defectos que posee. Es un claro error, por ejemplo, que los indocumentados no puedan adquirir ese seguro de salud. Ello implica que, cuando se enfermen y deban atenderlos en los hospitales públicos, algo absolutamente justificable, los gastos acabe por afrontarlos el conjunto de la sociedad. Por acosar y perjudicar a los indocumentados, los legisladores acaban acosando y perjudicando a los ciudadanos y residentes legítimos.</w:t>
      </w:r>
    </w:p>
    <w:p w:rsidR="00787AC5" w:rsidRPr="00DB0AA9" w:rsidRDefault="00787AC5" w:rsidP="00550638">
      <w:pPr>
        <w:pStyle w:val="NormalWeb"/>
        <w:jc w:val="both"/>
        <w:rPr>
          <w:u w:val="single"/>
        </w:rPr>
      </w:pPr>
      <w:r>
        <w:t xml:space="preserve">Algo muy parecido a lo que sucede cuando a los indocumentados les niegan o complican innecesariamente el acceso a la ciudadanía. Todos los estudios serios demuestran que las personas con ciudadanía plena crean más riquezas y ahorros que quienes padecen la incertidumbre de una residencia precaria y limitada. </w:t>
      </w:r>
      <w:r w:rsidRPr="00375C6C">
        <w:rPr>
          <w:rStyle w:val="Textoennegrita"/>
          <w:b w:val="0"/>
          <w:u w:val="single"/>
        </w:rPr>
        <w:t xml:space="preserve">Ser </w:t>
      </w:r>
      <w:r w:rsidR="00910787">
        <w:rPr>
          <w:rStyle w:val="Textoennegrita"/>
          <w:b w:val="0"/>
          <w:u w:val="single"/>
        </w:rPr>
        <w:t>“</w:t>
      </w:r>
      <w:r w:rsidRPr="00910787">
        <w:rPr>
          <w:rStyle w:val="nfasis"/>
          <w:rFonts w:eastAsiaTheme="majorEastAsia"/>
          <w:bCs/>
          <w:i w:val="0"/>
          <w:u w:val="single"/>
        </w:rPr>
        <w:t>duro</w:t>
      </w:r>
      <w:r w:rsidR="00910787">
        <w:rPr>
          <w:rStyle w:val="nfasis"/>
          <w:rFonts w:eastAsiaTheme="majorEastAsia"/>
          <w:bCs/>
          <w:i w:val="0"/>
          <w:u w:val="single"/>
        </w:rPr>
        <w:t>”</w:t>
      </w:r>
      <w:r w:rsidRPr="00910787">
        <w:rPr>
          <w:rStyle w:val="Textoennegrita"/>
          <w:i/>
          <w:u w:val="single"/>
        </w:rPr>
        <w:t xml:space="preserve"> </w:t>
      </w:r>
      <w:r w:rsidRPr="00375C6C">
        <w:rPr>
          <w:rStyle w:val="Textoennegrita"/>
          <w:b w:val="0"/>
          <w:u w:val="single"/>
        </w:rPr>
        <w:t>con los inmigrantes indocumentados</w:t>
      </w:r>
      <w:r w:rsidRPr="00DB0AA9">
        <w:rPr>
          <w:rStyle w:val="Textoennegrita"/>
          <w:u w:val="single"/>
        </w:rPr>
        <w:t xml:space="preserve"> </w:t>
      </w:r>
      <w:r w:rsidRPr="00DB0AA9">
        <w:rPr>
          <w:u w:val="single"/>
        </w:rPr>
        <w:t>es la manera más veloz de quedarse tuerto por ver al otro ciego.</w:t>
      </w:r>
    </w:p>
    <w:p w:rsidR="00787AC5" w:rsidRDefault="00787AC5" w:rsidP="00550638">
      <w:pPr>
        <w:pStyle w:val="NormalWeb"/>
        <w:jc w:val="both"/>
      </w:pPr>
      <w:r w:rsidRPr="00375C6C">
        <w:rPr>
          <w:rStyle w:val="Textoennegrita"/>
          <w:b w:val="0"/>
          <w:u w:val="single"/>
        </w:rPr>
        <w:t>Los demócratas también se equivocan</w:t>
      </w:r>
      <w:r w:rsidRPr="00375C6C">
        <w:rPr>
          <w:b/>
          <w:u w:val="single"/>
        </w:rPr>
        <w:t xml:space="preserve">. </w:t>
      </w:r>
      <w:r w:rsidRPr="00DB0AA9">
        <w:rPr>
          <w:u w:val="single"/>
        </w:rPr>
        <w:t>Es una insensatez del Gobierno de Obama continuar endeudando al país. La deuda nacional ya anda por los 17 billones (</w:t>
      </w:r>
      <w:r w:rsidRPr="00BE3369">
        <w:rPr>
          <w:rStyle w:val="nfasis"/>
          <w:rFonts w:eastAsiaTheme="majorEastAsia"/>
          <w:i w:val="0"/>
          <w:u w:val="single"/>
        </w:rPr>
        <w:t>trillions</w:t>
      </w:r>
      <w:r w:rsidRPr="00BE3369">
        <w:rPr>
          <w:i/>
          <w:u w:val="single"/>
        </w:rPr>
        <w:t xml:space="preserve"> </w:t>
      </w:r>
      <w:r w:rsidRPr="00DB0AA9">
        <w:rPr>
          <w:u w:val="single"/>
        </w:rPr>
        <w:t xml:space="preserve">en inglés). Todos los días de Dios esa deuda crece en más de 1.800 millones de dólares. Ya excede al PIB nacional (16 billones o </w:t>
      </w:r>
      <w:r w:rsidRPr="00BE3369">
        <w:rPr>
          <w:rStyle w:val="nfasis"/>
          <w:rFonts w:eastAsiaTheme="majorEastAsia"/>
          <w:i w:val="0"/>
          <w:u w:val="single"/>
        </w:rPr>
        <w:t>trillions</w:t>
      </w:r>
      <w:r w:rsidRPr="00DB0AA9">
        <w:rPr>
          <w:u w:val="single"/>
        </w:rPr>
        <w:t xml:space="preserve">). Invito al lector a entrar a </w:t>
      </w:r>
      <w:hyperlink r:id="rId403" w:tgtFrame="_blank" w:history="1">
        <w:r w:rsidRPr="00182E38">
          <w:rPr>
            <w:rStyle w:val="Hipervnculo"/>
            <w:rFonts w:eastAsiaTheme="majorEastAsia"/>
            <w:color w:val="auto"/>
          </w:rPr>
          <w:t xml:space="preserve">la web </w:t>
        </w:r>
        <w:r w:rsidRPr="00182E38">
          <w:rPr>
            <w:rStyle w:val="nfasis"/>
            <w:rFonts w:eastAsiaTheme="majorEastAsia"/>
            <w:u w:val="single"/>
          </w:rPr>
          <w:t>U. S. Government Debt</w:t>
        </w:r>
      </w:hyperlink>
      <w:r w:rsidRPr="00DB0AA9">
        <w:rPr>
          <w:u w:val="single"/>
        </w:rPr>
        <w:t xml:space="preserve"> para que vea en movimiento el cuadro de las finanzas públicas</w:t>
      </w:r>
      <w:r>
        <w:t>. Si no se asusta o deprime es porque padece una patológica indiferencia ante el horror o le han hecho una lobotomía radical.</w:t>
      </w:r>
    </w:p>
    <w:p w:rsidR="00787AC5" w:rsidRPr="00C660AD" w:rsidRDefault="00787AC5" w:rsidP="00550638">
      <w:pPr>
        <w:pStyle w:val="NormalWeb"/>
        <w:jc w:val="both"/>
        <w:rPr>
          <w:color w:val="FF0000"/>
          <w:u w:val="single"/>
        </w:rPr>
      </w:pPr>
      <w:r w:rsidRPr="00C660AD">
        <w:rPr>
          <w:color w:val="FF0000"/>
          <w:u w:val="single"/>
        </w:rPr>
        <w:t xml:space="preserve">Hoy los intereses son los más bajos de la historia y, pese a ello, de cada dólar que se paga por impuestos al Gobierno federal, veinticinco centavos van a parar a los tenedores de deuda pública. Si los intereses subieran al 5%, que se acerca a la media histórica, la mitad de los impuestos iría a pagar intereses. Como esa situación es impensable, dados los compromisos con la Seguridad Social, el </w:t>
      </w:r>
      <w:r w:rsidR="00BE3369">
        <w:rPr>
          <w:color w:val="FF0000"/>
          <w:u w:val="single"/>
        </w:rPr>
        <w:t>“</w:t>
      </w:r>
      <w:r w:rsidRPr="00BE3369">
        <w:rPr>
          <w:rStyle w:val="nfasis"/>
          <w:rFonts w:eastAsiaTheme="majorEastAsia"/>
          <w:i w:val="0"/>
          <w:color w:val="FF0000"/>
          <w:u w:val="single"/>
        </w:rPr>
        <w:t>Medicare</w:t>
      </w:r>
      <w:r w:rsidR="00BE3369">
        <w:rPr>
          <w:rStyle w:val="nfasis"/>
          <w:rFonts w:eastAsiaTheme="majorEastAsia"/>
          <w:i w:val="0"/>
          <w:color w:val="FF0000"/>
          <w:u w:val="single"/>
        </w:rPr>
        <w:t>”</w:t>
      </w:r>
      <w:r w:rsidR="00182E38">
        <w:rPr>
          <w:color w:val="FF0000"/>
          <w:u w:val="single"/>
        </w:rPr>
        <w:t xml:space="preserve"> y Defensa -</w:t>
      </w:r>
      <w:r w:rsidRPr="00C660AD">
        <w:rPr>
          <w:color w:val="FF0000"/>
          <w:u w:val="single"/>
        </w:rPr>
        <w:t xml:space="preserve">los tres leones </w:t>
      </w:r>
      <w:r w:rsidR="00182E38">
        <w:rPr>
          <w:color w:val="FF0000"/>
          <w:u w:val="single"/>
        </w:rPr>
        <w:t>hambrientos del presupuesto-</w:t>
      </w:r>
      <w:r w:rsidRPr="00C660AD">
        <w:rPr>
          <w:color w:val="FF0000"/>
          <w:u w:val="single"/>
        </w:rPr>
        <w:t xml:space="preserve">, habría que </w:t>
      </w:r>
      <w:r w:rsidRPr="00375C6C">
        <w:rPr>
          <w:rStyle w:val="Textoennegrita"/>
          <w:b w:val="0"/>
          <w:color w:val="FF0000"/>
          <w:u w:val="single"/>
        </w:rPr>
        <w:t>aumentar los impuestos</w:t>
      </w:r>
      <w:r w:rsidRPr="00C660AD">
        <w:rPr>
          <w:color w:val="FF0000"/>
          <w:u w:val="single"/>
        </w:rPr>
        <w:t xml:space="preserve"> y todo el aparato productivo disminuiría su capacidad de crear riquezas.</w:t>
      </w:r>
    </w:p>
    <w:p w:rsidR="00787AC5" w:rsidRPr="00C660AD" w:rsidRDefault="00787AC5" w:rsidP="00550638">
      <w:pPr>
        <w:pStyle w:val="NormalWeb"/>
        <w:jc w:val="both"/>
        <w:rPr>
          <w:u w:val="single"/>
        </w:rPr>
      </w:pPr>
      <w:r>
        <w:lastRenderedPageBreak/>
        <w:t xml:space="preserve">Pero los políticos no están locos ni son más irresponsables que los cocineros o los vendedores de camisas. Los políticos, como suele decir el diputado español Miguel Ángel Cortés, sólo son </w:t>
      </w:r>
      <w:r w:rsidR="00182E38" w:rsidRPr="00375C6C">
        <w:rPr>
          <w:rStyle w:val="Textoennegrita"/>
          <w:b w:val="0"/>
        </w:rPr>
        <w:t>“</w:t>
      </w:r>
      <w:r w:rsidRPr="00375C6C">
        <w:rPr>
          <w:rStyle w:val="Textoennegrita"/>
          <w:b w:val="0"/>
        </w:rPr>
        <w:t>animales fe</w:t>
      </w:r>
      <w:r w:rsidR="00182E38" w:rsidRPr="00375C6C">
        <w:rPr>
          <w:rStyle w:val="Textoennegrita"/>
          <w:b w:val="0"/>
        </w:rPr>
        <w:t>roces que se alimentan de votos”</w:t>
      </w:r>
      <w:r w:rsidRPr="00375C6C">
        <w:rPr>
          <w:b/>
        </w:rPr>
        <w:t>.</w:t>
      </w:r>
      <w:r>
        <w:t xml:space="preserve"> Y estas peculiares criaturas responden a los intereses de corto plazo de sus electores. La estupidez keynesiana de que </w:t>
      </w:r>
      <w:r w:rsidR="00182E38">
        <w:t>“</w:t>
      </w:r>
      <w:r>
        <w:t>a larg</w:t>
      </w:r>
      <w:r w:rsidR="00182E38">
        <w:t>o plazo todos estaremos muertos”</w:t>
      </w:r>
      <w:r>
        <w:t xml:space="preserve"> no sirve de consuelo. </w:t>
      </w:r>
      <w:r w:rsidRPr="00C660AD">
        <w:rPr>
          <w:u w:val="single"/>
        </w:rPr>
        <w:t>Si no se frena esta locura, a largo plazo todos estaremos en la ruina. Algo que se parece a la muerte.</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r w:rsidRPr="009973F6">
        <w:rPr>
          <w:rFonts w:ascii="Times New Roman" w:eastAsia="Times New Roman" w:hAnsi="Times New Roman" w:cs="Times New Roman"/>
          <w:sz w:val="24"/>
          <w:szCs w:val="24"/>
        </w:rPr>
        <w:t xml:space="preserve">- </w:t>
      </w:r>
      <w:r w:rsidRPr="009973F6">
        <w:rPr>
          <w:rFonts w:ascii="Times New Roman" w:eastAsia="Times New Roman" w:hAnsi="Times New Roman" w:cs="Times New Roman"/>
          <w:sz w:val="24"/>
          <w:szCs w:val="24"/>
          <w:u w:val="single"/>
        </w:rPr>
        <w:t>El error fatal de Obamacare</w:t>
      </w:r>
      <w:r>
        <w:rPr>
          <w:rFonts w:ascii="Times New Roman" w:eastAsia="Times New Roman" w:hAnsi="Times New Roman" w:cs="Times New Roman"/>
          <w:sz w:val="24"/>
          <w:szCs w:val="24"/>
        </w:rPr>
        <w:t xml:space="preserve"> (Project Syndicate - </w:t>
      </w:r>
      <w:r w:rsidRPr="009973F6">
        <w:rPr>
          <w:rFonts w:ascii="Times New Roman" w:eastAsia="Times New Roman" w:hAnsi="Times New Roman" w:cs="Times New Roman"/>
          <w:b/>
          <w:sz w:val="24"/>
          <w:szCs w:val="24"/>
        </w:rPr>
        <w:t>29/10/13</w:t>
      </w:r>
      <w:r>
        <w:rPr>
          <w:rFonts w:ascii="Times New Roman" w:eastAsia="Times New Roman" w:hAnsi="Times New Roman" w:cs="Times New Roman"/>
          <w:sz w:val="24"/>
          <w:szCs w:val="24"/>
        </w:rPr>
        <w:t>)</w:t>
      </w:r>
      <w:r w:rsidRPr="009973F6">
        <w:rPr>
          <w:rFonts w:ascii="Times New Roman" w:eastAsia="Times New Roman" w:hAnsi="Times New Roman" w:cs="Times New Roman"/>
          <w:sz w:val="24"/>
          <w:szCs w:val="24"/>
        </w:rPr>
        <w:tab/>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6C0D48" w:rsidRDefault="00571F71" w:rsidP="00550638">
      <w:pPr>
        <w:shd w:val="clear" w:color="auto" w:fill="FFFFFF"/>
        <w:spacing w:after="0" w:line="240" w:lineRule="auto"/>
        <w:jc w:val="both"/>
        <w:rPr>
          <w:rFonts w:ascii="Times New Roman" w:eastAsia="Times New Roman" w:hAnsi="Times New Roman" w:cs="Times New Roman"/>
          <w:sz w:val="24"/>
          <w:szCs w:val="24"/>
        </w:rPr>
      </w:pPr>
      <w:r w:rsidRPr="009973F6">
        <w:rPr>
          <w:rFonts w:ascii="Times New Roman" w:eastAsia="Times New Roman" w:hAnsi="Times New Roman" w:cs="Times New Roman"/>
          <w:sz w:val="24"/>
          <w:szCs w:val="24"/>
        </w:rPr>
        <w:t xml:space="preserve">(Por </w:t>
      </w:r>
      <w:r w:rsidRPr="006C0D48">
        <w:rPr>
          <w:rFonts w:ascii="Times New Roman" w:eastAsia="Times New Roman" w:hAnsi="Times New Roman" w:cs="Times New Roman"/>
          <w:sz w:val="24"/>
          <w:szCs w:val="24"/>
        </w:rPr>
        <w:t>Martin Feldstein)</w:t>
      </w:r>
      <w:r w:rsidR="00182E38">
        <w:rPr>
          <w:rFonts w:ascii="Times New Roman" w:eastAsia="Times New Roman" w:hAnsi="Times New Roman" w:cs="Times New Roman"/>
          <w:sz w:val="24"/>
          <w:szCs w:val="24"/>
        </w:rPr>
        <w:t xml:space="preserve">                                                                       Lectura recomendada</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9973F6" w:rsidRDefault="00182E38" w:rsidP="0055063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Cambridge.-</w:t>
      </w:r>
      <w:r w:rsidR="00571F71" w:rsidRPr="009973F6">
        <w:rPr>
          <w:rFonts w:ascii="Times New Roman" w:eastAsia="Times New Roman" w:hAnsi="Times New Roman" w:cs="Times New Roman"/>
          <w:sz w:val="24"/>
          <w:szCs w:val="24"/>
        </w:rPr>
        <w:t xml:space="preserve"> Obamacare, conocido oficialmente como la Ley de Protección al Paciente y Cuidado de Salud Asequible, es el programa de seguro de salud implem</w:t>
      </w:r>
      <w:r>
        <w:rPr>
          <w:rFonts w:ascii="Times New Roman" w:eastAsia="Times New Roman" w:hAnsi="Times New Roman" w:cs="Times New Roman"/>
          <w:sz w:val="24"/>
          <w:szCs w:val="24"/>
        </w:rPr>
        <w:t>entado por el presidente de EEUU</w:t>
      </w:r>
      <w:r w:rsidR="00571F71" w:rsidRPr="009973F6">
        <w:rPr>
          <w:rFonts w:ascii="Times New Roman" w:eastAsia="Times New Roman" w:hAnsi="Times New Roman" w:cs="Times New Roman"/>
          <w:sz w:val="24"/>
          <w:szCs w:val="24"/>
        </w:rPr>
        <w:t xml:space="preserve"> Barack Obama y los congresistas demócratas a pesar de la oposición unánime de los congresistas republicanos. Fue diseñado para cubrir a los estadounidenses sin seguro público o privado de salud: aproximadamente</w:t>
      </w:r>
      <w:r>
        <w:rPr>
          <w:rFonts w:ascii="Times New Roman" w:eastAsia="Times New Roman" w:hAnsi="Times New Roman" w:cs="Times New Roman"/>
          <w:sz w:val="24"/>
          <w:szCs w:val="24"/>
        </w:rPr>
        <w:t xml:space="preserve"> el 15 % de la población de EE</w:t>
      </w:r>
      <w:r w:rsidR="00571F71" w:rsidRPr="009973F6">
        <w:rPr>
          <w:rFonts w:ascii="Times New Roman" w:eastAsia="Times New Roman" w:hAnsi="Times New Roman" w:cs="Times New Roman"/>
          <w:sz w:val="24"/>
          <w:szCs w:val="24"/>
        </w:rPr>
        <w:t>UU.</w:t>
      </w:r>
    </w:p>
    <w:p w:rsidR="00571F71"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r w:rsidRPr="009973F6">
        <w:rPr>
          <w:rFonts w:ascii="Times New Roman" w:eastAsia="Times New Roman" w:hAnsi="Times New Roman" w:cs="Times New Roman"/>
          <w:sz w:val="24"/>
          <w:szCs w:val="24"/>
        </w:rPr>
        <w:t>Quienes se oponen a Obamacare fracasaron en su intento por detenerlo en los tribunales y, más recientemente, en el Congreso. El programa fue entonces lanzado formalmente el 1 de octubre. Si bien se vio obstaculizado por una gran variedad de problemas informáticos y otras dificultades técnicas, es probable que esté en funcionamiento en algún momento de 2014.</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6C0D48" w:rsidRDefault="00571F71" w:rsidP="00550638">
      <w:pPr>
        <w:shd w:val="clear" w:color="auto" w:fill="FFFFFF"/>
        <w:spacing w:after="0" w:line="240" w:lineRule="auto"/>
        <w:jc w:val="both"/>
        <w:rPr>
          <w:rFonts w:ascii="Times New Roman" w:eastAsia="Times New Roman" w:hAnsi="Times New Roman" w:cs="Times New Roman"/>
          <w:sz w:val="24"/>
          <w:szCs w:val="24"/>
          <w:u w:val="single"/>
        </w:rPr>
      </w:pPr>
      <w:r w:rsidRPr="004C427D">
        <w:rPr>
          <w:rFonts w:ascii="Times New Roman" w:eastAsia="Times New Roman" w:hAnsi="Times New Roman" w:cs="Times New Roman"/>
          <w:sz w:val="24"/>
          <w:szCs w:val="24"/>
          <w:u w:val="single"/>
        </w:rPr>
        <w:t xml:space="preserve">La gran pregunta es si actuará como se pretende y si sobrevivirá permanentemente. </w:t>
      </w:r>
      <w:r w:rsidRPr="006C0D48">
        <w:rPr>
          <w:rFonts w:ascii="Times New Roman" w:eastAsia="Times New Roman" w:hAnsi="Times New Roman" w:cs="Times New Roman"/>
          <w:sz w:val="24"/>
          <w:szCs w:val="24"/>
          <w:u w:val="single"/>
        </w:rPr>
        <w:t>Existe un grave riesgo de que no lo haga.</w:t>
      </w:r>
    </w:p>
    <w:p w:rsidR="00571F71" w:rsidRPr="006C0D48"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4C427D" w:rsidRDefault="00571F71"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r w:rsidRPr="004C427D">
        <w:rPr>
          <w:rFonts w:ascii="Times New Roman" w:eastAsia="Times New Roman" w:hAnsi="Times New Roman" w:cs="Times New Roman"/>
          <w:color w:val="FF0000"/>
          <w:sz w:val="24"/>
          <w:szCs w:val="24"/>
          <w:u w:val="single"/>
        </w:rPr>
        <w:t>El posible error fatal de Obamacare es la propia característica que más atrae a sus partidarios: que incluso quienes tengan graves enfermedades preexistentes podrán asegurarse y pagar la prima estándar.</w:t>
      </w:r>
    </w:p>
    <w:p w:rsidR="00571F71" w:rsidRPr="004C427D" w:rsidRDefault="00571F71"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p>
    <w:p w:rsidR="00571F71" w:rsidRPr="004C427D" w:rsidRDefault="00571F71"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r w:rsidRPr="004C427D">
        <w:rPr>
          <w:rFonts w:ascii="Times New Roman" w:eastAsia="Times New Roman" w:hAnsi="Times New Roman" w:cs="Times New Roman"/>
          <w:color w:val="FF0000"/>
          <w:sz w:val="24"/>
          <w:szCs w:val="24"/>
          <w:u w:val="single"/>
        </w:rPr>
        <w:t>Esa característica fomentará que quienes no estén enfermos no contraten seguros, o incluso cancelen los que ya tienen, hasta que les diagnostiquen problemas médicos potencialmente costosos. El desplazamiento resultante en las inscripciones, de asegurados de bajo costo a otros que previsiblemente tendrán costos elevados, aumentará los gastos por persona de las aseguradoras y, con ellos, las primas que deberán cobrar. A medida que aumenten las primas, aún más personas relativamente sanas tendrán incentivos para abandonar sus seguros hasta estar enfermas, lo que aumentará aún más los costos y las primas promedio.</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4C427D" w:rsidRDefault="00571F71"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r w:rsidRPr="004C427D">
        <w:rPr>
          <w:rFonts w:ascii="Times New Roman" w:eastAsia="Times New Roman" w:hAnsi="Times New Roman" w:cs="Times New Roman"/>
          <w:color w:val="FF0000"/>
          <w:sz w:val="24"/>
          <w:szCs w:val="24"/>
          <w:u w:val="single"/>
        </w:rPr>
        <w:t>Con esta cuestión en mente, quienes diseñaron Obamacare decidieron que la adquisición del seguro sea «obligatoria». Más específicamente, los empleadores con más de 50 empleados tendrán que adquirir una póliza de seguro aprobada para sus empleados «a tiempo completo» después de 2014. Quienes no reciban el seguro de sus empleadores deberán contratarlo por sí mismos (y quienes tengan bajos ingresos recibirán un subsidio del gobierno).</w:t>
      </w:r>
    </w:p>
    <w:p w:rsidR="00571F71" w:rsidRPr="004C427D" w:rsidRDefault="00571F71"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p>
    <w:p w:rsidR="00571F71" w:rsidRPr="004C427D" w:rsidRDefault="00571F71" w:rsidP="00550638">
      <w:pPr>
        <w:shd w:val="clear" w:color="auto" w:fill="FFFFFF"/>
        <w:spacing w:after="0" w:line="240" w:lineRule="auto"/>
        <w:jc w:val="both"/>
        <w:rPr>
          <w:rFonts w:ascii="Times New Roman" w:eastAsia="Times New Roman" w:hAnsi="Times New Roman" w:cs="Times New Roman"/>
          <w:sz w:val="24"/>
          <w:szCs w:val="24"/>
          <w:u w:val="single"/>
        </w:rPr>
      </w:pPr>
      <w:r w:rsidRPr="004C427D">
        <w:rPr>
          <w:rFonts w:ascii="Times New Roman" w:eastAsia="Times New Roman" w:hAnsi="Times New Roman" w:cs="Times New Roman"/>
          <w:sz w:val="24"/>
          <w:szCs w:val="24"/>
          <w:u w:val="single"/>
        </w:rPr>
        <w:t xml:space="preserve">Pero es poco probable que la obligación para los empleadores y el requisito personal resulten eficaces. Los empleadores pueden eludir la obligación reduciendo la cantidad </w:t>
      </w:r>
      <w:r w:rsidRPr="004C427D">
        <w:rPr>
          <w:rFonts w:ascii="Times New Roman" w:eastAsia="Times New Roman" w:hAnsi="Times New Roman" w:cs="Times New Roman"/>
          <w:sz w:val="24"/>
          <w:szCs w:val="24"/>
          <w:u w:val="single"/>
        </w:rPr>
        <w:lastRenderedPageBreak/>
        <w:t>de horas que trabajan los empleados a menos de 30 (la cantidad que la ley define como empleo a tiempo completo). Pero incluso en el caso de los empleados a tiempo completo, las empresas pueden optar por pagar una multa relativamente pequeña en vez de brindar el seguro. Esa multa es de $</w:t>
      </w:r>
      <w:r w:rsidR="00182E38">
        <w:rPr>
          <w:rFonts w:ascii="Times New Roman" w:eastAsia="Times New Roman" w:hAnsi="Times New Roman" w:cs="Times New Roman"/>
          <w:sz w:val="24"/>
          <w:szCs w:val="24"/>
          <w:u w:val="single"/>
        </w:rPr>
        <w:t xml:space="preserve"> </w:t>
      </w:r>
      <w:r w:rsidRPr="004C427D">
        <w:rPr>
          <w:rFonts w:ascii="Times New Roman" w:eastAsia="Times New Roman" w:hAnsi="Times New Roman" w:cs="Times New Roman"/>
          <w:sz w:val="24"/>
          <w:szCs w:val="24"/>
          <w:u w:val="single"/>
        </w:rPr>
        <w:t>2000 por empleado, mucho menos que la prima promedio actual de $</w:t>
      </w:r>
      <w:r w:rsidR="00182E38">
        <w:rPr>
          <w:rFonts w:ascii="Times New Roman" w:eastAsia="Times New Roman" w:hAnsi="Times New Roman" w:cs="Times New Roman"/>
          <w:sz w:val="24"/>
          <w:szCs w:val="24"/>
          <w:u w:val="single"/>
        </w:rPr>
        <w:t xml:space="preserve"> </w:t>
      </w:r>
      <w:r w:rsidRPr="004C427D">
        <w:rPr>
          <w:rFonts w:ascii="Times New Roman" w:eastAsia="Times New Roman" w:hAnsi="Times New Roman" w:cs="Times New Roman"/>
          <w:sz w:val="24"/>
          <w:szCs w:val="24"/>
          <w:u w:val="single"/>
        </w:rPr>
        <w:t>16000 para las pólizas familiares proporcionadas por los empleadores.</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4C427D" w:rsidRDefault="00571F71"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r w:rsidRPr="004C427D">
        <w:rPr>
          <w:rFonts w:ascii="Times New Roman" w:eastAsia="Times New Roman" w:hAnsi="Times New Roman" w:cs="Times New Roman"/>
          <w:color w:val="FF0000"/>
          <w:sz w:val="24"/>
          <w:szCs w:val="24"/>
          <w:u w:val="single"/>
        </w:rPr>
        <w:t>No brindar el seguro y pagar la multa es una opción particularmente atractiva para una empresa si sus empleados tienen ingresos que les dan derecho al subsidio gubernamental (que ahora está disponible para todas las personas cuyos ingresos se encuentran por debajo del cuádruple de la línea de pobreza). En vez de incurrir en el costo de una prima por una póliza aprobada, un empleador inteligente puede pagar la multa por no brindar el seguro y aumentar el pago a sus empleados lo suficiente como para que tengan más ingresos disponibles después de comprar la póliza de seguros subsidiada. Aún después de cubrir ambos pagos, los empleadores pueden quedar en una mejor situación financiera. Los informes presentados a través de las noticias indican que muchos empleadores ya están implementando esas acciones.</w:t>
      </w:r>
    </w:p>
    <w:p w:rsidR="00571F71" w:rsidRPr="004C427D" w:rsidRDefault="00571F71"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p>
    <w:p w:rsidR="00571F71" w:rsidRPr="004C427D" w:rsidRDefault="00571F71"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r w:rsidRPr="004C427D">
        <w:rPr>
          <w:rFonts w:ascii="Times New Roman" w:eastAsia="Times New Roman" w:hAnsi="Times New Roman" w:cs="Times New Roman"/>
          <w:color w:val="FF0000"/>
          <w:sz w:val="24"/>
          <w:szCs w:val="24"/>
          <w:u w:val="single"/>
        </w:rPr>
        <w:t>Pero el mayor peligro para la supervivencia de Obamacare es que muchas personas que no reciben seguros de sus empleadores elegirán no pagar el seguro por sí mismas y, en lugar de ello, pagarán el impuesto de tan solo el 1 % de su ingreso (que aumentará permanentemente al 2,5 % después de 2015). La alternativa elegida para esas personas es esperar a comprar el seguro cuando estén enfermos y enfrenten grandes gastos por servicios médicos.</w:t>
      </w:r>
    </w:p>
    <w:p w:rsidR="00571F71" w:rsidRPr="004C427D" w:rsidRDefault="00571F71"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p>
    <w:p w:rsidR="00571F71" w:rsidRPr="004C427D" w:rsidRDefault="00571F71" w:rsidP="00550638">
      <w:pPr>
        <w:shd w:val="clear" w:color="auto" w:fill="FFFFFF"/>
        <w:spacing w:after="0" w:line="240" w:lineRule="auto"/>
        <w:jc w:val="both"/>
        <w:rPr>
          <w:rFonts w:ascii="Times New Roman" w:eastAsia="Times New Roman" w:hAnsi="Times New Roman" w:cs="Times New Roman"/>
          <w:sz w:val="24"/>
          <w:szCs w:val="24"/>
          <w:u w:val="single"/>
        </w:rPr>
      </w:pPr>
      <w:r w:rsidRPr="004C427D">
        <w:rPr>
          <w:rFonts w:ascii="Times New Roman" w:eastAsia="Times New Roman" w:hAnsi="Times New Roman" w:cs="Times New Roman"/>
          <w:sz w:val="24"/>
          <w:szCs w:val="24"/>
          <w:u w:val="single"/>
        </w:rPr>
        <w:t>La estrategia de esperar para asegurarse tiene sentido si la enfermedad es crónica, como la diabetes, o requiere cirugía, como el cáncer o una hernia. En cualquiera de esos casos, la persona podrá comprar el seguro después de recibir el diagnóstico.</w:t>
      </w:r>
    </w:p>
    <w:p w:rsidR="00571F71" w:rsidRPr="004C427D" w:rsidRDefault="00571F71" w:rsidP="00550638">
      <w:pPr>
        <w:shd w:val="clear" w:color="auto" w:fill="FFFFFF"/>
        <w:spacing w:after="0" w:line="240" w:lineRule="auto"/>
        <w:jc w:val="both"/>
        <w:rPr>
          <w:rFonts w:ascii="Times New Roman" w:eastAsia="Times New Roman" w:hAnsi="Times New Roman" w:cs="Times New Roman"/>
          <w:sz w:val="24"/>
          <w:szCs w:val="24"/>
          <w:u w:val="single"/>
        </w:rPr>
      </w:pPr>
    </w:p>
    <w:p w:rsidR="00571F71" w:rsidRPr="004C427D" w:rsidRDefault="00571F71" w:rsidP="00550638">
      <w:pPr>
        <w:shd w:val="clear" w:color="auto" w:fill="FFFFFF"/>
        <w:spacing w:after="0" w:line="240" w:lineRule="auto"/>
        <w:jc w:val="both"/>
        <w:rPr>
          <w:rFonts w:ascii="Times New Roman" w:eastAsia="Times New Roman" w:hAnsi="Times New Roman" w:cs="Times New Roman"/>
          <w:sz w:val="24"/>
          <w:szCs w:val="24"/>
          <w:u w:val="single"/>
        </w:rPr>
      </w:pPr>
      <w:r w:rsidRPr="004C427D">
        <w:rPr>
          <w:rFonts w:ascii="Times New Roman" w:eastAsia="Times New Roman" w:hAnsi="Times New Roman" w:cs="Times New Roman"/>
          <w:sz w:val="24"/>
          <w:szCs w:val="24"/>
          <w:u w:val="single"/>
        </w:rPr>
        <w:t>Pero, ¿qué ocurre con problemas como un ataque al corazón o heridas por un accidente automovilístico? En esos casos, la persona no tendría tiempo para comprar el seguro de salud que permite la ley. Si no está asegurada, tendrá que enfrentar altos costos hospitalarios que podrían causarle graves dificultades financieras, o incluso impedirle recibir la atención necesaria. Todos quienes contemplen esa perspectiva pueden decidir abandonar la estrategia de espera e inscribirse inmediatamente.</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r w:rsidRPr="004C427D">
        <w:rPr>
          <w:rFonts w:ascii="Times New Roman" w:eastAsia="Times New Roman" w:hAnsi="Times New Roman" w:cs="Times New Roman"/>
          <w:sz w:val="24"/>
          <w:szCs w:val="24"/>
          <w:u w:val="single"/>
        </w:rPr>
        <w:t>Pero las empresas privadas de seguros podrían solucionar el problema a través de l</w:t>
      </w:r>
      <w:r w:rsidR="00182E38">
        <w:rPr>
          <w:rFonts w:ascii="Times New Roman" w:eastAsia="Times New Roman" w:hAnsi="Times New Roman" w:cs="Times New Roman"/>
          <w:sz w:val="24"/>
          <w:szCs w:val="24"/>
          <w:u w:val="single"/>
        </w:rPr>
        <w:t>a creación de un nuevo tipo de “</w:t>
      </w:r>
      <w:r w:rsidRPr="004C427D">
        <w:rPr>
          <w:rFonts w:ascii="Times New Roman" w:eastAsia="Times New Roman" w:hAnsi="Times New Roman" w:cs="Times New Roman"/>
          <w:sz w:val="24"/>
          <w:szCs w:val="24"/>
          <w:u w:val="single"/>
        </w:rPr>
        <w:t>segu</w:t>
      </w:r>
      <w:r w:rsidR="00182E38">
        <w:rPr>
          <w:rFonts w:ascii="Times New Roman" w:eastAsia="Times New Roman" w:hAnsi="Times New Roman" w:cs="Times New Roman"/>
          <w:sz w:val="24"/>
          <w:szCs w:val="24"/>
          <w:u w:val="single"/>
        </w:rPr>
        <w:t>ro de emergencia”</w:t>
      </w:r>
      <w:r w:rsidRPr="004C427D">
        <w:rPr>
          <w:rFonts w:ascii="Times New Roman" w:eastAsia="Times New Roman" w:hAnsi="Times New Roman" w:cs="Times New Roman"/>
          <w:sz w:val="24"/>
          <w:szCs w:val="24"/>
          <w:u w:val="single"/>
        </w:rPr>
        <w:t>, que tornaría innecesaria la inscripción y permitiría que las personas aprovechen la opción de esperar</w:t>
      </w:r>
      <w:r w:rsidRPr="009973F6">
        <w:rPr>
          <w:rFonts w:ascii="Times New Roman" w:eastAsia="Times New Roman" w:hAnsi="Times New Roman" w:cs="Times New Roman"/>
          <w:sz w:val="24"/>
          <w:szCs w:val="24"/>
        </w:rPr>
        <w:t>. Ese seguro cubriría los costos en los que el paciente incurriría después de un evento médico que no le diera tiempo a adquirir las pólizas ofrecidas a través de los intercambios de seguros de Obamacare. Los seguros de emergencia también cubrirían el costo de l</w:t>
      </w:r>
      <w:r w:rsidR="00182E38">
        <w:rPr>
          <w:rFonts w:ascii="Times New Roman" w:eastAsia="Times New Roman" w:hAnsi="Times New Roman" w:cs="Times New Roman"/>
          <w:sz w:val="24"/>
          <w:szCs w:val="24"/>
        </w:rPr>
        <w:t>a atención hasta el período de “inscripción abierta”</w:t>
      </w:r>
      <w:r w:rsidRPr="009973F6">
        <w:rPr>
          <w:rFonts w:ascii="Times New Roman" w:eastAsia="Times New Roman" w:hAnsi="Times New Roman" w:cs="Times New Roman"/>
          <w:sz w:val="24"/>
          <w:szCs w:val="24"/>
        </w:rPr>
        <w:t xml:space="preserve"> para la compra de seguros al final de cada año (si la presión política no conduce al rechazo de esa barrera temporaria al aseguramiento).</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r w:rsidRPr="004C427D">
        <w:rPr>
          <w:rFonts w:ascii="Times New Roman" w:eastAsia="Times New Roman" w:hAnsi="Times New Roman" w:cs="Times New Roman"/>
          <w:sz w:val="24"/>
          <w:szCs w:val="24"/>
          <w:u w:val="single"/>
        </w:rPr>
        <w:t>Este tipo de seguros es muy diferente de las pólizas con altos montos deducibles existentes. Dado el alcance extremadamente limitado y la naturaleza impredecible de las condiciones que cubriría, la prima por una póliza de ese tipo sería muy baja</w:t>
      </w:r>
      <w:r w:rsidRPr="009973F6">
        <w:rPr>
          <w:rFonts w:ascii="Times New Roman" w:eastAsia="Times New Roman" w:hAnsi="Times New Roman" w:cs="Times New Roman"/>
          <w:sz w:val="24"/>
          <w:szCs w:val="24"/>
        </w:rPr>
        <w:t xml:space="preserve">. No satisfaría los requisitos de amplia cobertura que exige Obamacare y obligaría a las </w:t>
      </w:r>
      <w:r w:rsidRPr="009973F6">
        <w:rPr>
          <w:rFonts w:ascii="Times New Roman" w:eastAsia="Times New Roman" w:hAnsi="Times New Roman" w:cs="Times New Roman"/>
          <w:sz w:val="24"/>
          <w:szCs w:val="24"/>
        </w:rPr>
        <w:lastRenderedPageBreak/>
        <w:t>personas a pagar la multa relativamente baja por la carencia de seguro y a incurrir en el costo subsiguiente de comprar una póliza completa en caso de necesitarla en el futuro. Pero la combinación de un seguro de emergencia con la estrategia de esperar para asegurarse aún sería financieramente preferible para muchas personas (cada vez más, a medida que las primas aumenten).</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r w:rsidRPr="009973F6">
        <w:rPr>
          <w:rFonts w:ascii="Times New Roman" w:eastAsia="Times New Roman" w:hAnsi="Times New Roman" w:cs="Times New Roman"/>
          <w:sz w:val="24"/>
          <w:szCs w:val="24"/>
        </w:rPr>
        <w:t>Los empleadores con gran cantidad de empleados a tiempo completo podrían alentar a sus compañías de seguros a crear las pólizas de emergencia. Podrían incluso decidir autoasegurar los riesgos de emergencia para sus empleados.</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Pr="004C427D" w:rsidRDefault="00182E38" w:rsidP="00550638">
      <w:pPr>
        <w:shd w:val="clear" w:color="auto" w:fill="FFFFFF"/>
        <w:spacing w:after="0" w:line="240" w:lineRule="auto"/>
        <w:jc w:val="both"/>
        <w:rPr>
          <w:rFonts w:ascii="Times New Roman" w:eastAsia="Times New Roman" w:hAnsi="Times New Roman" w:cs="Times New Roman"/>
          <w:color w:val="FF0000"/>
          <w:sz w:val="24"/>
          <w:szCs w:val="24"/>
          <w:u w:val="single"/>
        </w:rPr>
      </w:pPr>
      <w:r>
        <w:rPr>
          <w:rFonts w:ascii="Times New Roman" w:eastAsia="Times New Roman" w:hAnsi="Times New Roman" w:cs="Times New Roman"/>
          <w:color w:val="FF0000"/>
          <w:sz w:val="24"/>
          <w:szCs w:val="24"/>
          <w:u w:val="single"/>
        </w:rPr>
        <w:t>La opción de “</w:t>
      </w:r>
      <w:r w:rsidR="00571F71" w:rsidRPr="004C427D">
        <w:rPr>
          <w:rFonts w:ascii="Times New Roman" w:eastAsia="Times New Roman" w:hAnsi="Times New Roman" w:cs="Times New Roman"/>
          <w:color w:val="FF0000"/>
          <w:sz w:val="24"/>
          <w:szCs w:val="24"/>
          <w:u w:val="single"/>
        </w:rPr>
        <w:t>esperar p</w:t>
      </w:r>
      <w:r>
        <w:rPr>
          <w:rFonts w:ascii="Times New Roman" w:eastAsia="Times New Roman" w:hAnsi="Times New Roman" w:cs="Times New Roman"/>
          <w:color w:val="FF0000"/>
          <w:sz w:val="24"/>
          <w:szCs w:val="24"/>
          <w:u w:val="single"/>
        </w:rPr>
        <w:t>ara asegurarse”</w:t>
      </w:r>
      <w:r w:rsidR="00571F71" w:rsidRPr="004C427D">
        <w:rPr>
          <w:rFonts w:ascii="Times New Roman" w:eastAsia="Times New Roman" w:hAnsi="Times New Roman" w:cs="Times New Roman"/>
          <w:color w:val="FF0000"/>
          <w:sz w:val="24"/>
          <w:szCs w:val="24"/>
          <w:u w:val="single"/>
        </w:rPr>
        <w:t xml:space="preserve"> podría causar que la cantidad de personas aseguradas disminuya rápidamente a medida que aumenten las primas de quienes mantengan sus seguros. En este escenario, el desmoronamiento de Obamacare podría conducir a una renovada presión política de la izquierda para implementar un sistema de atención sanitaria con contribuyente único, al estilo europeo.</w:t>
      </w:r>
    </w:p>
    <w:p w:rsidR="00571F71" w:rsidRPr="009973F6"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Default="00571F71" w:rsidP="00550638">
      <w:pPr>
        <w:shd w:val="clear" w:color="auto" w:fill="FFFFFF"/>
        <w:spacing w:after="0" w:line="240" w:lineRule="auto"/>
        <w:jc w:val="both"/>
        <w:rPr>
          <w:rFonts w:ascii="Times New Roman" w:eastAsia="Times New Roman" w:hAnsi="Times New Roman" w:cs="Times New Roman"/>
          <w:sz w:val="24"/>
          <w:szCs w:val="24"/>
        </w:rPr>
      </w:pPr>
      <w:r w:rsidRPr="007C26CF">
        <w:rPr>
          <w:rFonts w:ascii="Times New Roman" w:eastAsia="Times New Roman" w:hAnsi="Times New Roman" w:cs="Times New Roman"/>
          <w:sz w:val="24"/>
          <w:szCs w:val="24"/>
          <w:u w:val="single"/>
        </w:rPr>
        <w:t>Pero también podría generar la oportunidad para implementar un plan mejor: eliminar el actual y tremendamente caro subsidio a los impuestos para los seguros financiados por los empleadores, y usar los ahorros resultantes para brindar un subsidio universal para la compra de pólizas privadas de seguro integrales, con copagos relacionados con el ingreso.</w:t>
      </w:r>
      <w:r w:rsidRPr="009973F6">
        <w:rPr>
          <w:rFonts w:ascii="Times New Roman" w:eastAsia="Times New Roman" w:hAnsi="Times New Roman" w:cs="Times New Roman"/>
          <w:sz w:val="24"/>
          <w:szCs w:val="24"/>
        </w:rPr>
        <w:t xml:space="preserve"> Esa reestructuración de los seguros lograría simultáneamente proteger a las personas, aumentar la movilidad laboral y ayudar a controlar los costos de la atención sanitaria.</w:t>
      </w:r>
    </w:p>
    <w:p w:rsidR="00571F71" w:rsidRDefault="00571F71" w:rsidP="00550638">
      <w:pPr>
        <w:shd w:val="clear" w:color="auto" w:fill="FFFFFF"/>
        <w:spacing w:after="0" w:line="240" w:lineRule="auto"/>
        <w:jc w:val="both"/>
        <w:rPr>
          <w:rFonts w:ascii="Times New Roman" w:eastAsia="Times New Roman" w:hAnsi="Times New Roman" w:cs="Times New Roman"/>
          <w:sz w:val="24"/>
          <w:szCs w:val="24"/>
        </w:rPr>
      </w:pPr>
    </w:p>
    <w:p w:rsidR="00571F71" w:rsidRDefault="00571F71" w:rsidP="00550638">
      <w:pPr>
        <w:shd w:val="clear" w:color="auto" w:fill="FFFFFF"/>
        <w:spacing w:after="0" w:line="240" w:lineRule="auto"/>
        <w:jc w:val="both"/>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w:t>
      </w:r>
      <w:r w:rsidRPr="009973F6">
        <w:rPr>
          <w:rFonts w:ascii="Times New Roman" w:eastAsia="Times New Roman" w:hAnsi="Times New Roman" w:cs="Times New Roman"/>
          <w:sz w:val="24"/>
          <w:szCs w:val="24"/>
          <w:lang w:val="en-US"/>
        </w:rPr>
        <w:t>Martin Feldstein, Professor of Economics at Harvard University and President Emeritus of the National Bureau of Economic Research, chaired President Ronald Reagan’s Council of Economic Advisers fro…</w:t>
      </w:r>
      <w:r>
        <w:rPr>
          <w:rFonts w:ascii="Times New Roman" w:eastAsia="Times New Roman" w:hAnsi="Times New Roman" w:cs="Times New Roman"/>
          <w:sz w:val="24"/>
          <w:szCs w:val="24"/>
          <w:lang w:val="en-US"/>
        </w:rPr>
        <w:t>)</w:t>
      </w:r>
    </w:p>
    <w:p w:rsidR="00571F71" w:rsidRPr="00B13721" w:rsidRDefault="00571F71"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B13721">
        <w:rPr>
          <w:rFonts w:ascii="Times New Roman" w:eastAsia="Times New Roman" w:hAnsi="Times New Roman" w:cs="Times New Roman"/>
          <w:sz w:val="24"/>
          <w:szCs w:val="24"/>
          <w:u w:val="single"/>
        </w:rPr>
        <w:t>Una guerra contra los pobres</w:t>
      </w:r>
      <w:r>
        <w:rPr>
          <w:rFonts w:ascii="Times New Roman" w:eastAsia="Times New Roman" w:hAnsi="Times New Roman" w:cs="Times New Roman"/>
          <w:sz w:val="24"/>
          <w:szCs w:val="24"/>
        </w:rPr>
        <w:t xml:space="preserve"> (El País - </w:t>
      </w:r>
      <w:r w:rsidRPr="00B13721">
        <w:rPr>
          <w:rFonts w:ascii="Times New Roman" w:eastAsia="Times New Roman" w:hAnsi="Times New Roman" w:cs="Times New Roman"/>
          <w:b/>
          <w:sz w:val="24"/>
          <w:szCs w:val="24"/>
        </w:rPr>
        <w:t>3/11/13</w:t>
      </w:r>
      <w:r>
        <w:rPr>
          <w:rFonts w:ascii="Times New Roman" w:eastAsia="Times New Roman" w:hAnsi="Times New Roman" w:cs="Times New Roman"/>
          <w:sz w:val="24"/>
          <w:szCs w:val="24"/>
        </w:rPr>
        <w:t>)</w:t>
      </w:r>
    </w:p>
    <w:p w:rsidR="00571F71" w:rsidRPr="00B13721" w:rsidRDefault="00571F71" w:rsidP="00550638">
      <w:pPr>
        <w:spacing w:before="100" w:beforeAutospacing="1" w:after="100" w:afterAutospacing="1" w:line="240" w:lineRule="auto"/>
        <w:jc w:val="both"/>
        <w:rPr>
          <w:rFonts w:ascii="Times New Roman" w:eastAsia="Times New Roman" w:hAnsi="Times New Roman" w:cs="Times New Roman"/>
          <w:sz w:val="24"/>
          <w:szCs w:val="24"/>
        </w:rPr>
      </w:pPr>
      <w:r w:rsidRPr="00B13721">
        <w:rPr>
          <w:rFonts w:ascii="Times New Roman" w:eastAsia="Times New Roman" w:hAnsi="Times New Roman" w:cs="Times New Roman"/>
          <w:sz w:val="24"/>
          <w:szCs w:val="24"/>
        </w:rPr>
        <w:t>Las bases republicanas son conscientes de que su condición de blan</w:t>
      </w:r>
      <w:r>
        <w:rPr>
          <w:rFonts w:ascii="Times New Roman" w:eastAsia="Times New Roman" w:hAnsi="Times New Roman" w:cs="Times New Roman"/>
          <w:sz w:val="24"/>
          <w:szCs w:val="24"/>
        </w:rPr>
        <w:t>cos es cada vez más minoritaria</w:t>
      </w:r>
    </w:p>
    <w:p w:rsidR="00571F71" w:rsidRPr="00B13721" w:rsidRDefault="00571F71"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w:t>
      </w:r>
      <w:r w:rsidRPr="00B13721">
        <w:rPr>
          <w:rFonts w:ascii="Times New Roman" w:eastAsia="Times New Roman" w:hAnsi="Times New Roman" w:cs="Times New Roman"/>
          <w:sz w:val="24"/>
          <w:szCs w:val="24"/>
        </w:rPr>
        <w:t>Paul K</w:t>
      </w:r>
      <w:r>
        <w:rPr>
          <w:rFonts w:ascii="Times New Roman" w:eastAsia="Times New Roman" w:hAnsi="Times New Roman" w:cs="Times New Roman"/>
          <w:sz w:val="24"/>
          <w:szCs w:val="24"/>
        </w:rPr>
        <w:t>rugman)</w:t>
      </w:r>
      <w:r w:rsidR="00182E38">
        <w:rPr>
          <w:rFonts w:ascii="Times New Roman" w:eastAsia="Times New Roman" w:hAnsi="Times New Roman" w:cs="Times New Roman"/>
          <w:sz w:val="24"/>
          <w:szCs w:val="24"/>
        </w:rPr>
        <w:t xml:space="preserve">                                                                          Lectura recomendada</w:t>
      </w:r>
    </w:p>
    <w:p w:rsidR="00571F71" w:rsidRPr="007C16C3" w:rsidRDefault="00571F71" w:rsidP="00550638">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7C16C3">
        <w:rPr>
          <w:rFonts w:ascii="Times New Roman" w:eastAsia="Times New Roman" w:hAnsi="Times New Roman" w:cs="Times New Roman"/>
          <w:sz w:val="24"/>
          <w:szCs w:val="24"/>
          <w:u w:val="single"/>
        </w:rPr>
        <w:t>Últimamente, John Kasich, gobernador republicano de Ohio, ha hecho algunas cosas sorprendentes. En primer lugar, sorteó a la asa</w:t>
      </w:r>
      <w:r w:rsidR="00182E38">
        <w:rPr>
          <w:rFonts w:ascii="Times New Roman" w:eastAsia="Times New Roman" w:hAnsi="Times New Roman" w:cs="Times New Roman"/>
          <w:sz w:val="24"/>
          <w:szCs w:val="24"/>
          <w:u w:val="single"/>
        </w:rPr>
        <w:t>mblea legislativa de su Estado -</w:t>
      </w:r>
      <w:r w:rsidRPr="007C16C3">
        <w:rPr>
          <w:rFonts w:ascii="Times New Roman" w:eastAsia="Times New Roman" w:hAnsi="Times New Roman" w:cs="Times New Roman"/>
          <w:sz w:val="24"/>
          <w:szCs w:val="24"/>
          <w:u w:val="single"/>
        </w:rPr>
        <w:t>c</w:t>
      </w:r>
      <w:r w:rsidR="00182E38">
        <w:rPr>
          <w:rFonts w:ascii="Times New Roman" w:eastAsia="Times New Roman" w:hAnsi="Times New Roman" w:cs="Times New Roman"/>
          <w:sz w:val="24"/>
          <w:szCs w:val="24"/>
          <w:u w:val="single"/>
        </w:rPr>
        <w:t>ontrolada por su propio partido-</w:t>
      </w:r>
      <w:r w:rsidRPr="007C16C3">
        <w:rPr>
          <w:rFonts w:ascii="Times New Roman" w:eastAsia="Times New Roman" w:hAnsi="Times New Roman" w:cs="Times New Roman"/>
          <w:sz w:val="24"/>
          <w:szCs w:val="24"/>
          <w:u w:val="single"/>
        </w:rPr>
        <w:t xml:space="preserve"> para llevar adelante el programa Medicaid, financiado con fondos federales y una pieza importante de la reforma sanitaria de Obama. Luego, en defensa de su actuación, disparó contra sus aliados diciendo: </w:t>
      </w:r>
      <w:r w:rsidRPr="007C16C3">
        <w:rPr>
          <w:rFonts w:ascii="Times New Roman" w:eastAsia="Times New Roman" w:hAnsi="Times New Roman" w:cs="Times New Roman"/>
          <w:color w:val="FF0000"/>
          <w:sz w:val="24"/>
          <w:szCs w:val="24"/>
          <w:u w:val="single"/>
        </w:rPr>
        <w:t>“Me preocupa el hecho de que, en apariencia, se está librando una guerra contra los pobres. O sea, que si eres pobre es que, de alguna manera, eres un incompetente y un vago”.</w:t>
      </w:r>
    </w:p>
    <w:p w:rsidR="00571F71" w:rsidRPr="007C16C3" w:rsidRDefault="00571F71" w:rsidP="00550638">
      <w:pPr>
        <w:spacing w:before="100" w:beforeAutospacing="1" w:after="100" w:afterAutospacing="1" w:line="240" w:lineRule="auto"/>
        <w:jc w:val="both"/>
        <w:rPr>
          <w:rFonts w:ascii="Times New Roman" w:eastAsia="Times New Roman" w:hAnsi="Times New Roman" w:cs="Times New Roman"/>
          <w:sz w:val="24"/>
          <w:szCs w:val="24"/>
          <w:u w:val="single"/>
        </w:rPr>
      </w:pPr>
      <w:r w:rsidRPr="00B13721">
        <w:rPr>
          <w:rFonts w:ascii="Times New Roman" w:eastAsia="Times New Roman" w:hAnsi="Times New Roman" w:cs="Times New Roman"/>
          <w:sz w:val="24"/>
          <w:szCs w:val="24"/>
        </w:rPr>
        <w:t xml:space="preserve">Evidentemente, Kasich no es el primero en hacer esta observación. Pero el hecho de que venga de un republicano bien considerado (aunque, a lo mejor, ya no tanto), precisamente de alguien que tenía fama de ser un agitador de ideas conservadoras, es revelador. </w:t>
      </w:r>
      <w:r w:rsidRPr="007C16C3">
        <w:rPr>
          <w:rFonts w:ascii="Times New Roman" w:eastAsia="Times New Roman" w:hAnsi="Times New Roman" w:cs="Times New Roman"/>
          <w:sz w:val="24"/>
          <w:szCs w:val="24"/>
          <w:u w:val="single"/>
        </w:rPr>
        <w:t>La hostilidad republicana hacia los pobres y los desfavorecidos se ha exacerbado hasta tal punto que en realidad el partido ya no defiende otra cosa, y solo un observador obstinado en su ceguera puede ser incapaz de verlo.</w:t>
      </w:r>
    </w:p>
    <w:p w:rsidR="00571F71" w:rsidRPr="00B13721" w:rsidRDefault="00571F71" w:rsidP="00550638">
      <w:pPr>
        <w:spacing w:before="100" w:beforeAutospacing="1" w:after="100" w:afterAutospacing="1" w:line="240" w:lineRule="auto"/>
        <w:jc w:val="both"/>
        <w:rPr>
          <w:rFonts w:ascii="Times New Roman" w:eastAsia="Times New Roman" w:hAnsi="Times New Roman" w:cs="Times New Roman"/>
          <w:sz w:val="24"/>
          <w:szCs w:val="24"/>
        </w:rPr>
      </w:pPr>
      <w:r w:rsidRPr="007C16C3">
        <w:rPr>
          <w:rFonts w:ascii="Times New Roman" w:eastAsia="Times New Roman" w:hAnsi="Times New Roman" w:cs="Times New Roman"/>
          <w:color w:val="FF0000"/>
          <w:sz w:val="24"/>
          <w:szCs w:val="24"/>
          <w:u w:val="single"/>
        </w:rPr>
        <w:lastRenderedPageBreak/>
        <w:t>La gran pregunta es: “¿Por qué?”.</w:t>
      </w:r>
      <w:r w:rsidRPr="00B13721">
        <w:rPr>
          <w:rFonts w:ascii="Times New Roman" w:eastAsia="Times New Roman" w:hAnsi="Times New Roman" w:cs="Times New Roman"/>
          <w:sz w:val="24"/>
          <w:szCs w:val="24"/>
        </w:rPr>
        <w:t xml:space="preserve"> Pero antes vamos a hablar un poco de qu</w:t>
      </w:r>
      <w:r>
        <w:rPr>
          <w:rFonts w:ascii="Times New Roman" w:eastAsia="Times New Roman" w:hAnsi="Times New Roman" w:cs="Times New Roman"/>
          <w:sz w:val="24"/>
          <w:szCs w:val="24"/>
        </w:rPr>
        <w:t>é está corroyendo a la derecha.</w:t>
      </w:r>
    </w:p>
    <w:p w:rsidR="00571F71" w:rsidRPr="007C16C3" w:rsidRDefault="00571F71" w:rsidP="00550638">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7C16C3">
        <w:rPr>
          <w:rFonts w:ascii="Times New Roman" w:eastAsia="Times New Roman" w:hAnsi="Times New Roman" w:cs="Times New Roman"/>
          <w:sz w:val="24"/>
          <w:szCs w:val="24"/>
          <w:u w:val="single"/>
        </w:rPr>
        <w:t>A veces aún veo a algunos expertos declarar que lo que mueve al Tea Party es básicamente la preocupación por los déficits presupuestarios. Fantasías. Lean el chorrero de Rick Santelli, de la CNBC: no hay ni una sola mención a los déficits</w:t>
      </w:r>
      <w:r w:rsidRPr="00B13721">
        <w:rPr>
          <w:rFonts w:ascii="Times New Roman" w:eastAsia="Times New Roman" w:hAnsi="Times New Roman" w:cs="Times New Roman"/>
          <w:sz w:val="24"/>
          <w:szCs w:val="24"/>
        </w:rPr>
        <w:t xml:space="preserve">. </w:t>
      </w:r>
      <w:r w:rsidRPr="007C16C3">
        <w:rPr>
          <w:rFonts w:ascii="Times New Roman" w:eastAsia="Times New Roman" w:hAnsi="Times New Roman" w:cs="Times New Roman"/>
          <w:color w:val="FF0000"/>
          <w:sz w:val="24"/>
          <w:szCs w:val="24"/>
          <w:u w:val="single"/>
        </w:rPr>
        <w:t xml:space="preserve">En cambio, sí una andanada contra la posibilidad de que el Gobierno ayude a los “perdedores” a evitar la ejecución de sus hipotecas. O lean las transcripciones de Rush Limbaugh o de otros invitados radiofónicos de la derecha. No contienen mucho acerca de la responsabilidad fiscal, pero sí acerca de cómo el Gobierno recompensa a los vagos que no lo merecen. </w:t>
      </w:r>
    </w:p>
    <w:p w:rsidR="00571F71" w:rsidRPr="007C16C3" w:rsidRDefault="00571F71" w:rsidP="00550638">
      <w:pPr>
        <w:spacing w:before="100" w:beforeAutospacing="1" w:after="100" w:afterAutospacing="1" w:line="240" w:lineRule="auto"/>
        <w:jc w:val="both"/>
        <w:rPr>
          <w:rFonts w:ascii="Times New Roman" w:eastAsia="Times New Roman" w:hAnsi="Times New Roman" w:cs="Times New Roman"/>
          <w:b/>
          <w:color w:val="FF0000"/>
          <w:sz w:val="24"/>
          <w:szCs w:val="24"/>
          <w:u w:val="single"/>
        </w:rPr>
      </w:pPr>
      <w:r w:rsidRPr="00B13721">
        <w:rPr>
          <w:rFonts w:ascii="Times New Roman" w:eastAsia="Times New Roman" w:hAnsi="Times New Roman" w:cs="Times New Roman"/>
          <w:sz w:val="24"/>
          <w:szCs w:val="24"/>
        </w:rPr>
        <w:t xml:space="preserve">Los líderes republicanos intentan moderar un tanto su lenguaje, pero es cuestión más bien de tono que de contenido. </w:t>
      </w:r>
      <w:r w:rsidRPr="007C16C3">
        <w:rPr>
          <w:rFonts w:ascii="Times New Roman" w:eastAsia="Times New Roman" w:hAnsi="Times New Roman" w:cs="Times New Roman"/>
          <w:color w:val="FF0000"/>
          <w:sz w:val="24"/>
          <w:szCs w:val="24"/>
          <w:u w:val="single"/>
        </w:rPr>
        <w:t>No cabe duda de que les sigue enardeciendo la idea de asegurarse de que los pobres y los desafortunados reciben la</w:t>
      </w:r>
      <w:r w:rsidR="00182E38">
        <w:rPr>
          <w:rFonts w:ascii="Times New Roman" w:eastAsia="Times New Roman" w:hAnsi="Times New Roman" w:cs="Times New Roman"/>
          <w:color w:val="FF0000"/>
          <w:sz w:val="24"/>
          <w:szCs w:val="24"/>
          <w:u w:val="single"/>
        </w:rPr>
        <w:t xml:space="preserve"> menor ayuda posible, y de que -</w:t>
      </w:r>
      <w:r w:rsidRPr="007C16C3">
        <w:rPr>
          <w:rFonts w:ascii="Times New Roman" w:eastAsia="Times New Roman" w:hAnsi="Times New Roman" w:cs="Times New Roman"/>
          <w:color w:val="FF0000"/>
          <w:sz w:val="24"/>
          <w:szCs w:val="24"/>
          <w:u w:val="single"/>
        </w:rPr>
        <w:t>tal como lo expresó el diputado Paul Ryan, presidente de la Comisión Presupuestaria</w:t>
      </w:r>
      <w:r w:rsidR="00182E38">
        <w:rPr>
          <w:rFonts w:ascii="Times New Roman" w:eastAsia="Times New Roman" w:hAnsi="Times New Roman" w:cs="Times New Roman"/>
          <w:color w:val="FF0000"/>
          <w:sz w:val="24"/>
          <w:szCs w:val="24"/>
          <w:u w:val="single"/>
        </w:rPr>
        <w:t xml:space="preserve"> de la Cámara de Representantes-</w:t>
      </w:r>
      <w:r w:rsidRPr="007C16C3">
        <w:rPr>
          <w:rFonts w:ascii="Times New Roman" w:eastAsia="Times New Roman" w:hAnsi="Times New Roman" w:cs="Times New Roman"/>
          <w:color w:val="FF0000"/>
          <w:sz w:val="24"/>
          <w:szCs w:val="24"/>
          <w:u w:val="single"/>
        </w:rPr>
        <w:t xml:space="preserve"> el colchón de protección social se está convirtiendo en “una hamaca en la que se acuna a gente físicamente sana para que vivan de la dependencia y la complacencia”.</w:t>
      </w:r>
      <w:r w:rsidRPr="00B13721">
        <w:rPr>
          <w:rFonts w:ascii="Times New Roman" w:eastAsia="Times New Roman" w:hAnsi="Times New Roman" w:cs="Times New Roman"/>
          <w:sz w:val="24"/>
          <w:szCs w:val="24"/>
        </w:rPr>
        <w:t xml:space="preserve"> </w:t>
      </w:r>
      <w:r w:rsidRPr="007C16C3">
        <w:rPr>
          <w:rFonts w:ascii="Times New Roman" w:eastAsia="Times New Roman" w:hAnsi="Times New Roman" w:cs="Times New Roman"/>
          <w:b/>
          <w:color w:val="FF0000"/>
          <w:sz w:val="24"/>
          <w:szCs w:val="24"/>
          <w:u w:val="single"/>
        </w:rPr>
        <w:t>Sus propuestas presupuestarias incluyen recortes salvajes de los programas de protección social como los cupones para alientos o el programa Medicaid.</w:t>
      </w:r>
    </w:p>
    <w:p w:rsidR="00571F71" w:rsidRPr="007C16C3" w:rsidRDefault="00571F71" w:rsidP="00550638">
      <w:pPr>
        <w:spacing w:before="100" w:beforeAutospacing="1" w:after="100" w:afterAutospacing="1" w:line="240" w:lineRule="auto"/>
        <w:jc w:val="both"/>
        <w:rPr>
          <w:rFonts w:ascii="Times New Roman" w:eastAsia="Times New Roman" w:hAnsi="Times New Roman" w:cs="Times New Roman"/>
          <w:sz w:val="24"/>
          <w:szCs w:val="24"/>
          <w:u w:val="single"/>
        </w:rPr>
      </w:pPr>
      <w:r w:rsidRPr="007C16C3">
        <w:rPr>
          <w:rFonts w:ascii="Times New Roman" w:eastAsia="Times New Roman" w:hAnsi="Times New Roman" w:cs="Times New Roman"/>
          <w:sz w:val="24"/>
          <w:szCs w:val="24"/>
          <w:u w:val="single"/>
        </w:rPr>
        <w:t>Toda esta hostilidad contra los pobres ha culminado con la negativa verdaderamente increíble de muchos Estados a participar en la ampliación de Medicaid. Recuerden que el Gobierno federal pagaría esta ampliación, y que el dinero que se gastase iría en beneficio de los hospitales y de la economía local tanto como de los receptores directos. Pero resulta que la mayoría de los Gobiernos de los Estados bajo control republicano están dispuestos a pagar un alto precio económico y fiscal para asegurarse de que la ayuda no llega a los pobres.</w:t>
      </w:r>
    </w:p>
    <w:p w:rsidR="00571F71" w:rsidRPr="00B13721" w:rsidRDefault="00571F71" w:rsidP="00550638">
      <w:pPr>
        <w:spacing w:before="100" w:beforeAutospacing="1" w:after="100" w:afterAutospacing="1" w:line="240" w:lineRule="auto"/>
        <w:jc w:val="both"/>
        <w:rPr>
          <w:rFonts w:ascii="Times New Roman" w:eastAsia="Times New Roman" w:hAnsi="Times New Roman" w:cs="Times New Roman"/>
          <w:sz w:val="24"/>
          <w:szCs w:val="24"/>
        </w:rPr>
      </w:pPr>
      <w:r w:rsidRPr="00B13721">
        <w:rPr>
          <w:rFonts w:ascii="Times New Roman" w:eastAsia="Times New Roman" w:hAnsi="Times New Roman" w:cs="Times New Roman"/>
          <w:sz w:val="24"/>
          <w:szCs w:val="24"/>
        </w:rPr>
        <w:t>La cuestión es que las cosas no siempre han sido así. Retrocedamos por un momento a 1936, cuando Alf Landon fue nombrado candidato a presidente por los republicanos. En muchos sentidos, su discurso de investidura anticipaba temas que los conservadores hacen suyos hoy día. Se lamentaba de que la recuperación económica era incompleta y de la persistencia del desempleo elevado, y atribuía la debilidad crónica de la economía a una excesiva intervención del Estado y a la incertidumbre que, según él</w:t>
      </w:r>
      <w:r>
        <w:rPr>
          <w:rFonts w:ascii="Times New Roman" w:eastAsia="Times New Roman" w:hAnsi="Times New Roman" w:cs="Times New Roman"/>
          <w:sz w:val="24"/>
          <w:szCs w:val="24"/>
        </w:rPr>
        <w:t>, esta provocaba.</w:t>
      </w:r>
    </w:p>
    <w:p w:rsidR="00571F71" w:rsidRPr="007C16C3" w:rsidRDefault="00571F71" w:rsidP="00550638">
      <w:pPr>
        <w:spacing w:before="100" w:beforeAutospacing="1" w:after="100" w:afterAutospacing="1" w:line="240" w:lineRule="auto"/>
        <w:jc w:val="both"/>
        <w:rPr>
          <w:rFonts w:ascii="Times New Roman" w:eastAsia="Times New Roman" w:hAnsi="Times New Roman" w:cs="Times New Roman"/>
          <w:sz w:val="24"/>
          <w:szCs w:val="24"/>
          <w:u w:val="single"/>
        </w:rPr>
      </w:pPr>
      <w:r w:rsidRPr="00B13721">
        <w:rPr>
          <w:rFonts w:ascii="Times New Roman" w:eastAsia="Times New Roman" w:hAnsi="Times New Roman" w:cs="Times New Roman"/>
          <w:sz w:val="24"/>
          <w:szCs w:val="24"/>
        </w:rPr>
        <w:t xml:space="preserve">Pero también dijo: </w:t>
      </w:r>
      <w:r w:rsidRPr="007C16C3">
        <w:rPr>
          <w:rFonts w:ascii="Times New Roman" w:eastAsia="Times New Roman" w:hAnsi="Times New Roman" w:cs="Times New Roman"/>
          <w:sz w:val="24"/>
          <w:szCs w:val="24"/>
          <w:u w:val="single"/>
        </w:rPr>
        <w:t xml:space="preserve">“De la Depresión se desprende no solo la dificultad de la recuperación, sino también el problema igualmente grave de la protección de los desempleados hasta que se alcance la recuperación. Darles asistencia en todo momento es simplemente un deber. Nosotros, los miembros de mi partido, nos comprometemos a no descuidar nunca esta obligación”. </w:t>
      </w:r>
    </w:p>
    <w:p w:rsidR="00571F71" w:rsidRPr="007C16C3" w:rsidRDefault="00571F71" w:rsidP="00550638">
      <w:pPr>
        <w:spacing w:before="100" w:beforeAutospacing="1" w:after="100" w:afterAutospacing="1" w:line="240" w:lineRule="auto"/>
        <w:jc w:val="both"/>
        <w:rPr>
          <w:rFonts w:ascii="Times New Roman" w:eastAsia="Times New Roman" w:hAnsi="Times New Roman" w:cs="Times New Roman"/>
          <w:sz w:val="24"/>
          <w:szCs w:val="24"/>
          <w:u w:val="single"/>
        </w:rPr>
      </w:pPr>
      <w:r w:rsidRPr="007C16C3">
        <w:rPr>
          <w:rFonts w:ascii="Times New Roman" w:eastAsia="Times New Roman" w:hAnsi="Times New Roman" w:cs="Times New Roman"/>
          <w:sz w:val="24"/>
          <w:szCs w:val="24"/>
          <w:u w:val="single"/>
        </w:rPr>
        <w:t>¿Pueden imaginarse a un candidato republicano decir algo así hoy día? Desde luego, no</w:t>
      </w:r>
      <w:r w:rsidRPr="00B13721">
        <w:rPr>
          <w:rFonts w:ascii="Times New Roman" w:eastAsia="Times New Roman" w:hAnsi="Times New Roman" w:cs="Times New Roman"/>
          <w:sz w:val="24"/>
          <w:szCs w:val="24"/>
        </w:rPr>
        <w:t xml:space="preserve"> </w:t>
      </w:r>
      <w:r w:rsidRPr="007C16C3">
        <w:rPr>
          <w:rFonts w:ascii="Times New Roman" w:eastAsia="Times New Roman" w:hAnsi="Times New Roman" w:cs="Times New Roman"/>
          <w:sz w:val="24"/>
          <w:szCs w:val="24"/>
          <w:u w:val="single"/>
        </w:rPr>
        <w:t>en un partido comprometido con la idea de que los desempleados lo tienen muy fácil; de que el seguro de desempleo y los vales de comida los tiene tan consentidos que no encuentran ninguna motivación para salir y buscar trabajo.</w:t>
      </w:r>
    </w:p>
    <w:p w:rsidR="00571F71" w:rsidRPr="003C124C" w:rsidRDefault="00571F71" w:rsidP="00550638">
      <w:pPr>
        <w:spacing w:before="100" w:beforeAutospacing="1" w:after="100" w:afterAutospacing="1" w:line="240" w:lineRule="auto"/>
        <w:jc w:val="both"/>
        <w:rPr>
          <w:rFonts w:ascii="Times New Roman" w:eastAsia="Times New Roman" w:hAnsi="Times New Roman" w:cs="Times New Roman"/>
          <w:sz w:val="24"/>
          <w:szCs w:val="24"/>
          <w:u w:val="single"/>
        </w:rPr>
      </w:pPr>
      <w:r w:rsidRPr="007C16C3">
        <w:rPr>
          <w:rFonts w:ascii="Times New Roman" w:eastAsia="Times New Roman" w:hAnsi="Times New Roman" w:cs="Times New Roman"/>
          <w:sz w:val="24"/>
          <w:szCs w:val="24"/>
          <w:u w:val="single"/>
        </w:rPr>
        <w:lastRenderedPageBreak/>
        <w:t xml:space="preserve">Entonces, ¿cuál es el quid de la cuestión? En un reciente ensayo, </w:t>
      </w:r>
      <w:r w:rsidRPr="007C16C3">
        <w:rPr>
          <w:rFonts w:ascii="Times New Roman" w:eastAsia="Times New Roman" w:hAnsi="Times New Roman" w:cs="Times New Roman"/>
          <w:color w:val="FF0000"/>
          <w:sz w:val="24"/>
          <w:szCs w:val="24"/>
          <w:u w:val="single"/>
        </w:rPr>
        <w:t>el sociólogo Daniel Little insinuaba que una de las razones es la ideología del mercado</w:t>
      </w:r>
      <w:r w:rsidRPr="002263F9">
        <w:rPr>
          <w:rFonts w:ascii="Times New Roman" w:eastAsia="Times New Roman" w:hAnsi="Times New Roman" w:cs="Times New Roman"/>
          <w:color w:val="FF0000"/>
          <w:sz w:val="24"/>
          <w:szCs w:val="24"/>
          <w:u w:val="single"/>
        </w:rPr>
        <w:t>:</w:t>
      </w:r>
      <w:r w:rsidRPr="00B13721">
        <w:rPr>
          <w:rFonts w:ascii="Times New Roman" w:eastAsia="Times New Roman" w:hAnsi="Times New Roman" w:cs="Times New Roman"/>
          <w:sz w:val="24"/>
          <w:szCs w:val="24"/>
        </w:rPr>
        <w:t xml:space="preserve"> </w:t>
      </w:r>
      <w:r w:rsidRPr="007C16C3">
        <w:rPr>
          <w:rFonts w:ascii="Times New Roman" w:eastAsia="Times New Roman" w:hAnsi="Times New Roman" w:cs="Times New Roman"/>
          <w:b/>
          <w:color w:val="FF0000"/>
          <w:sz w:val="24"/>
          <w:szCs w:val="24"/>
          <w:u w:val="single"/>
        </w:rPr>
        <w:t>si el mercado siempre tiene razón, entonces la gente que acaba en la pobreza es porque merece ser pobre.</w:t>
      </w:r>
      <w:r w:rsidRPr="00B13721">
        <w:rPr>
          <w:rFonts w:ascii="Times New Roman" w:eastAsia="Times New Roman" w:hAnsi="Times New Roman" w:cs="Times New Roman"/>
          <w:sz w:val="24"/>
          <w:szCs w:val="24"/>
        </w:rPr>
        <w:t xml:space="preserve"> Y yo añadiría que algunos dirigentes republicanos representan en sus mentes fantasías libertarias adolescentes. “Es como si en este momento estuviésemos viviendo en una novela de Ayn Rand”, decía Paul Ryan en 2009. Pero, </w:t>
      </w:r>
      <w:r w:rsidRPr="003C124C">
        <w:rPr>
          <w:rFonts w:ascii="Times New Roman" w:eastAsia="Times New Roman" w:hAnsi="Times New Roman" w:cs="Times New Roman"/>
          <w:sz w:val="24"/>
          <w:szCs w:val="24"/>
          <w:u w:val="single"/>
        </w:rPr>
        <w:t>como afirma Little, también está el estigma que nunca se borra: la raza.</w:t>
      </w:r>
    </w:p>
    <w:p w:rsidR="00571F71" w:rsidRPr="003C124C" w:rsidRDefault="00571F71" w:rsidP="00550638">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3C124C">
        <w:rPr>
          <w:rFonts w:ascii="Times New Roman" w:eastAsia="Times New Roman" w:hAnsi="Times New Roman" w:cs="Times New Roman"/>
          <w:sz w:val="24"/>
          <w:szCs w:val="24"/>
          <w:u w:val="single"/>
        </w:rPr>
        <w:t>En un informe reciente citado en múltiples ocasiones, Democracy Corps, una organización de tendencias demócratas dedicada a los estudios de opinión</w:t>
      </w:r>
      <w:r w:rsidRPr="00B13721">
        <w:rPr>
          <w:rFonts w:ascii="Times New Roman" w:eastAsia="Times New Roman" w:hAnsi="Times New Roman" w:cs="Times New Roman"/>
          <w:sz w:val="24"/>
          <w:szCs w:val="24"/>
        </w:rPr>
        <w:t xml:space="preserve">, exponía las conclusiones de los grupos de debate con miembros de diferentes facciones republicanas. </w:t>
      </w:r>
      <w:r w:rsidRPr="003C124C">
        <w:rPr>
          <w:rFonts w:ascii="Times New Roman" w:eastAsia="Times New Roman" w:hAnsi="Times New Roman" w:cs="Times New Roman"/>
          <w:color w:val="FF0000"/>
          <w:sz w:val="24"/>
          <w:szCs w:val="24"/>
          <w:u w:val="single"/>
        </w:rPr>
        <w:t>Descubrieron que las bases republicanas son “muy conscientes de su condición de blancos en un país en el que esto es cada vez más minoritario”, y que consideraban que el sistema de protección social ayuda a los otros, no a la gente como ellos, y vincula a la población no blanca al Partido Demócrata. Y, efectivamente, la ampliación del programa Medicare que muchos Estados están rechazando habría favorecido de forma desproporcionada a los negros pobres.</w:t>
      </w:r>
    </w:p>
    <w:p w:rsidR="00571F71" w:rsidRPr="003C124C" w:rsidRDefault="00571F71" w:rsidP="00550638">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3C124C">
        <w:rPr>
          <w:rFonts w:ascii="Times New Roman" w:eastAsia="Times New Roman" w:hAnsi="Times New Roman" w:cs="Times New Roman"/>
          <w:color w:val="FF0000"/>
          <w:sz w:val="24"/>
          <w:szCs w:val="24"/>
          <w:u w:val="single"/>
        </w:rPr>
        <w:t>Así que es verdad que se está librando una guerra contra los pobres, coincidiendo con —y ahondando en— el padecimiento que ocasiona una economía con problemas. Y esa guerra es ahora el asunto central y definitorio de la política en Estados Unidos.</w:t>
      </w:r>
    </w:p>
    <w:p w:rsidR="00787AC5" w:rsidRPr="00182E38" w:rsidRDefault="00571F71"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13721">
        <w:rPr>
          <w:rFonts w:ascii="Times New Roman" w:eastAsia="Times New Roman" w:hAnsi="Times New Roman" w:cs="Times New Roman"/>
          <w:sz w:val="24"/>
          <w:szCs w:val="24"/>
        </w:rPr>
        <w:t>Paul Krugman es profesor de Economía de Pr</w:t>
      </w:r>
      <w:r>
        <w:rPr>
          <w:rFonts w:ascii="Times New Roman" w:eastAsia="Times New Roman" w:hAnsi="Times New Roman" w:cs="Times New Roman"/>
          <w:sz w:val="24"/>
          <w:szCs w:val="24"/>
        </w:rPr>
        <w:t>inceton y premio Nobel de 2008. © New York Times Service 2013)</w:t>
      </w:r>
    </w:p>
    <w:p w:rsidR="006F122C" w:rsidRPr="006F122C" w:rsidRDefault="006F122C" w:rsidP="00550638">
      <w:pPr>
        <w:spacing w:before="100" w:beforeAutospacing="1" w:after="100" w:afterAutospacing="1" w:line="240" w:lineRule="auto"/>
        <w:jc w:val="both"/>
        <w:rPr>
          <w:rFonts w:ascii="Times New Roman" w:eastAsia="Times New Roman" w:hAnsi="Times New Roman"/>
          <w:b/>
          <w:bCs/>
          <w:sz w:val="24"/>
          <w:szCs w:val="24"/>
          <w:lang w:eastAsia="es-ES"/>
        </w:rPr>
      </w:pPr>
      <w:r w:rsidRPr="006F122C">
        <w:rPr>
          <w:rFonts w:ascii="Times New Roman" w:eastAsia="Times New Roman" w:hAnsi="Times New Roman"/>
          <w:b/>
          <w:bCs/>
          <w:sz w:val="24"/>
          <w:szCs w:val="24"/>
          <w:lang w:eastAsia="es-ES"/>
        </w:rPr>
        <w:t>Gran aportación al debate: el análisis de Fedea sobr</w:t>
      </w:r>
      <w:r w:rsidR="0052271D">
        <w:rPr>
          <w:rFonts w:ascii="Times New Roman" w:eastAsia="Times New Roman" w:hAnsi="Times New Roman"/>
          <w:b/>
          <w:bCs/>
          <w:sz w:val="24"/>
          <w:szCs w:val="24"/>
          <w:lang w:eastAsia="es-ES"/>
        </w:rPr>
        <w:t>e el sistema sanitario (lectura recomendada</w:t>
      </w:r>
      <w:r w:rsidRPr="006F122C">
        <w:rPr>
          <w:rFonts w:ascii="Times New Roman" w:eastAsia="Times New Roman" w:hAnsi="Times New Roman"/>
          <w:b/>
          <w:bCs/>
          <w:sz w:val="24"/>
          <w:szCs w:val="24"/>
          <w:lang w:eastAsia="es-ES"/>
        </w:rPr>
        <w:t>)</w:t>
      </w:r>
    </w:p>
    <w:p w:rsidR="006F122C" w:rsidRDefault="006F122C" w:rsidP="00550638">
      <w:pPr>
        <w:pStyle w:val="NormalWeb"/>
        <w:jc w:val="both"/>
      </w:pPr>
      <w:r>
        <w:t xml:space="preserve">- </w:t>
      </w:r>
      <w:r w:rsidRPr="00285A4B">
        <w:rPr>
          <w:u w:val="single"/>
        </w:rPr>
        <w:t>Gestión pública o privada de servicios sanitarios (I): elementos para un debate informado</w:t>
      </w:r>
      <w:r>
        <w:t xml:space="preserve"> (Fedea - </w:t>
      </w:r>
      <w:r w:rsidRPr="00285A4B">
        <w:rPr>
          <w:b/>
        </w:rPr>
        <w:t>22/12/12</w:t>
      </w:r>
      <w:r>
        <w:t>)</w:t>
      </w:r>
    </w:p>
    <w:p w:rsidR="006F122C" w:rsidRDefault="006F122C" w:rsidP="00550638">
      <w:pPr>
        <w:pStyle w:val="NormalWeb"/>
        <w:jc w:val="both"/>
      </w:pPr>
      <w:r>
        <w:t>(Por Sergi Jiménez conjunto con Juan Oliva -Presidente de la Asociación de Economía de la Salud)</w:t>
      </w:r>
    </w:p>
    <w:p w:rsidR="006F122C" w:rsidRDefault="006F122C" w:rsidP="00550638">
      <w:pPr>
        <w:pStyle w:val="NormalWeb"/>
        <w:jc w:val="both"/>
      </w:pPr>
      <w:r w:rsidRPr="00810D8A">
        <w:rPr>
          <w:color w:val="FF0000"/>
          <w:u w:val="single"/>
        </w:rPr>
        <w:t>La sanidad es el servicio público sistemáticamente mejor valorado por los ciudadanos</w:t>
      </w:r>
      <w:r>
        <w:t>. Dentro del discurso político de los últimos años ha sido un lugar común el referir la calidad de nuestro sistema sanitario aludiendo a sus buenos resultados en salud, a su bajo coste en comparación con lo de otros sistemas de nuestro entorno y a defender (</w:t>
      </w:r>
      <w:r w:rsidR="00396693">
        <w:t>aun</w:t>
      </w:r>
      <w:r>
        <w:t xml:space="preserve"> cuando no se apuntara amenaza) a sus principios de universidad, solidaridad y equidad.</w:t>
      </w:r>
    </w:p>
    <w:p w:rsidR="006F122C" w:rsidRDefault="006F122C" w:rsidP="00550638">
      <w:pPr>
        <w:pStyle w:val="NormalWeb"/>
        <w:jc w:val="both"/>
      </w:pPr>
      <w:r w:rsidRPr="00810D8A">
        <w:rPr>
          <w:u w:val="single"/>
        </w:rPr>
        <w:t xml:space="preserve">En realidad, </w:t>
      </w:r>
      <w:r w:rsidR="00D44948" w:rsidRPr="00810D8A">
        <w:rPr>
          <w:u w:val="single"/>
        </w:rPr>
        <w:t>aun</w:t>
      </w:r>
      <w:r w:rsidRPr="00810D8A">
        <w:rPr>
          <w:u w:val="single"/>
        </w:rPr>
        <w:t xml:space="preserve"> siendo la asistencia sanitaria un pilar básico de nuestro Estado del Bienestar, la salud está plurideterminada por múltiples factores, de los cuales la sanidad es un elemento básico, pero no único, por lo cual no conviene olvidar la influencia del clima, la renta, la educación, o las decisiones individuales (hábitos) y colectivas (entornos y elementos institucionales), entre otros factore</w:t>
      </w:r>
      <w:r>
        <w:rPr>
          <w:u w:val="single"/>
        </w:rPr>
        <w:t>s</w:t>
      </w:r>
      <w:r>
        <w:t xml:space="preserve">. </w:t>
      </w:r>
      <w:r w:rsidRPr="00AF73C8">
        <w:rPr>
          <w:u w:val="single"/>
        </w:rPr>
        <w:t>En segundo lugar, el discurso sobre el bajo coste de nuestro sistema es puesto en duda por expertos en el tema.</w:t>
      </w:r>
      <w:r>
        <w:t xml:space="preserve"> </w:t>
      </w:r>
      <w:r w:rsidRPr="00AF73C8">
        <w:rPr>
          <w:u w:val="single"/>
        </w:rPr>
        <w:t xml:space="preserve">Es cierto que nuestro gasto, ajustado por renta, es inferior a la media de otros países europeos, pero lo que podría ser cierto respecto a países con sistemas sanitarios de una forma de organización diferente (modelo Seguridad Social como Francia o Alemania), deja de serlo cuando nos comparamos con países con modelos de naturaleza </w:t>
      </w:r>
      <w:r w:rsidRPr="00AF73C8">
        <w:rPr>
          <w:u w:val="single"/>
        </w:rPr>
        <w:lastRenderedPageBreak/>
        <w:t>similar al nuestro (tipo Sistema Nacional de Salud: Suecia, Reino Unido o  Italia). Es decir, gastamos más o menos lo que corresponde a nuestro nivel de renta.</w:t>
      </w:r>
      <w:r>
        <w:t xml:space="preserve"> Una tercera cuestión, con la que cerramos esta breve entrada, es que, reconociendo la excelencia del capital humano que trabaja en el sector sanitario y la más que razonable dotación de medios físicos y técnicos e innovaciones en el mismo, desde hace tiempo se habían apuntado tensiones en nuestro sistema sanitario y muchas voces abogaban por abordar reformas sensatas. Cambios largamente retrasados pero que no podían seguir siendo aplazados indefinidamente si querían realizarse con calma, dado que la alternativa era afrontarlos con carácter de urgencia cuando la coyuntura económica fuera desfavorable.</w:t>
      </w:r>
    </w:p>
    <w:p w:rsidR="006F122C" w:rsidRPr="00AF73C8" w:rsidRDefault="006F122C" w:rsidP="00550638">
      <w:pPr>
        <w:pStyle w:val="NormalWeb"/>
        <w:jc w:val="both"/>
        <w:rPr>
          <w:u w:val="single"/>
        </w:rPr>
      </w:pPr>
      <w:r w:rsidRPr="00AF73C8">
        <w:rPr>
          <w:u w:val="single"/>
        </w:rPr>
        <w:t>Es útil señalar lo anterior para prevenirnos de discursos extremos en ambos sentidos, como “el sistema sanitario español es el mejor de los sistemas” o “la sanidad pública es fuente de ineficiencias y no es sostenible”.</w:t>
      </w:r>
    </w:p>
    <w:p w:rsidR="006F122C" w:rsidRPr="00AF73C8" w:rsidRDefault="006F122C" w:rsidP="00550638">
      <w:pPr>
        <w:pStyle w:val="NormalWeb"/>
        <w:jc w:val="both"/>
        <w:rPr>
          <w:u w:val="single"/>
        </w:rPr>
      </w:pPr>
      <w:r w:rsidRPr="00AF73C8">
        <w:rPr>
          <w:u w:val="single"/>
        </w:rPr>
        <w:t>La polémica que estamos viviendo en las últimas semanas ante las medidas de reforma sanitaria propuestas por el gobierno de la Comunidad de Madrid revela alguno de los peores rasgos de nuestro sistema y subraya que en modo alguno hemos cumplido con nuestros deberes.</w:t>
      </w:r>
      <w:r>
        <w:t xml:space="preserve"> </w:t>
      </w:r>
      <w:r w:rsidRPr="00AF73C8">
        <w:rPr>
          <w:u w:val="single"/>
        </w:rPr>
        <w:t>En la misma se confunde elementos básicos como la financiación con la provisión y con la gestión de los servicios y se mezclan mensajes que responden a elementos ideológicos pero no al conocimiento científico-técnico, lo cual pone de manifiesto la opacidad del sistema  y la ausencia de normas de buen gobierno en la sanidad.</w:t>
      </w:r>
    </w:p>
    <w:p w:rsidR="006F122C" w:rsidRPr="00AF73C8" w:rsidRDefault="006F122C" w:rsidP="00550638">
      <w:pPr>
        <w:pStyle w:val="NormalWeb"/>
        <w:jc w:val="both"/>
        <w:rPr>
          <w:u w:val="single"/>
        </w:rPr>
      </w:pPr>
      <w:r w:rsidRPr="00AF73C8">
        <w:rPr>
          <w:u w:val="single"/>
        </w:rPr>
        <w:t>Centrando el discurso en la sanidad financiada con recursos públicos (las ¾ partes del gasto sanitario total en España), durante las dos últimas décadas hemos experimentado con todo tipo de fórmulas de gestión y cambios de formas organizativas</w:t>
      </w:r>
      <w:r>
        <w:t xml:space="preserve">. Así, </w:t>
      </w:r>
      <w:r w:rsidRPr="00AF73C8">
        <w:rPr>
          <w:u w:val="single"/>
        </w:rPr>
        <w:t>dentro de la gestión pública sanitaria, hemos observado cómo en el campo de la gestión directa, modelos basados en enfoques de gestión tradicionales han convivido con otro tipo de gestión de carácter gerencialista aplicados en institutos y unidades de gestión clínica, y ambos con distintas fórmulas de entidades con personalidad jurídica diferenciada (entes públicos, consorcios, fundaciones, sociedades mercantiles públicas, organismos autónomos y entidades públicas empresariales), cuyo objeto era la búsqueda de una mayor flexibilidad en la gestión, al pasar del marco normativo público-administrativo (más rígido) al propio del derecho privado (más flexible). Junto a ello, han proliferado fórmulas de gestión indirecta en las cuales la provisión del servicio es realizada por una entidad privada, que puede tener o no ánimo de lucro, bajo la supervisión del financiador (público) del servicio y articulada mediante acuerdos contractuales de larga duración.</w:t>
      </w:r>
    </w:p>
    <w:p w:rsidR="006F122C" w:rsidRDefault="006F122C" w:rsidP="00550638">
      <w:pPr>
        <w:pStyle w:val="NormalWeb"/>
        <w:jc w:val="both"/>
        <w:rPr>
          <w:u w:val="single"/>
        </w:rPr>
      </w:pPr>
      <w:r w:rsidRPr="00AF73C8">
        <w:rPr>
          <w:u w:val="single"/>
        </w:rPr>
        <w:t>Dentro de las fórmulas de gestión indirecta cabe distinguir la experiencia de las Entidades de Base Asociativa (conocidas como EBAs, entidades de tipo cooperativa), fundaciones privadas (sin ánimo de lucro, muy comunes en Cataluña) y las sociedades mercantiles (entidades con ánimo de lucro y de titularidad privada). Dentro de estas últimas, cabe distinguir entre los conciertos y convenios efectuados para la prestación de servicios sanitarios (un tipo de colaboración público-privada de larga tradición en el medio sanitario español) y las más novedosas concesiones de obra pública para la construcción y gestión del edificio sanitario y la provisión de servicios no sanitarios (Private Finance Initiatives-PFIs en su acepción anglosajona) y las concesiones administrativas para la construcción y gestión del edificio y la provisión de servicios sanitarios y no sanitarios para una población definida (el llamado “modelo Alzira”</w:t>
      </w:r>
      <w:r w:rsidR="0052271D">
        <w:rPr>
          <w:u w:val="single"/>
        </w:rPr>
        <w:t>)</w:t>
      </w:r>
      <w:r>
        <w:rPr>
          <w:u w:val="single"/>
        </w:rPr>
        <w:t>.</w:t>
      </w:r>
    </w:p>
    <w:p w:rsidR="006F122C" w:rsidRPr="00AF73C8" w:rsidRDefault="006F122C" w:rsidP="00550638">
      <w:pPr>
        <w:pStyle w:val="NormalWeb"/>
        <w:jc w:val="both"/>
        <w:rPr>
          <w:u w:val="single"/>
        </w:rPr>
      </w:pPr>
      <w:r w:rsidRPr="00AF73C8">
        <w:rPr>
          <w:u w:val="single"/>
        </w:rPr>
        <w:lastRenderedPageBreak/>
        <w:t>Llegados a este punto, el lector avezado se preguntará qué modelo ha demostrado ser más ventajoso</w:t>
      </w:r>
      <w:r>
        <w:t xml:space="preserve"> y en base a qué variables presupuestarias y de calidad asistencial (el balance coste-efectividad) se ha evaluado la bondad de los modelos o, cuando menos, cuáles son las fortalezas y la debilidades detectadas en cada uno de ellos. </w:t>
      </w:r>
      <w:r w:rsidRPr="00AF73C8">
        <w:rPr>
          <w:u w:val="single"/>
        </w:rPr>
        <w:t>La respuesta, como el lector tristemente imagina, es que no se han evaluado.</w:t>
      </w:r>
      <w:r>
        <w:t xml:space="preserve"> Dos décadas de experimentos en gestión directa (pública) o indirecta (privada), salvo en contados casos, no han conseguido ir más allá de cuestionadas narrativas de éxito. Resulta amargo constatar que para obtener algún conocimiento sobre la cuestión debemos recurrir a la literatura internacional. </w:t>
      </w:r>
      <w:r w:rsidRPr="00AF73C8">
        <w:rPr>
          <w:u w:val="single"/>
        </w:rPr>
        <w:t>La principal conclusión de la reciente experiencia británica, bandera en experimentos de colaboración público privada, es que la gestión privada de los servicios sanitarios no es necesariamente mejor que la gestión pública…ni al contrario</w:t>
      </w:r>
      <w:r>
        <w:t xml:space="preserve">. </w:t>
      </w:r>
      <w:r w:rsidRPr="00AF73C8">
        <w:rPr>
          <w:u w:val="single"/>
        </w:rPr>
        <w:t>Factores tales como el entorno administrativo e institucional, la cultura de los centros, las condiciones de los contratos y la adecuada supervisión por parte del financiador de la calidad del servicio prestado son los elementos a tener en cuenta cuando se analizan estos casos. Alternativamente, fomentar la competencia entre centros (con independencia de la forma jurídica de gestión), sí puede ofrecer mejoras en sus resultados.</w:t>
      </w:r>
    </w:p>
    <w:p w:rsidR="006F122C" w:rsidRPr="00AF73C8" w:rsidRDefault="006F122C" w:rsidP="00550638">
      <w:pPr>
        <w:pStyle w:val="NormalWeb"/>
        <w:jc w:val="both"/>
        <w:rPr>
          <w:color w:val="FF0000"/>
          <w:u w:val="single"/>
        </w:rPr>
      </w:pPr>
      <w:r w:rsidRPr="00AF73C8">
        <w:rPr>
          <w:color w:val="FF0000"/>
          <w:u w:val="single"/>
        </w:rPr>
        <w:t>¿Podemos permitirnos el lujo de gastar nuestros recursos en políticas públicas que no funcionan? La cuestión de fondo reside en que los principios rectores tradicionales del sistema sanitario- universalidad, solidaridad y equidad- necesitan ser complementados por otras normas de buen gobierno como son la transparencia y la rendición de cuentas a la ciudadanía, la participación de los agentes en las decisiones, la promoción y la defensa de una cultura de integridad, buenas prácticas y de ética profesional a todos los niveles y la consideración de criterios explícitos de eficiencia y calidad en la toma de decisiones, todos criterios ellos prácticamente ausentes (no parecemos aprender) de la cultura de gestión española.</w:t>
      </w:r>
    </w:p>
    <w:p w:rsidR="006F122C" w:rsidRDefault="006F122C" w:rsidP="00550638">
      <w:pPr>
        <w:pStyle w:val="NormalWeb"/>
        <w:jc w:val="both"/>
      </w:pPr>
      <w:r>
        <w:t xml:space="preserve">Un gobierno sanitario que no avance en estos aspectos no podrá involucrar al resto de profesionales y sociedad civil en la compleja tarea de avanzar en la solvencia del sistema sanitario. </w:t>
      </w:r>
      <w:r w:rsidRPr="00AF73C8">
        <w:rPr>
          <w:u w:val="single"/>
        </w:rPr>
        <w:t>Recortes indiscriminados conllevan una erosión de la calidad del sistema y el desapego de los profesionales. Políticas no justificadas arriesgan la desafección del ciudadano hacia el sistema sanitario público y hacia sus representantes.</w:t>
      </w:r>
      <w:r>
        <w:t xml:space="preserve"> Un lema repetido hasta el absurdo en los últimos tiempos es que hay que tomar decisiones valientes. Y probablemente sea cierto. Pero no menos cierto es que ante todo deben primar las decisiones inteligentes e informadas previamente por el conocimiento científico y técnico disponible.</w:t>
      </w:r>
    </w:p>
    <w:p w:rsidR="006F122C" w:rsidRDefault="006F122C" w:rsidP="00550638">
      <w:pPr>
        <w:pStyle w:val="NormalWeb"/>
        <w:jc w:val="both"/>
      </w:pPr>
      <w:r>
        <w:t>Este post inicia una serie de artículos que tratan de aportar luz sobre la cuestión tratada para, sin obviar la dificultad de la tarea, contribuir al debate sobre la misma. En una próxima entrada se aportará la escasa evidencia sobre gestión pública y gestión privada. Seguirán otras entradas que valorarán en profundidad las opciones existentes.</w:t>
      </w:r>
    </w:p>
    <w:p w:rsidR="006F122C" w:rsidRDefault="006F122C" w:rsidP="00550638">
      <w:pPr>
        <w:pStyle w:val="NormalWeb"/>
        <w:jc w:val="both"/>
      </w:pPr>
      <w:r>
        <w:t xml:space="preserve">- </w:t>
      </w:r>
      <w:r w:rsidRPr="00405EA1">
        <w:rPr>
          <w:u w:val="single"/>
        </w:rPr>
        <w:t>Eficiencia en la gestión hospitalaria pública: directa vs privada por concesión</w:t>
      </w:r>
      <w:r>
        <w:t xml:space="preserve"> (Fedea - </w:t>
      </w:r>
      <w:r w:rsidRPr="00405EA1">
        <w:rPr>
          <w:b/>
        </w:rPr>
        <w:t>27/12/12</w:t>
      </w:r>
      <w:r>
        <w:t>)</w:t>
      </w:r>
    </w:p>
    <w:p w:rsidR="006F122C" w:rsidRDefault="0052271D" w:rsidP="00550638">
      <w:pPr>
        <w:pStyle w:val="NormalWeb"/>
        <w:jc w:val="both"/>
      </w:pPr>
      <w:r>
        <w:t>(Por Sergi Jiménez, con</w:t>
      </w:r>
      <w:r w:rsidR="006F122C">
        <w:t xml:space="preserve"> Salvador Peiró, Centro Superior de Investigación en Salud Pública y Ricard Meneu, Fundación Instituto de Investigación en Servicios de Salud)</w:t>
      </w:r>
    </w:p>
    <w:p w:rsidR="006F122C" w:rsidRDefault="006F122C" w:rsidP="00550638">
      <w:pPr>
        <w:pStyle w:val="NormalWeb"/>
        <w:jc w:val="both"/>
      </w:pPr>
      <w:r w:rsidRPr="00405EA1">
        <w:rPr>
          <w:color w:val="FF0000"/>
          <w:u w:val="single"/>
        </w:rPr>
        <w:lastRenderedPageBreak/>
        <w:t>El presente post es el segundo en la serie sobre gestión pública o privada de servicios sanitarios (enlace al primer post).</w:t>
      </w:r>
      <w:r>
        <w:t xml:space="preserve"> El mismo describe una de </w:t>
      </w:r>
      <w:r w:rsidR="00D44948">
        <w:t>las</w:t>
      </w:r>
      <w:r>
        <w:t xml:space="preserve"> pocas evidencias sobre la </w:t>
      </w:r>
      <w:r w:rsidR="00D44948">
        <w:t>eficiencia</w:t>
      </w:r>
      <w:r>
        <w:t xml:space="preserve"> relativa de ambas opciones, aplicado al caso de la Comunidad Valenciana.</w:t>
      </w:r>
    </w:p>
    <w:p w:rsidR="006F122C" w:rsidRDefault="006F122C" w:rsidP="00550638">
      <w:pPr>
        <w:pStyle w:val="NormalWeb"/>
        <w:jc w:val="both"/>
      </w:pPr>
      <w:r>
        <w:t>Decisiones, riesgos y cápitas</w:t>
      </w:r>
    </w:p>
    <w:p w:rsidR="006F122C" w:rsidRDefault="006F122C" w:rsidP="00550638">
      <w:pPr>
        <w:pStyle w:val="NormalWeb"/>
        <w:jc w:val="both"/>
      </w:pPr>
      <w:r>
        <w:t xml:space="preserve">La decisión del gobierno de la Comunidad de Madrid de externalizar la gestión de la actividad sanitaria en seis hospitales utilizando el modelo de concesión  ha propiciado declaraciones sin cuento. Macbethianamente, declaraciones llenas de ruido y de furia, que no significan nada. Y ello  porque </w:t>
      </w:r>
      <w:r w:rsidRPr="00A67C5C">
        <w:rPr>
          <w:u w:val="single"/>
        </w:rPr>
        <w:t>la mayoría de afirmaciones sobre la  mayor o menor  eficiencia del modelo de concesión propugnado  se lanzan sin datos que las avalen.</w:t>
      </w:r>
      <w:r>
        <w:t xml:space="preserve">  La tan esforzadamente lograda (y reiteradamente denunciada) opacidad del conjunto del SNS facilita la algarada, pero restringe la posibilidad de adoptar decisiones informadas. No es que apenas existan datos sobre los “otros” hospitales, es que tampoco se difunden los referidos a hospitales de gestión directa (con excepciones meritorias, como la central de balances y la de resultados en Cataluña). En este comentario intentaremos escapar de esta dinámica explorando algunas evidencias empíricas a partir de las limitadas fuentes de datos disponibles.</w:t>
      </w:r>
    </w:p>
    <w:p w:rsidR="006F122C" w:rsidRDefault="006F122C" w:rsidP="00550638">
      <w:pPr>
        <w:pStyle w:val="NormalWeb"/>
        <w:jc w:val="both"/>
      </w:pPr>
      <w:r>
        <w:t>Para aproximar el comportamiento de las concesiones frente a los hospitales de gestión directa por la administración (GDA) hemos utilizado los datos correspondientes a la Comunidad Valenciana de un trabajo recientemente aceptado para su publicación en Presupuesto y Gasto Público.  Incluye las 23 áreas de salud existentes en la Comunidad Valenciana en 2009, año en que  había 19 áreas servidas por 22 hospitales bajo GDA,   2 que venían siendo atendidas por  otros tantos hospitales bajo modelo de concesión, y otras 2 áreas que pasaron de gestión directa a concesión durante ese año, por lo que las hemos excluido del análisis.</w:t>
      </w:r>
    </w:p>
    <w:p w:rsidR="006F122C" w:rsidRPr="00A67C5C" w:rsidRDefault="006F122C" w:rsidP="00550638">
      <w:pPr>
        <w:pStyle w:val="NormalWeb"/>
        <w:jc w:val="both"/>
        <w:rPr>
          <w:u w:val="single"/>
        </w:rPr>
      </w:pPr>
      <w:r w:rsidRPr="00A67C5C">
        <w:rPr>
          <w:u w:val="single"/>
        </w:rPr>
        <w:t>De</w:t>
      </w:r>
      <w:r w:rsidR="0052271D">
        <w:rPr>
          <w:u w:val="single"/>
        </w:rPr>
        <w:t>sde la perspectiva poblacional -</w:t>
      </w:r>
      <w:r w:rsidRPr="00A67C5C">
        <w:rPr>
          <w:u w:val="single"/>
        </w:rPr>
        <w:t>la re</w:t>
      </w:r>
      <w:r w:rsidR="0052271D">
        <w:rPr>
          <w:u w:val="single"/>
        </w:rPr>
        <w:t>levante para el pago capitativo-</w:t>
      </w:r>
      <w:r w:rsidRPr="00A67C5C">
        <w:rPr>
          <w:u w:val="single"/>
        </w:rPr>
        <w:t xml:space="preserve"> controlar el gasto hospitalario  no pasa (sólo) por reducir el coste unitario de cada hospitalización sino también el número de hospitalizaciones, ya que  un aumento de las hospitalizaciones podría disipar los pretendidos ahorros por reducción del coste unitario de cada una de ellas. También importan las decisiones sobre </w:t>
      </w:r>
      <w:r w:rsidR="00587466" w:rsidRPr="00A67C5C">
        <w:rPr>
          <w:u w:val="single"/>
        </w:rPr>
        <w:t>qué</w:t>
      </w:r>
      <w:r w:rsidRPr="00A67C5C">
        <w:rPr>
          <w:u w:val="single"/>
        </w:rPr>
        <w:t xml:space="preserve"> pacientes derivar a centros de referencia, que repercuten enormemente sobre  el  gasto hospitalario por habitante, no solo por  la particular eficiencia de esos centros, si no especialm</w:t>
      </w:r>
      <w:r w:rsidR="0052271D">
        <w:rPr>
          <w:u w:val="single"/>
        </w:rPr>
        <w:t>ente por  la mayor complejidad -</w:t>
      </w:r>
      <w:r w:rsidRPr="00A67C5C">
        <w:rPr>
          <w:u w:val="single"/>
        </w:rPr>
        <w:t>y mayores costes unitarios-  que intrínsecamente incorporan.</w:t>
      </w:r>
    </w:p>
    <w:p w:rsidR="006F122C" w:rsidRDefault="006F122C" w:rsidP="00550638">
      <w:pPr>
        <w:pStyle w:val="NormalWeb"/>
        <w:jc w:val="both"/>
        <w:rPr>
          <w:color w:val="FF0000"/>
          <w:u w:val="single"/>
        </w:rPr>
      </w:pPr>
      <w:r w:rsidRPr="00A67C5C">
        <w:rPr>
          <w:color w:val="FF0000"/>
          <w:u w:val="single"/>
        </w:rPr>
        <w:t xml:space="preserve">Con la información utilizada en esta exploración -resumida en la tabla 1 y el gráfico 1 adjuntos- el titular inicial de que el coste por ingreso en las concesiones es un 18,4% inferior que el de los centros de gestión directa distrae la atención del dato, más relevante por ser el gasto en que realmente se incurre, de que ambos modelos son prácticamente equivalentes en gasto hospitalario per </w:t>
      </w:r>
      <w:r w:rsidR="00D44948" w:rsidRPr="00A67C5C">
        <w:rPr>
          <w:color w:val="FF0000"/>
          <w:u w:val="single"/>
        </w:rPr>
        <w:t>cápita</w:t>
      </w:r>
      <w:r w:rsidRPr="00A67C5C">
        <w:rPr>
          <w:color w:val="FF0000"/>
          <w:u w:val="single"/>
        </w:rPr>
        <w:t>.  De hecho, en los  territorios  analizados,  el gasto hospitalario total por habitante  es un 7,5% mayor (49,1 euros por habitante) en las áreas servidas por concesiones que en las de gestión directa.</w:t>
      </w:r>
    </w:p>
    <w:p w:rsidR="00375C6C" w:rsidRDefault="00375C6C" w:rsidP="00550638">
      <w:pPr>
        <w:pStyle w:val="NormalWeb"/>
        <w:jc w:val="both"/>
        <w:rPr>
          <w:color w:val="FF0000"/>
          <w:u w:val="single"/>
        </w:rPr>
      </w:pPr>
    </w:p>
    <w:p w:rsidR="00375C6C" w:rsidRPr="00A67C5C" w:rsidRDefault="00375C6C" w:rsidP="00550638">
      <w:pPr>
        <w:pStyle w:val="NormalWeb"/>
        <w:jc w:val="both"/>
        <w:rPr>
          <w:color w:val="FF0000"/>
          <w:u w:val="single"/>
        </w:rPr>
      </w:pPr>
    </w:p>
    <w:p w:rsidR="006F122C" w:rsidRPr="007A260E" w:rsidRDefault="006F122C" w:rsidP="00550638">
      <w:pPr>
        <w:spacing w:before="100" w:beforeAutospacing="1" w:after="100" w:afterAutospacing="1" w:line="240" w:lineRule="auto"/>
        <w:rPr>
          <w:rFonts w:ascii="Times New Roman" w:eastAsia="Times New Roman" w:hAnsi="Times New Roman"/>
          <w:sz w:val="24"/>
          <w:szCs w:val="24"/>
          <w:lang w:eastAsia="es-ES"/>
        </w:rPr>
      </w:pPr>
      <w:r w:rsidRPr="007A260E">
        <w:rPr>
          <w:rFonts w:ascii="Times New Roman" w:eastAsia="Times New Roman" w:hAnsi="Times New Roman"/>
          <w:b/>
          <w:bCs/>
          <w:sz w:val="24"/>
          <w:szCs w:val="24"/>
          <w:lang w:eastAsia="es-ES"/>
        </w:rPr>
        <w:lastRenderedPageBreak/>
        <w:t>Tabla 1. Tasas de ingresos, costes y gasto hospitalario de los Departamentos bajo modelo gestión directa y concesión. Comunidad Valenciana. 2009</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649"/>
        <w:gridCol w:w="1305"/>
        <w:gridCol w:w="1470"/>
        <w:gridCol w:w="1054"/>
        <w:gridCol w:w="1056"/>
      </w:tblGrid>
      <w:tr w:rsidR="006F122C" w:rsidRPr="007A260E" w:rsidTr="0052271D">
        <w:trPr>
          <w:tblCellSpacing w:w="0" w:type="dxa"/>
          <w:jc w:val="center"/>
        </w:trPr>
        <w:tc>
          <w:tcPr>
            <w:tcW w:w="595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after="0" w:line="240" w:lineRule="auto"/>
              <w:rPr>
                <w:rFonts w:ascii="Times New Roman" w:eastAsia="Times New Roman" w:hAnsi="Times New Roman"/>
                <w:sz w:val="24"/>
                <w:szCs w:val="24"/>
                <w:lang w:eastAsia="es-ES"/>
              </w:rPr>
            </w:pPr>
          </w:p>
        </w:tc>
        <w:tc>
          <w:tcPr>
            <w:tcW w:w="1845" w:type="dxa"/>
            <w:vMerge w:val="restart"/>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Gestión Directa</w:t>
            </w:r>
          </w:p>
        </w:tc>
        <w:tc>
          <w:tcPr>
            <w:tcW w:w="1905" w:type="dxa"/>
            <w:vMerge w:val="restart"/>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Concesión</w:t>
            </w:r>
          </w:p>
        </w:tc>
        <w:tc>
          <w:tcPr>
            <w:tcW w:w="2895" w:type="dxa"/>
            <w:gridSpan w:val="2"/>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Diferencia</w:t>
            </w:r>
          </w:p>
        </w:tc>
      </w:tr>
      <w:tr w:rsidR="006F122C" w:rsidRPr="007A260E" w:rsidTr="0052271D">
        <w:trPr>
          <w:tblCellSpacing w:w="0" w:type="dxa"/>
          <w:jc w:val="center"/>
        </w:trPr>
        <w:tc>
          <w:tcPr>
            <w:tcW w:w="595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after="0" w:line="240" w:lineRule="auto"/>
              <w:rPr>
                <w:rFonts w:ascii="Times New Roman" w:eastAsia="Times New Roman" w:hAnsi="Times New Roman"/>
                <w:sz w:val="24"/>
                <w:szCs w:val="24"/>
                <w:lang w:eastAsia="es-ES"/>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F122C" w:rsidRPr="007A260E" w:rsidRDefault="006F122C" w:rsidP="00550638">
            <w:pPr>
              <w:spacing w:after="0" w:line="240" w:lineRule="auto"/>
              <w:rPr>
                <w:rFonts w:ascii="Times New Roman" w:eastAsia="Times New Roman" w:hAnsi="Times New Roman"/>
                <w:sz w:val="24"/>
                <w:szCs w:val="24"/>
                <w:lang w:eastAsia="es-ES"/>
              </w:rPr>
            </w:pPr>
          </w:p>
        </w:tc>
        <w:tc>
          <w:tcPr>
            <w:tcW w:w="0" w:type="auto"/>
            <w:vMerge/>
            <w:tcBorders>
              <w:top w:val="outset" w:sz="6" w:space="0" w:color="auto"/>
              <w:left w:val="outset" w:sz="6" w:space="0" w:color="auto"/>
              <w:bottom w:val="outset" w:sz="6" w:space="0" w:color="auto"/>
              <w:right w:val="outset" w:sz="6" w:space="0" w:color="auto"/>
            </w:tcBorders>
            <w:vAlign w:val="center"/>
            <w:hideMark/>
          </w:tcPr>
          <w:p w:rsidR="006F122C" w:rsidRPr="007A260E" w:rsidRDefault="006F122C" w:rsidP="00550638">
            <w:pPr>
              <w:spacing w:after="0" w:line="240" w:lineRule="auto"/>
              <w:rPr>
                <w:rFonts w:ascii="Times New Roman" w:eastAsia="Times New Roman" w:hAnsi="Times New Roman"/>
                <w:sz w:val="24"/>
                <w:szCs w:val="24"/>
                <w:lang w:eastAsia="es-ES"/>
              </w:rPr>
            </w:pPr>
          </w:p>
        </w:tc>
        <w:tc>
          <w:tcPr>
            <w:tcW w:w="142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w:t>
            </w:r>
          </w:p>
        </w:tc>
        <w:tc>
          <w:tcPr>
            <w:tcW w:w="1470"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w:t>
            </w:r>
          </w:p>
        </w:tc>
      </w:tr>
      <w:tr w:rsidR="006F122C" w:rsidRPr="007A260E" w:rsidTr="0052271D">
        <w:trPr>
          <w:tblCellSpacing w:w="0" w:type="dxa"/>
          <w:jc w:val="center"/>
        </w:trPr>
        <w:tc>
          <w:tcPr>
            <w:tcW w:w="595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after="0" w:line="240" w:lineRule="auto"/>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Ingresos por 100 habitantes</w:t>
            </w:r>
            <w:r w:rsidRPr="007A260E">
              <w:rPr>
                <w:rFonts w:ascii="Times New Roman" w:eastAsia="Times New Roman" w:hAnsi="Times New Roman"/>
                <w:sz w:val="24"/>
                <w:szCs w:val="24"/>
                <w:vertAlign w:val="superscript"/>
                <w:lang w:eastAsia="es-ES"/>
              </w:rPr>
              <w:t>1</w:t>
            </w:r>
          </w:p>
        </w:tc>
        <w:tc>
          <w:tcPr>
            <w:tcW w:w="184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9,73</w:t>
            </w:r>
          </w:p>
        </w:tc>
        <w:tc>
          <w:tcPr>
            <w:tcW w:w="190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11,84</w:t>
            </w:r>
          </w:p>
        </w:tc>
        <w:tc>
          <w:tcPr>
            <w:tcW w:w="1425" w:type="dxa"/>
            <w:tcBorders>
              <w:top w:val="outset" w:sz="6" w:space="0" w:color="auto"/>
              <w:left w:val="outset" w:sz="6" w:space="0" w:color="auto"/>
              <w:bottom w:val="outset" w:sz="6" w:space="0" w:color="auto"/>
              <w:right w:val="outset" w:sz="6" w:space="0" w:color="auto"/>
            </w:tcBorders>
            <w:vAlign w:val="bottom"/>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2,11</w:t>
            </w:r>
          </w:p>
        </w:tc>
        <w:tc>
          <w:tcPr>
            <w:tcW w:w="1470"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21,7%</w:t>
            </w:r>
          </w:p>
        </w:tc>
      </w:tr>
      <w:tr w:rsidR="006F122C" w:rsidRPr="007A260E" w:rsidTr="0052271D">
        <w:trPr>
          <w:tblCellSpacing w:w="0" w:type="dxa"/>
          <w:jc w:val="center"/>
        </w:trPr>
        <w:tc>
          <w:tcPr>
            <w:tcW w:w="595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after="0" w:line="240" w:lineRule="auto"/>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Coste ingreso (hospital)</w:t>
            </w:r>
            <w:r w:rsidRPr="007A260E">
              <w:rPr>
                <w:rFonts w:ascii="Times New Roman" w:eastAsia="Times New Roman" w:hAnsi="Times New Roman"/>
                <w:sz w:val="24"/>
                <w:szCs w:val="24"/>
                <w:vertAlign w:val="superscript"/>
                <w:lang w:eastAsia="es-ES"/>
              </w:rPr>
              <w:t>2</w:t>
            </w:r>
          </w:p>
        </w:tc>
        <w:tc>
          <w:tcPr>
            <w:tcW w:w="184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6836,9</w:t>
            </w:r>
          </w:p>
        </w:tc>
        <w:tc>
          <w:tcPr>
            <w:tcW w:w="190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5578,0</w:t>
            </w:r>
          </w:p>
        </w:tc>
        <w:tc>
          <w:tcPr>
            <w:tcW w:w="1425" w:type="dxa"/>
            <w:tcBorders>
              <w:top w:val="outset" w:sz="6" w:space="0" w:color="auto"/>
              <w:left w:val="outset" w:sz="6" w:space="0" w:color="auto"/>
              <w:bottom w:val="outset" w:sz="6" w:space="0" w:color="auto"/>
              <w:right w:val="outset" w:sz="6" w:space="0" w:color="auto"/>
            </w:tcBorders>
            <w:vAlign w:val="bottom"/>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-1258,9</w:t>
            </w:r>
          </w:p>
        </w:tc>
        <w:tc>
          <w:tcPr>
            <w:tcW w:w="1470"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-18,4%</w:t>
            </w:r>
          </w:p>
        </w:tc>
      </w:tr>
      <w:tr w:rsidR="006F122C" w:rsidRPr="007A260E" w:rsidTr="0052271D">
        <w:trPr>
          <w:tblCellSpacing w:w="0" w:type="dxa"/>
          <w:jc w:val="center"/>
        </w:trPr>
        <w:tc>
          <w:tcPr>
            <w:tcW w:w="595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after="0" w:line="240" w:lineRule="auto"/>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Coste ingreso (poblacional)</w:t>
            </w:r>
            <w:r w:rsidRPr="007A260E">
              <w:rPr>
                <w:rFonts w:ascii="Times New Roman" w:eastAsia="Times New Roman" w:hAnsi="Times New Roman"/>
                <w:sz w:val="24"/>
                <w:szCs w:val="24"/>
                <w:vertAlign w:val="superscript"/>
                <w:lang w:eastAsia="es-ES"/>
              </w:rPr>
              <w:t>1</w:t>
            </w:r>
          </w:p>
        </w:tc>
        <w:tc>
          <w:tcPr>
            <w:tcW w:w="184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6769,3</w:t>
            </w:r>
          </w:p>
        </w:tc>
        <w:tc>
          <w:tcPr>
            <w:tcW w:w="190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5925,2</w:t>
            </w:r>
          </w:p>
        </w:tc>
        <w:tc>
          <w:tcPr>
            <w:tcW w:w="1425" w:type="dxa"/>
            <w:tcBorders>
              <w:top w:val="outset" w:sz="6" w:space="0" w:color="auto"/>
              <w:left w:val="outset" w:sz="6" w:space="0" w:color="auto"/>
              <w:bottom w:val="outset" w:sz="6" w:space="0" w:color="auto"/>
              <w:right w:val="outset" w:sz="6" w:space="0" w:color="auto"/>
            </w:tcBorders>
            <w:vAlign w:val="bottom"/>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-844,1</w:t>
            </w:r>
          </w:p>
        </w:tc>
        <w:tc>
          <w:tcPr>
            <w:tcW w:w="1470"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-12,5%</w:t>
            </w:r>
          </w:p>
        </w:tc>
      </w:tr>
      <w:tr w:rsidR="006F122C" w:rsidRPr="007A260E" w:rsidTr="0052271D">
        <w:trPr>
          <w:tblCellSpacing w:w="0" w:type="dxa"/>
          <w:jc w:val="center"/>
        </w:trPr>
        <w:tc>
          <w:tcPr>
            <w:tcW w:w="595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after="0" w:line="240" w:lineRule="auto"/>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Gasto habitante poblacional</w:t>
            </w:r>
            <w:r w:rsidRPr="007A260E">
              <w:rPr>
                <w:rFonts w:ascii="Times New Roman" w:eastAsia="Times New Roman" w:hAnsi="Times New Roman"/>
                <w:sz w:val="24"/>
                <w:szCs w:val="24"/>
                <w:vertAlign w:val="superscript"/>
                <w:lang w:eastAsia="es-ES"/>
              </w:rPr>
              <w:t>1</w:t>
            </w:r>
          </w:p>
        </w:tc>
        <w:tc>
          <w:tcPr>
            <w:tcW w:w="184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658,5</w:t>
            </w:r>
          </w:p>
        </w:tc>
        <w:tc>
          <w:tcPr>
            <w:tcW w:w="1905"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707,6</w:t>
            </w:r>
          </w:p>
        </w:tc>
        <w:tc>
          <w:tcPr>
            <w:tcW w:w="1425" w:type="dxa"/>
            <w:tcBorders>
              <w:top w:val="outset" w:sz="6" w:space="0" w:color="auto"/>
              <w:left w:val="outset" w:sz="6" w:space="0" w:color="auto"/>
              <w:bottom w:val="outset" w:sz="6" w:space="0" w:color="auto"/>
              <w:right w:val="outset" w:sz="6" w:space="0" w:color="auto"/>
            </w:tcBorders>
            <w:vAlign w:val="bottom"/>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49,1</w:t>
            </w:r>
          </w:p>
        </w:tc>
        <w:tc>
          <w:tcPr>
            <w:tcW w:w="1470" w:type="dxa"/>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before="100" w:beforeAutospacing="1" w:after="100" w:afterAutospacing="1" w:line="240" w:lineRule="auto"/>
              <w:jc w:val="center"/>
              <w:rPr>
                <w:rFonts w:ascii="Times New Roman" w:eastAsia="Times New Roman" w:hAnsi="Times New Roman"/>
                <w:sz w:val="24"/>
                <w:szCs w:val="24"/>
                <w:lang w:eastAsia="es-ES"/>
              </w:rPr>
            </w:pPr>
            <w:r w:rsidRPr="007A260E">
              <w:rPr>
                <w:rFonts w:ascii="Times New Roman" w:eastAsia="Times New Roman" w:hAnsi="Times New Roman"/>
                <w:sz w:val="24"/>
                <w:szCs w:val="24"/>
                <w:lang w:eastAsia="es-ES"/>
              </w:rPr>
              <w:t>7,5%</w:t>
            </w:r>
          </w:p>
        </w:tc>
      </w:tr>
      <w:tr w:rsidR="006F122C" w:rsidRPr="007A260E" w:rsidTr="00182E38">
        <w:trPr>
          <w:trHeight w:val="273"/>
          <w:tblCellSpacing w:w="0" w:type="dxa"/>
          <w:jc w:val="center"/>
        </w:trPr>
        <w:tc>
          <w:tcPr>
            <w:tcW w:w="12585" w:type="dxa"/>
            <w:gridSpan w:val="5"/>
            <w:tcBorders>
              <w:top w:val="outset" w:sz="6" w:space="0" w:color="auto"/>
              <w:left w:val="outset" w:sz="6" w:space="0" w:color="auto"/>
              <w:bottom w:val="outset" w:sz="6" w:space="0" w:color="auto"/>
              <w:right w:val="outset" w:sz="6" w:space="0" w:color="auto"/>
            </w:tcBorders>
            <w:hideMark/>
          </w:tcPr>
          <w:p w:rsidR="006F122C" w:rsidRPr="007A260E" w:rsidRDefault="006F122C" w:rsidP="00550638">
            <w:pPr>
              <w:spacing w:after="0" w:line="240" w:lineRule="auto"/>
              <w:rPr>
                <w:rFonts w:ascii="Times New Roman" w:eastAsia="Times New Roman" w:hAnsi="Times New Roman"/>
                <w:sz w:val="24"/>
                <w:szCs w:val="24"/>
                <w:lang w:eastAsia="es-ES"/>
              </w:rPr>
            </w:pPr>
            <w:r w:rsidRPr="007A260E">
              <w:rPr>
                <w:rFonts w:ascii="Times New Roman" w:eastAsia="Times New Roman" w:hAnsi="Times New Roman"/>
                <w:sz w:val="24"/>
                <w:szCs w:val="24"/>
                <w:vertAlign w:val="superscript"/>
                <w:lang w:eastAsia="es-ES"/>
              </w:rPr>
              <w:t>1</w:t>
            </w:r>
            <w:r w:rsidRPr="007A260E">
              <w:rPr>
                <w:rFonts w:ascii="Times New Roman" w:eastAsia="Times New Roman" w:hAnsi="Times New Roman"/>
                <w:sz w:val="24"/>
                <w:szCs w:val="24"/>
                <w:lang w:eastAsia="es-ES"/>
              </w:rPr>
              <w:t xml:space="preserve">Contabilizados en función del departamento de residencia del paciente con independencia del hospital donde ingresó; </w:t>
            </w:r>
            <w:r w:rsidRPr="007A260E">
              <w:rPr>
                <w:rFonts w:ascii="Times New Roman" w:eastAsia="Times New Roman" w:hAnsi="Times New Roman"/>
                <w:sz w:val="24"/>
                <w:szCs w:val="24"/>
                <w:vertAlign w:val="superscript"/>
                <w:lang w:eastAsia="es-ES"/>
              </w:rPr>
              <w:t>2</w:t>
            </w:r>
            <w:r w:rsidRPr="007A260E">
              <w:rPr>
                <w:rFonts w:ascii="Times New Roman" w:eastAsia="Times New Roman" w:hAnsi="Times New Roman"/>
                <w:sz w:val="24"/>
                <w:szCs w:val="24"/>
                <w:lang w:eastAsia="es-ES"/>
              </w:rPr>
              <w:t>contabilizados en función del hospital donde ingresó el paciente con independencia del departamento de residencia.</w:t>
            </w:r>
          </w:p>
        </w:tc>
      </w:tr>
    </w:tbl>
    <w:p w:rsidR="006F122C" w:rsidRDefault="006F122C" w:rsidP="00550638">
      <w:pPr>
        <w:pStyle w:val="NormalWeb"/>
        <w:jc w:val="both"/>
      </w:pPr>
      <w:r>
        <w:t>Así, si se atiende a los costes por hospitalización es  tentador calcular una  cápita  que incorpore un descuento del orden de la magnitud señalada, un 20%, trasladando a la concesión los riesgos de su logro. Sin embargo esa decisión puede resultar arriesgada si la posibilidad de su consecución  resulta remota  a la vista del comportamiento global del gasto en que  se incurre: menor coste por hospitalización  acompañado de una  mayor proporción de hospitalizaciones se traduce en mayor gasto hospitalario per cápita.</w:t>
      </w:r>
    </w:p>
    <w:p w:rsidR="006F122C" w:rsidRDefault="006F122C" w:rsidP="00550638">
      <w:pPr>
        <w:pStyle w:val="NormalWeb"/>
        <w:jc w:val="both"/>
      </w:pPr>
      <w:r>
        <w:t>Puede argüirse que ese sería un problema de la concesión, dada la transferencia de riesgo operada. Lo que quizás sea cierto en el mejor de los mundos posibles, pero poco  verosímil en el que habitamos. En el territorio considerado en esta nota ya se produjo un rescate de la primera concesión,  que llevó a la rescisión  del “modelo Alzira” inicial y su “perfeccionamiento” ampliando su ámbito desde la hospitalización hasta la Atención Primaria y la Salud Mental.  Estos días la prensa informa que otra de las concesiones  ha solicitado también su “rescate”, bien sea duplicando el periodo de la concesión, ampliando la población a atender o bien incrementando la cápita pactada por la vía de incorporar más servicios a cambio de un nuevo precio, ciertamente, superior.</w:t>
      </w:r>
    </w:p>
    <w:p w:rsidR="002263F9" w:rsidRDefault="002263F9" w:rsidP="00550638">
      <w:pPr>
        <w:pStyle w:val="NormalWeb"/>
        <w:jc w:val="both"/>
        <w:rPr>
          <w:b/>
          <w:color w:val="FF0000"/>
          <w:u w:val="single"/>
        </w:rPr>
      </w:pPr>
      <w:r w:rsidRPr="00A67C5C">
        <w:rPr>
          <w:color w:val="FF0000"/>
          <w:u w:val="single"/>
        </w:rPr>
        <w:t>En todo caso, y para ir apuntando conclusiones, los datos analizados sugieren que los menores costes por ingreso de las concesiones parecen tener relación con una mayor tasa de ingresos hospitalarios (división de los costes fijos entre un mayor número de unidades) y no son suficientes para superar a los hospitales de gestión directa en gasto hospitalario por habitante, la variable relevante para el financiador público</w:t>
      </w:r>
      <w:r>
        <w:t xml:space="preserve">. Otros datos, en especial la variabilidad en gasto hospitalario por habitante bajo cualquier modelo de gestión, apuntan hacia que ambos modelos tienen importantes espacios de mejora de la eficiencia (reduciendo costes por ingreso o reduciendo ingresos hospitalarios) y sugieren que </w:t>
      </w:r>
      <w:r w:rsidRPr="00A67C5C">
        <w:rPr>
          <w:b/>
          <w:color w:val="FF0000"/>
          <w:u w:val="single"/>
        </w:rPr>
        <w:t>buscar desprejuiciadamente las formas de mejorar la eficiencia de todos los centros y reducir la variabilidad entre territorios puede ser más importante que el modelo de gestión elegido.</w:t>
      </w:r>
    </w:p>
    <w:p w:rsidR="00375C6C" w:rsidRDefault="00375C6C" w:rsidP="00550638">
      <w:pPr>
        <w:pStyle w:val="NormalWeb"/>
        <w:jc w:val="both"/>
        <w:rPr>
          <w:b/>
          <w:color w:val="FF0000"/>
          <w:u w:val="single"/>
        </w:rPr>
      </w:pPr>
    </w:p>
    <w:p w:rsidR="00375C6C" w:rsidRDefault="00375C6C" w:rsidP="00550638">
      <w:pPr>
        <w:pStyle w:val="NormalWeb"/>
        <w:jc w:val="both"/>
        <w:rPr>
          <w:b/>
          <w:color w:val="FF0000"/>
          <w:u w:val="single"/>
        </w:rPr>
      </w:pPr>
    </w:p>
    <w:p w:rsidR="00375C6C" w:rsidRPr="00A67C5C" w:rsidRDefault="00375C6C" w:rsidP="00550638">
      <w:pPr>
        <w:pStyle w:val="NormalWeb"/>
        <w:jc w:val="both"/>
        <w:rPr>
          <w:b/>
          <w:color w:val="FF0000"/>
          <w:u w:val="single"/>
        </w:rPr>
      </w:pPr>
    </w:p>
    <w:p w:rsidR="006F122C" w:rsidRDefault="006F122C" w:rsidP="00550638">
      <w:pPr>
        <w:pStyle w:val="NormalWeb"/>
      </w:pPr>
      <w:r>
        <w:rPr>
          <w:rStyle w:val="Textoennegrita"/>
          <w:rFonts w:eastAsiaTheme="majorEastAsia"/>
        </w:rPr>
        <w:lastRenderedPageBreak/>
        <w:t>Figura 1. Gasto hospitalario per cápita y tipo de gestión. Comunidad Valenciana. 2009</w:t>
      </w:r>
    </w:p>
    <w:p w:rsidR="006F122C" w:rsidRDefault="006F122C" w:rsidP="00550638">
      <w:pPr>
        <w:pStyle w:val="NormalWeb"/>
      </w:pPr>
      <w:r>
        <w:rPr>
          <w:noProof/>
          <w:color w:val="0000FF"/>
        </w:rPr>
        <w:drawing>
          <wp:inline distT="0" distB="0" distL="0" distR="0" wp14:anchorId="7C27662B" wp14:editId="0E876E5E">
            <wp:extent cx="5010912" cy="2633472"/>
            <wp:effectExtent l="0" t="0" r="0" b="0"/>
            <wp:docPr id="212" name="Imagen 212" descr="figurapostgestion">
              <a:hlinkClick xmlns:a="http://schemas.openxmlformats.org/drawingml/2006/main" r:id="rId4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figurapostgestion"/>
                    <pic:cNvPicPr>
                      <a:picLocks noChangeAspect="1" noChangeArrowheads="1"/>
                    </pic:cNvPicPr>
                  </pic:nvPicPr>
                  <pic:blipFill>
                    <a:blip r:embed="rId405">
                      <a:extLst>
                        <a:ext uri="{28A0092B-C50C-407E-A947-70E740481C1C}">
                          <a14:useLocalDpi xmlns:a14="http://schemas.microsoft.com/office/drawing/2010/main" val="0"/>
                        </a:ext>
                      </a:extLst>
                    </a:blip>
                    <a:srcRect/>
                    <a:stretch>
                      <a:fillRect/>
                    </a:stretch>
                  </pic:blipFill>
                  <pic:spPr bwMode="auto">
                    <a:xfrm>
                      <a:off x="0" y="0"/>
                      <a:ext cx="5010785" cy="2633405"/>
                    </a:xfrm>
                    <a:prstGeom prst="rect">
                      <a:avLst/>
                    </a:prstGeom>
                    <a:noFill/>
                    <a:ln>
                      <a:noFill/>
                    </a:ln>
                  </pic:spPr>
                </pic:pic>
              </a:graphicData>
            </a:graphic>
          </wp:inline>
        </w:drawing>
      </w:r>
    </w:p>
    <w:p w:rsidR="006F122C" w:rsidRDefault="006F122C" w:rsidP="00550638">
      <w:pPr>
        <w:pStyle w:val="NormalWeb"/>
        <w:jc w:val="both"/>
      </w:pPr>
      <w:r>
        <w:t>Algunas explicaciones sobre las fuentes de datos y los cálculos realizados</w:t>
      </w:r>
    </w:p>
    <w:p w:rsidR="006F122C" w:rsidRDefault="006F122C" w:rsidP="00550638">
      <w:pPr>
        <w:pStyle w:val="NormalWeb"/>
        <w:jc w:val="both"/>
      </w:pPr>
      <w:r>
        <w:t>Las fuentes de datos empleadas en el estudio referenciado fueron la Encuesta de Establecimientos Sanitarios con Régimen de internado (EESRI), el Conjunto Mínimo de Datos Básicos (CMBD) y el Padrón. La aproximación base fue desarrollada desde el Grupo Atlas de Variaciones en la Práctica Médica en el SNS  para analizar las variaciones en gasto hospitalario público entre áreas de salud. En el artículo “El gasto hospitalario poblacional: variaciones geográficas y factores determinantes” publicado en Presupuesto y Gasto Público, se explica la metodología usada y se reportan los resultados para 106 áreas de salud en 2002. Una actualización de dicho estudio, con datos referidos a 2009 e incluyendo la totalidad de las 199 áreas de salud del SNS se publicará en un  próximo número de la citada revista. En dicho año, la mediana de gasto hospitalario por habitante fue de 804 euros, y la variabilidad entre áreas fue de 512 a 1248 euros por habitante (estandarizado por edad y sexo para permitir las comparaciones entre territorios con estructuras demográficas diferentes). Prácticamente, el doble de gasto y la misma variabilidad entre territorios que 7 años antes. En ambos periodos la tasa de ingresos hospitalarios en cada territorio (Q) explicaba más varianza en gasto por habitante que el coste de cada ingreso (P).</w:t>
      </w:r>
    </w:p>
    <w:p w:rsidR="006F122C" w:rsidRDefault="006F122C" w:rsidP="00550638">
      <w:pPr>
        <w:pStyle w:val="NormalWeb"/>
        <w:jc w:val="both"/>
      </w:pPr>
      <w:r>
        <w:t>Concluyendo, hay que señalar que: 1) las fuentes utilizadas fueron diseñadas para otros usos y tienen importantes limitaciones, 2) los resultados no son generalizables a otras CCAA o a otros hospitales que, aun bajo la mismas etiquetas (concesión, GDA), pueden comportarse de forma muy diferente y,  3) los costes no son lo único que importa al evaluar la atención hospitalaria que requiere de la valoración adicional de la calidad de la atención recibida.</w:t>
      </w:r>
    </w:p>
    <w:p w:rsidR="006F122C" w:rsidRPr="00FF1520" w:rsidRDefault="006F122C"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431947">
        <w:rPr>
          <w:rFonts w:ascii="Times New Roman" w:hAnsi="Times New Roman"/>
          <w:sz w:val="24"/>
          <w:szCs w:val="24"/>
          <w:u w:val="single"/>
        </w:rPr>
        <w:t>Los conflictos sanitarios pasan, los daños permanecen. La conveniente mejora del gobierno y de la organización sanitaria</w:t>
      </w:r>
      <w:r>
        <w:rPr>
          <w:rFonts w:ascii="Times New Roman" w:hAnsi="Times New Roman"/>
          <w:sz w:val="24"/>
          <w:szCs w:val="24"/>
        </w:rPr>
        <w:t xml:space="preserve"> (Fedea - </w:t>
      </w:r>
      <w:r w:rsidRPr="00431947">
        <w:rPr>
          <w:rFonts w:ascii="Times New Roman" w:hAnsi="Times New Roman"/>
          <w:b/>
          <w:sz w:val="24"/>
          <w:szCs w:val="24"/>
        </w:rPr>
        <w:t>2/1/13</w:t>
      </w:r>
      <w:r>
        <w:rPr>
          <w:rFonts w:ascii="Times New Roman" w:hAnsi="Times New Roman"/>
          <w:sz w:val="24"/>
          <w:szCs w:val="24"/>
        </w:rPr>
        <w:t>)</w:t>
      </w:r>
    </w:p>
    <w:p w:rsidR="006F122C" w:rsidRPr="00FF1520" w:rsidRDefault="006F122C" w:rsidP="00550638">
      <w:pPr>
        <w:spacing w:line="240" w:lineRule="auto"/>
        <w:jc w:val="both"/>
        <w:rPr>
          <w:rFonts w:ascii="Times New Roman" w:hAnsi="Times New Roman"/>
          <w:sz w:val="24"/>
          <w:szCs w:val="24"/>
        </w:rPr>
      </w:pPr>
      <w:r>
        <w:rPr>
          <w:rFonts w:ascii="Times New Roman" w:hAnsi="Times New Roman"/>
          <w:sz w:val="24"/>
          <w:szCs w:val="24"/>
        </w:rPr>
        <w:t>(</w:t>
      </w:r>
      <w:r w:rsidR="00A43010">
        <w:rPr>
          <w:rFonts w:ascii="Times New Roman" w:hAnsi="Times New Roman"/>
          <w:sz w:val="24"/>
          <w:szCs w:val="24"/>
        </w:rPr>
        <w:t>Por Sergi Jiménez, con</w:t>
      </w:r>
      <w:r w:rsidRPr="00FF1520">
        <w:rPr>
          <w:rFonts w:ascii="Times New Roman" w:hAnsi="Times New Roman"/>
          <w:sz w:val="24"/>
          <w:szCs w:val="24"/>
        </w:rPr>
        <w:t xml:space="preserve"> Vicente Ortún</w:t>
      </w:r>
      <w:r>
        <w:rPr>
          <w:rFonts w:ascii="Times New Roman" w:hAnsi="Times New Roman"/>
          <w:sz w:val="24"/>
          <w:szCs w:val="24"/>
        </w:rPr>
        <w:t>)</w:t>
      </w:r>
    </w:p>
    <w:p w:rsidR="006F122C" w:rsidRPr="00FF1520" w:rsidRDefault="006F122C" w:rsidP="00550638">
      <w:pPr>
        <w:spacing w:line="240" w:lineRule="auto"/>
        <w:jc w:val="both"/>
        <w:rPr>
          <w:rFonts w:ascii="Times New Roman" w:hAnsi="Times New Roman"/>
          <w:sz w:val="24"/>
          <w:szCs w:val="24"/>
        </w:rPr>
      </w:pPr>
      <w:r w:rsidRPr="00FF1520">
        <w:rPr>
          <w:rFonts w:ascii="Times New Roman" w:hAnsi="Times New Roman"/>
          <w:sz w:val="24"/>
          <w:szCs w:val="24"/>
        </w:rPr>
        <w:lastRenderedPageBreak/>
        <w:t>El presente post es el tercero en la serie sobre gestión pública o pr</w:t>
      </w:r>
      <w:r w:rsidR="00A43010">
        <w:rPr>
          <w:rFonts w:ascii="Times New Roman" w:hAnsi="Times New Roman"/>
          <w:sz w:val="24"/>
          <w:szCs w:val="24"/>
        </w:rPr>
        <w:t>ivada de servicios sanitarios</w:t>
      </w:r>
      <w:r w:rsidRPr="00FF1520">
        <w:rPr>
          <w:rFonts w:ascii="Times New Roman" w:hAnsi="Times New Roman"/>
          <w:sz w:val="24"/>
          <w:szCs w:val="24"/>
        </w:rPr>
        <w:t>. El mismo presenta un diagnóstico de la situación y se enumeran algunas</w:t>
      </w:r>
      <w:r>
        <w:rPr>
          <w:rFonts w:ascii="Times New Roman" w:hAnsi="Times New Roman"/>
          <w:sz w:val="24"/>
          <w:szCs w:val="24"/>
        </w:rPr>
        <w:t xml:space="preserve"> orientaciones para su mejora. </w:t>
      </w:r>
    </w:p>
    <w:p w:rsidR="006F122C" w:rsidRPr="00FF1520" w:rsidRDefault="006F122C" w:rsidP="00550638">
      <w:pPr>
        <w:spacing w:line="240" w:lineRule="auto"/>
        <w:jc w:val="both"/>
        <w:rPr>
          <w:rFonts w:ascii="Times New Roman" w:hAnsi="Times New Roman"/>
          <w:sz w:val="24"/>
          <w:szCs w:val="24"/>
        </w:rPr>
      </w:pPr>
      <w:r w:rsidRPr="00FF1520">
        <w:rPr>
          <w:rFonts w:ascii="Times New Roman" w:hAnsi="Times New Roman"/>
          <w:sz w:val="24"/>
          <w:szCs w:val="24"/>
        </w:rPr>
        <w:t>Buen sistema, pronóstico reservado</w:t>
      </w:r>
    </w:p>
    <w:p w:rsidR="006F122C" w:rsidRPr="00AE34CF" w:rsidRDefault="006F122C" w:rsidP="00550638">
      <w:pPr>
        <w:spacing w:line="240" w:lineRule="auto"/>
        <w:jc w:val="both"/>
        <w:rPr>
          <w:rFonts w:ascii="Times New Roman" w:hAnsi="Times New Roman"/>
          <w:sz w:val="24"/>
          <w:szCs w:val="24"/>
          <w:u w:val="single"/>
        </w:rPr>
      </w:pPr>
      <w:r w:rsidRPr="00FF1520">
        <w:rPr>
          <w:rFonts w:ascii="Times New Roman" w:hAnsi="Times New Roman"/>
          <w:sz w:val="24"/>
          <w:szCs w:val="24"/>
        </w:rPr>
        <w:t xml:space="preserve">Cuando se pretende calificar el sistema sanitario español puede encontrarse un indicador para cualquier posición: desde el liderazgo galáctico en  </w:t>
      </w:r>
      <w:r w:rsidR="00A43010" w:rsidRPr="00FF1520">
        <w:rPr>
          <w:rFonts w:ascii="Times New Roman" w:hAnsi="Times New Roman"/>
          <w:sz w:val="24"/>
          <w:szCs w:val="24"/>
        </w:rPr>
        <w:t>trasplantes</w:t>
      </w:r>
      <w:r w:rsidRPr="00FF1520">
        <w:rPr>
          <w:rFonts w:ascii="Times New Roman" w:hAnsi="Times New Roman"/>
          <w:sz w:val="24"/>
          <w:szCs w:val="24"/>
        </w:rPr>
        <w:t xml:space="preserve"> hasta la muy vergonzante elevada prevalencia de resistencias bacterianas. Pero </w:t>
      </w:r>
      <w:r w:rsidRPr="00AE34CF">
        <w:rPr>
          <w:rFonts w:ascii="Times New Roman" w:hAnsi="Times New Roman"/>
          <w:sz w:val="24"/>
          <w:szCs w:val="24"/>
          <w:u w:val="single"/>
        </w:rPr>
        <w:t>si se pretende hacer una valoración honesta de su eficacia será fácil coincidir en fijarse en las causas de muerte innecesariamente prematura y sanitariamente evitable, las más sensibles a la actuación sanitaria: Entre 19 países seleccionados de la OCDE según este trabajo publicado en Health Affairs solo Japón y Francia nos superan.</w:t>
      </w:r>
    </w:p>
    <w:p w:rsidR="006F122C" w:rsidRPr="00AE34CF" w:rsidRDefault="006F122C" w:rsidP="00550638">
      <w:pPr>
        <w:spacing w:line="240" w:lineRule="auto"/>
        <w:jc w:val="both"/>
        <w:rPr>
          <w:rFonts w:ascii="Times New Roman" w:hAnsi="Times New Roman"/>
          <w:sz w:val="24"/>
          <w:szCs w:val="24"/>
          <w:u w:val="single"/>
        </w:rPr>
      </w:pPr>
      <w:r w:rsidRPr="00AE34CF">
        <w:rPr>
          <w:rFonts w:ascii="Times New Roman" w:hAnsi="Times New Roman"/>
          <w:sz w:val="24"/>
          <w:szCs w:val="24"/>
          <w:u w:val="single"/>
        </w:rPr>
        <w:t>Lamentablemente una buena situación es compatible con un mal pronóstico</w:t>
      </w:r>
      <w:r w:rsidR="00A43010">
        <w:rPr>
          <w:rFonts w:ascii="Times New Roman" w:hAnsi="Times New Roman"/>
          <w:sz w:val="24"/>
          <w:szCs w:val="24"/>
          <w:u w:val="single"/>
        </w:rPr>
        <w:t xml:space="preserve"> si el deterioro institucional -bastante evidente-</w:t>
      </w:r>
      <w:r w:rsidRPr="00AE34CF">
        <w:rPr>
          <w:rFonts w:ascii="Times New Roman" w:hAnsi="Times New Roman"/>
          <w:sz w:val="24"/>
          <w:szCs w:val="24"/>
          <w:u w:val="single"/>
        </w:rPr>
        <w:t xml:space="preserve"> impide que lo socialmente conveniente sea individualmente atractivo para los actores del sistema y si una oferta esclerótica no permite gestionar la utilización (también conocida como  morbilidad).</w:t>
      </w:r>
    </w:p>
    <w:p w:rsidR="006F122C" w:rsidRPr="00E95DD9" w:rsidRDefault="006F122C" w:rsidP="00550638">
      <w:pPr>
        <w:spacing w:line="240" w:lineRule="auto"/>
        <w:jc w:val="both"/>
        <w:rPr>
          <w:rFonts w:ascii="Times New Roman" w:hAnsi="Times New Roman"/>
          <w:color w:val="FF0000"/>
          <w:sz w:val="24"/>
          <w:szCs w:val="24"/>
          <w:u w:val="single"/>
        </w:rPr>
      </w:pPr>
      <w:r w:rsidRPr="00E95DD9">
        <w:rPr>
          <w:rFonts w:ascii="Times New Roman" w:hAnsi="Times New Roman"/>
          <w:color w:val="FF0000"/>
          <w:sz w:val="24"/>
          <w:szCs w:val="24"/>
          <w:u w:val="single"/>
        </w:rPr>
        <w:t>Algunos de los aspectos más indeseables del actual gobierno sanitario (escasa rendición de cuentas, opacidad de funcionamiento y formas peculiares de participación) pueden rastrearse en los orígenes totalitarios de la génesis de nuestro sistema de salud; otros, aunque comparten origen, parecen haberse exacerbado durante la andadura constitucional, especialmente desde la culminación del proceso transferencial en el año 2002.</w:t>
      </w:r>
    </w:p>
    <w:p w:rsidR="006F122C" w:rsidRPr="00FF1520" w:rsidRDefault="006F122C" w:rsidP="00550638">
      <w:pPr>
        <w:spacing w:line="240" w:lineRule="auto"/>
        <w:jc w:val="both"/>
        <w:rPr>
          <w:rFonts w:ascii="Times New Roman" w:hAnsi="Times New Roman"/>
          <w:sz w:val="24"/>
          <w:szCs w:val="24"/>
        </w:rPr>
      </w:pPr>
      <w:r w:rsidRPr="00E95DD9">
        <w:rPr>
          <w:rFonts w:ascii="Times New Roman" w:hAnsi="Times New Roman"/>
          <w:color w:val="FF0000"/>
          <w:sz w:val="24"/>
          <w:szCs w:val="24"/>
          <w:u w:val="single"/>
        </w:rPr>
        <w:t>En la determinación de la eficiencia del gasto sanitario las cantidades de visitas, ingresos, medicaciones…y, muy particularmente su adecuación, tienen mayor importancia que los precios</w:t>
      </w:r>
      <w:r w:rsidRPr="00FF1520">
        <w:rPr>
          <w:rFonts w:ascii="Times New Roman" w:hAnsi="Times New Roman"/>
          <w:sz w:val="24"/>
          <w:szCs w:val="24"/>
        </w:rPr>
        <w:t>.  Salvador Peiró y  Ricard Meneu destacaban este hecho en una entrada anterior como, con mucho mayor detalle, en el artículo de Presupuest</w:t>
      </w:r>
      <w:r>
        <w:rPr>
          <w:rFonts w:ascii="Times New Roman" w:hAnsi="Times New Roman"/>
          <w:sz w:val="24"/>
          <w:szCs w:val="24"/>
        </w:rPr>
        <w:t>o y Gasto Público que referían.</w:t>
      </w:r>
    </w:p>
    <w:p w:rsidR="006F122C" w:rsidRPr="00FF1520" w:rsidRDefault="006F122C" w:rsidP="00550638">
      <w:pPr>
        <w:spacing w:line="240" w:lineRule="auto"/>
        <w:jc w:val="both"/>
        <w:rPr>
          <w:rFonts w:ascii="Times New Roman" w:hAnsi="Times New Roman"/>
          <w:sz w:val="24"/>
          <w:szCs w:val="24"/>
        </w:rPr>
      </w:pPr>
      <w:r w:rsidRPr="00FF1520">
        <w:rPr>
          <w:rFonts w:ascii="Times New Roman" w:hAnsi="Times New Roman"/>
          <w:sz w:val="24"/>
          <w:szCs w:val="24"/>
        </w:rPr>
        <w:t>¿Qué organización es mejor?</w:t>
      </w:r>
    </w:p>
    <w:p w:rsidR="006F122C" w:rsidRPr="00E95DD9" w:rsidRDefault="006F122C" w:rsidP="00550638">
      <w:pPr>
        <w:spacing w:line="240" w:lineRule="auto"/>
        <w:jc w:val="both"/>
        <w:rPr>
          <w:rFonts w:ascii="Times New Roman" w:hAnsi="Times New Roman"/>
          <w:sz w:val="24"/>
          <w:szCs w:val="24"/>
          <w:u w:val="single"/>
        </w:rPr>
      </w:pPr>
      <w:r w:rsidRPr="00E95DD9">
        <w:rPr>
          <w:rFonts w:ascii="Times New Roman" w:hAnsi="Times New Roman"/>
          <w:color w:val="FF0000"/>
          <w:sz w:val="24"/>
          <w:szCs w:val="24"/>
          <w:u w:val="single"/>
        </w:rPr>
        <w:t xml:space="preserve">¿Cuál es la mejor forma de establecer quién hace qué, </w:t>
      </w:r>
      <w:r w:rsidR="00D44948" w:rsidRPr="00E95DD9">
        <w:rPr>
          <w:rFonts w:ascii="Times New Roman" w:hAnsi="Times New Roman"/>
          <w:color w:val="FF0000"/>
          <w:sz w:val="24"/>
          <w:szCs w:val="24"/>
          <w:u w:val="single"/>
        </w:rPr>
        <w:t>cómo</w:t>
      </w:r>
      <w:r w:rsidR="00D44948">
        <w:rPr>
          <w:rFonts w:ascii="Times New Roman" w:hAnsi="Times New Roman"/>
          <w:color w:val="FF0000"/>
          <w:sz w:val="24"/>
          <w:szCs w:val="24"/>
          <w:u w:val="single"/>
        </w:rPr>
        <w:t xml:space="preserve"> se evalúa y có</w:t>
      </w:r>
      <w:r w:rsidRPr="00E95DD9">
        <w:rPr>
          <w:rFonts w:ascii="Times New Roman" w:hAnsi="Times New Roman"/>
          <w:color w:val="FF0000"/>
          <w:sz w:val="24"/>
          <w:szCs w:val="24"/>
          <w:u w:val="single"/>
        </w:rPr>
        <w:t>mo se incentiva?</w:t>
      </w:r>
      <w:r w:rsidRPr="00FF1520">
        <w:rPr>
          <w:rFonts w:ascii="Times New Roman" w:hAnsi="Times New Roman"/>
          <w:sz w:val="24"/>
          <w:szCs w:val="24"/>
        </w:rPr>
        <w:t xml:space="preserve"> </w:t>
      </w:r>
      <w:r w:rsidRPr="00E95DD9">
        <w:rPr>
          <w:rFonts w:ascii="Times New Roman" w:hAnsi="Times New Roman"/>
          <w:sz w:val="24"/>
          <w:szCs w:val="24"/>
          <w:u w:val="single"/>
        </w:rPr>
        <w:t>En sectores sometidos a competencia, la organización que mayor ventaja competitiva otorga puede inferirse a partir de los resultados observados. En decisiones públicas de política sanitaria, relativas por ejemplo al grado de énfasis a otorgar a la atención primaria o a las formas más adecuadas de gestión directa o indirecta, resulta difícil esperar dictámenes de unos mercados que no existen.</w:t>
      </w:r>
      <w:r w:rsidRPr="00FF1520">
        <w:rPr>
          <w:rFonts w:ascii="Times New Roman" w:hAnsi="Times New Roman"/>
          <w:sz w:val="24"/>
          <w:szCs w:val="24"/>
        </w:rPr>
        <w:t xml:space="preserve"> </w:t>
      </w:r>
      <w:r w:rsidRPr="00E95DD9">
        <w:rPr>
          <w:rFonts w:ascii="Times New Roman" w:hAnsi="Times New Roman"/>
          <w:sz w:val="24"/>
          <w:szCs w:val="24"/>
          <w:u w:val="single"/>
        </w:rPr>
        <w:t>Cabe, como siempre, copiar –adaptando- de quienes mejor lo han hecho en gestión pública durante estas dos o tres últimas décadas y  tratar de ir aprendiendo por ensayo y error. Ello supone tanto propiciar formas alternativas de organizarse, huir del modelo único (si todos hubiéramos fumado probablemente no sabríamos todavía que el tabaco es un factor de riesgo del cáncer), para poder  comparar, ajustando por las variables que las organizaciones evaluadas no controlan.</w:t>
      </w:r>
    </w:p>
    <w:p w:rsidR="00A43010" w:rsidRPr="00E95DD9" w:rsidRDefault="006F122C" w:rsidP="00550638">
      <w:pPr>
        <w:spacing w:line="240" w:lineRule="auto"/>
        <w:jc w:val="both"/>
        <w:rPr>
          <w:rFonts w:ascii="Times New Roman" w:hAnsi="Times New Roman"/>
          <w:color w:val="FF0000"/>
          <w:sz w:val="24"/>
          <w:szCs w:val="24"/>
          <w:u w:val="single"/>
        </w:rPr>
      </w:pPr>
      <w:r w:rsidRPr="00FF1520">
        <w:rPr>
          <w:rFonts w:ascii="Times New Roman" w:hAnsi="Times New Roman"/>
          <w:sz w:val="24"/>
          <w:szCs w:val="24"/>
        </w:rPr>
        <w:t xml:space="preserve">Los mecanismos de competencia pública y competencia simulada que parten de la separación de la función de financiación y compra de la función de producción y gestión se articulan en España por Ley 15/1997, de 25 de abril, de Habilitación de Nuevas Formas de Gestión del Sistema Nacional de Salud y en 1990 en Cataluña a través de su Ley de Ordenación Sanitaria. De las primeras </w:t>
      </w:r>
      <w:r w:rsidRPr="00E95DD9">
        <w:rPr>
          <w:rFonts w:ascii="Times New Roman" w:hAnsi="Times New Roman"/>
          <w:sz w:val="24"/>
          <w:szCs w:val="24"/>
          <w:u w:val="single"/>
        </w:rPr>
        <w:t xml:space="preserve">se huye ahora, reconvirtiendo centros </w:t>
      </w:r>
      <w:r w:rsidRPr="00E95DD9">
        <w:rPr>
          <w:rFonts w:ascii="Times New Roman" w:hAnsi="Times New Roman"/>
          <w:sz w:val="24"/>
          <w:szCs w:val="24"/>
          <w:u w:val="single"/>
        </w:rPr>
        <w:lastRenderedPageBreak/>
        <w:t>acogidos a esas modalidades en concesiones ajenas a tales diseños</w:t>
      </w:r>
      <w:r w:rsidRPr="00FF1520">
        <w:rPr>
          <w:rFonts w:ascii="Times New Roman" w:hAnsi="Times New Roman"/>
          <w:sz w:val="24"/>
          <w:szCs w:val="24"/>
        </w:rPr>
        <w:t xml:space="preserve">. En cuanto  a  la separación de funciones, incluso en Cataluña tiene todavía mucho componente virtual: </w:t>
      </w:r>
      <w:r w:rsidRPr="00E95DD9">
        <w:rPr>
          <w:rFonts w:ascii="Times New Roman" w:hAnsi="Times New Roman"/>
          <w:color w:val="FF0000"/>
          <w:sz w:val="24"/>
          <w:szCs w:val="24"/>
          <w:u w:val="single"/>
        </w:rPr>
        <w:t>El discurso reiterado acerca de la separación entre financiación y producción puede hacer creer que ya se ha producido cuando la realidad ha sido la contraria, la de una mayor integración entre financiación y producción por, primero, una creciente dependencia de la financiación pública, segundo, la incorporación del financiador/planificador a los órganos de gobierno de los centros productores de servicios sanitarios, y, tercero, por la presencia e influencia de los centros productores en los órganos de asesoría y consulta del financiador/planificador.</w:t>
      </w:r>
    </w:p>
    <w:p w:rsidR="006F122C" w:rsidRPr="00FF1520" w:rsidRDefault="006F122C" w:rsidP="00550638">
      <w:pPr>
        <w:spacing w:line="240" w:lineRule="auto"/>
        <w:jc w:val="both"/>
        <w:rPr>
          <w:rFonts w:ascii="Times New Roman" w:hAnsi="Times New Roman"/>
          <w:sz w:val="24"/>
          <w:szCs w:val="24"/>
        </w:rPr>
      </w:pPr>
      <w:r w:rsidRPr="00FF1520">
        <w:rPr>
          <w:rFonts w:ascii="Times New Roman" w:hAnsi="Times New Roman"/>
          <w:sz w:val="24"/>
          <w:szCs w:val="24"/>
        </w:rPr>
        <w:t>Indicaciones del incentivo de lucro</w:t>
      </w:r>
    </w:p>
    <w:p w:rsidR="006F122C" w:rsidRPr="00E95DD9" w:rsidRDefault="006F122C" w:rsidP="00550638">
      <w:pPr>
        <w:spacing w:line="240" w:lineRule="auto"/>
        <w:jc w:val="both"/>
        <w:rPr>
          <w:rFonts w:ascii="Times New Roman" w:hAnsi="Times New Roman"/>
          <w:color w:val="FF0000"/>
          <w:sz w:val="24"/>
          <w:szCs w:val="24"/>
          <w:u w:val="single"/>
        </w:rPr>
      </w:pPr>
      <w:r w:rsidRPr="00E95DD9">
        <w:rPr>
          <w:rFonts w:ascii="Times New Roman" w:hAnsi="Times New Roman"/>
          <w:color w:val="FF0000"/>
          <w:sz w:val="24"/>
          <w:szCs w:val="24"/>
          <w:u w:val="single"/>
        </w:rPr>
        <w:t>El lucro se presenta bajo diversas modalidades siendo el absentismo, el bajo rendimiento, y el escaqueo una de ellas, pero es la titularidad de los derechos de decisión y la apropiación de las rentas residuales la que crea el continuo entre organizaciones radicalmente privadas y organizaciones radicalmente públicas (titularidad pública y no apropiación de rentas residuales).</w:t>
      </w:r>
      <w:r w:rsidRPr="00FF1520">
        <w:rPr>
          <w:rFonts w:ascii="Times New Roman" w:hAnsi="Times New Roman"/>
          <w:sz w:val="24"/>
          <w:szCs w:val="24"/>
        </w:rPr>
        <w:t xml:space="preserve"> Guillem López, hace ya diez años, dirigió un libro sobre el Interfaz Público-Privado en Sanidad. En uno de sus capítulos se partía de las indicaciones del beneficio (premio a la eficiencia, estímulo de la innovación y el riesgo) para constatar su dominio total de la industria suministradora del sector sanitario pero sus limitaciones claras en otras funciones sanitarias. </w:t>
      </w:r>
      <w:r w:rsidRPr="00E95DD9">
        <w:rPr>
          <w:rFonts w:ascii="Times New Roman" w:hAnsi="Times New Roman"/>
          <w:color w:val="FF0000"/>
          <w:sz w:val="24"/>
          <w:szCs w:val="24"/>
          <w:u w:val="single"/>
        </w:rPr>
        <w:t>Un gran mecanismo de incentivación, como los beneficios, ha de ser manejado con extrema precaución aunque se reconozca que el uniformismo imperante resulta injusto y desestimulante. La mayor prevalencia mundial de organizaciones sanitarias sin finalidad lucrativa puede indicar una mejor adaptación a lo que la población espera del cuidado de la salud.</w:t>
      </w:r>
    </w:p>
    <w:p w:rsidR="006F122C" w:rsidRPr="00FF1520" w:rsidRDefault="006F122C" w:rsidP="00550638">
      <w:pPr>
        <w:spacing w:line="240" w:lineRule="auto"/>
        <w:jc w:val="both"/>
        <w:rPr>
          <w:rFonts w:ascii="Times New Roman" w:hAnsi="Times New Roman"/>
          <w:sz w:val="24"/>
          <w:szCs w:val="24"/>
        </w:rPr>
      </w:pPr>
      <w:r w:rsidRPr="00FF1520">
        <w:rPr>
          <w:rFonts w:ascii="Times New Roman" w:hAnsi="Times New Roman"/>
          <w:sz w:val="24"/>
          <w:szCs w:val="24"/>
        </w:rPr>
        <w:t>Autonomía responsable y competencia por comparación</w:t>
      </w:r>
    </w:p>
    <w:p w:rsidR="006F122C" w:rsidRPr="00E95DD9" w:rsidRDefault="006F122C" w:rsidP="00550638">
      <w:pPr>
        <w:spacing w:line="240" w:lineRule="auto"/>
        <w:jc w:val="both"/>
        <w:rPr>
          <w:rFonts w:ascii="Times New Roman" w:hAnsi="Times New Roman"/>
          <w:color w:val="FF0000"/>
          <w:sz w:val="24"/>
          <w:szCs w:val="24"/>
          <w:u w:val="single"/>
        </w:rPr>
      </w:pPr>
      <w:r w:rsidRPr="00E95DD9">
        <w:rPr>
          <w:rFonts w:ascii="Times New Roman" w:hAnsi="Times New Roman"/>
          <w:b/>
          <w:color w:val="FF0000"/>
          <w:sz w:val="24"/>
          <w:szCs w:val="24"/>
          <w:u w:val="single"/>
        </w:rPr>
        <w:t>Ni Educación ni Sanidad exigen que sus profesionales sean funcionarios</w:t>
      </w:r>
      <w:r w:rsidRPr="00FF1520">
        <w:rPr>
          <w:rFonts w:ascii="Times New Roman" w:hAnsi="Times New Roman"/>
          <w:sz w:val="24"/>
          <w:szCs w:val="24"/>
        </w:rPr>
        <w:t xml:space="preserve">. </w:t>
      </w:r>
      <w:r w:rsidRPr="00E95DD9">
        <w:rPr>
          <w:rFonts w:ascii="Times New Roman" w:hAnsi="Times New Roman"/>
          <w:sz w:val="24"/>
          <w:szCs w:val="24"/>
          <w:u w:val="single"/>
        </w:rPr>
        <w:t>Conviene respetar los derechos adquiridos e ir introduciendo gradualmente formas flexibles de contratación abiertas al mundo y a cargo de tribunales internacionales.</w:t>
      </w:r>
      <w:r w:rsidRPr="00FF1520">
        <w:rPr>
          <w:rFonts w:ascii="Times New Roman" w:hAnsi="Times New Roman"/>
          <w:sz w:val="24"/>
          <w:szCs w:val="24"/>
        </w:rPr>
        <w:t xml:space="preserve"> En un contexto inglés de hospitales en competencia, con buenas medidas de desempeño, se estudiaron los determinantes de una buena gestión. </w:t>
      </w:r>
      <w:r w:rsidR="00787AC5">
        <w:rPr>
          <w:rFonts w:ascii="Times New Roman" w:hAnsi="Times New Roman"/>
          <w:color w:val="FF0000"/>
          <w:sz w:val="24"/>
          <w:szCs w:val="24"/>
          <w:u w:val="single"/>
        </w:rPr>
        <w:t xml:space="preserve">Los resultados </w:t>
      </w:r>
      <w:r w:rsidRPr="00E95DD9">
        <w:rPr>
          <w:rFonts w:ascii="Times New Roman" w:hAnsi="Times New Roman"/>
          <w:color w:val="FF0000"/>
          <w:sz w:val="24"/>
          <w:szCs w:val="24"/>
          <w:u w:val="single"/>
        </w:rPr>
        <w:t>indicaron que las mejores prácticas gestoras están asociadas con mejores resultados, incluyendo menor mortalidad tras infarto agudo de miocardio, mejores resultados financieros, mayor satisfacción del personal y puntuaciones más altas por parte de la agencia supervisora de la calidad. La incorporación de una variable instrumental de tipo político permitió establecer causalidad y su sentido: mayor competencia entre hospitales provoca una mejor calidad de la gestión.</w:t>
      </w:r>
    </w:p>
    <w:p w:rsidR="006F122C" w:rsidRPr="00E95DD9" w:rsidRDefault="006F122C" w:rsidP="00550638">
      <w:pPr>
        <w:spacing w:line="240" w:lineRule="auto"/>
        <w:jc w:val="both"/>
        <w:rPr>
          <w:rFonts w:ascii="Times New Roman" w:hAnsi="Times New Roman"/>
          <w:b/>
          <w:color w:val="FF0000"/>
          <w:sz w:val="24"/>
          <w:szCs w:val="24"/>
          <w:u w:val="single"/>
        </w:rPr>
      </w:pPr>
      <w:r w:rsidRPr="00E95DD9">
        <w:rPr>
          <w:rFonts w:ascii="Times New Roman" w:hAnsi="Times New Roman"/>
          <w:b/>
          <w:color w:val="FF0000"/>
          <w:sz w:val="24"/>
          <w:szCs w:val="24"/>
          <w:u w:val="single"/>
        </w:rPr>
        <w:t>No se trata ni de competir en precios (sacrificando las calidades que el usuario no percibe) ni de realizar experimentos a prueba de fallos, por el interés del promotor político en que luzcan bien, sino de ir introduciendo la idea de que los recursos que una organización sanitaria reciba dependerán, de entrada en una mínima parte, de la calidad que ofrezca en relación a sus comparables.</w:t>
      </w:r>
    </w:p>
    <w:p w:rsidR="006F122C" w:rsidRPr="00E95DD9" w:rsidRDefault="006F122C" w:rsidP="00550638">
      <w:pPr>
        <w:spacing w:line="240" w:lineRule="auto"/>
        <w:jc w:val="both"/>
        <w:rPr>
          <w:rFonts w:ascii="Times New Roman" w:hAnsi="Times New Roman"/>
          <w:sz w:val="24"/>
          <w:szCs w:val="24"/>
          <w:u w:val="single"/>
        </w:rPr>
      </w:pPr>
      <w:r w:rsidRPr="00FF1520">
        <w:rPr>
          <w:rFonts w:ascii="Times New Roman" w:hAnsi="Times New Roman"/>
          <w:sz w:val="24"/>
          <w:szCs w:val="24"/>
        </w:rPr>
        <w:t>En países como España, con captura regulatoria, nula competencia por comparación y escasa transparencia no es el momento de plantearse, por ejemplo, concesiones que sobre el papel merecerían ser ensa</w:t>
      </w:r>
      <w:r w:rsidR="00A43010">
        <w:rPr>
          <w:rFonts w:ascii="Times New Roman" w:hAnsi="Times New Roman"/>
          <w:sz w:val="24"/>
          <w:szCs w:val="24"/>
        </w:rPr>
        <w:t>yadas…si se dieran condiciones “holandesas”</w:t>
      </w:r>
      <w:r w:rsidRPr="00FF1520">
        <w:rPr>
          <w:rFonts w:ascii="Times New Roman" w:hAnsi="Times New Roman"/>
          <w:sz w:val="24"/>
          <w:szCs w:val="24"/>
        </w:rPr>
        <w:t xml:space="preserve">. </w:t>
      </w:r>
      <w:r w:rsidRPr="00E95DD9">
        <w:rPr>
          <w:rFonts w:ascii="Times New Roman" w:hAnsi="Times New Roman"/>
          <w:color w:val="FF0000"/>
          <w:sz w:val="24"/>
          <w:szCs w:val="24"/>
          <w:u w:val="single"/>
        </w:rPr>
        <w:t xml:space="preserve">Algunas experiencias de colaboración público-privada denotan una fusión cuasi-peronista entre lo público y lo privado que, sin transparencia, son recibidas con enorme </w:t>
      </w:r>
      <w:r w:rsidRPr="00E95DD9">
        <w:rPr>
          <w:rFonts w:ascii="Times New Roman" w:hAnsi="Times New Roman"/>
          <w:color w:val="FF0000"/>
          <w:sz w:val="24"/>
          <w:szCs w:val="24"/>
          <w:u w:val="single"/>
        </w:rPr>
        <w:lastRenderedPageBreak/>
        <w:t>desconfianza por ciudadanos y profesionales</w:t>
      </w:r>
      <w:r w:rsidRPr="00FF1520">
        <w:rPr>
          <w:rFonts w:ascii="Times New Roman" w:hAnsi="Times New Roman"/>
          <w:sz w:val="24"/>
          <w:szCs w:val="24"/>
        </w:rPr>
        <w:t xml:space="preserve">. Tal como refería Luis Garicano en un artículo reciente de El País, en relación con la no-reforma del sector eléctrico, el precio de la energía o el rescate del Banco de Valencia. Como dicen Ricard Meneu y Salvador Peiró en su entrada, </w:t>
      </w:r>
      <w:r w:rsidRPr="00E95DD9">
        <w:rPr>
          <w:rFonts w:ascii="Times New Roman" w:hAnsi="Times New Roman"/>
          <w:sz w:val="24"/>
          <w:szCs w:val="24"/>
          <w:u w:val="single"/>
        </w:rPr>
        <w:t>se trata de buscar desprejuiciadamente las formas de mejorar la eficiencia en todos los centros y reducir la variabilidad arbitraria intrarregional puede ser más importante que el modelo de gestión elegido.</w:t>
      </w:r>
    </w:p>
    <w:p w:rsidR="006F122C" w:rsidRPr="00FF1520" w:rsidRDefault="006F122C" w:rsidP="00550638">
      <w:pPr>
        <w:spacing w:line="240" w:lineRule="auto"/>
        <w:jc w:val="both"/>
        <w:rPr>
          <w:rFonts w:ascii="Times New Roman" w:hAnsi="Times New Roman"/>
          <w:sz w:val="24"/>
          <w:szCs w:val="24"/>
        </w:rPr>
      </w:pPr>
      <w:r w:rsidRPr="00FF1520">
        <w:rPr>
          <w:rFonts w:ascii="Times New Roman" w:hAnsi="Times New Roman"/>
          <w:sz w:val="24"/>
          <w:szCs w:val="24"/>
        </w:rPr>
        <w:t>Mejor política para una mejor gestión pública</w:t>
      </w:r>
    </w:p>
    <w:p w:rsidR="006F122C" w:rsidRPr="00FF1520" w:rsidRDefault="006F122C" w:rsidP="00550638">
      <w:pPr>
        <w:spacing w:line="240" w:lineRule="auto"/>
        <w:jc w:val="both"/>
        <w:rPr>
          <w:rFonts w:ascii="Times New Roman" w:hAnsi="Times New Roman"/>
          <w:sz w:val="24"/>
          <w:szCs w:val="24"/>
        </w:rPr>
      </w:pPr>
      <w:r w:rsidRPr="00E95DD9">
        <w:rPr>
          <w:rFonts w:ascii="Times New Roman" w:hAnsi="Times New Roman"/>
          <w:color w:val="FF0000"/>
          <w:sz w:val="24"/>
          <w:szCs w:val="24"/>
          <w:u w:val="single"/>
        </w:rPr>
        <w:t>En las reformas sanitarias tienen importancia equivalente el qué y el cómo, la racionalidad técnica y la legitimidad social</w:t>
      </w:r>
      <w:r w:rsidRPr="00E95DD9">
        <w:rPr>
          <w:rFonts w:ascii="Times New Roman" w:hAnsi="Times New Roman"/>
          <w:sz w:val="24"/>
          <w:szCs w:val="24"/>
          <w:u w:val="single"/>
        </w:rPr>
        <w:t>, legitimidad que se acrecienta con un buen gobierno, concepto complejo en el que se incluyen, entre otros, la necesidad de transparencia, la rendición de cuentas, la regulación de los conflictos de interés y la profesionalización de las funciones ejecutivas del sistema</w:t>
      </w:r>
      <w:r>
        <w:rPr>
          <w:rFonts w:ascii="Times New Roman" w:hAnsi="Times New Roman"/>
          <w:sz w:val="24"/>
          <w:szCs w:val="24"/>
        </w:rPr>
        <w:t>.</w:t>
      </w:r>
    </w:p>
    <w:p w:rsidR="006F122C" w:rsidRPr="00FF1520" w:rsidRDefault="006F122C" w:rsidP="00550638">
      <w:pPr>
        <w:spacing w:line="240" w:lineRule="auto"/>
        <w:jc w:val="both"/>
        <w:rPr>
          <w:rFonts w:ascii="Times New Roman" w:hAnsi="Times New Roman"/>
          <w:sz w:val="24"/>
          <w:szCs w:val="24"/>
        </w:rPr>
      </w:pPr>
      <w:r w:rsidRPr="00FF1520">
        <w:rPr>
          <w:rFonts w:ascii="Times New Roman" w:hAnsi="Times New Roman"/>
          <w:sz w:val="24"/>
          <w:szCs w:val="24"/>
        </w:rPr>
        <w:t xml:space="preserve">Las soluciones sobre el papel están al alcance de cualquier persona informada. Su implantación requiere el abordaje conjunto de todos los déficits, no solo los presupuestarios o los exteriores, sino también los de legitimidad y transparencia. </w:t>
      </w:r>
      <w:r w:rsidRPr="00E95DD9">
        <w:rPr>
          <w:rFonts w:ascii="Times New Roman" w:hAnsi="Times New Roman"/>
          <w:sz w:val="24"/>
          <w:szCs w:val="24"/>
          <w:u w:val="single"/>
        </w:rPr>
        <w:t>España tiene un problema con su gestión pública.</w:t>
      </w:r>
      <w:r w:rsidRPr="00FF1520">
        <w:rPr>
          <w:rFonts w:ascii="Times New Roman" w:hAnsi="Times New Roman"/>
          <w:sz w:val="24"/>
          <w:szCs w:val="24"/>
        </w:rPr>
        <w:t xml:space="preserve"> Y la mejor literatura sobre desarrollo lo corrobora: </w:t>
      </w:r>
      <w:r w:rsidRPr="00E95DD9">
        <w:rPr>
          <w:rFonts w:ascii="Times New Roman" w:hAnsi="Times New Roman"/>
          <w:sz w:val="24"/>
          <w:szCs w:val="24"/>
          <w:u w:val="single"/>
        </w:rPr>
        <w:t>Será muy difícil mejorar la gestión pública o introducir reformas sanitarias que mejoren de forma apreciable nuestra productividad sin una mejor calidad de la política y de las instituciones que la están condicionando</w:t>
      </w:r>
      <w:r w:rsidRPr="00FF1520">
        <w:rPr>
          <w:rFonts w:ascii="Times New Roman" w:hAnsi="Times New Roman"/>
          <w:sz w:val="24"/>
          <w:szCs w:val="24"/>
        </w:rPr>
        <w:t>. Esto se facilita con un fomento de la transparencia y el acceso público a las bases de datos de la administración. La Central de Resultados en Cataluña marca un buen precedente.</w:t>
      </w:r>
    </w:p>
    <w:p w:rsidR="006F122C" w:rsidRPr="00E95DD9" w:rsidRDefault="006F122C" w:rsidP="00550638">
      <w:pPr>
        <w:spacing w:line="240" w:lineRule="auto"/>
        <w:jc w:val="both"/>
        <w:rPr>
          <w:rFonts w:ascii="Times New Roman" w:hAnsi="Times New Roman"/>
          <w:color w:val="FF0000"/>
          <w:sz w:val="24"/>
          <w:szCs w:val="24"/>
          <w:u w:val="single"/>
        </w:rPr>
      </w:pPr>
      <w:r w:rsidRPr="00E95DD9">
        <w:rPr>
          <w:rFonts w:ascii="Times New Roman" w:hAnsi="Times New Roman"/>
          <w:sz w:val="24"/>
          <w:szCs w:val="24"/>
          <w:u w:val="single"/>
        </w:rPr>
        <w:t>El sistema sanitario afronta dos grandes retos: lograr su deseabilidad por los importantes grupos de ciudadanos aún desafectos (los que votan con los pies, rehuyendo su cobertura, tanto con ﬁnanciación privada como con la privilegiada pública con capacidad de elección) y garantizar su solvencia, concepto más relevante que la macerada “sostenibilidad”</w:t>
      </w:r>
      <w:r w:rsidRPr="00FF1520">
        <w:rPr>
          <w:rFonts w:ascii="Times New Roman" w:hAnsi="Times New Roman"/>
          <w:sz w:val="24"/>
          <w:szCs w:val="24"/>
        </w:rPr>
        <w:t xml:space="preserve">. </w:t>
      </w:r>
      <w:r w:rsidRPr="00E95DD9">
        <w:rPr>
          <w:rFonts w:ascii="Times New Roman" w:hAnsi="Times New Roman"/>
          <w:color w:val="FF0000"/>
          <w:sz w:val="24"/>
          <w:szCs w:val="24"/>
          <w:u w:val="single"/>
        </w:rPr>
        <w:t>Ambas exigen proveedores más autónomos, que permitan el desarrollo de una competencia por comparación y el pago por resultados sobre una base de ﬁnanciación poblacional, estimuladora de la continuidad asistencial y la integración, real o virtual, entre niveles asistenciales, con el criterio guía de atender cada circunstancia en el lugar y por el profesional con mejor capacidad resolutiva.</w:t>
      </w:r>
    </w:p>
    <w:p w:rsidR="006F122C" w:rsidRPr="00FF1520" w:rsidRDefault="006F122C" w:rsidP="00550638">
      <w:pPr>
        <w:spacing w:line="240" w:lineRule="auto"/>
        <w:jc w:val="both"/>
        <w:rPr>
          <w:rFonts w:ascii="Times New Roman" w:hAnsi="Times New Roman"/>
          <w:sz w:val="24"/>
          <w:szCs w:val="24"/>
        </w:rPr>
      </w:pPr>
      <w:r w:rsidRPr="00FF1520">
        <w:rPr>
          <w:rFonts w:ascii="Times New Roman" w:hAnsi="Times New Roman"/>
          <w:sz w:val="24"/>
          <w:szCs w:val="24"/>
        </w:rPr>
        <w:t xml:space="preserve">Existen muchas formas organizativas intermedias entre las rabiosamente públicas y las rabiosamente privadas, respecto a las cuales la estrategia de radicalismo selectivo, el ensayo y el error, continúan siendo una alternativa más válida que la uniformidad inmovilista inane e indiferente a los cambios sociales. </w:t>
      </w:r>
      <w:r w:rsidRPr="00E95DD9">
        <w:rPr>
          <w:rFonts w:ascii="Times New Roman" w:hAnsi="Times New Roman"/>
          <w:sz w:val="24"/>
          <w:szCs w:val="24"/>
          <w:u w:val="single"/>
        </w:rPr>
        <w:t>El mejor gobierno de la empresa pública sanitaria requiere</w:t>
      </w:r>
      <w:r w:rsidRPr="00FF1520">
        <w:rPr>
          <w:rFonts w:ascii="Times New Roman" w:hAnsi="Times New Roman"/>
          <w:sz w:val="24"/>
          <w:szCs w:val="24"/>
        </w:rPr>
        <w:t>:</w:t>
      </w:r>
    </w:p>
    <w:p w:rsidR="006F122C" w:rsidRPr="00EE44D4" w:rsidRDefault="006F122C" w:rsidP="00550638">
      <w:pPr>
        <w:spacing w:line="240" w:lineRule="auto"/>
        <w:jc w:val="both"/>
        <w:rPr>
          <w:rFonts w:ascii="Times New Roman" w:hAnsi="Times New Roman"/>
          <w:color w:val="FF0000"/>
          <w:sz w:val="24"/>
          <w:szCs w:val="24"/>
        </w:rPr>
      </w:pPr>
      <w:r w:rsidRPr="00FF1520">
        <w:rPr>
          <w:rFonts w:ascii="Times New Roman" w:hAnsi="Times New Roman"/>
          <w:sz w:val="24"/>
          <w:szCs w:val="24"/>
        </w:rPr>
        <w:t xml:space="preserve">• </w:t>
      </w:r>
      <w:r w:rsidRPr="00EE44D4">
        <w:rPr>
          <w:rFonts w:ascii="Times New Roman" w:hAnsi="Times New Roman"/>
          <w:color w:val="FF0000"/>
          <w:sz w:val="24"/>
          <w:szCs w:val="24"/>
        </w:rPr>
        <w:t>Un grado suﬁciente de competencia referencial entre productos o servicios.</w:t>
      </w:r>
    </w:p>
    <w:p w:rsidR="006F122C" w:rsidRPr="00EE44D4" w:rsidRDefault="006F122C" w:rsidP="00550638">
      <w:pPr>
        <w:spacing w:line="240" w:lineRule="auto"/>
        <w:jc w:val="both"/>
        <w:rPr>
          <w:rFonts w:ascii="Times New Roman" w:hAnsi="Times New Roman"/>
          <w:color w:val="FF0000"/>
          <w:sz w:val="24"/>
          <w:szCs w:val="24"/>
        </w:rPr>
      </w:pPr>
      <w:r w:rsidRPr="00FF1520">
        <w:rPr>
          <w:rFonts w:ascii="Times New Roman" w:hAnsi="Times New Roman"/>
          <w:sz w:val="24"/>
          <w:szCs w:val="24"/>
        </w:rPr>
        <w:t xml:space="preserve">• </w:t>
      </w:r>
      <w:r w:rsidRPr="00EE44D4">
        <w:rPr>
          <w:rFonts w:ascii="Times New Roman" w:hAnsi="Times New Roman"/>
          <w:color w:val="FF0000"/>
          <w:sz w:val="24"/>
          <w:szCs w:val="24"/>
        </w:rPr>
        <w:t>Objetivos claros y medidas de eﬁciencia: central de resultados, central de balances y similares, transparentes, con auditorías a posteriori.</w:t>
      </w:r>
    </w:p>
    <w:p w:rsidR="006F122C" w:rsidRPr="00EE44D4" w:rsidRDefault="006F122C" w:rsidP="00550638">
      <w:pPr>
        <w:spacing w:line="240" w:lineRule="auto"/>
        <w:jc w:val="both"/>
        <w:rPr>
          <w:rFonts w:ascii="Times New Roman" w:hAnsi="Times New Roman"/>
          <w:color w:val="FF0000"/>
          <w:sz w:val="24"/>
          <w:szCs w:val="24"/>
        </w:rPr>
      </w:pPr>
      <w:r w:rsidRPr="00FF1520">
        <w:rPr>
          <w:rFonts w:ascii="Times New Roman" w:hAnsi="Times New Roman"/>
          <w:sz w:val="24"/>
          <w:szCs w:val="24"/>
        </w:rPr>
        <w:t xml:space="preserve">• </w:t>
      </w:r>
      <w:r w:rsidRPr="00EE44D4">
        <w:rPr>
          <w:rFonts w:ascii="Times New Roman" w:hAnsi="Times New Roman"/>
          <w:color w:val="FF0000"/>
          <w:sz w:val="24"/>
          <w:szCs w:val="24"/>
        </w:rPr>
        <w:t>Presión de los usuarios, que pueden conseguir que las organizaciones sufran los costes de la “no calidad” o, como mínimo, de su componente subjetiva.</w:t>
      </w:r>
    </w:p>
    <w:p w:rsidR="006F122C" w:rsidRPr="00EE44D4" w:rsidRDefault="006F122C" w:rsidP="00550638">
      <w:pPr>
        <w:spacing w:line="240" w:lineRule="auto"/>
        <w:jc w:val="both"/>
        <w:rPr>
          <w:rFonts w:ascii="Times New Roman" w:hAnsi="Times New Roman"/>
          <w:color w:val="FF0000"/>
          <w:sz w:val="24"/>
          <w:szCs w:val="24"/>
        </w:rPr>
      </w:pPr>
      <w:r w:rsidRPr="00FF1520">
        <w:rPr>
          <w:rFonts w:ascii="Times New Roman" w:hAnsi="Times New Roman"/>
          <w:sz w:val="24"/>
          <w:szCs w:val="24"/>
        </w:rPr>
        <w:t xml:space="preserve">• </w:t>
      </w:r>
      <w:r w:rsidRPr="00EE44D4">
        <w:rPr>
          <w:rFonts w:ascii="Times New Roman" w:hAnsi="Times New Roman"/>
          <w:color w:val="FF0000"/>
          <w:sz w:val="24"/>
          <w:szCs w:val="24"/>
        </w:rPr>
        <w:t>Que ese buen gobierno tenga importancia “económica” para el país, comparable, por ejemplo, a la de la Agencia Tributaria o a la de Instituto Nacional de la Seguridad Social, convertidas en joyas de la Administración durante estos últimos 20 años.</w:t>
      </w:r>
    </w:p>
    <w:p w:rsidR="006F122C" w:rsidRPr="00EE44D4" w:rsidRDefault="006F122C" w:rsidP="00550638">
      <w:pPr>
        <w:spacing w:line="240" w:lineRule="auto"/>
        <w:jc w:val="both"/>
        <w:rPr>
          <w:rFonts w:ascii="Times New Roman" w:hAnsi="Times New Roman"/>
          <w:color w:val="FF0000"/>
          <w:sz w:val="24"/>
          <w:szCs w:val="24"/>
        </w:rPr>
      </w:pPr>
      <w:r w:rsidRPr="00FF1520">
        <w:rPr>
          <w:rFonts w:ascii="Times New Roman" w:hAnsi="Times New Roman"/>
          <w:sz w:val="24"/>
          <w:szCs w:val="24"/>
        </w:rPr>
        <w:lastRenderedPageBreak/>
        <w:t xml:space="preserve">• </w:t>
      </w:r>
      <w:r w:rsidRPr="00EE44D4">
        <w:rPr>
          <w:rFonts w:ascii="Times New Roman" w:hAnsi="Times New Roman"/>
          <w:color w:val="FF0000"/>
          <w:sz w:val="24"/>
          <w:szCs w:val="24"/>
        </w:rPr>
        <w:t>Separar la función del Estado como propietario de la función del Estado como regulador: la ﬁnanciación ha de ser competitiva. Existencia de una agencia que represente la propiedad del Estado, que responda ante el parlamento, lo que evita tanto el implicarse en la gestión diaria como la pasividad.</w:t>
      </w:r>
    </w:p>
    <w:p w:rsidR="006F122C" w:rsidRPr="00EE44D4" w:rsidRDefault="006F122C" w:rsidP="00550638">
      <w:pPr>
        <w:spacing w:line="240" w:lineRule="auto"/>
        <w:jc w:val="both"/>
        <w:rPr>
          <w:rFonts w:ascii="Times New Roman" w:hAnsi="Times New Roman"/>
          <w:color w:val="FF0000"/>
          <w:sz w:val="24"/>
          <w:szCs w:val="24"/>
        </w:rPr>
      </w:pPr>
      <w:r w:rsidRPr="00FF1520">
        <w:rPr>
          <w:rFonts w:ascii="Times New Roman" w:hAnsi="Times New Roman"/>
          <w:sz w:val="24"/>
          <w:szCs w:val="24"/>
        </w:rPr>
        <w:t xml:space="preserve">• </w:t>
      </w:r>
      <w:r w:rsidRPr="00EE44D4">
        <w:rPr>
          <w:rFonts w:ascii="Times New Roman" w:hAnsi="Times New Roman"/>
          <w:color w:val="FF0000"/>
          <w:sz w:val="24"/>
          <w:szCs w:val="24"/>
        </w:rPr>
        <w:t>Consejo de administración profesional, independiente, basado en capacidades.</w:t>
      </w:r>
    </w:p>
    <w:p w:rsidR="006F122C" w:rsidRPr="00EE44D4" w:rsidRDefault="006F122C" w:rsidP="00550638">
      <w:pPr>
        <w:spacing w:line="240" w:lineRule="auto"/>
        <w:jc w:val="both"/>
        <w:rPr>
          <w:rFonts w:ascii="Times New Roman" w:hAnsi="Times New Roman"/>
          <w:color w:val="FF0000"/>
          <w:sz w:val="24"/>
          <w:szCs w:val="24"/>
        </w:rPr>
      </w:pPr>
      <w:r w:rsidRPr="00FF1520">
        <w:rPr>
          <w:rFonts w:ascii="Times New Roman" w:hAnsi="Times New Roman"/>
          <w:sz w:val="24"/>
          <w:szCs w:val="24"/>
        </w:rPr>
        <w:t xml:space="preserve">• </w:t>
      </w:r>
      <w:r w:rsidRPr="00EE44D4">
        <w:rPr>
          <w:rFonts w:ascii="Times New Roman" w:hAnsi="Times New Roman"/>
          <w:color w:val="FF0000"/>
          <w:sz w:val="24"/>
          <w:szCs w:val="24"/>
        </w:rPr>
        <w:t>Proceso público y meritocrático de contratación de directivos.</w:t>
      </w:r>
    </w:p>
    <w:p w:rsidR="006F122C" w:rsidRPr="0002387A" w:rsidRDefault="006F122C"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727E7C">
        <w:rPr>
          <w:rFonts w:ascii="Times New Roman" w:hAnsi="Times New Roman"/>
          <w:sz w:val="24"/>
          <w:szCs w:val="24"/>
          <w:u w:val="single"/>
        </w:rPr>
        <w:t>La gestión privada de la sanidad pública ¿una huida hacia delante?</w:t>
      </w:r>
      <w:r>
        <w:rPr>
          <w:rFonts w:ascii="Times New Roman" w:hAnsi="Times New Roman"/>
          <w:sz w:val="24"/>
          <w:szCs w:val="24"/>
        </w:rPr>
        <w:t xml:space="preserve"> (Fedea - </w:t>
      </w:r>
      <w:r w:rsidRPr="00727E7C">
        <w:rPr>
          <w:rFonts w:ascii="Times New Roman" w:hAnsi="Times New Roman"/>
          <w:b/>
          <w:sz w:val="24"/>
          <w:szCs w:val="24"/>
        </w:rPr>
        <w:t>10/1/13</w:t>
      </w:r>
      <w:r>
        <w:rPr>
          <w:rFonts w:ascii="Times New Roman" w:hAnsi="Times New Roman"/>
          <w:sz w:val="24"/>
          <w:szCs w:val="24"/>
        </w:rPr>
        <w:t>)</w:t>
      </w:r>
    </w:p>
    <w:p w:rsidR="006F122C" w:rsidRPr="0002387A" w:rsidRDefault="006F122C" w:rsidP="00550638">
      <w:pPr>
        <w:spacing w:line="240" w:lineRule="auto"/>
        <w:jc w:val="both"/>
        <w:rPr>
          <w:rFonts w:ascii="Times New Roman" w:hAnsi="Times New Roman"/>
          <w:sz w:val="24"/>
          <w:szCs w:val="24"/>
        </w:rPr>
      </w:pPr>
      <w:r>
        <w:rPr>
          <w:rFonts w:ascii="Times New Roman" w:hAnsi="Times New Roman"/>
          <w:sz w:val="24"/>
          <w:szCs w:val="24"/>
        </w:rPr>
        <w:t>(</w:t>
      </w:r>
      <w:r w:rsidR="00A43010">
        <w:rPr>
          <w:rFonts w:ascii="Times New Roman" w:hAnsi="Times New Roman"/>
          <w:sz w:val="24"/>
          <w:szCs w:val="24"/>
        </w:rPr>
        <w:t>Por Sergi Jiménez. con</w:t>
      </w:r>
      <w:r w:rsidRPr="0002387A">
        <w:rPr>
          <w:rFonts w:ascii="Times New Roman" w:hAnsi="Times New Roman"/>
          <w:sz w:val="24"/>
          <w:szCs w:val="24"/>
        </w:rPr>
        <w:t xml:space="preserve"> Beatriz González López-Valcárcel</w:t>
      </w:r>
      <w:r>
        <w:rPr>
          <w:rFonts w:ascii="Times New Roman" w:hAnsi="Times New Roman"/>
          <w:sz w:val="24"/>
          <w:szCs w:val="24"/>
        </w:rPr>
        <w:t>)</w:t>
      </w:r>
    </w:p>
    <w:p w:rsidR="006F122C" w:rsidRPr="0002387A" w:rsidRDefault="006F122C" w:rsidP="00550638">
      <w:pPr>
        <w:spacing w:line="240" w:lineRule="auto"/>
        <w:jc w:val="both"/>
        <w:rPr>
          <w:rFonts w:ascii="Times New Roman" w:hAnsi="Times New Roman"/>
          <w:sz w:val="24"/>
          <w:szCs w:val="24"/>
        </w:rPr>
      </w:pPr>
      <w:r w:rsidRPr="006447C6">
        <w:rPr>
          <w:rFonts w:ascii="Times New Roman" w:hAnsi="Times New Roman"/>
          <w:sz w:val="24"/>
          <w:szCs w:val="24"/>
          <w:u w:val="single"/>
        </w:rPr>
        <w:t>El presente post es el cuarto en la serie sobre gestión pública o privada de</w:t>
      </w:r>
      <w:r w:rsidR="00A43010">
        <w:rPr>
          <w:rFonts w:ascii="Times New Roman" w:hAnsi="Times New Roman"/>
          <w:sz w:val="24"/>
          <w:szCs w:val="24"/>
          <w:u w:val="single"/>
        </w:rPr>
        <w:t xml:space="preserve"> servicios sanitarios</w:t>
      </w:r>
      <w:r w:rsidRPr="006447C6">
        <w:rPr>
          <w:rFonts w:ascii="Times New Roman" w:hAnsi="Times New Roman"/>
          <w:sz w:val="24"/>
          <w:szCs w:val="24"/>
          <w:u w:val="single"/>
        </w:rPr>
        <w:t>.</w:t>
      </w:r>
      <w:r w:rsidRPr="0002387A">
        <w:rPr>
          <w:rFonts w:ascii="Times New Roman" w:hAnsi="Times New Roman"/>
          <w:sz w:val="24"/>
          <w:szCs w:val="24"/>
        </w:rPr>
        <w:t xml:space="preserve"> En el mismo Bea incide en el debate de la privatizac</w:t>
      </w:r>
      <w:r>
        <w:rPr>
          <w:rFonts w:ascii="Times New Roman" w:hAnsi="Times New Roman"/>
          <w:sz w:val="24"/>
          <w:szCs w:val="24"/>
        </w:rPr>
        <w:t>ión y sus innumerables aristas.</w:t>
      </w:r>
    </w:p>
    <w:p w:rsidR="006F122C" w:rsidRDefault="006F122C" w:rsidP="00550638">
      <w:pPr>
        <w:spacing w:line="240" w:lineRule="auto"/>
        <w:jc w:val="both"/>
        <w:rPr>
          <w:rFonts w:ascii="Times New Roman" w:hAnsi="Times New Roman"/>
          <w:color w:val="FF0000"/>
          <w:sz w:val="24"/>
          <w:szCs w:val="24"/>
          <w:u w:val="single"/>
        </w:rPr>
      </w:pPr>
      <w:r w:rsidRPr="006447C6">
        <w:rPr>
          <w:rFonts w:ascii="Times New Roman" w:hAnsi="Times New Roman"/>
          <w:sz w:val="24"/>
          <w:szCs w:val="24"/>
          <w:u w:val="single"/>
        </w:rPr>
        <w:t>El actual debate sobre la “privatización” de la sanidad (provisión privada de atención sanitaria a la población cubierta por el aseguramiento público) levanta pasiones,  preocupa a la sociedad y divide a los políticos</w:t>
      </w:r>
      <w:r w:rsidRPr="0002387A">
        <w:rPr>
          <w:rFonts w:ascii="Times New Roman" w:hAnsi="Times New Roman"/>
          <w:sz w:val="24"/>
          <w:szCs w:val="24"/>
        </w:rPr>
        <w:t xml:space="preserve">. </w:t>
      </w:r>
      <w:r w:rsidRPr="006447C6">
        <w:rPr>
          <w:rFonts w:ascii="Times New Roman" w:hAnsi="Times New Roman"/>
          <w:color w:val="FF0000"/>
          <w:sz w:val="24"/>
          <w:szCs w:val="24"/>
          <w:u w:val="single"/>
        </w:rPr>
        <w:t>En los post anteriores se ha argumentado que: a) no debe ser cuestión de ideología, sino de quién consigue mayor eficiencia social; b) no hay soluciones universales, sino óptimos locales; c) las barreras de información, particularmente graves en España, impiden o dificultan las comparaciones; d) la competencia por comparación es muy saludable en un sector como el sanitario en el que los instrumentos de mercado son intrínsecamente limitados; e) la diversidad organizativa puede enriquecer al sistema sanitario, aportando frentes por los que avanzar y referentes de comparación para los centros. En este post profundizamos sobre algunos de los aspectos del debate.</w:t>
      </w:r>
    </w:p>
    <w:p w:rsidR="006F122C" w:rsidRPr="006447C6" w:rsidRDefault="006F122C" w:rsidP="00550638">
      <w:pPr>
        <w:spacing w:line="240" w:lineRule="auto"/>
        <w:jc w:val="both"/>
        <w:rPr>
          <w:rFonts w:ascii="Times New Roman" w:hAnsi="Times New Roman"/>
          <w:sz w:val="24"/>
          <w:szCs w:val="24"/>
          <w:u w:val="single"/>
        </w:rPr>
      </w:pPr>
      <w:r w:rsidRPr="006447C6">
        <w:rPr>
          <w:rFonts w:ascii="Times New Roman" w:hAnsi="Times New Roman"/>
          <w:sz w:val="24"/>
          <w:szCs w:val="24"/>
          <w:u w:val="single"/>
        </w:rPr>
        <w:t>Eficiencia de gestión vs. eficiencia social</w:t>
      </w:r>
    </w:p>
    <w:p w:rsidR="006F122C" w:rsidRPr="006447C6" w:rsidRDefault="006F122C" w:rsidP="00550638">
      <w:pPr>
        <w:spacing w:line="240" w:lineRule="auto"/>
        <w:jc w:val="both"/>
        <w:rPr>
          <w:rFonts w:ascii="Times New Roman" w:hAnsi="Times New Roman"/>
          <w:sz w:val="24"/>
          <w:szCs w:val="24"/>
          <w:u w:val="single"/>
        </w:rPr>
      </w:pPr>
      <w:r w:rsidRPr="006447C6">
        <w:rPr>
          <w:rFonts w:ascii="Times New Roman" w:hAnsi="Times New Roman"/>
          <w:sz w:val="24"/>
          <w:szCs w:val="24"/>
          <w:u w:val="single"/>
        </w:rPr>
        <w:t>¿Los proveedores privados son más eficientes que los públicos? Como se ha expuesto en el primer post, no hay evidencia empírica suficiente ni consistente para comparar su eficiencia de gestión. Mucho menos para comparar su aportación a la eficiencia social.</w:t>
      </w:r>
    </w:p>
    <w:p w:rsidR="006F122C" w:rsidRPr="006447C6" w:rsidRDefault="006F122C" w:rsidP="00550638">
      <w:pPr>
        <w:spacing w:line="240" w:lineRule="auto"/>
        <w:jc w:val="both"/>
        <w:rPr>
          <w:rFonts w:ascii="Times New Roman" w:hAnsi="Times New Roman"/>
          <w:sz w:val="24"/>
          <w:szCs w:val="24"/>
          <w:u w:val="single"/>
        </w:rPr>
      </w:pPr>
      <w:r w:rsidRPr="0002387A">
        <w:rPr>
          <w:rFonts w:ascii="Times New Roman" w:hAnsi="Times New Roman"/>
          <w:sz w:val="24"/>
          <w:szCs w:val="24"/>
        </w:rPr>
        <w:t xml:space="preserve">Entre eficiencia y deficiencia solo cambia una letra, pero </w:t>
      </w:r>
      <w:r w:rsidRPr="006447C6">
        <w:rPr>
          <w:rFonts w:ascii="Times New Roman" w:hAnsi="Times New Roman"/>
          <w:sz w:val="24"/>
          <w:szCs w:val="24"/>
          <w:u w:val="single"/>
        </w:rPr>
        <w:t>de la eficiencia de gestión a la eficiencia social puede mediar un abismo.</w:t>
      </w:r>
      <w:r w:rsidRPr="0002387A">
        <w:rPr>
          <w:rFonts w:ascii="Times New Roman" w:hAnsi="Times New Roman"/>
          <w:sz w:val="24"/>
          <w:szCs w:val="24"/>
        </w:rPr>
        <w:t xml:space="preserve"> Y </w:t>
      </w:r>
      <w:r w:rsidRPr="006447C6">
        <w:rPr>
          <w:rFonts w:ascii="Times New Roman" w:hAnsi="Times New Roman"/>
          <w:color w:val="FF0000"/>
          <w:sz w:val="24"/>
          <w:szCs w:val="24"/>
          <w:u w:val="single"/>
        </w:rPr>
        <w:t>lo que importa es la eficiencia social, porque la atención sanitaria, al fin y al cabo,  es solo un medio para conseguir salud, y no un servicio con utilidad intrínseca.</w:t>
      </w:r>
      <w:r w:rsidRPr="0002387A">
        <w:rPr>
          <w:rFonts w:ascii="Times New Roman" w:hAnsi="Times New Roman"/>
          <w:sz w:val="24"/>
          <w:szCs w:val="24"/>
        </w:rPr>
        <w:t xml:space="preserve"> Esta obviedad, leit motiv del artículo pionero de Arrow, implica que </w:t>
      </w:r>
      <w:r w:rsidRPr="006447C6">
        <w:rPr>
          <w:rFonts w:ascii="Times New Roman" w:hAnsi="Times New Roman"/>
          <w:sz w:val="24"/>
          <w:szCs w:val="24"/>
          <w:u w:val="single"/>
        </w:rPr>
        <w:t>un hospital no es más eficiente por realizar más cirugías robotizadas con menor coste medio de producción. Si esas intervenciones no son necesarias, no mejoran la salud de los pacientes, o les hacen daño, no aportarán valor</w:t>
      </w:r>
      <w:r w:rsidRPr="0002387A">
        <w:rPr>
          <w:rFonts w:ascii="Times New Roman" w:hAnsi="Times New Roman"/>
          <w:sz w:val="24"/>
          <w:szCs w:val="24"/>
        </w:rPr>
        <w:t xml:space="preserve">. </w:t>
      </w:r>
      <w:r w:rsidRPr="006447C6">
        <w:rPr>
          <w:rFonts w:ascii="Times New Roman" w:hAnsi="Times New Roman"/>
          <w:sz w:val="24"/>
          <w:szCs w:val="24"/>
          <w:u w:val="single"/>
        </w:rPr>
        <w:t>Si un hospital es muy productivo (consultas por minuto) atendiendo a pacientes diabéticos pero éstos podrían controlarse desde otros niveles asistenciales a menor coste con igual resultado, no hay eficiencia social aunque el hospital pueda exhibir una meritoria eficiencia de gestión.</w:t>
      </w:r>
    </w:p>
    <w:p w:rsidR="006F122C" w:rsidRPr="0002387A" w:rsidRDefault="006F122C" w:rsidP="00550638">
      <w:pPr>
        <w:spacing w:line="240" w:lineRule="auto"/>
        <w:jc w:val="both"/>
        <w:rPr>
          <w:rFonts w:ascii="Times New Roman" w:hAnsi="Times New Roman"/>
          <w:sz w:val="24"/>
          <w:szCs w:val="24"/>
        </w:rPr>
      </w:pPr>
      <w:r w:rsidRPr="0002387A">
        <w:rPr>
          <w:rFonts w:ascii="Times New Roman" w:hAnsi="Times New Roman"/>
          <w:sz w:val="24"/>
          <w:szCs w:val="24"/>
        </w:rPr>
        <w:t>El gasto es solo gasto</w:t>
      </w:r>
    </w:p>
    <w:p w:rsidR="006F122C" w:rsidRPr="007D7863" w:rsidRDefault="006F122C" w:rsidP="00550638">
      <w:pPr>
        <w:spacing w:line="240" w:lineRule="auto"/>
        <w:jc w:val="both"/>
        <w:rPr>
          <w:rFonts w:ascii="Times New Roman" w:hAnsi="Times New Roman"/>
          <w:color w:val="FF0000"/>
          <w:sz w:val="24"/>
          <w:szCs w:val="24"/>
          <w:u w:val="single"/>
        </w:rPr>
      </w:pPr>
      <w:r w:rsidRPr="006447C6">
        <w:rPr>
          <w:rFonts w:ascii="Times New Roman" w:hAnsi="Times New Roman"/>
          <w:sz w:val="24"/>
          <w:szCs w:val="24"/>
          <w:u w:val="single"/>
        </w:rPr>
        <w:t>En sanidad, muchas veces más es menos. Se ha demostrado sólidamente que las áreas de Estados Unidos donde el gasto sanitario es más alto no tienen mejores resultados de salud</w:t>
      </w:r>
      <w:r w:rsidRPr="0002387A">
        <w:rPr>
          <w:rFonts w:ascii="Times New Roman" w:hAnsi="Times New Roman"/>
          <w:sz w:val="24"/>
          <w:szCs w:val="24"/>
        </w:rPr>
        <w:t xml:space="preserve">. </w:t>
      </w:r>
      <w:r w:rsidRPr="006447C6">
        <w:rPr>
          <w:rFonts w:ascii="Times New Roman" w:hAnsi="Times New Roman"/>
          <w:color w:val="FF0000"/>
          <w:sz w:val="24"/>
          <w:szCs w:val="24"/>
          <w:u w:val="single"/>
        </w:rPr>
        <w:t xml:space="preserve">En España, segundo país del mundo en consumo de medicamentos, hay unos 300.000 ingresos hospitalarios al año debidos a problemas relacionados con los </w:t>
      </w:r>
      <w:r w:rsidRPr="006447C6">
        <w:rPr>
          <w:rFonts w:ascii="Times New Roman" w:hAnsi="Times New Roman"/>
          <w:color w:val="FF0000"/>
          <w:sz w:val="24"/>
          <w:szCs w:val="24"/>
          <w:u w:val="single"/>
        </w:rPr>
        <w:lastRenderedPageBreak/>
        <w:t>medicamentos, la mitad de ellos evitables. Hemos duplicado el gasto sanitario público nominal entre 2002 y 2008</w:t>
      </w:r>
      <w:r w:rsidRPr="0002387A">
        <w:rPr>
          <w:rFonts w:ascii="Times New Roman" w:hAnsi="Times New Roman"/>
          <w:sz w:val="24"/>
          <w:szCs w:val="24"/>
        </w:rPr>
        <w:t xml:space="preserve">. </w:t>
      </w:r>
      <w:r w:rsidRPr="007D7863">
        <w:rPr>
          <w:rFonts w:ascii="Times New Roman" w:hAnsi="Times New Roman"/>
          <w:color w:val="FF0000"/>
          <w:sz w:val="24"/>
          <w:szCs w:val="24"/>
          <w:u w:val="single"/>
        </w:rPr>
        <w:t>La ejecución de planes de choque para aumentar las infraestructuras sanitarias en las comunidades autónomas transferidas en 2002 y la mejora de condiciones económicas y laborales a los profesionales, debidas en parte a los desajustes entre oferta y demanda provocados a su vez por aquel shock de demanda, contribuyen a explicar ese aumento del gasto.</w:t>
      </w:r>
    </w:p>
    <w:p w:rsidR="006F122C" w:rsidRPr="007D7863" w:rsidRDefault="006F122C" w:rsidP="00550638">
      <w:pPr>
        <w:spacing w:line="240" w:lineRule="auto"/>
        <w:jc w:val="both"/>
        <w:rPr>
          <w:rFonts w:ascii="Times New Roman" w:hAnsi="Times New Roman"/>
          <w:sz w:val="24"/>
          <w:szCs w:val="24"/>
          <w:u w:val="single"/>
        </w:rPr>
      </w:pPr>
      <w:r w:rsidRPr="007D7863">
        <w:rPr>
          <w:rFonts w:ascii="Times New Roman" w:hAnsi="Times New Roman"/>
          <w:sz w:val="24"/>
          <w:szCs w:val="24"/>
          <w:u w:val="single"/>
        </w:rPr>
        <w:t>Pero el gasto es solo gasto. Gracias a la crisis, ha aumentado el porcentaje de PIB destinado al gasto sanitario público. ¿Buena noticia? Puesto que esto se debe a la caída en el denominador, solo un ciego intelectual diría que lo es. Tras esa década prodigiosa de expansión del gasto sanitario público, se imponen las restricciones.</w:t>
      </w:r>
    </w:p>
    <w:p w:rsidR="006F122C" w:rsidRPr="0002387A" w:rsidRDefault="006F122C" w:rsidP="00550638">
      <w:pPr>
        <w:spacing w:line="240" w:lineRule="auto"/>
        <w:jc w:val="both"/>
        <w:rPr>
          <w:rFonts w:ascii="Times New Roman" w:hAnsi="Times New Roman"/>
          <w:sz w:val="24"/>
          <w:szCs w:val="24"/>
        </w:rPr>
      </w:pPr>
      <w:r w:rsidRPr="0002387A">
        <w:rPr>
          <w:rFonts w:ascii="Times New Roman" w:hAnsi="Times New Roman"/>
          <w:sz w:val="24"/>
          <w:szCs w:val="24"/>
        </w:rPr>
        <w:t>Vías de mejora de la eficiencia social de la sanidad, gestión privada y configuración organizativa</w:t>
      </w:r>
    </w:p>
    <w:p w:rsidR="006F122C" w:rsidRPr="007D7863" w:rsidRDefault="006F122C" w:rsidP="00550638">
      <w:pPr>
        <w:spacing w:line="240" w:lineRule="auto"/>
        <w:jc w:val="both"/>
        <w:rPr>
          <w:rFonts w:ascii="Times New Roman" w:hAnsi="Times New Roman"/>
          <w:color w:val="FF0000"/>
          <w:sz w:val="24"/>
          <w:szCs w:val="24"/>
          <w:u w:val="single"/>
        </w:rPr>
      </w:pPr>
      <w:r w:rsidRPr="007D7863">
        <w:rPr>
          <w:rFonts w:ascii="Times New Roman" w:hAnsi="Times New Roman"/>
          <w:color w:val="FF0000"/>
          <w:sz w:val="24"/>
          <w:szCs w:val="24"/>
          <w:u w:val="single"/>
        </w:rPr>
        <w:t>Se puede mejorar la eficiencia social de la sanidad: a) cambiando la función de producción de atención sanitaria a nivel micro, de abajo arriba, revisando procedimientos; b) redefiniendo la cartera de servicios cubiertos por el aseguramiento público con criterios objetivos de coste-efectividad y equidad, mejor si lo hace una agencia independiente, que incluso podría abarcar otras patas del Estado del Bienestar; c) redefiniendo la función de producción macro mediante estrategias de cronicidad y otros rediseños organizativos.</w:t>
      </w:r>
    </w:p>
    <w:p w:rsidR="006F122C" w:rsidRPr="007D7863" w:rsidRDefault="006F122C" w:rsidP="00550638">
      <w:pPr>
        <w:spacing w:line="240" w:lineRule="auto"/>
        <w:jc w:val="both"/>
        <w:rPr>
          <w:rFonts w:ascii="Times New Roman" w:hAnsi="Times New Roman"/>
          <w:sz w:val="24"/>
          <w:szCs w:val="24"/>
          <w:u w:val="single"/>
        </w:rPr>
      </w:pPr>
      <w:r w:rsidRPr="007D7863">
        <w:rPr>
          <w:rFonts w:ascii="Times New Roman" w:hAnsi="Times New Roman"/>
          <w:sz w:val="24"/>
          <w:szCs w:val="24"/>
          <w:u w:val="single"/>
        </w:rPr>
        <w:t>En España, como en otros países, hay un amplio margen de mejora de la eficiencia mediante cambios en la práctica clínica, dejando de hacer procedimientos inútiles, cambiando la forma de hacerlos, o reasignándolos a otros profesionales con menores costes laborales. Esta estrategia de desinversión selectiva, en la que están empeñadas muchas asociaciones y grupos profesionales en otros países, requiere liderazgo profesional.</w:t>
      </w:r>
    </w:p>
    <w:p w:rsidR="006F122C" w:rsidRPr="007D7863" w:rsidRDefault="006F122C" w:rsidP="00550638">
      <w:pPr>
        <w:spacing w:line="240" w:lineRule="auto"/>
        <w:jc w:val="both"/>
        <w:rPr>
          <w:rFonts w:ascii="Times New Roman" w:hAnsi="Times New Roman"/>
          <w:color w:val="FF0000"/>
          <w:sz w:val="24"/>
          <w:szCs w:val="24"/>
          <w:u w:val="single"/>
        </w:rPr>
      </w:pPr>
      <w:r w:rsidRPr="007D7863">
        <w:rPr>
          <w:rFonts w:ascii="Times New Roman" w:hAnsi="Times New Roman"/>
          <w:color w:val="FF0000"/>
          <w:sz w:val="24"/>
          <w:szCs w:val="24"/>
          <w:u w:val="single"/>
        </w:rPr>
        <w:t>La medicina moderna ha parcelado la profesión en especialidades y niveles asistenciales, que pueden conseguir eficiencia de gestión externalizando costes hacia otros niveles asistenciales. De ahí que uno de los retos fundamentales del sistema sanitario sea integrar y coordinar la asistencia, atendiendo cada problema en el nivel adecuado. Dado que la mayor morbilidad es por enfermedades crónicas, una estrategia de cronicidad parece razonable para mejorar la efectividad (salud poblacional) y reducir costes.</w:t>
      </w:r>
    </w:p>
    <w:p w:rsidR="006F122C" w:rsidRPr="007D7863" w:rsidRDefault="006F122C" w:rsidP="00550638">
      <w:pPr>
        <w:spacing w:line="240" w:lineRule="auto"/>
        <w:jc w:val="both"/>
        <w:rPr>
          <w:rFonts w:ascii="Times New Roman" w:hAnsi="Times New Roman"/>
          <w:sz w:val="24"/>
          <w:szCs w:val="24"/>
          <w:u w:val="single"/>
        </w:rPr>
      </w:pPr>
      <w:r w:rsidRPr="007D7863">
        <w:rPr>
          <w:rFonts w:ascii="Times New Roman" w:hAnsi="Times New Roman"/>
          <w:sz w:val="24"/>
          <w:szCs w:val="24"/>
          <w:u w:val="single"/>
        </w:rPr>
        <w:t>La cuestión clave es qué tipo de organización de provisión sanitaria facilita más esas vías de mejora. Obviamente, para las estrategias de desinversión selectiva hacen falta profesionales motivados. Revisar el estatus funcionarial de los profesionales sanitarios resulta tan esencial como difícil.</w:t>
      </w:r>
    </w:p>
    <w:p w:rsidR="006F122C" w:rsidRPr="0002387A" w:rsidRDefault="00A43010" w:rsidP="00550638">
      <w:pPr>
        <w:spacing w:line="240" w:lineRule="auto"/>
        <w:jc w:val="both"/>
        <w:rPr>
          <w:rFonts w:ascii="Times New Roman" w:hAnsi="Times New Roman"/>
          <w:sz w:val="24"/>
          <w:szCs w:val="24"/>
        </w:rPr>
      </w:pPr>
      <w:r>
        <w:rPr>
          <w:rFonts w:ascii="Times New Roman" w:hAnsi="Times New Roman"/>
          <w:color w:val="FF0000"/>
          <w:sz w:val="24"/>
          <w:szCs w:val="24"/>
          <w:u w:val="single"/>
        </w:rPr>
        <w:t>Las fórmulas de financiación -</w:t>
      </w:r>
      <w:r w:rsidR="006F122C" w:rsidRPr="007D7863">
        <w:rPr>
          <w:rFonts w:ascii="Times New Roman" w:hAnsi="Times New Roman"/>
          <w:color w:val="FF0000"/>
          <w:sz w:val="24"/>
          <w:szCs w:val="24"/>
          <w:u w:val="single"/>
        </w:rPr>
        <w:t>cómo se paga a los centros y a los profesionales- son un elemento clave del diseño del sistema sanitario. En principio, los proveedores integrados financiados por resultados de salud y calidad de la atención (el llamado P4P, Pay For Performance) tenderán a maximizar la salud conseguida,  que es el argumento de la función de bienestar social, y no la rentabilidad o la actividad de cada uno de sus centros aisladamente, desentendiéndose de los costes externos -derivaciones innecesarias, por ejemplo- que generan. En este sentido, tiene más lógica la financiación poblacional capitativa a redes integradas de proveedores, ajustando por riesgos comunitarios, que pagar a los hospitales aisladamente por actividad</w:t>
      </w:r>
      <w:r w:rsidR="006F122C" w:rsidRPr="0002387A">
        <w:rPr>
          <w:rFonts w:ascii="Times New Roman" w:hAnsi="Times New Roman"/>
          <w:sz w:val="24"/>
          <w:szCs w:val="24"/>
        </w:rPr>
        <w:t xml:space="preserve">. Es decir, el modelo </w:t>
      </w:r>
      <w:r w:rsidR="006F122C" w:rsidRPr="0002387A">
        <w:rPr>
          <w:rFonts w:ascii="Times New Roman" w:hAnsi="Times New Roman"/>
          <w:sz w:val="24"/>
          <w:szCs w:val="24"/>
        </w:rPr>
        <w:lastRenderedPageBreak/>
        <w:t>Alcira  en su versión post 2003 parece mejor enfocado a la eficiencia social que la mera privatización a la madrileña de la gestión de los hospitales, aislados del resto de proveedores de atenc</w:t>
      </w:r>
      <w:r w:rsidR="006F122C">
        <w:rPr>
          <w:rFonts w:ascii="Times New Roman" w:hAnsi="Times New Roman"/>
          <w:sz w:val="24"/>
          <w:szCs w:val="24"/>
        </w:rPr>
        <w:t>ión sanitaria y sociosanitaria.</w:t>
      </w:r>
    </w:p>
    <w:p w:rsidR="006F122C" w:rsidRPr="0002387A" w:rsidRDefault="006F122C" w:rsidP="00550638">
      <w:pPr>
        <w:spacing w:line="240" w:lineRule="auto"/>
        <w:jc w:val="both"/>
        <w:rPr>
          <w:rFonts w:ascii="Times New Roman" w:hAnsi="Times New Roman"/>
          <w:sz w:val="24"/>
          <w:szCs w:val="24"/>
        </w:rPr>
      </w:pPr>
      <w:r w:rsidRPr="0002387A">
        <w:rPr>
          <w:rFonts w:ascii="Times New Roman" w:hAnsi="Times New Roman"/>
          <w:sz w:val="24"/>
          <w:szCs w:val="24"/>
        </w:rPr>
        <w:t>Déficit público y tensiones en el gasto sanitario. La privatización como huida hacia delante. El corto y el largo plazo</w:t>
      </w:r>
    </w:p>
    <w:p w:rsidR="00A43010" w:rsidRPr="007D7863" w:rsidRDefault="006F122C" w:rsidP="00550638">
      <w:pPr>
        <w:spacing w:line="240" w:lineRule="auto"/>
        <w:jc w:val="both"/>
        <w:rPr>
          <w:rFonts w:ascii="Times New Roman" w:hAnsi="Times New Roman"/>
          <w:sz w:val="24"/>
          <w:szCs w:val="24"/>
          <w:u w:val="single"/>
        </w:rPr>
      </w:pPr>
      <w:r w:rsidRPr="007D7863">
        <w:rPr>
          <w:rFonts w:ascii="Times New Roman" w:hAnsi="Times New Roman"/>
          <w:color w:val="FF0000"/>
          <w:sz w:val="24"/>
          <w:szCs w:val="24"/>
          <w:u w:val="single"/>
        </w:rPr>
        <w:t>La insuficiencia financiera de la sanidad en España no es nada nuevo. De hecho, una mirada hacia atrás nos muestra un largo recorrido de indisciplina financiera acumuladora de déficits, y cambios de modelo de financiación sanitaria acompañados de inyecciones de fondos estatales para tapar agujeros. La diferencia es que ahora no se puede acumular déficit público.</w:t>
      </w:r>
      <w:r w:rsidRPr="0002387A">
        <w:rPr>
          <w:rFonts w:ascii="Times New Roman" w:hAnsi="Times New Roman"/>
          <w:sz w:val="24"/>
          <w:szCs w:val="24"/>
        </w:rPr>
        <w:t xml:space="preserve"> </w:t>
      </w:r>
      <w:r w:rsidRPr="007D7863">
        <w:rPr>
          <w:rFonts w:ascii="Times New Roman" w:hAnsi="Times New Roman"/>
          <w:sz w:val="24"/>
          <w:szCs w:val="24"/>
          <w:u w:val="single"/>
        </w:rPr>
        <w:t xml:space="preserve">El gobierno de Madrid tiene incentivos para desplazar el déficit fuera de sus presupuestos, privatizando la gestión sanitaria de sus centros con financiación por debajo del coste de producción propia, y tal vez por debajo del coste de producción de los propios hospitales contratantes, bajo el argumento mántrico de que “la privada es </w:t>
      </w:r>
      <w:r w:rsidR="00D44948" w:rsidRPr="007D7863">
        <w:rPr>
          <w:rFonts w:ascii="Times New Roman" w:hAnsi="Times New Roman"/>
          <w:sz w:val="24"/>
          <w:szCs w:val="24"/>
          <w:u w:val="single"/>
        </w:rPr>
        <w:t>más</w:t>
      </w:r>
      <w:r w:rsidRPr="007D7863">
        <w:rPr>
          <w:rFonts w:ascii="Times New Roman" w:hAnsi="Times New Roman"/>
          <w:sz w:val="24"/>
          <w:szCs w:val="24"/>
          <w:u w:val="single"/>
        </w:rPr>
        <w:t xml:space="preserve"> eficiente”.</w:t>
      </w:r>
      <w:r w:rsidRPr="0002387A">
        <w:rPr>
          <w:rFonts w:ascii="Times New Roman" w:hAnsi="Times New Roman"/>
          <w:sz w:val="24"/>
          <w:szCs w:val="24"/>
        </w:rPr>
        <w:t xml:space="preserve">  </w:t>
      </w:r>
      <w:r w:rsidRPr="007D7863">
        <w:rPr>
          <w:rFonts w:ascii="Times New Roman" w:hAnsi="Times New Roman"/>
          <w:color w:val="FF0000"/>
          <w:sz w:val="24"/>
          <w:szCs w:val="24"/>
          <w:u w:val="single"/>
        </w:rPr>
        <w:t>A corto plazo, se consigue escapar del abismo presupuestario. La cuestión clave es si hay transferencia efectiva de riesgo financiero hacia el sector privado, o el escenario es de captura del regulador y hay que esperar un rescate a medio plazo de esos centros infra-financiados</w:t>
      </w:r>
      <w:r w:rsidRPr="0002387A">
        <w:rPr>
          <w:rFonts w:ascii="Times New Roman" w:hAnsi="Times New Roman"/>
          <w:sz w:val="24"/>
          <w:szCs w:val="24"/>
        </w:rPr>
        <w:t xml:space="preserve">. De hecho, los criterios de EUROSTAT para incluir o excluir de los presupuestos públicos los proyectos de colaboración público-privada se basan en el grado de control y en el riesgo que asume el sector público. </w:t>
      </w:r>
      <w:r w:rsidRPr="007D7863">
        <w:rPr>
          <w:rFonts w:ascii="Times New Roman" w:hAnsi="Times New Roman"/>
          <w:sz w:val="24"/>
          <w:szCs w:val="24"/>
          <w:u w:val="single"/>
        </w:rPr>
        <w:t>En el Reino Unido hay un debate abierto sobre si dejar o no quebrar a los trust sanitarios privados concertados con el NHS que sufren dificultades económicas. En España, desde hace décadas hay antecedentes de hospitales privados rescatados con fórmulas de financiación ad hoc y convenios singulares.</w:t>
      </w:r>
    </w:p>
    <w:p w:rsidR="006F122C" w:rsidRPr="0002387A" w:rsidRDefault="006F122C" w:rsidP="00550638">
      <w:pPr>
        <w:spacing w:line="240" w:lineRule="auto"/>
        <w:jc w:val="both"/>
        <w:rPr>
          <w:rFonts w:ascii="Times New Roman" w:hAnsi="Times New Roman"/>
          <w:sz w:val="24"/>
          <w:szCs w:val="24"/>
        </w:rPr>
      </w:pPr>
      <w:r w:rsidRPr="0002387A">
        <w:rPr>
          <w:rFonts w:ascii="Times New Roman" w:hAnsi="Times New Roman"/>
          <w:sz w:val="24"/>
          <w:szCs w:val="24"/>
        </w:rPr>
        <w:t>¿Importa con quién se contrata?</w:t>
      </w:r>
    </w:p>
    <w:p w:rsidR="006F122C" w:rsidRDefault="006F122C" w:rsidP="00550638">
      <w:pPr>
        <w:spacing w:line="240" w:lineRule="auto"/>
        <w:jc w:val="both"/>
        <w:rPr>
          <w:rFonts w:ascii="Times New Roman" w:hAnsi="Times New Roman"/>
          <w:sz w:val="24"/>
          <w:szCs w:val="24"/>
          <w:u w:val="single"/>
        </w:rPr>
      </w:pPr>
      <w:r w:rsidRPr="007D7863">
        <w:rPr>
          <w:rFonts w:ascii="Times New Roman" w:hAnsi="Times New Roman"/>
          <w:color w:val="FF0000"/>
          <w:sz w:val="24"/>
          <w:szCs w:val="24"/>
          <w:u w:val="single"/>
        </w:rPr>
        <w:t>Tanto la capacidad de control del asegurador público sobre los proveedores privados con los que concierta como el riesgo que asume a medio plazo están en entredicho por la debilidad institucional de nuestro sistema nacional de salud y los déficits de buen gobierno de la sanidad</w:t>
      </w:r>
      <w:r w:rsidRPr="0002387A">
        <w:rPr>
          <w:rFonts w:ascii="Times New Roman" w:hAnsi="Times New Roman"/>
          <w:sz w:val="24"/>
          <w:szCs w:val="24"/>
        </w:rPr>
        <w:t xml:space="preserve">. </w:t>
      </w:r>
      <w:r w:rsidRPr="007D7863">
        <w:rPr>
          <w:rFonts w:ascii="Times New Roman" w:hAnsi="Times New Roman"/>
          <w:color w:val="FF0000"/>
          <w:sz w:val="24"/>
          <w:szCs w:val="24"/>
          <w:u w:val="single"/>
        </w:rPr>
        <w:t>Por tanto, la confiabilidad de la otra parte contratante ha pasado a formar parte esencial del debate</w:t>
      </w:r>
      <w:r w:rsidRPr="0002387A">
        <w:rPr>
          <w:rFonts w:ascii="Times New Roman" w:hAnsi="Times New Roman"/>
          <w:sz w:val="24"/>
          <w:szCs w:val="24"/>
        </w:rPr>
        <w:t xml:space="preserve">. </w:t>
      </w:r>
      <w:r w:rsidRPr="007D7863">
        <w:rPr>
          <w:rFonts w:ascii="Times New Roman" w:hAnsi="Times New Roman"/>
          <w:sz w:val="24"/>
          <w:szCs w:val="24"/>
          <w:u w:val="single"/>
        </w:rPr>
        <w:t>El sector sanitario privado en España, a diferencia de otros países, es mayoritariamente lucrativo y, como en el resto del mundo, está concentrándose en redes de proveedores en manos de fondos de capital riesgo, para los que  no parece que los incentivos estén bien alineados hacia la eficiencia social de la salud.</w:t>
      </w:r>
    </w:p>
    <w:p w:rsidR="006F122C" w:rsidRDefault="006F122C" w:rsidP="00550638">
      <w:pPr>
        <w:pStyle w:val="NormalWeb"/>
        <w:jc w:val="both"/>
      </w:pPr>
      <w:r>
        <w:t xml:space="preserve">- </w:t>
      </w:r>
      <w:r w:rsidRPr="00296A6B">
        <w:rPr>
          <w:u w:val="single"/>
        </w:rPr>
        <w:t>Las concesiones de obra pública en sanidad (PFI): entre decepcionantes e inevitables</w:t>
      </w:r>
      <w:r>
        <w:t xml:space="preserve"> (Fedea - </w:t>
      </w:r>
      <w:r w:rsidRPr="00296A6B">
        <w:rPr>
          <w:b/>
        </w:rPr>
        <w:t>17/1/13</w:t>
      </w:r>
      <w:r>
        <w:t>)</w:t>
      </w:r>
    </w:p>
    <w:p w:rsidR="006F122C" w:rsidRDefault="006F122C" w:rsidP="00550638">
      <w:pPr>
        <w:pStyle w:val="NormalWeb"/>
        <w:jc w:val="both"/>
      </w:pPr>
      <w:r>
        <w:t xml:space="preserve">(Por Fernando I. Sánchez y José Mª Abellán, Grupo de Trabajo en Economía de la Salud (GTES), Universidad de Murcia) </w:t>
      </w:r>
    </w:p>
    <w:p w:rsidR="006F122C" w:rsidRPr="00AD500E" w:rsidRDefault="006F122C" w:rsidP="00550638">
      <w:pPr>
        <w:pStyle w:val="NormalWeb"/>
        <w:jc w:val="both"/>
        <w:rPr>
          <w:u w:val="single"/>
        </w:rPr>
      </w:pPr>
      <w:r w:rsidRPr="00AD500E">
        <w:rPr>
          <w:u w:val="single"/>
        </w:rPr>
        <w:t>Quinto post en la serie sobre gestión pública o privada de ser</w:t>
      </w:r>
      <w:r w:rsidR="00A43010">
        <w:rPr>
          <w:u w:val="single"/>
        </w:rPr>
        <w:t>vicios sanitarios</w:t>
      </w:r>
      <w:r>
        <w:t xml:space="preserve">. </w:t>
      </w:r>
      <w:r w:rsidRPr="00AD500E">
        <w:rPr>
          <w:u w:val="single"/>
        </w:rPr>
        <w:t>En el mismo Fernando y José María nos guían por el intrigante mundo de la concesión de obra pública o Private Finance Initiative (PFI).</w:t>
      </w:r>
    </w:p>
    <w:p w:rsidR="006F122C" w:rsidRDefault="006F122C" w:rsidP="00550638">
      <w:pPr>
        <w:pStyle w:val="NormalWeb"/>
        <w:jc w:val="both"/>
      </w:pPr>
      <w:r w:rsidRPr="00AD500E">
        <w:rPr>
          <w:u w:val="single"/>
        </w:rPr>
        <w:t>En entradas anteriores de esta</w:t>
      </w:r>
      <w:r>
        <w:rPr>
          <w:u w:val="single"/>
        </w:rPr>
        <w:t xml:space="preserve"> serie</w:t>
      </w:r>
      <w:r w:rsidRPr="00AD500E">
        <w:rPr>
          <w:u w:val="single"/>
        </w:rPr>
        <w:t xml:space="preserve">, se ha señalado la indeseable supremacía de los argumentos ideológicos en el debate gestión pública vs. privada en sanidad, y la preocupante escasez de conocimiento científico-técnico y evidencia empírica en lo </w:t>
      </w:r>
      <w:r w:rsidRPr="00AD500E">
        <w:rPr>
          <w:u w:val="single"/>
        </w:rPr>
        <w:lastRenderedPageBreak/>
        <w:t>referido a determinadas formas de colaboraciones público-privadas (CPP).</w:t>
      </w:r>
      <w:r>
        <w:t xml:space="preserve"> </w:t>
      </w:r>
      <w:r w:rsidRPr="00AD500E">
        <w:rPr>
          <w:u w:val="single"/>
        </w:rPr>
        <w:t>En este post nos centraremos en una de las modalidades de CPP en el ámbito hospitalario, la concesión de obra pública o Private Finance Initiative (PFI), cuyo uso se ha generalizado en el Sistema Nacional de Salud (SNS) en los últimos años</w:t>
      </w:r>
      <w:r>
        <w:rPr>
          <w:u w:val="single"/>
        </w:rPr>
        <w:t>.</w:t>
      </w:r>
      <w:r>
        <w:t xml:space="preserve"> </w:t>
      </w:r>
    </w:p>
    <w:p w:rsidR="006F122C" w:rsidRDefault="006F122C" w:rsidP="00550638">
      <w:pPr>
        <w:pStyle w:val="NormalWeb"/>
        <w:jc w:val="both"/>
      </w:pPr>
      <w:r>
        <w:t>Razón de ser de los modelos de concesión de obra pública (PFI)</w:t>
      </w:r>
    </w:p>
    <w:p w:rsidR="006F122C" w:rsidRDefault="006F122C" w:rsidP="00550638">
      <w:pPr>
        <w:pStyle w:val="NormalWeb"/>
        <w:jc w:val="both"/>
      </w:pPr>
      <w:r w:rsidRPr="00AD500E">
        <w:rPr>
          <w:color w:val="FF0000"/>
          <w:u w:val="single"/>
        </w:rPr>
        <w:t>El modelo PFI, así como el de concesión para la gestión integral (“modelo Alzira”), es un esquema de cooperación, regulado por contrato, entre una institución pública y una entidad privada, en el que existe una gestión común de los recursos y cierto grado de distribución entre las partes de los riesgos vinculados al proyecto</w:t>
      </w:r>
      <w:r>
        <w:t xml:space="preserve">. Comparten ambos modelos los argumentos teóricos que apoyan su implantación, a saber: la potencial mejora del rendimiento de los recursos públicos derivada del aprovechamiento de la experiencia del sector privado en el desarrollo y gestión de infraestructuras y servicios; la transmisión de riesgos de construcción y disponibilidad al sector privado; y la mayor rapidez en el proceso de dotación de nuevas infraestructuras hospitalarias. </w:t>
      </w:r>
    </w:p>
    <w:p w:rsidR="006F122C" w:rsidRPr="00AD500E" w:rsidRDefault="006F122C" w:rsidP="00550638">
      <w:pPr>
        <w:pStyle w:val="NormalWeb"/>
        <w:jc w:val="both"/>
        <w:rPr>
          <w:color w:val="FF0000"/>
          <w:u w:val="single"/>
        </w:rPr>
      </w:pPr>
      <w:r w:rsidRPr="00AD500E">
        <w:rPr>
          <w:color w:val="FF0000"/>
          <w:u w:val="single"/>
        </w:rPr>
        <w:t xml:space="preserve">La diferencia entre el modelo de concesión de obra pública y el de concesión para la gestión integral del servicio radica en que el primero se concreta en la construcción de una infraestructura sanitaria por parte del ente concesionario a cambio de la gestión de los servicios no asistenciales (como limpieza, lavandería, catering o, incluso, recepción e información, centralita telefónica, etc.); por el contrario, en el segundo caso, la entidad privada asume, además, la prestación de los servicios de asistencia sanitaria a la población adscrita al área de influencia del establecimiento sanitario. </w:t>
      </w:r>
    </w:p>
    <w:p w:rsidR="006F122C" w:rsidRDefault="006F122C" w:rsidP="00550638">
      <w:pPr>
        <w:pStyle w:val="NormalWeb"/>
        <w:jc w:val="both"/>
      </w:pPr>
      <w:r>
        <w:t>Las concesiones de obra pública en el SNS español.</w:t>
      </w:r>
    </w:p>
    <w:p w:rsidR="006F122C" w:rsidRPr="00AD500E" w:rsidRDefault="006F122C" w:rsidP="00550638">
      <w:pPr>
        <w:pStyle w:val="NormalWeb"/>
        <w:jc w:val="both"/>
        <w:rPr>
          <w:u w:val="single"/>
        </w:rPr>
      </w:pPr>
      <w:r w:rsidRPr="00AD500E">
        <w:rPr>
          <w:u w:val="single"/>
        </w:rPr>
        <w:t>Aunque el modelo PFI a</w:t>
      </w:r>
      <w:r>
        <w:rPr>
          <w:u w:val="single"/>
        </w:rPr>
        <w:t>dmite diferentes formatos</w:t>
      </w:r>
      <w:r w:rsidRPr="00AD500E">
        <w:rPr>
          <w:u w:val="single"/>
        </w:rPr>
        <w:t>, en España se ha optado mayoritariamente por la modalidad DBFO (diseño, construcción, financiación y operativo), en virtud de la cual, la entidad privada concesionaria construye la infraestructura sanitaria y la pone a disposición del servicio público de salud, a cambio de la gestión de los servicios no clínicos.</w:t>
      </w:r>
    </w:p>
    <w:p w:rsidR="006F122C" w:rsidRPr="00AD500E" w:rsidRDefault="006F122C" w:rsidP="00550638">
      <w:pPr>
        <w:pStyle w:val="NormalWeb"/>
        <w:jc w:val="both"/>
        <w:rPr>
          <w:u w:val="single"/>
        </w:rPr>
      </w:pPr>
      <w:r w:rsidRPr="00AD500E">
        <w:rPr>
          <w:u w:val="single"/>
        </w:rPr>
        <w:t>Este modelo se ha aplicado en siete hospitales de la Comunidad de Madrid y en algunos de otras comunidades autónomas, como Castilla y León, Baleares y Cataluña.</w:t>
      </w:r>
      <w:r>
        <w:t xml:space="preserve"> Está previsto aplicar esta fórmula a dos hospitales extremeños y a uno en Galicia. </w:t>
      </w:r>
      <w:r w:rsidRPr="00AD500E">
        <w:rPr>
          <w:u w:val="single"/>
        </w:rPr>
        <w:t>Un esquema parecido a éste, con la diferencia de que la concesionaria no es una entidad privada, sino una sociedad mercantil de naturaleza pública, es el denominado “contrato in house”, presente en la construcción y explotación de tres hospitales, uno en Asturias y dos en Murcia, por parte de sendas empresas públicas.</w:t>
      </w:r>
    </w:p>
    <w:p w:rsidR="006F122C" w:rsidRDefault="006F122C" w:rsidP="00550638">
      <w:pPr>
        <w:pStyle w:val="NormalWeb"/>
        <w:jc w:val="both"/>
      </w:pPr>
      <w:r>
        <w:t>¿Qué sabemos acerca de los resultados de la estrategia PFI?</w:t>
      </w:r>
    </w:p>
    <w:p w:rsidR="006F122C" w:rsidRPr="00AD500E" w:rsidRDefault="006F122C" w:rsidP="00550638">
      <w:pPr>
        <w:pStyle w:val="NormalWeb"/>
        <w:jc w:val="both"/>
        <w:rPr>
          <w:u w:val="single"/>
        </w:rPr>
      </w:pPr>
      <w:r w:rsidRPr="00AD500E">
        <w:rPr>
          <w:color w:val="FF0000"/>
          <w:u w:val="single"/>
        </w:rPr>
        <w:t>Se dispone de cierta evidencia empírica en relación al uso de fórmulas PFI en el Reino Unido y en Italia. Una primera conclusión es que estas formas de colaboración suponen a la postre un coste total superior al que resultaría de recurrir al endeudamiento público directo para construir la nueva infraestructura sanitaria, debido, principalmente, a los mayores costes financieros a los que se enfrentan los concesionarios privados y al margen de beneficio de estos</w:t>
      </w:r>
      <w:r>
        <w:t xml:space="preserve">. </w:t>
      </w:r>
      <w:r w:rsidRPr="00AD500E">
        <w:rPr>
          <w:u w:val="single"/>
        </w:rPr>
        <w:t xml:space="preserve">La magnitud de estos costes ha supuesto, de hecho, la aparición de problemas financieros en los trusts hospitalarios británicos y se ha puesto </w:t>
      </w:r>
      <w:r w:rsidRPr="00AD500E">
        <w:rPr>
          <w:u w:val="single"/>
        </w:rPr>
        <w:lastRenderedPageBreak/>
        <w:t>de manifiesto la existencia de una clara relación entre la existencia de acuerdos PFI de gran magnitud y la incidencia de dé</w:t>
      </w:r>
      <w:r>
        <w:rPr>
          <w:u w:val="single"/>
        </w:rPr>
        <w:t>ficit en los trusts</w:t>
      </w:r>
      <w:r w:rsidRPr="00AD500E">
        <w:rPr>
          <w:u w:val="single"/>
        </w:rPr>
        <w:t>. Los mayores costes se asocian, en ocasiones, a una men</w:t>
      </w:r>
      <w:r>
        <w:rPr>
          <w:u w:val="single"/>
        </w:rPr>
        <w:t>or calidad y flexibilidad</w:t>
      </w:r>
      <w:r w:rsidRPr="00AD500E">
        <w:rPr>
          <w:u w:val="single"/>
        </w:rPr>
        <w:t>.</w:t>
      </w:r>
    </w:p>
    <w:p w:rsidR="006F122C" w:rsidRDefault="006F122C" w:rsidP="00550638">
      <w:pPr>
        <w:pStyle w:val="NormalWeb"/>
        <w:jc w:val="both"/>
      </w:pPr>
      <w:r w:rsidRPr="00AD500E">
        <w:rPr>
          <w:u w:val="single"/>
        </w:rPr>
        <w:t>Otro problema importante identificado en la literatura, es el hecho de que la transferencia de riesgos al sector privado frecuentemente no tiene lugar, lo que distorsiona los incentivos del acue</w:t>
      </w:r>
      <w:r>
        <w:rPr>
          <w:u w:val="single"/>
        </w:rPr>
        <w:t>rdo contractual</w:t>
      </w:r>
      <w:r w:rsidRPr="00AD500E">
        <w:rPr>
          <w:u w:val="single"/>
        </w:rPr>
        <w:t>. A este respecto, ha sido habitual en el Reino Unido el recurso a la extensión de las concesiones cuando en el plazo pactado no se han obtenido beneficios, así como la renegociación de las co</w:t>
      </w:r>
      <w:r>
        <w:rPr>
          <w:u w:val="single"/>
        </w:rPr>
        <w:t>ndiciones de financiación</w:t>
      </w:r>
      <w:r w:rsidRPr="00AD500E">
        <w:rPr>
          <w:u w:val="single"/>
        </w:rPr>
        <w:t>.</w:t>
      </w:r>
      <w:r>
        <w:t xml:space="preserve"> En el caso de España, la prensa se hizo eco, recientemente, citando fuentes de la Cámara de Cuentas de la Comunidad de Madrid, del “rescate” (i.e. restablecimiento del equilibrio económico-financiero de las concesiones) de los hospitales modelo PFI que tuvo lugar en 2010 por parte del Gobierno Regional.</w:t>
      </w:r>
    </w:p>
    <w:p w:rsidR="006F122C" w:rsidRDefault="006F122C" w:rsidP="00550638">
      <w:pPr>
        <w:pStyle w:val="NormalWeb"/>
        <w:jc w:val="both"/>
      </w:pPr>
      <w:r w:rsidRPr="0099634D">
        <w:rPr>
          <w:u w:val="single"/>
        </w:rPr>
        <w:t>En Italia, donde la estrategia PFI ha adquirido una cierta pujanza, los resultados tampoco son demasiado alentadores</w:t>
      </w:r>
      <w:r>
        <w:t>. Se ha encontrado evidencia de que las tasas de retorno de la inversión asociadas a estas fórmulas son significativamente superiores a las que cabría hallar en un mercado competitivo que funcionase de modo apropiado, lo que suscita a su vez la cuestión de cuáles son los efectos distributivos de esta fórmula de gestión.</w:t>
      </w:r>
    </w:p>
    <w:p w:rsidR="006F122C" w:rsidRDefault="006F122C" w:rsidP="00550638">
      <w:pPr>
        <w:pStyle w:val="NormalWeb"/>
        <w:jc w:val="both"/>
      </w:pPr>
      <w:r w:rsidRPr="0099634D">
        <w:rPr>
          <w:color w:val="FF0000"/>
          <w:u w:val="single"/>
        </w:rPr>
        <w:t>¿Por qué, entonces, se recurre a la estrategia PFI para la construcción de nuevas infraestructuras hospitalarias? Una posible razón sería que este tipo de fórmula deja la nueva inversión al margen del cómputo del déficit y la deuda pública a efectos del Sistema Europeo de Cuentas, de manera que es posible construir una infraestructura sanitaria sin que ello tenga impacto en los objetivos de estabilidad presupuestaria y sostenibilidad financiera comprometidos con la Unión Europea: la “huida hacia adelante” de la que hablaba Beatriz González en su entrada</w:t>
      </w:r>
      <w:r>
        <w:t xml:space="preserve">. En el momento actual, la fuerte restricción de acceso al crédito a la que se enfrentan las Comunidades Autónomas ha convertido la concesión de obra pública, para muchos gestores sanitarios, en la “única” opción para acometer nuevos proyectos de infraestructuras sanitarias (así lo reconocía públicamente la gerente del SERGAS, en relación con el nuevo hospital de Vigo, en un reciente foro sobre sostenibilidad del sistema sanitario). </w:t>
      </w:r>
    </w:p>
    <w:p w:rsidR="006F122C" w:rsidRDefault="006F122C" w:rsidP="00550638">
      <w:pPr>
        <w:pStyle w:val="NormalWeb"/>
        <w:jc w:val="both"/>
      </w:pPr>
      <w:r>
        <w:t>Conclusión</w:t>
      </w:r>
    </w:p>
    <w:p w:rsidR="006F122C" w:rsidRDefault="006F122C" w:rsidP="00550638">
      <w:pPr>
        <w:pStyle w:val="NormalWeb"/>
        <w:jc w:val="both"/>
      </w:pPr>
      <w:r w:rsidRPr="0099634D">
        <w:rPr>
          <w:color w:val="FF0000"/>
          <w:u w:val="single"/>
        </w:rPr>
        <w:t>La evidencia disponible acerca de las fórmulas de concesión de obra pública (PFI) a escala internacional sugiere que estas fórmulas pueden dar lugar a problemas financieros motivados por unos mayores costes de financiación (Reino Unido), así como a disfunciones asociadas a restricciones en la competencia en el mercado y subsiguientes efectos sobre la equidad (Italia).</w:t>
      </w:r>
      <w:r>
        <w:t xml:space="preserve"> La escasa información que para el caso español trasciende a los medios de comunicación no es más alentadora, por lo que no parece que se justifique el recurso a esta modalidad de concesión más que con el fin de sacar fuera del cómputo del déficit público los costes ocasionados por las nuevas infraestructuras sanitarias (o, en la coyuntura actual, por la voluntad de construir centros hospitalarios cuya financiación no puede abordarse a través de una vía prácticamente vedada como es la del endeudamiento público).</w:t>
      </w:r>
    </w:p>
    <w:p w:rsidR="006F122C" w:rsidRPr="00495DC9" w:rsidRDefault="006F122C" w:rsidP="00550638">
      <w:pPr>
        <w:pStyle w:val="Ttulo1"/>
        <w:spacing w:line="240" w:lineRule="auto"/>
        <w:jc w:val="both"/>
        <w:rPr>
          <w:rFonts w:ascii="Times New Roman" w:hAnsi="Times New Roman"/>
          <w:b w:val="0"/>
          <w:color w:val="auto"/>
          <w:sz w:val="24"/>
          <w:szCs w:val="24"/>
        </w:rPr>
      </w:pPr>
      <w:r w:rsidRPr="00495DC9">
        <w:rPr>
          <w:rFonts w:ascii="Times New Roman" w:hAnsi="Times New Roman"/>
          <w:b w:val="0"/>
          <w:color w:val="auto"/>
          <w:sz w:val="24"/>
          <w:szCs w:val="24"/>
        </w:rPr>
        <w:lastRenderedPageBreak/>
        <w:t xml:space="preserve">- </w:t>
      </w:r>
      <w:r w:rsidRPr="00495DC9">
        <w:rPr>
          <w:rFonts w:ascii="Times New Roman" w:hAnsi="Times New Roman"/>
          <w:b w:val="0"/>
          <w:color w:val="auto"/>
          <w:sz w:val="24"/>
          <w:szCs w:val="24"/>
          <w:u w:val="single"/>
        </w:rPr>
        <w:t>¿Por qué lo llaman gestión privada cuando quieren decir “desfuncionarización”?</w:t>
      </w:r>
      <w:r w:rsidRPr="00495DC9">
        <w:rPr>
          <w:rFonts w:ascii="Times New Roman" w:hAnsi="Times New Roman"/>
          <w:b w:val="0"/>
          <w:color w:val="auto"/>
          <w:sz w:val="24"/>
          <w:szCs w:val="24"/>
        </w:rPr>
        <w:t xml:space="preserve"> (Fedea - </w:t>
      </w:r>
      <w:r w:rsidRPr="00495DC9">
        <w:rPr>
          <w:rFonts w:ascii="Times New Roman" w:hAnsi="Times New Roman"/>
          <w:color w:val="auto"/>
          <w:sz w:val="24"/>
          <w:szCs w:val="24"/>
        </w:rPr>
        <w:t>27/1/13</w:t>
      </w:r>
      <w:r w:rsidRPr="00495DC9">
        <w:rPr>
          <w:rFonts w:ascii="Times New Roman" w:hAnsi="Times New Roman"/>
          <w:b w:val="0"/>
          <w:color w:val="auto"/>
          <w:sz w:val="24"/>
          <w:szCs w:val="24"/>
        </w:rPr>
        <w:t>)</w:t>
      </w:r>
    </w:p>
    <w:p w:rsidR="006F122C" w:rsidRPr="00A43010" w:rsidRDefault="00A43010" w:rsidP="00550638">
      <w:pPr>
        <w:pStyle w:val="headlinemeta"/>
        <w:jc w:val="both"/>
      </w:pPr>
      <w:r w:rsidRPr="00A43010">
        <w:t>(Por</w:t>
      </w:r>
      <w:r w:rsidR="006F122C" w:rsidRPr="00A43010">
        <w:t xml:space="preserve"> </w:t>
      </w:r>
      <w:hyperlink r:id="rId406" w:history="1">
        <w:r w:rsidR="006F122C" w:rsidRPr="00A43010">
          <w:rPr>
            <w:rStyle w:val="Hipervnculo"/>
            <w:rFonts w:eastAsiaTheme="majorEastAsia"/>
            <w:color w:val="auto"/>
            <w:u w:val="none"/>
          </w:rPr>
          <w:t>Sergi Jiménez</w:t>
        </w:r>
      </w:hyperlink>
      <w:r w:rsidR="006F122C" w:rsidRPr="00A43010">
        <w:t xml:space="preserve">, </w:t>
      </w:r>
      <w:r w:rsidRPr="00A43010">
        <w:rPr>
          <w:rStyle w:val="nfasis"/>
          <w:i w:val="0"/>
        </w:rPr>
        <w:t>con</w:t>
      </w:r>
      <w:r w:rsidR="006F122C" w:rsidRPr="00A43010">
        <w:rPr>
          <w:rStyle w:val="nfasis"/>
          <w:i w:val="0"/>
        </w:rPr>
        <w:t xml:space="preserve"> José Mª Abellán y Fernando I. Sánchez</w:t>
      </w:r>
      <w:r w:rsidR="006F122C" w:rsidRPr="00A43010">
        <w:rPr>
          <w:i/>
        </w:rPr>
        <w:t>,</w:t>
      </w:r>
      <w:r w:rsidR="006F122C" w:rsidRPr="00A43010">
        <w:t xml:space="preserve"> </w:t>
      </w:r>
      <w:hyperlink r:id="rId407" w:history="1">
        <w:r w:rsidR="006F122C" w:rsidRPr="00A43010">
          <w:rPr>
            <w:rStyle w:val="Hipervnculo"/>
            <w:rFonts w:eastAsiaTheme="majorEastAsia"/>
            <w:color w:val="auto"/>
            <w:u w:val="none"/>
          </w:rPr>
          <w:t>Grupo de Trabajo en Economía de la Salud (GTES)</w:t>
        </w:r>
      </w:hyperlink>
      <w:r w:rsidR="006F122C" w:rsidRPr="00A43010">
        <w:t>, Universidad de Murcia)</w:t>
      </w:r>
    </w:p>
    <w:p w:rsidR="00A43010" w:rsidRDefault="006F122C" w:rsidP="00550638">
      <w:pPr>
        <w:pStyle w:val="NormalWeb"/>
        <w:jc w:val="both"/>
        <w:rPr>
          <w:rStyle w:val="nfasis"/>
          <w:i w:val="0"/>
        </w:rPr>
      </w:pPr>
      <w:r w:rsidRPr="00A43010">
        <w:t>Último post</w:t>
      </w:r>
      <w:r w:rsidRPr="00A43010">
        <w:rPr>
          <w:rStyle w:val="nfasis"/>
          <w:i w:val="0"/>
        </w:rPr>
        <w:t xml:space="preserve"> en la serie sobre gestión pública o privada de servicios sanit</w:t>
      </w:r>
      <w:r w:rsidR="00A43010">
        <w:rPr>
          <w:rStyle w:val="nfasis"/>
          <w:i w:val="0"/>
        </w:rPr>
        <w:t>arios</w:t>
      </w:r>
      <w:r w:rsidRPr="00A43010">
        <w:rPr>
          <w:rStyle w:val="nfasis"/>
          <w:i w:val="0"/>
        </w:rPr>
        <w:t xml:space="preserve">. Creo que de esta serie hemos aprendido que la transparencia, la evaluación de alternativas y la rendición de cuentas son principios fundamentales (y prácticamente ausentes en nuestro país) en la gestión pública y no tanto si ésta es pública o privada. </w:t>
      </w:r>
    </w:p>
    <w:p w:rsidR="006F122C" w:rsidRDefault="006F122C" w:rsidP="00550638">
      <w:pPr>
        <w:pStyle w:val="NormalWeb"/>
        <w:jc w:val="both"/>
      </w:pPr>
      <w:r>
        <w:t>En las últimas semanas, y al hilo del plan de privatizaciones de la gestión de centros hospitalarios puesto en marcha por el gobierno de la Comunidad de Madrid, se ha avivado el debate acerca de si la gestión privada de los servicios sanitarios es o no más eficiente que la gestión pública. Si bien esta cuestión se ha abordado en entradas anteriores d</w:t>
      </w:r>
      <w:r w:rsidR="00A43010">
        <w:t>e esta serie de manera general</w:t>
      </w:r>
      <w:r>
        <w:t xml:space="preserve"> y también en el contexto más específico de</w:t>
      </w:r>
      <w:r w:rsidR="00A43010">
        <w:t xml:space="preserve"> las concesiones hospitalarias</w:t>
      </w:r>
      <w:r>
        <w:t>, en este caso intentaremos desvelar una clave concreta del debate que no siempre se hace explícita, a saber: que la pretendida superioridad de la gestión privada sobre la pública, de verificarse en nuestro país (y la evidencia, como veremos, es cuestionable), se asienta básicamente en las ventajas de un marco jurídico más flexible que propicia unos menores costes de personal(**) y aprovisionamiento, antes que en una mayor eficiencia relativa en la gestión general de los recursos.</w:t>
      </w:r>
    </w:p>
    <w:p w:rsidR="006F122C" w:rsidRDefault="006F122C" w:rsidP="00550638">
      <w:pPr>
        <w:pStyle w:val="NormalWeb"/>
        <w:jc w:val="both"/>
      </w:pPr>
      <w:r>
        <w:t>Recientemente, un i</w:t>
      </w:r>
      <w:r w:rsidR="00A43010">
        <w:t>nforme de la consultora IASIST</w:t>
      </w:r>
      <w:r>
        <w:t>, con datos de 2010, comparó la estructura, actividad y resultados de un grupo de 41 hospitales del SNS de gestión directa y personal estatutario (“hospitales de gestión directa administrativa” o GDA) con los de un segundo grupo de 37 hospitales, con distintas fórmulas organizativas y personal laboral, que el informe denomina genéricamente “hospitales con otras formas de gestión” (OFG). En este grupo se incluyen fundaciones, empresas públicas y hospitales en régimen de concesión, aunque no hospitales de concesión de obra pública-PFI por tener éstos modelos de relación laboral mixtos, con predominio de personal estatutario en muchos de ellos.</w:t>
      </w:r>
    </w:p>
    <w:p w:rsidR="006F122C" w:rsidRPr="003C5C95" w:rsidRDefault="006F122C" w:rsidP="00550638">
      <w:pPr>
        <w:pStyle w:val="NormalWeb"/>
        <w:jc w:val="both"/>
        <w:rPr>
          <w:color w:val="FF0000"/>
          <w:u w:val="single"/>
        </w:rPr>
      </w:pPr>
      <w:r w:rsidRPr="003C5C95">
        <w:rPr>
          <w:color w:val="FF0000"/>
          <w:u w:val="single"/>
        </w:rPr>
        <w:t>El estudio concluye que los hospitales OFG gestionan mejor las camas y son más intensivos en el uso de tratamientos ambulatorios, al tiempo que sus costes por unidad de producción (alta hospitalaria) ajustada por la complejidad de la actividad asistencial son un 30% inferiores a los de los hospitales GDA. Además, los hospitales OFG son, en general, más pequeños en tamaño y plantilla, pese a tratar a pacientes de similar edad y complejidad, y obtienen parecidos resultados de calidad asistencial (mortalidad, complicaciones y readmisiones) a los de gestión “tradicional”.</w:t>
      </w:r>
    </w:p>
    <w:p w:rsidR="006F122C" w:rsidRPr="003C5C95" w:rsidRDefault="006F122C" w:rsidP="00550638">
      <w:pPr>
        <w:pStyle w:val="NormalWeb"/>
        <w:jc w:val="both"/>
        <w:rPr>
          <w:color w:val="FF0000"/>
          <w:u w:val="single"/>
        </w:rPr>
      </w:pPr>
      <w:r w:rsidRPr="003C5C95">
        <w:rPr>
          <w:color w:val="FF0000"/>
          <w:u w:val="single"/>
        </w:rPr>
        <w:t>Las diferencias más claras entre los dos grupos de hospitales son, según reconoce el propio informe, las que tienen que ver con la productividad de los recursos humanos y el coste. Puesto que el régimen laboral (estatutario vs. laboral) es, en definitiva, el criterio de clasificación de los hospitales, es lógico que sea en el ámbito de la productividad de los recursos humanos donde se concentra el poder explicativo de las diferencias que se atribuyen al modelo de gestión (un 48% de la varianza). Pese a todo, conviene subrayar que algunos de los hospitales de gestión directa se sitúan entre los más eficientes según los resultados obtenidos.</w:t>
      </w:r>
    </w:p>
    <w:p w:rsidR="006F122C" w:rsidRPr="003C5C95" w:rsidRDefault="006F122C" w:rsidP="00550638">
      <w:pPr>
        <w:pStyle w:val="NormalWeb"/>
        <w:jc w:val="both"/>
        <w:rPr>
          <w:u w:val="single"/>
        </w:rPr>
      </w:pPr>
      <w:r>
        <w:lastRenderedPageBreak/>
        <w:t xml:space="preserve">La principal limitación del estudio (que sus propios autores reconocen) tiene que ver con la muestra. En primer lugar, </w:t>
      </w:r>
      <w:r w:rsidRPr="003C5C95">
        <w:rPr>
          <w:u w:val="single"/>
        </w:rPr>
        <w:t>dicha muestra no es aleatoria</w:t>
      </w:r>
      <w:r>
        <w:t xml:space="preserve">, pues únicamente incluye centros que participan voluntariamente en </w:t>
      </w:r>
      <w:r>
        <w:rPr>
          <w:rStyle w:val="nfasis"/>
        </w:rPr>
        <w:t>Hospitales TOP 20-2011</w:t>
      </w:r>
      <w:r>
        <w:t xml:space="preserve">, que son solo algo más de la </w:t>
      </w:r>
      <w:r w:rsidR="00A43010">
        <w:t>mitad de los del SNS</w:t>
      </w:r>
      <w:r>
        <w:t xml:space="preserve">. A la no aleatoriedad se añade un sesgo territorial, ya que </w:t>
      </w:r>
      <w:r w:rsidRPr="003C5C95">
        <w:rPr>
          <w:u w:val="single"/>
        </w:rPr>
        <w:t>2/3 de los hospitales OFG se ubican en Cataluña</w:t>
      </w:r>
      <w:r>
        <w:t xml:space="preserve">. </w:t>
      </w:r>
      <w:r w:rsidRPr="003C5C95">
        <w:rPr>
          <w:u w:val="single"/>
        </w:rPr>
        <w:t>El sesgo de selección es importante, además, porque al restringir el ámbito de análisis a hospitales generales de tamaño pequeño o medio, quedan fuera, por ejemplo, los hospitales con especialidades de referencia regional</w:t>
      </w:r>
      <w:r>
        <w:t xml:space="preserve">. </w:t>
      </w:r>
      <w:r w:rsidRPr="003C5C95">
        <w:rPr>
          <w:u w:val="single"/>
        </w:rPr>
        <w:t xml:space="preserve">En definitiva, puede que exista un </w:t>
      </w:r>
      <w:r w:rsidR="00BE3369">
        <w:rPr>
          <w:u w:val="single"/>
        </w:rPr>
        <w:t>“</w:t>
      </w:r>
      <w:r w:rsidRPr="00BE3369">
        <w:rPr>
          <w:rStyle w:val="nfasis"/>
          <w:i w:val="0"/>
          <w:u w:val="single"/>
        </w:rPr>
        <w:t>trade-off</w:t>
      </w:r>
      <w:r w:rsidR="00BE3369">
        <w:rPr>
          <w:rStyle w:val="nfasis"/>
          <w:i w:val="0"/>
          <w:u w:val="single"/>
        </w:rPr>
        <w:t>”</w:t>
      </w:r>
      <w:r w:rsidRPr="003C5C95">
        <w:rPr>
          <w:u w:val="single"/>
        </w:rPr>
        <w:t xml:space="preserve"> entre la validez interna de la evaluación y la validez externa de las recomendaciones que de él se puedan derivar, como se ha señalado en alguna lectura crítica del inf</w:t>
      </w:r>
      <w:r w:rsidR="00A43010">
        <w:rPr>
          <w:u w:val="single"/>
        </w:rPr>
        <w:t>orme desde el ámbito sanitario</w:t>
      </w:r>
      <w:r w:rsidRPr="003C5C95">
        <w:rPr>
          <w:u w:val="single"/>
        </w:rPr>
        <w:t>.</w:t>
      </w:r>
    </w:p>
    <w:p w:rsidR="006F122C" w:rsidRPr="003C5C95" w:rsidRDefault="006F122C" w:rsidP="00550638">
      <w:pPr>
        <w:pStyle w:val="NormalWeb"/>
        <w:jc w:val="both"/>
        <w:rPr>
          <w:u w:val="single"/>
        </w:rPr>
      </w:pPr>
      <w:r w:rsidRPr="003C5C95">
        <w:rPr>
          <w:u w:val="single"/>
        </w:rPr>
        <w:t>Al margen de las limitaciones que arrastra el informe, basar el juicio acerca de la eficiencia relativa de distintos modelos de gestión sobre la evidencia (por robusta que ésta fuere) de unos menores costes unitarios en la producción de servicios hospitalarios, resulta cuando menos equivocado</w:t>
      </w:r>
      <w:r>
        <w:t xml:space="preserve">. </w:t>
      </w:r>
      <w:r w:rsidRPr="003C5C95">
        <w:rPr>
          <w:u w:val="single"/>
        </w:rPr>
        <w:t>De un lado, como señalaba Salvador</w:t>
      </w:r>
      <w:r w:rsidR="00A43010">
        <w:rPr>
          <w:u w:val="single"/>
        </w:rPr>
        <w:t xml:space="preserve"> Peiró en una entrada anterior</w:t>
      </w:r>
      <w:r w:rsidRPr="003C5C95">
        <w:rPr>
          <w:u w:val="single"/>
        </w:rPr>
        <w:t>, la utilización de medidas de coste unitario (por unidad de producción hospitalaria), como indicador de eficiencia, ignora que, desde el punto de vista del financiador, lo relevante no es el coste por ingreso, sino el gasto por habitante, ya que unos costes por ingreso más bajos pueden ser compatibles con un gasto per cápita más alto si el número de hospitalizaciones es mayor.</w:t>
      </w:r>
    </w:p>
    <w:p w:rsidR="006F122C" w:rsidRPr="003C5C95" w:rsidRDefault="006F122C" w:rsidP="00550638">
      <w:pPr>
        <w:pStyle w:val="NormalWeb"/>
        <w:jc w:val="both"/>
        <w:rPr>
          <w:u w:val="single"/>
        </w:rPr>
      </w:pPr>
      <w:r w:rsidRPr="003C5C95">
        <w:rPr>
          <w:u w:val="single"/>
        </w:rPr>
        <w:t>Además, está la cuestión de la perspectiva del análisis. Hay que recordar a este respecto la diferencia entre “eficiencia de gestión” y “eficiencia social” que establecía Beatriz González en su ap</w:t>
      </w:r>
      <w:r w:rsidR="00A43010">
        <w:rPr>
          <w:u w:val="single"/>
        </w:rPr>
        <w:t>ortación a esta serie de posts</w:t>
      </w:r>
      <w:r w:rsidRPr="003C5C95">
        <w:rPr>
          <w:u w:val="single"/>
        </w:rPr>
        <w:t>. La perspectiva relevante para juzgar la superioridad de un modelo de gestión u otro es la social, para lo cual resulta preciso disponer de indicadores de resultados en salud y no meramente indicadores de actividad hospitalaria (estancias), ni tan siquiera de calidad asistencial específicos de dicha actividad (reingresos, complicaciones o incluso mortalidad ajustada por riesgo).</w:t>
      </w:r>
    </w:p>
    <w:p w:rsidR="006F122C" w:rsidRDefault="006F122C" w:rsidP="00550638">
      <w:pPr>
        <w:pStyle w:val="NormalWeb"/>
        <w:jc w:val="both"/>
      </w:pPr>
      <w:r>
        <w:t xml:space="preserve">A este respecto, el </w:t>
      </w:r>
      <w:r w:rsidR="006D613D">
        <w:t>“</w:t>
      </w:r>
      <w:r w:rsidRPr="006D613D">
        <w:rPr>
          <w:rStyle w:val="nfasis"/>
          <w:i w:val="0"/>
        </w:rPr>
        <w:t>National Health Service</w:t>
      </w:r>
      <w:r w:rsidR="006D613D">
        <w:rPr>
          <w:rStyle w:val="nfasis"/>
          <w:i w:val="0"/>
        </w:rPr>
        <w:t>”</w:t>
      </w:r>
      <w:r>
        <w:t xml:space="preserve"> se ha dotado de un potente cuadro </w:t>
      </w:r>
      <w:r w:rsidR="00A43010">
        <w:t>de indicadores</w:t>
      </w:r>
      <w:r>
        <w:t xml:space="preserve"> orientados a la mejora de la efectividad, la seguridad y la satisfacción del paciente, en el que tienen cabida indicadores de resultados en salud sofisticados, como los denominados </w:t>
      </w:r>
      <w:r w:rsidR="006D613D">
        <w:t>“</w:t>
      </w:r>
      <w:r w:rsidRPr="006D613D">
        <w:rPr>
          <w:rStyle w:val="nfasis"/>
          <w:i w:val="0"/>
        </w:rPr>
        <w:t>Patient Reported Outcome Measures</w:t>
      </w:r>
      <w:r w:rsidR="006D613D">
        <w:rPr>
          <w:rStyle w:val="nfasis"/>
          <w:i w:val="0"/>
        </w:rPr>
        <w:t>”</w:t>
      </w:r>
      <w:r>
        <w:t>, con los que miden la calidad de vida de los enfermos crónicos que requieren cuidados de larga duración, así como la de los pacientes sometidos a procesos de cirugía electiva como prótesis de cadera o varices. El círculo se cierra vinculando parte de la retribución que reciben los proveedores de servicios sanitarios a la consecución de metas verificables por medio de varios de los indicadores anteriore</w:t>
      </w:r>
      <w:r w:rsidR="00A43010">
        <w:t>s, entre ellos los PROMs</w:t>
      </w:r>
      <w:r>
        <w:t>. Logros en resultados en salud e incentivos al desempeño acaban así ligados.</w:t>
      </w:r>
    </w:p>
    <w:p w:rsidR="006F122C" w:rsidRPr="003C5C95" w:rsidRDefault="006F122C" w:rsidP="00550638">
      <w:pPr>
        <w:pStyle w:val="NormalWeb"/>
        <w:jc w:val="both"/>
        <w:rPr>
          <w:u w:val="single"/>
        </w:rPr>
      </w:pPr>
      <w:r w:rsidRPr="003C5C95">
        <w:rPr>
          <w:u w:val="single"/>
        </w:rPr>
        <w:t xml:space="preserve">Recapitulando, incluso si se obviaran los problemas metodológicos señalados y se aceptasen las conclusiones principales del informe IASIST, éstas apuntarían a las ventajas de una mayor flexibilidad en la gestión de los recursos humanos, y no a una pretendida superioridad de la gestión privada sobre la pública en términos de un uso más eficiente de los recursos, con carácter general. Esto es así porque en el grupo de hospitales que resulta ser más eficiente, según los criterios del estudio, no hay únicamente centros de gestión privada bajo el modelo de concesión administrativa, sino también hospitales de gestión pública con personalidad jurídica diferenciada. Interpretar los resultados del informe como evidencia a favor de la gestión privada o de la </w:t>
      </w:r>
      <w:r w:rsidRPr="003C5C95">
        <w:rPr>
          <w:u w:val="single"/>
        </w:rPr>
        <w:lastRenderedPageBreak/>
        <w:t>estrategia basada en colaboraciones público-privadas (CPP) es un error, cuando no el fruto de una lectura interesada de los mismos.</w:t>
      </w:r>
    </w:p>
    <w:p w:rsidR="006F122C" w:rsidRPr="003C5C95" w:rsidRDefault="006F122C" w:rsidP="00550638">
      <w:pPr>
        <w:pStyle w:val="NormalWeb"/>
        <w:jc w:val="both"/>
        <w:rPr>
          <w:u w:val="single"/>
        </w:rPr>
      </w:pPr>
      <w:r w:rsidRPr="003C5C95">
        <w:rPr>
          <w:u w:val="single"/>
        </w:rPr>
        <w:t>Por lo demás, tal y como</w:t>
      </w:r>
      <w:r w:rsidR="00A43010">
        <w:rPr>
          <w:u w:val="single"/>
        </w:rPr>
        <w:t xml:space="preserve"> se ha subrayado recientemente</w:t>
      </w:r>
      <w:r w:rsidRPr="003C5C95">
        <w:rPr>
          <w:u w:val="single"/>
        </w:rPr>
        <w:t>, intentar impulsar una estrategia de privatización de la gestión de los servicios hospitalarios de forma aislada del resto de niveles asistenciales puede conducir a resultados indeseables, habida cuenta los extraordinarios desafíos que afronta el Sistema Nacional de Salud en relación a la gestión de los servicios sanitarios (y sociales) dirigidos a pacientes crónicos y pluripatológicos, una realidad insoslayable en la sociedad española. Ante ese desafío solo cabe la coordinación y la integración de niveles y de políticas, algo que parece inverosímil lograr exportando al conjunto del sistema las fórmulas CPP hospitalarias ensayadas en España hasta la fecha.</w:t>
      </w:r>
    </w:p>
    <w:p w:rsidR="006F122C" w:rsidRDefault="006F122C" w:rsidP="00550638">
      <w:pPr>
        <w:pStyle w:val="NormalWeb"/>
        <w:jc w:val="both"/>
        <w:rPr>
          <w:color w:val="FF0000"/>
          <w:u w:val="single"/>
        </w:rPr>
      </w:pPr>
      <w:r w:rsidRPr="00FF348D">
        <w:rPr>
          <w:color w:val="FF0000"/>
          <w:u w:val="single"/>
        </w:rPr>
        <w:t xml:space="preserve">Suponiendo, no obstante, que en un futuro se constatara esta ventaja en términos de costes (y no meramente por unidad de producción hospitalaria, sino por habitante protegido), y dejando por un momento a un lado la cuestión referida a la medida y evaluación del resultado final en salud, la pregunta que surge es: ¿por qué no avanzar en modelos de gestión directa (pública) que propicien un régimen regulatorio más flexible para el personal sanitario y la contratación de servicios, aprendiendo de las experiencias que han resultado ser más exitosas (los profesionales sanitarios parecen estar dispuestos a ello: </w:t>
      </w:r>
      <w:hyperlink r:id="rId408" w:history="1">
        <w:r w:rsidRPr="00FF348D">
          <w:rPr>
            <w:rStyle w:val="Hipervnculo"/>
            <w:rFonts w:eastAsiaTheme="majorEastAsia"/>
            <w:color w:val="FF0000"/>
          </w:rPr>
          <w:t>aquí</w:t>
        </w:r>
      </w:hyperlink>
      <w:r w:rsidRPr="00FF348D">
        <w:rPr>
          <w:color w:val="FF0000"/>
          <w:u w:val="single"/>
        </w:rPr>
        <w:t>)? ¿Es necesario dar el salto a la gestión indirecta (privada y con ánimo de lucro) para explotar las ganancias que se derivan de un sistema de contratación y retributivo más favorecedor de la eficiencia, con los efectos distributivos que ello conlleva? ¿Por qué lo llaman gestión privada, cuando quieren decir “desfuncionarización”?</w:t>
      </w:r>
    </w:p>
    <w:p w:rsidR="00C80FA5" w:rsidRPr="00C80FA5" w:rsidRDefault="00C80FA5" w:rsidP="00550638">
      <w:pPr>
        <w:pStyle w:val="NormalWeb"/>
        <w:jc w:val="both"/>
      </w:pPr>
      <w:r w:rsidRPr="00C80FA5">
        <w:t>-------------------</w:t>
      </w:r>
    </w:p>
    <w:p w:rsidR="006F122C" w:rsidRPr="002263F9" w:rsidRDefault="006F122C" w:rsidP="00550638">
      <w:pPr>
        <w:pStyle w:val="NormalWeb"/>
        <w:jc w:val="both"/>
        <w:rPr>
          <w:sz w:val="18"/>
          <w:szCs w:val="18"/>
        </w:rPr>
      </w:pPr>
      <w:r w:rsidRPr="002263F9">
        <w:rPr>
          <w:sz w:val="18"/>
          <w:szCs w:val="18"/>
        </w:rPr>
        <w:t xml:space="preserve">** Casi la mitad (un 46%) del gasto sanitario realizado por </w:t>
      </w:r>
      <w:r w:rsidR="00A43010" w:rsidRPr="002263F9">
        <w:rPr>
          <w:sz w:val="18"/>
          <w:szCs w:val="18"/>
        </w:rPr>
        <w:t xml:space="preserve">las CC.AA. y el Ingesa en 2010 </w:t>
      </w:r>
      <w:r w:rsidRPr="002263F9">
        <w:rPr>
          <w:sz w:val="18"/>
          <w:szCs w:val="18"/>
        </w:rPr>
        <w:t>correspondió a remuneraciones al personal (solo empleo público; si sumásemos los gastos del personal al servicio de proveedores privados con financiación pública la ratio superaría con creces el 50%). Entre 2002 (año en que todas las CC.AA. asumieron las competencias en sanidad) y 2010 el dinamismo de las remuneraciones del personal explica entre el 50% y el 60% del crecimiento del gasto.</w:t>
      </w:r>
    </w:p>
    <w:p w:rsidR="006F122C" w:rsidRDefault="006F122C" w:rsidP="00550638">
      <w:pPr>
        <w:pStyle w:val="NormalWeb"/>
        <w:jc w:val="both"/>
      </w:pPr>
      <w:r>
        <w:t xml:space="preserve">- </w:t>
      </w:r>
      <w:r w:rsidRPr="00801AF9">
        <w:rPr>
          <w:u w:val="single"/>
        </w:rPr>
        <w:t>Evaluación económica de intervenciones sanitarias en España. Diagnóstico: pendiente</w:t>
      </w:r>
      <w:r>
        <w:t xml:space="preserve"> (Fedea - </w:t>
      </w:r>
      <w:r w:rsidRPr="00801AF9">
        <w:rPr>
          <w:b/>
        </w:rPr>
        <w:t>21/5/13</w:t>
      </w:r>
      <w:r>
        <w:t>)</w:t>
      </w:r>
    </w:p>
    <w:p w:rsidR="006F122C" w:rsidRDefault="006F122C" w:rsidP="00550638">
      <w:pPr>
        <w:pStyle w:val="NormalWeb"/>
        <w:jc w:val="both"/>
      </w:pPr>
      <w:r>
        <w:t>(Por Sergi Jiménez y  Juan Oliva -Presidente de la Asociación de Economía de la Salud)</w:t>
      </w:r>
    </w:p>
    <w:p w:rsidR="006F122C" w:rsidRDefault="006F122C" w:rsidP="00550638">
      <w:pPr>
        <w:pStyle w:val="NormalWeb"/>
        <w:jc w:val="both"/>
      </w:pPr>
      <w:r>
        <w:t xml:space="preserve">Tras una primera serie de posts dedicados a debatir las ventajas, inconvenientes y lagunas de análisis en el tema de la gestión pública vs. gestión privada de servicios sanitarios públicos, iniciamos con esta breve introducción una segunda serie que tiene por objeto revisar, </w:t>
      </w:r>
      <w:hyperlink r:id="rId409" w:history="1">
        <w:r w:rsidRPr="00A43010">
          <w:rPr>
            <w:rStyle w:val="Hipervnculo"/>
            <w:rFonts w:eastAsiaTheme="majorEastAsia"/>
            <w:color w:val="auto"/>
          </w:rPr>
          <w:t>en tiempos revueltos para el sector sanitario</w:t>
        </w:r>
      </w:hyperlink>
      <w:r w:rsidRPr="00A43010">
        <w:t xml:space="preserve">, el </w:t>
      </w:r>
      <w:hyperlink r:id="rId410" w:history="1">
        <w:r w:rsidRPr="00A43010">
          <w:rPr>
            <w:rStyle w:val="Hipervnculo"/>
            <w:rFonts w:eastAsiaTheme="majorEastAsia"/>
            <w:color w:val="auto"/>
          </w:rPr>
          <w:t>estado de la evaluación económica</w:t>
        </w:r>
      </w:hyperlink>
      <w:r>
        <w:t xml:space="preserve"> como herramienta fundamental para orientar decisiones, estrategias y políticas.</w:t>
      </w:r>
    </w:p>
    <w:p w:rsidR="006F122C" w:rsidRDefault="006F122C" w:rsidP="00550638">
      <w:pPr>
        <w:pStyle w:val="NormalWeb"/>
        <w:jc w:val="both"/>
      </w:pPr>
      <w:r>
        <w:t xml:space="preserve">La evaluación económica de intervenciones sanitarias (EEIS) tiene como finalidad examinar las consecuencias que tiene a corto y largo plazo su utilización en los individuos y en la sociedad. Los resultados de las evaluaciones pueden ser útiles para que los decisores de mayor nivel, profesionales sanitarios, pacientes y ciudadanos conozcan cuál es la eficiencia (relación entre costes y efectos) de las distintas </w:t>
      </w:r>
      <w:r>
        <w:lastRenderedPageBreak/>
        <w:t>intervenciones sanitarias, de forma que puedan seleccionar las opciones más favorables y distribuir de forma más racional unos recursos sanitarios limitados.</w:t>
      </w:r>
    </w:p>
    <w:p w:rsidR="006F122C" w:rsidRDefault="006F122C" w:rsidP="00550638">
      <w:pPr>
        <w:pStyle w:val="NormalWeb"/>
        <w:jc w:val="both"/>
      </w:pPr>
      <w:r>
        <w:t>Es importante señalar que la EEIS ha alcanzado una edad dorada</w:t>
      </w:r>
      <w:r w:rsidR="00163C19">
        <w:t xml:space="preserve"> en Europa en los últimos años</w:t>
      </w:r>
      <w:r>
        <w:t xml:space="preserve">, siendo uno de sus más brillantes paradigmas el caso del </w:t>
      </w:r>
      <w:r w:rsidR="006D613D">
        <w:t>“</w:t>
      </w:r>
      <w:r>
        <w:t>National Institute for Health and Clinical Excellence</w:t>
      </w:r>
      <w:r w:rsidR="006D613D">
        <w:t>”</w:t>
      </w:r>
      <w:r>
        <w:t xml:space="preserve"> </w:t>
      </w:r>
      <w:r w:rsidRPr="00A43010">
        <w:t>(</w:t>
      </w:r>
      <w:hyperlink r:id="rId411" w:history="1">
        <w:r w:rsidRPr="00A43010">
          <w:rPr>
            <w:rStyle w:val="Hipervnculo"/>
            <w:rFonts w:eastAsiaTheme="majorEastAsia"/>
            <w:color w:val="auto"/>
          </w:rPr>
          <w:t>NICE</w:t>
        </w:r>
      </w:hyperlink>
      <w:r>
        <w:t xml:space="preserve">) británico, considerado el instituto de referencia europeo en la definición de estándares de asistencia sanitaria de alta calidad y en la generación de recomendaciones y guías clínicas. La principal causa de este florecimiento se debe al papel impulsor que han </w:t>
      </w:r>
      <w:r w:rsidR="00A43010">
        <w:t>desempeñado</w:t>
      </w:r>
      <w:r>
        <w:t xml:space="preserve"> las autoridades públicas en su desarrollo, utilizando estas herramientas como elemento clave en las estrategias de adopción y difusión de las innovaciones sanitarias. La cuestión es clara: los responsables sanitarios europeos tienen el deber de responder a un doble objetivo. Por una parte, conjugar el acceso a sus ciudadanos a aquellos avances terapéuticos que ayuden a mejorar su salud; por otra, conciliar lo anterior con la sostenibilidad financiera de los sistemas sanitarios públicos, mucho más económicos que su homónimo estadounidense. La consideración del criterio de eficiencia convierte a la evaluación económica en herramienta clave en este proceso. Sin embargo, pese a haber sido uno de los países pioneros en este campo y pese a la insistencia en subrayar su relevancia en un proceso de toma de decisiones informado, en la justificación de políticas públicas basadas en indicadores objetivos y transparentes y en la rendici</w:t>
      </w:r>
      <w:r w:rsidR="00163C19">
        <w:t>ón de cuentas a los ciudadanos</w:t>
      </w:r>
      <w:r>
        <w:t>, España no parece haber emulado a varios de los países europeos en este proceso.</w:t>
      </w:r>
    </w:p>
    <w:p w:rsidR="006F122C" w:rsidRDefault="006F122C" w:rsidP="00550638">
      <w:pPr>
        <w:pStyle w:val="NormalWeb"/>
        <w:jc w:val="both"/>
      </w:pPr>
      <w:r>
        <w:t>Efectivamente, estimado lector, la leído usted bien, España fue, en su momento, un país pionero en varios aspectos relacionados con la evaluación económica de intervenciones sanitarias. A comienzos de la década de los 90, cuando los primeros países (Australia y Canadá) comienzan a aplicar los criterios de eficiencia en el proceso de reembolso público de medicamentos, España ya contaba con un buen número de investigadores reconocidos en el campo, había abordado propuestas de</w:t>
      </w:r>
      <w:r w:rsidR="00163C19">
        <w:t xml:space="preserve"> estandarización metodológicas </w:t>
      </w:r>
      <w:r>
        <w:t xml:space="preserve"> y comenzaban a crearse varias agencias de evaluación de tecnologías (como las de Cataluña, el País Vasco o la del </w:t>
      </w:r>
      <w:hyperlink r:id="rId412" w:history="1">
        <w:r w:rsidRPr="00A43010">
          <w:rPr>
            <w:rStyle w:val="Hipervnculo"/>
            <w:rFonts w:eastAsiaTheme="majorEastAsia"/>
            <w:color w:val="auto"/>
          </w:rPr>
          <w:t>Instituto Carlos III</w:t>
        </w:r>
      </w:hyperlink>
      <w:r w:rsidRPr="00A43010">
        <w:t xml:space="preserve">) a partir de las cuales podía haberse potenciado el uso de la EE en la toma de decisiones. Sin embargo, las buenas condiciones iniciales no parecen haberse trasladado en buenas prácticas en el presente. El fracaso no se circunscribe a la evaluación sanitaria sino que, aunque existen honrosas excepciones (por ejemplo, el </w:t>
      </w:r>
      <w:hyperlink r:id="rId413" w:history="1">
        <w:r w:rsidRPr="00A43010">
          <w:rPr>
            <w:rStyle w:val="Hipervnculo"/>
            <w:rFonts w:eastAsiaTheme="majorEastAsia"/>
            <w:color w:val="auto"/>
          </w:rPr>
          <w:t>Instituto Nacional de Evaluación Educativa</w:t>
        </w:r>
      </w:hyperlink>
      <w:r w:rsidRPr="00A43010">
        <w:t xml:space="preserve">), se traslada a otros ámbitos, empezando por la propia </w:t>
      </w:r>
      <w:hyperlink r:id="rId414" w:history="1">
        <w:r w:rsidRPr="00A43010">
          <w:rPr>
            <w:rStyle w:val="Hipervnculo"/>
            <w:rFonts w:eastAsiaTheme="majorEastAsia"/>
            <w:color w:val="auto"/>
          </w:rPr>
          <w:t>Agencia de Evaluación de Políticas Públicas</w:t>
        </w:r>
      </w:hyperlink>
      <w:r>
        <w:t>.</w:t>
      </w:r>
    </w:p>
    <w:p w:rsidR="006F122C" w:rsidRPr="00F850E7" w:rsidRDefault="006F122C" w:rsidP="00550638">
      <w:pPr>
        <w:pStyle w:val="NormalWeb"/>
        <w:jc w:val="both"/>
        <w:rPr>
          <w:color w:val="FF0000"/>
          <w:u w:val="single"/>
        </w:rPr>
      </w:pPr>
      <w:r w:rsidRPr="00C41922">
        <w:rPr>
          <w:u w:val="single"/>
        </w:rPr>
        <w:t>Pero, ¿por qué es necesaria considerar la evaluación económica en el ámbito sanitario? En primer lugar, porque los mercados de medicamentos y tecnologías sanitarias son muy importantes. Efectivamente, pese a las políticas de reducción de gasto de los últimos años,</w:t>
      </w:r>
      <w:r w:rsidR="00A43010">
        <w:rPr>
          <w:u w:val="single"/>
        </w:rPr>
        <w:t xml:space="preserve"> según datos de IMS y de FENIN</w:t>
      </w:r>
      <w:r w:rsidRPr="00C41922">
        <w:rPr>
          <w:u w:val="single"/>
        </w:rPr>
        <w:t>, el peso conjunto de ambos sectores para el año 2012 rondaría el 2,2% del PIB. Por tanto, no son palabras (ni recursos) menores</w:t>
      </w:r>
      <w:r>
        <w:t xml:space="preserve">. Además de resultar en una elevada cifra de gasto (lo cual es relativo, dado que lo verdaderamente relevante es la comparación de la inversión con el retorno en salud y bienestar obtenidos), </w:t>
      </w:r>
      <w:r w:rsidRPr="00F850E7">
        <w:rPr>
          <w:color w:val="FF0000"/>
          <w:u w:val="single"/>
        </w:rPr>
        <w:t>es preocupante la dinámica observada en los últimos años: creciente utilización de medicamentos y de tecnologías sanitarias durante la época de boom económico (¿a cambio de qué ganancias en salud en la población? Lo desconocemos) y fuertes restricciones y caídas desde el año 2011 (¿cómo están afectando a la salud de los ciudadanos? No lo sabemos).</w:t>
      </w:r>
    </w:p>
    <w:p w:rsidR="006F122C" w:rsidRDefault="006F122C" w:rsidP="00550638">
      <w:pPr>
        <w:pStyle w:val="NormalWeb"/>
        <w:jc w:val="both"/>
      </w:pPr>
      <w:r>
        <w:lastRenderedPageBreak/>
        <w:t xml:space="preserve">En todo caso, hay síntomas claros de que hay cosas que no se están haciendo bien. Aunque la casuística es variada, como apunta Jaume Puig en su excelente </w:t>
      </w:r>
      <w:hyperlink r:id="rId415" w:history="1">
        <w:r w:rsidRPr="00163C19">
          <w:rPr>
            <w:rStyle w:val="Hipervnculo"/>
            <w:rFonts w:eastAsiaTheme="majorEastAsia"/>
            <w:color w:val="auto"/>
            <w:u w:val="none"/>
          </w:rPr>
          <w:t>blog</w:t>
        </w:r>
      </w:hyperlink>
      <w:r>
        <w:t>, uno de los más relevantes es la muy ineficiente regla de introducción y evaluación de innovaciones que tiene el sistema sanitario español, actualmente centralizada en el ministerio de sanidad (lo cual en principio no tiene que ser negativo) pero exenta de criterios de eficiencia claros (lo cual claramente sí lo es).</w:t>
      </w:r>
    </w:p>
    <w:p w:rsidR="006F122C" w:rsidRDefault="006F122C" w:rsidP="00550638">
      <w:pPr>
        <w:pStyle w:val="NormalWeb"/>
        <w:jc w:val="both"/>
      </w:pPr>
      <w:r>
        <w:t>Otro elemento que apuntala la afirmación anterior es la gran variabilidad regional (e incluso intrarregional) en el uso de tecnologías sanitarias. Por ejemplo, en el caso de las pruebas diagnósticas: hasta 3 veces para TAC, 5 veces para RM y 7 veces para mamografías</w:t>
      </w:r>
      <w:hyperlink r:id="rId416" w:anchor="_ftn1" w:history="1">
        <w:r w:rsidRPr="00163C19">
          <w:rPr>
            <w:rStyle w:val="Hipervnculo"/>
            <w:rFonts w:eastAsiaTheme="majorEastAsia"/>
            <w:color w:val="auto"/>
          </w:rPr>
          <w:t>[a]</w:t>
        </w:r>
      </w:hyperlink>
      <w:r>
        <w:t>. Sin duda, la falta de protocolos homogéneos, impulsado nuevamente por un organismo moderador puede contribuir a explicar esta variabilidad.</w:t>
      </w:r>
    </w:p>
    <w:p w:rsidR="006F122C" w:rsidRDefault="006F122C" w:rsidP="00550638">
      <w:pPr>
        <w:pStyle w:val="NormalWeb"/>
        <w:jc w:val="both"/>
      </w:pPr>
      <w:r>
        <w:t>Quien piense que la solución de estos problemas únicamente pasa por el establecimiento de una agencia verdaderamente independiente de evaluación de políticas y tecnologías sanitarias, al estilo de la bien conocida agencia británica NICE, debería plantearse si en el escenario actual se dan las condiciones de buen gobierno necesarias. La experiencia previa con las agencias de evaluación que hasta la fecha se han implementado y las expectativas sobre las que están en marcha, recomienda mantener un cierto grado de escepticismo sobre el funcionamiento de una agencia de este tipo en España.</w:t>
      </w:r>
    </w:p>
    <w:p w:rsidR="006F122C" w:rsidRDefault="006F122C" w:rsidP="00550638">
      <w:pPr>
        <w:pStyle w:val="NormalWeb"/>
        <w:jc w:val="both"/>
      </w:pPr>
      <w:r>
        <w:t xml:space="preserve">El diagnóstico del caso español centrará las próximas contribuciones. </w:t>
      </w:r>
      <w:r w:rsidRPr="00F850E7">
        <w:rPr>
          <w:color w:val="FF0000"/>
          <w:u w:val="single"/>
        </w:rPr>
        <w:t xml:space="preserve">Desde nuestro punto de vista las dos cuestiones clave a abordar son: ¿por qué no ha despegado la evaluación económica en el medio sanitario en España? Y, ¿cuál es el coste de oportunidad de no haber aplicado dichas técnicas en la financiación selectiva de prestaciones sanitarias y como soporte de su uso racional? </w:t>
      </w:r>
    </w:p>
    <w:p w:rsidR="006F122C" w:rsidRPr="00F850E7" w:rsidRDefault="006F122C" w:rsidP="00550638">
      <w:pPr>
        <w:pStyle w:val="NormalWeb"/>
        <w:jc w:val="both"/>
        <w:rPr>
          <w:u w:val="single"/>
        </w:rPr>
      </w:pPr>
      <w:r w:rsidRPr="00F850E7">
        <w:rPr>
          <w:u w:val="single"/>
        </w:rPr>
        <w:t>A estas preguntas responderán tres posts. El primero de ellos dedicado a los medicamentos, el área donde más se han aplicado estas herramientas hasta ahora. El segundo se dedicará al análisis de dispositivos y otras tecnologías sanitarias; otra área de fuerte innovación en el medio y con peculiaridades en su introducción en los mercados sanitarios y utilización posterior. El tercero revisará el papel que la evaluación puede jugar en las estrategias de desinversión y reinversión de recursos en el medio sanitario.</w:t>
      </w:r>
    </w:p>
    <w:p w:rsidR="006F122C" w:rsidRDefault="006F122C" w:rsidP="00550638">
      <w:pPr>
        <w:pStyle w:val="NormalWeb"/>
        <w:jc w:val="both"/>
      </w:pPr>
      <w:r>
        <w:t>Como ven de momento más preguntas que respuestas, sin embargo confiamos que la serie contribuya a equilibrar algo este balance, animando, de paso, un vivo debate.</w:t>
      </w:r>
    </w:p>
    <w:p w:rsidR="00C80FA5" w:rsidRDefault="00C80FA5" w:rsidP="00550638">
      <w:pPr>
        <w:spacing w:line="240" w:lineRule="auto"/>
        <w:jc w:val="both"/>
      </w:pPr>
      <w:r>
        <w:t>------------------</w:t>
      </w:r>
    </w:p>
    <w:p w:rsidR="006F122C" w:rsidRPr="00C80FA5" w:rsidRDefault="008860D7" w:rsidP="00550638">
      <w:pPr>
        <w:spacing w:line="240" w:lineRule="auto"/>
        <w:jc w:val="both"/>
        <w:rPr>
          <w:rFonts w:ascii="Times New Roman" w:hAnsi="Times New Roman" w:cs="Times New Roman"/>
        </w:rPr>
      </w:pPr>
      <w:r w:rsidRPr="00C80FA5">
        <w:rPr>
          <w:rFonts w:ascii="Times New Roman" w:eastAsiaTheme="majorEastAsia" w:hAnsi="Times New Roman" w:cs="Times New Roman"/>
          <w:sz w:val="18"/>
          <w:szCs w:val="18"/>
        </w:rPr>
        <w:t>(a)</w:t>
      </w:r>
      <w:r w:rsidR="006F122C" w:rsidRPr="00C80FA5">
        <w:rPr>
          <w:rFonts w:ascii="Times New Roman" w:hAnsi="Times New Roman" w:cs="Times New Roman"/>
          <w:sz w:val="18"/>
          <w:szCs w:val="18"/>
        </w:rPr>
        <w:t xml:space="preserve"> Fuente: Ministerio de Sanidad y Consumo. </w:t>
      </w:r>
      <w:r w:rsidR="006F122C" w:rsidRPr="00C80FA5">
        <w:rPr>
          <w:rFonts w:ascii="Times New Roman" w:hAnsi="Times New Roman" w:cs="Times New Roman"/>
          <w:i/>
          <w:iCs/>
          <w:sz w:val="18"/>
          <w:szCs w:val="18"/>
        </w:rPr>
        <w:t xml:space="preserve">Tablas de Gasto Sanitario. </w:t>
      </w:r>
      <w:r w:rsidR="006F122C" w:rsidRPr="00C80FA5">
        <w:rPr>
          <w:rFonts w:ascii="Times New Roman" w:hAnsi="Times New Roman" w:cs="Times New Roman"/>
          <w:sz w:val="18"/>
          <w:szCs w:val="18"/>
        </w:rPr>
        <w:t>2007. “La alta tecnología: Estudios de TAC. Mamografías. Equipos de Resonancia Nuclear Magnética”.</w:t>
      </w:r>
    </w:p>
    <w:p w:rsidR="006F122C" w:rsidRPr="00163C19" w:rsidRDefault="006F122C" w:rsidP="00550638">
      <w:pPr>
        <w:pStyle w:val="Ttulo1"/>
        <w:spacing w:line="240" w:lineRule="auto"/>
        <w:jc w:val="both"/>
        <w:rPr>
          <w:rFonts w:ascii="Times New Roman" w:hAnsi="Times New Roman"/>
          <w:b w:val="0"/>
          <w:color w:val="auto"/>
          <w:sz w:val="24"/>
          <w:szCs w:val="24"/>
        </w:rPr>
      </w:pPr>
      <w:r w:rsidRPr="00163C19">
        <w:rPr>
          <w:rFonts w:ascii="Times New Roman" w:hAnsi="Times New Roman"/>
          <w:b w:val="0"/>
          <w:color w:val="auto"/>
          <w:sz w:val="24"/>
          <w:szCs w:val="24"/>
        </w:rPr>
        <w:t xml:space="preserve">- </w:t>
      </w:r>
      <w:r w:rsidRPr="00163C19">
        <w:rPr>
          <w:rFonts w:ascii="Times New Roman" w:hAnsi="Times New Roman"/>
          <w:b w:val="0"/>
          <w:color w:val="auto"/>
          <w:sz w:val="24"/>
          <w:szCs w:val="24"/>
          <w:u w:val="single"/>
        </w:rPr>
        <w:t>La evaluación económica de medicamentos como factor de sostenibilidad de la sanidad pública</w:t>
      </w:r>
      <w:r w:rsidRPr="00163C19">
        <w:rPr>
          <w:rFonts w:ascii="Times New Roman" w:hAnsi="Times New Roman"/>
          <w:b w:val="0"/>
          <w:color w:val="auto"/>
          <w:sz w:val="24"/>
          <w:szCs w:val="24"/>
        </w:rPr>
        <w:t xml:space="preserve"> (Fedea - </w:t>
      </w:r>
      <w:r w:rsidRPr="00163C19">
        <w:rPr>
          <w:rFonts w:ascii="Times New Roman" w:hAnsi="Times New Roman"/>
          <w:color w:val="auto"/>
          <w:sz w:val="24"/>
          <w:szCs w:val="24"/>
        </w:rPr>
        <w:t>23/5/13</w:t>
      </w:r>
      <w:r w:rsidRPr="00163C19">
        <w:rPr>
          <w:rFonts w:ascii="Times New Roman" w:hAnsi="Times New Roman"/>
          <w:b w:val="0"/>
          <w:color w:val="auto"/>
          <w:sz w:val="24"/>
          <w:szCs w:val="24"/>
        </w:rPr>
        <w:t>)</w:t>
      </w:r>
    </w:p>
    <w:p w:rsidR="006F122C" w:rsidRDefault="006F122C" w:rsidP="00550638">
      <w:pPr>
        <w:pStyle w:val="headlinemeta"/>
        <w:jc w:val="both"/>
      </w:pPr>
      <w:r>
        <w:t xml:space="preserve">(Por Jaume Puig-Junoy y Marta Trapero-Bertrán, UPF y </w:t>
      </w:r>
      <w:hyperlink r:id="rId417" w:history="1">
        <w:r w:rsidRPr="00163C19">
          <w:rPr>
            <w:rStyle w:val="Hipervnculo"/>
            <w:rFonts w:eastAsiaTheme="majorEastAsia"/>
            <w:color w:val="auto"/>
            <w:u w:val="none"/>
          </w:rPr>
          <w:t>CRES</w:t>
        </w:r>
      </w:hyperlink>
      <w:r>
        <w:t>)</w:t>
      </w:r>
    </w:p>
    <w:p w:rsidR="006F122C" w:rsidRDefault="006F122C" w:rsidP="00550638">
      <w:pPr>
        <w:pStyle w:val="NormalWeb"/>
        <w:jc w:val="both"/>
      </w:pPr>
      <w:r>
        <w:t xml:space="preserve">Después de la </w:t>
      </w:r>
      <w:hyperlink r:id="rId418" w:history="1">
        <w:r w:rsidRPr="00163C19">
          <w:rPr>
            <w:rStyle w:val="Hipervnculo"/>
            <w:rFonts w:eastAsiaTheme="majorEastAsia"/>
            <w:color w:val="auto"/>
            <w:u w:val="none"/>
          </w:rPr>
          <w:t xml:space="preserve">breve introducción </w:t>
        </w:r>
      </w:hyperlink>
      <w:r>
        <w:t xml:space="preserve">del pasado martes, iniciamos la serie de contribuciones sobre EEIS. En la primera Jaume y Marta analizan los problemas de la </w:t>
      </w:r>
      <w:r>
        <w:lastRenderedPageBreak/>
        <w:t>evaluación de medicamentos en España. Como veremos no hay muchas razones para el optimismo.</w:t>
      </w:r>
    </w:p>
    <w:p w:rsidR="006F122C" w:rsidRPr="001E1D12" w:rsidRDefault="006F122C" w:rsidP="00550638">
      <w:pPr>
        <w:pStyle w:val="NormalWeb"/>
        <w:jc w:val="both"/>
        <w:rPr>
          <w:u w:val="single"/>
        </w:rPr>
      </w:pPr>
      <w:r w:rsidRPr="001E1D12">
        <w:rPr>
          <w:u w:val="single"/>
        </w:rPr>
        <w:t xml:space="preserve">Gastamos en medicamentos, públicos y privados, un nada desdeñable </w:t>
      </w:r>
      <w:hyperlink r:id="rId419" w:history="1">
        <w:r w:rsidRPr="00163C19">
          <w:rPr>
            <w:rStyle w:val="Hipervnculo"/>
            <w:rFonts w:eastAsiaTheme="majorEastAsia"/>
            <w:color w:val="auto"/>
          </w:rPr>
          <w:t>1,6% del PIB</w:t>
        </w:r>
      </w:hyperlink>
      <w:r w:rsidRPr="00163C19">
        <w:rPr>
          <w:u w:val="single"/>
        </w:rPr>
        <w:t xml:space="preserve">, lo que supone alrededor de una tercera parte de todo el gasto sanitario público, si contabilizamos tanto medicamentos dispensados en farmacias como en </w:t>
      </w:r>
      <w:hyperlink r:id="rId420" w:history="1">
        <w:r w:rsidRPr="00163C19">
          <w:rPr>
            <w:rStyle w:val="Hipervnculo"/>
            <w:rFonts w:eastAsiaTheme="majorEastAsia"/>
            <w:color w:val="auto"/>
          </w:rPr>
          <w:t>hospitales</w:t>
        </w:r>
      </w:hyperlink>
      <w:r w:rsidRPr="00163C19">
        <w:rPr>
          <w:u w:val="single"/>
        </w:rPr>
        <w:t>.</w:t>
      </w:r>
      <w:r w:rsidRPr="00163C19">
        <w:t xml:space="preserve"> </w:t>
      </w:r>
      <w:r w:rsidRPr="00163C19">
        <w:rPr>
          <w:u w:val="single"/>
        </w:rPr>
        <w:t>Hasta hace poco hemos sido el segundo país del mundo en la cantidad consumida de medicamentos por persona. Sólo la reforma paramétrica del sistema de copago adoptada en jul</w:t>
      </w:r>
      <w:r w:rsidR="00163C19" w:rsidRPr="00163C19">
        <w:rPr>
          <w:u w:val="single"/>
        </w:rPr>
        <w:t>io y septiembre del año pasado -</w:t>
      </w:r>
      <w:hyperlink r:id="rId421" w:history="1">
        <w:r w:rsidRPr="00163C19">
          <w:rPr>
            <w:rStyle w:val="Hipervnculo"/>
            <w:rFonts w:eastAsiaTheme="majorEastAsia"/>
            <w:color w:val="auto"/>
          </w:rPr>
          <w:t>tripago</w:t>
        </w:r>
      </w:hyperlink>
      <w:r w:rsidRPr="00163C19">
        <w:rPr>
          <w:u w:val="single"/>
        </w:rPr>
        <w:t>: c</w:t>
      </w:r>
      <w:r w:rsidRPr="001E1D12">
        <w:rPr>
          <w:u w:val="single"/>
        </w:rPr>
        <w:t>opago estatal, tasa</w:t>
      </w:r>
      <w:r w:rsidR="00163C19">
        <w:rPr>
          <w:u w:val="single"/>
        </w:rPr>
        <w:t>s autonómicas y desfinanciación-</w:t>
      </w:r>
      <w:r w:rsidRPr="001E1D12">
        <w:rPr>
          <w:u w:val="single"/>
        </w:rPr>
        <w:t xml:space="preserve"> ha revertido la alarmante tendencia incremental del número de prescripciones, siendo la reforma económica post-crisis más efectiva aunque muy mejorable en su diseño.</w:t>
      </w:r>
    </w:p>
    <w:p w:rsidR="006F122C" w:rsidRPr="001E1D12" w:rsidRDefault="006F122C" w:rsidP="00550638">
      <w:pPr>
        <w:pStyle w:val="NormalWeb"/>
        <w:jc w:val="both"/>
        <w:rPr>
          <w:color w:val="FF0000"/>
          <w:u w:val="single"/>
        </w:rPr>
      </w:pPr>
      <w:r w:rsidRPr="001E1D12">
        <w:rPr>
          <w:color w:val="FF0000"/>
          <w:u w:val="single"/>
        </w:rPr>
        <w:t>Sin embargo, seguimos anclados en la senda de hacer “menos” de lo mismo: acabamos financiando públicamente casi cualquier nuevo medicamento tanto si el coste por resultado en salud (cuya medida más genérica sería el Año de Vida Ajustado por Calidad-AVAC) es razonable como si es desorbitado. Pagamos precios elevados por medicamentos que otros países con más renta no están dispuestos a pagar.</w:t>
      </w:r>
    </w:p>
    <w:p w:rsidR="006F122C" w:rsidRDefault="006F122C" w:rsidP="00550638">
      <w:pPr>
        <w:pStyle w:val="NormalWeb"/>
        <w:jc w:val="both"/>
      </w:pPr>
      <w:r>
        <w:t>En España el valor terapéutico o grado de innovación no parece ser un factor clave en la determinación del precio de entrada de los medicamentos nuevos, contrariamente a las expectativ</w:t>
      </w:r>
      <w:r w:rsidR="00163C19">
        <w:t>as y los resultados para los EE</w:t>
      </w:r>
      <w:r>
        <w:t xml:space="preserve">UU y Suecia, según encontramos en </w:t>
      </w:r>
      <w:hyperlink r:id="rId422" w:history="1">
        <w:r w:rsidRPr="00163C19">
          <w:rPr>
            <w:rStyle w:val="Hipervnculo"/>
            <w:rFonts w:eastAsiaTheme="majorEastAsia"/>
            <w:color w:val="auto"/>
          </w:rPr>
          <w:t>Puig-Junoy y González López Valcárcel (2012)</w:t>
        </w:r>
      </w:hyperlink>
      <w:r w:rsidRPr="00163C19">
        <w:rPr>
          <w:u w:val="single"/>
        </w:rPr>
        <w:t>.</w:t>
      </w:r>
      <w:r>
        <w:t xml:space="preserve"> Los resultados de este estudio muestran que en un mercado altamente regulado como es el español, sin ningún tipo de mecanismo de revisión periódica de los precios, los productos terapéuticamente similares (</w:t>
      </w:r>
      <w:r w:rsidR="00BE3369">
        <w:t>“</w:t>
      </w:r>
      <w:r w:rsidRPr="00BE3369">
        <w:rPr>
          <w:iCs/>
        </w:rPr>
        <w:t>me-too</w:t>
      </w:r>
      <w:r w:rsidR="00BE3369">
        <w:rPr>
          <w:iCs/>
        </w:rPr>
        <w:t>”</w:t>
      </w:r>
      <w:r>
        <w:t xml:space="preserve">) siguen la misma estrategia de </w:t>
      </w:r>
      <w:r w:rsidR="00BE3369">
        <w:t>“</w:t>
      </w:r>
      <w:r w:rsidRPr="00BE3369">
        <w:rPr>
          <w:iCs/>
        </w:rPr>
        <w:t>cream skimming</w:t>
      </w:r>
      <w:r w:rsidR="00BE3369">
        <w:rPr>
          <w:iCs/>
        </w:rPr>
        <w:t>”</w:t>
      </w:r>
      <w:r>
        <w:t xml:space="preserve"> (elevados precios de entrada) que los más innovadores.</w:t>
      </w:r>
    </w:p>
    <w:p w:rsidR="006F122C" w:rsidRDefault="006F122C" w:rsidP="00550638">
      <w:pPr>
        <w:pStyle w:val="NormalWeb"/>
        <w:jc w:val="both"/>
      </w:pPr>
      <w:r>
        <w:t xml:space="preserve">En realidad, ni siquiera sabemos el coste por AVAC de los medicamentos que se autorizan cada mes de forma centralizada. En la misma línea de desinformación y poca transparencia desde junio de 2012 se ha dejado de publicar incluso los precios de venta acordados por la </w:t>
      </w:r>
      <w:hyperlink r:id="rId423" w:history="1">
        <w:r w:rsidRPr="00163C19">
          <w:rPr>
            <w:rStyle w:val="Hipervnculo"/>
            <w:rFonts w:eastAsiaTheme="majorEastAsia"/>
            <w:color w:val="auto"/>
          </w:rPr>
          <w:t>Comisión Interministerial de Precios de los Medicamentos</w:t>
        </w:r>
      </w:hyperlink>
      <w:r w:rsidRPr="00163C19">
        <w:t xml:space="preserve"> p</w:t>
      </w:r>
      <w:r>
        <w:t>ara medicamentos nuevos. Únicamente se hacen públicas las bajadas de precios de los medicamentos que tienen competencia (genéricos).</w:t>
      </w:r>
    </w:p>
    <w:p w:rsidR="006F122C" w:rsidRPr="001E1D12" w:rsidRDefault="006F122C" w:rsidP="00550638">
      <w:pPr>
        <w:pStyle w:val="NormalWeb"/>
        <w:jc w:val="both"/>
        <w:rPr>
          <w:color w:val="FF0000"/>
          <w:u w:val="single"/>
        </w:rPr>
      </w:pPr>
      <w:r w:rsidRPr="001E1D12">
        <w:rPr>
          <w:color w:val="FF0000"/>
          <w:u w:val="single"/>
        </w:rPr>
        <w:t>Cuando sabemos que los principales factores que impulsan el gasto sanitario son la adopción de innovaciones sanitarias y el aumento del uso por persona, es clave para la sostenibilidad de la sanidad disponer de un procedimiento de evaluación independiente de la eficacia/efectividad incremental y la relación coste-efectividad incremental que permita adoptar decisiones de financiación selectiva y de precio según valor</w:t>
      </w:r>
      <w:r>
        <w:t xml:space="preserve">. </w:t>
      </w:r>
      <w:r w:rsidRPr="001E1D12">
        <w:rPr>
          <w:u w:val="single"/>
        </w:rPr>
        <w:t xml:space="preserve">La </w:t>
      </w:r>
      <w:hyperlink r:id="rId424" w:history="1">
        <w:r w:rsidRPr="00163C19">
          <w:rPr>
            <w:rStyle w:val="Hipervnculo"/>
            <w:rFonts w:eastAsiaTheme="majorEastAsia"/>
            <w:color w:val="auto"/>
          </w:rPr>
          <w:t>evaluación económica de medicamentos</w:t>
        </w:r>
      </w:hyperlink>
      <w:r w:rsidR="00163C19">
        <w:rPr>
          <w:u w:val="single"/>
        </w:rPr>
        <w:t xml:space="preserve"> -</w:t>
      </w:r>
      <w:r w:rsidRPr="001E1D12">
        <w:rPr>
          <w:u w:val="single"/>
        </w:rPr>
        <w:t>análisis coste-efectividad, coste-utilidad y coste-beneficio- es una herramienta que incorpora criterios de eficiencia económica al proceso de toma de decisiones. Como es obvio, este elemento no tiene que ser la única variable a tener en cuenta en la ecuación de la toma de decisiones, pero si uno de los que deben informar las decisiones y sobre el cual rendir cuentas</w:t>
      </w:r>
      <w:r>
        <w:t xml:space="preserve">. </w:t>
      </w:r>
      <w:r w:rsidRPr="001E1D12">
        <w:rPr>
          <w:color w:val="FF0000"/>
          <w:u w:val="single"/>
        </w:rPr>
        <w:t xml:space="preserve">A diferencia de la reforma de </w:t>
      </w:r>
      <w:hyperlink r:id="rId425" w:history="1">
        <w:r w:rsidRPr="001E1D12">
          <w:rPr>
            <w:rStyle w:val="Hipervnculo"/>
            <w:rFonts w:eastAsiaTheme="majorEastAsia"/>
            <w:color w:val="FF0000"/>
          </w:rPr>
          <w:t>las pensiones</w:t>
        </w:r>
      </w:hyperlink>
      <w:r w:rsidRPr="001E1D12">
        <w:rPr>
          <w:color w:val="FF0000"/>
          <w:u w:val="single"/>
        </w:rPr>
        <w:t>, el factor de sostenibilidad del sistema sanitario no se diseña de manera automática según la esperanza de vida, sino según el valor de los tratamientos: la evaluación de la eficacia incremental o valor terapéutico añadido, la relación coste-efectividad y los umbrales de disposición a pagar por AVAC son sus instrumentos.</w:t>
      </w:r>
    </w:p>
    <w:p w:rsidR="006F122C" w:rsidRPr="001E1D12" w:rsidRDefault="006F122C" w:rsidP="00550638">
      <w:pPr>
        <w:pStyle w:val="NormalWeb"/>
        <w:jc w:val="both"/>
        <w:rPr>
          <w:color w:val="FF0000"/>
        </w:rPr>
      </w:pPr>
      <w:r w:rsidRPr="001E1D12">
        <w:rPr>
          <w:u w:val="single"/>
        </w:rPr>
        <w:lastRenderedPageBreak/>
        <w:t xml:space="preserve">De la observación de lo sucedido en estas </w:t>
      </w:r>
      <w:hyperlink r:id="rId426" w:history="1">
        <w:r w:rsidRPr="00163C19">
          <w:rPr>
            <w:rStyle w:val="Hipervnculo"/>
            <w:rFonts w:eastAsiaTheme="majorEastAsia"/>
            <w:color w:val="auto"/>
          </w:rPr>
          <w:t>dos últimas décadas</w:t>
        </w:r>
      </w:hyperlink>
      <w:r w:rsidRPr="00163C19">
        <w:rPr>
          <w:u w:val="single"/>
        </w:rPr>
        <w:t xml:space="preserve"> en Alemania,</w:t>
      </w:r>
      <w:r w:rsidR="00163C19">
        <w:rPr>
          <w:u w:val="single"/>
        </w:rPr>
        <w:t xml:space="preserve"> Francia, Reino Unido y Suecia </w:t>
      </w:r>
      <w:r w:rsidRPr="00163C19">
        <w:rPr>
          <w:u w:val="single"/>
        </w:rPr>
        <w:t xml:space="preserve">se puede identificar una </w:t>
      </w:r>
      <w:hyperlink r:id="rId427" w:history="1">
        <w:r w:rsidRPr="00163C19">
          <w:rPr>
            <w:rStyle w:val="Hipervnculo"/>
            <w:rFonts w:eastAsiaTheme="majorEastAsia"/>
            <w:color w:val="auto"/>
          </w:rPr>
          <w:t>agenda básica</w:t>
        </w:r>
      </w:hyperlink>
      <w:r w:rsidRPr="00163C19">
        <w:rPr>
          <w:u w:val="single"/>
        </w:rPr>
        <w:t xml:space="preserve"> </w:t>
      </w:r>
      <w:r w:rsidRPr="001E1D12">
        <w:rPr>
          <w:u w:val="single"/>
        </w:rPr>
        <w:t>para nuestro país si se quiere tomar en serio el factor de sostenibilidad sanitario en cuanto a decisiones de financiación y precio de medicamentos</w:t>
      </w:r>
      <w:r>
        <w:t xml:space="preserve">: (a) </w:t>
      </w:r>
      <w:r w:rsidRPr="001E1D12">
        <w:rPr>
          <w:color w:val="FF0000"/>
        </w:rPr>
        <w:t>definir el rol de una agencia evaluadora en su vertiente asesora y/o reguladora</w:t>
      </w:r>
      <w:r>
        <w:t xml:space="preserve">; (b) </w:t>
      </w:r>
      <w:r w:rsidRPr="001E1D12">
        <w:rPr>
          <w:color w:val="FF0000"/>
        </w:rPr>
        <w:t>incluir en el objetivo de la agencia no solo la evaluación de la efectividad sino también la eficiencia</w:t>
      </w:r>
      <w:r>
        <w:t xml:space="preserve">; (c) </w:t>
      </w:r>
      <w:r w:rsidRPr="001E1D12">
        <w:rPr>
          <w:color w:val="FF0000"/>
        </w:rPr>
        <w:t>decidir si cubrir el ámbito de los nuevos medicamentos, o si incluye los ya comercializados y así hasta cualquier intervención sanitaria</w:t>
      </w:r>
      <w:r>
        <w:t xml:space="preserve">; (d) </w:t>
      </w:r>
      <w:r w:rsidRPr="001E1D12">
        <w:rPr>
          <w:color w:val="FF0000"/>
        </w:rPr>
        <w:t>los procedimientos de evaluación: desde el grado de independencia de la agencia evaluadora y la transparencia de los informes hasta la posibilidad de que los afectados intervengan en el proceso</w:t>
      </w:r>
      <w:r>
        <w:t xml:space="preserve">; (e) </w:t>
      </w:r>
      <w:r w:rsidRPr="001E1D12">
        <w:rPr>
          <w:color w:val="FF0000"/>
        </w:rPr>
        <w:t>participación en el proceso de todos los agentes involucrados (industria, profesionales clínicos, pacientes, etc.)</w:t>
      </w:r>
      <w:r>
        <w:t xml:space="preserve">; (f) </w:t>
      </w:r>
      <w:r w:rsidRPr="001E1D12">
        <w:rPr>
          <w:color w:val="FF0000"/>
        </w:rPr>
        <w:t xml:space="preserve">definir y protocolizar los métodos de evaluación incremental (por ejemplo, guías de evaluación económica como las que acaba de emitir el </w:t>
      </w:r>
      <w:hyperlink r:id="rId428" w:history="1">
        <w:r w:rsidRPr="00163C19">
          <w:rPr>
            <w:rStyle w:val="Hipervnculo"/>
            <w:rFonts w:eastAsiaTheme="majorEastAsia"/>
            <w:color w:val="FF0000"/>
          </w:rPr>
          <w:t>NICE</w:t>
        </w:r>
      </w:hyperlink>
      <w:r w:rsidRPr="00163C19">
        <w:rPr>
          <w:color w:val="FF0000"/>
        </w:rPr>
        <w:t xml:space="preserve">); </w:t>
      </w:r>
      <w:r>
        <w:t xml:space="preserve">(g) </w:t>
      </w:r>
      <w:r w:rsidRPr="001E1D12">
        <w:rPr>
          <w:color w:val="FF0000"/>
        </w:rPr>
        <w:t xml:space="preserve">establecer los criterios de decisión y priorización de los recursos (disposición máxima a pagar por AVAC indicativa pero flexible, incluyendo recomendaciones sobre tratamientos al final de la vida y sobre cuando están indicados </w:t>
      </w:r>
      <w:hyperlink r:id="rId429" w:history="1">
        <w:r w:rsidRPr="00163C19">
          <w:rPr>
            <w:rStyle w:val="Hipervnculo"/>
            <w:rFonts w:eastAsiaTheme="majorEastAsia"/>
            <w:color w:val="FF0000"/>
          </w:rPr>
          <w:t>contratos de riesgo compartido</w:t>
        </w:r>
      </w:hyperlink>
      <w:r>
        <w:t xml:space="preserve">; y (h) </w:t>
      </w:r>
      <w:r w:rsidRPr="001E1D12">
        <w:rPr>
          <w:color w:val="FF0000"/>
        </w:rPr>
        <w:t>la implementación de las decisiones mediante sistemas de incentivos en el pago a médicos y hospitales.</w:t>
      </w:r>
    </w:p>
    <w:p w:rsidR="006F122C" w:rsidRPr="001E1D12" w:rsidRDefault="006F122C" w:rsidP="00550638">
      <w:pPr>
        <w:pStyle w:val="NormalWeb"/>
        <w:jc w:val="both"/>
        <w:rPr>
          <w:u w:val="single"/>
        </w:rPr>
      </w:pPr>
      <w:r>
        <w:t xml:space="preserve">La normativa española también ha favorecido la liturgia de la consideración del criterio de eficiencia y la evaluación de las políticas sanitarias, aunque su aplicación no se ha hecho efectiva hasta el momento. </w:t>
      </w:r>
      <w:r w:rsidRPr="001E1D12">
        <w:rPr>
          <w:u w:val="single"/>
        </w:rPr>
        <w:t xml:space="preserve">El propio </w:t>
      </w:r>
      <w:hyperlink r:id="rId430" w:history="1">
        <w:r w:rsidRPr="00163C19">
          <w:rPr>
            <w:rStyle w:val="Hipervnculo"/>
            <w:rFonts w:eastAsiaTheme="majorEastAsia"/>
            <w:color w:val="auto"/>
          </w:rPr>
          <w:t>Programa Nacional de Reformas de España 2013</w:t>
        </w:r>
      </w:hyperlink>
      <w:r w:rsidRPr="001E1D12">
        <w:rPr>
          <w:u w:val="single"/>
        </w:rPr>
        <w:t xml:space="preserve"> reitera de nuevo lo que ya lleva en el BOE más de un año sin desarrollo (Real-Decreto-ley 16/2012): para racionalizar el gasto farmacéutico “se establecen criterios para decisiones de precio y financiación”. Pero, ¿cuáles son esos criterios? La magia de la esperanza en un factor de sostenibilidad implantado de forma razonable desaparece cuando comprobamos que el mismo PNR mide simple y llanamente el progreso alcanzado en este aspecto por ¡la reducción del núme</w:t>
      </w:r>
      <w:r w:rsidR="00DF00A7">
        <w:rPr>
          <w:u w:val="single"/>
        </w:rPr>
        <w:t>ro de recetas -</w:t>
      </w:r>
      <w:r w:rsidRPr="001E1D12">
        <w:rPr>
          <w:u w:val="single"/>
        </w:rPr>
        <w:t>atribuible al tripago!-.</w:t>
      </w:r>
    </w:p>
    <w:p w:rsidR="006F122C" w:rsidRPr="001E1D12" w:rsidRDefault="006F122C" w:rsidP="00550638">
      <w:pPr>
        <w:pStyle w:val="NormalWeb"/>
        <w:jc w:val="both"/>
        <w:rPr>
          <w:color w:val="FF0000"/>
          <w:u w:val="single"/>
        </w:rPr>
      </w:pPr>
      <w:r w:rsidRPr="001E1D12">
        <w:rPr>
          <w:color w:val="FF0000"/>
          <w:u w:val="single"/>
        </w:rPr>
        <w:t xml:space="preserve">El desconcierto ya es notable cuando se observa que doce meses después de la </w:t>
      </w:r>
      <w:hyperlink r:id="rId431" w:history="1">
        <w:r w:rsidRPr="00163C19">
          <w:rPr>
            <w:rStyle w:val="Hipervnculo"/>
            <w:rFonts w:eastAsiaTheme="majorEastAsia"/>
            <w:color w:val="FF0000"/>
          </w:rPr>
          <w:t>reforma “estrella” de la sanidad</w:t>
        </w:r>
      </w:hyperlink>
      <w:r w:rsidRPr="00163C19">
        <w:rPr>
          <w:color w:val="FF0000"/>
          <w:u w:val="single"/>
        </w:rPr>
        <w:t xml:space="preserve"> </w:t>
      </w:r>
      <w:r w:rsidRPr="001E1D12">
        <w:rPr>
          <w:color w:val="FF0000"/>
          <w:u w:val="single"/>
        </w:rPr>
        <w:t>aplicada por este gobierno, los responsables políticos han entrado en un bucle donde se corre el riesgo de acabar en un factor “lampedusiano” de sostenibilidad que sirva más para disfraz</w:t>
      </w:r>
      <w:r w:rsidR="00910787">
        <w:rPr>
          <w:color w:val="FF0000"/>
          <w:u w:val="single"/>
        </w:rPr>
        <w:t>ar los intereses del statu quo -</w:t>
      </w:r>
      <w:r w:rsidRPr="001E1D12">
        <w:rPr>
          <w:color w:val="FF0000"/>
          <w:u w:val="single"/>
        </w:rPr>
        <w:t xml:space="preserve">burocracia reguladora e industria que prefiere el </w:t>
      </w:r>
      <w:r w:rsidR="00BE3369">
        <w:rPr>
          <w:color w:val="FF0000"/>
          <w:u w:val="single"/>
        </w:rPr>
        <w:t>“</w:t>
      </w:r>
      <w:r w:rsidRPr="00BE3369">
        <w:rPr>
          <w:iCs/>
          <w:color w:val="FF0000"/>
          <w:u w:val="single"/>
        </w:rPr>
        <w:t>cuerpo a cuerpo</w:t>
      </w:r>
      <w:r w:rsidR="00BE3369">
        <w:rPr>
          <w:iCs/>
          <w:color w:val="FF0000"/>
          <w:u w:val="single"/>
        </w:rPr>
        <w:t>”</w:t>
      </w:r>
      <w:r w:rsidRPr="001E1D12">
        <w:rPr>
          <w:color w:val="FF0000"/>
          <w:u w:val="single"/>
        </w:rPr>
        <w:t xml:space="preserve"> con quien sabe el precio “j</w:t>
      </w:r>
      <w:r w:rsidR="00910787">
        <w:rPr>
          <w:color w:val="FF0000"/>
          <w:u w:val="single"/>
        </w:rPr>
        <w:t>usto” de miles de medicamentos</w:t>
      </w:r>
      <w:r w:rsidR="00BE3369">
        <w:rPr>
          <w:color w:val="FF0000"/>
          <w:u w:val="single"/>
        </w:rPr>
        <w:t>-</w:t>
      </w:r>
      <w:r w:rsidRPr="001E1D12">
        <w:rPr>
          <w:color w:val="FF0000"/>
          <w:u w:val="single"/>
        </w:rPr>
        <w:t xml:space="preserve"> antes que unas reglas del juego objetivas y transparentes, las cuáles pongan fin a la falacia que podemos financiar todo con independencia de su coste-efectividad.</w:t>
      </w:r>
    </w:p>
    <w:p w:rsidR="006F122C" w:rsidRPr="001E1D12" w:rsidRDefault="006F122C" w:rsidP="00550638">
      <w:pPr>
        <w:pStyle w:val="NormalWeb"/>
        <w:jc w:val="both"/>
        <w:rPr>
          <w:color w:val="FF0000"/>
          <w:u w:val="single"/>
        </w:rPr>
      </w:pPr>
      <w:r w:rsidRPr="001E1D12">
        <w:rPr>
          <w:color w:val="FF0000"/>
          <w:u w:val="single"/>
        </w:rPr>
        <w:t>En lugar de más transparencia y rendición de cuentas en las decisiones de precios, lo que tenemos es más opacidad amparada en la coartada que ofrece la existencia de un precio en el mercado distinto del precio para el seguro público; eso sí, para no cambiar nada se aparenta más participación, y se invita a la Comisión Interministerial a todas las Comunidades Autónomas en turnos rotatorios de seis meses.</w:t>
      </w:r>
    </w:p>
    <w:p w:rsidR="006F122C" w:rsidRPr="00021BE7" w:rsidRDefault="006F122C" w:rsidP="00550638">
      <w:pPr>
        <w:pStyle w:val="NormalWeb"/>
        <w:jc w:val="both"/>
        <w:rPr>
          <w:u w:val="single"/>
        </w:rPr>
      </w:pPr>
      <w:r>
        <w:t xml:space="preserve">La pelea para ver </w:t>
      </w:r>
      <w:hyperlink r:id="rId432" w:history="1">
        <w:r w:rsidRPr="00163C19">
          <w:rPr>
            <w:rStyle w:val="Hipervnculo"/>
            <w:rFonts w:eastAsiaTheme="majorEastAsia"/>
            <w:color w:val="auto"/>
          </w:rPr>
          <w:t>quién se queda las competencias de evaluación</w:t>
        </w:r>
      </w:hyperlink>
      <w:r w:rsidRPr="00163C19">
        <w:t xml:space="preserve"> (sin haber determinado qué, cómo ni con qué fin evaluar los medicamentos) ha dado lugar a unos rebautizados </w:t>
      </w:r>
      <w:hyperlink r:id="rId433" w:history="1">
        <w:r w:rsidRPr="00163C19">
          <w:rPr>
            <w:rStyle w:val="Hipervnculo"/>
            <w:rFonts w:eastAsiaTheme="majorEastAsia"/>
            <w:color w:val="auto"/>
          </w:rPr>
          <w:t>informes de posicionamiento terapéutico</w:t>
        </w:r>
      </w:hyperlink>
      <w:r>
        <w:t xml:space="preserve"> </w:t>
      </w:r>
      <w:r w:rsidRPr="00021BE7">
        <w:rPr>
          <w:u w:val="single"/>
        </w:rPr>
        <w:t xml:space="preserve">de la Agencia Española del Medicamento en los que no sólo la eficiencia brilla por su ausencia sino que la evaluación de la eficacia/efectividad comparada dista de los contenidos y estándares científicos </w:t>
      </w:r>
      <w:r w:rsidRPr="00021BE7">
        <w:rPr>
          <w:u w:val="single"/>
        </w:rPr>
        <w:lastRenderedPageBreak/>
        <w:t>recomendados al uso en las agencias internacionales</w:t>
      </w:r>
      <w:r>
        <w:t xml:space="preserve">. La coartada para la ausencia de la evaluación económica debería hacer sonrojar a más de uno: según parece hay quien cree que no se puede hacer una evaluación económica cuando la Comisión Interministerial no ha establecido aún el precio de venta. </w:t>
      </w:r>
      <w:r w:rsidRPr="00021BE7">
        <w:rPr>
          <w:u w:val="single"/>
        </w:rPr>
        <w:t>Seguramente, inmersos en la pelea por atribuirse competencias administrativas, alguien ha olvidado que en un sistema de precio basado en el valor, el coste por AVAC es una información clave para determinar la eficiencia del precio que solicita el innovador y que, cuando se paga según valor, el precio tiende a endogeneizarse y pasa a ser función de la disposición máxima a pagar por un AVAC.</w:t>
      </w:r>
    </w:p>
    <w:p w:rsidR="006F122C" w:rsidRPr="00021BE7" w:rsidRDefault="006F122C" w:rsidP="00550638">
      <w:pPr>
        <w:pStyle w:val="NormalWeb"/>
        <w:jc w:val="both"/>
        <w:rPr>
          <w:color w:val="FF0000"/>
          <w:u w:val="single"/>
        </w:rPr>
      </w:pPr>
      <w:r w:rsidRPr="00021BE7">
        <w:rPr>
          <w:color w:val="FF0000"/>
          <w:u w:val="single"/>
        </w:rPr>
        <w:t>Carece de justificación hoy que el regulador central valore como ha venido haciendo hasta hace pocos meses todo lo nuevo como innovador, haciendo ver que no existe coste de oportunidad, y además imponiendo la obligación a quien gestiona la sanidad de tener que ofrecerlo casi gratuitamente a los pacientes al mismo tiempo que le acusa de manirroto por gastar demasiado (</w:t>
      </w:r>
      <w:r w:rsidRPr="00BE3369">
        <w:rPr>
          <w:iCs/>
          <w:color w:val="FF0000"/>
          <w:u w:val="single"/>
        </w:rPr>
        <w:t xml:space="preserve">“yo invito, </w:t>
      </w:r>
      <w:r w:rsidR="00163C19" w:rsidRPr="00BE3369">
        <w:rPr>
          <w:iCs/>
          <w:color w:val="FF0000"/>
          <w:u w:val="single"/>
        </w:rPr>
        <w:t>tú</w:t>
      </w:r>
      <w:r w:rsidRPr="00BE3369">
        <w:rPr>
          <w:iCs/>
          <w:color w:val="FF0000"/>
          <w:u w:val="single"/>
        </w:rPr>
        <w:t xml:space="preserve"> pagas”</w:t>
      </w:r>
      <w:r w:rsidRPr="00BE3369">
        <w:rPr>
          <w:color w:val="FF0000"/>
          <w:u w:val="single"/>
        </w:rPr>
        <w:t xml:space="preserve">). </w:t>
      </w:r>
      <w:r w:rsidRPr="00021BE7">
        <w:rPr>
          <w:color w:val="FF0000"/>
          <w:u w:val="single"/>
        </w:rPr>
        <w:t>De la misma forma, sería del todo irresponsable conducir a bandazos y ahora optar por retrasar o impedir el acceso a cualquier fármaco nuevo sin más razón que la de que genera más gasto, sin ponderar el resultado en salud y sin advertir la necesidad de desinvertir en tratamientos y prestaciones de escaso valor para abrir espacio presupuestario a los de más valor. El coste de oportunidad en el que incurriríamos de conducirnos de este modo lo mediríamos en términos de muchos años de vida perdidos.</w:t>
      </w:r>
    </w:p>
    <w:p w:rsidR="006F122C" w:rsidRDefault="006F122C" w:rsidP="00550638">
      <w:pPr>
        <w:pStyle w:val="NormalWeb"/>
        <w:jc w:val="both"/>
      </w:pPr>
      <w:r w:rsidRPr="00021BE7">
        <w:rPr>
          <w:color w:val="FF0000"/>
          <w:u w:val="single"/>
        </w:rPr>
        <w:t>Lo que se requiere para que sea creíble el paso hacia una cobertura selectiva de prestaciones y medicamentos según la evidencia científica de la eficacia comparada y coste-efectividad es</w:t>
      </w:r>
      <w:r w:rsidRPr="00021BE7">
        <w:rPr>
          <w:color w:val="FF0000"/>
        </w:rPr>
        <w:t xml:space="preserve"> </w:t>
      </w:r>
      <w:r>
        <w:t xml:space="preserve">algo más que una Red de Agencias o que un nuevo Consejo Asesor, es </w:t>
      </w:r>
      <w:r w:rsidRPr="00021BE7">
        <w:rPr>
          <w:color w:val="FF0000"/>
          <w:u w:val="single"/>
        </w:rPr>
        <w:t>un cambio estructural en el procedimiento y criterios de financiación y de fijación de precios de los medicamentos</w:t>
      </w:r>
      <w:r>
        <w:t>. El ejemplo d</w:t>
      </w:r>
      <w:r w:rsidR="00BE3369">
        <w:t xml:space="preserve">e Reino Unido, Australia </w:t>
      </w:r>
      <w:r>
        <w:t>y Canadá en el uso de la efectividad comparada y el ratio coste-efectividad en las decisiones de cobertura aporta evidencia no sólo de que es factible su empleo en estas decisiones, sino de que han incentivado la producción de información de calidad sobre eficacia comparada y coste por AVAC en el propio mercado. Los actores políticos deberían ser capaces de ponerse de acuerdo en qué reglas utilizar para permitir tomar decisiones basadas en la evidencia con transparencia y de manera explícita, teniendo poca intromisión en las decisiones técnicas.</w:t>
      </w:r>
    </w:p>
    <w:p w:rsidR="006F122C" w:rsidRPr="00CD2ED3" w:rsidRDefault="006F122C" w:rsidP="00550638">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 xml:space="preserve">- </w:t>
      </w:r>
      <w:r w:rsidRPr="004B7D24">
        <w:rPr>
          <w:rFonts w:ascii="Times New Roman" w:hAnsi="Times New Roman" w:cs="Times New Roman"/>
          <w:sz w:val="24"/>
          <w:szCs w:val="24"/>
          <w:u w:val="single"/>
        </w:rPr>
        <w:t>La desregulación de los aparatos y dispositivos médicos en Europa</w:t>
      </w:r>
      <w:r>
        <w:rPr>
          <w:rFonts w:ascii="Times New Roman" w:hAnsi="Times New Roman" w:cs="Times New Roman"/>
          <w:sz w:val="24"/>
          <w:szCs w:val="24"/>
        </w:rPr>
        <w:t xml:space="preserve"> (Fedea - </w:t>
      </w:r>
      <w:r w:rsidRPr="00641163">
        <w:rPr>
          <w:rFonts w:ascii="Times New Roman" w:hAnsi="Times New Roman" w:cs="Times New Roman"/>
          <w:b/>
          <w:sz w:val="24"/>
          <w:szCs w:val="24"/>
        </w:rPr>
        <w:t>10/6/13</w:t>
      </w:r>
      <w:r>
        <w:rPr>
          <w:rFonts w:ascii="Times New Roman" w:hAnsi="Times New Roman" w:cs="Times New Roman"/>
          <w:sz w:val="24"/>
          <w:szCs w:val="24"/>
        </w:rPr>
        <w:t>)</w:t>
      </w:r>
    </w:p>
    <w:p w:rsidR="006F122C" w:rsidRPr="004B7D24" w:rsidRDefault="006F122C" w:rsidP="00550638">
      <w:pPr>
        <w:pStyle w:val="headlinemeta"/>
        <w:rPr>
          <w:b/>
        </w:rPr>
      </w:pPr>
      <w:r w:rsidRPr="004B7D24">
        <w:t>(</w:t>
      </w:r>
      <w:r w:rsidRPr="004B7D24">
        <w:rPr>
          <w:bCs/>
        </w:rPr>
        <w:t>Por Carlos Campillo Artero</w:t>
      </w:r>
      <w:r w:rsidRPr="004B7D24">
        <w:rPr>
          <w:b/>
          <w:bCs/>
        </w:rPr>
        <w:t xml:space="preserve">, </w:t>
      </w:r>
      <w:r w:rsidRPr="00163C19">
        <w:rPr>
          <w:rStyle w:val="Textoennegrita"/>
          <w:b w:val="0"/>
        </w:rPr>
        <w:t>Servei de Salut de les Illes Balears)</w:t>
      </w:r>
    </w:p>
    <w:p w:rsidR="006F122C" w:rsidRPr="00CD2ED3" w:rsidRDefault="006F122C" w:rsidP="00550638">
      <w:pPr>
        <w:pStyle w:val="NormalWeb"/>
        <w:jc w:val="both"/>
        <w:rPr>
          <w:u w:val="single"/>
        </w:rPr>
      </w:pPr>
      <w:r>
        <w:t>Tercer post de la serie de Evaluación Económica de Inter</w:t>
      </w:r>
      <w:r w:rsidR="00163C19">
        <w:t>venciones Sanitarias</w:t>
      </w:r>
      <w:r>
        <w:t xml:space="preserve">. </w:t>
      </w:r>
      <w:r w:rsidRPr="00CD2ED3">
        <w:rPr>
          <w:u w:val="single"/>
        </w:rPr>
        <w:t>En el mismo Carlos Campillo revela un inquietante panorama del sistema de evaluación de aparatos y dispositivos sanitarios en Europa. En definitiva: mucho camino por recorrer.</w:t>
      </w:r>
    </w:p>
    <w:p w:rsidR="006F122C" w:rsidRPr="00CD2ED3" w:rsidRDefault="006F122C" w:rsidP="00550638">
      <w:pPr>
        <w:pStyle w:val="NormalWeb"/>
        <w:jc w:val="both"/>
        <w:rPr>
          <w:u w:val="single"/>
        </w:rPr>
      </w:pPr>
      <w:r>
        <w:t xml:space="preserve">Tan nocivo para la salud puede ser regular bajo captura como no regular por defecto o hacerlo con flacidez normativa y de control. Conocemos bastante el cuerpo regulatorio de los medicamentos, las consecuencias sociales de sus deficiencias y tenemos meridianamente claras las medidas que han de implantarse para solventarlas. Pero </w:t>
      </w:r>
      <w:r w:rsidRPr="00CD2ED3">
        <w:rPr>
          <w:u w:val="single"/>
        </w:rPr>
        <w:t>diversos estudios han señalado que los profesionales de la salud desconocen el funcionamiento de la regulación de los aparatos y dispositivos médicos (ADM).</w:t>
      </w:r>
    </w:p>
    <w:p w:rsidR="006F122C" w:rsidRDefault="006F122C" w:rsidP="00550638">
      <w:pPr>
        <w:pStyle w:val="NormalWeb"/>
        <w:jc w:val="both"/>
      </w:pPr>
      <w:r w:rsidRPr="00CD2ED3">
        <w:rPr>
          <w:u w:val="single"/>
        </w:rPr>
        <w:lastRenderedPageBreak/>
        <w:t>En los últimos años se han puesto de manifiesto espacios de mejora de los mecanismos regulatorios de los ADM, sobre todo en los Estados Unidos y en Europa: eventos adversos asociados, por ejemplo, con prótesis de mama, prótesis de cadera y desfibriladores o la retirada del mercado por fallos de algunos ADM</w:t>
      </w:r>
      <w:r>
        <w:t>.</w:t>
      </w:r>
    </w:p>
    <w:p w:rsidR="006F122C" w:rsidRPr="00CD2ED3" w:rsidRDefault="006F122C" w:rsidP="00550638">
      <w:pPr>
        <w:pStyle w:val="NormalWeb"/>
        <w:jc w:val="both"/>
        <w:rPr>
          <w:u w:val="single"/>
        </w:rPr>
      </w:pPr>
      <w:r w:rsidRPr="00CD2ED3">
        <w:rPr>
          <w:u w:val="single"/>
        </w:rPr>
        <w:t xml:space="preserve">En los Estados Unidos, instituciones académicas y organismos oficiales como la </w:t>
      </w:r>
      <w:hyperlink r:id="rId434" w:history="1">
        <w:r w:rsidRPr="00163C19">
          <w:rPr>
            <w:rStyle w:val="Hipervnculo"/>
            <w:rFonts w:eastAsiaTheme="majorEastAsia"/>
            <w:color w:val="auto"/>
          </w:rPr>
          <w:t>General Accounting Office</w:t>
        </w:r>
      </w:hyperlink>
      <w:r w:rsidRPr="00163C19">
        <w:rPr>
          <w:u w:val="single"/>
        </w:rPr>
        <w:t xml:space="preserve"> o el </w:t>
      </w:r>
      <w:hyperlink r:id="rId435" w:history="1">
        <w:r w:rsidRPr="00163C19">
          <w:rPr>
            <w:rStyle w:val="Hipervnculo"/>
            <w:rFonts w:eastAsiaTheme="majorEastAsia"/>
            <w:color w:val="auto"/>
          </w:rPr>
          <w:t>Institute of Medicine</w:t>
        </w:r>
      </w:hyperlink>
      <w:r w:rsidRPr="00163C19">
        <w:rPr>
          <w:u w:val="single"/>
        </w:rPr>
        <w:t xml:space="preserve"> </w:t>
      </w:r>
      <w:r w:rsidRPr="00CD2ED3">
        <w:rPr>
          <w:u w:val="single"/>
        </w:rPr>
        <w:t>han difundido estudios e informes propios que ponen sobre el tapete hechos tales como que la eficacia y la seguridad de los ADM de alto riesgo sólo se han estimado mediante ensayos clínicos antes de la aprobación de su comercialización en el 27% de los casos, que un porcentaje creciente de ellos se aprueban a través de mecanismos regulatorios destinados a los de bajo riesgo, que ese porcentaje ha aumentado en los últimos años, y que las limitaciones de los ensayos que se realizan son graves. Cuando menos, conocen las características y la magnitud del problema.</w:t>
      </w:r>
    </w:p>
    <w:p w:rsidR="006F122C" w:rsidRPr="00CD2ED3" w:rsidRDefault="006F122C" w:rsidP="00550638">
      <w:pPr>
        <w:pStyle w:val="NormalWeb"/>
        <w:jc w:val="both"/>
        <w:rPr>
          <w:u w:val="single"/>
        </w:rPr>
      </w:pPr>
      <w:r w:rsidRPr="00CD2ED3">
        <w:rPr>
          <w:u w:val="single"/>
        </w:rPr>
        <w:t xml:space="preserve">En Europa, </w:t>
      </w:r>
      <w:r w:rsidR="00163C19">
        <w:rPr>
          <w:u w:val="single"/>
        </w:rPr>
        <w:t>las investigaciones realizadas -</w:t>
      </w:r>
      <w:r w:rsidRPr="00CD2ED3">
        <w:rPr>
          <w:u w:val="single"/>
        </w:rPr>
        <w:t>si bien escasas y menos exhaustivas que las ll</w:t>
      </w:r>
      <w:r w:rsidR="00163C19">
        <w:rPr>
          <w:u w:val="single"/>
        </w:rPr>
        <w:t>evadas a cabo en Estados Unidos- apuntan en la misma dirección</w:t>
      </w:r>
      <w:r w:rsidRPr="00CD2ED3">
        <w:rPr>
          <w:u w:val="single"/>
        </w:rPr>
        <w:t>. Para entender cabalmente el problema y a modo de paréntesis debe señalarse que en Europa los ADM se clasifican en función del riesgo que suponen para la salud en: clase I (apenas acarrean riesgo alguno, por ej., estetoscopios, depresores linguales), IIa (su riesgo es moderado, por ej., ecógrafos, aparatos de resonancia magnética nuclear), IIb (su riesgo es algo mayor, por ej., aparatos que emiten rayos X), y III (mantienen vivo al paciente pero pueden poner en grave peligro su vida, por ej., desfibriladores implantables, stents, marcapasos, prótesis de cadera).</w:t>
      </w:r>
    </w:p>
    <w:p w:rsidR="006F122C" w:rsidRPr="00CD2ED3" w:rsidRDefault="006F122C" w:rsidP="00550638">
      <w:pPr>
        <w:pStyle w:val="NormalWeb"/>
        <w:jc w:val="both"/>
        <w:rPr>
          <w:color w:val="FF0000"/>
        </w:rPr>
      </w:pPr>
      <w:r w:rsidRPr="00CD2ED3">
        <w:rPr>
          <w:u w:val="single"/>
        </w:rPr>
        <w:t>A diferencia de la regulación estadounidense (que centraliza la de medicamentos y ADM en la FDA), en Europa la de los medicamentos corre a cargo de la Agencia Europea del Medicamento, pero la de los ADM es responsabilidad de cada país miembro.</w:t>
      </w:r>
      <w:r>
        <w:t xml:space="preserve"> Para poder comercializarse, los ADM deben satisfacer ciertos “requisitos esenciales”: pruebas de funcionamiento y fiabilidad acordes con sus riesgos inherentes (algo que decide el fabricante). Para conseguir comercializar los de clase I, el fabricante sólo debe presentar la documentación al regulador de su país. Además, los ADM han de recibir la autorización (con la marca CE: </w:t>
      </w:r>
      <w:r w:rsidR="006D613D">
        <w:t>“</w:t>
      </w:r>
      <w:r w:rsidRPr="006D613D">
        <w:rPr>
          <w:iCs/>
        </w:rPr>
        <w:t>Comformité Européenne</w:t>
      </w:r>
      <w:r w:rsidR="006D613D">
        <w:rPr>
          <w:iCs/>
        </w:rPr>
        <w:t>”</w:t>
      </w:r>
      <w:r>
        <w:t xml:space="preserve">). Para esta clase la concede el propio fabricante. </w:t>
      </w:r>
      <w:r w:rsidRPr="00CD2ED3">
        <w:rPr>
          <w:color w:val="FF0000"/>
        </w:rPr>
        <w:t>Los de clase IIa, IIb y III no son evaluados por la Agencia Europea, sino por uno de los 76 Notified Bodies (NB) acreditados por las autoridades competentes de cada país. Son empresas privadas, con fines de lucro, que cobran por evaluación y cuyo trabajo es financiado en parte por el fabricante, quien es libre de escoger el NB que le convenga. Es el NB quien concede la marca CE para estas clases de ADM. Al hacerlo, el ADM puede comercializarse en todos los Estados Miembros de la Unión Europea.</w:t>
      </w:r>
    </w:p>
    <w:p w:rsidR="006F122C" w:rsidRPr="00660633" w:rsidRDefault="006F122C" w:rsidP="00550638">
      <w:pPr>
        <w:pStyle w:val="NormalWeb"/>
        <w:jc w:val="both"/>
        <w:rPr>
          <w:u w:val="single"/>
        </w:rPr>
      </w:pPr>
      <w:r w:rsidRPr="00660633">
        <w:rPr>
          <w:u w:val="single"/>
        </w:rPr>
        <w:t xml:space="preserve">Los fabricantes de aparatos clases IIa, IIb y III han de presentar pruebas científicas de eficacia y seguridad de los ADM a un NB: pueden proceder de una revisión de la bibliografía, cuando el ADM es equivalente a otro comercializado, o de una revisión de ensayos clínicos, si persisten dudas sobre su seguridad. Para los de clase III, además, deben realizarse </w:t>
      </w:r>
      <w:r w:rsidR="00BE3369">
        <w:rPr>
          <w:u w:val="single"/>
        </w:rPr>
        <w:t>“</w:t>
      </w:r>
      <w:r w:rsidRPr="00BE3369">
        <w:rPr>
          <w:iCs/>
          <w:u w:val="single"/>
        </w:rPr>
        <w:t>investigaciones clínicas con humanos</w:t>
      </w:r>
      <w:r w:rsidR="00BE3369">
        <w:rPr>
          <w:iCs/>
          <w:u w:val="single"/>
        </w:rPr>
        <w:t>”</w:t>
      </w:r>
      <w:r w:rsidRPr="00660633">
        <w:rPr>
          <w:u w:val="single"/>
        </w:rPr>
        <w:t xml:space="preserve"> (término ambiguo traducido al pie de la letra), aunque no necesariamente ensayos clínicos. Al no ser pública la información de este proceso, se desconoce su rigor y cumplimiento.</w:t>
      </w:r>
    </w:p>
    <w:p w:rsidR="006F122C" w:rsidRPr="00660633" w:rsidRDefault="006F122C" w:rsidP="00550638">
      <w:pPr>
        <w:pStyle w:val="NormalWeb"/>
        <w:jc w:val="both"/>
        <w:rPr>
          <w:color w:val="FF0000"/>
          <w:u w:val="single"/>
        </w:rPr>
      </w:pPr>
      <w:r w:rsidRPr="00660633">
        <w:rPr>
          <w:u w:val="single"/>
        </w:rPr>
        <w:lastRenderedPageBreak/>
        <w:t>La normativa establece que estos requisitos se apliquen uniformemente en todos los países de la UE, pero cada NB aplica normas distintas y en conjunto utilizan métodos de evaluación heterogéneos</w:t>
      </w:r>
      <w:r>
        <w:t xml:space="preserve">. </w:t>
      </w:r>
      <w:r w:rsidRPr="00660633">
        <w:rPr>
          <w:color w:val="FF0000"/>
          <w:u w:val="single"/>
        </w:rPr>
        <w:t>Cuando se deniega la comercialización de un ADM, se prohíbe tramitar una nueva solicitud por medio de otros NB, que no están obligados a notificar dichas solicitudes ni la concesión de la marca CE. La ausencia de registros centrales de solicitudes impide saber si estas se vuelven a presentar. Se desconoce qué ADM ha aprobado cada NB. Éstos no pueden actuar como consultores ni ayudar a los fabricantes a conseguir la autorización.</w:t>
      </w:r>
    </w:p>
    <w:p w:rsidR="006F122C" w:rsidRPr="00660633" w:rsidRDefault="006F122C" w:rsidP="00550638">
      <w:pPr>
        <w:pStyle w:val="NormalWeb"/>
        <w:jc w:val="both"/>
        <w:rPr>
          <w:color w:val="FF0000"/>
          <w:u w:val="single"/>
        </w:rPr>
      </w:pPr>
      <w:r w:rsidRPr="00660633">
        <w:rPr>
          <w:color w:val="FF0000"/>
          <w:u w:val="single"/>
        </w:rPr>
        <w:t>En Europa las evaluaciones se centran en el funcionamiento de los ADM más que en su eficacia clínica. Se carece de requisitos explícitos de eficacia absoluta (los de eficacia relativa o incremental son inexistentes) y no se exige certificar su seguridad sobre la base de pruebas clínicas. Las reformas del proceso regulatorio europeo no han ido a la par de los avances técnicos de los ADM, a despecho de las constantes modificaciones técnicas que se introducen en ellos.</w:t>
      </w:r>
    </w:p>
    <w:p w:rsidR="006F122C" w:rsidRPr="00660633" w:rsidRDefault="006F122C" w:rsidP="00550638">
      <w:pPr>
        <w:pStyle w:val="NormalWeb"/>
        <w:jc w:val="both"/>
        <w:rPr>
          <w:u w:val="single"/>
        </w:rPr>
      </w:pPr>
      <w:r w:rsidRPr="00660633">
        <w:rPr>
          <w:u w:val="single"/>
        </w:rPr>
        <w:t>La Unión Europea reconoce que la regulación vigente no puede sobrevivir sin introducir profundos cambios sistémicos, pero en varios análisis se vaticina que las reformas en curso no inc</w:t>
      </w:r>
      <w:r w:rsidR="00163C19">
        <w:rPr>
          <w:u w:val="single"/>
        </w:rPr>
        <w:t>idirán en la raíz del problema</w:t>
      </w:r>
      <w:r w:rsidRPr="00660633">
        <w:rPr>
          <w:u w:val="single"/>
        </w:rPr>
        <w:t>, a pesar de que se han difundido propuestas concretas de reformas, qu</w:t>
      </w:r>
      <w:r w:rsidR="00163C19">
        <w:rPr>
          <w:u w:val="single"/>
        </w:rPr>
        <w:t>e incluyen medidas específicas</w:t>
      </w:r>
      <w:r w:rsidRPr="00660633">
        <w:rPr>
          <w:u w:val="single"/>
        </w:rPr>
        <w:t>.</w:t>
      </w:r>
    </w:p>
    <w:p w:rsidR="006F122C" w:rsidRDefault="006F122C" w:rsidP="00550638">
      <w:pPr>
        <w:pStyle w:val="NormalWeb"/>
        <w:jc w:val="both"/>
      </w:pPr>
      <w:r w:rsidRPr="00660633">
        <w:rPr>
          <w:u w:val="single"/>
        </w:rPr>
        <w:t>En el caso de los ADM, las limitaciones de la valoración de su eficacia, seguridad y calidad y de su vigilancia postcomercialización son más marcadas que las de los medicamentos por los motivos señalados</w:t>
      </w:r>
      <w:r>
        <w:t>. Y la actividad del sector de los ADM en España no es escasa. Según la Memoria 2012 de la Federación Española de Em</w:t>
      </w:r>
      <w:r w:rsidR="00163C19">
        <w:t>presas de Tecnología Sanitaria</w:t>
      </w:r>
      <w:r>
        <w:t>, si bien dicha actividad se redujo globalmente un 6%, se facturaron 7200 millones de euros, un descenso variable por servicios o productos (por ej., electromedicina (-45%), implantes (-8,6%), diagnóstico in vitro (-6%), cardiología (-5%), nefrología (-5,2%)). El valor de las exportaciones fue de 1.883 millones de euros (un 4,8% más que en 2011) y el de las importaciones, de 4360 millones (un 5% menos que en 2011).</w:t>
      </w:r>
    </w:p>
    <w:p w:rsidR="006F122C" w:rsidRDefault="006F122C" w:rsidP="00550638">
      <w:pPr>
        <w:pStyle w:val="NormalWeb"/>
        <w:jc w:val="both"/>
      </w:pPr>
      <w:r>
        <w:t xml:space="preserve">En las decisiones de cobertura y fijación de precios de los ADM en España tampoco se aplican criterios de eficiencia. Esta omisión se produce, primero, aunque para los ADM tampoco exista motivo alguno para no hacerlo y no fijar precios en función de su coste-efectividad incremental. Y, segundo, a despecho de que la eficiencia conste en sucesivos reales decretos y órdenes como criterio para definir, detallar y actualizar la cartera de servicios comunes y de que se haya reconocido que </w:t>
      </w:r>
      <w:r w:rsidR="007C55D9">
        <w:t>“</w:t>
      </w:r>
      <w:r w:rsidRPr="00BE3369">
        <w:rPr>
          <w:iCs/>
        </w:rPr>
        <w:t>la falta de énfasis en ella ha contribuido a conducir al SNS a una situación</w:t>
      </w:r>
      <w:r w:rsidR="00163C19" w:rsidRPr="00BE3369">
        <w:rPr>
          <w:iCs/>
        </w:rPr>
        <w:t xml:space="preserve"> de grave dificultad económica</w:t>
      </w:r>
      <w:r w:rsidR="007C55D9">
        <w:rPr>
          <w:iCs/>
        </w:rPr>
        <w:t>”</w:t>
      </w:r>
      <w:r>
        <w:t>.</w:t>
      </w:r>
    </w:p>
    <w:p w:rsidR="006F122C" w:rsidRDefault="006F122C" w:rsidP="00550638">
      <w:pPr>
        <w:pStyle w:val="NormalWeb"/>
        <w:jc w:val="both"/>
      </w:pPr>
      <w:r>
        <w:t>Tampoco se conoce la influencia real que han ejercido en las decisiones de cobertura y fijación de precios las evaluaciones de ADM realizadas por las agencias de evaluación de tecnologías sanitarias españolas. Su cifra (Agencia de Evaluación de Tecnologías del Instituto de Salud Carlos III, Agencia de Calidad y Evaluación Sanitarias de Cataluña, OSTEBA (Agencia de Evaluación de Tecnologías del País Vasco), Agencia de Evaluación de Tecnologías Sanitarias de Andalucía, Servicio Canario de Planificación y Evaluación, AVALIA-T en Galicia y la recientemente extinguida Unidad de Evaluación de Tecnologías de la Agencia Laín Entralgo (Madrid)) y sus numerosos informes producidos se contraponen con la inacción regulatoria. No ha sido por falta de recursos.</w:t>
      </w:r>
    </w:p>
    <w:p w:rsidR="006F122C" w:rsidRDefault="006F122C" w:rsidP="00550638">
      <w:pPr>
        <w:pStyle w:val="NormalWeb"/>
        <w:jc w:val="both"/>
      </w:pPr>
      <w:r>
        <w:lastRenderedPageBreak/>
        <w:t xml:space="preserve">En el acuerdo del Consejo Interterritorial del SNS, </w:t>
      </w:r>
      <w:hyperlink r:id="rId436" w:history="1">
        <w:r w:rsidRPr="00163C19">
          <w:rPr>
            <w:rStyle w:val="Hipervnculo"/>
            <w:rFonts w:eastAsiaTheme="majorEastAsia"/>
            <w:color w:val="auto"/>
          </w:rPr>
          <w:t>de 18 de marzo de 2010</w:t>
        </w:r>
      </w:hyperlink>
      <w:r w:rsidRPr="00163C19">
        <w:t xml:space="preserve"> se menciona que, </w:t>
      </w:r>
      <w:r w:rsidRPr="00163C19">
        <w:rPr>
          <w:i/>
          <w:iCs/>
        </w:rPr>
        <w:t>además de considerar conveniente que la incorporación de nuevos medicamentos en la cartera de servicios del SNS ha de basarse en criterios de coste-efectividad, así como trabajar de manera conjunta para desarrollar guías farmacoterapéuticas que ayuden a que las decisiones clínicas se fundamenten en criterios de evidencia y coste-efectividad</w:t>
      </w:r>
      <w:r w:rsidRPr="00163C19">
        <w:t xml:space="preserve"> (tema </w:t>
      </w:r>
      <w:hyperlink r:id="rId437" w:history="1">
        <w:r w:rsidRPr="00163C19">
          <w:rPr>
            <w:rStyle w:val="Hipervnculo"/>
            <w:rFonts w:eastAsiaTheme="majorEastAsia"/>
            <w:color w:val="auto"/>
          </w:rPr>
          <w:t>abordado</w:t>
        </w:r>
      </w:hyperlink>
      <w:r w:rsidRPr="00163C19">
        <w:t xml:space="preserve"> en este blog) se debería </w:t>
      </w:r>
      <w:r w:rsidRPr="00163C19">
        <w:rPr>
          <w:i/>
          <w:iCs/>
        </w:rPr>
        <w:t>reforzar el papel de la Evaluación de Tecnologías Sanitarias. Se tra</w:t>
      </w:r>
      <w:r>
        <w:rPr>
          <w:i/>
          <w:iCs/>
        </w:rPr>
        <w:t>bajará para reforzar las garantías y la seguridad en el procedimiento de autorización de las nuevas tecnologías en el SNS, mejorando la disponibilidad de evidencias científicas y de coste-efectividad como base para la toma de decisiones, mediante la creación de un modelo organizativo en red con las Agencias estatal y autonómicas</w:t>
      </w:r>
      <w:r>
        <w:t>.</w:t>
      </w:r>
    </w:p>
    <w:p w:rsidR="006F122C" w:rsidRDefault="006F122C" w:rsidP="00550638">
      <w:pPr>
        <w:pStyle w:val="NormalWeb"/>
        <w:jc w:val="both"/>
      </w:pPr>
      <w:r>
        <w:t xml:space="preserve">En </w:t>
      </w:r>
      <w:r w:rsidRPr="00163C19">
        <w:t xml:space="preserve">otro </w:t>
      </w:r>
      <w:hyperlink r:id="rId438" w:history="1">
        <w:r w:rsidRPr="00163C19">
          <w:rPr>
            <w:rStyle w:val="Hipervnculo"/>
            <w:rFonts w:eastAsiaTheme="majorEastAsia"/>
            <w:color w:val="auto"/>
          </w:rPr>
          <w:t>acuerdo de febrero de 2012</w:t>
        </w:r>
      </w:hyperlink>
      <w:r w:rsidRPr="00163C19">
        <w:t xml:space="preserve"> alcanzado por el Consejo Interterritorial del SNS se encomendó la creación de la Red de agencias de evaluación de tecnologías sanitarias y productos, encargada de generar información basada en la evidencia científica para la toma de decisiones el SNS. El </w:t>
      </w:r>
      <w:hyperlink r:id="rId439" w:history="1">
        <w:r w:rsidRPr="00163C19">
          <w:rPr>
            <w:rStyle w:val="Hipervnculo"/>
            <w:rFonts w:eastAsiaTheme="majorEastAsia"/>
            <w:color w:val="auto"/>
          </w:rPr>
          <w:t>RDL 16/2012</w:t>
        </w:r>
      </w:hyperlink>
      <w:r w:rsidRPr="00163C19">
        <w:t xml:space="preserve"> mantiene la función de esta red de ofrecer análisis de coste-efectividad para categorizar la cartera </w:t>
      </w:r>
      <w:r>
        <w:t xml:space="preserve">de servicios. No obstante estas normativas, la existencia </w:t>
      </w:r>
      <w:r w:rsidR="007C55D9">
        <w:t>“</w:t>
      </w:r>
      <w:r w:rsidRPr="007C55D9">
        <w:rPr>
          <w:iCs/>
        </w:rPr>
        <w:t>de facto</w:t>
      </w:r>
      <w:r w:rsidR="007C55D9">
        <w:rPr>
          <w:iCs/>
        </w:rPr>
        <w:t>”</w:t>
      </w:r>
      <w:r>
        <w:t xml:space="preserve"> de trabajo en red entre agencias desde hace tiempo y de sus informes, de recursos de experiencias extranjeras, la evaluación económica, como ocurre con los medicamentos, también siguen sin aplicarse en España en las decisiones de cobertura y fijación de precios de los ADM. Cabe preguntarse cuánto tiempo se requiere para aplicar efectivamente los acuerdos realizados nada menos que en el marco del Consejo Interterritorial, máxima autoridad en materia sanitaria o para aplicar las leyes de carácter urgente, como consta en el RDL 16/2012.</w:t>
      </w:r>
    </w:p>
    <w:p w:rsidR="006F122C" w:rsidRDefault="006F122C" w:rsidP="00550638">
      <w:pPr>
        <w:pStyle w:val="NormalWeb"/>
        <w:jc w:val="both"/>
      </w:pPr>
      <w:r>
        <w:t xml:space="preserve">Un ejemplo meridanamente claro de la necesidad de incorporar la eficiencia en su regulación viene dado por la variabilidad injustificada de su uso, como ilustran los atlas de variaciones de las prótesis de rodilla y de cadera en España. La figura 1 (donde cada punto corresponde a un área de salud) muestra que las tasas estandarizadas por 10.000 habitantes en 2002 de artroplastia de cadera y rodilla (para tratar la artrosis) varían de 1,30 a 12,73 y de 0,97 </w:t>
      </w:r>
      <w:r w:rsidR="00163C19">
        <w:t>a 20,58, respectivamente</w:t>
      </w:r>
      <w:r>
        <w:t>. Esta alta variabilidad se explica, fundamentalmente, por la discrecionalidad de los cirujanos de las distintas áreas de salud para indicar la intervención en situaciones de distinta gravedad (desde poco dolor y capacidad funcional hasta dolor muy intenso e imposibilidad de deambular).</w:t>
      </w:r>
    </w:p>
    <w:p w:rsidR="008B4BA7" w:rsidRPr="004F11A8" w:rsidRDefault="008B4BA7" w:rsidP="008B4BA7">
      <w:pPr>
        <w:pStyle w:val="NormalWeb"/>
        <w:jc w:val="both"/>
        <w:rPr>
          <w:u w:val="single"/>
        </w:rPr>
      </w:pPr>
      <w:r>
        <w:t> </w:t>
      </w:r>
      <w:r w:rsidRPr="004F11A8">
        <w:rPr>
          <w:u w:val="single"/>
        </w:rPr>
        <w:t>El gasto evitable asociado con la utilización de ADM y la prescripción de medicamentos no justificadas clínicamente es elevado. Los recursos liberados podrían destinarse a financiar otras actuaciones con efectividad comprobada cuya financiación puede verse afectada por recortes indiscriminados.</w:t>
      </w:r>
    </w:p>
    <w:p w:rsidR="008B4BA7" w:rsidRDefault="008B4BA7" w:rsidP="008B4BA7">
      <w:pPr>
        <w:pStyle w:val="NormalWeb"/>
        <w:jc w:val="both"/>
      </w:pPr>
      <w:r>
        <w:t>Las causas del problema son multifactoriales. Por tanto, las soluciones han de ser multifacéticas, incidir sistémicamente en la regulación europea de los ADM y hacerlo con prontitud. La efectividad de algunos ADM está en juego, amén de la seguridad de algunos pacientes, como la confianza del público y la de los profesionales. Sin evaluación económica también los están la solvencia y sostenibilidad del SNS tal como aún lo disfrutamos hoy.</w:t>
      </w:r>
    </w:p>
    <w:p w:rsidR="008B4BA7" w:rsidRDefault="008B4BA7" w:rsidP="008B4BA7">
      <w:pPr>
        <w:pStyle w:val="NormalWeb"/>
        <w:jc w:val="both"/>
      </w:pPr>
    </w:p>
    <w:p w:rsidR="008B4BA7" w:rsidRDefault="008B4BA7" w:rsidP="00550638">
      <w:pPr>
        <w:pStyle w:val="NormalWeb"/>
        <w:jc w:val="both"/>
      </w:pPr>
    </w:p>
    <w:p w:rsidR="006F122C" w:rsidRDefault="006F122C" w:rsidP="00550638">
      <w:pPr>
        <w:pStyle w:val="NormalWeb"/>
        <w:jc w:val="both"/>
      </w:pPr>
      <w:r>
        <w:lastRenderedPageBreak/>
        <w:t>Figura 1. Tasas de artroplastia de cadera y de rodilla por áreas de salud</w:t>
      </w:r>
    </w:p>
    <w:p w:rsidR="006F122C" w:rsidRDefault="006F122C" w:rsidP="00550638">
      <w:pPr>
        <w:pStyle w:val="NormalWeb"/>
        <w:jc w:val="both"/>
      </w:pPr>
      <w:r>
        <w:rPr>
          <w:noProof/>
          <w:color w:val="0000FF"/>
        </w:rPr>
        <w:drawing>
          <wp:inline distT="0" distB="0" distL="0" distR="0" wp14:anchorId="7CA1D19B" wp14:editId="66F30FC2">
            <wp:extent cx="4674412" cy="3101645"/>
            <wp:effectExtent l="0" t="0" r="0" b="3810"/>
            <wp:docPr id="475" name="Imagen 475" descr="artoplastia">
              <a:hlinkClick xmlns:a="http://schemas.openxmlformats.org/drawingml/2006/main" r:id="rId4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artoplastia">
                      <a:hlinkClick r:id="rId440"/>
                    </pic:cNvPr>
                    <pic:cNvPicPr>
                      <a:picLocks noChangeAspect="1" noChangeArrowheads="1"/>
                    </pic:cNvPicPr>
                  </pic:nvPicPr>
                  <pic:blipFill>
                    <a:blip r:embed="rId441">
                      <a:extLst>
                        <a:ext uri="{28A0092B-C50C-407E-A947-70E740481C1C}">
                          <a14:useLocalDpi xmlns:a14="http://schemas.microsoft.com/office/drawing/2010/main" val="0"/>
                        </a:ext>
                      </a:extLst>
                    </a:blip>
                    <a:srcRect/>
                    <a:stretch>
                      <a:fillRect/>
                    </a:stretch>
                  </pic:blipFill>
                  <pic:spPr bwMode="auto">
                    <a:xfrm>
                      <a:off x="0" y="0"/>
                      <a:ext cx="4691039" cy="3112678"/>
                    </a:xfrm>
                    <a:prstGeom prst="rect">
                      <a:avLst/>
                    </a:prstGeom>
                    <a:noFill/>
                    <a:ln>
                      <a:noFill/>
                    </a:ln>
                  </pic:spPr>
                </pic:pic>
              </a:graphicData>
            </a:graphic>
          </wp:inline>
        </w:drawing>
      </w:r>
    </w:p>
    <w:p w:rsidR="00757A10" w:rsidRPr="005668D9" w:rsidRDefault="00DF00A7" w:rsidP="00550638">
      <w:pPr>
        <w:spacing w:after="0"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Informe especial</w:t>
      </w:r>
      <w:r w:rsidR="00757A10" w:rsidRPr="005668D9">
        <w:rPr>
          <w:rFonts w:ascii="Times New Roman" w:eastAsia="Times New Roman" w:hAnsi="Times New Roman"/>
          <w:b/>
          <w:sz w:val="24"/>
          <w:szCs w:val="24"/>
          <w:lang w:eastAsia="es-ES"/>
        </w:rPr>
        <w:t xml:space="preserve"> - La sanidad española a debate: el sistema de salud público amenaza con volverse una losa difícil de soportar para los contribuyentes a no ser que se emprendan reformas</w:t>
      </w:r>
    </w:p>
    <w:p w:rsidR="00757A10" w:rsidRPr="005668D9" w:rsidRDefault="00757A10" w:rsidP="00550638">
      <w:pPr>
        <w:spacing w:after="0" w:line="240" w:lineRule="auto"/>
        <w:jc w:val="both"/>
        <w:rPr>
          <w:rFonts w:ascii="Times New Roman" w:eastAsia="Times New Roman" w:hAnsi="Times New Roman"/>
          <w:b/>
          <w:sz w:val="24"/>
          <w:szCs w:val="24"/>
          <w:lang w:eastAsia="es-ES"/>
        </w:rPr>
      </w:pPr>
    </w:p>
    <w:p w:rsidR="00757A10" w:rsidRPr="006D35E1" w:rsidRDefault="00757A10"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6D35E1">
        <w:rPr>
          <w:rFonts w:ascii="Times New Roman" w:eastAsia="Times New Roman" w:hAnsi="Times New Roman"/>
          <w:sz w:val="24"/>
          <w:szCs w:val="24"/>
          <w:u w:val="single"/>
          <w:lang w:eastAsia="es-ES"/>
        </w:rPr>
        <w:t>¿Es sostenible a medio plazo la sanidad española?</w:t>
      </w:r>
      <w:r>
        <w:rPr>
          <w:rFonts w:ascii="Times New Roman" w:eastAsia="Times New Roman" w:hAnsi="Times New Roman"/>
          <w:sz w:val="24"/>
          <w:szCs w:val="24"/>
          <w:lang w:eastAsia="es-ES"/>
        </w:rPr>
        <w:t xml:space="preserve"> (Libertad Digital - </w:t>
      </w:r>
      <w:r w:rsidRPr="006D35E1">
        <w:rPr>
          <w:rFonts w:ascii="Times New Roman" w:eastAsia="Times New Roman" w:hAnsi="Times New Roman"/>
          <w:b/>
          <w:sz w:val="24"/>
          <w:szCs w:val="24"/>
          <w:lang w:eastAsia="es-ES"/>
        </w:rPr>
        <w:t>4/12/12</w:t>
      </w:r>
      <w:r>
        <w:rPr>
          <w:rFonts w:ascii="Times New Roman" w:eastAsia="Times New Roman" w:hAnsi="Times New Roman"/>
          <w:sz w:val="24"/>
          <w:szCs w:val="24"/>
          <w:lang w:eastAsia="es-ES"/>
        </w:rPr>
        <w:t>)</w:t>
      </w:r>
    </w:p>
    <w:p w:rsidR="00757A10" w:rsidRPr="00B5280A" w:rsidRDefault="00757A10" w:rsidP="00550638">
      <w:pPr>
        <w:spacing w:after="0" w:line="240" w:lineRule="auto"/>
        <w:jc w:val="both"/>
        <w:rPr>
          <w:rFonts w:ascii="Times New Roman" w:eastAsia="Times New Roman" w:hAnsi="Times New Roman"/>
          <w:color w:val="FF0000"/>
          <w:sz w:val="24"/>
          <w:szCs w:val="24"/>
          <w:u w:val="single"/>
          <w:lang w:eastAsia="es-ES"/>
        </w:rPr>
      </w:pPr>
    </w:p>
    <w:p w:rsidR="00757A10" w:rsidRDefault="00757A10"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6D35E1">
        <w:rPr>
          <w:rFonts w:ascii="Times New Roman" w:eastAsia="Times New Roman" w:hAnsi="Times New Roman"/>
          <w:sz w:val="24"/>
          <w:szCs w:val="24"/>
          <w:lang w:eastAsia="es-ES"/>
        </w:rPr>
        <w:t>D. S</w:t>
      </w:r>
      <w:r>
        <w:rPr>
          <w:rFonts w:ascii="Times New Roman" w:eastAsia="Times New Roman" w:hAnsi="Times New Roman"/>
          <w:sz w:val="24"/>
          <w:szCs w:val="24"/>
          <w:lang w:eastAsia="es-ES"/>
        </w:rPr>
        <w:t>oriano)</w:t>
      </w:r>
      <w:r w:rsidRPr="006D35E1">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                                                                               Lectura recomendada</w:t>
      </w:r>
    </w:p>
    <w:p w:rsidR="00757A10" w:rsidRDefault="00757A10" w:rsidP="00550638">
      <w:pPr>
        <w:spacing w:after="0" w:line="240" w:lineRule="auto"/>
        <w:jc w:val="both"/>
        <w:rPr>
          <w:rFonts w:ascii="Times New Roman" w:eastAsia="Times New Roman" w:hAnsi="Times New Roman"/>
          <w:sz w:val="24"/>
          <w:szCs w:val="24"/>
          <w:lang w:eastAsia="es-ES"/>
        </w:rPr>
      </w:pPr>
    </w:p>
    <w:p w:rsidR="00757A10" w:rsidRPr="00B5280A" w:rsidRDefault="00757A10" w:rsidP="00550638">
      <w:pPr>
        <w:spacing w:after="0" w:line="240" w:lineRule="auto"/>
        <w:jc w:val="both"/>
        <w:rPr>
          <w:rFonts w:ascii="Times New Roman" w:eastAsia="Times New Roman" w:hAnsi="Times New Roman"/>
          <w:sz w:val="24"/>
          <w:szCs w:val="24"/>
          <w:u w:val="single"/>
          <w:lang w:eastAsia="es-ES"/>
        </w:rPr>
      </w:pPr>
      <w:r w:rsidRPr="006D35E1">
        <w:rPr>
          <w:rFonts w:ascii="Times New Roman" w:eastAsia="Times New Roman" w:hAnsi="Times New Roman"/>
          <w:sz w:val="24"/>
          <w:szCs w:val="24"/>
          <w:lang w:eastAsia="es-ES"/>
        </w:rPr>
        <w:t xml:space="preserve">Hay pocos temas más polémicos que una reforma sanitaria como la que ha planteado la Comunidad de Madrid en las últimas semanas. </w:t>
      </w:r>
      <w:r w:rsidRPr="00B5280A">
        <w:rPr>
          <w:rFonts w:ascii="Times New Roman" w:eastAsia="Times New Roman" w:hAnsi="Times New Roman"/>
          <w:sz w:val="24"/>
          <w:szCs w:val="24"/>
          <w:u w:val="single"/>
          <w:lang w:eastAsia="es-ES"/>
        </w:rPr>
        <w:t>Después de muchos años, el Estado ha conseguido que muchos ciudadanos crean que sólo un sistema como el actual, en el que los poderes públicos gestionan de forma directa todos los servicios que recibe el paciente, garantiza una cobertura universal de todos los ciudadanos.</w:t>
      </w:r>
    </w:p>
    <w:p w:rsidR="00757A10" w:rsidRPr="00B5280A" w:rsidRDefault="00757A10" w:rsidP="00550638">
      <w:pPr>
        <w:spacing w:after="0" w:line="240" w:lineRule="auto"/>
        <w:jc w:val="both"/>
        <w:rPr>
          <w:rFonts w:ascii="Times New Roman" w:eastAsia="Times New Roman" w:hAnsi="Times New Roman"/>
          <w:sz w:val="24"/>
          <w:szCs w:val="24"/>
          <w:u w:val="single"/>
          <w:lang w:eastAsia="es-ES"/>
        </w:rPr>
      </w:pPr>
      <w:r w:rsidRPr="00B5280A">
        <w:rPr>
          <w:rFonts w:ascii="Times New Roman" w:eastAsia="Times New Roman" w:hAnsi="Times New Roman"/>
          <w:sz w:val="24"/>
          <w:szCs w:val="24"/>
          <w:u w:val="single"/>
          <w:lang w:eastAsia="es-ES"/>
        </w:rPr>
        <w:t xml:space="preserve"> </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B5280A">
        <w:rPr>
          <w:rFonts w:ascii="Times New Roman" w:eastAsia="Times New Roman" w:hAnsi="Times New Roman"/>
          <w:sz w:val="24"/>
          <w:szCs w:val="24"/>
          <w:u w:val="single"/>
          <w:lang w:eastAsia="es-ES"/>
        </w:rPr>
        <w:t>Por eso, cualquier modificación genera protestas y un rechazo visceral en el español de a pie y en los médicos y el resto del personal del sistema público de salud</w:t>
      </w:r>
      <w:r w:rsidRPr="006D35E1">
        <w:rPr>
          <w:rFonts w:ascii="Times New Roman" w:eastAsia="Times New Roman" w:hAnsi="Times New Roman"/>
          <w:sz w:val="24"/>
          <w:szCs w:val="24"/>
          <w:lang w:eastAsia="es-ES"/>
        </w:rPr>
        <w:t>. Sin embargo, los datos dicen que el actual modelo tiene un problema grave en su financiación. Y si no se hace frente a esa realidad, la cosa podría empeorar en un futuro cercano.</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El coste total</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Pr="00B5280A" w:rsidRDefault="00757A10" w:rsidP="00550638">
      <w:pPr>
        <w:spacing w:after="0" w:line="240" w:lineRule="auto"/>
        <w:jc w:val="both"/>
        <w:rPr>
          <w:rFonts w:ascii="Times New Roman" w:eastAsia="Times New Roman" w:hAnsi="Times New Roman"/>
          <w:sz w:val="24"/>
          <w:szCs w:val="24"/>
          <w:u w:val="single"/>
          <w:lang w:eastAsia="es-ES"/>
        </w:rPr>
      </w:pPr>
      <w:r w:rsidRPr="006D35E1">
        <w:rPr>
          <w:rFonts w:ascii="Times New Roman" w:eastAsia="Times New Roman" w:hAnsi="Times New Roman"/>
          <w:sz w:val="24"/>
          <w:szCs w:val="24"/>
          <w:lang w:eastAsia="es-ES"/>
        </w:rPr>
        <w:t xml:space="preserve">En sanidad, como en cualquier bien o servicio, el dinero no lo es todo para conseguir una mejor calidad, aunque sí ayuda si se utiliza bien. </w:t>
      </w:r>
      <w:r w:rsidRPr="00B5280A">
        <w:rPr>
          <w:rFonts w:ascii="Times New Roman" w:eastAsia="Times New Roman" w:hAnsi="Times New Roman"/>
          <w:sz w:val="24"/>
          <w:szCs w:val="24"/>
          <w:u w:val="single"/>
          <w:lang w:eastAsia="es-ES"/>
        </w:rPr>
        <w:t>Según el informe de la OCDE Health at a Glance de este año, con datos de 2010, España se gasta 2.345 euros por persona y año en servicios sanitarios. Está ligeramente por encima de la media de la UE-27 (2.171 euros), aunque claramente por debajo de los primeros de la lista: Holanda (3.890 euros), Luxemburgo (3.607 euros) y Dinamarca (3.439 euros). Incluso, países como Noruega o Suiza están por encima de los 4.000 euros.</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Pr="00B5280A" w:rsidRDefault="00757A10" w:rsidP="00550638">
      <w:pPr>
        <w:spacing w:after="0" w:line="240" w:lineRule="auto"/>
        <w:jc w:val="both"/>
        <w:rPr>
          <w:rFonts w:ascii="Times New Roman" w:eastAsia="Times New Roman" w:hAnsi="Times New Roman"/>
          <w:sz w:val="24"/>
          <w:szCs w:val="24"/>
          <w:u w:val="single"/>
          <w:lang w:eastAsia="es-ES"/>
        </w:rPr>
      </w:pPr>
      <w:r w:rsidRPr="00B5280A">
        <w:rPr>
          <w:rFonts w:ascii="Times New Roman" w:eastAsia="Times New Roman" w:hAnsi="Times New Roman"/>
          <w:sz w:val="24"/>
          <w:szCs w:val="24"/>
          <w:u w:val="single"/>
          <w:lang w:eastAsia="es-ES"/>
        </w:rPr>
        <w:lastRenderedPageBreak/>
        <w:t>Lo primero que hay que decir es que la cifra de España se corresponde, más o menos, con su situación dentro de la UE. La renta per cápita de nuestro país es de 30.000 dólares, mientras que holandeses, austriacos o suecos (por ejemplo) están por encima de 42.000 dólares. Es lógico que con sus impuestos puedan pagar una sanidad algo más cara de lo que pueden permitirse los españoles.</w:t>
      </w:r>
    </w:p>
    <w:p w:rsidR="00757A10" w:rsidRPr="00B5280A" w:rsidRDefault="00757A10" w:rsidP="00550638">
      <w:pPr>
        <w:spacing w:after="0" w:line="240" w:lineRule="auto"/>
        <w:jc w:val="both"/>
        <w:rPr>
          <w:rFonts w:ascii="Times New Roman" w:eastAsia="Times New Roman" w:hAnsi="Times New Roman"/>
          <w:sz w:val="24"/>
          <w:szCs w:val="24"/>
          <w:u w:val="single"/>
          <w:lang w:eastAsia="es-ES"/>
        </w:rPr>
      </w:pPr>
      <w:r w:rsidRPr="00B5280A">
        <w:rPr>
          <w:rFonts w:ascii="Times New Roman" w:eastAsia="Times New Roman" w:hAnsi="Times New Roman"/>
          <w:sz w:val="24"/>
          <w:szCs w:val="24"/>
          <w:u w:val="single"/>
          <w:lang w:eastAsia="es-ES"/>
        </w:rPr>
        <w:t xml:space="preserve"> </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B5280A">
        <w:rPr>
          <w:rFonts w:ascii="Times New Roman" w:eastAsia="Times New Roman" w:hAnsi="Times New Roman"/>
          <w:sz w:val="24"/>
          <w:szCs w:val="24"/>
          <w:u w:val="single"/>
          <w:lang w:eastAsia="es-ES"/>
        </w:rPr>
        <w:t>En términos de gasto en función del PIB, España está algo más arriba en la clasificación que en términos absolutos. Así, mientras los holandeses se dejan el 12% de su riqueza en sanidad y los franceses el 11,6%, los españoles se gastan el 9,6% (un 7,1% de gasto público y un 2,5% privado). Es una cifra ligeramente superior a la de países más ricos, como Italia (9,3%), Irlanda (9,2%) o Finlandia (8,9%), aunque inferior a la de estados más pobres, como Grecia (10,2%)</w:t>
      </w:r>
      <w:r w:rsidRPr="006D35E1">
        <w:rPr>
          <w:rFonts w:ascii="Times New Roman" w:eastAsia="Times New Roman" w:hAnsi="Times New Roman"/>
          <w:sz w:val="24"/>
          <w:szCs w:val="24"/>
          <w:lang w:eastAsia="es-ES"/>
        </w:rPr>
        <w:t>. El país heleno es un buen ejemplo de que el dinero no lo es todo. Aunque tiene un gasto sobre el total del PIB bastante elevado y también es el que tiene la ratio de médicos por habitante más alta, aparece en los últimos puestos en casi todas las clasificaciones sobre asistencia sanitaria.</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La calidad</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B5280A">
        <w:rPr>
          <w:rFonts w:ascii="Times New Roman" w:eastAsia="Times New Roman" w:hAnsi="Times New Roman"/>
          <w:sz w:val="24"/>
          <w:szCs w:val="24"/>
          <w:u w:val="single"/>
          <w:lang w:eastAsia="es-ES"/>
        </w:rPr>
        <w:t>Medir el coste de la sanidad es más sencillo que su calidad</w:t>
      </w:r>
      <w:r w:rsidRPr="006D35E1">
        <w:rPr>
          <w:rFonts w:ascii="Times New Roman" w:eastAsia="Times New Roman" w:hAnsi="Times New Roman"/>
          <w:sz w:val="24"/>
          <w:szCs w:val="24"/>
          <w:lang w:eastAsia="es-ES"/>
        </w:rPr>
        <w:t xml:space="preserve">. No es fácil poner de acuerdo a los pacientes/clientes sobre qué se entiende por un buen servicio. </w:t>
      </w:r>
      <w:r w:rsidRPr="00DE042A">
        <w:rPr>
          <w:rFonts w:ascii="Times New Roman" w:eastAsia="Times New Roman" w:hAnsi="Times New Roman"/>
          <w:sz w:val="24"/>
          <w:szCs w:val="24"/>
          <w:u w:val="single"/>
          <w:lang w:eastAsia="es-ES"/>
        </w:rPr>
        <w:t>En Europa, el índice más utilizado es el Health Consumer Powerhouse y España no aparece demasiado bien parada</w:t>
      </w:r>
      <w:r w:rsidRPr="006D35E1">
        <w:rPr>
          <w:rFonts w:ascii="Times New Roman" w:eastAsia="Times New Roman" w:hAnsi="Times New Roman"/>
          <w:sz w:val="24"/>
          <w:szCs w:val="24"/>
          <w:lang w:eastAsia="es-ES"/>
        </w:rPr>
        <w:t xml:space="preserve">. </w:t>
      </w:r>
      <w:r w:rsidRPr="00DE042A">
        <w:rPr>
          <w:rFonts w:ascii="Times New Roman" w:eastAsia="Times New Roman" w:hAnsi="Times New Roman"/>
          <w:color w:val="FF0000"/>
          <w:sz w:val="24"/>
          <w:szCs w:val="24"/>
          <w:u w:val="single"/>
          <w:lang w:eastAsia="es-ES"/>
        </w:rPr>
        <w:t>De los 33 países analizados en la última edición, con datos de 2009, España aparece en el puesto 32, por detrás de países como Portugal, Hungría, Chipre o Estonia.</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Pr="00DE042A" w:rsidRDefault="00757A10" w:rsidP="00550638">
      <w:pPr>
        <w:spacing w:after="0" w:line="240" w:lineRule="auto"/>
        <w:jc w:val="both"/>
        <w:rPr>
          <w:rFonts w:ascii="Times New Roman" w:eastAsia="Times New Roman" w:hAnsi="Times New Roman"/>
          <w:sz w:val="24"/>
          <w:szCs w:val="24"/>
          <w:u w:val="single"/>
          <w:lang w:eastAsia="es-ES"/>
        </w:rPr>
      </w:pPr>
      <w:r w:rsidRPr="00DE042A">
        <w:rPr>
          <w:rFonts w:ascii="Times New Roman" w:eastAsia="Times New Roman" w:hAnsi="Times New Roman"/>
          <w:sz w:val="24"/>
          <w:szCs w:val="24"/>
          <w:u w:val="single"/>
          <w:lang w:eastAsia="es-ES"/>
        </w:rPr>
        <w:t>Nuestro país tiene una puntuación aceptable, más o menos en la media, e</w:t>
      </w:r>
      <w:r w:rsidR="00A90837">
        <w:rPr>
          <w:rFonts w:ascii="Times New Roman" w:eastAsia="Times New Roman" w:hAnsi="Times New Roman"/>
          <w:sz w:val="24"/>
          <w:szCs w:val="24"/>
          <w:u w:val="single"/>
          <w:lang w:eastAsia="es-ES"/>
        </w:rPr>
        <w:t>n lo que hace referencia a los “resultados” y al “espectro de servicios ofrecidos”</w:t>
      </w:r>
      <w:r w:rsidRPr="00DE042A">
        <w:rPr>
          <w:rFonts w:ascii="Times New Roman" w:eastAsia="Times New Roman" w:hAnsi="Times New Roman"/>
          <w:sz w:val="24"/>
          <w:szCs w:val="24"/>
          <w:u w:val="single"/>
          <w:lang w:eastAsia="es-ES"/>
        </w:rPr>
        <w:t>, pero se hunde en lo que tiene que ver con la información a los pacientes, las listas de espera y la integración de las nuevas tecnologías, con todos los beneficios que aportan a los usuarios.</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Más allá de este tipo de índices, las encuestas aseguran que los españoles están moderadamente satisfechos con su servicio de salud público. Y en los estudios sobre la calidad de la salud, la esperanza de vida y los tratamientos de las enfermedades graves, la sanidad española aparece bien clasificada, no en los primeros puestos pero tampoco en los últimos.</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Pr="00DE042A" w:rsidRDefault="00757A10" w:rsidP="00550638">
      <w:pPr>
        <w:spacing w:after="0" w:line="240" w:lineRule="auto"/>
        <w:jc w:val="both"/>
        <w:rPr>
          <w:rFonts w:ascii="Times New Roman" w:eastAsia="Times New Roman" w:hAnsi="Times New Roman"/>
          <w:sz w:val="24"/>
          <w:szCs w:val="24"/>
          <w:u w:val="single"/>
          <w:lang w:eastAsia="es-ES"/>
        </w:rPr>
      </w:pPr>
      <w:r w:rsidRPr="00DE042A">
        <w:rPr>
          <w:rFonts w:ascii="Times New Roman" w:eastAsia="Times New Roman" w:hAnsi="Times New Roman"/>
          <w:sz w:val="24"/>
          <w:szCs w:val="24"/>
          <w:u w:val="single"/>
          <w:lang w:eastAsia="es-ES"/>
        </w:rPr>
        <w:t>Podríamos decir que su situación real no corresponde a ninguna de las dos caricaturas que normalmente se utilizan: ni es un desastre ni el maravilloso servicio público al que no cabe poner ningún pero. En este sentido, hay que admitir que si la asistencia médica fuera realmente de mala calidad, la opinión pública no sería tan reticente a cualquier cambio. Pero también hay que destacar que alrededor de 11 millones de españoles tienen contratado un seguro con una compañía privada. Si el sistema público fuera tan fantástico en todos los aspectos como a veces se defiende en algunas tribunas, no tendría mucho sentido que todos estos usuarios pagasen una póliza para evitarlo.</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Pr="00DE042A" w:rsidRDefault="00757A10" w:rsidP="00550638">
      <w:pPr>
        <w:spacing w:after="0" w:line="240" w:lineRule="auto"/>
        <w:jc w:val="both"/>
        <w:rPr>
          <w:rFonts w:ascii="Times New Roman" w:eastAsia="Times New Roman" w:hAnsi="Times New Roman"/>
          <w:sz w:val="24"/>
          <w:szCs w:val="24"/>
          <w:u w:val="single"/>
          <w:lang w:eastAsia="es-ES"/>
        </w:rPr>
      </w:pPr>
      <w:r w:rsidRPr="006D35E1">
        <w:rPr>
          <w:rFonts w:ascii="Times New Roman" w:eastAsia="Times New Roman" w:hAnsi="Times New Roman"/>
          <w:sz w:val="24"/>
          <w:szCs w:val="24"/>
          <w:lang w:eastAsia="es-ES"/>
        </w:rPr>
        <w:t xml:space="preserve">Hasta aquí, la imagen general de la sanidad española. Pero lo más importante quizás no esté en la foto fija de todo el sistema, sino en los detalles de su funcionamiento, en la evolución de los últimos años y en las perspectivas de cara al futuro cercano. Porque </w:t>
      </w:r>
      <w:r w:rsidRPr="00DE042A">
        <w:rPr>
          <w:rFonts w:ascii="Times New Roman" w:eastAsia="Times New Roman" w:hAnsi="Times New Roman"/>
          <w:sz w:val="24"/>
          <w:szCs w:val="24"/>
          <w:u w:val="single"/>
          <w:lang w:eastAsia="es-ES"/>
        </w:rPr>
        <w:t>la cuestión no es sólo si el sistema es bueno o malo, sino si podemos pagarlo y si podremos mantenerlo a medio plazo.</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lastRenderedPageBreak/>
        <w:t>El pasado</w:t>
      </w:r>
    </w:p>
    <w:p w:rsidR="00757A10" w:rsidRPr="006D35E1" w:rsidRDefault="00757A10" w:rsidP="00550638">
      <w:pPr>
        <w:spacing w:after="0" w:line="240" w:lineRule="auto"/>
        <w:jc w:val="both"/>
        <w:rPr>
          <w:rFonts w:ascii="Times New Roman" w:eastAsia="Times New Roman" w:hAnsi="Times New Roman"/>
          <w:sz w:val="24"/>
          <w:szCs w:val="24"/>
          <w:lang w:eastAsia="es-ES"/>
        </w:rPr>
      </w:pP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 Según los datos del año 2003, </w:t>
      </w:r>
      <w:r w:rsidRPr="00DE042A">
        <w:rPr>
          <w:rFonts w:ascii="Times New Roman" w:eastAsia="Times New Roman" w:hAnsi="Times New Roman"/>
          <w:color w:val="FF0000"/>
          <w:sz w:val="24"/>
          <w:szCs w:val="24"/>
          <w:lang w:eastAsia="es-ES"/>
        </w:rPr>
        <w:t>el gasto total en sanidad en España público y privado</w:t>
      </w:r>
      <w:r w:rsidRPr="006D35E1">
        <w:rPr>
          <w:rFonts w:ascii="Times New Roman" w:eastAsia="Times New Roman" w:hAnsi="Times New Roman"/>
          <w:sz w:val="24"/>
          <w:szCs w:val="24"/>
          <w:lang w:eastAsia="es-ES"/>
        </w:rPr>
        <w:t xml:space="preserve">, contando con los cuidados de larga duración, </w:t>
      </w:r>
      <w:r w:rsidRPr="00DE042A">
        <w:rPr>
          <w:rFonts w:ascii="Times New Roman" w:eastAsia="Times New Roman" w:hAnsi="Times New Roman"/>
          <w:color w:val="FF0000"/>
          <w:sz w:val="24"/>
          <w:szCs w:val="24"/>
          <w:lang w:eastAsia="es-ES"/>
        </w:rPr>
        <w:t>ascendió a 64.076 millones de euros, el 8,2% del PIB. En 2010, tocaba los 100.741 millones, el 9,6% del PIB.</w:t>
      </w:r>
      <w:r w:rsidRPr="006D35E1">
        <w:rPr>
          <w:rFonts w:ascii="Times New Roman" w:eastAsia="Times New Roman" w:hAnsi="Times New Roman"/>
          <w:sz w:val="24"/>
          <w:szCs w:val="24"/>
          <w:lang w:eastAsia="es-ES"/>
        </w:rPr>
        <w:t xml:space="preserve"> Es un incremento muy elevado en muy pocos años (incluso teniendo en cuenta la inflación).</w:t>
      </w:r>
    </w:p>
    <w:p w:rsidR="00757A10" w:rsidRPr="00DE042A" w:rsidRDefault="00757A10" w:rsidP="00550638">
      <w:pPr>
        <w:spacing w:after="0" w:line="240" w:lineRule="auto"/>
        <w:jc w:val="both"/>
        <w:rPr>
          <w:rFonts w:ascii="Times New Roman" w:eastAsia="Times New Roman" w:hAnsi="Times New Roman"/>
          <w:color w:val="FF0000"/>
          <w:sz w:val="24"/>
          <w:szCs w:val="24"/>
          <w:lang w:eastAsia="es-ES"/>
        </w:rPr>
      </w:pPr>
      <w:r w:rsidRPr="006D35E1">
        <w:rPr>
          <w:rFonts w:ascii="Times New Roman" w:eastAsia="Times New Roman" w:hAnsi="Times New Roman"/>
          <w:sz w:val="24"/>
          <w:szCs w:val="24"/>
          <w:lang w:eastAsia="es-ES"/>
        </w:rPr>
        <w:t xml:space="preserve">• </w:t>
      </w:r>
      <w:r w:rsidRPr="00DE042A">
        <w:rPr>
          <w:rFonts w:ascii="Times New Roman" w:eastAsia="Times New Roman" w:hAnsi="Times New Roman"/>
          <w:color w:val="FF0000"/>
          <w:sz w:val="24"/>
          <w:szCs w:val="24"/>
          <w:lang w:eastAsia="es-ES"/>
        </w:rPr>
        <w:t>En la década 2000-2010, la subida del gasto en sanidad (alrededor del 3,5% anual) superó con creces al incremento del PIB per cápita (algo menos del 1% anual).</w:t>
      </w:r>
    </w:p>
    <w:p w:rsidR="00757A10" w:rsidRPr="00DE042A" w:rsidRDefault="00757A10" w:rsidP="00550638">
      <w:pPr>
        <w:spacing w:after="0" w:line="240" w:lineRule="auto"/>
        <w:jc w:val="both"/>
        <w:rPr>
          <w:rFonts w:ascii="Times New Roman" w:eastAsia="Times New Roman" w:hAnsi="Times New Roman"/>
          <w:sz w:val="24"/>
          <w:szCs w:val="24"/>
          <w:u w:val="single"/>
          <w:lang w:eastAsia="es-ES"/>
        </w:rPr>
      </w:pPr>
      <w:r w:rsidRPr="006D35E1">
        <w:rPr>
          <w:rFonts w:ascii="Times New Roman" w:eastAsia="Times New Roman" w:hAnsi="Times New Roman"/>
          <w:sz w:val="24"/>
          <w:szCs w:val="24"/>
          <w:lang w:eastAsia="es-ES"/>
        </w:rPr>
        <w:t xml:space="preserve">• Hay que tener en cuenta, cuando se habla del gasto en sanidad, que </w:t>
      </w:r>
      <w:r w:rsidRPr="00DE042A">
        <w:rPr>
          <w:rFonts w:ascii="Times New Roman" w:eastAsia="Times New Roman" w:hAnsi="Times New Roman"/>
          <w:color w:val="FF0000"/>
          <w:sz w:val="24"/>
          <w:szCs w:val="24"/>
          <w:lang w:eastAsia="es-ES"/>
        </w:rPr>
        <w:t>las administraciones públicas deben cerca de 15.000 millones (el 1,5% del PIB) a las compañías del sector</w:t>
      </w:r>
      <w:r w:rsidRPr="006D35E1">
        <w:rPr>
          <w:rFonts w:ascii="Times New Roman" w:eastAsia="Times New Roman" w:hAnsi="Times New Roman"/>
          <w:sz w:val="24"/>
          <w:szCs w:val="24"/>
          <w:lang w:eastAsia="es-ES"/>
        </w:rPr>
        <w:t xml:space="preserve">. A finales de 2011, sólo las comunidades autónomas adeudaban 6.300 millones a los laboratorios, 5.200 millones a las empresas de tecnología sanitaria, 2.000 millones a la sanidad privada concertada y otros 2.000 millones a las farmacias. </w:t>
      </w:r>
      <w:r w:rsidRPr="00DE042A">
        <w:rPr>
          <w:rFonts w:ascii="Times New Roman" w:eastAsia="Times New Roman" w:hAnsi="Times New Roman"/>
          <w:sz w:val="24"/>
          <w:szCs w:val="24"/>
          <w:u w:val="single"/>
          <w:lang w:eastAsia="es-ES"/>
        </w:rPr>
        <w:t>Si sumamos esta cantidad al gasto anual, España estaría entre los países europeos con una factura más elevada en función de su riqueza.</w:t>
      </w:r>
    </w:p>
    <w:p w:rsidR="00757A10" w:rsidRPr="00DE042A" w:rsidRDefault="00757A10" w:rsidP="00550638">
      <w:pPr>
        <w:spacing w:after="0" w:line="240" w:lineRule="auto"/>
        <w:jc w:val="both"/>
        <w:rPr>
          <w:rFonts w:ascii="Times New Roman" w:eastAsia="Times New Roman" w:hAnsi="Times New Roman"/>
          <w:color w:val="FF0000"/>
          <w:sz w:val="24"/>
          <w:szCs w:val="24"/>
          <w:lang w:eastAsia="es-ES"/>
        </w:rPr>
      </w:pPr>
      <w:r w:rsidRPr="006D35E1">
        <w:rPr>
          <w:rFonts w:ascii="Times New Roman" w:eastAsia="Times New Roman" w:hAnsi="Times New Roman"/>
          <w:sz w:val="24"/>
          <w:szCs w:val="24"/>
          <w:lang w:eastAsia="es-ES"/>
        </w:rPr>
        <w:t xml:space="preserve">• </w:t>
      </w:r>
      <w:r w:rsidRPr="00DE042A">
        <w:rPr>
          <w:rFonts w:ascii="Times New Roman" w:eastAsia="Times New Roman" w:hAnsi="Times New Roman"/>
          <w:color w:val="FF0000"/>
          <w:sz w:val="24"/>
          <w:szCs w:val="24"/>
          <w:lang w:eastAsia="es-ES"/>
        </w:rPr>
        <w:t>Los españoles visitamos al médico un 40% de veces más que nuestros vecinos de la UE</w:t>
      </w:r>
      <w:r w:rsidRPr="006D35E1">
        <w:rPr>
          <w:rFonts w:ascii="Times New Roman" w:eastAsia="Times New Roman" w:hAnsi="Times New Roman"/>
          <w:sz w:val="24"/>
          <w:szCs w:val="24"/>
          <w:lang w:eastAsia="es-ES"/>
        </w:rPr>
        <w:t xml:space="preserve">. Así, en 2006, un sueco fue 2,8 veces al año de media al facultativo y un finés 4,3. La media en el club comunitario era de 5,8 y en España fue de 8,1 veces por ciudadano. </w:t>
      </w:r>
      <w:r w:rsidRPr="00DE042A">
        <w:rPr>
          <w:rFonts w:ascii="Times New Roman" w:eastAsia="Times New Roman" w:hAnsi="Times New Roman"/>
          <w:color w:val="FF0000"/>
          <w:sz w:val="24"/>
          <w:szCs w:val="24"/>
          <w:lang w:eastAsia="es-ES"/>
        </w:rPr>
        <w:t>Nuestro país también es uno de los pocos dentro de la UE que no tiene ningún tipo de copago en la sanidad pública.</w:t>
      </w:r>
    </w:p>
    <w:p w:rsidR="00757A10" w:rsidRPr="00DE042A" w:rsidRDefault="00757A10" w:rsidP="00550638">
      <w:pPr>
        <w:spacing w:after="0" w:line="240" w:lineRule="auto"/>
        <w:jc w:val="both"/>
        <w:rPr>
          <w:rFonts w:ascii="Times New Roman" w:eastAsia="Times New Roman" w:hAnsi="Times New Roman"/>
          <w:color w:val="FF0000"/>
          <w:sz w:val="24"/>
          <w:szCs w:val="24"/>
          <w:lang w:eastAsia="es-ES"/>
        </w:rPr>
      </w:pPr>
      <w:r w:rsidRPr="006D35E1">
        <w:rPr>
          <w:rFonts w:ascii="Times New Roman" w:eastAsia="Times New Roman" w:hAnsi="Times New Roman"/>
          <w:sz w:val="24"/>
          <w:szCs w:val="24"/>
          <w:lang w:eastAsia="es-ES"/>
        </w:rPr>
        <w:t xml:space="preserve">• </w:t>
      </w:r>
      <w:r w:rsidRPr="00DE042A">
        <w:rPr>
          <w:rFonts w:ascii="Times New Roman" w:eastAsia="Times New Roman" w:hAnsi="Times New Roman"/>
          <w:color w:val="FF0000"/>
          <w:sz w:val="24"/>
          <w:szCs w:val="24"/>
          <w:lang w:eastAsia="es-ES"/>
        </w:rPr>
        <w:t>En el gasto farmacéutico también los españoles están en los primeros puestos del Viejo Continente. En concreto, los 399 euros por habitante y año en medicinas sólo quedan por detrás de seis de los 25 países de la UE. Nuestro país es uno de los que tiene un copago más reducido en las farmacias.</w:t>
      </w:r>
    </w:p>
    <w:p w:rsidR="00757A10" w:rsidRPr="00DE042A" w:rsidRDefault="00757A10" w:rsidP="00550638">
      <w:pPr>
        <w:spacing w:after="0" w:line="240" w:lineRule="auto"/>
        <w:jc w:val="both"/>
        <w:rPr>
          <w:rFonts w:ascii="Times New Roman" w:eastAsia="Times New Roman" w:hAnsi="Times New Roman"/>
          <w:color w:val="FF0000"/>
          <w:sz w:val="24"/>
          <w:szCs w:val="24"/>
          <w:lang w:eastAsia="es-ES"/>
        </w:rPr>
      </w:pPr>
      <w:r w:rsidRPr="00DE042A">
        <w:rPr>
          <w:rFonts w:ascii="Times New Roman" w:eastAsia="Times New Roman" w:hAnsi="Times New Roman"/>
          <w:color w:val="FF0000"/>
          <w:sz w:val="24"/>
          <w:szCs w:val="24"/>
          <w:lang w:eastAsia="es-ES"/>
        </w:rPr>
        <w:t xml:space="preserve"> </w:t>
      </w:r>
    </w:p>
    <w:p w:rsidR="00757A10"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El futuro</w:t>
      </w:r>
    </w:p>
    <w:p w:rsidR="00757A10" w:rsidRPr="006D35E1" w:rsidRDefault="00757A10" w:rsidP="00550638">
      <w:pPr>
        <w:spacing w:after="0" w:line="240" w:lineRule="auto"/>
        <w:jc w:val="both"/>
        <w:rPr>
          <w:rFonts w:ascii="Times New Roman" w:eastAsia="Times New Roman" w:hAnsi="Times New Roman"/>
          <w:sz w:val="24"/>
          <w:szCs w:val="24"/>
          <w:lang w:eastAsia="es-ES"/>
        </w:rPr>
      </w:pP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 </w:t>
      </w:r>
      <w:r w:rsidRPr="00DE042A">
        <w:rPr>
          <w:rFonts w:ascii="Times New Roman" w:eastAsia="Times New Roman" w:hAnsi="Times New Roman"/>
          <w:color w:val="FF0000"/>
          <w:sz w:val="24"/>
          <w:szCs w:val="24"/>
          <w:lang w:eastAsia="es-ES"/>
        </w:rPr>
        <w:t>Todos los estudios coinciden en que el gasto médico por paciente tenderá a dispararse en el futuro</w:t>
      </w:r>
      <w:r w:rsidRPr="006D35E1">
        <w:rPr>
          <w:rFonts w:ascii="Times New Roman" w:eastAsia="Times New Roman" w:hAnsi="Times New Roman"/>
          <w:sz w:val="24"/>
          <w:szCs w:val="24"/>
          <w:lang w:eastAsia="es-ES"/>
        </w:rPr>
        <w:t>. En realidad, esto es una buena noticia, porque la razón de este sobrecoste es que las nuevas tecnologías permitirán que sobrevivan enfermos que ahora estarían condenados. Los tratamientos de las enfermedades más complicadas serán cada vez más efectivos, pero también mucho más caros.</w:t>
      </w:r>
    </w:p>
    <w:p w:rsidR="00757A10" w:rsidRPr="00DE042A" w:rsidRDefault="00757A10" w:rsidP="00550638">
      <w:pPr>
        <w:spacing w:after="0" w:line="240" w:lineRule="auto"/>
        <w:jc w:val="both"/>
        <w:rPr>
          <w:rFonts w:ascii="Times New Roman" w:eastAsia="Times New Roman" w:hAnsi="Times New Roman"/>
          <w:color w:val="FF0000"/>
          <w:sz w:val="24"/>
          <w:szCs w:val="24"/>
          <w:lang w:eastAsia="es-ES"/>
        </w:rPr>
      </w:pPr>
      <w:r w:rsidRPr="006D35E1">
        <w:rPr>
          <w:rFonts w:ascii="Times New Roman" w:eastAsia="Times New Roman" w:hAnsi="Times New Roman"/>
          <w:sz w:val="24"/>
          <w:szCs w:val="24"/>
          <w:lang w:eastAsia="es-ES"/>
        </w:rPr>
        <w:t xml:space="preserve">• </w:t>
      </w:r>
      <w:r w:rsidRPr="00DE042A">
        <w:rPr>
          <w:rFonts w:ascii="Times New Roman" w:eastAsia="Times New Roman" w:hAnsi="Times New Roman"/>
          <w:color w:val="FF0000"/>
          <w:sz w:val="24"/>
          <w:szCs w:val="24"/>
          <w:lang w:eastAsia="es-ES"/>
        </w:rPr>
        <w:t>A esto hay que sumarle el envejecimiento poblacional. Según nos hacemos más viejos, se multiplica exponencialmente el coste sanitario. Los estudios dicen que en el año 2025, tratar a un paciente de menos de 65 años costará unos 2.200 euros (a precios constantes de 2010). Para los que tengan entre 65 y 79, esta cantidad se multiplica por cuatro, hasta los 8.570 euros. Para los que tengan entre 80 y 94 años, el coste será de 15.000 euros (siete veces más que al paciente convencional). Y para los mayores de 95 el coste será de 28.500 euros (catorce veces más).</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r w:rsidRPr="00DE042A">
        <w:rPr>
          <w:rFonts w:ascii="Times New Roman" w:eastAsia="Times New Roman" w:hAnsi="Times New Roman"/>
          <w:color w:val="FF0000"/>
          <w:sz w:val="24"/>
          <w:szCs w:val="24"/>
          <w:lang w:eastAsia="es-ES"/>
        </w:rPr>
        <w:t>En 2050, la esperanza de vida de los españoles que cumplan los 65 años será de 24 años extra para los hombres y de 27 años extra para las mujeres.</w:t>
      </w:r>
      <w:r w:rsidRPr="006D35E1">
        <w:rPr>
          <w:rFonts w:ascii="Times New Roman" w:eastAsia="Times New Roman" w:hAnsi="Times New Roman"/>
          <w:sz w:val="24"/>
          <w:szCs w:val="24"/>
          <w:lang w:eastAsia="es-ES"/>
        </w:rPr>
        <w:t xml:space="preserve"> Según el INE, esto quiere decir que mientras que ahora mismo sólo hay 76.000 españoles de más de 95 años, en 2050 habrá más de 520.000.</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r w:rsidRPr="00DE042A">
        <w:rPr>
          <w:rFonts w:ascii="Times New Roman" w:eastAsia="Times New Roman" w:hAnsi="Times New Roman"/>
          <w:color w:val="FF0000"/>
          <w:sz w:val="24"/>
          <w:szCs w:val="24"/>
          <w:lang w:eastAsia="es-ES"/>
        </w:rPr>
        <w:t>Si multiplicamos esos 450.000 nuevos muy viejos por 28.500 euros, nos sale un coste extra de 12.500 millones de euros</w:t>
      </w:r>
      <w:r w:rsidRPr="006D35E1">
        <w:rPr>
          <w:rFonts w:ascii="Times New Roman" w:eastAsia="Times New Roman" w:hAnsi="Times New Roman"/>
          <w:sz w:val="24"/>
          <w:szCs w:val="24"/>
          <w:lang w:eastAsia="es-ES"/>
        </w:rPr>
        <w:t>. Y eso sólo teniendo en cuenta a los mayores de 95 años.</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r w:rsidRPr="00DE042A">
        <w:rPr>
          <w:rFonts w:ascii="Times New Roman" w:eastAsia="Times New Roman" w:hAnsi="Times New Roman"/>
          <w:color w:val="FF0000"/>
          <w:sz w:val="24"/>
          <w:szCs w:val="24"/>
          <w:lang w:eastAsia="es-ES"/>
        </w:rPr>
        <w:t xml:space="preserve">Pero además, lo que nos dice el último estudio de proyecciones de población de España es que en los próximos cuarenta años, caerá el número de treintañeros en un 44% aproximadamente, mientras que crecer en un 80% el número de personas con entre </w:t>
      </w:r>
      <w:r w:rsidRPr="00DE042A">
        <w:rPr>
          <w:rFonts w:ascii="Times New Roman" w:eastAsia="Times New Roman" w:hAnsi="Times New Roman"/>
          <w:color w:val="FF0000"/>
          <w:sz w:val="24"/>
          <w:szCs w:val="24"/>
          <w:lang w:eastAsia="es-ES"/>
        </w:rPr>
        <w:lastRenderedPageBreak/>
        <w:t>75 y 80 años</w:t>
      </w:r>
      <w:r w:rsidRPr="006D35E1">
        <w:rPr>
          <w:rFonts w:ascii="Times New Roman" w:eastAsia="Times New Roman" w:hAnsi="Times New Roman"/>
          <w:sz w:val="24"/>
          <w:szCs w:val="24"/>
          <w:lang w:eastAsia="es-ES"/>
        </w:rPr>
        <w:t>. Es decir, habrá menos trabajadores activos y muchos más jubilados, que demandarán, además, muchos más cuidados médicos.</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r w:rsidRPr="00DE042A">
        <w:rPr>
          <w:rFonts w:ascii="Times New Roman" w:eastAsia="Times New Roman" w:hAnsi="Times New Roman"/>
          <w:color w:val="FF0000"/>
          <w:sz w:val="24"/>
          <w:szCs w:val="24"/>
          <w:lang w:eastAsia="es-ES"/>
        </w:rPr>
        <w:t>Evidentemente, éste es un horizonte muy lejano. Queda mucho para 2050 y pueden pasar muchas cosas (para empezar, lo más probable es que seamos mucho más ricos que ahora)</w:t>
      </w:r>
      <w:r w:rsidRPr="006D35E1">
        <w:rPr>
          <w:rFonts w:ascii="Times New Roman" w:eastAsia="Times New Roman" w:hAnsi="Times New Roman"/>
          <w:sz w:val="24"/>
          <w:szCs w:val="24"/>
          <w:lang w:eastAsia="es-ES"/>
        </w:rPr>
        <w:t>. Pero estas cifras sí sirven para enseñarnos la tendencia: durante las próximas cuatro décadas, caerá de forma constante el número de adultos jóvenes (nuevos trabajadores), mientras crece el de miembros de la tercera edad (nuevos jubilados).</w:t>
      </w:r>
    </w:p>
    <w:p w:rsidR="00757A10" w:rsidRPr="006D35E1"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 </w:t>
      </w:r>
    </w:p>
    <w:p w:rsidR="00757A10" w:rsidRDefault="00757A10" w:rsidP="00550638">
      <w:pPr>
        <w:spacing w:after="0" w:line="240" w:lineRule="auto"/>
        <w:jc w:val="both"/>
        <w:rPr>
          <w:rFonts w:ascii="Times New Roman" w:eastAsia="Times New Roman" w:hAnsi="Times New Roman"/>
          <w:sz w:val="24"/>
          <w:szCs w:val="24"/>
          <w:lang w:eastAsia="es-ES"/>
        </w:rPr>
      </w:pPr>
      <w:r w:rsidRPr="006D35E1">
        <w:rPr>
          <w:rFonts w:ascii="Times New Roman" w:eastAsia="Times New Roman" w:hAnsi="Times New Roman"/>
          <w:sz w:val="24"/>
          <w:szCs w:val="24"/>
          <w:lang w:eastAsia="es-ES"/>
        </w:rPr>
        <w:t xml:space="preserve">Ya hemos visto que la tendencia de gastos en sanidad en la última década ha sido creciente y a un ritmo bastante elevado. Hay que recordar que España sufrió una Guerra Civil entre 1936 y 1939. Eso hizo que hubiera pocos nacimientos entre 1936 y 1950. Por eso, en la última década, el crecimiento en el número de personas ancianas no ha sido tan fuerte como podría esperarse de una evolución demográfica normal. Pero </w:t>
      </w:r>
      <w:r w:rsidRPr="00DE042A">
        <w:rPr>
          <w:rFonts w:ascii="Times New Roman" w:eastAsia="Times New Roman" w:hAnsi="Times New Roman"/>
          <w:sz w:val="24"/>
          <w:szCs w:val="24"/>
          <w:u w:val="single"/>
          <w:lang w:eastAsia="es-ES"/>
        </w:rPr>
        <w:t>según vayan llegando a los sesenta años los nacidos en los 50 y 60 (y para eso falta muy poco) y según vayan incorporándose a nuestros hospitales las nuevas tecnologías, hasta hace poco casi ciencia ficción, los costes del sistema comenzarán a dispararse</w:t>
      </w:r>
      <w:r w:rsidRPr="006D35E1">
        <w:rPr>
          <w:rFonts w:ascii="Times New Roman" w:eastAsia="Times New Roman" w:hAnsi="Times New Roman"/>
          <w:sz w:val="24"/>
          <w:szCs w:val="24"/>
          <w:lang w:eastAsia="es-ES"/>
        </w:rPr>
        <w:t>. Sobre este tablero de juego es sobre el que se moverán las fichas. Ninguna reforma del actual sistema debería ignorarlo.</w:t>
      </w:r>
    </w:p>
    <w:p w:rsidR="00757A10" w:rsidRDefault="00757A10" w:rsidP="00550638">
      <w:pPr>
        <w:spacing w:line="240" w:lineRule="auto"/>
        <w:jc w:val="both"/>
        <w:rPr>
          <w:rFonts w:ascii="Times New Roman" w:hAnsi="Times New Roman"/>
          <w:sz w:val="24"/>
          <w:szCs w:val="24"/>
        </w:rPr>
      </w:pPr>
    </w:p>
    <w:p w:rsidR="00757A10" w:rsidRDefault="00757A10"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0E5F75">
        <w:rPr>
          <w:rFonts w:ascii="Times New Roman" w:eastAsia="Times New Roman" w:hAnsi="Times New Roman"/>
          <w:sz w:val="24"/>
          <w:szCs w:val="24"/>
          <w:u w:val="single"/>
          <w:lang w:eastAsia="es-ES"/>
        </w:rPr>
        <w:t>Aval a la gestión privada de los hospitales: 27% de ahorro y 37% más de productividad</w:t>
      </w:r>
      <w:r>
        <w:rPr>
          <w:rFonts w:ascii="Times New Roman" w:eastAsia="Times New Roman" w:hAnsi="Times New Roman"/>
          <w:sz w:val="24"/>
          <w:szCs w:val="24"/>
          <w:lang w:eastAsia="es-ES"/>
        </w:rPr>
        <w:t xml:space="preserve"> (El Economista - </w:t>
      </w:r>
      <w:r w:rsidRPr="000E5F75">
        <w:rPr>
          <w:rFonts w:ascii="Times New Roman" w:eastAsia="Times New Roman" w:hAnsi="Times New Roman"/>
          <w:b/>
          <w:sz w:val="24"/>
          <w:szCs w:val="24"/>
          <w:lang w:eastAsia="es-ES"/>
        </w:rPr>
        <w:t>6/12/12</w:t>
      </w:r>
      <w:r>
        <w:rPr>
          <w:rFonts w:ascii="Times New Roman" w:eastAsia="Times New Roman" w:hAnsi="Times New Roman"/>
          <w:sz w:val="24"/>
          <w:szCs w:val="24"/>
          <w:lang w:eastAsia="es-ES"/>
        </w:rPr>
        <w:t>)                                          Lectura recomendada</w:t>
      </w:r>
    </w:p>
    <w:p w:rsidR="00757A10" w:rsidRPr="00A321B5" w:rsidRDefault="00757A10" w:rsidP="00550638">
      <w:pPr>
        <w:pStyle w:val="NormalWeb"/>
        <w:jc w:val="both"/>
        <w:rPr>
          <w:color w:val="FF0000"/>
          <w:u w:val="single"/>
        </w:rPr>
      </w:pPr>
      <w:r w:rsidRPr="00A321B5">
        <w:rPr>
          <w:color w:val="FF0000"/>
          <w:u w:val="single"/>
        </w:rPr>
        <w:t xml:space="preserve">Datos frente a consignas y clichés. Los hospitales de gestión empresarial son un 37 por ciento más productivos que los centros administrados por el sector público y un 27 por ciento más baratos con igual calidad asistencial. Así lo demuestra un exhaustivo informe que publica hoy </w:t>
      </w:r>
      <w:r w:rsidRPr="00302D7F">
        <w:rPr>
          <w:i/>
          <w:color w:val="FF0000"/>
          <w:u w:val="single"/>
        </w:rPr>
        <w:t>elEconomista Sanidad</w:t>
      </w:r>
      <w:r w:rsidRPr="00A321B5">
        <w:rPr>
          <w:color w:val="FF0000"/>
          <w:u w:val="single"/>
        </w:rPr>
        <w:t xml:space="preserve"> -la revista de salud y finanzas de </w:t>
      </w:r>
      <w:r w:rsidRPr="00302D7F">
        <w:rPr>
          <w:i/>
          <w:color w:val="FF0000"/>
          <w:u w:val="single"/>
        </w:rPr>
        <w:t>El Economista</w:t>
      </w:r>
      <w:r w:rsidRPr="00A321B5">
        <w:rPr>
          <w:color w:val="FF0000"/>
          <w:u w:val="single"/>
        </w:rPr>
        <w:t>-, realizado por la consultora independiente Iasist al comparar los resultados de la gestión hospitalaria pública y privada en 78 hospitales generales de 15 comunidades autónomas con datos de 2010, que echan por tierra muchos de los tópicos y consignas que distorsionan el actual debate sobre la sanidad en España.</w:t>
      </w:r>
    </w:p>
    <w:p w:rsidR="00757A10" w:rsidRPr="000E5F75" w:rsidRDefault="00757A10" w:rsidP="00550638">
      <w:pPr>
        <w:pStyle w:val="NormalWeb"/>
        <w:jc w:val="both"/>
      </w:pPr>
      <w:r w:rsidRPr="000E5F75">
        <w:t xml:space="preserve">El momento no puede ser más oportuno, cuando los sindicatos y buena parte de los profesionales sanitarios intentan frenar el plan impulsado por la Comunidad de Madrid de externalizar la gestión sanitaria de seis hospitales públicos. </w:t>
      </w:r>
    </w:p>
    <w:p w:rsidR="00757A10" w:rsidRPr="000E5F75" w:rsidRDefault="00757A10" w:rsidP="00550638">
      <w:pPr>
        <w:pStyle w:val="NormalWeb"/>
        <w:jc w:val="both"/>
      </w:pPr>
      <w:r w:rsidRPr="000E5F75">
        <w:t xml:space="preserve">El resultado final lo expone la propia directora general de Iasist, la doctora Mercè Casas. </w:t>
      </w:r>
      <w:r w:rsidR="00396693">
        <w:rPr>
          <w:b/>
          <w:bCs/>
          <w:u w:val="single"/>
        </w:rPr>
        <w:t>“</w:t>
      </w:r>
      <w:r w:rsidRPr="00A321B5">
        <w:rPr>
          <w:b/>
          <w:bCs/>
          <w:u w:val="single"/>
        </w:rPr>
        <w:t>Los hospitales de gestión empresarial tienen una productividad un 37 por ciento superior y un ahorro del 27 por ciento respecto a los centros de gestión directa administrativa</w:t>
      </w:r>
      <w:r w:rsidR="00396693">
        <w:rPr>
          <w:u w:val="single"/>
        </w:rPr>
        <w:t>”</w:t>
      </w:r>
      <w:r w:rsidRPr="00A321B5">
        <w:rPr>
          <w:u w:val="single"/>
        </w:rPr>
        <w:t>,</w:t>
      </w:r>
      <w:r w:rsidRPr="000E5F75">
        <w:t xml:space="preserve"> sostiene esta experta de una consultora que, desde el año 2000, analiza la actividad clínica y económica de los hospitales</w:t>
      </w:r>
      <w:r w:rsidR="00C16427">
        <w:t xml:space="preserve"> españoles para establecer un ra</w:t>
      </w:r>
      <w:r w:rsidRPr="000E5F75">
        <w:t>nking de centros, que es una referencia consolidada en el sector.</w:t>
      </w:r>
    </w:p>
    <w:p w:rsidR="00757A10" w:rsidRPr="000E5F75" w:rsidRDefault="00757A10" w:rsidP="00550638">
      <w:pPr>
        <w:pStyle w:val="NormalWeb"/>
        <w:jc w:val="both"/>
      </w:pPr>
      <w:r w:rsidRPr="000E5F75">
        <w:t>El estudio no deja lugar a la ideología y pone la lupa en la estructura física y los recursos humanos de los centros que se someten a la prueba, su actividad, e indicadores de calidad asistencial, como la mortalidad, las complicaciones y las readmisiones. También analiza la eficiencia hospitalaria, medida en índice de estancias, y la económica, en coste de producción, productividad y coste de aprovisionamientos.</w:t>
      </w:r>
    </w:p>
    <w:p w:rsidR="00757A10" w:rsidRPr="000E5F75" w:rsidRDefault="00757A10" w:rsidP="00550638">
      <w:pPr>
        <w:pStyle w:val="NormalWeb"/>
        <w:jc w:val="both"/>
      </w:pPr>
      <w:r w:rsidRPr="000E5F75">
        <w:lastRenderedPageBreak/>
        <w:t>Las diferencias en el desempeño económico de los centros privados, más pequeños y con menos camas y plantillas que la muestra de centros públicos, no afectan, además, a su calidad asistencial, que es similar en ambos modelos de gestión, asegura, tratando a pacientes de edad y c</w:t>
      </w:r>
      <w:r>
        <w:t>omplejidad parecidas</w:t>
      </w:r>
      <w:r w:rsidRPr="000E5F75">
        <w:t>. Las plantillas de los hospitales de gestión pública tampoco son muy superiores al modelo empresarial, con 4,7 trabajadores por cama frente a 4,4 en el privado. La tasa de mortal</w:t>
      </w:r>
      <w:r>
        <w:t xml:space="preserve">idad, las complicaciones o las </w:t>
      </w:r>
      <w:r w:rsidRPr="000E5F75">
        <w:t>admisiones son casi idénticas, mientras que la estancia media de días en el centro es de 5,47 días en los centros de gestión privada, frente a los 6,17 días de los públicos. Esta desviación tendría un impacto económico para los 41 centros públicos de 477 millones de euros al año, según Iasist.</w:t>
      </w:r>
    </w:p>
    <w:p w:rsidR="00757A10" w:rsidRPr="00995959" w:rsidRDefault="00757A10" w:rsidP="00550638">
      <w:pPr>
        <w:pStyle w:val="Ttulo2"/>
        <w:spacing w:line="240" w:lineRule="auto"/>
        <w:jc w:val="both"/>
        <w:rPr>
          <w:rFonts w:ascii="Times New Roman" w:hAnsi="Times New Roman" w:cs="Times New Roman"/>
          <w:b w:val="0"/>
          <w:color w:val="auto"/>
          <w:sz w:val="24"/>
          <w:szCs w:val="24"/>
        </w:rPr>
      </w:pPr>
      <w:r w:rsidRPr="00995959">
        <w:rPr>
          <w:rFonts w:ascii="Times New Roman" w:hAnsi="Times New Roman" w:cs="Times New Roman"/>
          <w:b w:val="0"/>
          <w:color w:val="auto"/>
          <w:sz w:val="24"/>
          <w:szCs w:val="24"/>
        </w:rPr>
        <w:t>Segundo informe</w:t>
      </w:r>
    </w:p>
    <w:p w:rsidR="00757A10" w:rsidRPr="00214357" w:rsidRDefault="00757A10" w:rsidP="00550638">
      <w:pPr>
        <w:pStyle w:val="NormalWeb"/>
        <w:jc w:val="both"/>
        <w:rPr>
          <w:u w:val="single"/>
        </w:rPr>
      </w:pPr>
      <w:r w:rsidRPr="000E5F75">
        <w:t xml:space="preserve">El informe es el segundo que realiza la consultora en esta línea y viene a cuestionar la supuesta falta de información sobre la evaluación de los costes de los dos modelos de gestión. Los 37 centros de gestión empresarial analizados por Iasist incluyen a empresas públicas, consorcios, fundaciones o concesiones administrativas. </w:t>
      </w:r>
      <w:r w:rsidRPr="00214357">
        <w:rPr>
          <w:u w:val="single"/>
        </w:rPr>
        <w:t xml:space="preserve">Se demuestra también un uso más eficiente de las camas, así como un mayor empleo de la cirugía ambulatoria (71,8 por ciento frente al 65 por ciento). </w:t>
      </w:r>
    </w:p>
    <w:p w:rsidR="00757A10" w:rsidRPr="000E5F75" w:rsidRDefault="00757A10" w:rsidP="00550638">
      <w:pPr>
        <w:pStyle w:val="NormalWeb"/>
        <w:jc w:val="both"/>
      </w:pPr>
      <w:r w:rsidRPr="00214357">
        <w:rPr>
          <w:color w:val="FF0000"/>
          <w:u w:val="single"/>
        </w:rPr>
        <w:t>Una de las claves económicas del modelo de gestión hospitalaria privada radica en su mayor productividad. Su coste por unidad de producción del personal a tiempo completo es un 37 por ciento inferior que los centros de gestión directa pública.</w:t>
      </w:r>
      <w:r w:rsidR="00D402E5">
        <w:t xml:space="preserve"> “</w:t>
      </w:r>
      <w:r w:rsidRPr="000E5F75">
        <w:t>Parece ser que la forma de gestión y las disposición de unos sistemas organizativos más autónomos y flexibles favorecen esta mayor eficiencia y productividad, tanto de los procesos clínicos como de los servicios no sanitari</w:t>
      </w:r>
      <w:r w:rsidR="00D402E5">
        <w:t>os”</w:t>
      </w:r>
      <w:r w:rsidRPr="000E5F75">
        <w:t xml:space="preserve">, sostiene Mercè Casas. </w:t>
      </w:r>
    </w:p>
    <w:p w:rsidR="00757A10" w:rsidRPr="00396693" w:rsidRDefault="00757A10" w:rsidP="00550638">
      <w:pPr>
        <w:pStyle w:val="NormalWeb"/>
        <w:jc w:val="both"/>
        <w:rPr>
          <w:color w:val="FF0000"/>
          <w:u w:val="single"/>
        </w:rPr>
      </w:pPr>
      <w:r w:rsidRPr="00396693">
        <w:rPr>
          <w:bCs/>
          <w:color w:val="FF0000"/>
          <w:u w:val="single"/>
        </w:rPr>
        <w:t>Las plantillas de profesionales son más productivas porque tratan con menos días los ingresos hospitalarios y con resultados de calidad similares, según resalta el estudio.</w:t>
      </w:r>
    </w:p>
    <w:p w:rsidR="00757A10"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Cada cama “privatizada”</w:t>
      </w:r>
      <w:r w:rsidRPr="00BE340D">
        <w:rPr>
          <w:rFonts w:ascii="Times New Roman" w:eastAsia="Times New Roman" w:hAnsi="Times New Roman"/>
          <w:sz w:val="24"/>
          <w:szCs w:val="24"/>
          <w:u w:val="single"/>
          <w:lang w:eastAsia="es-ES"/>
        </w:rPr>
        <w:t xml:space="preserve"> le cuesta a Madrid 665 euros más que una pública</w:t>
      </w:r>
      <w:r>
        <w:rPr>
          <w:rFonts w:ascii="Times New Roman" w:eastAsia="Times New Roman" w:hAnsi="Times New Roman"/>
          <w:sz w:val="24"/>
          <w:szCs w:val="24"/>
          <w:lang w:eastAsia="es-ES"/>
        </w:rPr>
        <w:t xml:space="preserve"> (El Confidencial - </w:t>
      </w:r>
      <w:r w:rsidRPr="00BE340D">
        <w:rPr>
          <w:rFonts w:ascii="Times New Roman" w:eastAsia="Times New Roman" w:hAnsi="Times New Roman"/>
          <w:b/>
          <w:sz w:val="24"/>
          <w:szCs w:val="24"/>
          <w:lang w:eastAsia="es-ES"/>
        </w:rPr>
        <w:t>9/12/12</w:t>
      </w:r>
      <w:r>
        <w:rPr>
          <w:rFonts w:ascii="Times New Roman" w:eastAsia="Times New Roman" w:hAnsi="Times New Roman"/>
          <w:sz w:val="24"/>
          <w:szCs w:val="24"/>
          <w:lang w:eastAsia="es-ES"/>
        </w:rPr>
        <w:t>)</w:t>
      </w:r>
    </w:p>
    <w:p w:rsidR="00757A10"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BE340D">
        <w:rPr>
          <w:rFonts w:ascii="Times New Roman" w:eastAsia="Times New Roman" w:hAnsi="Times New Roman"/>
          <w:sz w:val="24"/>
          <w:szCs w:val="24"/>
          <w:lang w:eastAsia="es-ES"/>
        </w:rPr>
        <w:t>Rubén Díaz Caviedes</w:t>
      </w:r>
      <w:r>
        <w:rPr>
          <w:rFonts w:ascii="Times New Roman" w:eastAsia="Times New Roman" w:hAnsi="Times New Roman"/>
          <w:sz w:val="24"/>
          <w:szCs w:val="24"/>
          <w:lang w:eastAsia="es-ES"/>
        </w:rPr>
        <w:t>)</w:t>
      </w:r>
      <w:r w:rsidR="006A7314">
        <w:rPr>
          <w:rFonts w:ascii="Times New Roman" w:eastAsia="Times New Roman" w:hAnsi="Times New Roman"/>
          <w:sz w:val="24"/>
          <w:szCs w:val="24"/>
          <w:lang w:eastAsia="es-ES"/>
        </w:rPr>
        <w:t xml:space="preserve">                                                               Lectura recomendada</w:t>
      </w:r>
    </w:p>
    <w:p w:rsidR="00757A10" w:rsidRPr="008B4BA7" w:rsidRDefault="00757A10"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BE340D">
        <w:rPr>
          <w:rFonts w:ascii="Times New Roman" w:eastAsia="Times New Roman" w:hAnsi="Times New Roman"/>
          <w:sz w:val="24"/>
          <w:szCs w:val="24"/>
          <w:lang w:eastAsia="es-ES"/>
        </w:rPr>
        <w:t xml:space="preserve">La marea blanca vuelve este domingo a su cauce en las calles de la capital y lo hace decidida ahora a hablarle al consejero de Sanidad madrileño en su mismo idioma. Si en el discurso de </w:t>
      </w:r>
      <w:r w:rsidRPr="008B4BA7">
        <w:rPr>
          <w:rFonts w:ascii="Times New Roman" w:eastAsia="Times New Roman" w:hAnsi="Times New Roman"/>
          <w:bCs/>
          <w:sz w:val="24"/>
          <w:szCs w:val="24"/>
          <w:lang w:eastAsia="es-ES"/>
        </w:rPr>
        <w:t>Javier Fernández-Lasquetty</w:t>
      </w:r>
      <w:r w:rsidRPr="00BE340D">
        <w:rPr>
          <w:rFonts w:ascii="Times New Roman" w:eastAsia="Times New Roman" w:hAnsi="Times New Roman"/>
          <w:sz w:val="24"/>
          <w:szCs w:val="24"/>
          <w:lang w:eastAsia="es-ES"/>
        </w:rPr>
        <w:t xml:space="preserve"> </w:t>
      </w:r>
      <w:hyperlink r:id="rId442" w:history="1">
        <w:r w:rsidRPr="00396693">
          <w:rPr>
            <w:rFonts w:ascii="Times New Roman" w:eastAsia="Times New Roman" w:hAnsi="Times New Roman"/>
            <w:sz w:val="24"/>
            <w:szCs w:val="24"/>
            <w:u w:val="single"/>
            <w:lang w:eastAsia="es-ES"/>
          </w:rPr>
          <w:t>no existe</w:t>
        </w:r>
      </w:hyperlink>
      <w:r w:rsidRPr="00396693">
        <w:rPr>
          <w:rFonts w:ascii="Times New Roman" w:eastAsia="Times New Roman" w:hAnsi="Times New Roman"/>
          <w:sz w:val="24"/>
          <w:szCs w:val="24"/>
          <w:lang w:eastAsia="es-ES"/>
        </w:rPr>
        <w:t xml:space="preserve"> la privatización, sino la adopción de “fórmulas más eficientes que c</w:t>
      </w:r>
      <w:r w:rsidR="007C55D9">
        <w:rPr>
          <w:rFonts w:ascii="Times New Roman" w:eastAsia="Times New Roman" w:hAnsi="Times New Roman"/>
          <w:sz w:val="24"/>
          <w:szCs w:val="24"/>
          <w:lang w:eastAsia="es-ES"/>
        </w:rPr>
        <w:t>onsuman menos recursos públicos”</w:t>
      </w:r>
      <w:r w:rsidRPr="00396693">
        <w:rPr>
          <w:rFonts w:ascii="Times New Roman" w:eastAsia="Times New Roman" w:hAnsi="Times New Roman"/>
          <w:sz w:val="24"/>
          <w:szCs w:val="24"/>
          <w:lang w:eastAsia="es-ES"/>
        </w:rPr>
        <w:t xml:space="preserve">, los profesionales sanitarios tienen algo que replicarle: </w:t>
      </w:r>
      <w:r w:rsidRPr="00396693">
        <w:rPr>
          <w:rFonts w:ascii="Times New Roman" w:eastAsia="Times New Roman" w:hAnsi="Times New Roman"/>
          <w:sz w:val="24"/>
          <w:szCs w:val="24"/>
          <w:u w:val="single"/>
          <w:lang w:eastAsia="es-ES"/>
        </w:rPr>
        <w:t xml:space="preserve">las camas privatizadas de los hospitales de Madrid </w:t>
      </w:r>
      <w:r w:rsidRPr="008B4BA7">
        <w:rPr>
          <w:rFonts w:ascii="Times New Roman" w:eastAsia="Times New Roman" w:hAnsi="Times New Roman"/>
          <w:bCs/>
          <w:sz w:val="24"/>
          <w:szCs w:val="24"/>
          <w:u w:val="single"/>
          <w:lang w:eastAsia="es-ES"/>
        </w:rPr>
        <w:t>resultan más caras</w:t>
      </w:r>
      <w:r w:rsidRPr="008B4BA7">
        <w:rPr>
          <w:rFonts w:ascii="Times New Roman" w:eastAsia="Times New Roman" w:hAnsi="Times New Roman"/>
          <w:sz w:val="24"/>
          <w:szCs w:val="24"/>
          <w:u w:val="single"/>
          <w:lang w:eastAsia="es-ES"/>
        </w:rPr>
        <w:t xml:space="preserve"> que las públicas.</w:t>
      </w:r>
    </w:p>
    <w:p w:rsidR="00757A10" w:rsidRPr="008B4BA7" w:rsidRDefault="00757A10"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396693">
        <w:rPr>
          <w:rFonts w:ascii="Times New Roman" w:eastAsia="Times New Roman" w:hAnsi="Times New Roman"/>
          <w:sz w:val="24"/>
          <w:szCs w:val="24"/>
          <w:u w:val="single"/>
          <w:lang w:eastAsia="es-ES"/>
        </w:rPr>
        <w:t xml:space="preserve">Es lo que demuestra el </w:t>
      </w:r>
      <w:hyperlink r:id="rId443" w:history="1">
        <w:r w:rsidRPr="00396693">
          <w:rPr>
            <w:rFonts w:ascii="Times New Roman" w:eastAsia="Times New Roman" w:hAnsi="Times New Roman"/>
            <w:sz w:val="24"/>
            <w:szCs w:val="24"/>
            <w:u w:val="single"/>
            <w:lang w:eastAsia="es-ES"/>
          </w:rPr>
          <w:t>informe publicado esta semana</w:t>
        </w:r>
      </w:hyperlink>
      <w:r w:rsidRPr="00473654">
        <w:rPr>
          <w:rFonts w:ascii="Times New Roman" w:eastAsia="Times New Roman" w:hAnsi="Times New Roman"/>
          <w:sz w:val="24"/>
          <w:szCs w:val="24"/>
          <w:u w:val="single"/>
          <w:lang w:eastAsia="es-ES"/>
        </w:rPr>
        <w:t xml:space="preserve"> por el sindicato CSIT Unión Profesional, el mayoritario entre los funcionarios, que analiza los presupuestos de la comunidad para 2012 y concluye que costear una cama en los hospitales enteramente públicos le sale al contribuyente por 955 euros diarios, </w:t>
      </w:r>
      <w:r w:rsidRPr="008B4BA7">
        <w:rPr>
          <w:rFonts w:ascii="Times New Roman" w:eastAsia="Times New Roman" w:hAnsi="Times New Roman"/>
          <w:bCs/>
          <w:sz w:val="24"/>
          <w:szCs w:val="24"/>
          <w:u w:val="single"/>
          <w:lang w:eastAsia="es-ES"/>
        </w:rPr>
        <w:t>un 74% más barato que los 1.660 que cuesta mantenerla en los hospitales donde la gestión sanitaria está privatizada</w:t>
      </w:r>
      <w:r w:rsidRPr="008B4BA7">
        <w:rPr>
          <w:rFonts w:ascii="Times New Roman" w:eastAsia="Times New Roman" w:hAnsi="Times New Roman"/>
          <w:sz w:val="24"/>
          <w:szCs w:val="24"/>
          <w:u w:val="single"/>
          <w:lang w:eastAsia="es-ES"/>
        </w:rPr>
        <w:t xml:space="preserve">. </w:t>
      </w:r>
    </w:p>
    <w:p w:rsidR="00757A10" w:rsidRPr="008B4BA7"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BE340D">
        <w:rPr>
          <w:rFonts w:ascii="Times New Roman" w:eastAsia="Times New Roman" w:hAnsi="Times New Roman"/>
          <w:sz w:val="24"/>
          <w:szCs w:val="24"/>
          <w:lang w:eastAsia="es-ES"/>
        </w:rPr>
        <w:t>Basta con contrastar los presupuestos de uno y otro modelo. La Administración asigna a los hospitales de ser</w:t>
      </w:r>
      <w:r w:rsidR="00396693">
        <w:rPr>
          <w:rFonts w:ascii="Times New Roman" w:eastAsia="Times New Roman" w:hAnsi="Times New Roman"/>
          <w:sz w:val="24"/>
          <w:szCs w:val="24"/>
          <w:lang w:eastAsia="es-ES"/>
        </w:rPr>
        <w:t>vicios sanitarios privatizados -</w:t>
      </w:r>
      <w:r w:rsidRPr="00BE340D">
        <w:rPr>
          <w:rFonts w:ascii="Times New Roman" w:eastAsia="Times New Roman" w:hAnsi="Times New Roman"/>
          <w:sz w:val="24"/>
          <w:szCs w:val="24"/>
          <w:lang w:eastAsia="es-ES"/>
        </w:rPr>
        <w:t xml:space="preserve">el Infanta Elena de Valdemoro, el de </w:t>
      </w:r>
      <w:r w:rsidRPr="00BE340D">
        <w:rPr>
          <w:rFonts w:ascii="Times New Roman" w:eastAsia="Times New Roman" w:hAnsi="Times New Roman"/>
          <w:sz w:val="24"/>
          <w:szCs w:val="24"/>
          <w:lang w:eastAsia="es-ES"/>
        </w:rPr>
        <w:lastRenderedPageBreak/>
        <w:t>Torrejón de Ardoz, el Nuevo Mósto</w:t>
      </w:r>
      <w:r w:rsidR="00396693">
        <w:rPr>
          <w:rFonts w:ascii="Times New Roman" w:eastAsia="Times New Roman" w:hAnsi="Times New Roman"/>
          <w:sz w:val="24"/>
          <w:szCs w:val="24"/>
          <w:lang w:eastAsia="es-ES"/>
        </w:rPr>
        <w:t>les y la Fundación Jiménez Díaz-</w:t>
      </w:r>
      <w:r w:rsidRPr="00BE340D">
        <w:rPr>
          <w:rFonts w:ascii="Times New Roman" w:eastAsia="Times New Roman" w:hAnsi="Times New Roman"/>
          <w:sz w:val="24"/>
          <w:szCs w:val="24"/>
          <w:lang w:eastAsia="es-ES"/>
        </w:rPr>
        <w:t xml:space="preserve"> </w:t>
      </w:r>
      <w:r w:rsidRPr="008B4BA7">
        <w:rPr>
          <w:rFonts w:ascii="Times New Roman" w:eastAsia="Times New Roman" w:hAnsi="Times New Roman"/>
          <w:bCs/>
          <w:sz w:val="24"/>
          <w:szCs w:val="24"/>
          <w:lang w:eastAsia="es-ES"/>
        </w:rPr>
        <w:t>una cantidad de 553.820.728 euros anuales para mantener 914 camas</w:t>
      </w:r>
      <w:r w:rsidRPr="00BE340D">
        <w:rPr>
          <w:rFonts w:ascii="Times New Roman" w:eastAsia="Times New Roman" w:hAnsi="Times New Roman"/>
          <w:b/>
          <w:bCs/>
          <w:sz w:val="24"/>
          <w:szCs w:val="24"/>
          <w:lang w:eastAsia="es-ES"/>
        </w:rPr>
        <w:t xml:space="preserve"> </w:t>
      </w:r>
      <w:r w:rsidRPr="00BE340D">
        <w:rPr>
          <w:rFonts w:ascii="Times New Roman" w:eastAsia="Times New Roman" w:hAnsi="Times New Roman"/>
          <w:sz w:val="24"/>
          <w:szCs w:val="24"/>
          <w:lang w:eastAsia="es-ES"/>
        </w:rPr>
        <w:t xml:space="preserve">funcionantes y atender a una población de 820.000 personas. Los hospitales públicos tradicionales de la región, por el contrario, reciben un volumen de </w:t>
      </w:r>
      <w:r w:rsidRPr="008B4BA7">
        <w:rPr>
          <w:rFonts w:ascii="Times New Roman" w:eastAsia="Times New Roman" w:hAnsi="Times New Roman"/>
          <w:bCs/>
          <w:sz w:val="24"/>
          <w:szCs w:val="24"/>
          <w:lang w:eastAsia="es-ES"/>
        </w:rPr>
        <w:t>2.792.531.561 euros anuales para atender las necesidades de salud de 4.201.169 personas y una oferta de 8.010 camas</w:t>
      </w:r>
      <w:r w:rsidRPr="00BE340D">
        <w:rPr>
          <w:rFonts w:ascii="Times New Roman" w:eastAsia="Times New Roman" w:hAnsi="Times New Roman"/>
          <w:sz w:val="24"/>
          <w:szCs w:val="24"/>
          <w:lang w:eastAsia="es-ES"/>
        </w:rPr>
        <w:t xml:space="preserve"> funcionantes. Es decir; cada plaza hospitalaria le cuesta a la Comunidad 665 euros diarios más si su gestión está en manos privadas. Al año paga </w:t>
      </w:r>
      <w:r w:rsidRPr="008B4BA7">
        <w:rPr>
          <w:rFonts w:ascii="Times New Roman" w:eastAsia="Times New Roman" w:hAnsi="Times New Roman"/>
          <w:bCs/>
          <w:sz w:val="24"/>
          <w:szCs w:val="24"/>
          <w:lang w:eastAsia="es-ES"/>
        </w:rPr>
        <w:t>256.000 euros extra por cada una de ellas.</w:t>
      </w:r>
    </w:p>
    <w:p w:rsidR="00757A10" w:rsidRPr="00BE340D"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BE340D">
        <w:rPr>
          <w:rFonts w:ascii="Times New Roman" w:eastAsia="Times New Roman" w:hAnsi="Times New Roman"/>
          <w:sz w:val="24"/>
          <w:szCs w:val="24"/>
          <w:lang w:eastAsia="es-ES"/>
        </w:rPr>
        <w:t>L</w:t>
      </w:r>
      <w:r w:rsidR="00396693">
        <w:rPr>
          <w:rFonts w:ascii="Times New Roman" w:eastAsia="Times New Roman" w:hAnsi="Times New Roman"/>
          <w:sz w:val="24"/>
          <w:szCs w:val="24"/>
          <w:lang w:eastAsia="es-ES"/>
        </w:rPr>
        <w:t>a elaboración de este análisis “de coste y eficiencia”</w:t>
      </w:r>
      <w:r w:rsidRPr="00BE340D">
        <w:rPr>
          <w:rFonts w:ascii="Times New Roman" w:eastAsia="Times New Roman" w:hAnsi="Times New Roman"/>
          <w:sz w:val="24"/>
          <w:szCs w:val="24"/>
          <w:lang w:eastAsia="es-ES"/>
        </w:rPr>
        <w:t xml:space="preserve">, en palabras del portavoz del Gabinete de Estudios de CSIT y responsable de la coordinación del informe, </w:t>
      </w:r>
      <w:r w:rsidRPr="008B4BA7">
        <w:rPr>
          <w:rFonts w:ascii="Times New Roman" w:eastAsia="Times New Roman" w:hAnsi="Times New Roman"/>
          <w:bCs/>
          <w:sz w:val="24"/>
          <w:szCs w:val="24"/>
          <w:lang w:eastAsia="es-ES"/>
        </w:rPr>
        <w:t>Juan Luis Martín</w:t>
      </w:r>
      <w:r w:rsidR="00396693" w:rsidRPr="008B4BA7">
        <w:rPr>
          <w:rFonts w:ascii="Times New Roman" w:eastAsia="Times New Roman" w:hAnsi="Times New Roman"/>
          <w:sz w:val="24"/>
          <w:szCs w:val="24"/>
          <w:lang w:eastAsia="es-ES"/>
        </w:rPr>
        <w:t>,</w:t>
      </w:r>
      <w:r w:rsidR="00396693">
        <w:rPr>
          <w:rFonts w:ascii="Times New Roman" w:eastAsia="Times New Roman" w:hAnsi="Times New Roman"/>
          <w:sz w:val="24"/>
          <w:szCs w:val="24"/>
          <w:lang w:eastAsia="es-ES"/>
        </w:rPr>
        <w:t xml:space="preserve"> persigue un fin sencillo: “</w:t>
      </w:r>
      <w:r w:rsidRPr="00BE340D">
        <w:rPr>
          <w:rFonts w:ascii="Times New Roman" w:eastAsia="Times New Roman" w:hAnsi="Times New Roman"/>
          <w:sz w:val="24"/>
          <w:szCs w:val="24"/>
          <w:lang w:eastAsia="es-ES"/>
        </w:rPr>
        <w:t xml:space="preserve">Comprobar si la sanidad privada es más barata para el contribuyente, como repite el Gobierno </w:t>
      </w:r>
      <w:r w:rsidRPr="008B4BA7">
        <w:rPr>
          <w:rFonts w:ascii="Times New Roman" w:eastAsia="Times New Roman" w:hAnsi="Times New Roman"/>
          <w:bCs/>
          <w:sz w:val="24"/>
          <w:szCs w:val="24"/>
          <w:lang w:eastAsia="es-ES"/>
        </w:rPr>
        <w:t>a falta de estudios previos que avalen su decisión</w:t>
      </w:r>
      <w:r w:rsidR="00396693">
        <w:rPr>
          <w:rFonts w:ascii="Times New Roman" w:eastAsia="Times New Roman" w:hAnsi="Times New Roman"/>
          <w:sz w:val="24"/>
          <w:szCs w:val="24"/>
          <w:lang w:eastAsia="es-ES"/>
        </w:rPr>
        <w:t xml:space="preserve"> de privatizar”</w:t>
      </w:r>
      <w:r w:rsidRPr="00BE340D">
        <w:rPr>
          <w:rFonts w:ascii="Times New Roman" w:eastAsia="Times New Roman" w:hAnsi="Times New Roman"/>
          <w:sz w:val="24"/>
          <w:szCs w:val="24"/>
          <w:lang w:eastAsia="es-ES"/>
        </w:rPr>
        <w:t xml:space="preserve">. Y las cifras globales, </w:t>
      </w:r>
      <w:r w:rsidR="00396693">
        <w:rPr>
          <w:rFonts w:ascii="Times New Roman" w:eastAsia="Times New Roman" w:hAnsi="Times New Roman"/>
          <w:sz w:val="24"/>
          <w:szCs w:val="24"/>
          <w:lang w:eastAsia="es-ES"/>
        </w:rPr>
        <w:t>asegura, hablan por sí mismas. “</w:t>
      </w:r>
      <w:r w:rsidRPr="00BE340D">
        <w:rPr>
          <w:rFonts w:ascii="Times New Roman" w:eastAsia="Times New Roman" w:hAnsi="Times New Roman"/>
          <w:sz w:val="24"/>
          <w:szCs w:val="24"/>
          <w:lang w:eastAsia="es-ES"/>
        </w:rPr>
        <w:t>Con los mismos recursos, la sanidad pública mad</w:t>
      </w:r>
      <w:r w:rsidR="00396693">
        <w:rPr>
          <w:rFonts w:ascii="Times New Roman" w:eastAsia="Times New Roman" w:hAnsi="Times New Roman"/>
          <w:sz w:val="24"/>
          <w:szCs w:val="24"/>
          <w:lang w:eastAsia="es-ES"/>
        </w:rPr>
        <w:t>rileña rinde más que la privada”</w:t>
      </w:r>
      <w:r w:rsidRPr="00BE340D">
        <w:rPr>
          <w:rFonts w:ascii="Times New Roman" w:eastAsia="Times New Roman" w:hAnsi="Times New Roman"/>
          <w:sz w:val="24"/>
          <w:szCs w:val="24"/>
          <w:lang w:eastAsia="es-ES"/>
        </w:rPr>
        <w:t>.</w:t>
      </w:r>
    </w:p>
    <w:p w:rsidR="00757A10" w:rsidRPr="00473654" w:rsidRDefault="00757A10"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473654">
        <w:rPr>
          <w:rFonts w:ascii="Times New Roman" w:eastAsia="Times New Roman" w:hAnsi="Times New Roman"/>
          <w:color w:val="FF0000"/>
          <w:sz w:val="24"/>
          <w:szCs w:val="24"/>
          <w:u w:val="single"/>
          <w:lang w:eastAsia="es-ES"/>
        </w:rPr>
        <w:t>Incluso en el recuento paciente a paciente. La atención a un ciudadano en un hospital de gesti</w:t>
      </w:r>
      <w:r w:rsidR="00396693">
        <w:rPr>
          <w:rFonts w:ascii="Times New Roman" w:eastAsia="Times New Roman" w:hAnsi="Times New Roman"/>
          <w:color w:val="FF0000"/>
          <w:sz w:val="24"/>
          <w:szCs w:val="24"/>
          <w:u w:val="single"/>
          <w:lang w:eastAsia="es-ES"/>
        </w:rPr>
        <w:t>ón sanitaria privada -</w:t>
      </w:r>
      <w:r w:rsidRPr="00473654">
        <w:rPr>
          <w:rFonts w:ascii="Times New Roman" w:eastAsia="Times New Roman" w:hAnsi="Times New Roman"/>
          <w:color w:val="FF0000"/>
          <w:sz w:val="24"/>
          <w:szCs w:val="24"/>
          <w:u w:val="single"/>
          <w:lang w:eastAsia="es-ES"/>
        </w:rPr>
        <w:t>que acuda a consulta o a un tratamiento, sin que n</w:t>
      </w:r>
      <w:r w:rsidR="00396693">
        <w:rPr>
          <w:rFonts w:ascii="Times New Roman" w:eastAsia="Times New Roman" w:hAnsi="Times New Roman"/>
          <w:color w:val="FF0000"/>
          <w:sz w:val="24"/>
          <w:szCs w:val="24"/>
          <w:u w:val="single"/>
          <w:lang w:eastAsia="es-ES"/>
        </w:rPr>
        <w:t>ecesariamente resulte ingresado-</w:t>
      </w:r>
      <w:r w:rsidRPr="00473654">
        <w:rPr>
          <w:rFonts w:ascii="Times New Roman" w:eastAsia="Times New Roman" w:hAnsi="Times New Roman"/>
          <w:color w:val="FF0000"/>
          <w:sz w:val="24"/>
          <w:szCs w:val="24"/>
          <w:u w:val="single"/>
          <w:lang w:eastAsia="es-ES"/>
        </w:rPr>
        <w:t xml:space="preserve"> le cuesta a la Administración 675 euros anuales. En los hospitales de gestión pública ese mismo promedio es de 664 euros. Cada año, la Comunidad paga 11 euros extra por cada paciente asignado a un hospital privatizado. </w:t>
      </w:r>
    </w:p>
    <w:p w:rsidR="00757A10" w:rsidRPr="00473654" w:rsidRDefault="00757A10"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473654">
        <w:rPr>
          <w:rFonts w:ascii="Times New Roman" w:eastAsia="Times New Roman" w:hAnsi="Times New Roman"/>
          <w:sz w:val="24"/>
          <w:szCs w:val="24"/>
          <w:u w:val="single"/>
          <w:lang w:eastAsia="es-ES"/>
        </w:rPr>
        <w:t xml:space="preserve">Esa diferencia, sostiene el sindicato, </w:t>
      </w:r>
      <w:r w:rsidRPr="008B4BA7">
        <w:rPr>
          <w:rFonts w:ascii="Times New Roman" w:eastAsia="Times New Roman" w:hAnsi="Times New Roman"/>
          <w:bCs/>
          <w:sz w:val="24"/>
          <w:szCs w:val="24"/>
          <w:u w:val="single"/>
          <w:lang w:eastAsia="es-ES"/>
        </w:rPr>
        <w:t>corresponde al margen de beneficio de la empresa que lo gestiona</w:t>
      </w:r>
      <w:r w:rsidR="00396693" w:rsidRPr="008B4BA7">
        <w:rPr>
          <w:rFonts w:ascii="Times New Roman" w:eastAsia="Times New Roman" w:hAnsi="Times New Roman"/>
          <w:sz w:val="24"/>
          <w:szCs w:val="24"/>
          <w:u w:val="single"/>
          <w:lang w:eastAsia="es-ES"/>
        </w:rPr>
        <w:t>.</w:t>
      </w:r>
      <w:r w:rsidR="00396693">
        <w:rPr>
          <w:rFonts w:ascii="Times New Roman" w:eastAsia="Times New Roman" w:hAnsi="Times New Roman"/>
          <w:sz w:val="24"/>
          <w:szCs w:val="24"/>
          <w:u w:val="single"/>
          <w:lang w:eastAsia="es-ES"/>
        </w:rPr>
        <w:t xml:space="preserve"> CSIT-UP estima que “</w:t>
      </w:r>
      <w:r w:rsidRPr="00473654">
        <w:rPr>
          <w:rFonts w:ascii="Times New Roman" w:eastAsia="Times New Roman" w:hAnsi="Times New Roman"/>
          <w:sz w:val="24"/>
          <w:szCs w:val="24"/>
          <w:u w:val="single"/>
          <w:lang w:eastAsia="es-ES"/>
        </w:rPr>
        <w:t>el 20% de los impuestos, uno de cada 5 euros, destinados a financiar la sanidad irán a beneficio de</w:t>
      </w:r>
      <w:r w:rsidR="00396693">
        <w:rPr>
          <w:rFonts w:ascii="Times New Roman" w:eastAsia="Times New Roman" w:hAnsi="Times New Roman"/>
          <w:sz w:val="24"/>
          <w:szCs w:val="24"/>
          <w:u w:val="single"/>
          <w:lang w:eastAsia="es-ES"/>
        </w:rPr>
        <w:t xml:space="preserve"> las empresas privadas gestoras”</w:t>
      </w:r>
      <w:r w:rsidRPr="00473654">
        <w:rPr>
          <w:rFonts w:ascii="Times New Roman" w:eastAsia="Times New Roman" w:hAnsi="Times New Roman"/>
          <w:sz w:val="24"/>
          <w:szCs w:val="24"/>
          <w:u w:val="single"/>
          <w:lang w:eastAsia="es-ES"/>
        </w:rPr>
        <w:t xml:space="preserve">. En un modelo </w:t>
      </w:r>
      <w:r w:rsidR="00396693">
        <w:rPr>
          <w:rFonts w:ascii="Times New Roman" w:eastAsia="Times New Roman" w:hAnsi="Times New Roman"/>
          <w:sz w:val="24"/>
          <w:szCs w:val="24"/>
          <w:u w:val="single"/>
          <w:lang w:eastAsia="es-ES"/>
        </w:rPr>
        <w:t>de gestión pública, recuerdan, “</w:t>
      </w:r>
      <w:r w:rsidRPr="00473654">
        <w:rPr>
          <w:rFonts w:ascii="Times New Roman" w:eastAsia="Times New Roman" w:hAnsi="Times New Roman"/>
          <w:sz w:val="24"/>
          <w:szCs w:val="24"/>
          <w:u w:val="single"/>
          <w:lang w:eastAsia="es-ES"/>
        </w:rPr>
        <w:t>el 100% de los impuestos recae</w:t>
      </w:r>
      <w:r w:rsidR="00396693">
        <w:rPr>
          <w:rFonts w:ascii="Times New Roman" w:eastAsia="Times New Roman" w:hAnsi="Times New Roman"/>
          <w:sz w:val="24"/>
          <w:szCs w:val="24"/>
          <w:u w:val="single"/>
          <w:lang w:eastAsia="es-ES"/>
        </w:rPr>
        <w:t xml:space="preserve"> en la financiación del sistema”</w:t>
      </w:r>
      <w:r w:rsidRPr="00473654">
        <w:rPr>
          <w:rFonts w:ascii="Times New Roman" w:eastAsia="Times New Roman" w:hAnsi="Times New Roman"/>
          <w:sz w:val="24"/>
          <w:szCs w:val="24"/>
          <w:u w:val="single"/>
          <w:lang w:eastAsia="es-ES"/>
        </w:rPr>
        <w:t>.</w:t>
      </w:r>
    </w:p>
    <w:p w:rsidR="00757A10" w:rsidRPr="00396693"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396693">
        <w:rPr>
          <w:rFonts w:ascii="Times New Roman" w:eastAsia="Times New Roman" w:hAnsi="Times New Roman"/>
          <w:bCs/>
          <w:sz w:val="24"/>
          <w:szCs w:val="24"/>
          <w:lang w:eastAsia="es-ES"/>
        </w:rPr>
        <w:t>Cobrar por vecino, no por paciente</w:t>
      </w:r>
    </w:p>
    <w:p w:rsidR="00757A10" w:rsidRPr="00473654" w:rsidRDefault="00757A10"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473654">
        <w:rPr>
          <w:rFonts w:ascii="Times New Roman" w:eastAsia="Times New Roman" w:hAnsi="Times New Roman"/>
          <w:color w:val="FF0000"/>
          <w:sz w:val="24"/>
          <w:szCs w:val="24"/>
          <w:u w:val="single"/>
          <w:lang w:eastAsia="es-ES"/>
        </w:rPr>
        <w:t>Las plataformas antiprivatización no solo critican la cantidad de dinero, sino el modo de financiación. Estos hospitales públicos madrileños donde lo sa</w:t>
      </w:r>
      <w:r w:rsidR="00D44948">
        <w:rPr>
          <w:rFonts w:ascii="Times New Roman" w:eastAsia="Times New Roman" w:hAnsi="Times New Roman"/>
          <w:color w:val="FF0000"/>
          <w:sz w:val="24"/>
          <w:szCs w:val="24"/>
          <w:u w:val="single"/>
          <w:lang w:eastAsia="es-ES"/>
        </w:rPr>
        <w:t>nitario está en manos privadas -</w:t>
      </w:r>
      <w:r w:rsidRPr="00473654">
        <w:rPr>
          <w:rFonts w:ascii="Times New Roman" w:eastAsia="Times New Roman" w:hAnsi="Times New Roman"/>
          <w:color w:val="FF0000"/>
          <w:sz w:val="24"/>
          <w:szCs w:val="24"/>
          <w:u w:val="single"/>
          <w:lang w:eastAsia="es-ES"/>
        </w:rPr>
        <w:t xml:space="preserve">bajo el modelo PPP, o </w:t>
      </w:r>
      <w:r w:rsidR="00302D7F">
        <w:rPr>
          <w:rFonts w:ascii="Times New Roman" w:eastAsia="Times New Roman" w:hAnsi="Times New Roman"/>
          <w:color w:val="FF0000"/>
          <w:sz w:val="24"/>
          <w:szCs w:val="24"/>
          <w:u w:val="single"/>
          <w:lang w:eastAsia="es-ES"/>
        </w:rPr>
        <w:t>“</w:t>
      </w:r>
      <w:r w:rsidRPr="00302D7F">
        <w:rPr>
          <w:rFonts w:ascii="Times New Roman" w:eastAsia="Times New Roman" w:hAnsi="Times New Roman"/>
          <w:iCs/>
          <w:color w:val="FF0000"/>
          <w:sz w:val="24"/>
          <w:szCs w:val="24"/>
          <w:u w:val="single"/>
          <w:lang w:eastAsia="es-ES"/>
        </w:rPr>
        <w:t>public-private partnership</w:t>
      </w:r>
      <w:r w:rsidR="00302D7F">
        <w:rPr>
          <w:rFonts w:ascii="Times New Roman" w:eastAsia="Times New Roman" w:hAnsi="Times New Roman"/>
          <w:iCs/>
          <w:color w:val="FF0000"/>
          <w:sz w:val="24"/>
          <w:szCs w:val="24"/>
          <w:u w:val="single"/>
          <w:lang w:eastAsia="es-ES"/>
        </w:rPr>
        <w:t>”</w:t>
      </w:r>
      <w:r w:rsidR="00D44948">
        <w:rPr>
          <w:rFonts w:ascii="Times New Roman" w:eastAsia="Times New Roman" w:hAnsi="Times New Roman"/>
          <w:color w:val="FF0000"/>
          <w:sz w:val="24"/>
          <w:szCs w:val="24"/>
          <w:u w:val="single"/>
          <w:lang w:eastAsia="es-ES"/>
        </w:rPr>
        <w:t>, por sus siglas en inglés-</w:t>
      </w:r>
      <w:r w:rsidRPr="00473654">
        <w:rPr>
          <w:rFonts w:ascii="Times New Roman" w:eastAsia="Times New Roman" w:hAnsi="Times New Roman"/>
          <w:color w:val="FF0000"/>
          <w:sz w:val="24"/>
          <w:szCs w:val="24"/>
          <w:u w:val="single"/>
          <w:lang w:eastAsia="es-ES"/>
        </w:rPr>
        <w:t xml:space="preserve"> reciben de la Administración una cantidad fija o canon </w:t>
      </w:r>
      <w:r w:rsidRPr="008B4BA7">
        <w:rPr>
          <w:rFonts w:ascii="Times New Roman" w:eastAsia="Times New Roman" w:hAnsi="Times New Roman"/>
          <w:color w:val="FF0000"/>
          <w:sz w:val="24"/>
          <w:szCs w:val="24"/>
          <w:u w:val="single"/>
          <w:lang w:eastAsia="es-ES"/>
        </w:rPr>
        <w:t xml:space="preserve">que </w:t>
      </w:r>
      <w:r w:rsidRPr="008B4BA7">
        <w:rPr>
          <w:rFonts w:ascii="Times New Roman" w:eastAsia="Times New Roman" w:hAnsi="Times New Roman"/>
          <w:bCs/>
          <w:color w:val="FF0000"/>
          <w:sz w:val="24"/>
          <w:szCs w:val="24"/>
          <w:u w:val="single"/>
          <w:lang w:eastAsia="es-ES"/>
        </w:rPr>
        <w:t>depende no del número de pacientes que atiendan, sino del número de vecinos que tengan asignados</w:t>
      </w:r>
      <w:r w:rsidRPr="00473654">
        <w:rPr>
          <w:rFonts w:ascii="Times New Roman" w:eastAsia="Times New Roman" w:hAnsi="Times New Roman"/>
          <w:color w:val="FF0000"/>
          <w:sz w:val="24"/>
          <w:szCs w:val="24"/>
          <w:u w:val="single"/>
          <w:lang w:eastAsia="es-ES"/>
        </w:rPr>
        <w:t>. Si esos vecinos no hacen uso del hospital, las empresas cobran igual.</w:t>
      </w:r>
    </w:p>
    <w:p w:rsidR="00757A10" w:rsidRPr="00BE340D"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B4BA7">
        <w:rPr>
          <w:rFonts w:ascii="Times New Roman" w:eastAsia="Times New Roman" w:hAnsi="Times New Roman"/>
          <w:bCs/>
          <w:sz w:val="24"/>
          <w:szCs w:val="24"/>
          <w:lang w:eastAsia="es-ES"/>
        </w:rPr>
        <w:t>Antonio Gómez</w:t>
      </w:r>
      <w:r w:rsidRPr="00BE340D">
        <w:rPr>
          <w:rFonts w:ascii="Times New Roman" w:eastAsia="Times New Roman" w:hAnsi="Times New Roman"/>
          <w:sz w:val="24"/>
          <w:szCs w:val="24"/>
          <w:lang w:eastAsia="es-ES"/>
        </w:rPr>
        <w:t>, portavoz de la Coordinadora Antiprivatización de la</w:t>
      </w:r>
      <w:r w:rsidR="006A7314">
        <w:rPr>
          <w:rFonts w:ascii="Times New Roman" w:eastAsia="Times New Roman" w:hAnsi="Times New Roman"/>
          <w:sz w:val="24"/>
          <w:szCs w:val="24"/>
          <w:lang w:eastAsia="es-ES"/>
        </w:rPr>
        <w:t xml:space="preserve"> Sanidad -CAS-</w:t>
      </w:r>
      <w:r w:rsidRPr="00BE340D">
        <w:rPr>
          <w:rFonts w:ascii="Times New Roman" w:eastAsia="Times New Roman" w:hAnsi="Times New Roman"/>
          <w:sz w:val="24"/>
          <w:szCs w:val="24"/>
          <w:lang w:eastAsia="es-ES"/>
        </w:rPr>
        <w:t>, pone el ejemplo de Torrejón de Ardoz, donde la Consejería de Sanidad establece el pago de una cantidad de 571,50 euros por paciente potencial, unos 133.000 en su área de referenci</w:t>
      </w:r>
      <w:r w:rsidR="00396693">
        <w:rPr>
          <w:rFonts w:ascii="Times New Roman" w:eastAsia="Times New Roman" w:hAnsi="Times New Roman"/>
          <w:sz w:val="24"/>
          <w:szCs w:val="24"/>
          <w:lang w:eastAsia="es-ES"/>
        </w:rPr>
        <w:t>a. Las empresas adjudicatarias -</w:t>
      </w:r>
      <w:r w:rsidRPr="00BE340D">
        <w:rPr>
          <w:rFonts w:ascii="Times New Roman" w:eastAsia="Times New Roman" w:hAnsi="Times New Roman"/>
          <w:sz w:val="24"/>
          <w:szCs w:val="24"/>
          <w:lang w:eastAsia="es-ES"/>
        </w:rPr>
        <w:t>un consorcio de Ribera Salud,</w:t>
      </w:r>
      <w:r w:rsidR="00396693">
        <w:rPr>
          <w:rFonts w:ascii="Times New Roman" w:eastAsia="Times New Roman" w:hAnsi="Times New Roman"/>
          <w:sz w:val="24"/>
          <w:szCs w:val="24"/>
          <w:lang w:eastAsia="es-ES"/>
        </w:rPr>
        <w:t xml:space="preserve"> Asisa y FCC-</w:t>
      </w:r>
      <w:r w:rsidRPr="00BE340D">
        <w:rPr>
          <w:rFonts w:ascii="Times New Roman" w:eastAsia="Times New Roman" w:hAnsi="Times New Roman"/>
          <w:sz w:val="24"/>
          <w:szCs w:val="24"/>
          <w:lang w:eastAsia="es-ES"/>
        </w:rPr>
        <w:t xml:space="preserve"> reciben 428,35 euros asignados a la asistencia sanitaria y otros 143,15 euros anuales por la prestación de servicios no sanitarios, como la administración o la limpieza. </w:t>
      </w:r>
    </w:p>
    <w:p w:rsidR="00757A10" w:rsidRPr="00BE340D"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BE340D">
        <w:rPr>
          <w:rFonts w:ascii="Times New Roman" w:eastAsia="Times New Roman" w:hAnsi="Times New Roman"/>
          <w:sz w:val="24"/>
          <w:szCs w:val="24"/>
          <w:lang w:eastAsia="es-ES"/>
        </w:rPr>
        <w:t xml:space="preserve">En total, Madrid paga al hospital </w:t>
      </w:r>
      <w:r w:rsidRPr="008B4BA7">
        <w:rPr>
          <w:rFonts w:ascii="Times New Roman" w:eastAsia="Times New Roman" w:hAnsi="Times New Roman"/>
          <w:bCs/>
          <w:sz w:val="24"/>
          <w:szCs w:val="24"/>
          <w:lang w:eastAsia="es-ES"/>
        </w:rPr>
        <w:t>76,1 millones de euros anuales</w:t>
      </w:r>
      <w:r w:rsidRPr="00BE340D">
        <w:rPr>
          <w:rFonts w:ascii="Times New Roman" w:eastAsia="Times New Roman" w:hAnsi="Times New Roman"/>
          <w:sz w:val="24"/>
          <w:szCs w:val="24"/>
          <w:lang w:eastAsia="es-ES"/>
        </w:rPr>
        <w:t xml:space="preserve"> con independencia de la cant</w:t>
      </w:r>
      <w:r w:rsidR="00396693">
        <w:rPr>
          <w:rFonts w:ascii="Times New Roman" w:eastAsia="Times New Roman" w:hAnsi="Times New Roman"/>
          <w:sz w:val="24"/>
          <w:szCs w:val="24"/>
          <w:lang w:eastAsia="es-ES"/>
        </w:rPr>
        <w:t>idad de pacientes que atienda. “</w:t>
      </w:r>
      <w:r w:rsidRPr="00BE340D">
        <w:rPr>
          <w:rFonts w:ascii="Times New Roman" w:eastAsia="Times New Roman" w:hAnsi="Times New Roman"/>
          <w:sz w:val="24"/>
          <w:szCs w:val="24"/>
          <w:lang w:eastAsia="es-ES"/>
        </w:rPr>
        <w:t>Da igual que los vecinos vayan o no al hospital, sea por propia decisión o porque el centro carezca de la u</w:t>
      </w:r>
      <w:r w:rsidR="00396693">
        <w:rPr>
          <w:rFonts w:ascii="Times New Roman" w:eastAsia="Times New Roman" w:hAnsi="Times New Roman"/>
          <w:sz w:val="24"/>
          <w:szCs w:val="24"/>
          <w:lang w:eastAsia="es-ES"/>
        </w:rPr>
        <w:t>nidad específica para tratarlos”</w:t>
      </w:r>
      <w:r w:rsidRPr="00BE340D">
        <w:rPr>
          <w:rFonts w:ascii="Times New Roman" w:eastAsia="Times New Roman" w:hAnsi="Times New Roman"/>
          <w:sz w:val="24"/>
          <w:szCs w:val="24"/>
          <w:lang w:eastAsia="es-ES"/>
        </w:rPr>
        <w:t>, explica</w:t>
      </w:r>
      <w:r w:rsidRPr="00BE340D">
        <w:rPr>
          <w:rFonts w:ascii="Times New Roman" w:eastAsia="Times New Roman" w:hAnsi="Times New Roman"/>
          <w:b/>
          <w:bCs/>
          <w:sz w:val="24"/>
          <w:szCs w:val="24"/>
          <w:lang w:eastAsia="es-ES"/>
        </w:rPr>
        <w:t xml:space="preserve"> </w:t>
      </w:r>
      <w:r w:rsidR="00396693">
        <w:rPr>
          <w:rFonts w:ascii="Times New Roman" w:eastAsia="Times New Roman" w:hAnsi="Times New Roman"/>
          <w:sz w:val="24"/>
          <w:szCs w:val="24"/>
          <w:lang w:eastAsia="es-ES"/>
        </w:rPr>
        <w:t>Gómez. “</w:t>
      </w:r>
      <w:r w:rsidRPr="00BE340D">
        <w:rPr>
          <w:rFonts w:ascii="Times New Roman" w:eastAsia="Times New Roman" w:hAnsi="Times New Roman"/>
          <w:sz w:val="24"/>
          <w:szCs w:val="24"/>
          <w:lang w:eastAsia="es-ES"/>
        </w:rPr>
        <w:t>Da igual que muchos pacientes de la zona, como de hecho ocurre, prefieran ir a los grandes centros públicos de la capital y no utilicen el hospital de su localidad. La empresa que lo gestiona s</w:t>
      </w:r>
      <w:r w:rsidR="00396693">
        <w:rPr>
          <w:rFonts w:ascii="Times New Roman" w:eastAsia="Times New Roman" w:hAnsi="Times New Roman"/>
          <w:sz w:val="24"/>
          <w:szCs w:val="24"/>
          <w:lang w:eastAsia="es-ES"/>
        </w:rPr>
        <w:t>e lleva el dinero público igual”</w:t>
      </w:r>
      <w:r w:rsidRPr="00BE340D">
        <w:rPr>
          <w:rFonts w:ascii="Times New Roman" w:eastAsia="Times New Roman" w:hAnsi="Times New Roman"/>
          <w:sz w:val="24"/>
          <w:szCs w:val="24"/>
          <w:lang w:eastAsia="es-ES"/>
        </w:rPr>
        <w:t>.</w:t>
      </w:r>
    </w:p>
    <w:p w:rsidR="00757A10" w:rsidRPr="00396693"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396693">
        <w:rPr>
          <w:rFonts w:ascii="Times New Roman" w:eastAsia="Times New Roman" w:hAnsi="Times New Roman"/>
          <w:bCs/>
          <w:sz w:val="24"/>
          <w:szCs w:val="24"/>
          <w:lang w:eastAsia="es-ES"/>
        </w:rPr>
        <w:lastRenderedPageBreak/>
        <w:t>Inversión rentabilizada</w:t>
      </w:r>
    </w:p>
    <w:p w:rsidR="00757A10" w:rsidRPr="00064A3B" w:rsidRDefault="00757A10"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064A3B">
        <w:rPr>
          <w:rFonts w:ascii="Times New Roman" w:eastAsia="Times New Roman" w:hAnsi="Times New Roman"/>
          <w:sz w:val="24"/>
          <w:szCs w:val="24"/>
          <w:u w:val="single"/>
          <w:lang w:eastAsia="es-ES"/>
        </w:rPr>
        <w:t>Según CAS Madrid, el lucro no acaba en estos hospitales totalmente privatizados, sino que se e</w:t>
      </w:r>
      <w:r w:rsidR="00396693">
        <w:rPr>
          <w:rFonts w:ascii="Times New Roman" w:eastAsia="Times New Roman" w:hAnsi="Times New Roman"/>
          <w:sz w:val="24"/>
          <w:szCs w:val="24"/>
          <w:u w:val="single"/>
          <w:lang w:eastAsia="es-ES"/>
        </w:rPr>
        <w:t>xtiende a los del modelo mixto -</w:t>
      </w:r>
      <w:r w:rsidRPr="00064A3B">
        <w:rPr>
          <w:rFonts w:ascii="Times New Roman" w:eastAsia="Times New Roman" w:hAnsi="Times New Roman"/>
          <w:sz w:val="24"/>
          <w:szCs w:val="24"/>
          <w:u w:val="single"/>
          <w:lang w:eastAsia="es-ES"/>
        </w:rPr>
        <w:t>Henares, Infanta Sofía, Infanta Leonor, Infanta Cristi</w:t>
      </w:r>
      <w:r w:rsidR="00396693">
        <w:rPr>
          <w:rFonts w:ascii="Times New Roman" w:eastAsia="Times New Roman" w:hAnsi="Times New Roman"/>
          <w:sz w:val="24"/>
          <w:szCs w:val="24"/>
          <w:u w:val="single"/>
          <w:lang w:eastAsia="es-ES"/>
        </w:rPr>
        <w:t>na, Majadahonda, Tajo y Sureste-</w:t>
      </w:r>
      <w:r w:rsidRPr="00064A3B">
        <w:rPr>
          <w:rFonts w:ascii="Times New Roman" w:eastAsia="Times New Roman" w:hAnsi="Times New Roman"/>
          <w:sz w:val="24"/>
          <w:szCs w:val="24"/>
          <w:u w:val="single"/>
          <w:lang w:eastAsia="es-ES"/>
        </w:rPr>
        <w:t xml:space="preserve">. En los últimos cinco años, </w:t>
      </w:r>
      <w:r w:rsidRPr="008B4BA7">
        <w:rPr>
          <w:rFonts w:ascii="Times New Roman" w:eastAsia="Times New Roman" w:hAnsi="Times New Roman"/>
          <w:bCs/>
          <w:sz w:val="24"/>
          <w:szCs w:val="24"/>
          <w:u w:val="single"/>
          <w:lang w:eastAsia="es-ES"/>
        </w:rPr>
        <w:t>la Administración ha pagado más de 990 millones de euros a las empresas concesionarias</w:t>
      </w:r>
      <w:r w:rsidRPr="00064A3B">
        <w:rPr>
          <w:rFonts w:ascii="Times New Roman" w:eastAsia="Times New Roman" w:hAnsi="Times New Roman"/>
          <w:sz w:val="24"/>
          <w:szCs w:val="24"/>
          <w:u w:val="single"/>
          <w:lang w:eastAsia="es-ES"/>
        </w:rPr>
        <w:t xml:space="preserve"> de estos hospitales donde las camas son públicas y sus médicos y enfermeras, funcionarios.</w:t>
      </w:r>
    </w:p>
    <w:p w:rsidR="00757A10" w:rsidRPr="00064A3B" w:rsidRDefault="00757A10"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064A3B">
        <w:rPr>
          <w:rFonts w:ascii="Times New Roman" w:eastAsia="Times New Roman" w:hAnsi="Times New Roman"/>
          <w:sz w:val="24"/>
          <w:szCs w:val="24"/>
          <w:u w:val="single"/>
          <w:lang w:eastAsia="es-ES"/>
        </w:rPr>
        <w:t>Estos centro</w:t>
      </w:r>
      <w:r w:rsidR="00396693">
        <w:rPr>
          <w:rFonts w:ascii="Times New Roman" w:eastAsia="Times New Roman" w:hAnsi="Times New Roman"/>
          <w:sz w:val="24"/>
          <w:szCs w:val="24"/>
          <w:u w:val="single"/>
          <w:lang w:eastAsia="es-ES"/>
        </w:rPr>
        <w:t xml:space="preserve">s funcionan bajo el modelo PFI </w:t>
      </w:r>
      <w:r w:rsidR="00302D7F">
        <w:rPr>
          <w:rFonts w:ascii="Times New Roman" w:eastAsia="Times New Roman" w:hAnsi="Times New Roman"/>
          <w:sz w:val="24"/>
          <w:szCs w:val="24"/>
          <w:u w:val="single"/>
          <w:lang w:eastAsia="es-ES"/>
        </w:rPr>
        <w:t>-“</w:t>
      </w:r>
      <w:r w:rsidRPr="007C55D9">
        <w:rPr>
          <w:rFonts w:ascii="Times New Roman" w:eastAsia="Times New Roman" w:hAnsi="Times New Roman"/>
          <w:iCs/>
          <w:sz w:val="24"/>
          <w:szCs w:val="24"/>
          <w:u w:val="single"/>
          <w:lang w:eastAsia="es-ES"/>
        </w:rPr>
        <w:t>private finance iniciative</w:t>
      </w:r>
      <w:r w:rsidR="00302D7F">
        <w:rPr>
          <w:rFonts w:ascii="Times New Roman" w:eastAsia="Times New Roman" w:hAnsi="Times New Roman"/>
          <w:iCs/>
          <w:sz w:val="24"/>
          <w:szCs w:val="24"/>
          <w:u w:val="single"/>
          <w:lang w:eastAsia="es-ES"/>
        </w:rPr>
        <w:t>”</w:t>
      </w:r>
      <w:r w:rsidR="00396693">
        <w:rPr>
          <w:rFonts w:ascii="Times New Roman" w:eastAsia="Times New Roman" w:hAnsi="Times New Roman"/>
          <w:sz w:val="24"/>
          <w:szCs w:val="24"/>
          <w:u w:val="single"/>
          <w:lang w:eastAsia="es-ES"/>
        </w:rPr>
        <w:t>-</w:t>
      </w:r>
      <w:r w:rsidRPr="00064A3B">
        <w:rPr>
          <w:rFonts w:ascii="Times New Roman" w:eastAsia="Times New Roman" w:hAnsi="Times New Roman"/>
          <w:sz w:val="24"/>
          <w:szCs w:val="24"/>
          <w:u w:val="single"/>
          <w:lang w:eastAsia="es-ES"/>
        </w:rPr>
        <w:t>. La sanidad depende directamente de lo público, pero los servicios no s</w:t>
      </w:r>
      <w:r w:rsidR="00396693">
        <w:rPr>
          <w:rFonts w:ascii="Times New Roman" w:eastAsia="Times New Roman" w:hAnsi="Times New Roman"/>
          <w:sz w:val="24"/>
          <w:szCs w:val="24"/>
          <w:u w:val="single"/>
          <w:lang w:eastAsia="es-ES"/>
        </w:rPr>
        <w:t>anitarios -</w:t>
      </w:r>
      <w:r w:rsidRPr="00064A3B">
        <w:rPr>
          <w:rFonts w:ascii="Times New Roman" w:eastAsia="Times New Roman" w:hAnsi="Times New Roman"/>
          <w:sz w:val="24"/>
          <w:szCs w:val="24"/>
          <w:u w:val="single"/>
          <w:lang w:eastAsia="es-ES"/>
        </w:rPr>
        <w:t>administración, se</w:t>
      </w:r>
      <w:r w:rsidR="00396693">
        <w:rPr>
          <w:rFonts w:ascii="Times New Roman" w:eastAsia="Times New Roman" w:hAnsi="Times New Roman"/>
          <w:sz w:val="24"/>
          <w:szCs w:val="24"/>
          <w:u w:val="single"/>
          <w:lang w:eastAsia="es-ES"/>
        </w:rPr>
        <w:t>guridad, limpieza, logística...-</w:t>
      </w:r>
      <w:r w:rsidRPr="00064A3B">
        <w:rPr>
          <w:rFonts w:ascii="Times New Roman" w:eastAsia="Times New Roman" w:hAnsi="Times New Roman"/>
          <w:sz w:val="24"/>
          <w:szCs w:val="24"/>
          <w:u w:val="single"/>
          <w:lang w:eastAsia="es-ES"/>
        </w:rPr>
        <w:t xml:space="preserve"> están concedidos a compañías privadas. También fueron empresas privadas, como </w:t>
      </w:r>
      <w:r w:rsidRPr="008B4BA7">
        <w:rPr>
          <w:rFonts w:ascii="Times New Roman" w:eastAsia="Times New Roman" w:hAnsi="Times New Roman"/>
          <w:bCs/>
          <w:sz w:val="24"/>
          <w:szCs w:val="24"/>
          <w:u w:val="single"/>
          <w:lang w:eastAsia="es-ES"/>
        </w:rPr>
        <w:t>Dragados, FCC, Acciona, Sacyr, Begar-Ploder, Hispánica y CVC Capital Partners</w:t>
      </w:r>
      <w:r w:rsidRPr="008B4BA7">
        <w:rPr>
          <w:rFonts w:ascii="Times New Roman" w:eastAsia="Times New Roman" w:hAnsi="Times New Roman"/>
          <w:sz w:val="24"/>
          <w:szCs w:val="24"/>
          <w:u w:val="single"/>
          <w:lang w:eastAsia="es-ES"/>
        </w:rPr>
        <w:t>,</w:t>
      </w:r>
      <w:r w:rsidRPr="00064A3B">
        <w:rPr>
          <w:rFonts w:ascii="Times New Roman" w:eastAsia="Times New Roman" w:hAnsi="Times New Roman"/>
          <w:sz w:val="24"/>
          <w:szCs w:val="24"/>
          <w:u w:val="single"/>
          <w:lang w:eastAsia="es-ES"/>
        </w:rPr>
        <w:t xml:space="preserve"> quienes construyeron sus inmuebles. Así, este conjunto de empresas reciben un canon público por la prestación de servicios no asistenciales y para la amortización de la inversión en construcción. </w:t>
      </w:r>
    </w:p>
    <w:p w:rsidR="00757A10" w:rsidRPr="00064A3B" w:rsidRDefault="00396693"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w:t>
      </w:r>
      <w:r w:rsidR="00757A10" w:rsidRPr="00064A3B">
        <w:rPr>
          <w:rFonts w:ascii="Times New Roman" w:eastAsia="Times New Roman" w:hAnsi="Times New Roman"/>
          <w:sz w:val="24"/>
          <w:szCs w:val="24"/>
          <w:u w:val="single"/>
          <w:lang w:eastAsia="es-ES"/>
        </w:rPr>
        <w:t>La construcción y equipamiento básicos de estos hospitales costaron alrededor de 840 millones d</w:t>
      </w:r>
      <w:r>
        <w:rPr>
          <w:rFonts w:ascii="Times New Roman" w:eastAsia="Times New Roman" w:hAnsi="Times New Roman"/>
          <w:sz w:val="24"/>
          <w:szCs w:val="24"/>
          <w:u w:val="single"/>
          <w:lang w:eastAsia="es-ES"/>
        </w:rPr>
        <w:t>e euros”, advierte Gómez. “</w:t>
      </w:r>
      <w:r w:rsidR="00757A10" w:rsidRPr="00064A3B">
        <w:rPr>
          <w:rFonts w:ascii="Times New Roman" w:eastAsia="Times New Roman" w:hAnsi="Times New Roman"/>
          <w:sz w:val="24"/>
          <w:szCs w:val="24"/>
          <w:u w:val="single"/>
          <w:lang w:eastAsia="es-ES"/>
        </w:rPr>
        <w:t>Según nuestros cálculos, en 2011 el conjunto del sector había recuperado el 92% de esta cantidad y al término de 2012 ya ha</w:t>
      </w:r>
      <w:r w:rsidR="006A7314">
        <w:rPr>
          <w:rFonts w:ascii="Times New Roman" w:eastAsia="Times New Roman" w:hAnsi="Times New Roman"/>
          <w:sz w:val="24"/>
          <w:szCs w:val="24"/>
          <w:u w:val="single"/>
          <w:lang w:eastAsia="es-ES"/>
        </w:rPr>
        <w:t>brán rentabilizado su inversión”</w:t>
      </w:r>
      <w:r w:rsidR="00757A10" w:rsidRPr="00064A3B">
        <w:rPr>
          <w:rFonts w:ascii="Times New Roman" w:eastAsia="Times New Roman" w:hAnsi="Times New Roman"/>
          <w:sz w:val="24"/>
          <w:szCs w:val="24"/>
          <w:u w:val="single"/>
          <w:lang w:eastAsia="es-ES"/>
        </w:rPr>
        <w:t xml:space="preserve">. </w:t>
      </w:r>
    </w:p>
    <w:p w:rsidR="00757A10" w:rsidRPr="00064A3B" w:rsidRDefault="00757A10"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064A3B">
        <w:rPr>
          <w:rFonts w:ascii="Times New Roman" w:eastAsia="Times New Roman" w:hAnsi="Times New Roman"/>
          <w:sz w:val="24"/>
          <w:szCs w:val="24"/>
          <w:u w:val="single"/>
          <w:lang w:eastAsia="es-ES"/>
        </w:rPr>
        <w:t>Gómez no d</w:t>
      </w:r>
      <w:r w:rsidR="006A7314">
        <w:rPr>
          <w:rFonts w:ascii="Times New Roman" w:eastAsia="Times New Roman" w:hAnsi="Times New Roman"/>
          <w:sz w:val="24"/>
          <w:szCs w:val="24"/>
          <w:u w:val="single"/>
          <w:lang w:eastAsia="es-ES"/>
        </w:rPr>
        <w:t>uda de la calidad del negocio. “</w:t>
      </w:r>
      <w:r w:rsidRPr="00064A3B">
        <w:rPr>
          <w:rFonts w:ascii="Times New Roman" w:eastAsia="Times New Roman" w:hAnsi="Times New Roman"/>
          <w:sz w:val="24"/>
          <w:szCs w:val="24"/>
          <w:u w:val="single"/>
          <w:lang w:eastAsia="es-ES"/>
        </w:rPr>
        <w:t>Los contratos vencen en treinta años y puede</w:t>
      </w:r>
      <w:r w:rsidR="006A7314">
        <w:rPr>
          <w:rFonts w:ascii="Times New Roman" w:eastAsia="Times New Roman" w:hAnsi="Times New Roman"/>
          <w:sz w:val="24"/>
          <w:szCs w:val="24"/>
          <w:u w:val="single"/>
          <w:lang w:eastAsia="es-ES"/>
        </w:rPr>
        <w:t>n prorrogarse otros treinta más”, explica. “</w:t>
      </w:r>
      <w:r w:rsidRPr="00064A3B">
        <w:rPr>
          <w:rFonts w:ascii="Times New Roman" w:eastAsia="Times New Roman" w:hAnsi="Times New Roman"/>
          <w:sz w:val="24"/>
          <w:szCs w:val="24"/>
          <w:u w:val="single"/>
          <w:lang w:eastAsia="es-ES"/>
        </w:rPr>
        <w:t xml:space="preserve">Es una inversión inmejorable para los accionistas y un negocio </w:t>
      </w:r>
      <w:r w:rsidR="006A7314">
        <w:rPr>
          <w:rFonts w:ascii="Times New Roman" w:eastAsia="Times New Roman" w:hAnsi="Times New Roman"/>
          <w:sz w:val="24"/>
          <w:szCs w:val="24"/>
          <w:u w:val="single"/>
          <w:lang w:eastAsia="es-ES"/>
        </w:rPr>
        <w:t>nefasto para los contribuyentes”</w:t>
      </w:r>
      <w:r w:rsidRPr="00064A3B">
        <w:rPr>
          <w:rFonts w:ascii="Times New Roman" w:eastAsia="Times New Roman" w:hAnsi="Times New Roman"/>
          <w:sz w:val="24"/>
          <w:szCs w:val="24"/>
          <w:u w:val="single"/>
          <w:lang w:eastAsia="es-ES"/>
        </w:rPr>
        <w:t>.</w:t>
      </w:r>
    </w:p>
    <w:p w:rsidR="00757A10" w:rsidRPr="006A7314"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6A7314">
        <w:rPr>
          <w:rFonts w:ascii="Times New Roman" w:eastAsia="Times New Roman" w:hAnsi="Times New Roman"/>
          <w:bCs/>
          <w:sz w:val="24"/>
          <w:szCs w:val="24"/>
          <w:lang w:eastAsia="es-ES"/>
        </w:rPr>
        <w:t>Ni más baratos ni más rentables</w:t>
      </w:r>
    </w:p>
    <w:p w:rsidR="00757A10" w:rsidRPr="008B4BA7"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BE340D">
        <w:rPr>
          <w:rFonts w:ascii="Times New Roman" w:eastAsia="Times New Roman" w:hAnsi="Times New Roman"/>
          <w:sz w:val="24"/>
          <w:szCs w:val="24"/>
          <w:lang w:eastAsia="es-ES"/>
        </w:rPr>
        <w:t xml:space="preserve">Los sindicatos no son los únicos en remitirse a estas cifras. La Plataforma de Jefes de Servicio de los </w:t>
      </w:r>
      <w:r w:rsidR="006A7314">
        <w:rPr>
          <w:rFonts w:ascii="Times New Roman" w:eastAsia="Times New Roman" w:hAnsi="Times New Roman"/>
          <w:sz w:val="24"/>
          <w:szCs w:val="24"/>
          <w:lang w:eastAsia="es-ES"/>
        </w:rPr>
        <w:t>Hospitales Públicos madrileños -</w:t>
      </w:r>
      <w:r w:rsidRPr="00BE340D">
        <w:rPr>
          <w:rFonts w:ascii="Times New Roman" w:eastAsia="Times New Roman" w:hAnsi="Times New Roman"/>
          <w:sz w:val="24"/>
          <w:szCs w:val="24"/>
          <w:lang w:eastAsia="es-ES"/>
        </w:rPr>
        <w:t xml:space="preserve">que representa a casi 600 médicos de más de 20 </w:t>
      </w:r>
      <w:r w:rsidR="006A7314">
        <w:rPr>
          <w:rFonts w:ascii="Times New Roman" w:eastAsia="Times New Roman" w:hAnsi="Times New Roman"/>
          <w:sz w:val="24"/>
          <w:szCs w:val="24"/>
          <w:lang w:eastAsia="es-ES"/>
        </w:rPr>
        <w:t>centros sanitarios de la región-</w:t>
      </w:r>
      <w:r w:rsidRPr="00BE340D">
        <w:rPr>
          <w:rFonts w:ascii="Times New Roman" w:eastAsia="Times New Roman" w:hAnsi="Times New Roman"/>
          <w:sz w:val="24"/>
          <w:szCs w:val="24"/>
          <w:lang w:eastAsia="es-ES"/>
        </w:rPr>
        <w:t xml:space="preserve"> dirigía esta semana una carta abierta a la ciudadanía ciñéndose al mismo argumento. No es cierto, aseguran, </w:t>
      </w:r>
      <w:r w:rsidR="006A7314">
        <w:rPr>
          <w:rFonts w:ascii="Times New Roman" w:eastAsia="Times New Roman" w:hAnsi="Times New Roman"/>
          <w:sz w:val="24"/>
          <w:szCs w:val="24"/>
          <w:lang w:eastAsia="es-ES"/>
        </w:rPr>
        <w:t>“</w:t>
      </w:r>
      <w:r w:rsidRPr="00BE340D">
        <w:rPr>
          <w:rFonts w:ascii="Times New Roman" w:eastAsia="Times New Roman" w:hAnsi="Times New Roman"/>
          <w:sz w:val="24"/>
          <w:szCs w:val="24"/>
          <w:lang w:eastAsia="es-ES"/>
        </w:rPr>
        <w:t>que</w:t>
      </w:r>
      <w:r w:rsidRPr="00BE340D">
        <w:rPr>
          <w:rFonts w:ascii="Times New Roman" w:eastAsia="Times New Roman" w:hAnsi="Times New Roman"/>
          <w:b/>
          <w:bCs/>
          <w:sz w:val="24"/>
          <w:szCs w:val="24"/>
          <w:lang w:eastAsia="es-ES"/>
        </w:rPr>
        <w:t xml:space="preserve"> </w:t>
      </w:r>
      <w:r w:rsidRPr="008B4BA7">
        <w:rPr>
          <w:rFonts w:ascii="Times New Roman" w:eastAsia="Times New Roman" w:hAnsi="Times New Roman"/>
          <w:bCs/>
          <w:sz w:val="24"/>
          <w:szCs w:val="24"/>
          <w:lang w:eastAsia="es-ES"/>
        </w:rPr>
        <w:t>la sanidad privad</w:t>
      </w:r>
      <w:r w:rsidR="006A7314" w:rsidRPr="008B4BA7">
        <w:rPr>
          <w:rFonts w:ascii="Times New Roman" w:eastAsia="Times New Roman" w:hAnsi="Times New Roman"/>
          <w:bCs/>
          <w:sz w:val="24"/>
          <w:szCs w:val="24"/>
          <w:lang w:eastAsia="es-ES"/>
        </w:rPr>
        <w:t>a sea más barata que la pública”</w:t>
      </w:r>
      <w:r w:rsidRPr="008B4BA7">
        <w:rPr>
          <w:rFonts w:ascii="Times New Roman" w:eastAsia="Times New Roman" w:hAnsi="Times New Roman"/>
          <w:sz w:val="24"/>
          <w:szCs w:val="24"/>
          <w:lang w:eastAsia="es-ES"/>
        </w:rPr>
        <w:t>.</w:t>
      </w:r>
    </w:p>
    <w:p w:rsidR="00757A10" w:rsidRPr="00064A3B" w:rsidRDefault="00757A10"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BE340D">
        <w:rPr>
          <w:rFonts w:ascii="Times New Roman" w:eastAsia="Times New Roman" w:hAnsi="Times New Roman"/>
          <w:sz w:val="24"/>
          <w:szCs w:val="24"/>
          <w:lang w:eastAsia="es-ES"/>
        </w:rPr>
        <w:t xml:space="preserve">Aprovechando el punto y seguido en </w:t>
      </w:r>
      <w:hyperlink r:id="rId444" w:history="1">
        <w:r w:rsidRPr="006A7314">
          <w:rPr>
            <w:rFonts w:ascii="Times New Roman" w:eastAsia="Times New Roman" w:hAnsi="Times New Roman"/>
            <w:sz w:val="24"/>
            <w:szCs w:val="24"/>
            <w:u w:val="single"/>
            <w:lang w:eastAsia="es-ES"/>
          </w:rPr>
          <w:t>los paros y huelgas de esta semana</w:t>
        </w:r>
      </w:hyperlink>
      <w:r w:rsidR="006A7314">
        <w:rPr>
          <w:rFonts w:ascii="Times New Roman" w:eastAsia="Times New Roman" w:hAnsi="Times New Roman"/>
          <w:sz w:val="24"/>
          <w:szCs w:val="24"/>
          <w:lang w:eastAsia="es-ES"/>
        </w:rPr>
        <w:t xml:space="preserve"> -</w:t>
      </w:r>
      <w:r w:rsidRPr="00BE340D">
        <w:rPr>
          <w:rFonts w:ascii="Times New Roman" w:eastAsia="Times New Roman" w:hAnsi="Times New Roman"/>
          <w:sz w:val="24"/>
          <w:szCs w:val="24"/>
          <w:lang w:eastAsia="es-ES"/>
        </w:rPr>
        <w:t>convocadas de nue</w:t>
      </w:r>
      <w:r w:rsidR="006A7314">
        <w:rPr>
          <w:rFonts w:ascii="Times New Roman" w:eastAsia="Times New Roman" w:hAnsi="Times New Roman"/>
          <w:sz w:val="24"/>
          <w:szCs w:val="24"/>
          <w:lang w:eastAsia="es-ES"/>
        </w:rPr>
        <w:t>vo para el 19 y 20 de diciembre-</w:t>
      </w:r>
      <w:r w:rsidRPr="00BE340D">
        <w:rPr>
          <w:rFonts w:ascii="Times New Roman" w:eastAsia="Times New Roman" w:hAnsi="Times New Roman"/>
          <w:sz w:val="24"/>
          <w:szCs w:val="24"/>
          <w:lang w:eastAsia="es-ES"/>
        </w:rPr>
        <w:t xml:space="preserve">, </w:t>
      </w:r>
      <w:r w:rsidRPr="00064A3B">
        <w:rPr>
          <w:rFonts w:ascii="Times New Roman" w:eastAsia="Times New Roman" w:hAnsi="Times New Roman"/>
          <w:color w:val="FF0000"/>
          <w:sz w:val="24"/>
          <w:szCs w:val="24"/>
          <w:u w:val="single"/>
          <w:lang w:eastAsia="es-ES"/>
        </w:rPr>
        <w:t>los responsables médicos de la región advierten de que en los países en que coexisten los modelos público y privado, "el gasto sanitario por habitante y año es mucho más alto, y la aportación de gasto público para ello también".</w:t>
      </w:r>
    </w:p>
    <w:p w:rsidR="00757A10" w:rsidRPr="00064A3B" w:rsidRDefault="00757A10"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064A3B">
        <w:rPr>
          <w:rFonts w:ascii="Times New Roman" w:eastAsia="Times New Roman" w:hAnsi="Times New Roman"/>
          <w:sz w:val="24"/>
          <w:szCs w:val="24"/>
          <w:u w:val="single"/>
          <w:lang w:eastAsia="es-ES"/>
        </w:rPr>
        <w:t xml:space="preserve">En el caso madrileño, además, denuncian que </w:t>
      </w:r>
      <w:r w:rsidR="006A7314" w:rsidRPr="008B4BA7">
        <w:rPr>
          <w:rFonts w:ascii="Times New Roman" w:eastAsia="Times New Roman" w:hAnsi="Times New Roman"/>
          <w:bCs/>
          <w:sz w:val="24"/>
          <w:szCs w:val="24"/>
          <w:u w:val="single"/>
          <w:lang w:eastAsia="es-ES"/>
        </w:rPr>
        <w:t>“</w:t>
      </w:r>
      <w:r w:rsidRPr="008B4BA7">
        <w:rPr>
          <w:rFonts w:ascii="Times New Roman" w:eastAsia="Times New Roman" w:hAnsi="Times New Roman"/>
          <w:bCs/>
          <w:sz w:val="24"/>
          <w:szCs w:val="24"/>
          <w:u w:val="single"/>
          <w:lang w:eastAsia="es-ES"/>
        </w:rPr>
        <w:t>la aportación económica que la Comunidad pretende pagar a los nuevos due</w:t>
      </w:r>
      <w:r w:rsidR="006A7314" w:rsidRPr="008B4BA7">
        <w:rPr>
          <w:rFonts w:ascii="Times New Roman" w:eastAsia="Times New Roman" w:hAnsi="Times New Roman"/>
          <w:bCs/>
          <w:sz w:val="24"/>
          <w:szCs w:val="24"/>
          <w:u w:val="single"/>
          <w:lang w:eastAsia="es-ES"/>
        </w:rPr>
        <w:t>ños es superior al coste actual”</w:t>
      </w:r>
      <w:r w:rsidRPr="008B4BA7">
        <w:rPr>
          <w:rFonts w:ascii="Times New Roman" w:eastAsia="Times New Roman" w:hAnsi="Times New Roman"/>
          <w:sz w:val="24"/>
          <w:szCs w:val="24"/>
          <w:u w:val="single"/>
          <w:lang w:eastAsia="es-ES"/>
        </w:rPr>
        <w:t>.</w:t>
      </w:r>
      <w:r w:rsidRPr="00064A3B">
        <w:rPr>
          <w:rFonts w:ascii="Times New Roman" w:eastAsia="Times New Roman" w:hAnsi="Times New Roman"/>
          <w:sz w:val="24"/>
          <w:szCs w:val="24"/>
          <w:u w:val="single"/>
          <w:lang w:eastAsia="es-ES"/>
        </w:rPr>
        <w:t xml:space="preserve"> En otras palabras; las empresas adjudicatarias de los servicios </w:t>
      </w:r>
      <w:r w:rsidR="006A7314">
        <w:rPr>
          <w:rFonts w:ascii="Times New Roman" w:eastAsia="Times New Roman" w:hAnsi="Times New Roman"/>
          <w:sz w:val="24"/>
          <w:szCs w:val="24"/>
          <w:u w:val="single"/>
          <w:lang w:eastAsia="es-ES"/>
        </w:rPr>
        <w:t>“</w:t>
      </w:r>
      <w:r w:rsidRPr="00064A3B">
        <w:rPr>
          <w:rFonts w:ascii="Times New Roman" w:eastAsia="Times New Roman" w:hAnsi="Times New Roman"/>
          <w:sz w:val="24"/>
          <w:szCs w:val="24"/>
          <w:u w:val="single"/>
          <w:lang w:eastAsia="es-ES"/>
        </w:rPr>
        <w:t xml:space="preserve">van a tener beneficio con </w:t>
      </w:r>
      <w:r w:rsidR="006A7314">
        <w:rPr>
          <w:rFonts w:ascii="Times New Roman" w:eastAsia="Times New Roman" w:hAnsi="Times New Roman"/>
          <w:sz w:val="24"/>
          <w:szCs w:val="24"/>
          <w:u w:val="single"/>
          <w:lang w:eastAsia="es-ES"/>
        </w:rPr>
        <w:t>el dinero de nuestros impuestos”</w:t>
      </w:r>
      <w:r w:rsidRPr="00064A3B">
        <w:rPr>
          <w:rFonts w:ascii="Times New Roman" w:eastAsia="Times New Roman" w:hAnsi="Times New Roman"/>
          <w:sz w:val="24"/>
          <w:szCs w:val="24"/>
          <w:u w:val="single"/>
          <w:lang w:eastAsia="es-ES"/>
        </w:rPr>
        <w:t>.</w:t>
      </w:r>
    </w:p>
    <w:p w:rsidR="00757A10" w:rsidRDefault="00757A10" w:rsidP="00550638">
      <w:pPr>
        <w:pStyle w:val="NormalWeb"/>
        <w:jc w:val="both"/>
      </w:pPr>
      <w:r>
        <w:t xml:space="preserve">- </w:t>
      </w:r>
      <w:r w:rsidRPr="00E44232">
        <w:rPr>
          <w:u w:val="single"/>
        </w:rPr>
        <w:t>Un revés para el copago</w:t>
      </w:r>
      <w:r>
        <w:t xml:space="preserve"> (El País - </w:t>
      </w:r>
      <w:r w:rsidRPr="00E44232">
        <w:rPr>
          <w:b/>
        </w:rPr>
        <w:t>10/12/12</w:t>
      </w:r>
      <w:r>
        <w:t>)</w:t>
      </w:r>
      <w:r w:rsidR="006A7314">
        <w:t xml:space="preserve">                                 Lectura recomendada</w:t>
      </w:r>
    </w:p>
    <w:p w:rsidR="00757A10" w:rsidRDefault="008B4BA7" w:rsidP="00550638">
      <w:pPr>
        <w:pStyle w:val="NormalWeb"/>
        <w:jc w:val="both"/>
      </w:pPr>
      <w:r>
        <w:t xml:space="preserve"> </w:t>
      </w:r>
      <w:r w:rsidR="00757A10">
        <w:t xml:space="preserve">(Por Juan Gómez / Emilio de Benito) </w:t>
      </w:r>
    </w:p>
    <w:p w:rsidR="00757A10" w:rsidRDefault="00757A10" w:rsidP="00550638">
      <w:pPr>
        <w:pStyle w:val="NormalWeb"/>
        <w:jc w:val="both"/>
      </w:pPr>
      <w:r>
        <w:t xml:space="preserve">En pleno debate sobre qué hacer para asegurar la sostenibilidad financiera del sistema nacional de salud, el anuncio de que Alemania iba a suprimir uno de los copagos sanitarios existentes (el que grava con 10 euros al trimestre a quien vaya a atención </w:t>
      </w:r>
      <w:r>
        <w:lastRenderedPageBreak/>
        <w:t>primaria, con algunos límites en función de la renta y la patología) ha sido recibido por mu</w:t>
      </w:r>
      <w:r w:rsidR="006A7314">
        <w:t>chos en España como una prueba -más bien una victoria-</w:t>
      </w:r>
      <w:r>
        <w:t xml:space="preserve"> de que hay medidas a las que nunca se debe llegar. La idea nunca ha sido propuesta como tal por el PP, PNV o CiU (aunque ha habido comentarios acerca de cobrar por la parte hotelera de la hospitalización, por ejemplo), por citar a los partid</w:t>
      </w:r>
      <w:r w:rsidR="006A7314">
        <w:t>os conservadores que gestionan -</w:t>
      </w:r>
      <w:r>
        <w:t>o van hacerlo pronto</w:t>
      </w:r>
      <w:r w:rsidR="006A7314">
        <w:t>-</w:t>
      </w:r>
      <w:r>
        <w:t xml:space="preserve"> la sanidad en parte de España, y, por supuesto, es rechazada de plano por los otros (PSOE o IU). Pero es como una sombra que se cierne sobre cada decisión, y que políticas como el euro por receta de Cataluña o Madrid hacen más verosímil.</w:t>
      </w:r>
    </w:p>
    <w:p w:rsidR="00757A10" w:rsidRDefault="00757A10" w:rsidP="00550638">
      <w:pPr>
        <w:pStyle w:val="NormalWeb"/>
        <w:jc w:val="both"/>
      </w:pPr>
      <w:r>
        <w:t>Alemania, con copagos para casi todo, desde los medicamentos a la hospitalización (10 euros por día), es el faro que anima a quienes proponen estas medidas para reducir el consumo sanitario de los ciudadanos (aunque no hayan conseguido tener un gasto menor por persona o una menor frecuencia de consultas que España, por poner un país en el extremo opuesto). Pero estas consideraciones quedan lejos de cómo se ha vivido el anuncio en el país.</w:t>
      </w:r>
    </w:p>
    <w:p w:rsidR="00757A10" w:rsidRDefault="00757A10" w:rsidP="00550638">
      <w:pPr>
        <w:pStyle w:val="NormalWeb"/>
        <w:jc w:val="both"/>
      </w:pPr>
      <w:r>
        <w:t>En la consulta del traumatólogo Carsten Schnurbus, en el centro de Berlín, es obvia la unanimidad entre pacientes, facultativos y asistentes: todos los afectados por el copago sanitario introducido en 2004 celebran que se termine el próximo 1 de enero. Schnurbus, que comparte el piso donde pasa consulta con otros dos colegas berlineses, explica tras su escritorio decorado con modelos de huesos y articulaciones que el copago extendió entre los médicos “la sensación de ser meros recaudadores para las mutuas” de seguros públicos. Introducida por la coalición de socialdemócratas (SPD) y Verdes que gobernó Alemania entre 1998 y 2005, esta forma de copago obliga a los pacientes a abonar 10 euros por cada trimestre en el que requieran atenciones médicas. Las consultas tienen la obligación de cobrar la cantidad y extender las correspondientes facturas. No es raro ver carteles explicativos o hasta de disculpa en los recibidores o en las salas de espera. Buena parte de los médicos alemanes cree que la medida minó la confianza de sus pacientes en ellos, al monetizar directamente la atención sanitaria y al obligarlos, según explica Schnurbus, a justificarse o incluso a discutir con ellos. Abajo, en la entrada del edificio ocupado casi exclusivamente por médicos, los pacientes que llegan celebran sin excepción el fin del copago.</w:t>
      </w:r>
    </w:p>
    <w:p w:rsidR="00757A10" w:rsidRDefault="00757A10" w:rsidP="00550638">
      <w:pPr>
        <w:pStyle w:val="NormalWeb"/>
        <w:jc w:val="both"/>
      </w:pPr>
      <w:r>
        <w:t xml:space="preserve">Y aquí entra una de las debilidades del método, como recogen en España desde el portavoz de Sanidad del PSOE, José Martínez Olmos, a la Federación para la Defensa de la Sanidad Pública: que el gasto de la burocracia sea mayor que el ahorro conseguido. En la recepción de la consulta, la asistente Stefanie Röske calcula en “alrededor de una hora diaria” el tiempo que dedicaban a la administración del dinero “entre hacer las facturas, hacer la contabilidad y llevarlo al banco antes de que se acumule demasiado”. Cuando se implantó el copago en 2004 proliferaron las noticias de robos y atracos en algunas consultas de las grandes ciudades. Al ser a menudo pisos desprotegidos y permanentemente abiertos al público, las consultas médicas se convirtieron en un objetivo para pequeños delincuentes. Pero estas dificultades no han sido el motivo de la supresión del copago, votada por unanimidad en el Parlamento federal (Bundestag) este mismo mes. Según la socióloga Barbara Riedmüller-Seel, el fin del copago es “una maniobra electoralista” de la canciller democristiana Angela Merkel ante los comicios generales de 2013. Se la puede permitir porque, en realidad, “no sirvió para nada”. </w:t>
      </w:r>
    </w:p>
    <w:p w:rsidR="00757A10" w:rsidRDefault="00757A10" w:rsidP="00550638">
      <w:pPr>
        <w:pStyle w:val="NormalWeb"/>
        <w:jc w:val="both"/>
      </w:pPr>
      <w:r>
        <w:lastRenderedPageBreak/>
        <w:t xml:space="preserve">Riedmüller-Seel, que además de catedrático en la Universidad Libre de Berlín ha sido diputada regional del SPD, explica que “la medida fue enormemente impopular desde el principio”, pero salió adelante por la aspiración “de disuadir a la gente de ir demasiado al médico”. En Alemania, un enfermo puede visitar directamente a un especialista sin tener que pasar antes por el médico de cabecera. Los 10 euros por trimestre pretendían que los alemanes se lo pensaran dos veces antes de hacer visitas innecesarias o de cambiar de médico constantemente. Pero “al final, los únicos que se lo pensaban dos veces eran los que menos dinero tienen”, el pequeño porcentaje de gente para la que 10 euros trimestrales representan una cantidad significativa. El resto, pagaba a regañadientes e iba al médico igual. A fin de cuentas, “la gente va directamente al especialista porque la red de médicos de familia es deficiente”, sobre todo en las grandes ciudades. </w:t>
      </w:r>
    </w:p>
    <w:p w:rsidR="00757A10" w:rsidRDefault="00757A10" w:rsidP="00550638">
      <w:pPr>
        <w:pStyle w:val="NormalWeb"/>
        <w:jc w:val="both"/>
      </w:pPr>
      <w:r>
        <w:t xml:space="preserve">La supresión del copago trimestral por consulta y la unanimidad con la que fue aprobada son excelentes para la imagen de la canciller democristiana Merkel (CDU) y la de sus socios liberales (FDP) en el Gobierno. El ministro de Sanidad Daniel Bahr (FDP) destacaba el mismo día de la votación parlamentaria que el fondo de sanidad del que se sirven las mutuas públicas “tiene reservas de 14.000 millones de euros”. En total, las aseguradoras públicas (llamadas cajas de enfermedad o </w:t>
      </w:r>
      <w:r w:rsidR="00302D7F">
        <w:t>“</w:t>
      </w:r>
      <w:r>
        <w:t>krankenkassen</w:t>
      </w:r>
      <w:r w:rsidR="00302D7F">
        <w:t>”</w:t>
      </w:r>
      <w:r>
        <w:t>) suman fondos por otros 12.000 millones de euros. Dice el ministro Bahr que este “colchón financiero” permite suprimir el copago trimestral, lo cual costará unos 2.000 millones de euros anuales. Pero no es el único copago.</w:t>
      </w:r>
    </w:p>
    <w:p w:rsidR="00757A10" w:rsidRDefault="00757A10" w:rsidP="00550638">
      <w:pPr>
        <w:pStyle w:val="NormalWeb"/>
        <w:jc w:val="both"/>
      </w:pPr>
      <w:r>
        <w:t xml:space="preserve">En el Ministerio de Sanidad tratan de simplificar el rebuscado sistema de copagos de los pacientes que necesitan medicamentos o internamiento en un hospital: el que tiene un seguro público en Alemania tiene que pagar el 10% del precio de los medicamentos que les receten, con un máximo de 10. Los que cuesten menos de cinco euros los pagará el paciente. Si el medicamento cuesta 500, el enfermo pagará 10. Hay una ristra de excepciones para niños y jóvenes, que no pagan nada, así como para ancianos, enfermos crónicos y parados que viven de subsidios públicos. En total, las aportaciones de los pacientes a sus necesidades médicas no pueden superar el 2% de sus ingresos brutos anuales. Los enfermos crónicos no pagan más del 1% de sus ingresos brutos anuales. Estos pagos se han ido introduciendo paulatinamente en las últimas dos décadas y minando así el sistema de sanidad pública y universal en Alemania. </w:t>
      </w:r>
    </w:p>
    <w:p w:rsidR="00757A10" w:rsidRDefault="00757A10" w:rsidP="00550638">
      <w:pPr>
        <w:pStyle w:val="NormalWeb"/>
        <w:jc w:val="both"/>
      </w:pPr>
      <w:r>
        <w:t xml:space="preserve">No obstante, incluso la supresión del copago trimestral ha provocado críticas. El presidente de la patronal sanitaria, Dieter Hundt, habla de “grave error” que colectivizará más los gastos de los enfermos que más acuden al médico. Más fríamente, los cinco expertos económicos que asesoran al Gobierno alertan de que la buena coyuntura económica de los últimos años ha contribuido a llenar las cajas. Cuando se enfríe la economía, alertan, se echarán de menos los 2.000 millones de euros del copago trimestral. Algunas asociaciones de médicos de cabecera, como la de Sajonia-Anhalt, han protestado por la supresión. Dicen que les permitía supervisar qué médicos visita cada paciente. Los médicos de cabecera eran los más beneficiados por el copago. Ahora piden que se limite el acceso de los ciudadanos directamente al especialista introduciendo una receta obligatoria. </w:t>
      </w:r>
    </w:p>
    <w:p w:rsidR="00757A10" w:rsidRDefault="00757A10" w:rsidP="00550638">
      <w:pPr>
        <w:pStyle w:val="NormalWeb"/>
        <w:jc w:val="both"/>
      </w:pPr>
      <w:r>
        <w:t xml:space="preserve">Todas estas consideraciones son las que impiden que los expertos sean tajantes. “Copago sí o copago no, no es la pregunta. Hay cientos de posibles diseños”, afirma Juan Oliva, presidente de la Asociación de Economistas de la Salud (AES). Para él, lo </w:t>
      </w:r>
      <w:r>
        <w:lastRenderedPageBreak/>
        <w:t>importante, en primer lugar es decidir qué se busca con la medida, si aumentar los ingresos o evitar el consumo. La primera de las opciones es rechazada por casi todos. Como en el caso alemán, el riesgo es que los gastos de la gestión burocrática de la medida se coman los posibles beneficios económicos.</w:t>
      </w:r>
    </w:p>
    <w:p w:rsidR="00757A10" w:rsidRDefault="00757A10" w:rsidP="00550638">
      <w:pPr>
        <w:pStyle w:val="NormalWeb"/>
        <w:jc w:val="both"/>
      </w:pPr>
      <w:r>
        <w:t>Queda, por tanto, la segunda. Y aquí hay una primera consideración que hacer: que faltan estudios homologables. Hay mucha aproximación teórica, pero no existe una clara casuística que permita predecir qué va a pasar con cada pago. Ni los límites están claros. El tema del copago por consulta o urgencias es claramente un tema sanitario, pero ¿qué pasa con la comida de los hospitales? ¿Es un uso hostelero o sanitario?</w:t>
      </w:r>
    </w:p>
    <w:p w:rsidR="00757A10" w:rsidRDefault="00757A10" w:rsidP="00550638">
      <w:pPr>
        <w:pStyle w:val="NormalWeb"/>
        <w:jc w:val="both"/>
      </w:pPr>
      <w:r>
        <w:t xml:space="preserve">“El conocimiento acumulado advierte de que el copago reduce el consumo innecesario, pero también el necesario”, señala Oliva. “Para los sanos tiene un efecto leve; a los que tienen baja renta o una enfermedad crónica le afectará más. Eso hay que tenerlo muy en cuenta cuando se diseña”, insiste. De hecho, esos condicionantes también </w:t>
      </w:r>
      <w:r w:rsidR="006964D5">
        <w:t>afectan al copago farmacéutico -</w:t>
      </w:r>
      <w:r>
        <w:t>“que, diga lo que diga la ministra</w:t>
      </w:r>
      <w:r w:rsidR="006964D5">
        <w:t>, también es sanitario”, afirma-</w:t>
      </w:r>
      <w:r>
        <w:t xml:space="preserve">. </w:t>
      </w:r>
    </w:p>
    <w:p w:rsidR="00757A10" w:rsidRDefault="00757A10" w:rsidP="00550638">
      <w:pPr>
        <w:pStyle w:val="NormalWeb"/>
        <w:jc w:val="both"/>
      </w:pPr>
      <w:r>
        <w:t xml:space="preserve">El también economista Carlos Blanco resalta que el anuncio de Alemania se haya hecho ante unas elecciones. “Se había visto que ese copago era el que más incomodaba a los ciudadanos”, dice. Pero, además, destaca que “desde 2004 no se ha reducido el número de vistas al médico” pese a su implantación, y lo achaca a que ya se había conseguido eso con un “copago anterior”. </w:t>
      </w:r>
    </w:p>
    <w:p w:rsidR="00757A10" w:rsidRDefault="00757A10" w:rsidP="00550638">
      <w:pPr>
        <w:pStyle w:val="NormalWeb"/>
        <w:jc w:val="both"/>
      </w:pPr>
      <w:r>
        <w:t>Para este experto, el dilema no es tanto la cantidad que se paga, sino si se pone un límite máximo. “El problema es si se traduce en una falta de equidad”, apunta. Javier Rey, de la Fundación Alternativas, señala otros efectos. “Para empezar es un riesgo, porque se está experimentando con la salud”. “Es cierto que tiene una eficacia muy rápida”, como se ha visto en España con la modificación del copago farmacéutico, “pero también se sabe que suele haber un efecto rebote” cuando la gente se acostumbra al pago. Rey también apunta a que al instaurar el copago se abandonan otros intentos de regular la demanda, por lo que no se sabe si se podría conseguir lo mismo con otros medios.</w:t>
      </w:r>
    </w:p>
    <w:p w:rsidR="00757A10" w:rsidRDefault="00757A10" w:rsidP="00550638">
      <w:pPr>
        <w:pStyle w:val="NormalWeb"/>
        <w:jc w:val="both"/>
      </w:pPr>
      <w:r>
        <w:t>El efecto sobre la salud es lo que más preocupa a José Luis Llisterri, presidente de la Sociedad Española de Médicos de Atención Primaria Semergen. Él está convencido de que este tipo de copagos “no son las soluciones para el déficit”. “Sabemos que con Reino Unido y Dinamarca somos la excepción”, porque todavía en España no lo hay por acto médico, pero en los otros países “es puramente recaudatorio”. “Si se tradujera en un descenso de la morbimortalidad, bienvenido sea, pero más bien parece lo contrario”. Llisterri señala que hay estudios al respecto en Canadá y Estados Unidos.</w:t>
      </w:r>
    </w:p>
    <w:p w:rsidR="00757A10" w:rsidRDefault="00757A10" w:rsidP="00550638">
      <w:pPr>
        <w:pStyle w:val="NormalWeb"/>
        <w:jc w:val="both"/>
      </w:pPr>
      <w:r>
        <w:t>En Canadá se ha intentado, y al final “una de las condiciones que se impuso a todas las provincias es que no impongan barreras a la igualdad en el acceso a la sanidad”. “Hubo problemas con Ontario y Alberta”, y la regulación por parte de las provincias y Estados “ha dado lugar a conflictos”, señala Rey.</w:t>
      </w:r>
    </w:p>
    <w:p w:rsidR="00757A10" w:rsidRDefault="00757A10" w:rsidP="00550638">
      <w:pPr>
        <w:pStyle w:val="NormalWeb"/>
        <w:jc w:val="both"/>
      </w:pPr>
      <w:r>
        <w:t>El presidente del sindicato de enfermería Satse, Víctor Aznar Marcén, es el más tajante. “Si el Ejecutivo de Angela Merkel, que es un férreo y estricto defensor del control del gasto público y si ha decidido quitar el copago y tener que poner de su bolsillo lo que hasta ahora pagaban otros, es que tiene muy claro que esta medida no consigue los resultados perseguidos”.</w:t>
      </w:r>
    </w:p>
    <w:p w:rsidR="00757A10" w:rsidRDefault="00757A10" w:rsidP="00550638">
      <w:pPr>
        <w:pStyle w:val="NormalWeb"/>
        <w:jc w:val="both"/>
      </w:pPr>
      <w:r>
        <w:lastRenderedPageBreak/>
        <w:t xml:space="preserve">- </w:t>
      </w:r>
      <w:r w:rsidRPr="00281B1F">
        <w:rPr>
          <w:u w:val="single"/>
        </w:rPr>
        <w:t>Los hospitales de gestión privada son un 27% más baratos</w:t>
      </w:r>
      <w:r>
        <w:t xml:space="preserve"> (Libertad Digital - </w:t>
      </w:r>
      <w:r w:rsidRPr="00281B1F">
        <w:rPr>
          <w:b/>
        </w:rPr>
        <w:t>11/12/12</w:t>
      </w:r>
      <w:r>
        <w:t>)</w:t>
      </w:r>
    </w:p>
    <w:p w:rsidR="00757A10" w:rsidRDefault="00757A10" w:rsidP="00550638">
      <w:pPr>
        <w:pStyle w:val="NormalWeb"/>
        <w:jc w:val="both"/>
      </w:pPr>
      <w:r>
        <w:t>Los centros controlados por la administración tienen datos parecidos en la asistencia a los pacientes, pero incurren en costes superiores.</w:t>
      </w:r>
    </w:p>
    <w:p w:rsidR="00757A10" w:rsidRDefault="00757A10" w:rsidP="00550638">
      <w:pPr>
        <w:pStyle w:val="NormalWeb"/>
        <w:jc w:val="both"/>
      </w:pPr>
      <w:r>
        <w:t>(Por D. S</w:t>
      </w:r>
      <w:r w:rsidR="006A7314">
        <w:t>oriano)                                                                                Lectura recomendada</w:t>
      </w:r>
    </w:p>
    <w:p w:rsidR="00757A10" w:rsidRDefault="00757A10" w:rsidP="00550638">
      <w:pPr>
        <w:pStyle w:val="NormalWeb"/>
        <w:jc w:val="both"/>
      </w:pPr>
      <w:r>
        <w:t xml:space="preserve"> ¿Qué es más barato: un hospital público tradicional o uno gestionado por una compañía privada? ¿Y cuál de los dos provee a sus usuarios de un servicio mejor? Éstas son las dos cuestiones clave en la polémica sobre la reforma de la sanidad madrileña que desde hace semanas tiene en pie de guerra a buena parte de los médicos de esta comunidad.</w:t>
      </w:r>
    </w:p>
    <w:p w:rsidR="00757A10" w:rsidRDefault="00757A10" w:rsidP="00550638">
      <w:pPr>
        <w:pStyle w:val="NormalWeb"/>
        <w:jc w:val="both"/>
      </w:pPr>
      <w:r>
        <w:t>Para los que se oponen a los cambios impulsados por Javier Fernández-Lasquetty, las empresas son más caras, puesto que quieren obtener un beneficio, un coste en el que no incurren los hospitales públicos. Además, no se preocupan del bienestar de su paciente, porque su única prioridad es sacar un euro más en su cuenta de resultados.</w:t>
      </w:r>
    </w:p>
    <w:p w:rsidR="00757A10" w:rsidRDefault="00757A10" w:rsidP="00550638">
      <w:pPr>
        <w:pStyle w:val="NormalWeb"/>
        <w:jc w:val="both"/>
      </w:pPr>
      <w:r>
        <w:t>Para los que piden más intervención del sector privado, éste ha demostrado en repetidas ocasiones que es capaz de ahorrar mucho más que cualquier organización burocrática, ofreciendo servicios similares a un coste muy inferior, puesto que tiene la presión de tener que ser cada día más eficiente, tanto por lo que respecta a sus clientes (en este caso usuarios) como a sus propietarios.</w:t>
      </w:r>
    </w:p>
    <w:p w:rsidR="00757A10" w:rsidRDefault="00757A10" w:rsidP="00550638">
      <w:pPr>
        <w:pStyle w:val="NormalWeb"/>
        <w:jc w:val="both"/>
      </w:pPr>
      <w:r>
        <w:t>Hace unos días, Iasist, compañía de consultoría especializada en el sector sanitario, presentó en Esade, su segundo informe Evaluación de resultados de los hospitales según su modelo de gestión (el primero se publicó en 2007). Según los resultados del análisis de 78 hospitales de toda España, los 41 de Gestión Administrativa Directa (GDA) y los 37 de Otras Formas de Gestión (OFG) tienen unos resultados de calidad asistencial muy similares con una diferencia: los segundos, aquellos en los que los servicios los proveen compañías privadas, son bastante más baratos que los primeros (hasta un 26,8% en el coste de producción por línea de producto).</w:t>
      </w:r>
    </w:p>
    <w:p w:rsidR="00757A10" w:rsidRDefault="00757A10" w:rsidP="00550638">
      <w:pPr>
        <w:pStyle w:val="NormalWeb"/>
        <w:jc w:val="both"/>
      </w:pPr>
      <w:r>
        <w:t>Los datos de la muestra</w:t>
      </w:r>
    </w:p>
    <w:p w:rsidR="00757A10" w:rsidRDefault="00757A10" w:rsidP="00550638">
      <w:pPr>
        <w:pStyle w:val="NormalWeb"/>
        <w:jc w:val="both"/>
      </w:pPr>
      <w:r>
        <w:t>En general, los hospitales públicos analizados son algo más grandes que los gestionados de forma privada: 258 camas por 151 de media y 1.207 por 665 trabajadores. En los primeros, el personal facultativo (entre médicos y MIR) supone el 21% del total, mientras que en los segundos alcanza el 22,6%. En lo que se refiere a los pacientes, no hay demasiadas diferencias, puesto que la edad media de unos y otros apenas varía en dos años: 55,2 para los GDA y 57 para los OFG.</w:t>
      </w:r>
    </w:p>
    <w:p w:rsidR="00757A10" w:rsidRDefault="00757A10" w:rsidP="00550638">
      <w:pPr>
        <w:pStyle w:val="NormalWeb"/>
        <w:jc w:val="both"/>
      </w:pPr>
      <w:r>
        <w:t>En total, los 41 hospitales de gestión pública gastaron 83,3 millones de euros (58,7 millones en personal y 24,6 en aprovisionamientos), mientras que los 37 de gestión privada gastaron unos 48,1 millones (31,7 millones en personal y 16,3 en aprovisionamientos).</w:t>
      </w:r>
    </w:p>
    <w:p w:rsidR="006964D5" w:rsidRDefault="006964D5" w:rsidP="00550638">
      <w:pPr>
        <w:pStyle w:val="NormalWeb"/>
        <w:jc w:val="both"/>
      </w:pPr>
    </w:p>
    <w:p w:rsidR="006964D5" w:rsidRDefault="006964D5" w:rsidP="00550638">
      <w:pPr>
        <w:pStyle w:val="NormalWeb"/>
        <w:jc w:val="both"/>
      </w:pPr>
    </w:p>
    <w:p w:rsidR="00757A10" w:rsidRDefault="00757A10" w:rsidP="00550638">
      <w:pPr>
        <w:pStyle w:val="NormalWeb"/>
        <w:jc w:val="both"/>
      </w:pPr>
      <w:r>
        <w:lastRenderedPageBreak/>
        <w:t>Los resultados</w:t>
      </w:r>
    </w:p>
    <w:p w:rsidR="00757A10" w:rsidRDefault="00757A10" w:rsidP="00550638">
      <w:pPr>
        <w:pStyle w:val="NormalWeb"/>
        <w:jc w:val="both"/>
      </w:pPr>
      <w:r>
        <w:t>Hasta aquí, tenemos los datos brutos de estos 78 hospitales. Lo importante, sin embargo, no es cuánto gastan en total (puesto que hay centros más grandes o que atienden a poblaciones mayores), sino cómo lo</w:t>
      </w:r>
      <w:r w:rsidR="006A7314">
        <w:t xml:space="preserve"> hacen tanto en cuestión de la “calidad asistencial”</w:t>
      </w:r>
      <w:r>
        <w:t xml:space="preserve"> que ofrecen a los</w:t>
      </w:r>
      <w:r w:rsidR="006A7314">
        <w:t xml:space="preserve"> pacientes como en cuanto a su “eficiencia económica”</w:t>
      </w:r>
      <w:r>
        <w:t>. Según los datos de Iasist, no hay demasiadas diferencias en lo primero (aunque los privados están ligeramente por delante) pero sí en cuanto a lo segundo.</w:t>
      </w:r>
    </w:p>
    <w:p w:rsidR="00757A10" w:rsidRDefault="00757A10" w:rsidP="00550638">
      <w:pPr>
        <w:pStyle w:val="NormalWeb"/>
        <w:jc w:val="both"/>
      </w:pPr>
      <w:r>
        <w:t xml:space="preserve">De esta </w:t>
      </w:r>
      <w:r w:rsidR="006A7314">
        <w:t>manera, en los tres índices de “calidad asistencial”</w:t>
      </w:r>
      <w:r>
        <w:t xml:space="preserve"> los GDA y los OFG tienen unos resultados similares (algo mejores para estos últimos, pero no lo suficiente como para sacar conclusiones robustas desde el punto de vista estadístico):</w:t>
      </w:r>
    </w:p>
    <w:p w:rsidR="00757A10" w:rsidRDefault="00757A10" w:rsidP="00550638">
      <w:pPr>
        <w:pStyle w:val="NormalWeb"/>
        <w:jc w:val="both"/>
      </w:pPr>
      <w:r>
        <w:t xml:space="preserve"> •Índice de mortalidad ajustado por riesgo: 0,93 en los GDA y de 0,81 en los gestionados por compañías privadas. Son dos buenos datos, aunque el de los OFG es un 13% mejor (eso sí, hay que apuntar a que el porcentaje de la varianza explicada por la pertenencia a distintos modelos de gestión sólo explicaría el 9% de esta diferencia).</w:t>
      </w:r>
    </w:p>
    <w:p w:rsidR="00757A10" w:rsidRDefault="00757A10" w:rsidP="00550638">
      <w:pPr>
        <w:pStyle w:val="NormalWeb"/>
        <w:jc w:val="both"/>
      </w:pPr>
      <w:r>
        <w:t>•Índice de complicaciones ajustado por riesgo: hay casi un empate, con un 0,94 para los GDA y un 0,94 para los OFG (apenas un 2,1% de ventaja para los de gestión privada).</w:t>
      </w:r>
    </w:p>
    <w:p w:rsidR="00757A10" w:rsidRDefault="00757A10" w:rsidP="00550638">
      <w:pPr>
        <w:pStyle w:val="NormalWeb"/>
        <w:jc w:val="both"/>
      </w:pPr>
      <w:r>
        <w:t>•Índice de readmisiones ajustado por riesgo: las cifras son de 0,98 para los públicos puros y del 0,90 para los gestionados de forma privada (lo que supone un 7,7% de diferencia</w:t>
      </w:r>
      <w:r w:rsidR="006A7314">
        <w:t>,</w:t>
      </w:r>
      <w:r>
        <w:t xml:space="preserve"> a favor de estos últimos). </w:t>
      </w:r>
    </w:p>
    <w:p w:rsidR="00757A10" w:rsidRDefault="00757A10" w:rsidP="00550638">
      <w:pPr>
        <w:pStyle w:val="NormalWeb"/>
        <w:jc w:val="both"/>
      </w:pPr>
      <w:r>
        <w:t>Sin embargo, esta situación de relativa igualdad en lo que hace referencia al trato a los pacientes se descompensa en lo que hace referencia a los datos de eficiencia económica:</w:t>
      </w:r>
    </w:p>
    <w:p w:rsidR="00757A10" w:rsidRDefault="00757A10" w:rsidP="00550638">
      <w:pPr>
        <w:pStyle w:val="NormalWeb"/>
        <w:jc w:val="both"/>
      </w:pPr>
      <w:r>
        <w:t xml:space="preserve"> •Coste de producción ajustado por línea de producción: los resultados son de 3.142 euros en los hospitales de gestión directa y de 2.301 en los de otras formas de gestión. Supone una diferencia del 26,8% y, además, en este caso la parte de la varianza que se puede explicar directamente por esta cuestión alcanza el 29,9%.</w:t>
      </w:r>
    </w:p>
    <w:p w:rsidR="00757A10" w:rsidRDefault="00757A10" w:rsidP="00550638">
      <w:pPr>
        <w:pStyle w:val="NormalWeb"/>
        <w:jc w:val="both"/>
      </w:pPr>
      <w:r>
        <w:t>•Productividad del personal sanitario: en el grupo GDA es de 34 y en el de OFG alcanza 47, un 37% más (también muy significativo desde el punto de vista estadístico).</w:t>
      </w:r>
    </w:p>
    <w:p w:rsidR="00757A10" w:rsidRDefault="00757A10" w:rsidP="00550638">
      <w:pPr>
        <w:pStyle w:val="NormalWeb"/>
        <w:jc w:val="both"/>
      </w:pPr>
      <w:r>
        <w:t xml:space="preserve">•Coste aprovisionamientos por unidad de producción: mientras que en los centros gestionados por la administración alcanza los 496 euros, en los nuevos hospitales apenas se queda en los 303 euros (un 39% menos). </w:t>
      </w:r>
    </w:p>
    <w:p w:rsidR="00757A10" w:rsidRDefault="00757A10" w:rsidP="00550638">
      <w:pPr>
        <w:pStyle w:val="NormalWeb"/>
        <w:jc w:val="both"/>
      </w:pPr>
      <w:r>
        <w:t xml:space="preserve">Evidentemente, no todos los hospitales de GDA están peor clasificados que los OFG, por eso, los autores del informe destacan que si hay </w:t>
      </w:r>
      <w:r w:rsidR="006A7314">
        <w:t>centros de gestión directa que “</w:t>
      </w:r>
      <w:r>
        <w:t>consiguen unos resultados notables en cuanto a eficiencia, es necesario analizar cuáles son los factores que subyacen en la con</w:t>
      </w:r>
      <w:r w:rsidR="006A7314">
        <w:t>secución de dichos resultados, (para que)</w:t>
      </w:r>
      <w:r>
        <w:t xml:space="preserve"> puedan servir de guía a</w:t>
      </w:r>
      <w:r w:rsidR="006A7314">
        <w:t>l resto de centros de este tipo”</w:t>
      </w:r>
      <w:r>
        <w:t>. Eso sí, los datos del estudio tambi</w:t>
      </w:r>
      <w:r w:rsidR="006A7314">
        <w:t>én demuestran con claridad que “</w:t>
      </w:r>
      <w:r>
        <w:t>la mayor eficiencia económica no condicion</w:t>
      </w:r>
      <w:r w:rsidR="006A7314">
        <w:t>a la calidad científico-técnica”</w:t>
      </w:r>
      <w:r>
        <w:t>, como lo demuestra el hecho de que aquellos centros que mejor usan sus recursos desde el punto de vista del coste tengan resultados similares en lo que hace referencia al tratamiento de los pacientes.</w:t>
      </w:r>
    </w:p>
    <w:p w:rsidR="00757A10" w:rsidRDefault="00757A10" w:rsidP="00550638">
      <w:pPr>
        <w:pStyle w:val="NormalWeb"/>
        <w:jc w:val="both"/>
      </w:pPr>
      <w:r>
        <w:lastRenderedPageBreak/>
        <w:t xml:space="preserve">- </w:t>
      </w:r>
      <w:r w:rsidRPr="0040189F">
        <w:rPr>
          <w:u w:val="single"/>
        </w:rPr>
        <w:t>La sanidad que disfrutan los funcionarios</w:t>
      </w:r>
      <w:r>
        <w:t xml:space="preserve"> (Negocios.com - </w:t>
      </w:r>
      <w:r w:rsidRPr="0040189F">
        <w:rPr>
          <w:b/>
        </w:rPr>
        <w:t>19/12/12</w:t>
      </w:r>
      <w:r>
        <w:t>)</w:t>
      </w:r>
    </w:p>
    <w:p w:rsidR="00757A10" w:rsidRDefault="00757A10" w:rsidP="00550638">
      <w:pPr>
        <w:pStyle w:val="NormalWeb"/>
        <w:jc w:val="both"/>
      </w:pPr>
      <w:r>
        <w:t>(Por A. M</w:t>
      </w:r>
      <w:r w:rsidR="006A7314">
        <w:t xml:space="preserve">íguez)                                                                                Lectura recomendada               </w:t>
      </w:r>
    </w:p>
    <w:p w:rsidR="00757A10" w:rsidRPr="002C1271" w:rsidRDefault="00757A10" w:rsidP="00550638">
      <w:pPr>
        <w:pStyle w:val="NormalWeb"/>
        <w:jc w:val="both"/>
      </w:pPr>
      <w:r w:rsidRPr="00EC312A">
        <w:rPr>
          <w:color w:val="FF0000"/>
          <w:u w:val="single"/>
        </w:rPr>
        <w:t xml:space="preserve">La elección de médico, las listas de espera, el ahorro presupuestario, entre otras ventajas, hacen que la asistencia médica privada sea elegida mayoritariamente por los empleados públicos. </w:t>
      </w:r>
    </w:p>
    <w:p w:rsidR="00757A10" w:rsidRPr="00EC312A" w:rsidRDefault="00757A10" w:rsidP="00550638">
      <w:pPr>
        <w:pStyle w:val="NormalWeb"/>
        <w:jc w:val="both"/>
        <w:rPr>
          <w:color w:val="FF0000"/>
          <w:u w:val="single"/>
        </w:rPr>
      </w:pPr>
      <w:r w:rsidRPr="00EC312A">
        <w:rPr>
          <w:color w:val="FF0000"/>
          <w:u w:val="single"/>
        </w:rPr>
        <w:t xml:space="preserve">A la hora de optar por la asistencia médica, los funcionarios lo tienen claro. Más del 80% de los empleados públicos, en total casi 1,3 millones de personas, ha elegido el seguro privado frente a un minoritario 18% que prefirió la provisión sanitaria de la Seguridad Social.  </w:t>
      </w:r>
    </w:p>
    <w:p w:rsidR="00757A10" w:rsidRPr="00EC312A" w:rsidRDefault="00757A10" w:rsidP="00550638">
      <w:pPr>
        <w:pStyle w:val="NormalWeb"/>
        <w:jc w:val="both"/>
        <w:rPr>
          <w:b/>
          <w:color w:val="FF0000"/>
          <w:u w:val="single"/>
        </w:rPr>
      </w:pPr>
      <w:r w:rsidRPr="00EC312A">
        <w:rPr>
          <w:b/>
          <w:color w:val="FF0000"/>
          <w:u w:val="single"/>
        </w:rPr>
        <w:t>Además, no sólo el 82% de los funcionarios públicos disfruta de las ventajas de la Mutualidad General de Funcionarios Civiles del Estado (Muface). Indirectamente hay que sumarle 700.000 beneficiarios, fundamentalmente hijos, parejas y otras personas a cargo sin ingresos.</w:t>
      </w:r>
    </w:p>
    <w:p w:rsidR="00757A10" w:rsidRPr="00EC312A" w:rsidRDefault="00757A10" w:rsidP="00550638">
      <w:pPr>
        <w:pStyle w:val="NormalWeb"/>
        <w:jc w:val="both"/>
        <w:rPr>
          <w:u w:val="single"/>
        </w:rPr>
      </w:pPr>
      <w:r w:rsidRPr="00EC312A">
        <w:rPr>
          <w:u w:val="single"/>
        </w:rPr>
        <w:t xml:space="preserve">Prácticamente los únicos que optan por la sanidad pública son los propios trabajadores de la Seguridad Social y algunos de sus familiares funcionarios que trabajan en otras ramas de la Administración. </w:t>
      </w:r>
    </w:p>
    <w:p w:rsidR="00757A10" w:rsidRDefault="00757A10" w:rsidP="00550638">
      <w:pPr>
        <w:pStyle w:val="NormalWeb"/>
        <w:jc w:val="both"/>
      </w:pPr>
      <w:r>
        <w:t>En el modelo Muface, las mutualidades de funcionarios conciertan la provisión de asistencia sanitaria con entidades de seguro privadas y con el Instituto Nacional de la Seguridad Social (INSS), abonando a las entidades concertadas la cuota caritativa mediante una prima mensual por persona protegida.</w:t>
      </w:r>
    </w:p>
    <w:p w:rsidR="00757A10" w:rsidRPr="0040189F" w:rsidRDefault="00757A10" w:rsidP="00550638">
      <w:pPr>
        <w:shd w:val="clear" w:color="auto" w:fill="FFFFFF"/>
        <w:spacing w:before="100" w:beforeAutospacing="1" w:after="100" w:afterAutospacing="1" w:line="240" w:lineRule="auto"/>
        <w:ind w:left="284"/>
        <w:rPr>
          <w:rFonts w:ascii="Arial" w:eastAsia="Times New Roman" w:hAnsi="Arial" w:cs="Arial"/>
          <w:color w:val="666666"/>
          <w:sz w:val="23"/>
          <w:szCs w:val="23"/>
          <w:lang w:eastAsia="es-ES"/>
        </w:rPr>
      </w:pPr>
      <w:r>
        <w:rPr>
          <w:rFonts w:ascii="Arial" w:eastAsia="Times New Roman" w:hAnsi="Arial" w:cs="Arial"/>
          <w:color w:val="666666"/>
          <w:sz w:val="23"/>
          <w:szCs w:val="23"/>
          <w:lang w:eastAsia="es-ES"/>
        </w:rPr>
        <w:t xml:space="preserve">              </w:t>
      </w:r>
      <w:r>
        <w:rPr>
          <w:rFonts w:ascii="Arial" w:eastAsia="Times New Roman" w:hAnsi="Arial" w:cs="Arial"/>
          <w:noProof/>
          <w:color w:val="666666"/>
          <w:sz w:val="23"/>
          <w:szCs w:val="23"/>
          <w:lang w:eastAsia="es-ES"/>
        </w:rPr>
        <w:drawing>
          <wp:inline distT="0" distB="0" distL="0" distR="0" wp14:anchorId="15B06769" wp14:editId="2B7BEA22">
            <wp:extent cx="3811218" cy="4111142"/>
            <wp:effectExtent l="0" t="0" r="0" b="3810"/>
            <wp:docPr id="22" name="Imagen 22" descr="ventaj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ventajas"/>
                    <pic:cNvPicPr>
                      <a:picLocks noChangeAspect="1" noChangeArrowheads="1"/>
                    </pic:cNvPicPr>
                  </pic:nvPicPr>
                  <pic:blipFill>
                    <a:blip r:embed="rId445">
                      <a:extLst>
                        <a:ext uri="{28A0092B-C50C-407E-A947-70E740481C1C}">
                          <a14:useLocalDpi xmlns:a14="http://schemas.microsoft.com/office/drawing/2010/main" val="0"/>
                        </a:ext>
                      </a:extLst>
                    </a:blip>
                    <a:srcRect/>
                    <a:stretch>
                      <a:fillRect/>
                    </a:stretch>
                  </pic:blipFill>
                  <pic:spPr bwMode="auto">
                    <a:xfrm>
                      <a:off x="0" y="0"/>
                      <a:ext cx="3811218" cy="4111142"/>
                    </a:xfrm>
                    <a:prstGeom prst="rect">
                      <a:avLst/>
                    </a:prstGeom>
                    <a:noFill/>
                    <a:ln>
                      <a:noFill/>
                    </a:ln>
                  </pic:spPr>
                </pic:pic>
              </a:graphicData>
            </a:graphic>
          </wp:inline>
        </w:drawing>
      </w:r>
    </w:p>
    <w:p w:rsidR="00757A10" w:rsidRPr="00EC312A" w:rsidRDefault="00757A10" w:rsidP="00550638">
      <w:pPr>
        <w:pStyle w:val="NormalWeb"/>
        <w:jc w:val="both"/>
        <w:rPr>
          <w:color w:val="FF0000"/>
          <w:u w:val="single"/>
        </w:rPr>
      </w:pPr>
      <w:r>
        <w:lastRenderedPageBreak/>
        <w:t xml:space="preserve">A partir de ahí, son los propios funcionarios del Estado quienes eligen libre y voluntariamente si quieren ser atendidos por el Sistema Nacional de Salud (SNS) o por una aseguradora. </w:t>
      </w:r>
      <w:r w:rsidRPr="00EC312A">
        <w:rPr>
          <w:color w:val="FF0000"/>
          <w:u w:val="single"/>
        </w:rPr>
        <w:t>Aunque parece una ironía que el propio funcionario reniegue de los servicios públicos, la decisión mayoritaria de la plantilla estatal además de ofrecerle servicios que no da la Seguridad Social otorga un suculento respiro presupuestario. Según un informe de PWC, por cada funcionario que opta por el seguro privado se ahorra un 40% con respecto a si el empleado hubiese elegido la Seguridad Social.</w:t>
      </w:r>
    </w:p>
    <w:p w:rsidR="00757A10" w:rsidRPr="0040189F" w:rsidRDefault="00757A10" w:rsidP="00550638">
      <w:pPr>
        <w:pStyle w:val="NormalWeb"/>
        <w:jc w:val="both"/>
        <w:rPr>
          <w:u w:val="single"/>
        </w:rPr>
      </w:pPr>
      <w:r w:rsidRPr="00EC312A">
        <w:rPr>
          <w:u w:val="single"/>
        </w:rPr>
        <w:t xml:space="preserve">En cuanto a los motivos que hacen que los funcionarios se decanten por la sanidad privada destacan  las ventajas asistenciales que otorga, tales como libertad de elección de médico, listas de espera, dotación tecnológica, </w:t>
      </w:r>
      <w:r w:rsidR="00D44948" w:rsidRPr="00EC312A">
        <w:rPr>
          <w:u w:val="single"/>
        </w:rPr>
        <w:t>etc.</w:t>
      </w:r>
      <w:r w:rsidRPr="00EC312A">
        <w:rPr>
          <w:u w:val="single"/>
        </w:rPr>
        <w:t>, así como por otros beneficios no cubiertos en la Seguridad Social, como las endodoncias o la óptica.</w:t>
      </w:r>
    </w:p>
    <w:p w:rsidR="00757A10" w:rsidRPr="0040189F" w:rsidRDefault="00757A10" w:rsidP="00550638">
      <w:pPr>
        <w:shd w:val="clear" w:color="auto" w:fill="FFFFFF"/>
        <w:spacing w:before="100" w:beforeAutospacing="1" w:after="100" w:afterAutospacing="1" w:line="240" w:lineRule="auto"/>
        <w:rPr>
          <w:rFonts w:ascii="Arial" w:eastAsia="Times New Roman" w:hAnsi="Arial" w:cs="Arial"/>
          <w:color w:val="666666"/>
          <w:sz w:val="23"/>
          <w:szCs w:val="23"/>
          <w:lang w:eastAsia="es-ES"/>
        </w:rPr>
      </w:pPr>
      <w:r>
        <w:rPr>
          <w:rFonts w:ascii="Arial" w:eastAsia="Times New Roman" w:hAnsi="Arial" w:cs="Arial"/>
          <w:noProof/>
          <w:color w:val="666666"/>
          <w:sz w:val="23"/>
          <w:szCs w:val="23"/>
          <w:lang w:eastAsia="es-ES"/>
        </w:rPr>
        <w:drawing>
          <wp:inline distT="0" distB="0" distL="0" distR="0" wp14:anchorId="4BD1DCAA" wp14:editId="4D0B3615">
            <wp:extent cx="5201107" cy="2472537"/>
            <wp:effectExtent l="0" t="0" r="0" b="4445"/>
            <wp:docPr id="23" name="Imagen 23" descr="segur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seguros"/>
                    <pic:cNvPicPr>
                      <a:picLocks noChangeAspect="1" noChangeArrowheads="1"/>
                    </pic:cNvPicPr>
                  </pic:nvPicPr>
                  <pic:blipFill>
                    <a:blip r:embed="rId446">
                      <a:extLst>
                        <a:ext uri="{28A0092B-C50C-407E-A947-70E740481C1C}">
                          <a14:useLocalDpi xmlns:a14="http://schemas.microsoft.com/office/drawing/2010/main" val="0"/>
                        </a:ext>
                      </a:extLst>
                    </a:blip>
                    <a:srcRect/>
                    <a:stretch>
                      <a:fillRect/>
                    </a:stretch>
                  </pic:blipFill>
                  <pic:spPr bwMode="auto">
                    <a:xfrm>
                      <a:off x="0" y="0"/>
                      <a:ext cx="5201440" cy="2472695"/>
                    </a:xfrm>
                    <a:prstGeom prst="rect">
                      <a:avLst/>
                    </a:prstGeom>
                    <a:noFill/>
                    <a:ln>
                      <a:noFill/>
                    </a:ln>
                  </pic:spPr>
                </pic:pic>
              </a:graphicData>
            </a:graphic>
          </wp:inline>
        </w:drawing>
      </w:r>
    </w:p>
    <w:p w:rsidR="00757A10" w:rsidRPr="00EC312A" w:rsidRDefault="00757A10" w:rsidP="00550638">
      <w:pPr>
        <w:pStyle w:val="NormalWeb"/>
        <w:jc w:val="both"/>
        <w:rPr>
          <w:u w:val="single"/>
        </w:rPr>
      </w:pPr>
      <w:r w:rsidRPr="00EC312A">
        <w:rPr>
          <w:u w:val="single"/>
        </w:rPr>
        <w:t xml:space="preserve">El modelo Muface consiste en un sistema de prestación pública ejecutado por proveedores privados, con la libertad de elección de entidad y facultativo por parte de los beneficiarios. Cada año los mutualistas pueden cambiar de compañía, entre las que suscriben el concierto, que se renueva cada tres años, o bien decidir su cobertura a través del proveedor del sistema público. </w:t>
      </w:r>
    </w:p>
    <w:p w:rsidR="00757A10" w:rsidRDefault="00757A10" w:rsidP="00550638">
      <w:pPr>
        <w:pStyle w:val="NormalWeb"/>
        <w:jc w:val="both"/>
      </w:pPr>
      <w:r>
        <w:t>¿Quién financia Muface?</w:t>
      </w:r>
    </w:p>
    <w:p w:rsidR="00757A10" w:rsidRPr="007E77E4" w:rsidRDefault="00757A10" w:rsidP="00550638">
      <w:pPr>
        <w:pStyle w:val="NormalWeb"/>
        <w:jc w:val="both"/>
        <w:rPr>
          <w:color w:val="FF0000"/>
          <w:u w:val="single"/>
        </w:rPr>
      </w:pPr>
      <w:r w:rsidRPr="007E77E4">
        <w:rPr>
          <w:color w:val="FF0000"/>
          <w:u w:val="single"/>
        </w:rPr>
        <w:t xml:space="preserve">Muface se financia básicamente con las cuotas que se detraen todos los meses de las nóminas de los funcionarios. En la actualidad oscila, según las categorías, entre 19,3 y 47,3 euros mensuales por persona, y complementariamente, con una aportación del Estado. </w:t>
      </w:r>
    </w:p>
    <w:p w:rsidR="00757A10" w:rsidRDefault="00757A10" w:rsidP="00550638">
      <w:pPr>
        <w:pStyle w:val="NormalWeb"/>
        <w:jc w:val="both"/>
      </w:pPr>
      <w:r>
        <w:t>En 2010, último ejercicio en el que el Boletín Oficial del Estado (BOE) ha publicado las cuentas anuales. Muface ha gastado 1.612 millones de euros. En el desglose destaca que 1.489,6 millones, un 92,4% fueron aportados individualmente a través de la nómina y el resto con una aportación del Estado de 84,4 millones, un 5,2%, unos ingresos de gestión ordinaria de 5,4 millones, lo que se traduce 0,3%, otros extraordinarios de 5,9 millones, un 0,4% y un desahorro de 26,7 millones, un 1,7%.</w:t>
      </w:r>
    </w:p>
    <w:p w:rsidR="00757A10" w:rsidRPr="007E77E4" w:rsidRDefault="00757A10" w:rsidP="00550638">
      <w:pPr>
        <w:pStyle w:val="NormalWeb"/>
        <w:jc w:val="both"/>
        <w:rPr>
          <w:color w:val="FF0000"/>
          <w:u w:val="single"/>
        </w:rPr>
      </w:pPr>
      <w:r>
        <w:t xml:space="preserve"> </w:t>
      </w:r>
      <w:r w:rsidRPr="007E77E4">
        <w:rPr>
          <w:color w:val="FF0000"/>
          <w:u w:val="single"/>
        </w:rPr>
        <w:t xml:space="preserve">El gasto farmacéutico también se siente aliviado por los mutualistas. Los costes derivados de esta partida ascendieron a casi 327 millones de euros y sirvió a más de 1,6 </w:t>
      </w:r>
      <w:r w:rsidRPr="007E77E4">
        <w:rPr>
          <w:color w:val="FF0000"/>
          <w:u w:val="single"/>
        </w:rPr>
        <w:lastRenderedPageBreak/>
        <w:t xml:space="preserve">millones de personas, funcionarios y sus familiares. Este importe supuso un 20% del gasto total de Muface. Un porcentaje menor que el que registró el SNS que fue del 24%. </w:t>
      </w:r>
    </w:p>
    <w:p w:rsidR="006A7314" w:rsidRDefault="00757A10" w:rsidP="00550638">
      <w:pPr>
        <w:pStyle w:val="NormalWeb"/>
        <w:jc w:val="both"/>
      </w:pPr>
      <w:r w:rsidRPr="007E77E4">
        <w:rPr>
          <w:u w:val="single"/>
        </w:rPr>
        <w:t>Individualmente, los funcionarios pagaron en la farmacia un 30% del precio de los medicamentos</w:t>
      </w:r>
      <w:r>
        <w:t>, unos 98 millones de euros. Mientras, en el SNS, para los usuarios de las prestaciones farmacéuticas, las recetas supusieron un gast</w:t>
      </w:r>
      <w:r w:rsidR="008B4BA7">
        <w:t xml:space="preserve">o de 11.136 millones de euros. </w:t>
      </w:r>
    </w:p>
    <w:p w:rsidR="00757A10" w:rsidRPr="007E77E4" w:rsidRDefault="00757A10" w:rsidP="00550638">
      <w:pPr>
        <w:pStyle w:val="NormalWeb"/>
        <w:jc w:val="both"/>
        <w:rPr>
          <w:color w:val="FF0000"/>
        </w:rPr>
      </w:pPr>
      <w:r w:rsidRPr="007E77E4">
        <w:rPr>
          <w:color w:val="FF0000"/>
        </w:rPr>
        <w:t>¿Por qué no podemos elegir entre la sanidad privada o pública?</w:t>
      </w:r>
    </w:p>
    <w:p w:rsidR="00757A10" w:rsidRPr="00A47085" w:rsidRDefault="00757A10" w:rsidP="00550638">
      <w:pPr>
        <w:pStyle w:val="NormalWeb"/>
        <w:jc w:val="both"/>
        <w:rPr>
          <w:u w:val="single"/>
        </w:rPr>
      </w:pPr>
      <w:r w:rsidRPr="007E77E4">
        <w:rPr>
          <w:u w:val="single"/>
        </w:rPr>
        <w:t>Los expertos aseguran que es probable que la mayor parte de la población, si tuviera esa misma capacidad de elección que los funcionarios, elegiría también la sanidad privada.</w:t>
      </w:r>
    </w:p>
    <w:p w:rsidR="00757A10" w:rsidRPr="0040189F" w:rsidRDefault="00757A10" w:rsidP="00550638">
      <w:pPr>
        <w:shd w:val="clear" w:color="auto" w:fill="FFFFFF"/>
        <w:spacing w:before="100" w:beforeAutospacing="1" w:after="100" w:afterAutospacing="1" w:line="240" w:lineRule="auto"/>
        <w:rPr>
          <w:rFonts w:ascii="Arial" w:eastAsia="Times New Roman" w:hAnsi="Arial" w:cs="Arial"/>
          <w:color w:val="666666"/>
          <w:sz w:val="23"/>
          <w:szCs w:val="23"/>
          <w:lang w:eastAsia="es-ES"/>
        </w:rPr>
      </w:pPr>
      <w:r>
        <w:rPr>
          <w:rFonts w:ascii="Arial" w:eastAsia="Times New Roman" w:hAnsi="Arial" w:cs="Arial"/>
          <w:noProof/>
          <w:color w:val="666666"/>
          <w:sz w:val="23"/>
          <w:szCs w:val="23"/>
          <w:lang w:eastAsia="es-ES"/>
        </w:rPr>
        <w:drawing>
          <wp:inline distT="0" distB="0" distL="0" distR="0" wp14:anchorId="422692AE" wp14:editId="5CD5E8E3">
            <wp:extent cx="5142585" cy="1711756"/>
            <wp:effectExtent l="0" t="0" r="1270" b="3175"/>
            <wp:docPr id="448" name="Imagen 448" descr="valor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valoracion"/>
                    <pic:cNvPicPr>
                      <a:picLocks noChangeAspect="1" noChangeArrowheads="1"/>
                    </pic:cNvPicPr>
                  </pic:nvPicPr>
                  <pic:blipFill>
                    <a:blip r:embed="rId447">
                      <a:extLst>
                        <a:ext uri="{28A0092B-C50C-407E-A947-70E740481C1C}">
                          <a14:useLocalDpi xmlns:a14="http://schemas.microsoft.com/office/drawing/2010/main" val="0"/>
                        </a:ext>
                      </a:extLst>
                    </a:blip>
                    <a:srcRect/>
                    <a:stretch>
                      <a:fillRect/>
                    </a:stretch>
                  </pic:blipFill>
                  <pic:spPr bwMode="auto">
                    <a:xfrm>
                      <a:off x="0" y="0"/>
                      <a:ext cx="5142915" cy="1711866"/>
                    </a:xfrm>
                    <a:prstGeom prst="rect">
                      <a:avLst/>
                    </a:prstGeom>
                    <a:noFill/>
                    <a:ln>
                      <a:noFill/>
                    </a:ln>
                  </pic:spPr>
                </pic:pic>
              </a:graphicData>
            </a:graphic>
          </wp:inline>
        </w:drawing>
      </w:r>
    </w:p>
    <w:p w:rsidR="00757A10" w:rsidRPr="007E77E4" w:rsidRDefault="00757A10" w:rsidP="00550638">
      <w:pPr>
        <w:pStyle w:val="NormalWeb"/>
        <w:jc w:val="both"/>
        <w:rPr>
          <w:u w:val="single"/>
        </w:rPr>
      </w:pPr>
      <w:r w:rsidRPr="007E77E4">
        <w:rPr>
          <w:u w:val="single"/>
        </w:rPr>
        <w:t xml:space="preserve">Las conclusiones son claras. Los funcionarios lo pagan casi todo de su bolsillo y además, pagan los impuestos que financian el SNS. En el lado opuesto, el resto de ciudadanos sólo contribuye a esto último con sus impuestos y con un copago que equivale a menos de una décima parte del valor de los medicamentos que consumen. </w:t>
      </w:r>
    </w:p>
    <w:p w:rsidR="00757A10" w:rsidRDefault="00757A10" w:rsidP="00550638">
      <w:pPr>
        <w:pStyle w:val="NormalWeb"/>
        <w:jc w:val="both"/>
      </w:pPr>
      <w:r>
        <w:t xml:space="preserve">En un plano general, El modelo Muface descongestiona los servicios de la Seguridad Social, además de que ofrece unas ventajas que no hay en el sistema público. En términos económicos, la sanidad privada es más rentable y la más elegida por los que pueden optar a ella libremente. </w:t>
      </w:r>
    </w:p>
    <w:p w:rsidR="00757A10" w:rsidRDefault="00757A10" w:rsidP="00550638">
      <w:pPr>
        <w:pStyle w:val="NormalWeb"/>
        <w:jc w:val="both"/>
      </w:pPr>
      <w:r>
        <w:t xml:space="preserve">- </w:t>
      </w:r>
      <w:r w:rsidRPr="005E7E4F">
        <w:rPr>
          <w:u w:val="single"/>
        </w:rPr>
        <w:t>Uno de cada tres médicos trabaja en la sanidad pública y en la privada</w:t>
      </w:r>
      <w:r>
        <w:t xml:space="preserve"> (Libertad Digital - </w:t>
      </w:r>
      <w:r w:rsidRPr="005E7E4F">
        <w:rPr>
          <w:b/>
        </w:rPr>
        <w:t>24/12/12</w:t>
      </w:r>
      <w:r>
        <w:t>)</w:t>
      </w:r>
      <w:r w:rsidR="001D61FB">
        <w:t xml:space="preserve">                                                                             Lectura recomendada</w:t>
      </w:r>
    </w:p>
    <w:p w:rsidR="00757A10" w:rsidRPr="00713654" w:rsidRDefault="00757A10" w:rsidP="00550638">
      <w:pPr>
        <w:pStyle w:val="NormalWeb"/>
        <w:jc w:val="both"/>
        <w:rPr>
          <w:color w:val="FF0000"/>
          <w:u w:val="single"/>
        </w:rPr>
      </w:pPr>
      <w:r w:rsidRPr="00713654">
        <w:rPr>
          <w:color w:val="FF0000"/>
          <w:u w:val="single"/>
        </w:rPr>
        <w:t>El nuevo modelo de gestión que quiere implantar la Comunidad de Madrid obligaría a los médicos a elegir entre uno u otro sistema.</w:t>
      </w:r>
    </w:p>
    <w:p w:rsidR="00757A10" w:rsidRPr="00713654" w:rsidRDefault="00757A10" w:rsidP="00550638">
      <w:pPr>
        <w:pStyle w:val="NormalWeb"/>
        <w:jc w:val="both"/>
        <w:rPr>
          <w:u w:val="single"/>
        </w:rPr>
      </w:pPr>
      <w:r w:rsidRPr="00713654">
        <w:rPr>
          <w:u w:val="single"/>
        </w:rPr>
        <w:t>Las cifras oficiales demuestran lo que ya era sabido por todos: un gran número de médicos españoles están pluriempleados entre la sanidad pública y privada. En concreto, a día de hoy hay 127.000 médicos colegiados en España de los que 100.000 trabajan en el sector público y 56.000 en el sector privado, según informa el diario el Economista. Con este dato se llega a la conclusión de que 30.000 profesionales públicos (1 de cada 3) alargan su jornada laboral gracias al sistema privado.</w:t>
      </w:r>
    </w:p>
    <w:p w:rsidR="00757A10" w:rsidRPr="00713654" w:rsidRDefault="00757A10" w:rsidP="00550638">
      <w:pPr>
        <w:pStyle w:val="NormalWeb"/>
        <w:jc w:val="both"/>
        <w:rPr>
          <w:u w:val="single"/>
        </w:rPr>
      </w:pPr>
      <w:r w:rsidRPr="00713654">
        <w:rPr>
          <w:u w:val="single"/>
        </w:rPr>
        <w:t>Esta misma semana, el consejero de Sanidad de la Comunidad de Madrid, Javier Fernández-Lasquetty, insistía en que su departamento va a mantener la prevista externalización de la gestión de seis hospitales públicos, la cual se iniciará en los primeros meses de 2013.</w:t>
      </w:r>
    </w:p>
    <w:p w:rsidR="00757A10" w:rsidRPr="00713654" w:rsidRDefault="00757A10" w:rsidP="00550638">
      <w:pPr>
        <w:pStyle w:val="NormalWeb"/>
        <w:jc w:val="both"/>
        <w:rPr>
          <w:color w:val="FF0000"/>
          <w:u w:val="single"/>
        </w:rPr>
      </w:pPr>
      <w:r w:rsidRPr="00713654">
        <w:rPr>
          <w:color w:val="FF0000"/>
          <w:u w:val="single"/>
        </w:rPr>
        <w:lastRenderedPageBreak/>
        <w:t>Pero este nuevo modelo de gestión prohibiría a los médicos trabajar en los dos sistemas a la vez lo que les obligaría a elegir entre uno u otro. Esta cuestión era la que recordaba Esperanza Aguirre hace escasos días cuando valoraba las declaraciones de los detractores al sistema de gestión privada.</w:t>
      </w:r>
    </w:p>
    <w:p w:rsidR="00757A10" w:rsidRDefault="001D61FB" w:rsidP="00550638">
      <w:pPr>
        <w:pStyle w:val="NormalWeb"/>
        <w:jc w:val="both"/>
      </w:pPr>
      <w:r>
        <w:t>“</w:t>
      </w:r>
      <w:r w:rsidR="00757A10">
        <w:t>Es absolutamente impresentable que se quiera utilizar el miedo que tienen todos cuando se habla de la asistencia sanitaria para tratar de arr</w:t>
      </w:r>
      <w:r>
        <w:t>imar el ascua a su sardina” cuando, recordaba, “</w:t>
      </w:r>
      <w:r w:rsidR="00757A10">
        <w:t>muchas veces su trabajo por la tarde es en la privada</w:t>
      </w:r>
      <w:r>
        <w:t>, y por la mañana en la pública”</w:t>
      </w:r>
      <w:r w:rsidR="00757A10">
        <w:t>.</w:t>
      </w:r>
    </w:p>
    <w:p w:rsidR="00757A10" w:rsidRPr="00713654" w:rsidRDefault="00757A10" w:rsidP="00550638">
      <w:pPr>
        <w:pStyle w:val="NormalWeb"/>
        <w:jc w:val="both"/>
        <w:rPr>
          <w:u w:val="single"/>
        </w:rPr>
      </w:pPr>
      <w:r w:rsidRPr="00713654">
        <w:rPr>
          <w:u w:val="single"/>
        </w:rPr>
        <w:t>Los médicos no recogen este asunto entre los lemas de las protestas que realizan a diario en un gran número de ciudades españolas y sólo hacen referencia a los perjuicios que sufrirán sus pacientes. Obvian que con el cambio tendrían que trabajar por la tarde también en el sistema público y que verán mermados sus ingresos.</w:t>
      </w:r>
    </w:p>
    <w:p w:rsidR="00757A10" w:rsidRPr="00713654" w:rsidRDefault="00757A10" w:rsidP="00550638">
      <w:pPr>
        <w:pStyle w:val="NormalWeb"/>
        <w:jc w:val="both"/>
        <w:rPr>
          <w:u w:val="single"/>
        </w:rPr>
      </w:pPr>
      <w:r w:rsidRPr="00713654">
        <w:rPr>
          <w:u w:val="single"/>
        </w:rPr>
        <w:t>Que protesten contra un sistema en el que trabajan es ya suficientemente escandaloso pero el Economista va más allá y asegura que hay casos de médicos en huelga, que trabajan por la mañana en hospitales públicos de la Comunidad de Madrid y, por la tarde, en alguno de los hospitales que van a cambiar a la gestión privada.</w:t>
      </w:r>
    </w:p>
    <w:p w:rsidR="00757A10" w:rsidRDefault="00757A10" w:rsidP="00550638">
      <w:pPr>
        <w:pStyle w:val="NormalWeb"/>
        <w:jc w:val="both"/>
      </w:pPr>
      <w:r>
        <w:t>Otra de las cifras que tampoco han contabilizado los facultativos es que mientras ellos mantienen el pulso con la Consejería de Sanidad, desde el inicio de las movilizaciones sanitarias se han tenido que suspender casi 5.000 intervenciones quirúrgicas y se han perdido más de 31.000 consultas.</w:t>
      </w:r>
    </w:p>
    <w:p w:rsidR="00757A10"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B551C5">
        <w:rPr>
          <w:rFonts w:ascii="Times New Roman" w:eastAsia="Times New Roman" w:hAnsi="Times New Roman"/>
          <w:sz w:val="24"/>
          <w:szCs w:val="24"/>
          <w:u w:val="single"/>
          <w:lang w:eastAsia="es-ES"/>
        </w:rPr>
        <w:t>El caso de la Jiménez Díaz: cuando la gestión sanitaria privada es más cara</w:t>
      </w:r>
      <w:r>
        <w:rPr>
          <w:rFonts w:ascii="Times New Roman" w:eastAsia="Times New Roman" w:hAnsi="Times New Roman"/>
          <w:sz w:val="24"/>
          <w:szCs w:val="24"/>
          <w:lang w:eastAsia="es-ES"/>
        </w:rPr>
        <w:t xml:space="preserve"> (El Economista - </w:t>
      </w:r>
      <w:r w:rsidRPr="00B551C5">
        <w:rPr>
          <w:rFonts w:ascii="Times New Roman" w:eastAsia="Times New Roman" w:hAnsi="Times New Roman"/>
          <w:b/>
          <w:sz w:val="24"/>
          <w:szCs w:val="24"/>
          <w:lang w:eastAsia="es-ES"/>
        </w:rPr>
        <w:t>11/1/13</w:t>
      </w:r>
      <w:r>
        <w:rPr>
          <w:rFonts w:ascii="Times New Roman" w:eastAsia="Times New Roman" w:hAnsi="Times New Roman"/>
          <w:sz w:val="24"/>
          <w:szCs w:val="24"/>
          <w:lang w:eastAsia="es-ES"/>
        </w:rPr>
        <w:t>)</w:t>
      </w:r>
      <w:r w:rsidR="001D61FB">
        <w:rPr>
          <w:rFonts w:ascii="Times New Roman" w:eastAsia="Times New Roman" w:hAnsi="Times New Roman"/>
          <w:sz w:val="24"/>
          <w:szCs w:val="24"/>
          <w:lang w:eastAsia="es-ES"/>
        </w:rPr>
        <w:t xml:space="preserve">                                                                       Lectura recomendada</w:t>
      </w:r>
    </w:p>
    <w:p w:rsidR="00757A10" w:rsidRPr="00640149" w:rsidRDefault="00757A10" w:rsidP="00550638">
      <w:pPr>
        <w:pStyle w:val="NormalWeb"/>
        <w:jc w:val="both"/>
        <w:rPr>
          <w:color w:val="FF0000"/>
          <w:u w:val="single"/>
        </w:rPr>
      </w:pPr>
      <w:r w:rsidRPr="00640149">
        <w:rPr>
          <w:color w:val="FF0000"/>
          <w:u w:val="single"/>
        </w:rPr>
        <w:t xml:space="preserve">¿Es la gestión privada de la Sanidad más barata que la gestión pública? Ése es uno de los argumentos de la Comunidad de Madrid para justificar el proceso que ha iniciado. Sin embargo, el caso de la Fundación Jiménez Díaz muestra que esto no es así, al menos no siempre. </w:t>
      </w:r>
    </w:p>
    <w:p w:rsidR="00757A10" w:rsidRPr="00640149" w:rsidRDefault="00757A10" w:rsidP="00550638">
      <w:pPr>
        <w:pStyle w:val="NormalWeb"/>
        <w:jc w:val="both"/>
        <w:rPr>
          <w:u w:val="single"/>
        </w:rPr>
      </w:pPr>
      <w:r w:rsidRPr="00640149">
        <w:rPr>
          <w:u w:val="single"/>
        </w:rPr>
        <w:t xml:space="preserve">Según publica el diario </w:t>
      </w:r>
      <w:r w:rsidRPr="00640149">
        <w:rPr>
          <w:i/>
          <w:iCs/>
          <w:u w:val="single"/>
        </w:rPr>
        <w:t>El Mundo</w:t>
      </w:r>
      <w:r w:rsidRPr="00640149">
        <w:rPr>
          <w:u w:val="single"/>
        </w:rPr>
        <w:t>, el coste por paciente en este Hospital fue de alrededor de 700 euros. El ejecutivo de Ignacio González asegura que con la gestión mixta, el coste es de 441 euros de media, mientras que en el caso de la sanidad pública total, el coste es de unos 600 euros de media.</w:t>
      </w:r>
    </w:p>
    <w:p w:rsidR="00757A10" w:rsidRDefault="00757A10" w:rsidP="00550638">
      <w:pPr>
        <w:pStyle w:val="NormalWeb"/>
        <w:jc w:val="both"/>
      </w:pPr>
      <w:r>
        <w:t xml:space="preserve">Oficialmente, según los Presupuestos de la Comunidad, la Jiménez Díaz recibió 211 millones de euros, que al dividirla por la población incluida en su zona de referencia, 434.754 personas, da como resultado un coste de 485 euros por paciente. </w:t>
      </w:r>
    </w:p>
    <w:p w:rsidR="00757A10" w:rsidRDefault="00757A10" w:rsidP="00550638">
      <w:pPr>
        <w:pStyle w:val="NormalWeb"/>
        <w:jc w:val="both"/>
      </w:pPr>
      <w:r w:rsidRPr="00640149">
        <w:rPr>
          <w:u w:val="single"/>
        </w:rPr>
        <w:t>El problema es que según el diario, que cita a documentos oficiales, este hospital privado se embolsó 305 millones de euros el año pasado, 94 millones más de lo anunciado en los Presupuestos</w:t>
      </w:r>
      <w:r>
        <w:t xml:space="preserve">. La Consejería de Sanidad reconoce la diferencia, que no es baladí, supone un 44% más, pero se defiende diciendo que es </w:t>
      </w:r>
      <w:r w:rsidR="001D61FB">
        <w:t>debido a “cláusulas adicionales”</w:t>
      </w:r>
      <w:r>
        <w:t xml:space="preserve"> del contrato firmado con Capio, la empresa gestora del centro. </w:t>
      </w:r>
    </w:p>
    <w:p w:rsidR="00757A10" w:rsidRPr="001D61FB" w:rsidRDefault="00757A10" w:rsidP="00550638">
      <w:pPr>
        <w:pStyle w:val="NormalWeb"/>
        <w:jc w:val="both"/>
      </w:pPr>
      <w:r>
        <w:t xml:space="preserve">Capio es la gestora de este hospital, y dentro de su grupo se integra Unilabs, empresa de la que Juan José Güemes es consejero. </w:t>
      </w:r>
      <w:hyperlink r:id="rId448" w:history="1">
        <w:r w:rsidRPr="001D61FB">
          <w:rPr>
            <w:rStyle w:val="Hipervnculo"/>
            <w:rFonts w:eastAsiaTheme="majorEastAsia"/>
            <w:color w:val="auto"/>
          </w:rPr>
          <w:t xml:space="preserve">Güemes, exconsejero de Sanidad con Esperanza </w:t>
        </w:r>
        <w:r w:rsidRPr="001D61FB">
          <w:rPr>
            <w:rStyle w:val="Hipervnculo"/>
            <w:rFonts w:eastAsiaTheme="majorEastAsia"/>
            <w:color w:val="auto"/>
          </w:rPr>
          <w:lastRenderedPageBreak/>
          <w:t>Aguirre, fue el encargado de privatizar los análisis clínicos, y ahora Unilabs se ha quedado con la empresa que gestiona estos análisis.</w:t>
        </w:r>
      </w:hyperlink>
    </w:p>
    <w:p w:rsidR="00757A10" w:rsidRDefault="00757A10" w:rsidP="00550638">
      <w:pPr>
        <w:pStyle w:val="NormalWeb"/>
        <w:jc w:val="both"/>
      </w:pPr>
      <w:r>
        <w:t>Capio mantiene un concierto con la Fundación Jiménez Díaz desde 2003, y también controla 3 de los 4 hospitales públicos con la gestión totalmente privatizada, el Infanta Elena (Valdemoro), el Rey Juan Carlos (Móstoles) y el de Collado Villaba, recuerda el diario.</w:t>
      </w:r>
    </w:p>
    <w:p w:rsidR="00757A10" w:rsidRDefault="00757A10" w:rsidP="00550638">
      <w:pPr>
        <w:pStyle w:val="NormalWeb"/>
        <w:jc w:val="both"/>
      </w:pPr>
      <w:r>
        <w:t>Este acuerdo, además, difiere con las cifras hechas públicas por la Comunidad, ya que recibió directamente 285 millones en 2011 y no los 211 publicados en el Boletín Oficial de la Comunidad de Madrid. Asimismo, hay que</w:t>
      </w:r>
      <w:r w:rsidR="001D61FB">
        <w:t xml:space="preserve"> añadir 16 millones más por el “</w:t>
      </w:r>
      <w:r>
        <w:t>programa de medicamentos de dispensación hospitala</w:t>
      </w:r>
      <w:r w:rsidR="00EE2B60">
        <w:t>ria para pacientes ambulatorios” y otros 4 millones más para “</w:t>
      </w:r>
      <w:r>
        <w:t>la formación docente postgr</w:t>
      </w:r>
      <w:r w:rsidR="001D61FB">
        <w:t>aduada vinculada al sistema MIR”</w:t>
      </w:r>
      <w:r>
        <w:t>.</w:t>
      </w:r>
    </w:p>
    <w:p w:rsidR="00757A10" w:rsidRDefault="00757A10" w:rsidP="00550638">
      <w:pPr>
        <w:pStyle w:val="NormalWeb"/>
        <w:jc w:val="both"/>
      </w:pPr>
      <w:r>
        <w:t xml:space="preserve">La empresa se defiende </w:t>
      </w:r>
      <w:r w:rsidR="001D61FB">
        <w:t>asegurando que la Jiménez Díaz “</w:t>
      </w:r>
      <w:r>
        <w:t>es el centro más valorado, el más elegido desde la que entró en vigor el Área Única y el que tiene menor lista de espera en consultas, prueb</w:t>
      </w:r>
      <w:r w:rsidR="001D61FB">
        <w:t>as e intervenciones quirúrgicas”</w:t>
      </w:r>
      <w:r>
        <w:t>.</w:t>
      </w:r>
    </w:p>
    <w:p w:rsidR="00757A10" w:rsidRDefault="00757A10" w:rsidP="00550638">
      <w:pPr>
        <w:pStyle w:val="NormalWeb"/>
        <w:jc w:val="both"/>
      </w:pPr>
      <w:r>
        <w:t>Sin embargo, nada dice de los números del diario, que muestran que recibieron 701,5 euros por paciente, frente a los 441 euros de media que dice que cuesta la Comunidad de Madrid un hospital con gestión privada.</w:t>
      </w:r>
    </w:p>
    <w:p w:rsidR="00757A10"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FF5956">
        <w:rPr>
          <w:rFonts w:ascii="Times New Roman" w:eastAsia="Times New Roman" w:hAnsi="Times New Roman"/>
          <w:sz w:val="24"/>
          <w:szCs w:val="24"/>
          <w:u w:val="single"/>
          <w:lang w:eastAsia="es-ES"/>
        </w:rPr>
        <w:t>Víctor Madera, el ministro de Sanidad en la sombra</w:t>
      </w:r>
      <w:r>
        <w:rPr>
          <w:rFonts w:ascii="Times New Roman" w:eastAsia="Times New Roman" w:hAnsi="Times New Roman"/>
          <w:sz w:val="24"/>
          <w:szCs w:val="24"/>
          <w:lang w:eastAsia="es-ES"/>
        </w:rPr>
        <w:t xml:space="preserve"> (El Confidencial - </w:t>
      </w:r>
      <w:r w:rsidRPr="00FF5956">
        <w:rPr>
          <w:rFonts w:ascii="Times New Roman" w:eastAsia="Times New Roman" w:hAnsi="Times New Roman"/>
          <w:b/>
          <w:sz w:val="24"/>
          <w:szCs w:val="24"/>
          <w:lang w:eastAsia="es-ES"/>
        </w:rPr>
        <w:t>13/1/13</w:t>
      </w:r>
      <w:r>
        <w:rPr>
          <w:rFonts w:ascii="Times New Roman" w:eastAsia="Times New Roman" w:hAnsi="Times New Roman"/>
          <w:sz w:val="24"/>
          <w:szCs w:val="24"/>
          <w:lang w:eastAsia="es-ES"/>
        </w:rPr>
        <w:t>)</w:t>
      </w:r>
      <w:r w:rsidR="001D61FB">
        <w:rPr>
          <w:rFonts w:ascii="Times New Roman" w:eastAsia="Times New Roman" w:hAnsi="Times New Roman"/>
          <w:sz w:val="24"/>
          <w:szCs w:val="24"/>
          <w:lang w:eastAsia="es-ES"/>
        </w:rPr>
        <w:t xml:space="preserve"> Lectura recomendada</w:t>
      </w:r>
    </w:p>
    <w:p w:rsidR="00757A10" w:rsidRPr="001D61F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FF5956">
        <w:rPr>
          <w:rFonts w:ascii="Times New Roman" w:eastAsia="Times New Roman" w:hAnsi="Times New Roman"/>
          <w:sz w:val="24"/>
          <w:szCs w:val="24"/>
          <w:lang w:eastAsia="es-ES"/>
        </w:rPr>
        <w:t xml:space="preserve">Como si de un derbi futbolero se tratara, España ha entrado en tromba en el debate sobre el presente y futuro de su Sanidad. Y como es costumbre, todo está fervientemente polarizado, con el sistema público asociado al modelo bueno y el privado, al bando malo. </w:t>
      </w:r>
      <w:hyperlink r:id="rId449" w:history="1">
        <w:r w:rsidRPr="001D61FB">
          <w:rPr>
            <w:rFonts w:ascii="Times New Roman" w:eastAsia="Times New Roman" w:hAnsi="Times New Roman"/>
            <w:sz w:val="24"/>
            <w:szCs w:val="24"/>
            <w:u w:val="single"/>
            <w:lang w:eastAsia="es-ES"/>
          </w:rPr>
          <w:t>Hay poco espacio para los matices, los argumentos y los datos</w:t>
        </w:r>
      </w:hyperlink>
      <w:r w:rsidRPr="001D61FB">
        <w:rPr>
          <w:rFonts w:ascii="Times New Roman" w:eastAsia="Times New Roman" w:hAnsi="Times New Roman"/>
          <w:sz w:val="24"/>
          <w:szCs w:val="24"/>
          <w:lang w:eastAsia="es-ES"/>
        </w:rPr>
        <w:t xml:space="preserve">. Las etiquetas enseguida son repartidas, sin posibilidad alguna de opinión distinta a la que se espera. Tal vez por este motivo, </w:t>
      </w:r>
      <w:r w:rsidRPr="008B4BA7">
        <w:rPr>
          <w:rFonts w:ascii="Times New Roman" w:eastAsia="Times New Roman" w:hAnsi="Times New Roman"/>
          <w:bCs/>
          <w:sz w:val="24"/>
          <w:szCs w:val="24"/>
          <w:lang w:eastAsia="es-ES"/>
        </w:rPr>
        <w:t>Víctor Madera</w:t>
      </w:r>
      <w:r w:rsidRPr="001D61FB">
        <w:rPr>
          <w:rFonts w:ascii="Times New Roman" w:eastAsia="Times New Roman" w:hAnsi="Times New Roman"/>
          <w:sz w:val="24"/>
          <w:szCs w:val="24"/>
          <w:lang w:eastAsia="es-ES"/>
        </w:rPr>
        <w:t xml:space="preserve"> guarda velado silencio. Anónimo para una gran mayoría, </w:t>
      </w:r>
      <w:r w:rsidRPr="008B4BA7">
        <w:rPr>
          <w:rFonts w:ascii="Times New Roman" w:eastAsia="Times New Roman" w:hAnsi="Times New Roman"/>
          <w:bCs/>
          <w:sz w:val="24"/>
          <w:szCs w:val="24"/>
          <w:lang w:eastAsia="es-ES"/>
        </w:rPr>
        <w:t>el consejero delegado de Capio Sanidad es el hombre del momento</w:t>
      </w:r>
      <w:r w:rsidRPr="001D61FB">
        <w:rPr>
          <w:rFonts w:ascii="Times New Roman" w:eastAsia="Times New Roman" w:hAnsi="Times New Roman"/>
          <w:sz w:val="24"/>
          <w:szCs w:val="24"/>
          <w:lang w:eastAsia="es-ES"/>
        </w:rPr>
        <w:t>, el ogro que se enriquece con la salud de los españoles para unos y un brillante gestor para otros, casi con más responsabilidad sobre la buena marcha del sistema que cualquier ministro o consejero del ramo.</w:t>
      </w:r>
    </w:p>
    <w:p w:rsidR="00757A10" w:rsidRPr="00FF595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1D61FB">
        <w:rPr>
          <w:rFonts w:ascii="Times New Roman" w:eastAsia="Times New Roman" w:hAnsi="Times New Roman"/>
          <w:sz w:val="24"/>
          <w:szCs w:val="24"/>
          <w:lang w:eastAsia="es-ES"/>
        </w:rPr>
        <w:t xml:space="preserve">Quién le iba a decir a este </w:t>
      </w:r>
      <w:hyperlink r:id="rId450" w:history="1">
        <w:r w:rsidRPr="001D61FB">
          <w:rPr>
            <w:rFonts w:ascii="Times New Roman" w:eastAsia="Times New Roman" w:hAnsi="Times New Roman"/>
            <w:sz w:val="24"/>
            <w:szCs w:val="24"/>
            <w:u w:val="single"/>
            <w:lang w:eastAsia="es-ES"/>
          </w:rPr>
          <w:t>asturiano de 51 años</w:t>
        </w:r>
      </w:hyperlink>
      <w:r w:rsidRPr="001D61FB">
        <w:rPr>
          <w:rFonts w:ascii="Times New Roman" w:eastAsia="Times New Roman" w:hAnsi="Times New Roman"/>
          <w:sz w:val="24"/>
          <w:szCs w:val="24"/>
          <w:lang w:eastAsia="es-ES"/>
        </w:rPr>
        <w:t xml:space="preserve"> afinca</w:t>
      </w:r>
      <w:r w:rsidRPr="00FF5956">
        <w:rPr>
          <w:rFonts w:ascii="Times New Roman" w:eastAsia="Times New Roman" w:hAnsi="Times New Roman"/>
          <w:sz w:val="24"/>
          <w:szCs w:val="24"/>
          <w:lang w:eastAsia="es-ES"/>
        </w:rPr>
        <w:t xml:space="preserve">do en Londres y padre de tres hijas que se convertiría en el hombre de la sanidad privada en España. Especialista en medicina deportiva, su paso académico por Estados Unidos y la posterior formación en la primera promoción del máster en Dirección y Gestión de Instituciones Sanitarias, impartido en la Escuela Nacional de Sanidad, hicieron de Víctor Madera un prototipo de gestor con cartilla de médico. Sus </w:t>
      </w:r>
      <w:r w:rsidRPr="008B4BA7">
        <w:rPr>
          <w:rFonts w:ascii="Times New Roman" w:eastAsia="Times New Roman" w:hAnsi="Times New Roman"/>
          <w:bCs/>
          <w:sz w:val="24"/>
          <w:szCs w:val="24"/>
          <w:lang w:eastAsia="es-ES"/>
        </w:rPr>
        <w:t>primeros pasos como directivo sanitario fueron al frente de varios centros de la Cruz Roja</w:t>
      </w:r>
      <w:r w:rsidRPr="008B4BA7">
        <w:rPr>
          <w:rFonts w:ascii="Times New Roman" w:eastAsia="Times New Roman" w:hAnsi="Times New Roman"/>
          <w:sz w:val="24"/>
          <w:szCs w:val="24"/>
          <w:lang w:eastAsia="es-ES"/>
        </w:rPr>
        <w:t>.</w:t>
      </w:r>
      <w:r w:rsidRPr="00FF5956">
        <w:rPr>
          <w:rFonts w:ascii="Times New Roman" w:eastAsia="Times New Roman" w:hAnsi="Times New Roman"/>
          <w:sz w:val="24"/>
          <w:szCs w:val="24"/>
          <w:lang w:eastAsia="es-ES"/>
        </w:rPr>
        <w:t xml:space="preserve"> Entonces era sólo un treintañero y estaba en fase de rodaje, pero pronto tuvo la oportunidad de desembarcar en un incipiente negocio, la atención a los pacientes en lista de espera, que un matrimonio de médicos había comenzado a cultivar en Castilla La Mancha (</w:t>
      </w:r>
      <w:r w:rsidRPr="008B4BA7">
        <w:rPr>
          <w:rFonts w:ascii="Times New Roman" w:eastAsia="Times New Roman" w:hAnsi="Times New Roman"/>
          <w:bCs/>
          <w:sz w:val="24"/>
          <w:szCs w:val="24"/>
          <w:lang w:eastAsia="es-ES"/>
        </w:rPr>
        <w:t>Bono</w:t>
      </w:r>
      <w:r w:rsidRPr="00FF5956">
        <w:rPr>
          <w:rFonts w:ascii="Times New Roman" w:eastAsia="Times New Roman" w:hAnsi="Times New Roman"/>
          <w:sz w:val="24"/>
          <w:szCs w:val="24"/>
          <w:lang w:eastAsia="es-ES"/>
        </w:rPr>
        <w:t>) bajo una red de clínicas bautizada como Recoletas. </w:t>
      </w:r>
    </w:p>
    <w:p w:rsidR="00757A10" w:rsidRPr="00FF595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FF5956">
        <w:rPr>
          <w:rFonts w:ascii="Times New Roman" w:eastAsia="Times New Roman" w:hAnsi="Times New Roman"/>
          <w:sz w:val="24"/>
          <w:szCs w:val="24"/>
          <w:lang w:eastAsia="es-ES"/>
        </w:rPr>
        <w:lastRenderedPageBreak/>
        <w:t xml:space="preserve">De la mano de un inversor institucional, el fondo de inversión CVC, </w:t>
      </w:r>
      <w:r w:rsidRPr="008B4BA7">
        <w:rPr>
          <w:rFonts w:ascii="Times New Roman" w:eastAsia="Times New Roman" w:hAnsi="Times New Roman"/>
          <w:bCs/>
          <w:sz w:val="24"/>
          <w:szCs w:val="24"/>
          <w:lang w:eastAsia="es-ES"/>
        </w:rPr>
        <w:t>el médico asturiano dio forma a Ibérica de Diagnóstico y Cirugía (IDC)</w:t>
      </w:r>
      <w:r w:rsidRPr="008B4BA7">
        <w:rPr>
          <w:rFonts w:ascii="Times New Roman" w:eastAsia="Times New Roman" w:hAnsi="Times New Roman"/>
          <w:sz w:val="24"/>
          <w:szCs w:val="24"/>
          <w:lang w:eastAsia="es-ES"/>
        </w:rPr>
        <w:t>,</w:t>
      </w:r>
      <w:r w:rsidRPr="00FF5956">
        <w:rPr>
          <w:rFonts w:ascii="Times New Roman" w:eastAsia="Times New Roman" w:hAnsi="Times New Roman"/>
          <w:sz w:val="24"/>
          <w:szCs w:val="24"/>
          <w:lang w:eastAsia="es-ES"/>
        </w:rPr>
        <w:t xml:space="preserve"> sociedad desde la que compró en 1998 aquella red de pequeñas clínicas con las que la sanidad pública concertaba la cirugía de las listas de espera. El camino estaba marcado y tanto Víctor Madera como su socio </w:t>
      </w:r>
      <w:r w:rsidRPr="008B4BA7">
        <w:rPr>
          <w:rFonts w:ascii="Times New Roman" w:eastAsia="Times New Roman" w:hAnsi="Times New Roman"/>
          <w:bCs/>
          <w:sz w:val="24"/>
          <w:szCs w:val="24"/>
          <w:lang w:eastAsia="es-ES"/>
        </w:rPr>
        <w:t>Javier de Jaime</w:t>
      </w:r>
      <w:r w:rsidRPr="00FF5956">
        <w:rPr>
          <w:rFonts w:ascii="Times New Roman" w:eastAsia="Times New Roman" w:hAnsi="Times New Roman"/>
          <w:sz w:val="24"/>
          <w:szCs w:val="24"/>
          <w:lang w:eastAsia="es-ES"/>
        </w:rPr>
        <w:t>, responsable del fondo de capital riesgo para España, vieron en el modelo de externalización de servicios sanitarios un negocio en ciernes. A partir de entonces, como recuerda el propio impulsor, replicaron el modelo y desembarcaron en Extremadura, también bajo signo socialista (</w:t>
      </w:r>
      <w:r w:rsidRPr="008B4BA7">
        <w:rPr>
          <w:rFonts w:ascii="Times New Roman" w:eastAsia="Times New Roman" w:hAnsi="Times New Roman"/>
          <w:bCs/>
          <w:sz w:val="24"/>
          <w:szCs w:val="24"/>
          <w:lang w:eastAsia="es-ES"/>
        </w:rPr>
        <w:t>Ibarra</w:t>
      </w:r>
      <w:r w:rsidRPr="00FF5956">
        <w:rPr>
          <w:rFonts w:ascii="Times New Roman" w:eastAsia="Times New Roman" w:hAnsi="Times New Roman"/>
          <w:sz w:val="24"/>
          <w:szCs w:val="24"/>
          <w:lang w:eastAsia="es-ES"/>
        </w:rPr>
        <w:t xml:space="preserve">), para saltar luego a la </w:t>
      </w:r>
      <w:r w:rsidR="007C55D9">
        <w:rPr>
          <w:rFonts w:ascii="Times New Roman" w:eastAsia="Times New Roman" w:hAnsi="Times New Roman"/>
          <w:sz w:val="24"/>
          <w:szCs w:val="24"/>
          <w:lang w:eastAsia="es-ES"/>
        </w:rPr>
        <w:t>“</w:t>
      </w:r>
      <w:r w:rsidRPr="007C55D9">
        <w:rPr>
          <w:rFonts w:ascii="Times New Roman" w:eastAsia="Times New Roman" w:hAnsi="Times New Roman"/>
          <w:iCs/>
          <w:sz w:val="24"/>
          <w:szCs w:val="24"/>
          <w:lang w:eastAsia="es-ES"/>
        </w:rPr>
        <w:t>popular</w:t>
      </w:r>
      <w:r w:rsidR="007C55D9">
        <w:rPr>
          <w:rFonts w:ascii="Times New Roman" w:eastAsia="Times New Roman" w:hAnsi="Times New Roman"/>
          <w:iCs/>
          <w:sz w:val="24"/>
          <w:szCs w:val="24"/>
          <w:lang w:eastAsia="es-ES"/>
        </w:rPr>
        <w:t>”</w:t>
      </w:r>
      <w:r w:rsidRPr="007C55D9">
        <w:rPr>
          <w:rFonts w:ascii="Times New Roman" w:eastAsia="Times New Roman" w:hAnsi="Times New Roman"/>
          <w:sz w:val="24"/>
          <w:szCs w:val="24"/>
          <w:lang w:eastAsia="es-ES"/>
        </w:rPr>
        <w:t xml:space="preserve"> </w:t>
      </w:r>
      <w:r w:rsidRPr="00FF5956">
        <w:rPr>
          <w:rFonts w:ascii="Times New Roman" w:eastAsia="Times New Roman" w:hAnsi="Times New Roman"/>
          <w:sz w:val="24"/>
          <w:szCs w:val="24"/>
          <w:lang w:eastAsia="es-ES"/>
        </w:rPr>
        <w:t>Comunidad de Madrid (</w:t>
      </w:r>
      <w:r w:rsidRPr="008B4BA7">
        <w:rPr>
          <w:rFonts w:ascii="Times New Roman" w:eastAsia="Times New Roman" w:hAnsi="Times New Roman"/>
          <w:bCs/>
          <w:sz w:val="24"/>
          <w:szCs w:val="24"/>
          <w:lang w:eastAsia="es-ES"/>
        </w:rPr>
        <w:t>Gallardón-Aguirre</w:t>
      </w:r>
      <w:r w:rsidRPr="00FF5956">
        <w:rPr>
          <w:rFonts w:ascii="Times New Roman" w:eastAsia="Times New Roman" w:hAnsi="Times New Roman"/>
          <w:sz w:val="24"/>
          <w:szCs w:val="24"/>
          <w:lang w:eastAsia="es-ES"/>
        </w:rPr>
        <w:t xml:space="preserve">) y a la </w:t>
      </w:r>
      <w:r w:rsidR="007C55D9">
        <w:rPr>
          <w:rFonts w:ascii="Times New Roman" w:eastAsia="Times New Roman" w:hAnsi="Times New Roman"/>
          <w:sz w:val="24"/>
          <w:szCs w:val="24"/>
          <w:lang w:eastAsia="es-ES"/>
        </w:rPr>
        <w:t>“</w:t>
      </w:r>
      <w:r w:rsidRPr="007C55D9">
        <w:rPr>
          <w:rFonts w:ascii="Times New Roman" w:eastAsia="Times New Roman" w:hAnsi="Times New Roman"/>
          <w:iCs/>
          <w:sz w:val="24"/>
          <w:szCs w:val="24"/>
          <w:lang w:eastAsia="es-ES"/>
        </w:rPr>
        <w:t>convergente</w:t>
      </w:r>
      <w:r w:rsidR="007C55D9">
        <w:rPr>
          <w:rFonts w:ascii="Times New Roman" w:eastAsia="Times New Roman" w:hAnsi="Times New Roman"/>
          <w:iCs/>
          <w:sz w:val="24"/>
          <w:szCs w:val="24"/>
          <w:lang w:eastAsia="es-ES"/>
        </w:rPr>
        <w:t>”</w:t>
      </w:r>
      <w:r w:rsidRPr="00FF5956">
        <w:rPr>
          <w:rFonts w:ascii="Times New Roman" w:eastAsia="Times New Roman" w:hAnsi="Times New Roman"/>
          <w:sz w:val="24"/>
          <w:szCs w:val="24"/>
          <w:lang w:eastAsia="es-ES"/>
        </w:rPr>
        <w:t xml:space="preserve"> Cataluña (</w:t>
      </w:r>
      <w:r w:rsidRPr="008B4BA7">
        <w:rPr>
          <w:rFonts w:ascii="Times New Roman" w:eastAsia="Times New Roman" w:hAnsi="Times New Roman"/>
          <w:bCs/>
          <w:sz w:val="24"/>
          <w:szCs w:val="24"/>
          <w:lang w:eastAsia="es-ES"/>
        </w:rPr>
        <w:t>Pujol</w:t>
      </w:r>
      <w:r w:rsidRPr="00FF5956">
        <w:rPr>
          <w:rFonts w:ascii="Times New Roman" w:eastAsia="Times New Roman" w:hAnsi="Times New Roman"/>
          <w:sz w:val="24"/>
          <w:szCs w:val="24"/>
          <w:lang w:eastAsia="es-ES"/>
        </w:rPr>
        <w:t>), irrumpiendo así en las principales plazas sanitarias del país y abarcando todo el espectro político.  </w:t>
      </w:r>
    </w:p>
    <w:p w:rsidR="00757A10" w:rsidRPr="001D61F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FF5956">
        <w:rPr>
          <w:rFonts w:ascii="Times New Roman" w:eastAsia="Times New Roman" w:hAnsi="Times New Roman"/>
          <w:sz w:val="24"/>
          <w:szCs w:val="24"/>
          <w:lang w:eastAsia="es-ES"/>
        </w:rPr>
        <w:t xml:space="preserve">El avance de IDC no llamó la atención hasta que </w:t>
      </w:r>
      <w:r w:rsidRPr="008B4BA7">
        <w:rPr>
          <w:rFonts w:ascii="Times New Roman" w:eastAsia="Times New Roman" w:hAnsi="Times New Roman"/>
          <w:bCs/>
          <w:sz w:val="24"/>
          <w:szCs w:val="24"/>
          <w:lang w:eastAsia="es-ES"/>
        </w:rPr>
        <w:t>a partir de 2002 fueron a por grandes hospitales públicos</w:t>
      </w:r>
      <w:r w:rsidRPr="00FF5956">
        <w:rPr>
          <w:rFonts w:ascii="Times New Roman" w:eastAsia="Times New Roman" w:hAnsi="Times New Roman"/>
          <w:sz w:val="24"/>
          <w:szCs w:val="24"/>
          <w:lang w:eastAsia="es-ES"/>
        </w:rPr>
        <w:t xml:space="preserve">. En una situación similar a la actual, su oportunidad de compra se debió a la </w:t>
      </w:r>
      <w:r w:rsidRPr="008B4BA7">
        <w:rPr>
          <w:rFonts w:ascii="Times New Roman" w:eastAsia="Times New Roman" w:hAnsi="Times New Roman"/>
          <w:bCs/>
          <w:sz w:val="24"/>
          <w:szCs w:val="24"/>
          <w:lang w:eastAsia="es-ES"/>
        </w:rPr>
        <w:t>mala situación financiera que arrastraban el Hospital General de Cataluña y la Fundación Jiménez Díaz</w:t>
      </w:r>
      <w:r w:rsidRPr="008B4BA7">
        <w:rPr>
          <w:rFonts w:ascii="Times New Roman" w:eastAsia="Times New Roman" w:hAnsi="Times New Roman"/>
          <w:sz w:val="24"/>
          <w:szCs w:val="24"/>
          <w:lang w:eastAsia="es-ES"/>
        </w:rPr>
        <w:t>.</w:t>
      </w:r>
      <w:r w:rsidRPr="00FF5956">
        <w:rPr>
          <w:rFonts w:ascii="Times New Roman" w:eastAsia="Times New Roman" w:hAnsi="Times New Roman"/>
          <w:sz w:val="24"/>
          <w:szCs w:val="24"/>
          <w:lang w:eastAsia="es-ES"/>
        </w:rPr>
        <w:t xml:space="preserve"> Dos grandes centros, por número de pacientes atendidos, que iniciaban el proceso de gestión público-privado en la sanidad española. Estos golpes de efecto convirtieron en muy poco tiempo al grupo sanitario en </w:t>
      </w:r>
      <w:r w:rsidRPr="001D61FB">
        <w:rPr>
          <w:rFonts w:ascii="Times New Roman" w:eastAsia="Times New Roman" w:hAnsi="Times New Roman"/>
          <w:sz w:val="24"/>
          <w:szCs w:val="24"/>
          <w:lang w:eastAsia="es-ES"/>
        </w:rPr>
        <w:t xml:space="preserve">el </w:t>
      </w:r>
      <w:hyperlink r:id="rId451" w:history="1">
        <w:r w:rsidRPr="001D61FB">
          <w:rPr>
            <w:rFonts w:ascii="Times New Roman" w:eastAsia="Times New Roman" w:hAnsi="Times New Roman"/>
            <w:sz w:val="24"/>
            <w:szCs w:val="24"/>
            <w:u w:val="single"/>
            <w:lang w:eastAsia="es-ES"/>
          </w:rPr>
          <w:t>primer gestor privado del país</w:t>
        </w:r>
      </w:hyperlink>
      <w:r w:rsidRPr="001D61FB">
        <w:rPr>
          <w:rFonts w:ascii="Times New Roman" w:eastAsia="Times New Roman" w:hAnsi="Times New Roman"/>
          <w:sz w:val="24"/>
          <w:szCs w:val="24"/>
          <w:lang w:eastAsia="es-ES"/>
        </w:rPr>
        <w:t xml:space="preserve">, una tarjeta de presentación que sirvió para que CVC, en la época de vino y rosas, vendiera la compañía a principios de 2005 al grupo hospitalario sueco Capio por más de 300 millones de euros. Cambiaron los accionistas, pero el </w:t>
      </w:r>
      <w:r w:rsidR="007C55D9">
        <w:rPr>
          <w:rFonts w:ascii="Times New Roman" w:eastAsia="Times New Roman" w:hAnsi="Times New Roman"/>
          <w:sz w:val="24"/>
          <w:szCs w:val="24"/>
          <w:lang w:eastAsia="es-ES"/>
        </w:rPr>
        <w:t>“</w:t>
      </w:r>
      <w:r w:rsidRPr="007C55D9">
        <w:rPr>
          <w:rFonts w:ascii="Times New Roman" w:eastAsia="Times New Roman" w:hAnsi="Times New Roman"/>
          <w:iCs/>
          <w:sz w:val="24"/>
          <w:szCs w:val="24"/>
          <w:lang w:eastAsia="es-ES"/>
        </w:rPr>
        <w:t>alma mater</w:t>
      </w:r>
      <w:r w:rsidR="007C55D9">
        <w:rPr>
          <w:rFonts w:ascii="Times New Roman" w:eastAsia="Times New Roman" w:hAnsi="Times New Roman"/>
          <w:iCs/>
          <w:sz w:val="24"/>
          <w:szCs w:val="24"/>
          <w:lang w:eastAsia="es-ES"/>
        </w:rPr>
        <w:t>”</w:t>
      </w:r>
      <w:r w:rsidRPr="001D61FB">
        <w:rPr>
          <w:rFonts w:ascii="Times New Roman" w:eastAsia="Times New Roman" w:hAnsi="Times New Roman"/>
          <w:sz w:val="24"/>
          <w:szCs w:val="24"/>
          <w:lang w:eastAsia="es-ES"/>
        </w:rPr>
        <w:t xml:space="preserve"> de la compañía siguió al frente, dispuesto a llevar el proyecto a un nuevo estadio.</w:t>
      </w:r>
    </w:p>
    <w:p w:rsidR="00757A10" w:rsidRPr="001D61F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1D61FB">
        <w:rPr>
          <w:rFonts w:ascii="Times New Roman" w:eastAsia="Times New Roman" w:hAnsi="Times New Roman"/>
          <w:sz w:val="24"/>
          <w:szCs w:val="24"/>
          <w:lang w:eastAsia="es-ES"/>
        </w:rPr>
        <w:t xml:space="preserve">El paraguas del socio industrial sueco, paradigma del modelo de bienestar europeo, duró poco. A finales de 2006, el gigante asistencial, controlado por fondos de pensiones suecos, </w:t>
      </w:r>
      <w:hyperlink r:id="rId452" w:history="1">
        <w:r w:rsidRPr="001D61FB">
          <w:rPr>
            <w:rFonts w:ascii="Times New Roman" w:eastAsia="Times New Roman" w:hAnsi="Times New Roman"/>
            <w:sz w:val="24"/>
            <w:szCs w:val="24"/>
            <w:u w:val="single"/>
            <w:lang w:eastAsia="es-ES"/>
          </w:rPr>
          <w:t>fue adquirido por las firmas de capital riesgo Apax y Nordic tras pagar cerca de 2.000 millones de euros</w:t>
        </w:r>
      </w:hyperlink>
      <w:r w:rsidRPr="001D61FB">
        <w:rPr>
          <w:rFonts w:ascii="Times New Roman" w:eastAsia="Times New Roman" w:hAnsi="Times New Roman"/>
          <w:sz w:val="24"/>
          <w:szCs w:val="24"/>
          <w:lang w:eastAsia="es-ES"/>
        </w:rPr>
        <w:t xml:space="preserve">. Otra rotación de accionistas, esta vez en la matriz, que tampoco afectó a Victor Madera, entonces vicepresidente del grupo y consejero delegado en España, que además de continuar en el puesto contó con el apoyo financiero necesario para desarrollar la compañía durante esa nueva etapa, hasta el punto de consolidar un </w:t>
      </w:r>
      <w:hyperlink r:id="rId453" w:history="1">
        <w:r w:rsidRPr="001D61FB">
          <w:rPr>
            <w:rFonts w:ascii="Times New Roman" w:eastAsia="Times New Roman" w:hAnsi="Times New Roman"/>
            <w:sz w:val="24"/>
            <w:szCs w:val="24"/>
            <w:u w:val="single"/>
            <w:lang w:eastAsia="es-ES"/>
          </w:rPr>
          <w:t>grupo que cuenta en nuestro país con 30 centros, 7.500 empleados y 1.800 camas</w:t>
        </w:r>
      </w:hyperlink>
      <w:r w:rsidRPr="001D61FB">
        <w:rPr>
          <w:rFonts w:ascii="Times New Roman" w:eastAsia="Times New Roman" w:hAnsi="Times New Roman"/>
          <w:sz w:val="24"/>
          <w:szCs w:val="24"/>
          <w:lang w:eastAsia="es-ES"/>
        </w:rPr>
        <w:t xml:space="preserve">. Esta historia empresarial de éxito hizo que Madera se reencontrara con su colega De Jaime a principios de 2011, cuando </w:t>
      </w:r>
      <w:hyperlink r:id="rId454" w:history="1">
        <w:r w:rsidRPr="001D61FB">
          <w:rPr>
            <w:rFonts w:ascii="Times New Roman" w:eastAsia="Times New Roman" w:hAnsi="Times New Roman"/>
            <w:sz w:val="24"/>
            <w:szCs w:val="24"/>
            <w:u w:val="single"/>
            <w:lang w:eastAsia="es-ES"/>
          </w:rPr>
          <w:t>CVC compró el negocio español de Capio por 900 millones</w:t>
        </w:r>
      </w:hyperlink>
      <w:r w:rsidRPr="001D61FB">
        <w:rPr>
          <w:rFonts w:ascii="Times New Roman" w:eastAsia="Times New Roman" w:hAnsi="Times New Roman"/>
          <w:sz w:val="24"/>
          <w:szCs w:val="24"/>
          <w:lang w:eastAsia="es-ES"/>
        </w:rPr>
        <w:t>.</w:t>
      </w:r>
    </w:p>
    <w:p w:rsidR="00757A10" w:rsidRPr="001D61F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1D61FB">
        <w:rPr>
          <w:rFonts w:ascii="Times New Roman" w:eastAsia="Times New Roman" w:hAnsi="Times New Roman"/>
          <w:bCs/>
          <w:sz w:val="24"/>
          <w:szCs w:val="24"/>
          <w:lang w:eastAsia="es-ES"/>
        </w:rPr>
        <w:t>De la mano del capital riesgo</w:t>
      </w:r>
    </w:p>
    <w:p w:rsidR="00757A10" w:rsidRPr="008B4BA7"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FF5956">
        <w:rPr>
          <w:rFonts w:ascii="Times New Roman" w:eastAsia="Times New Roman" w:hAnsi="Times New Roman"/>
          <w:sz w:val="24"/>
          <w:szCs w:val="24"/>
          <w:lang w:eastAsia="es-ES"/>
        </w:rPr>
        <w:t xml:space="preserve">Y como en las etapas anteriores, el modelo sigue siendo el mismo. En este último periodo, Capio ha aumentado su peso en el negocio con la apertura de nuevos hospitales y </w:t>
      </w:r>
      <w:hyperlink r:id="rId455" w:history="1">
        <w:r w:rsidRPr="001D61FB">
          <w:rPr>
            <w:rFonts w:ascii="Times New Roman" w:eastAsia="Times New Roman" w:hAnsi="Times New Roman"/>
            <w:sz w:val="24"/>
            <w:szCs w:val="24"/>
            <w:u w:val="single"/>
            <w:lang w:eastAsia="es-ES"/>
          </w:rPr>
          <w:t>ha peleado por la compra de su principal competidor en este segmento, la compañía valenciana Ribera Salud</w:t>
        </w:r>
      </w:hyperlink>
      <w:r w:rsidRPr="001D61FB">
        <w:rPr>
          <w:rFonts w:ascii="Times New Roman" w:eastAsia="Times New Roman" w:hAnsi="Times New Roman"/>
          <w:sz w:val="24"/>
          <w:szCs w:val="24"/>
          <w:lang w:eastAsia="es-ES"/>
        </w:rPr>
        <w:t xml:space="preserve">, fundada y controlada por las cajas de ahorro locales Bancaja y CAM. Como con otros activos, la mala situación financiera de algunos hospitales por impagos de la Comunidad de Valencia y la necesidad de vender de sus propietarios, dos entidades financieras quebradas que han sido engullidas por Bankia y Banco Sabadell, provocó una nueva oportunidad para Madera consolidara su posición de dominio en el mercado. La operación, sin embargo, ha quedado en suspenso, manteniéndose un </w:t>
      </w:r>
      <w:r w:rsidR="007C55D9">
        <w:rPr>
          <w:rFonts w:ascii="Times New Roman" w:eastAsia="Times New Roman" w:hAnsi="Times New Roman"/>
          <w:sz w:val="24"/>
          <w:szCs w:val="24"/>
          <w:lang w:eastAsia="es-ES"/>
        </w:rPr>
        <w:t>“</w:t>
      </w:r>
      <w:r w:rsidRPr="007C55D9">
        <w:rPr>
          <w:rFonts w:ascii="Times New Roman" w:eastAsia="Times New Roman" w:hAnsi="Times New Roman"/>
          <w:bCs/>
          <w:iCs/>
          <w:sz w:val="24"/>
          <w:szCs w:val="24"/>
          <w:lang w:eastAsia="es-ES"/>
        </w:rPr>
        <w:t>estatus quo</w:t>
      </w:r>
      <w:r w:rsidR="007C55D9">
        <w:rPr>
          <w:rFonts w:ascii="Times New Roman" w:eastAsia="Times New Roman" w:hAnsi="Times New Roman"/>
          <w:bCs/>
          <w:iCs/>
          <w:sz w:val="24"/>
          <w:szCs w:val="24"/>
          <w:lang w:eastAsia="es-ES"/>
        </w:rPr>
        <w:t>”</w:t>
      </w:r>
      <w:r w:rsidRPr="008B4BA7">
        <w:rPr>
          <w:rFonts w:ascii="Times New Roman" w:eastAsia="Times New Roman" w:hAnsi="Times New Roman"/>
          <w:bCs/>
          <w:sz w:val="24"/>
          <w:szCs w:val="24"/>
          <w:lang w:eastAsia="es-ES"/>
        </w:rPr>
        <w:t xml:space="preserve"> al que se arriman otros operadores privados como Sanitas o USP-Quirón</w:t>
      </w:r>
      <w:r w:rsidRPr="008B4BA7">
        <w:rPr>
          <w:rFonts w:ascii="Times New Roman" w:eastAsia="Times New Roman" w:hAnsi="Times New Roman"/>
          <w:sz w:val="24"/>
          <w:szCs w:val="24"/>
          <w:lang w:eastAsia="es-ES"/>
        </w:rPr>
        <w:t>.</w:t>
      </w:r>
    </w:p>
    <w:p w:rsidR="00757A10" w:rsidRPr="00FF595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1D61FB">
        <w:rPr>
          <w:rFonts w:ascii="Times New Roman" w:eastAsia="Times New Roman" w:hAnsi="Times New Roman"/>
          <w:sz w:val="24"/>
          <w:szCs w:val="24"/>
          <w:lang w:eastAsia="es-ES"/>
        </w:rPr>
        <w:t xml:space="preserve">Muy en especial durante los últimos años, </w:t>
      </w:r>
      <w:hyperlink r:id="rId456" w:history="1">
        <w:r w:rsidRPr="001D61FB">
          <w:rPr>
            <w:rFonts w:ascii="Times New Roman" w:eastAsia="Times New Roman" w:hAnsi="Times New Roman"/>
            <w:sz w:val="24"/>
            <w:szCs w:val="24"/>
            <w:u w:val="single"/>
            <w:lang w:eastAsia="es-ES"/>
          </w:rPr>
          <w:t>la sanidad privada lleva siendo uno de los principales objetivos de los inversores</w:t>
        </w:r>
      </w:hyperlink>
      <w:r w:rsidRPr="001D61FB">
        <w:rPr>
          <w:rFonts w:ascii="Times New Roman" w:eastAsia="Times New Roman" w:hAnsi="Times New Roman"/>
          <w:sz w:val="24"/>
          <w:szCs w:val="24"/>
          <w:lang w:eastAsia="es-ES"/>
        </w:rPr>
        <w:t xml:space="preserve">. </w:t>
      </w:r>
      <w:r w:rsidRPr="008B4BA7">
        <w:rPr>
          <w:rFonts w:ascii="Times New Roman" w:eastAsia="Times New Roman" w:hAnsi="Times New Roman"/>
          <w:bCs/>
          <w:sz w:val="24"/>
          <w:szCs w:val="24"/>
          <w:lang w:eastAsia="es-ES"/>
        </w:rPr>
        <w:t xml:space="preserve">Cualquier </w:t>
      </w:r>
      <w:r w:rsidR="007C55D9">
        <w:rPr>
          <w:rFonts w:ascii="Times New Roman" w:eastAsia="Times New Roman" w:hAnsi="Times New Roman"/>
          <w:bCs/>
          <w:sz w:val="24"/>
          <w:szCs w:val="24"/>
          <w:lang w:eastAsia="es-ES"/>
        </w:rPr>
        <w:t>“</w:t>
      </w:r>
      <w:r w:rsidRPr="007C55D9">
        <w:rPr>
          <w:rFonts w:ascii="Times New Roman" w:eastAsia="Times New Roman" w:hAnsi="Times New Roman"/>
          <w:bCs/>
          <w:iCs/>
          <w:sz w:val="24"/>
          <w:szCs w:val="24"/>
          <w:lang w:eastAsia="es-ES"/>
        </w:rPr>
        <w:t>private equity</w:t>
      </w:r>
      <w:r w:rsidR="007C55D9">
        <w:rPr>
          <w:rFonts w:ascii="Times New Roman" w:eastAsia="Times New Roman" w:hAnsi="Times New Roman"/>
          <w:bCs/>
          <w:iCs/>
          <w:sz w:val="24"/>
          <w:szCs w:val="24"/>
          <w:lang w:eastAsia="es-ES"/>
        </w:rPr>
        <w:t>”</w:t>
      </w:r>
      <w:r w:rsidRPr="008B4BA7">
        <w:rPr>
          <w:rFonts w:ascii="Times New Roman" w:eastAsia="Times New Roman" w:hAnsi="Times New Roman"/>
          <w:bCs/>
          <w:sz w:val="24"/>
          <w:szCs w:val="24"/>
          <w:lang w:eastAsia="es-ES"/>
        </w:rPr>
        <w:t xml:space="preserve"> lo explica con </w:t>
      </w:r>
      <w:r w:rsidRPr="008B4BA7">
        <w:rPr>
          <w:rFonts w:ascii="Times New Roman" w:eastAsia="Times New Roman" w:hAnsi="Times New Roman"/>
          <w:bCs/>
          <w:sz w:val="24"/>
          <w:szCs w:val="24"/>
          <w:lang w:eastAsia="es-ES"/>
        </w:rPr>
        <w:lastRenderedPageBreak/>
        <w:t>sencillez y alude a un par de factores para justificar su interés</w:t>
      </w:r>
      <w:r w:rsidRPr="00FF5956">
        <w:rPr>
          <w:rFonts w:ascii="Times New Roman" w:eastAsia="Times New Roman" w:hAnsi="Times New Roman"/>
          <w:sz w:val="24"/>
          <w:szCs w:val="24"/>
          <w:lang w:eastAsia="es-ES"/>
        </w:rPr>
        <w:t>. Los actuales propietarios (Comunidades Autónomas) de los hospitales necesitan dinero o, dicho de otra forma, no disponen de los recursos suficientes para financiar su funcionamiento y tampoco tienen el valor de tomar decisiones, en el ámbito de la gestión, contrarias a sus intereses políticos. De esta manera, la oportunidad para el comprador es doble, pues puede presionar a la baja para comprar un activo ante la urgencia del vendedor y además puede optimizar la inversión vía costes con la implementación de medidas eficientes sin atender a consideraciones políticas, sino puramente empresariales, y sin afectar a la calidad del servicio.</w:t>
      </w:r>
    </w:p>
    <w:p w:rsidR="00757A10" w:rsidRPr="001D61F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FF5956">
        <w:rPr>
          <w:rFonts w:ascii="Times New Roman" w:eastAsia="Times New Roman" w:hAnsi="Times New Roman"/>
          <w:sz w:val="24"/>
          <w:szCs w:val="24"/>
          <w:lang w:eastAsia="es-ES"/>
        </w:rPr>
        <w:t xml:space="preserve">En este sentido, </w:t>
      </w:r>
      <w:r w:rsidRPr="008B4BA7">
        <w:rPr>
          <w:rFonts w:ascii="Times New Roman" w:eastAsia="Times New Roman" w:hAnsi="Times New Roman"/>
          <w:bCs/>
          <w:sz w:val="24"/>
          <w:szCs w:val="24"/>
          <w:lang w:eastAsia="es-ES"/>
        </w:rPr>
        <w:t>Madera lleva explicando el mismo discurso desde hace diez años</w:t>
      </w:r>
      <w:r w:rsidRPr="008B4BA7">
        <w:rPr>
          <w:rFonts w:ascii="Times New Roman" w:eastAsia="Times New Roman" w:hAnsi="Times New Roman"/>
          <w:sz w:val="24"/>
          <w:szCs w:val="24"/>
          <w:lang w:eastAsia="es-ES"/>
        </w:rPr>
        <w:t>.</w:t>
      </w:r>
      <w:r w:rsidRPr="00FF5956">
        <w:rPr>
          <w:rFonts w:ascii="Times New Roman" w:eastAsia="Times New Roman" w:hAnsi="Times New Roman"/>
          <w:sz w:val="24"/>
          <w:szCs w:val="24"/>
          <w:lang w:eastAsia="es-ES"/>
        </w:rPr>
        <w:t xml:space="preserve"> Así ocurrió cuando IDC, el germen del actual grupo, adquirió la madrileña Clínica de Nuestra Señora de la Concepción, conocida popularmente como </w:t>
      </w:r>
      <w:r w:rsidR="007C55D9">
        <w:rPr>
          <w:rFonts w:ascii="Times New Roman" w:eastAsia="Times New Roman" w:hAnsi="Times New Roman"/>
          <w:sz w:val="24"/>
          <w:szCs w:val="24"/>
          <w:lang w:eastAsia="es-ES"/>
        </w:rPr>
        <w:t>“</w:t>
      </w:r>
      <w:r w:rsidRPr="007C55D9">
        <w:rPr>
          <w:rFonts w:ascii="Times New Roman" w:eastAsia="Times New Roman" w:hAnsi="Times New Roman"/>
          <w:iCs/>
          <w:sz w:val="24"/>
          <w:szCs w:val="24"/>
          <w:lang w:eastAsia="es-ES"/>
        </w:rPr>
        <w:t>La Concha</w:t>
      </w:r>
      <w:r w:rsidR="007C55D9">
        <w:rPr>
          <w:rFonts w:ascii="Times New Roman" w:eastAsia="Times New Roman" w:hAnsi="Times New Roman"/>
          <w:iCs/>
          <w:sz w:val="24"/>
          <w:szCs w:val="24"/>
          <w:lang w:eastAsia="es-ES"/>
        </w:rPr>
        <w:t>”</w:t>
      </w:r>
      <w:r w:rsidRPr="00FF5956">
        <w:rPr>
          <w:rFonts w:ascii="Times New Roman" w:eastAsia="Times New Roman" w:hAnsi="Times New Roman"/>
          <w:i/>
          <w:iCs/>
          <w:sz w:val="24"/>
          <w:szCs w:val="24"/>
          <w:lang w:eastAsia="es-ES"/>
        </w:rPr>
        <w:t>,</w:t>
      </w:r>
      <w:r w:rsidRPr="00FF5956">
        <w:rPr>
          <w:rFonts w:ascii="Times New Roman" w:eastAsia="Times New Roman" w:hAnsi="Times New Roman"/>
          <w:sz w:val="24"/>
          <w:szCs w:val="24"/>
          <w:lang w:eastAsia="es-ES"/>
        </w:rPr>
        <w:t xml:space="preserve"> propiedad de la Fundación Jiménez Díaz. También entonces, en el no tan lejano 2002, la venta tuvo lugar a raíz de la ruinosa situación económica que atravesaba el propietario, un organismo sin ánimo de lucro que se vio abocado a desprenderse del activo, al que la administración local concedió una concesión a 30 años bajo condición de entregarse a un nuevo propietario. Ya en esa época la legit</w:t>
      </w:r>
      <w:r w:rsidR="001D61FB">
        <w:rPr>
          <w:rFonts w:ascii="Times New Roman" w:eastAsia="Times New Roman" w:hAnsi="Times New Roman"/>
          <w:sz w:val="24"/>
          <w:szCs w:val="24"/>
          <w:lang w:eastAsia="es-ES"/>
        </w:rPr>
        <w:t xml:space="preserve">imidad del modelo de Madera, era </w:t>
      </w:r>
      <w:r w:rsidRPr="00FF5956">
        <w:rPr>
          <w:rFonts w:ascii="Times New Roman" w:eastAsia="Times New Roman" w:hAnsi="Times New Roman"/>
          <w:sz w:val="24"/>
          <w:szCs w:val="24"/>
          <w:lang w:eastAsia="es-ES"/>
        </w:rPr>
        <w:t xml:space="preserve">cuestionado por los directivos y parte del equipo médico, aunque igual que ahora el </w:t>
      </w:r>
      <w:r w:rsidR="001D61FB">
        <w:rPr>
          <w:rFonts w:ascii="Times New Roman" w:eastAsia="Times New Roman" w:hAnsi="Times New Roman"/>
          <w:sz w:val="24"/>
          <w:szCs w:val="24"/>
          <w:lang w:eastAsia="es-ES"/>
        </w:rPr>
        <w:t>doctor asturiano explicaba que “</w:t>
      </w:r>
      <w:hyperlink r:id="rId457" w:history="1">
        <w:r w:rsidRPr="001D61FB">
          <w:rPr>
            <w:rFonts w:ascii="Times New Roman" w:eastAsia="Times New Roman" w:hAnsi="Times New Roman"/>
            <w:sz w:val="24"/>
            <w:szCs w:val="24"/>
            <w:u w:val="single"/>
            <w:lang w:eastAsia="es-ES"/>
          </w:rPr>
          <w:t>el negocio procede del ahorro obtenido con una gestión eficaz</w:t>
        </w:r>
      </w:hyperlink>
      <w:r w:rsidR="001D61FB" w:rsidRPr="001D61FB">
        <w:rPr>
          <w:rFonts w:ascii="Times New Roman" w:eastAsia="Times New Roman" w:hAnsi="Times New Roman"/>
          <w:sz w:val="24"/>
          <w:szCs w:val="24"/>
          <w:lang w:eastAsia="es-ES"/>
        </w:rPr>
        <w:t>”</w:t>
      </w:r>
      <w:r w:rsidRPr="001D61FB">
        <w:rPr>
          <w:rFonts w:ascii="Times New Roman" w:eastAsia="Times New Roman" w:hAnsi="Times New Roman"/>
          <w:sz w:val="24"/>
          <w:szCs w:val="24"/>
          <w:lang w:eastAsia="es-ES"/>
        </w:rPr>
        <w:t>.</w:t>
      </w:r>
    </w:p>
    <w:p w:rsidR="00757A10" w:rsidRPr="00FF595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FF5956">
        <w:rPr>
          <w:rFonts w:ascii="Times New Roman" w:eastAsia="Times New Roman" w:hAnsi="Times New Roman"/>
          <w:sz w:val="24"/>
          <w:szCs w:val="24"/>
          <w:lang w:eastAsia="es-ES"/>
        </w:rPr>
        <w:t xml:space="preserve">El máximo responsable de Capio Sanidad reduce el ruido del actual debate a un </w:t>
      </w:r>
      <w:r w:rsidRPr="008B4BA7">
        <w:rPr>
          <w:rFonts w:ascii="Times New Roman" w:eastAsia="Times New Roman" w:hAnsi="Times New Roman"/>
          <w:bCs/>
          <w:sz w:val="24"/>
          <w:szCs w:val="24"/>
          <w:lang w:eastAsia="es-ES"/>
        </w:rPr>
        <w:t>mero conflicto laboral</w:t>
      </w:r>
      <w:r w:rsidRPr="008B4BA7">
        <w:rPr>
          <w:rFonts w:ascii="Times New Roman" w:eastAsia="Times New Roman" w:hAnsi="Times New Roman"/>
          <w:sz w:val="24"/>
          <w:szCs w:val="24"/>
          <w:lang w:eastAsia="es-ES"/>
        </w:rPr>
        <w:t>,</w:t>
      </w:r>
      <w:r w:rsidRPr="00FF5956">
        <w:rPr>
          <w:rFonts w:ascii="Times New Roman" w:eastAsia="Times New Roman" w:hAnsi="Times New Roman"/>
          <w:sz w:val="24"/>
          <w:szCs w:val="24"/>
          <w:lang w:eastAsia="es-ES"/>
        </w:rPr>
        <w:t xml:space="preserve"> el que afecta a los profesionales de la sanidad pública y </w:t>
      </w:r>
      <w:r w:rsidRPr="006964D5">
        <w:rPr>
          <w:rFonts w:ascii="Times New Roman" w:eastAsia="Times New Roman" w:hAnsi="Times New Roman"/>
          <w:sz w:val="24"/>
          <w:szCs w:val="24"/>
          <w:lang w:eastAsia="es-ES"/>
        </w:rPr>
        <w:t xml:space="preserve">su </w:t>
      </w:r>
      <w:r w:rsidRPr="006964D5">
        <w:rPr>
          <w:rFonts w:ascii="Times New Roman" w:eastAsia="Times New Roman" w:hAnsi="Times New Roman"/>
          <w:bCs/>
          <w:sz w:val="24"/>
          <w:szCs w:val="24"/>
          <w:lang w:eastAsia="es-ES"/>
        </w:rPr>
        <w:t>resistencia a perder las condiciones con otro modelo</w:t>
      </w:r>
      <w:r w:rsidRPr="008B4BA7">
        <w:rPr>
          <w:rFonts w:ascii="Times New Roman" w:eastAsia="Times New Roman" w:hAnsi="Times New Roman"/>
          <w:b/>
          <w:sz w:val="24"/>
          <w:szCs w:val="24"/>
          <w:lang w:eastAsia="es-ES"/>
        </w:rPr>
        <w:t>,</w:t>
      </w:r>
      <w:r w:rsidRPr="00FF5956">
        <w:rPr>
          <w:rFonts w:ascii="Times New Roman" w:eastAsia="Times New Roman" w:hAnsi="Times New Roman"/>
          <w:sz w:val="24"/>
          <w:szCs w:val="24"/>
          <w:lang w:eastAsia="es-ES"/>
        </w:rPr>
        <w:t xml:space="preserve"> como le ocurre al veterano piloto de una aerolínea ante el fenómeno </w:t>
      </w:r>
      <w:r w:rsidR="007C55D9">
        <w:rPr>
          <w:rFonts w:ascii="Times New Roman" w:eastAsia="Times New Roman" w:hAnsi="Times New Roman"/>
          <w:sz w:val="24"/>
          <w:szCs w:val="24"/>
          <w:lang w:eastAsia="es-ES"/>
        </w:rPr>
        <w:t>“</w:t>
      </w:r>
      <w:r w:rsidRPr="007C55D9">
        <w:rPr>
          <w:rFonts w:ascii="Times New Roman" w:eastAsia="Times New Roman" w:hAnsi="Times New Roman"/>
          <w:iCs/>
          <w:sz w:val="24"/>
          <w:szCs w:val="24"/>
          <w:lang w:eastAsia="es-ES"/>
        </w:rPr>
        <w:t>low-cost</w:t>
      </w:r>
      <w:r w:rsidR="007C55D9">
        <w:rPr>
          <w:rFonts w:ascii="Times New Roman" w:eastAsia="Times New Roman" w:hAnsi="Times New Roman"/>
          <w:iCs/>
          <w:sz w:val="24"/>
          <w:szCs w:val="24"/>
          <w:lang w:eastAsia="es-ES"/>
        </w:rPr>
        <w:t>”</w:t>
      </w:r>
      <w:r w:rsidR="001D61FB">
        <w:rPr>
          <w:rFonts w:ascii="Times New Roman" w:eastAsia="Times New Roman" w:hAnsi="Times New Roman"/>
          <w:sz w:val="24"/>
          <w:szCs w:val="24"/>
          <w:lang w:eastAsia="es-ES"/>
        </w:rPr>
        <w:t>. “</w:t>
      </w:r>
      <w:r w:rsidRPr="00FF5956">
        <w:rPr>
          <w:rFonts w:ascii="Times New Roman" w:eastAsia="Times New Roman" w:hAnsi="Times New Roman"/>
          <w:sz w:val="24"/>
          <w:szCs w:val="24"/>
          <w:lang w:eastAsia="es-ES"/>
        </w:rPr>
        <w:t>¿Hay más acci</w:t>
      </w:r>
      <w:r w:rsidR="001D61FB">
        <w:rPr>
          <w:rFonts w:ascii="Times New Roman" w:eastAsia="Times New Roman" w:hAnsi="Times New Roman"/>
          <w:sz w:val="24"/>
          <w:szCs w:val="24"/>
          <w:lang w:eastAsia="es-ES"/>
        </w:rPr>
        <w:t>dentes ahora o vuela más gente?”.</w:t>
      </w:r>
      <w:r w:rsidRPr="00FF5956">
        <w:rPr>
          <w:rFonts w:ascii="Times New Roman" w:eastAsia="Times New Roman" w:hAnsi="Times New Roman"/>
          <w:sz w:val="24"/>
          <w:szCs w:val="24"/>
          <w:lang w:eastAsia="es-ES"/>
        </w:rPr>
        <w:t xml:space="preserve"> En su opinión, el patrón p</w:t>
      </w:r>
      <w:r w:rsidRPr="00204FBF">
        <w:rPr>
          <w:rFonts w:ascii="Times New Roman" w:eastAsia="Times New Roman" w:hAnsi="Times New Roman"/>
          <w:sz w:val="24"/>
          <w:szCs w:val="24"/>
          <w:lang w:eastAsia="es-ES"/>
        </w:rPr>
        <w:t>ú</w:t>
      </w:r>
      <w:r w:rsidRPr="00FF5956">
        <w:rPr>
          <w:rFonts w:ascii="Times New Roman" w:eastAsia="Times New Roman" w:hAnsi="Times New Roman"/>
          <w:sz w:val="24"/>
          <w:szCs w:val="24"/>
          <w:lang w:eastAsia="es-ES"/>
        </w:rPr>
        <w:t>blico-privado no cuestiona el servicio universal y gratuito de la sanidad, sino que contribuye a la prestación del servicio a un coste menor, lo que permite una mejor administración de los recursos públicos, contando incluso con el margen de beneficio que el operador privado obtiene por su gestión. Los números a este respecto, sin embargo, son difíciles de hacer. Como reconocen operadores del negocio, evaluar el coste por paciente en un gran centro hospitalario es un ejercicio objetivamente imposible. </w:t>
      </w:r>
    </w:p>
    <w:p w:rsidR="00757A10" w:rsidRPr="001D61F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1D61FB">
        <w:rPr>
          <w:rFonts w:ascii="Times New Roman" w:eastAsia="Times New Roman" w:hAnsi="Times New Roman"/>
          <w:bCs/>
          <w:sz w:val="24"/>
          <w:szCs w:val="24"/>
          <w:lang w:eastAsia="es-ES"/>
        </w:rPr>
        <w:t>El cuestionado papel de los políticos</w:t>
      </w:r>
    </w:p>
    <w:p w:rsidR="00757A10" w:rsidRPr="00FF595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FF5956">
        <w:rPr>
          <w:rFonts w:ascii="Times New Roman" w:eastAsia="Times New Roman" w:hAnsi="Times New Roman"/>
          <w:sz w:val="24"/>
          <w:szCs w:val="24"/>
          <w:lang w:eastAsia="es-ES"/>
        </w:rPr>
        <w:t xml:space="preserve">En lugar de hablar de números o modelos, </w:t>
      </w:r>
      <w:r w:rsidRPr="008B4BA7">
        <w:rPr>
          <w:rFonts w:ascii="Times New Roman" w:eastAsia="Times New Roman" w:hAnsi="Times New Roman"/>
          <w:bCs/>
          <w:sz w:val="24"/>
          <w:szCs w:val="24"/>
          <w:lang w:eastAsia="es-ES"/>
        </w:rPr>
        <w:t>el debate sobre la sanidad termina siempre en el fango de la política</w:t>
      </w:r>
      <w:r w:rsidRPr="008B4BA7">
        <w:rPr>
          <w:rFonts w:ascii="Times New Roman" w:eastAsia="Times New Roman" w:hAnsi="Times New Roman"/>
          <w:sz w:val="24"/>
          <w:szCs w:val="24"/>
          <w:lang w:eastAsia="es-ES"/>
        </w:rPr>
        <w:t>.</w:t>
      </w:r>
      <w:r w:rsidRPr="00FF5956">
        <w:rPr>
          <w:rFonts w:ascii="Times New Roman" w:eastAsia="Times New Roman" w:hAnsi="Times New Roman"/>
          <w:sz w:val="24"/>
          <w:szCs w:val="24"/>
          <w:lang w:eastAsia="es-ES"/>
        </w:rPr>
        <w:t xml:space="preserve"> Y motivos no faltan. </w:t>
      </w:r>
      <w:hyperlink r:id="rId458" w:history="1">
        <w:r w:rsidRPr="001D61FB">
          <w:rPr>
            <w:rFonts w:ascii="Times New Roman" w:eastAsia="Times New Roman" w:hAnsi="Times New Roman"/>
            <w:sz w:val="24"/>
            <w:szCs w:val="24"/>
            <w:u w:val="single"/>
            <w:lang w:eastAsia="es-ES"/>
          </w:rPr>
          <w:t>Esta misma semana se conocía que la empresa Unilabs</w:t>
        </w:r>
      </w:hyperlink>
      <w:r w:rsidRPr="001D61FB">
        <w:rPr>
          <w:rFonts w:ascii="Times New Roman" w:eastAsia="Times New Roman" w:hAnsi="Times New Roman"/>
          <w:sz w:val="24"/>
          <w:szCs w:val="24"/>
          <w:lang w:eastAsia="es-ES"/>
        </w:rPr>
        <w:t>,</w:t>
      </w:r>
      <w:r w:rsidRPr="00FF5956">
        <w:rPr>
          <w:rFonts w:ascii="Times New Roman" w:eastAsia="Times New Roman" w:hAnsi="Times New Roman"/>
          <w:sz w:val="24"/>
          <w:szCs w:val="24"/>
          <w:lang w:eastAsia="es-ES"/>
        </w:rPr>
        <w:t xml:space="preserve"> de la que desde el pasado agosto es consejero </w:t>
      </w:r>
      <w:r w:rsidRPr="008B4BA7">
        <w:rPr>
          <w:rFonts w:ascii="Times New Roman" w:eastAsia="Times New Roman" w:hAnsi="Times New Roman"/>
          <w:bCs/>
          <w:sz w:val="24"/>
          <w:szCs w:val="24"/>
          <w:lang w:eastAsia="es-ES"/>
        </w:rPr>
        <w:t>Juan José Güemes</w:t>
      </w:r>
      <w:r w:rsidRPr="008B4BA7">
        <w:rPr>
          <w:rFonts w:ascii="Times New Roman" w:eastAsia="Times New Roman" w:hAnsi="Times New Roman"/>
          <w:sz w:val="24"/>
          <w:szCs w:val="24"/>
          <w:lang w:eastAsia="es-ES"/>
        </w:rPr>
        <w:t>,</w:t>
      </w:r>
      <w:r w:rsidRPr="00FF5956">
        <w:rPr>
          <w:rFonts w:ascii="Times New Roman" w:eastAsia="Times New Roman" w:hAnsi="Times New Roman"/>
          <w:sz w:val="24"/>
          <w:szCs w:val="24"/>
          <w:lang w:eastAsia="es-ES"/>
        </w:rPr>
        <w:t xml:space="preserve"> exresponsable de Sanidad de la Comunidad de Madrid, se ha hecho con la gestión de los análisis clínicos privatizados por el político popular durante su mandato (2008-10) tras adquirir el 55% del consorcio adjudicatario. Por este motivo, aunque el comprador, filial de Capio, no tiene que ver con su antigua división en España y aunque el exdirigente </w:t>
      </w:r>
      <w:r w:rsidR="007C55D9">
        <w:rPr>
          <w:rFonts w:ascii="Times New Roman" w:eastAsia="Times New Roman" w:hAnsi="Times New Roman"/>
          <w:sz w:val="24"/>
          <w:szCs w:val="24"/>
          <w:lang w:eastAsia="es-ES"/>
        </w:rPr>
        <w:t>“</w:t>
      </w:r>
      <w:r w:rsidRPr="007C55D9">
        <w:rPr>
          <w:rFonts w:ascii="Times New Roman" w:eastAsia="Times New Roman" w:hAnsi="Times New Roman"/>
          <w:iCs/>
          <w:sz w:val="24"/>
          <w:szCs w:val="24"/>
          <w:lang w:eastAsia="es-ES"/>
        </w:rPr>
        <w:t>popular</w:t>
      </w:r>
      <w:r w:rsidR="007C55D9">
        <w:rPr>
          <w:rFonts w:ascii="Times New Roman" w:eastAsia="Times New Roman" w:hAnsi="Times New Roman"/>
          <w:iCs/>
          <w:sz w:val="24"/>
          <w:szCs w:val="24"/>
          <w:lang w:eastAsia="es-ES"/>
        </w:rPr>
        <w:t>”</w:t>
      </w:r>
      <w:r w:rsidRPr="00FF5956">
        <w:rPr>
          <w:rFonts w:ascii="Times New Roman" w:eastAsia="Times New Roman" w:hAnsi="Times New Roman"/>
          <w:sz w:val="24"/>
          <w:szCs w:val="24"/>
          <w:lang w:eastAsia="es-ES"/>
        </w:rPr>
        <w:t>, actual ejecutivo del instituto de Empresa, se desvinculó de la política hace más de dos años, la concurrencia de factores que invitan a la sospecha hace que el debate sobre la privatización de la sanidad se tiña de sombras y elementos de duda.</w:t>
      </w:r>
    </w:p>
    <w:p w:rsidR="00757A10" w:rsidRPr="001D61F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FF5956">
        <w:rPr>
          <w:rFonts w:ascii="Times New Roman" w:eastAsia="Times New Roman" w:hAnsi="Times New Roman"/>
          <w:sz w:val="24"/>
          <w:szCs w:val="24"/>
          <w:lang w:eastAsia="es-ES"/>
        </w:rPr>
        <w:t xml:space="preserve">El problema de fondo supera al maniqueísmo entre lo público y lo privado para llegar a la esfera de lo político. Al final, son los partidos con capacidad de gobernar quienes incurren en </w:t>
      </w:r>
      <w:r w:rsidR="001D61FB">
        <w:rPr>
          <w:rFonts w:ascii="Times New Roman" w:eastAsia="Times New Roman" w:hAnsi="Times New Roman"/>
          <w:sz w:val="24"/>
          <w:szCs w:val="24"/>
          <w:u w:val="single"/>
          <w:lang w:eastAsia="es-ES"/>
        </w:rPr>
        <w:t>las mismas prácticas “extractivas”</w:t>
      </w:r>
      <w:r w:rsidRPr="001D61FB">
        <w:rPr>
          <w:rFonts w:ascii="Times New Roman" w:eastAsia="Times New Roman" w:hAnsi="Times New Roman"/>
          <w:sz w:val="24"/>
          <w:szCs w:val="24"/>
          <w:lang w:eastAsia="es-ES"/>
        </w:rPr>
        <w:t xml:space="preserve">. </w:t>
      </w:r>
      <w:r w:rsidRPr="00FF5956">
        <w:rPr>
          <w:rFonts w:ascii="Times New Roman" w:eastAsia="Times New Roman" w:hAnsi="Times New Roman"/>
          <w:sz w:val="24"/>
          <w:szCs w:val="24"/>
          <w:lang w:eastAsia="es-ES"/>
        </w:rPr>
        <w:t xml:space="preserve">Resulta fácil encontrar a dirigentes de </w:t>
      </w:r>
      <w:r w:rsidRPr="00FF5956">
        <w:rPr>
          <w:rFonts w:ascii="Times New Roman" w:eastAsia="Times New Roman" w:hAnsi="Times New Roman"/>
          <w:sz w:val="24"/>
          <w:szCs w:val="24"/>
          <w:lang w:eastAsia="es-ES"/>
        </w:rPr>
        <w:lastRenderedPageBreak/>
        <w:t xml:space="preserve">uno y otro color como consejeros o asesores de compañías que antes fueron públicas y ahora privadas, desde </w:t>
      </w:r>
      <w:r w:rsidRPr="008B4BA7">
        <w:rPr>
          <w:rFonts w:ascii="Times New Roman" w:eastAsia="Times New Roman" w:hAnsi="Times New Roman"/>
          <w:bCs/>
          <w:sz w:val="24"/>
          <w:szCs w:val="24"/>
          <w:lang w:eastAsia="es-ES"/>
        </w:rPr>
        <w:t>Felipe</w:t>
      </w:r>
      <w:r w:rsidRPr="008B4BA7">
        <w:rPr>
          <w:rFonts w:ascii="Times New Roman" w:eastAsia="Times New Roman" w:hAnsi="Times New Roman"/>
          <w:sz w:val="24"/>
          <w:szCs w:val="24"/>
          <w:lang w:eastAsia="es-ES"/>
        </w:rPr>
        <w:t xml:space="preserve"> </w:t>
      </w:r>
      <w:r w:rsidRPr="008B4BA7">
        <w:rPr>
          <w:rFonts w:ascii="Times New Roman" w:eastAsia="Times New Roman" w:hAnsi="Times New Roman"/>
          <w:bCs/>
          <w:sz w:val="24"/>
          <w:szCs w:val="24"/>
          <w:lang w:eastAsia="es-ES"/>
        </w:rPr>
        <w:t>González</w:t>
      </w:r>
      <w:r w:rsidRPr="00FF5956">
        <w:rPr>
          <w:rFonts w:ascii="Times New Roman" w:eastAsia="Times New Roman" w:hAnsi="Times New Roman"/>
          <w:sz w:val="24"/>
          <w:szCs w:val="24"/>
          <w:lang w:eastAsia="es-ES"/>
        </w:rPr>
        <w:t xml:space="preserve"> (Fenosa Gas Natural) a </w:t>
      </w:r>
      <w:r w:rsidRPr="008B4BA7">
        <w:rPr>
          <w:rFonts w:ascii="Times New Roman" w:eastAsia="Times New Roman" w:hAnsi="Times New Roman"/>
          <w:bCs/>
          <w:sz w:val="24"/>
          <w:szCs w:val="24"/>
          <w:lang w:eastAsia="es-ES"/>
        </w:rPr>
        <w:t>José María Aznar</w:t>
      </w:r>
      <w:r w:rsidRPr="008B4BA7">
        <w:rPr>
          <w:rFonts w:ascii="Times New Roman" w:eastAsia="Times New Roman" w:hAnsi="Times New Roman"/>
          <w:sz w:val="24"/>
          <w:szCs w:val="24"/>
          <w:lang w:eastAsia="es-ES"/>
        </w:rPr>
        <w:t xml:space="preserve"> </w:t>
      </w:r>
      <w:r w:rsidRPr="00FF5956">
        <w:rPr>
          <w:rFonts w:ascii="Times New Roman" w:eastAsia="Times New Roman" w:hAnsi="Times New Roman"/>
          <w:sz w:val="24"/>
          <w:szCs w:val="24"/>
          <w:lang w:eastAsia="es-ES"/>
        </w:rPr>
        <w:t xml:space="preserve">(Endesa), pasando por </w:t>
      </w:r>
      <w:r w:rsidRPr="008B4BA7">
        <w:rPr>
          <w:rFonts w:ascii="Times New Roman" w:eastAsia="Times New Roman" w:hAnsi="Times New Roman"/>
          <w:bCs/>
          <w:sz w:val="24"/>
          <w:szCs w:val="24"/>
          <w:lang w:eastAsia="es-ES"/>
        </w:rPr>
        <w:t>Rodrigo</w:t>
      </w:r>
      <w:r w:rsidRPr="008B4BA7">
        <w:rPr>
          <w:rFonts w:ascii="Times New Roman" w:eastAsia="Times New Roman" w:hAnsi="Times New Roman"/>
          <w:sz w:val="24"/>
          <w:szCs w:val="24"/>
          <w:lang w:eastAsia="es-ES"/>
        </w:rPr>
        <w:t xml:space="preserve"> </w:t>
      </w:r>
      <w:r w:rsidRPr="008B4BA7">
        <w:rPr>
          <w:rFonts w:ascii="Times New Roman" w:eastAsia="Times New Roman" w:hAnsi="Times New Roman"/>
          <w:bCs/>
          <w:sz w:val="24"/>
          <w:szCs w:val="24"/>
          <w:lang w:eastAsia="es-ES"/>
        </w:rPr>
        <w:t>Rato</w:t>
      </w:r>
      <w:r w:rsidRPr="00FF5956">
        <w:rPr>
          <w:rFonts w:ascii="Times New Roman" w:eastAsia="Times New Roman" w:hAnsi="Times New Roman"/>
          <w:sz w:val="24"/>
          <w:szCs w:val="24"/>
          <w:lang w:eastAsia="es-ES"/>
        </w:rPr>
        <w:t xml:space="preserve"> (Telefónica), que operan en mercados regulados en condiciones de competencia limitada, como puede terminar ocurriendo con el sector sanitario, donde los volúmenes de inversión son tan elevados que las barreras de acceso </w:t>
      </w:r>
      <w:r w:rsidRPr="001D61FB">
        <w:rPr>
          <w:rFonts w:ascii="Times New Roman" w:eastAsia="Times New Roman" w:hAnsi="Times New Roman"/>
          <w:sz w:val="24"/>
          <w:szCs w:val="24"/>
          <w:lang w:eastAsia="es-ES"/>
        </w:rPr>
        <w:t xml:space="preserve">para que exista oferta de distintos operadores pueden ser infranqueables, de manera que el </w:t>
      </w:r>
      <w:hyperlink r:id="rId459" w:history="1">
        <w:r w:rsidRPr="001D61FB">
          <w:rPr>
            <w:rFonts w:ascii="Times New Roman" w:eastAsia="Times New Roman" w:hAnsi="Times New Roman"/>
            <w:sz w:val="24"/>
            <w:szCs w:val="24"/>
            <w:u w:val="single"/>
            <w:lang w:eastAsia="es-ES"/>
          </w:rPr>
          <w:t>sector tienda a una concentración en un par de grandes compañías</w:t>
        </w:r>
      </w:hyperlink>
      <w:r w:rsidRPr="001D61FB">
        <w:rPr>
          <w:rFonts w:ascii="Times New Roman" w:eastAsia="Times New Roman" w:hAnsi="Times New Roman"/>
          <w:sz w:val="24"/>
          <w:szCs w:val="24"/>
          <w:lang w:eastAsia="es-ES"/>
        </w:rPr>
        <w:t>.</w:t>
      </w:r>
    </w:p>
    <w:p w:rsidR="00757A10" w:rsidRPr="001D61FB" w:rsidRDefault="00757A10" w:rsidP="00550638">
      <w:pPr>
        <w:pStyle w:val="NormalWeb"/>
        <w:jc w:val="both"/>
        <w:rPr>
          <w:u w:val="single"/>
        </w:rPr>
      </w:pPr>
      <w:r w:rsidRPr="001D61FB">
        <w:t xml:space="preserve">De momento, Madera ha evitado fichajes políticos de campanillas, aunque eso no le ha librado de que </w:t>
      </w:r>
      <w:hyperlink r:id="rId460" w:history="1">
        <w:r w:rsidRPr="001D61FB">
          <w:rPr>
            <w:u w:val="single"/>
          </w:rPr>
          <w:t>se extendiera por las redes sociales un bulo según el cual</w:t>
        </w:r>
      </w:hyperlink>
      <w:r w:rsidRPr="001D61FB">
        <w:t xml:space="preserve"> el triunvirato más malvado del PP, formado por </w:t>
      </w:r>
      <w:r w:rsidRPr="008B4BA7">
        <w:rPr>
          <w:bCs/>
        </w:rPr>
        <w:t>Esperanza Aguirre</w:t>
      </w:r>
      <w:r w:rsidRPr="008B4BA7">
        <w:t xml:space="preserve">, </w:t>
      </w:r>
      <w:r w:rsidRPr="008B4BA7">
        <w:rPr>
          <w:bCs/>
        </w:rPr>
        <w:t>María Dolores de Cospedal</w:t>
      </w:r>
      <w:r w:rsidRPr="008B4BA7">
        <w:t xml:space="preserve"> y </w:t>
      </w:r>
      <w:r w:rsidRPr="008B4BA7">
        <w:rPr>
          <w:bCs/>
        </w:rPr>
        <w:t>Rodrigo Rato</w:t>
      </w:r>
      <w:r w:rsidRPr="008B4BA7">
        <w:t>,</w:t>
      </w:r>
      <w:r w:rsidRPr="001D61FB">
        <w:t xml:space="preserve"> es propietario de Capio, una relación mercantil que explicaría el interés de los </w:t>
      </w:r>
      <w:r w:rsidR="007C55D9">
        <w:t>“</w:t>
      </w:r>
      <w:r w:rsidRPr="007C55D9">
        <w:rPr>
          <w:iCs/>
        </w:rPr>
        <w:t>populares</w:t>
      </w:r>
      <w:r w:rsidR="007C55D9">
        <w:rPr>
          <w:iCs/>
        </w:rPr>
        <w:t>”</w:t>
      </w:r>
      <w:r w:rsidRPr="001D61FB">
        <w:t xml:space="preserve"> por privatizar la sanidad pública. La verdad, sin embargo, es bien distinta, aunque </w:t>
      </w:r>
      <w:hyperlink r:id="rId461" w:history="1">
        <w:r w:rsidRPr="001D61FB">
          <w:rPr>
            <w:u w:val="single"/>
          </w:rPr>
          <w:t>los constantes viajes de las élites dirigentes entre lo público y lo privado generan ese caldo de cultivo</w:t>
        </w:r>
      </w:hyperlink>
      <w:r w:rsidRPr="001D61FB">
        <w:t xml:space="preserve"> que hace verosímil cualquier vinculación capciosa, porque en el fondo es lo que cabe esperar. Y es que al final, el patrón se repite, e igual que </w:t>
      </w:r>
      <w:hyperlink r:id="rId462" w:history="1">
        <w:r w:rsidRPr="001D61FB">
          <w:rPr>
            <w:u w:val="single"/>
          </w:rPr>
          <w:t xml:space="preserve">las grandes empresas sufragan la ONG de la exvicepresidenta </w:t>
        </w:r>
        <w:r w:rsidRPr="008B4BA7">
          <w:rPr>
            <w:bCs/>
            <w:u w:val="single"/>
          </w:rPr>
          <w:t>De la Vega</w:t>
        </w:r>
      </w:hyperlink>
      <w:r w:rsidRPr="001D61FB">
        <w:t xml:space="preserve"> los grandes de la sanidad privada </w:t>
      </w:r>
      <w:hyperlink r:id="rId463" w:history="1">
        <w:r w:rsidRPr="001D61FB">
          <w:rPr>
            <w:u w:val="single"/>
          </w:rPr>
          <w:t xml:space="preserve">participan en la </w:t>
        </w:r>
        <w:r w:rsidR="00D44948" w:rsidRPr="001D61FB">
          <w:rPr>
            <w:u w:val="single"/>
          </w:rPr>
          <w:t>iniciativa</w:t>
        </w:r>
        <w:r w:rsidRPr="001D61FB">
          <w:rPr>
            <w:u w:val="single"/>
          </w:rPr>
          <w:t xml:space="preserve"> de </w:t>
        </w:r>
        <w:r w:rsidR="007C55D9">
          <w:rPr>
            <w:u w:val="single"/>
          </w:rPr>
          <w:t>“</w:t>
        </w:r>
        <w:r w:rsidRPr="007C55D9">
          <w:rPr>
            <w:iCs/>
            <w:u w:val="single"/>
          </w:rPr>
          <w:t>cluster</w:t>
        </w:r>
        <w:r w:rsidR="007C55D9">
          <w:rPr>
            <w:iCs/>
            <w:u w:val="single"/>
          </w:rPr>
          <w:t>”</w:t>
        </w:r>
        <w:r w:rsidRPr="001D61FB">
          <w:rPr>
            <w:u w:val="single"/>
          </w:rPr>
          <w:t xml:space="preserve"> impulsada por el exconsejero madrileño de Sanidad</w:t>
        </w:r>
      </w:hyperlink>
      <w:r w:rsidRPr="001D61FB">
        <w:rPr>
          <w:u w:val="single"/>
        </w:rPr>
        <w:t>.</w:t>
      </w:r>
    </w:p>
    <w:p w:rsidR="00757A10" w:rsidRPr="00B7203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001D61FB">
        <w:rPr>
          <w:rFonts w:ascii="Times New Roman" w:eastAsia="Times New Roman" w:hAnsi="Times New Roman"/>
          <w:sz w:val="24"/>
          <w:szCs w:val="24"/>
          <w:lang w:eastAsia="es-ES"/>
        </w:rPr>
        <w:t>“</w:t>
      </w:r>
      <w:r w:rsidRPr="00B7203B">
        <w:rPr>
          <w:rFonts w:ascii="Times New Roman" w:eastAsia="Times New Roman" w:hAnsi="Times New Roman"/>
          <w:sz w:val="24"/>
          <w:szCs w:val="24"/>
          <w:u w:val="single"/>
          <w:lang w:eastAsia="es-ES"/>
        </w:rPr>
        <w:t>Rechazar la gestión privada de la sanidad sólo se justifica por ideología</w:t>
      </w:r>
      <w:r w:rsidR="001D61FB">
        <w:rPr>
          <w:rFonts w:ascii="Times New Roman" w:eastAsia="Times New Roman" w:hAnsi="Times New Roman"/>
          <w:sz w:val="24"/>
          <w:szCs w:val="24"/>
          <w:lang w:eastAsia="es-ES"/>
        </w:rPr>
        <w:t>”</w:t>
      </w:r>
      <w:r>
        <w:rPr>
          <w:rFonts w:ascii="Times New Roman" w:eastAsia="Times New Roman" w:hAnsi="Times New Roman"/>
          <w:sz w:val="24"/>
          <w:szCs w:val="24"/>
          <w:lang w:eastAsia="es-ES"/>
        </w:rPr>
        <w:t xml:space="preserve"> (Libertad Digital - </w:t>
      </w:r>
      <w:r w:rsidRPr="00B7203B">
        <w:rPr>
          <w:rFonts w:ascii="Times New Roman" w:eastAsia="Times New Roman" w:hAnsi="Times New Roman"/>
          <w:b/>
          <w:sz w:val="24"/>
          <w:szCs w:val="24"/>
          <w:lang w:eastAsia="es-ES"/>
        </w:rPr>
        <w:t>14/1/13</w:t>
      </w:r>
      <w:r>
        <w:rPr>
          <w:rFonts w:ascii="Times New Roman" w:eastAsia="Times New Roman" w:hAnsi="Times New Roman"/>
          <w:sz w:val="24"/>
          <w:szCs w:val="24"/>
          <w:lang w:eastAsia="es-ES"/>
        </w:rPr>
        <w:t>)</w:t>
      </w:r>
      <w:r w:rsidR="001D61FB">
        <w:rPr>
          <w:rFonts w:ascii="Times New Roman" w:eastAsia="Times New Roman" w:hAnsi="Times New Roman"/>
          <w:sz w:val="24"/>
          <w:szCs w:val="24"/>
          <w:lang w:eastAsia="es-ES"/>
        </w:rPr>
        <w:t xml:space="preserve">                                                                               Lectura recomendada</w:t>
      </w:r>
    </w:p>
    <w:p w:rsidR="00757A10" w:rsidRPr="00B7203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t>El presidente de Capio, la favorita para gestionar nuevos hospitales, enumera los beneficios de la participación privada en la sanidad.</w:t>
      </w:r>
    </w:p>
    <w:p w:rsidR="00757A10" w:rsidRPr="001D61F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1D61FB">
        <w:rPr>
          <w:rFonts w:ascii="Times New Roman" w:eastAsia="Times New Roman" w:hAnsi="Times New Roman"/>
          <w:sz w:val="24"/>
          <w:szCs w:val="24"/>
          <w:lang w:eastAsia="es-ES"/>
        </w:rPr>
        <w:t>Mientras </w:t>
      </w:r>
      <w:hyperlink r:id="rId464" w:history="1">
        <w:r w:rsidRPr="001D61FB">
          <w:rPr>
            <w:rFonts w:ascii="Times New Roman" w:eastAsia="Times New Roman" w:hAnsi="Times New Roman"/>
            <w:sz w:val="24"/>
            <w:szCs w:val="24"/>
            <w:u w:val="single"/>
            <w:lang w:eastAsia="es-ES"/>
          </w:rPr>
          <w:t>los profesionales sanitarios se manifiestan en Madrid</w:t>
        </w:r>
      </w:hyperlink>
      <w:r w:rsidRPr="001D61FB">
        <w:rPr>
          <w:rFonts w:ascii="Times New Roman" w:eastAsia="Times New Roman" w:hAnsi="Times New Roman"/>
          <w:sz w:val="24"/>
          <w:szCs w:val="24"/>
          <w:lang w:eastAsia="es-ES"/>
        </w:rPr>
        <w:t xml:space="preserve"> por la reforma de Lasquetty para ampliar la externalización de la gestión sanitaria, las futuras adjudicatarias</w:t>
      </w:r>
      <w:r w:rsidRPr="001D61FB">
        <w:rPr>
          <w:rFonts w:ascii="Times New Roman" w:eastAsia="Times New Roman" w:hAnsi="Times New Roman"/>
          <w:b/>
          <w:bCs/>
          <w:sz w:val="24"/>
          <w:szCs w:val="24"/>
          <w:lang w:eastAsia="es-ES"/>
        </w:rPr>
        <w:t xml:space="preserve"> </w:t>
      </w:r>
      <w:r w:rsidRPr="00600136">
        <w:rPr>
          <w:rFonts w:ascii="Times New Roman" w:eastAsia="Times New Roman" w:hAnsi="Times New Roman"/>
          <w:bCs/>
          <w:sz w:val="24"/>
          <w:szCs w:val="24"/>
          <w:lang w:eastAsia="es-ES"/>
        </w:rPr>
        <w:t>no dudan en destacar los beneficios de la gestión privada</w:t>
      </w:r>
      <w:r w:rsidRPr="001D61FB">
        <w:rPr>
          <w:rFonts w:ascii="Times New Roman" w:eastAsia="Times New Roman" w:hAnsi="Times New Roman"/>
          <w:b/>
          <w:bCs/>
          <w:sz w:val="24"/>
          <w:szCs w:val="24"/>
          <w:lang w:eastAsia="es-ES"/>
        </w:rPr>
        <w:t xml:space="preserve"> </w:t>
      </w:r>
      <w:r w:rsidR="001D61FB">
        <w:rPr>
          <w:rFonts w:ascii="Times New Roman" w:eastAsia="Times New Roman" w:hAnsi="Times New Roman"/>
          <w:sz w:val="24"/>
          <w:szCs w:val="24"/>
          <w:lang w:eastAsia="es-ES"/>
        </w:rPr>
        <w:t>en parte del sistema. “</w:t>
      </w:r>
      <w:r w:rsidRPr="001D61FB">
        <w:rPr>
          <w:rFonts w:ascii="Times New Roman" w:eastAsia="Times New Roman" w:hAnsi="Times New Roman"/>
          <w:sz w:val="24"/>
          <w:szCs w:val="24"/>
          <w:lang w:eastAsia="es-ES"/>
        </w:rPr>
        <w:t xml:space="preserve">El principal problema en España es que </w:t>
      </w:r>
      <w:r w:rsidRPr="00600136">
        <w:rPr>
          <w:rFonts w:ascii="Times New Roman" w:eastAsia="Times New Roman" w:hAnsi="Times New Roman"/>
          <w:bCs/>
          <w:sz w:val="24"/>
          <w:szCs w:val="24"/>
          <w:lang w:eastAsia="es-ES"/>
        </w:rPr>
        <w:t>se ha malinterpreta</w:t>
      </w:r>
      <w:r w:rsidR="001D61FB" w:rsidRPr="00600136">
        <w:rPr>
          <w:rFonts w:ascii="Times New Roman" w:eastAsia="Times New Roman" w:hAnsi="Times New Roman"/>
          <w:bCs/>
          <w:sz w:val="24"/>
          <w:szCs w:val="24"/>
          <w:lang w:eastAsia="es-ES"/>
        </w:rPr>
        <w:t>do el modelo de sanidad pública</w:t>
      </w:r>
      <w:r w:rsidR="001D61FB">
        <w:rPr>
          <w:rFonts w:ascii="Times New Roman" w:eastAsia="Times New Roman" w:hAnsi="Times New Roman"/>
          <w:b/>
          <w:bCs/>
          <w:sz w:val="24"/>
          <w:szCs w:val="24"/>
          <w:lang w:eastAsia="es-ES"/>
        </w:rPr>
        <w:t>”</w:t>
      </w:r>
      <w:r w:rsidRPr="001D61FB">
        <w:rPr>
          <w:rFonts w:ascii="Times New Roman" w:eastAsia="Times New Roman" w:hAnsi="Times New Roman"/>
          <w:sz w:val="24"/>
          <w:szCs w:val="24"/>
          <w:lang w:eastAsia="es-ES"/>
        </w:rPr>
        <w:t xml:space="preserve">, afirma el presidente de </w:t>
      </w:r>
      <w:hyperlink r:id="rId465" w:history="1">
        <w:r w:rsidRPr="001D61FB">
          <w:rPr>
            <w:rFonts w:ascii="Times New Roman" w:eastAsia="Times New Roman" w:hAnsi="Times New Roman"/>
            <w:sz w:val="24"/>
            <w:szCs w:val="24"/>
            <w:u w:val="single"/>
            <w:lang w:eastAsia="es-ES"/>
          </w:rPr>
          <w:t>Capio</w:t>
        </w:r>
      </w:hyperlink>
      <w:r w:rsidRPr="001D61FB">
        <w:rPr>
          <w:rFonts w:ascii="Times New Roman" w:eastAsia="Times New Roman" w:hAnsi="Times New Roman"/>
          <w:sz w:val="24"/>
          <w:szCs w:val="24"/>
          <w:lang w:eastAsia="es-ES"/>
        </w:rPr>
        <w:t xml:space="preserve">, Víctor Madera, en una entrevista al diario </w:t>
      </w:r>
      <w:r w:rsidRPr="001D61FB">
        <w:rPr>
          <w:rFonts w:ascii="Times New Roman" w:eastAsia="Times New Roman" w:hAnsi="Times New Roman"/>
          <w:i/>
          <w:iCs/>
          <w:sz w:val="24"/>
          <w:szCs w:val="24"/>
          <w:lang w:eastAsia="es-ES"/>
        </w:rPr>
        <w:t xml:space="preserve">Expansión. </w:t>
      </w:r>
      <w:r w:rsidR="001D61FB">
        <w:rPr>
          <w:rFonts w:ascii="Times New Roman" w:eastAsia="Times New Roman" w:hAnsi="Times New Roman"/>
          <w:sz w:val="24"/>
          <w:szCs w:val="24"/>
          <w:lang w:eastAsia="es-ES"/>
        </w:rPr>
        <w:t>“</w:t>
      </w:r>
      <w:r w:rsidRPr="001D61FB">
        <w:rPr>
          <w:rFonts w:ascii="Times New Roman" w:eastAsia="Times New Roman" w:hAnsi="Times New Roman"/>
          <w:sz w:val="24"/>
          <w:szCs w:val="24"/>
          <w:lang w:eastAsia="es-ES"/>
        </w:rPr>
        <w:t>Sanidad Pública significa planificación, financiación y control público y luego la prestación tiene</w:t>
      </w:r>
      <w:r w:rsidR="001D61FB">
        <w:rPr>
          <w:rFonts w:ascii="Times New Roman" w:eastAsia="Times New Roman" w:hAnsi="Times New Roman"/>
          <w:sz w:val="24"/>
          <w:szCs w:val="24"/>
          <w:lang w:eastAsia="es-ES"/>
        </w:rPr>
        <w:t xml:space="preserve"> que ser eficiente y de calidad”</w:t>
      </w:r>
      <w:r w:rsidRPr="001D61FB">
        <w:rPr>
          <w:rFonts w:ascii="Times New Roman" w:eastAsia="Times New Roman" w:hAnsi="Times New Roman"/>
          <w:sz w:val="24"/>
          <w:szCs w:val="24"/>
          <w:lang w:eastAsia="es-ES"/>
        </w:rPr>
        <w:t>.</w:t>
      </w:r>
    </w:p>
    <w:p w:rsidR="00757A10" w:rsidRPr="00B7203B"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t>Capio Sanidad es una compañía que actualmente controla la gestión de tres centros públicos de la Comunidad de Madrid y es la favorita para el nuevo concurso regional. El presidente de Capio, que también es una de las principales empresas de asistencia sanitaria en Europa, considera que el rechazo a las empresas privadas</w:t>
      </w:r>
      <w:r w:rsidRPr="00B7203B">
        <w:rPr>
          <w:rFonts w:ascii="Times New Roman" w:eastAsia="Times New Roman" w:hAnsi="Times New Roman"/>
          <w:b/>
          <w:bCs/>
          <w:sz w:val="24"/>
          <w:szCs w:val="24"/>
          <w:lang w:eastAsia="es-ES"/>
        </w:rPr>
        <w:t xml:space="preserve"> </w:t>
      </w:r>
      <w:r w:rsidRPr="00600136">
        <w:rPr>
          <w:rFonts w:ascii="Times New Roman" w:eastAsia="Times New Roman" w:hAnsi="Times New Roman"/>
          <w:bCs/>
          <w:sz w:val="24"/>
          <w:szCs w:val="24"/>
          <w:lang w:eastAsia="es-ES"/>
        </w:rPr>
        <w:t>sólo puede justificarse por razones ideológicas y no económicas</w:t>
      </w:r>
      <w:r w:rsidR="001D61FB">
        <w:rPr>
          <w:rFonts w:ascii="Times New Roman" w:eastAsia="Times New Roman" w:hAnsi="Times New Roman"/>
          <w:sz w:val="24"/>
          <w:szCs w:val="24"/>
          <w:lang w:eastAsia="es-ES"/>
        </w:rPr>
        <w:t>. “</w:t>
      </w:r>
      <w:r w:rsidRPr="00B7203B">
        <w:rPr>
          <w:rFonts w:ascii="Times New Roman" w:eastAsia="Times New Roman" w:hAnsi="Times New Roman"/>
          <w:sz w:val="24"/>
          <w:szCs w:val="24"/>
          <w:lang w:eastAsia="es-ES"/>
        </w:rPr>
        <w:t xml:space="preserve">Es triste que una empresa que en estos momentos quiere invertir en España tenga más posibilidades en otros países por la demagogia con la </w:t>
      </w:r>
      <w:r w:rsidR="001D61FB">
        <w:rPr>
          <w:rFonts w:ascii="Times New Roman" w:eastAsia="Times New Roman" w:hAnsi="Times New Roman"/>
          <w:sz w:val="24"/>
          <w:szCs w:val="24"/>
          <w:lang w:eastAsia="es-ES"/>
        </w:rPr>
        <w:t>sanidad pública que existe aquí”</w:t>
      </w:r>
      <w:r w:rsidRPr="00B7203B">
        <w:rPr>
          <w:rFonts w:ascii="Times New Roman" w:eastAsia="Times New Roman" w:hAnsi="Times New Roman"/>
          <w:sz w:val="24"/>
          <w:szCs w:val="24"/>
          <w:lang w:eastAsia="es-ES"/>
        </w:rPr>
        <w:t>.</w:t>
      </w:r>
    </w:p>
    <w:p w:rsidR="00757A10" w:rsidRPr="00B7203B" w:rsidRDefault="001D61FB"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757A10" w:rsidRPr="00B7203B">
        <w:rPr>
          <w:rFonts w:ascii="Times New Roman" w:eastAsia="Times New Roman" w:hAnsi="Times New Roman"/>
          <w:sz w:val="24"/>
          <w:szCs w:val="24"/>
          <w:lang w:eastAsia="es-ES"/>
        </w:rPr>
        <w:t xml:space="preserve">No se valora que </w:t>
      </w:r>
      <w:r w:rsidR="00757A10" w:rsidRPr="00600136">
        <w:rPr>
          <w:rFonts w:ascii="Times New Roman" w:eastAsia="Times New Roman" w:hAnsi="Times New Roman"/>
          <w:bCs/>
          <w:sz w:val="24"/>
          <w:szCs w:val="24"/>
          <w:lang w:eastAsia="es-ES"/>
        </w:rPr>
        <w:t>hemos invertido 500 millones en cinco años</w:t>
      </w:r>
      <w:r w:rsidR="00757A10" w:rsidRPr="00B7203B">
        <w:rPr>
          <w:rFonts w:ascii="Times New Roman" w:eastAsia="Times New Roman" w:hAnsi="Times New Roman"/>
          <w:sz w:val="24"/>
          <w:szCs w:val="24"/>
          <w:lang w:eastAsia="es-ES"/>
        </w:rPr>
        <w:t xml:space="preserve"> en España, que hemos cogido hospitales en quiebra y hemos aume</w:t>
      </w:r>
      <w:r>
        <w:rPr>
          <w:rFonts w:ascii="Times New Roman" w:eastAsia="Times New Roman" w:hAnsi="Times New Roman"/>
          <w:sz w:val="24"/>
          <w:szCs w:val="24"/>
          <w:lang w:eastAsia="es-ES"/>
        </w:rPr>
        <w:t>ntado el número de trabajadores”</w:t>
      </w:r>
      <w:r w:rsidR="00757A10" w:rsidRPr="00B7203B">
        <w:rPr>
          <w:rFonts w:ascii="Times New Roman" w:eastAsia="Times New Roman" w:hAnsi="Times New Roman"/>
          <w:sz w:val="24"/>
          <w:szCs w:val="24"/>
          <w:lang w:eastAsia="es-ES"/>
        </w:rPr>
        <w:t>, señala. Además, Madera enumera una serie de</w:t>
      </w:r>
      <w:r>
        <w:rPr>
          <w:rFonts w:ascii="Times New Roman" w:eastAsia="Times New Roman" w:hAnsi="Times New Roman"/>
          <w:sz w:val="24"/>
          <w:szCs w:val="24"/>
          <w:lang w:eastAsia="es-ES"/>
        </w:rPr>
        <w:t xml:space="preserve"> argumentos para demostrar que “</w:t>
      </w:r>
      <w:r w:rsidR="00757A10" w:rsidRPr="00B7203B">
        <w:rPr>
          <w:rFonts w:ascii="Times New Roman" w:eastAsia="Times New Roman" w:hAnsi="Times New Roman"/>
          <w:sz w:val="24"/>
          <w:szCs w:val="24"/>
          <w:lang w:eastAsia="es-ES"/>
        </w:rPr>
        <w:t xml:space="preserve">la </w:t>
      </w:r>
      <w:hyperlink r:id="rId466" w:history="1">
        <w:r w:rsidR="00757A10" w:rsidRPr="001D61FB">
          <w:rPr>
            <w:rFonts w:ascii="Times New Roman" w:eastAsia="Times New Roman" w:hAnsi="Times New Roman"/>
            <w:sz w:val="24"/>
            <w:szCs w:val="24"/>
            <w:u w:val="single"/>
            <w:lang w:eastAsia="es-ES"/>
          </w:rPr>
          <w:t>gestión privada</w:t>
        </w:r>
      </w:hyperlink>
      <w:r w:rsidR="00757A10" w:rsidRPr="001D61FB">
        <w:rPr>
          <w:rFonts w:ascii="Times New Roman" w:eastAsia="Times New Roman" w:hAnsi="Times New Roman"/>
          <w:sz w:val="24"/>
          <w:szCs w:val="24"/>
          <w:lang w:eastAsia="es-ES"/>
        </w:rPr>
        <w:t xml:space="preserve"> p</w:t>
      </w:r>
      <w:r w:rsidR="00757A10" w:rsidRPr="00B7203B">
        <w:rPr>
          <w:rFonts w:ascii="Times New Roman" w:eastAsia="Times New Roman" w:hAnsi="Times New Roman"/>
          <w:sz w:val="24"/>
          <w:szCs w:val="24"/>
          <w:lang w:eastAsia="es-ES"/>
        </w:rPr>
        <w:t>uede mej</w:t>
      </w:r>
      <w:r>
        <w:rPr>
          <w:rFonts w:ascii="Times New Roman" w:eastAsia="Times New Roman" w:hAnsi="Times New Roman"/>
          <w:sz w:val="24"/>
          <w:szCs w:val="24"/>
          <w:lang w:eastAsia="es-ES"/>
        </w:rPr>
        <w:t>orar el sistema de salud actual”</w:t>
      </w:r>
      <w:r w:rsidR="00757A10" w:rsidRPr="00B7203B">
        <w:rPr>
          <w:rFonts w:ascii="Times New Roman" w:eastAsia="Times New Roman" w:hAnsi="Times New Roman"/>
          <w:sz w:val="24"/>
          <w:szCs w:val="24"/>
          <w:lang w:eastAsia="es-ES"/>
        </w:rPr>
        <w:t>.</w:t>
      </w:r>
    </w:p>
    <w:p w:rsidR="00757A10" w:rsidRPr="00B7203B" w:rsidRDefault="00757A10" w:rsidP="00550638">
      <w:pPr>
        <w:numPr>
          <w:ilvl w:val="0"/>
          <w:numId w:val="23"/>
        </w:numPr>
        <w:spacing w:before="100" w:beforeAutospacing="1" w:after="100" w:afterAutospacing="1"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t>Si se quiere cumplir con los objetivos de déficit</w:t>
      </w:r>
      <w:r w:rsidRPr="00B7203B">
        <w:rPr>
          <w:rFonts w:ascii="Times New Roman" w:eastAsia="Times New Roman" w:hAnsi="Times New Roman"/>
          <w:b/>
          <w:bCs/>
          <w:sz w:val="24"/>
          <w:szCs w:val="24"/>
          <w:lang w:eastAsia="es-ES"/>
        </w:rPr>
        <w:t xml:space="preserve"> </w:t>
      </w:r>
      <w:r w:rsidR="001D61FB">
        <w:rPr>
          <w:rFonts w:ascii="Times New Roman" w:eastAsia="Times New Roman" w:hAnsi="Times New Roman"/>
          <w:sz w:val="24"/>
          <w:szCs w:val="24"/>
          <w:lang w:eastAsia="es-ES"/>
        </w:rPr>
        <w:t>“</w:t>
      </w:r>
      <w:r w:rsidRPr="00600136">
        <w:rPr>
          <w:rFonts w:ascii="Times New Roman" w:eastAsia="Times New Roman" w:hAnsi="Times New Roman"/>
          <w:bCs/>
          <w:sz w:val="24"/>
          <w:szCs w:val="24"/>
          <w:lang w:eastAsia="es-ES"/>
        </w:rPr>
        <w:t>es imposible mantener un sistema que supone el 45% del gasto tota</w:t>
      </w:r>
      <w:r w:rsidRPr="00600136">
        <w:rPr>
          <w:rFonts w:ascii="Times New Roman" w:eastAsia="Times New Roman" w:hAnsi="Times New Roman"/>
          <w:sz w:val="24"/>
          <w:szCs w:val="24"/>
          <w:lang w:eastAsia="es-ES"/>
        </w:rPr>
        <w:t>l</w:t>
      </w:r>
      <w:r w:rsidRPr="00B7203B">
        <w:rPr>
          <w:rFonts w:ascii="Times New Roman" w:eastAsia="Times New Roman" w:hAnsi="Times New Roman"/>
          <w:sz w:val="24"/>
          <w:szCs w:val="24"/>
          <w:lang w:eastAsia="es-ES"/>
        </w:rPr>
        <w:t xml:space="preserve"> en</w:t>
      </w:r>
      <w:r w:rsidR="001D61FB">
        <w:rPr>
          <w:rFonts w:ascii="Times New Roman" w:eastAsia="Times New Roman" w:hAnsi="Times New Roman"/>
          <w:sz w:val="24"/>
          <w:szCs w:val="24"/>
          <w:lang w:eastAsia="es-ES"/>
        </w:rPr>
        <w:t xml:space="preserve"> comunidades como la de Madrid”.</w:t>
      </w:r>
    </w:p>
    <w:p w:rsidR="00757A10" w:rsidRPr="00B7203B" w:rsidRDefault="00757A10" w:rsidP="00550638">
      <w:pPr>
        <w:numPr>
          <w:ilvl w:val="0"/>
          <w:numId w:val="23"/>
        </w:numPr>
        <w:spacing w:before="100" w:beforeAutospacing="1" w:after="100" w:afterAutospacing="1"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lastRenderedPageBreak/>
        <w:t>Destaca que tras 15 años en España su model</w:t>
      </w:r>
      <w:r w:rsidR="001D61FB">
        <w:rPr>
          <w:rFonts w:ascii="Times New Roman" w:eastAsia="Times New Roman" w:hAnsi="Times New Roman"/>
          <w:sz w:val="24"/>
          <w:szCs w:val="24"/>
          <w:lang w:eastAsia="es-ES"/>
        </w:rPr>
        <w:t>o es más eficiente. “</w:t>
      </w:r>
      <w:r w:rsidRPr="00B7203B">
        <w:rPr>
          <w:rFonts w:ascii="Times New Roman" w:eastAsia="Times New Roman" w:hAnsi="Times New Roman"/>
          <w:sz w:val="24"/>
          <w:szCs w:val="24"/>
          <w:lang w:eastAsia="es-ES"/>
        </w:rPr>
        <w:t xml:space="preserve">Porque </w:t>
      </w:r>
      <w:r w:rsidRPr="00B7203B">
        <w:rPr>
          <w:rFonts w:ascii="Times New Roman" w:eastAsia="Times New Roman" w:hAnsi="Times New Roman"/>
          <w:b/>
          <w:bCs/>
          <w:sz w:val="24"/>
          <w:szCs w:val="24"/>
          <w:lang w:eastAsia="es-ES"/>
        </w:rPr>
        <w:t xml:space="preserve">es </w:t>
      </w:r>
      <w:r w:rsidRPr="00600136">
        <w:rPr>
          <w:rFonts w:ascii="Times New Roman" w:eastAsia="Times New Roman" w:hAnsi="Times New Roman"/>
          <w:bCs/>
          <w:sz w:val="24"/>
          <w:szCs w:val="24"/>
          <w:lang w:eastAsia="es-ES"/>
        </w:rPr>
        <w:t>como mínimo entre un 20 y un 30% más barato</w:t>
      </w:r>
      <w:r w:rsidR="001D61FB">
        <w:rPr>
          <w:rFonts w:ascii="Times New Roman" w:eastAsia="Times New Roman" w:hAnsi="Times New Roman"/>
          <w:sz w:val="24"/>
          <w:szCs w:val="24"/>
          <w:lang w:eastAsia="es-ES"/>
        </w:rPr>
        <w:t>”</w:t>
      </w:r>
      <w:r w:rsidRPr="00B7203B">
        <w:rPr>
          <w:rFonts w:ascii="Times New Roman" w:eastAsia="Times New Roman" w:hAnsi="Times New Roman"/>
          <w:sz w:val="24"/>
          <w:szCs w:val="24"/>
          <w:lang w:eastAsia="es-ES"/>
        </w:rPr>
        <w:t xml:space="preserve">. Algo que ya han demostrado numerosos estudios como el de Muface (el sistema de cobertura sanitaria de los funcionarios civiles del Estado), que confirma que </w:t>
      </w:r>
      <w:hyperlink r:id="rId467" w:history="1">
        <w:r w:rsidRPr="001D61FB">
          <w:rPr>
            <w:rFonts w:ascii="Times New Roman" w:eastAsia="Times New Roman" w:hAnsi="Times New Roman"/>
            <w:sz w:val="24"/>
            <w:szCs w:val="24"/>
            <w:u w:val="single"/>
            <w:lang w:eastAsia="es-ES"/>
          </w:rPr>
          <w:t>la prima que el Estado paga a las aseguradoras era un 30% inferior</w:t>
        </w:r>
      </w:hyperlink>
      <w:r w:rsidRPr="00B7203B">
        <w:rPr>
          <w:rFonts w:ascii="Times New Roman" w:eastAsia="Times New Roman" w:hAnsi="Times New Roman"/>
          <w:sz w:val="24"/>
          <w:szCs w:val="24"/>
          <w:lang w:eastAsia="es-ES"/>
        </w:rPr>
        <w:t xml:space="preserve"> al gasto sanitario público </w:t>
      </w:r>
      <w:r w:rsidR="007C55D9">
        <w:rPr>
          <w:rFonts w:ascii="Times New Roman" w:eastAsia="Times New Roman" w:hAnsi="Times New Roman"/>
          <w:sz w:val="24"/>
          <w:szCs w:val="24"/>
          <w:lang w:eastAsia="es-ES"/>
        </w:rPr>
        <w:t>“</w:t>
      </w:r>
      <w:r w:rsidRPr="007C55D9">
        <w:rPr>
          <w:rFonts w:ascii="Times New Roman" w:eastAsia="Times New Roman" w:hAnsi="Times New Roman"/>
          <w:iCs/>
          <w:sz w:val="24"/>
          <w:szCs w:val="24"/>
          <w:lang w:eastAsia="es-ES"/>
        </w:rPr>
        <w:t>per cápita</w:t>
      </w:r>
      <w:r w:rsidR="007C55D9">
        <w:rPr>
          <w:rFonts w:ascii="Times New Roman" w:eastAsia="Times New Roman" w:hAnsi="Times New Roman"/>
          <w:iCs/>
          <w:sz w:val="24"/>
          <w:szCs w:val="24"/>
          <w:lang w:eastAsia="es-ES"/>
        </w:rPr>
        <w:t>”</w:t>
      </w:r>
      <w:r w:rsidRPr="00B7203B">
        <w:rPr>
          <w:rFonts w:ascii="Times New Roman" w:eastAsia="Times New Roman" w:hAnsi="Times New Roman"/>
          <w:i/>
          <w:iCs/>
          <w:sz w:val="24"/>
          <w:szCs w:val="24"/>
          <w:lang w:eastAsia="es-ES"/>
        </w:rPr>
        <w:t>.</w:t>
      </w:r>
    </w:p>
    <w:p w:rsidR="00757A10" w:rsidRPr="00B7203B" w:rsidRDefault="00757A10" w:rsidP="00550638">
      <w:pPr>
        <w:numPr>
          <w:ilvl w:val="0"/>
          <w:numId w:val="23"/>
        </w:numPr>
        <w:spacing w:before="100" w:beforeAutospacing="1" w:after="100" w:afterAutospacing="1"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t>También hace referencia al funcionamiento de este sistema en el resto de países europeos.</w:t>
      </w:r>
      <w:r w:rsidR="001D61FB">
        <w:rPr>
          <w:rFonts w:ascii="Times New Roman" w:eastAsia="Times New Roman" w:hAnsi="Times New Roman"/>
          <w:sz w:val="24"/>
          <w:szCs w:val="24"/>
          <w:lang w:eastAsia="es-ES"/>
        </w:rPr>
        <w:t xml:space="preserve"> “</w:t>
      </w:r>
      <w:r w:rsidRPr="00B7203B">
        <w:rPr>
          <w:rFonts w:ascii="Times New Roman" w:eastAsia="Times New Roman" w:hAnsi="Times New Roman"/>
          <w:sz w:val="24"/>
          <w:szCs w:val="24"/>
          <w:lang w:eastAsia="es-ES"/>
        </w:rPr>
        <w:t xml:space="preserve">En Alemania es ahora cuando más colaboración privada existe y </w:t>
      </w:r>
      <w:r w:rsidRPr="00600136">
        <w:rPr>
          <w:rFonts w:ascii="Times New Roman" w:eastAsia="Times New Roman" w:hAnsi="Times New Roman"/>
          <w:bCs/>
          <w:sz w:val="24"/>
          <w:szCs w:val="24"/>
          <w:lang w:eastAsia="es-ES"/>
        </w:rPr>
        <w:t>en Suecia incluso los trabajadores prefieren la gestión privada</w:t>
      </w:r>
      <w:r w:rsidR="009876BF" w:rsidRPr="00600136">
        <w:rPr>
          <w:rFonts w:ascii="Times New Roman" w:eastAsia="Times New Roman" w:hAnsi="Times New Roman"/>
          <w:sz w:val="24"/>
          <w:szCs w:val="24"/>
          <w:lang w:eastAsia="es-ES"/>
        </w:rPr>
        <w:t>”</w:t>
      </w:r>
      <w:r w:rsidRPr="00B7203B">
        <w:rPr>
          <w:rFonts w:ascii="Times New Roman" w:eastAsia="Times New Roman" w:hAnsi="Times New Roman"/>
          <w:sz w:val="24"/>
          <w:szCs w:val="24"/>
          <w:lang w:eastAsia="es-ES"/>
        </w:rPr>
        <w:t>.</w:t>
      </w:r>
    </w:p>
    <w:p w:rsidR="00757A10" w:rsidRPr="00B7203B" w:rsidRDefault="00757A10" w:rsidP="00550638">
      <w:pPr>
        <w:numPr>
          <w:ilvl w:val="0"/>
          <w:numId w:val="23"/>
        </w:numPr>
        <w:spacing w:before="100" w:beforeAutospacing="1" w:after="100" w:afterAutospacing="1"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t>La compañía, controlada por la firma de capital riesgo </w:t>
      </w:r>
      <w:hyperlink r:id="rId468" w:history="1">
        <w:r w:rsidRPr="009876BF">
          <w:rPr>
            <w:rFonts w:ascii="Times New Roman" w:eastAsia="Times New Roman" w:hAnsi="Times New Roman"/>
            <w:sz w:val="24"/>
            <w:szCs w:val="24"/>
            <w:u w:val="single"/>
            <w:lang w:eastAsia="es-ES"/>
          </w:rPr>
          <w:t>Capital Partners</w:t>
        </w:r>
      </w:hyperlink>
      <w:r w:rsidRPr="00B7203B">
        <w:rPr>
          <w:rFonts w:ascii="Times New Roman" w:eastAsia="Times New Roman" w:hAnsi="Times New Roman"/>
          <w:sz w:val="24"/>
          <w:szCs w:val="24"/>
          <w:lang w:eastAsia="es-ES"/>
        </w:rPr>
        <w:t xml:space="preserve"> (CVC), </w:t>
      </w:r>
      <w:r w:rsidR="009876BF">
        <w:rPr>
          <w:rFonts w:ascii="Times New Roman" w:eastAsia="Times New Roman" w:hAnsi="Times New Roman"/>
          <w:sz w:val="24"/>
          <w:szCs w:val="24"/>
          <w:lang w:eastAsia="es-ES"/>
        </w:rPr>
        <w:t>señala que “</w:t>
      </w:r>
      <w:r w:rsidRPr="00B7203B">
        <w:rPr>
          <w:rFonts w:ascii="Times New Roman" w:eastAsia="Times New Roman" w:hAnsi="Times New Roman"/>
          <w:sz w:val="24"/>
          <w:szCs w:val="24"/>
          <w:lang w:eastAsia="es-ES"/>
        </w:rPr>
        <w:t>hemos tenido suerte con CVC, que ha demostrado que</w:t>
      </w:r>
      <w:r w:rsidR="009876BF">
        <w:rPr>
          <w:rFonts w:ascii="Times New Roman" w:eastAsia="Times New Roman" w:hAnsi="Times New Roman"/>
          <w:sz w:val="24"/>
          <w:szCs w:val="24"/>
          <w:lang w:eastAsia="es-ES"/>
        </w:rPr>
        <w:t xml:space="preserve"> es un socio de largo recorrido”</w:t>
      </w:r>
      <w:r w:rsidRPr="00B7203B">
        <w:rPr>
          <w:rFonts w:ascii="Times New Roman" w:eastAsia="Times New Roman" w:hAnsi="Times New Roman"/>
          <w:sz w:val="24"/>
          <w:szCs w:val="24"/>
          <w:lang w:eastAsia="es-ES"/>
        </w:rPr>
        <w:t>.</w:t>
      </w:r>
    </w:p>
    <w:p w:rsidR="00757A10" w:rsidRPr="00B7203B" w:rsidRDefault="00757A10" w:rsidP="00550638">
      <w:pPr>
        <w:numPr>
          <w:ilvl w:val="0"/>
          <w:numId w:val="23"/>
        </w:numPr>
        <w:spacing w:before="100" w:beforeAutospacing="1" w:after="100" w:afterAutospacing="1"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t xml:space="preserve">Respecto a las protestas de los profesionales </w:t>
      </w:r>
      <w:r w:rsidR="009876BF">
        <w:rPr>
          <w:rFonts w:ascii="Times New Roman" w:eastAsia="Times New Roman" w:hAnsi="Times New Roman"/>
          <w:sz w:val="24"/>
          <w:szCs w:val="24"/>
          <w:lang w:eastAsia="es-ES"/>
        </w:rPr>
        <w:t>sanitarios, Madera asegura que</w:t>
      </w:r>
      <w:r w:rsidR="009876BF" w:rsidRPr="006964D5">
        <w:rPr>
          <w:rFonts w:ascii="Times New Roman" w:eastAsia="Times New Roman" w:hAnsi="Times New Roman"/>
          <w:sz w:val="24"/>
          <w:szCs w:val="24"/>
          <w:lang w:eastAsia="es-ES"/>
        </w:rPr>
        <w:t xml:space="preserve"> “</w:t>
      </w:r>
      <w:r w:rsidRPr="006964D5">
        <w:rPr>
          <w:rFonts w:ascii="Times New Roman" w:eastAsia="Times New Roman" w:hAnsi="Times New Roman"/>
          <w:bCs/>
          <w:sz w:val="24"/>
          <w:szCs w:val="24"/>
          <w:lang w:eastAsia="es-ES"/>
        </w:rPr>
        <w:t>no es que seamos más listos</w:t>
      </w:r>
      <w:r w:rsidRPr="00B7203B">
        <w:rPr>
          <w:rFonts w:ascii="Times New Roman" w:eastAsia="Times New Roman" w:hAnsi="Times New Roman"/>
          <w:sz w:val="24"/>
          <w:szCs w:val="24"/>
          <w:lang w:eastAsia="es-ES"/>
        </w:rPr>
        <w:t>,</w:t>
      </w:r>
      <w:r w:rsidRPr="00B7203B">
        <w:rPr>
          <w:rFonts w:ascii="Times New Roman" w:eastAsia="Times New Roman" w:hAnsi="Times New Roman"/>
          <w:b/>
          <w:bCs/>
          <w:sz w:val="24"/>
          <w:szCs w:val="24"/>
          <w:lang w:eastAsia="es-ES"/>
        </w:rPr>
        <w:t xml:space="preserve"> </w:t>
      </w:r>
      <w:r w:rsidRPr="00B7203B">
        <w:rPr>
          <w:rFonts w:ascii="Times New Roman" w:eastAsia="Times New Roman" w:hAnsi="Times New Roman"/>
          <w:sz w:val="24"/>
          <w:szCs w:val="24"/>
          <w:lang w:eastAsia="es-ES"/>
        </w:rPr>
        <w:t>pero desde la gestión privada tenemos más instrumentos para neg</w:t>
      </w:r>
      <w:r w:rsidR="009876BF">
        <w:rPr>
          <w:rFonts w:ascii="Times New Roman" w:eastAsia="Times New Roman" w:hAnsi="Times New Roman"/>
          <w:sz w:val="24"/>
          <w:szCs w:val="24"/>
          <w:lang w:eastAsia="es-ES"/>
        </w:rPr>
        <w:t>ociar con el personal sanitario”</w:t>
      </w:r>
      <w:r w:rsidRPr="00B7203B">
        <w:rPr>
          <w:rFonts w:ascii="Times New Roman" w:eastAsia="Times New Roman" w:hAnsi="Times New Roman"/>
          <w:sz w:val="24"/>
          <w:szCs w:val="24"/>
          <w:lang w:eastAsia="es-ES"/>
        </w:rPr>
        <w:t>.</w:t>
      </w:r>
    </w:p>
    <w:p w:rsidR="00757A10" w:rsidRPr="009876BF" w:rsidRDefault="00757A10" w:rsidP="00550638">
      <w:pPr>
        <w:spacing w:before="100" w:beforeAutospacing="1" w:after="100" w:afterAutospacing="1" w:line="240" w:lineRule="auto"/>
        <w:jc w:val="both"/>
        <w:outlineLvl w:val="1"/>
        <w:rPr>
          <w:rFonts w:ascii="Times New Roman" w:eastAsia="Times New Roman" w:hAnsi="Times New Roman"/>
          <w:bCs/>
          <w:sz w:val="24"/>
          <w:szCs w:val="24"/>
          <w:lang w:eastAsia="es-ES"/>
        </w:rPr>
      </w:pPr>
      <w:r w:rsidRPr="009876BF">
        <w:rPr>
          <w:rFonts w:ascii="Times New Roman" w:eastAsia="Times New Roman" w:hAnsi="Times New Roman"/>
          <w:bCs/>
          <w:sz w:val="24"/>
          <w:szCs w:val="24"/>
          <w:lang w:eastAsia="es-ES"/>
        </w:rPr>
        <w:t>Capio niega relaciones con políticos españoles</w:t>
      </w:r>
    </w:p>
    <w:p w:rsidR="00757A10" w:rsidRPr="00B7203B" w:rsidRDefault="00757A10" w:rsidP="00550638">
      <w:pPr>
        <w:spacing w:after="0"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t xml:space="preserve">Ante un sinfín de rumores y en pleno conflicto sanitario, el pasado mes de diciembre Capio Sanidad se vio obligada a publicar </w:t>
      </w:r>
      <w:hyperlink r:id="rId469" w:history="1">
        <w:r w:rsidRPr="009876BF">
          <w:rPr>
            <w:rFonts w:ascii="Times New Roman" w:eastAsia="Times New Roman" w:hAnsi="Times New Roman"/>
            <w:sz w:val="24"/>
            <w:szCs w:val="24"/>
            <w:u w:val="single"/>
            <w:lang w:eastAsia="es-ES"/>
          </w:rPr>
          <w:t>un comunicado interno para desmentir algún tipo de relación con políticos</w:t>
        </w:r>
      </w:hyperlink>
      <w:r w:rsidRPr="009876BF">
        <w:rPr>
          <w:rFonts w:ascii="Times New Roman" w:eastAsia="Times New Roman" w:hAnsi="Times New Roman"/>
          <w:sz w:val="24"/>
          <w:szCs w:val="24"/>
          <w:lang w:eastAsia="es-ES"/>
        </w:rPr>
        <w:t xml:space="preserve"> </w:t>
      </w:r>
      <w:r w:rsidRPr="00B7203B">
        <w:rPr>
          <w:rFonts w:ascii="Times New Roman" w:eastAsia="Times New Roman" w:hAnsi="Times New Roman"/>
          <w:sz w:val="24"/>
          <w:szCs w:val="24"/>
          <w:lang w:eastAsia="es-ES"/>
        </w:rPr>
        <w:t>como</w:t>
      </w:r>
      <w:r w:rsidRPr="00B7203B">
        <w:rPr>
          <w:rFonts w:ascii="Times New Roman" w:eastAsia="Times New Roman" w:hAnsi="Times New Roman"/>
          <w:b/>
          <w:bCs/>
          <w:sz w:val="24"/>
          <w:szCs w:val="24"/>
          <w:lang w:eastAsia="es-ES"/>
        </w:rPr>
        <w:t xml:space="preserve"> </w:t>
      </w:r>
      <w:r w:rsidRPr="00600136">
        <w:rPr>
          <w:rFonts w:ascii="Times New Roman" w:eastAsia="Times New Roman" w:hAnsi="Times New Roman"/>
          <w:bCs/>
          <w:sz w:val="24"/>
          <w:szCs w:val="24"/>
          <w:lang w:eastAsia="es-ES"/>
        </w:rPr>
        <w:t>Esperanza Aguirre, Rodrigo Rato, María Dolores de Cospedal</w:t>
      </w:r>
      <w:r w:rsidRPr="00B7203B">
        <w:rPr>
          <w:rFonts w:ascii="Times New Roman" w:eastAsia="Times New Roman" w:hAnsi="Times New Roman"/>
          <w:sz w:val="24"/>
          <w:szCs w:val="24"/>
          <w:lang w:eastAsia="es-ES"/>
        </w:rPr>
        <w:t xml:space="preserve"> y su esposo Ignacio López de Hierro.</w:t>
      </w:r>
    </w:p>
    <w:p w:rsidR="00757A10" w:rsidRPr="00B7203B" w:rsidRDefault="009876BF"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757A10" w:rsidRPr="00B7203B">
        <w:rPr>
          <w:rFonts w:ascii="Times New Roman" w:eastAsia="Times New Roman" w:hAnsi="Times New Roman"/>
          <w:sz w:val="24"/>
          <w:szCs w:val="24"/>
          <w:lang w:eastAsia="es-ES"/>
        </w:rPr>
        <w:t>Ante los insistentes rumores que circulan en forma de panfleto, a través de internet y en las redes sociales, y que imputan a Capio</w:t>
      </w:r>
      <w:r w:rsidR="00757A10" w:rsidRPr="00B7203B">
        <w:rPr>
          <w:rFonts w:ascii="Times New Roman" w:eastAsia="Times New Roman" w:hAnsi="Times New Roman"/>
          <w:b/>
          <w:bCs/>
          <w:sz w:val="24"/>
          <w:szCs w:val="24"/>
          <w:lang w:eastAsia="es-ES"/>
        </w:rPr>
        <w:t xml:space="preserve"> </w:t>
      </w:r>
      <w:r w:rsidR="00757A10" w:rsidRPr="00600136">
        <w:rPr>
          <w:rFonts w:ascii="Times New Roman" w:eastAsia="Times New Roman" w:hAnsi="Times New Roman"/>
          <w:bCs/>
          <w:sz w:val="24"/>
          <w:szCs w:val="24"/>
          <w:lang w:eastAsia="es-ES"/>
        </w:rPr>
        <w:t>extrañas connivencias con políticos o personalidades públicas</w:t>
      </w:r>
      <w:r>
        <w:rPr>
          <w:rFonts w:ascii="Times New Roman" w:eastAsia="Times New Roman" w:hAnsi="Times New Roman"/>
          <w:sz w:val="24"/>
          <w:szCs w:val="24"/>
          <w:lang w:eastAsia="es-ES"/>
        </w:rPr>
        <w:t>”</w:t>
      </w:r>
      <w:r w:rsidR="00757A10" w:rsidRPr="00B7203B">
        <w:rPr>
          <w:rFonts w:ascii="Times New Roman" w:eastAsia="Times New Roman" w:hAnsi="Times New Roman"/>
          <w:sz w:val="24"/>
          <w:szCs w:val="24"/>
          <w:lang w:eastAsia="es-ES"/>
        </w:rPr>
        <w:t>,</w:t>
      </w:r>
      <w:r w:rsidR="00757A10" w:rsidRPr="00B7203B">
        <w:rPr>
          <w:rFonts w:ascii="Times New Roman" w:eastAsia="Times New Roman" w:hAnsi="Times New Roman"/>
          <w:b/>
          <w:bCs/>
          <w:sz w:val="24"/>
          <w:szCs w:val="24"/>
          <w:lang w:eastAsia="es-ES"/>
        </w:rPr>
        <w:t> </w:t>
      </w:r>
      <w:r w:rsidR="00757A10" w:rsidRPr="00B7203B">
        <w:rPr>
          <w:rFonts w:ascii="Times New Roman" w:eastAsia="Times New Roman" w:hAnsi="Times New Roman"/>
          <w:sz w:val="24"/>
          <w:szCs w:val="24"/>
          <w:lang w:eastAsia="es-ES"/>
        </w:rPr>
        <w:t>la Dirección del Grupo quiso dejar constancia de los siguientes puntos:</w:t>
      </w:r>
    </w:p>
    <w:p w:rsidR="00757A10" w:rsidRPr="00B7203B" w:rsidRDefault="00757A10" w:rsidP="00550638">
      <w:pPr>
        <w:numPr>
          <w:ilvl w:val="0"/>
          <w:numId w:val="24"/>
        </w:numPr>
        <w:spacing w:before="100" w:beforeAutospacing="1" w:after="100" w:afterAutospacing="1"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t>Que ni Rodrigo Rato, ni Esperanza Aguirre, ni Dolores de Cospedal, ni Ignacio López de Hierro, ni ningún otro político tienen ni han tenido nunca</w:t>
      </w:r>
      <w:r w:rsidR="009876BF">
        <w:rPr>
          <w:rFonts w:ascii="Times New Roman" w:eastAsia="Times New Roman" w:hAnsi="Times New Roman"/>
          <w:sz w:val="24"/>
          <w:szCs w:val="24"/>
          <w:lang w:eastAsia="es-ES"/>
        </w:rPr>
        <w:t xml:space="preserve"> relación alguna con el Grupo. “</w:t>
      </w:r>
      <w:r w:rsidRPr="00B7203B">
        <w:rPr>
          <w:rFonts w:ascii="Times New Roman" w:eastAsia="Times New Roman" w:hAnsi="Times New Roman"/>
          <w:sz w:val="24"/>
          <w:szCs w:val="24"/>
          <w:lang w:eastAsia="es-ES"/>
        </w:rPr>
        <w:t>Los accionistas, consejeros y directivos de Capio Sanidad son públicos y figuran de manera transparente en</w:t>
      </w:r>
      <w:r w:rsidR="009876BF">
        <w:rPr>
          <w:rFonts w:ascii="Times New Roman" w:eastAsia="Times New Roman" w:hAnsi="Times New Roman"/>
          <w:sz w:val="24"/>
          <w:szCs w:val="24"/>
          <w:lang w:eastAsia="es-ES"/>
        </w:rPr>
        <w:t xml:space="preserve"> los registros correspondientes”</w:t>
      </w:r>
      <w:r w:rsidRPr="00B7203B">
        <w:rPr>
          <w:rFonts w:ascii="Times New Roman" w:eastAsia="Times New Roman" w:hAnsi="Times New Roman"/>
          <w:sz w:val="24"/>
          <w:szCs w:val="24"/>
          <w:lang w:eastAsia="es-ES"/>
        </w:rPr>
        <w:t>.</w:t>
      </w:r>
    </w:p>
    <w:p w:rsidR="00757A10" w:rsidRPr="00B7203B" w:rsidRDefault="009876BF" w:rsidP="00550638">
      <w:pPr>
        <w:numPr>
          <w:ilvl w:val="0"/>
          <w:numId w:val="24"/>
        </w:num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Capio Sanidad lleva “</w:t>
      </w:r>
      <w:r w:rsidR="00757A10" w:rsidRPr="00B7203B">
        <w:rPr>
          <w:rFonts w:ascii="Times New Roman" w:eastAsia="Times New Roman" w:hAnsi="Times New Roman"/>
          <w:sz w:val="24"/>
          <w:szCs w:val="24"/>
          <w:lang w:eastAsia="es-ES"/>
        </w:rPr>
        <w:t xml:space="preserve">quince años trabajando para ofrecer servicios sanitarios de calidad </w:t>
      </w:r>
      <w:r>
        <w:rPr>
          <w:rFonts w:ascii="Times New Roman" w:eastAsia="Times New Roman" w:hAnsi="Times New Roman"/>
          <w:sz w:val="24"/>
          <w:szCs w:val="24"/>
          <w:lang w:eastAsia="es-ES"/>
        </w:rPr>
        <w:t>a partir de un modelo eficiente”</w:t>
      </w:r>
      <w:r w:rsidR="00757A10" w:rsidRPr="00B7203B">
        <w:rPr>
          <w:rFonts w:ascii="Times New Roman" w:eastAsia="Times New Roman" w:hAnsi="Times New Roman"/>
          <w:sz w:val="24"/>
          <w:szCs w:val="24"/>
          <w:lang w:eastAsia="es-ES"/>
        </w:rPr>
        <w:t>.</w:t>
      </w:r>
    </w:p>
    <w:p w:rsidR="00757A10" w:rsidRPr="0082234F" w:rsidRDefault="00757A10" w:rsidP="00550638">
      <w:pPr>
        <w:numPr>
          <w:ilvl w:val="0"/>
          <w:numId w:val="24"/>
        </w:numPr>
        <w:spacing w:before="100" w:beforeAutospacing="1" w:after="100" w:afterAutospacing="1" w:line="240" w:lineRule="auto"/>
        <w:jc w:val="both"/>
        <w:rPr>
          <w:rFonts w:ascii="Times New Roman" w:eastAsia="Times New Roman" w:hAnsi="Times New Roman"/>
          <w:sz w:val="24"/>
          <w:szCs w:val="24"/>
          <w:lang w:eastAsia="es-ES"/>
        </w:rPr>
      </w:pPr>
      <w:r w:rsidRPr="00B7203B">
        <w:rPr>
          <w:rFonts w:ascii="Times New Roman" w:eastAsia="Times New Roman" w:hAnsi="Times New Roman"/>
          <w:sz w:val="24"/>
          <w:szCs w:val="24"/>
          <w:lang w:eastAsia="es-ES"/>
        </w:rPr>
        <w:t>En estos momentos, Capio Sanidad afronta tres retos: la mejora constante de la asistencia sanitaria al paciente; seguir realizando una gestión moderna y transparente; y la sosteni</w:t>
      </w:r>
      <w:r w:rsidR="009876BF">
        <w:rPr>
          <w:rFonts w:ascii="Times New Roman" w:eastAsia="Times New Roman" w:hAnsi="Times New Roman"/>
          <w:sz w:val="24"/>
          <w:szCs w:val="24"/>
          <w:lang w:eastAsia="es-ES"/>
        </w:rPr>
        <w:t>bilidad del sistema sanitario. “</w:t>
      </w:r>
      <w:r w:rsidRPr="00B7203B">
        <w:rPr>
          <w:rFonts w:ascii="Times New Roman" w:eastAsia="Times New Roman" w:hAnsi="Times New Roman"/>
          <w:sz w:val="24"/>
          <w:szCs w:val="24"/>
          <w:lang w:eastAsia="es-ES"/>
        </w:rPr>
        <w:t>Para la consecución de éstos, cuenta con cerca de 10.000 profesionales que han demostrado y seguirán demostrando un enorme compromiso con una me</w:t>
      </w:r>
      <w:r w:rsidR="009876BF">
        <w:rPr>
          <w:rFonts w:ascii="Times New Roman" w:eastAsia="Times New Roman" w:hAnsi="Times New Roman"/>
          <w:sz w:val="24"/>
          <w:szCs w:val="24"/>
          <w:lang w:eastAsia="es-ES"/>
        </w:rPr>
        <w:t>dicina de calidad”</w:t>
      </w:r>
      <w:r w:rsidRPr="00B7203B">
        <w:rPr>
          <w:rFonts w:ascii="Times New Roman" w:eastAsia="Times New Roman" w:hAnsi="Times New Roman"/>
          <w:sz w:val="24"/>
          <w:szCs w:val="24"/>
          <w:lang w:eastAsia="es-ES"/>
        </w:rPr>
        <w:t>.</w:t>
      </w:r>
    </w:p>
    <w:p w:rsidR="00757A10"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E7203E">
        <w:rPr>
          <w:rFonts w:ascii="Times New Roman" w:eastAsia="Times New Roman" w:hAnsi="Times New Roman"/>
          <w:sz w:val="24"/>
          <w:szCs w:val="24"/>
          <w:u w:val="single"/>
          <w:lang w:eastAsia="es-ES"/>
        </w:rPr>
        <w:t>¿Clientes o pacientes? El saqueo de Madrid</w:t>
      </w:r>
      <w:r>
        <w:rPr>
          <w:rFonts w:ascii="Times New Roman" w:eastAsia="Times New Roman" w:hAnsi="Times New Roman"/>
          <w:sz w:val="24"/>
          <w:szCs w:val="24"/>
          <w:lang w:eastAsia="es-ES"/>
        </w:rPr>
        <w:t xml:space="preserve"> (El Confidencial - </w:t>
      </w:r>
      <w:r w:rsidRPr="00E7203E">
        <w:rPr>
          <w:rFonts w:ascii="Times New Roman" w:eastAsia="Times New Roman" w:hAnsi="Times New Roman"/>
          <w:b/>
          <w:sz w:val="24"/>
          <w:szCs w:val="24"/>
          <w:lang w:eastAsia="es-ES"/>
        </w:rPr>
        <w:t>15/1/13</w:t>
      </w:r>
      <w:r>
        <w:rPr>
          <w:rFonts w:ascii="Times New Roman" w:eastAsia="Times New Roman" w:hAnsi="Times New Roman"/>
          <w:sz w:val="24"/>
          <w:szCs w:val="24"/>
          <w:lang w:eastAsia="es-ES"/>
        </w:rPr>
        <w:t>)</w:t>
      </w:r>
    </w:p>
    <w:p w:rsidR="00757A10" w:rsidRPr="00790AC0"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5D32B9">
        <w:rPr>
          <w:rFonts w:ascii="Times New Roman" w:eastAsia="Times New Roman" w:hAnsi="Times New Roman"/>
          <w:sz w:val="24"/>
          <w:szCs w:val="24"/>
          <w:lang w:eastAsia="es-ES"/>
        </w:rPr>
        <w:t>José M. de la Viña</w:t>
      </w:r>
      <w:r>
        <w:rPr>
          <w:rFonts w:ascii="Times New Roman" w:eastAsia="Times New Roman" w:hAnsi="Times New Roman"/>
          <w:sz w:val="24"/>
          <w:szCs w:val="24"/>
          <w:lang w:eastAsia="es-ES"/>
        </w:rPr>
        <w:t>)</w:t>
      </w:r>
      <w:r w:rsidR="009876BF">
        <w:rPr>
          <w:rFonts w:ascii="Times New Roman" w:eastAsia="Times New Roman" w:hAnsi="Times New Roman"/>
          <w:sz w:val="24"/>
          <w:szCs w:val="24"/>
          <w:lang w:eastAsia="es-ES"/>
        </w:rPr>
        <w:t xml:space="preserve">                                                                    Lectura recomendada</w:t>
      </w:r>
    </w:p>
    <w:p w:rsidR="00757A10" w:rsidRPr="00600136" w:rsidRDefault="00757A10" w:rsidP="00550638">
      <w:pPr>
        <w:pStyle w:val="NormalWeb"/>
        <w:jc w:val="both"/>
        <w:rPr>
          <w:u w:val="single"/>
        </w:rPr>
      </w:pPr>
      <w:r w:rsidRPr="0061651F">
        <w:rPr>
          <w:u w:val="single"/>
        </w:rPr>
        <w:t xml:space="preserve">El principal indicador de la riqueza de un país debería ser la longevidad de sus habitantes. España ocupa la </w:t>
      </w:r>
      <w:r w:rsidRPr="00600136">
        <w:rPr>
          <w:bCs/>
          <w:u w:val="single"/>
        </w:rPr>
        <w:t>novena posición</w:t>
      </w:r>
      <w:r w:rsidRPr="0061651F">
        <w:rPr>
          <w:u w:val="single"/>
        </w:rPr>
        <w:t xml:space="preserve"> mundial en el caso de los hombres; </w:t>
      </w:r>
      <w:r w:rsidRPr="00600136">
        <w:rPr>
          <w:bCs/>
          <w:u w:val="single"/>
        </w:rPr>
        <w:t>las mujeres están en quinto lugar</w:t>
      </w:r>
      <w:r w:rsidRPr="00600136">
        <w:rPr>
          <w:u w:val="single"/>
        </w:rPr>
        <w:t xml:space="preserve">. </w:t>
      </w:r>
    </w:p>
    <w:p w:rsidR="00757A10" w:rsidRPr="0061651F" w:rsidRDefault="00757A10" w:rsidP="00550638">
      <w:pPr>
        <w:pStyle w:val="NormalWeb"/>
        <w:jc w:val="both"/>
        <w:rPr>
          <w:u w:val="single"/>
        </w:rPr>
      </w:pPr>
      <w:r w:rsidRPr="0061651F">
        <w:rPr>
          <w:u w:val="single"/>
        </w:rPr>
        <w:t xml:space="preserve">Según tal clasificación, España está por delante de muchos de los países que pretenden darnos lecciones de no se sabe muy bien qué, como Alemania o Reino Unido y, por </w:t>
      </w:r>
      <w:r w:rsidRPr="0061651F">
        <w:rPr>
          <w:u w:val="single"/>
        </w:rPr>
        <w:lastRenderedPageBreak/>
        <w:t>supuesto, los ínclitos Estados Unidos, que desglosados por sexos ocupan la posición decimoséptima y decimosexta, respectivamente.</w:t>
      </w:r>
    </w:p>
    <w:p w:rsidR="00757A10" w:rsidRPr="005D32B9" w:rsidRDefault="00757A10" w:rsidP="00550638">
      <w:pPr>
        <w:pStyle w:val="NormalWeb"/>
        <w:jc w:val="both"/>
        <w:rPr>
          <w:lang w:val="en-US"/>
        </w:rPr>
      </w:pPr>
      <w:r>
        <w:t xml:space="preserve">Lo afirma un </w:t>
      </w:r>
      <w:hyperlink r:id="rId470" w:history="1">
        <w:r w:rsidRPr="009876BF">
          <w:rPr>
            <w:rStyle w:val="Hipervnculo"/>
            <w:rFonts w:eastAsiaTheme="majorEastAsia"/>
            <w:color w:val="auto"/>
          </w:rPr>
          <w:t>demoledor informe</w:t>
        </w:r>
      </w:hyperlink>
      <w:r w:rsidRPr="009876BF">
        <w:t xml:space="preserve"> </w:t>
      </w:r>
      <w:r>
        <w:t xml:space="preserve">publicado de manera conjunta por las academias nacionales estadounidenses, que pretende con ello sacudir conciencias acerca de la deficiente salud del imperio. </w:t>
      </w:r>
      <w:r w:rsidRPr="005D32B9">
        <w:rPr>
          <w:lang w:val="en-US"/>
        </w:rPr>
        <w:t>Son la National Academy of Sciences</w:t>
      </w:r>
      <w:r w:rsidRPr="005D32B9">
        <w:rPr>
          <w:rStyle w:val="nfasis"/>
          <w:rFonts w:eastAsia="Calibri"/>
          <w:lang w:val="en-US"/>
        </w:rPr>
        <w:t>:</w:t>
      </w:r>
      <w:r w:rsidRPr="005D32B9">
        <w:rPr>
          <w:lang w:val="en-US"/>
        </w:rPr>
        <w:t xml:space="preserve"> la National Academy of Engineering</w:t>
      </w:r>
      <w:r w:rsidRPr="005D32B9">
        <w:rPr>
          <w:rStyle w:val="nfasis"/>
          <w:rFonts w:eastAsia="Calibri"/>
          <w:lang w:val="en-US"/>
        </w:rPr>
        <w:t>,</w:t>
      </w:r>
      <w:r w:rsidRPr="005D32B9">
        <w:rPr>
          <w:lang w:val="en-US"/>
        </w:rPr>
        <w:t xml:space="preserve"> el</w:t>
      </w:r>
      <w:r w:rsidRPr="005D32B9">
        <w:rPr>
          <w:rStyle w:val="nfasis"/>
          <w:rFonts w:eastAsia="Calibri"/>
          <w:lang w:val="en-US"/>
        </w:rPr>
        <w:t xml:space="preserve"> </w:t>
      </w:r>
      <w:r w:rsidRPr="005D32B9">
        <w:rPr>
          <w:lang w:val="en-US"/>
        </w:rPr>
        <w:t>Institute of Medicine y el</w:t>
      </w:r>
      <w:r w:rsidRPr="005D32B9">
        <w:rPr>
          <w:rStyle w:val="nfasis"/>
          <w:rFonts w:eastAsia="Calibri"/>
          <w:lang w:val="en-US"/>
        </w:rPr>
        <w:t xml:space="preserve"> </w:t>
      </w:r>
      <w:r w:rsidRPr="005D32B9">
        <w:rPr>
          <w:lang w:val="en-US"/>
        </w:rPr>
        <w:t>National Research Council</w:t>
      </w:r>
      <w:r w:rsidRPr="005D32B9">
        <w:rPr>
          <w:rStyle w:val="nfasis"/>
          <w:rFonts w:eastAsia="Calibri"/>
          <w:lang w:val="en-US"/>
        </w:rPr>
        <w:t>.</w:t>
      </w:r>
    </w:p>
    <w:p w:rsidR="00757A10" w:rsidRDefault="00757A10" w:rsidP="00550638">
      <w:pPr>
        <w:pStyle w:val="NormalWeb"/>
        <w:jc w:val="both"/>
      </w:pPr>
      <w:r>
        <w:t>La mayor o menor esperanza de vida se debe, según tal publicación, a cuatro conjuntos de causas:</w:t>
      </w:r>
    </w:p>
    <w:p w:rsidR="00757A10" w:rsidRDefault="00757A10" w:rsidP="00550638">
      <w:pPr>
        <w:pStyle w:val="NormalWeb"/>
        <w:jc w:val="both"/>
      </w:pPr>
      <w:r w:rsidRPr="00600136">
        <w:rPr>
          <w:bCs/>
        </w:rPr>
        <w:t>Los sistemas sanitarios</w:t>
      </w:r>
      <w:r>
        <w:rPr>
          <w:b/>
          <w:bCs/>
        </w:rPr>
        <w:t xml:space="preserve">, </w:t>
      </w:r>
      <w:r>
        <w:t xml:space="preserve">objeto de este </w:t>
      </w:r>
      <w:r w:rsidR="00204FBF">
        <w:t>“</w:t>
      </w:r>
      <w:r w:rsidRPr="00204FBF">
        <w:rPr>
          <w:rStyle w:val="nfasis"/>
          <w:rFonts w:eastAsia="Calibri"/>
          <w:i w:val="0"/>
        </w:rPr>
        <w:t>post</w:t>
      </w:r>
      <w:r w:rsidR="00204FBF">
        <w:rPr>
          <w:rStyle w:val="nfasis"/>
          <w:rFonts w:eastAsia="Calibri"/>
          <w:i w:val="0"/>
        </w:rPr>
        <w:t>”</w:t>
      </w:r>
      <w:r w:rsidRPr="00204FBF">
        <w:rPr>
          <w:i/>
        </w:rPr>
        <w:t>.</w:t>
      </w:r>
      <w:r>
        <w:t xml:space="preserve"> </w:t>
      </w:r>
      <w:r w:rsidRPr="00600136">
        <w:rPr>
          <w:bCs/>
        </w:rPr>
        <w:t>Los comportamientos de los ciudadanos</w:t>
      </w:r>
      <w:r w:rsidRPr="00600136">
        <w:t>,</w:t>
      </w:r>
      <w:r>
        <w:t xml:space="preserve"> que incluyen todos sus malos hábitos, desde la comida basura al abuso de las drogas; o el gatillo flojo al que son tan aficionados, herencia cultural del </w:t>
      </w:r>
      <w:r w:rsidR="007C55D9">
        <w:t>“</w:t>
      </w:r>
      <w:r w:rsidRPr="007C55D9">
        <w:rPr>
          <w:iCs/>
        </w:rPr>
        <w:t>Far West</w:t>
      </w:r>
      <w:r w:rsidR="007C55D9">
        <w:rPr>
          <w:iCs/>
        </w:rPr>
        <w:t>”</w:t>
      </w:r>
      <w:r>
        <w:rPr>
          <w:i/>
          <w:iCs/>
        </w:rPr>
        <w:t xml:space="preserve"> </w:t>
      </w:r>
      <w:r>
        <w:t xml:space="preserve">y las masacres de indios, para asear unos predios que adquirieron a pistoletazo limpio. </w:t>
      </w:r>
    </w:p>
    <w:p w:rsidR="00757A10" w:rsidRDefault="00757A10" w:rsidP="00550638">
      <w:pPr>
        <w:pStyle w:val="NormalWeb"/>
        <w:jc w:val="both"/>
      </w:pPr>
      <w:r w:rsidRPr="00600136">
        <w:rPr>
          <w:bCs/>
        </w:rPr>
        <w:t>Las condiciones económicas y sociales</w:t>
      </w:r>
      <w:r w:rsidRPr="00600136">
        <w:t>:</w:t>
      </w:r>
      <w:r>
        <w:t xml:space="preserve"> mayor desigualdad y pobreza o menor movilidad social. Quién lo iba a decir en el país de la igualdad de oportunidades. Incluye la deficiente educación de los menores, un mal occidental y no solo patrio, que afecta también a la salud. La falta de redes sociales (no las informáticas), como las que ya están al límite aquí y han ocultado la vergüenza del mal gobierno, contribuye a empeorar la situación entre los más desfavorecidos. </w:t>
      </w:r>
    </w:p>
    <w:p w:rsidR="00757A10" w:rsidRDefault="00757A10" w:rsidP="00550638">
      <w:pPr>
        <w:pStyle w:val="NormalWeb"/>
        <w:jc w:val="both"/>
      </w:pPr>
      <w:r>
        <w:t xml:space="preserve">Finalmente, influye en la longevidad </w:t>
      </w:r>
      <w:r w:rsidRPr="00600136">
        <w:rPr>
          <w:bCs/>
        </w:rPr>
        <w:t>el entorno físico</w:t>
      </w:r>
      <w:r w:rsidRPr="00600136">
        <w:t>,</w:t>
      </w:r>
      <w:r>
        <w:t xml:space="preserve"> desde la contaminación hasta la obesidad de la población, causada por el uso intensivo del automóvil, por una menor actividad física, y el mencionado abuso de la comida basura que ya comienza a ser un inquietante problema infantil en España entre ciertas capas de la población. </w:t>
      </w:r>
    </w:p>
    <w:p w:rsidR="00757A10" w:rsidRPr="00631188" w:rsidRDefault="00757A10" w:rsidP="00550638">
      <w:pPr>
        <w:pStyle w:val="NormalWeb"/>
        <w:jc w:val="both"/>
        <w:rPr>
          <w:u w:val="single"/>
        </w:rPr>
      </w:pPr>
      <w:r w:rsidRPr="00631188">
        <w:rPr>
          <w:u w:val="single"/>
        </w:rPr>
        <w:t xml:space="preserve">El </w:t>
      </w:r>
      <w:r w:rsidR="007C55D9">
        <w:rPr>
          <w:u w:val="single"/>
        </w:rPr>
        <w:t>“</w:t>
      </w:r>
      <w:r w:rsidRPr="007C55D9">
        <w:rPr>
          <w:iCs/>
          <w:u w:val="single"/>
        </w:rPr>
        <w:t>American way of life</w:t>
      </w:r>
      <w:r w:rsidR="007C55D9">
        <w:rPr>
          <w:iCs/>
          <w:u w:val="single"/>
        </w:rPr>
        <w:t>”</w:t>
      </w:r>
      <w:r w:rsidRPr="00631188">
        <w:rPr>
          <w:i/>
          <w:iCs/>
          <w:u w:val="single"/>
        </w:rPr>
        <w:t xml:space="preserve"> </w:t>
      </w:r>
      <w:r w:rsidRPr="00631188">
        <w:rPr>
          <w:u w:val="single"/>
        </w:rPr>
        <w:t xml:space="preserve">es cualquier cosa menos sano. Desgraciadamente, seguimos copiando sus insanas prácticas con tanto adosado y construcciones diseminadas, con tanta urbanización en el extrarradio y polución por excesivo uso del </w:t>
      </w:r>
      <w:r w:rsidR="007C55D9">
        <w:rPr>
          <w:u w:val="single"/>
        </w:rPr>
        <w:t>“</w:t>
      </w:r>
      <w:r w:rsidRPr="007C55D9">
        <w:rPr>
          <w:iCs/>
          <w:u w:val="single"/>
        </w:rPr>
        <w:t>Cayenne</w:t>
      </w:r>
      <w:r w:rsidR="007C55D9">
        <w:rPr>
          <w:iCs/>
          <w:u w:val="single"/>
        </w:rPr>
        <w:t>”</w:t>
      </w:r>
      <w:r w:rsidRPr="00631188">
        <w:rPr>
          <w:u w:val="single"/>
        </w:rPr>
        <w:t xml:space="preserve"> para llevar a los niños al colegio y, al político, en coche oficial. </w:t>
      </w:r>
    </w:p>
    <w:p w:rsidR="00757A10" w:rsidRDefault="00757A10" w:rsidP="00550638">
      <w:pPr>
        <w:pStyle w:val="NormalWeb"/>
        <w:jc w:val="both"/>
      </w:pPr>
      <w:r>
        <w:t>¿Qué fue de la sostenible ciudad mediterránea en donde se podía ir andando o en tranvía, cuando los había, a todos los lados, a cambio de menor coste sanitario y algo de ejercicio físico?</w:t>
      </w:r>
    </w:p>
    <w:p w:rsidR="00757A10" w:rsidRPr="009876BF" w:rsidRDefault="00757A10" w:rsidP="00550638">
      <w:pPr>
        <w:pStyle w:val="NormalWeb"/>
        <w:jc w:val="both"/>
      </w:pPr>
      <w:r w:rsidRPr="009876BF">
        <w:rPr>
          <w:bCs/>
        </w:rPr>
        <w:t>Sanidad pública o privada</w:t>
      </w:r>
    </w:p>
    <w:p w:rsidR="00757A10" w:rsidRPr="00631188" w:rsidRDefault="00757A10" w:rsidP="00550638">
      <w:pPr>
        <w:pStyle w:val="NormalWeb"/>
        <w:jc w:val="both"/>
        <w:rPr>
          <w:color w:val="FF0000"/>
          <w:u w:val="single"/>
        </w:rPr>
      </w:pPr>
      <w:r w:rsidRPr="00631188">
        <w:rPr>
          <w:color w:val="FF0000"/>
          <w:u w:val="single"/>
        </w:rPr>
        <w:t xml:space="preserve">Los países cuyos habitantes viven más son, curiosamente, aquellos que disponen de buenos sistemas públicos de salud. ¿Casualidad? Su coste, en porcentaje sobre el PIB, está, en cualquier caso, por debajo del estadounidense. </w:t>
      </w:r>
    </w:p>
    <w:p w:rsidR="00757A10" w:rsidRDefault="00757A10" w:rsidP="00550638">
      <w:pPr>
        <w:pStyle w:val="NormalWeb"/>
        <w:jc w:val="both"/>
      </w:pPr>
      <w:r>
        <w:t>¿Productividad superior de los sistemas públicos? Habrase visto desfachatez mayor desafiando las teorías económicas dominantes y la ortodoxia en vigor. Indicadores, competencia, objetivos, ratios, controles, beneficios. ¿Qué fue del manual de la buena gestión privada en la sanidad?</w:t>
      </w:r>
    </w:p>
    <w:p w:rsidR="00757A10" w:rsidRPr="00631188" w:rsidRDefault="00757A10" w:rsidP="00550638">
      <w:pPr>
        <w:pStyle w:val="NormalWeb"/>
        <w:jc w:val="both"/>
        <w:rPr>
          <w:color w:val="FF0000"/>
          <w:u w:val="single"/>
        </w:rPr>
      </w:pPr>
      <w:r w:rsidRPr="00631188">
        <w:rPr>
          <w:color w:val="FF0000"/>
          <w:u w:val="single"/>
        </w:rPr>
        <w:t xml:space="preserve">Las causas de que los sistemas públicos puedan ser más eficientes son varias. Igual que muchas grandes multinacionales que se consideran modelos de gestión, y no digo </w:t>
      </w:r>
      <w:r w:rsidRPr="00631188">
        <w:rPr>
          <w:color w:val="FF0000"/>
          <w:u w:val="single"/>
        </w:rPr>
        <w:lastRenderedPageBreak/>
        <w:t xml:space="preserve">nombres, son en realidad monstruos burocráticos que ganan dinero a pesar de sus directivos, a causa de las economías de escala, de su capacidad de presión política y de un acceso privilegiado a los mercados del que empresas pequeñas carecen, los sistemas públicos han competido ventajosamente con los privados, al menos en la sanidad, a pesar de sus carencias. Contribuía el menor gasto farmacéutico relativo, que permitía una gestión global de las compras, y la honradez y una buena gestión, que alguna vez las hubo. </w:t>
      </w:r>
    </w:p>
    <w:p w:rsidR="00757A10" w:rsidRPr="00631188" w:rsidRDefault="00757A10" w:rsidP="00550638">
      <w:pPr>
        <w:pStyle w:val="NormalWeb"/>
        <w:jc w:val="both"/>
        <w:rPr>
          <w:b/>
          <w:color w:val="FF0000"/>
          <w:u w:val="single"/>
        </w:rPr>
      </w:pPr>
      <w:r w:rsidRPr="00631188">
        <w:rPr>
          <w:b/>
          <w:color w:val="FF0000"/>
          <w:u w:val="single"/>
        </w:rPr>
        <w:t xml:space="preserve">Un monopolio de demanda bien diseñado puede ser más rentable económica y socialmente para el conjunto de un país que una libre competencia que trabaja mediante incentivos perversos. </w:t>
      </w:r>
    </w:p>
    <w:p w:rsidR="00757A10" w:rsidRDefault="00757A10" w:rsidP="00550638">
      <w:pPr>
        <w:pStyle w:val="NormalWeb"/>
        <w:jc w:val="both"/>
      </w:pPr>
      <w:r>
        <w:t>Se podría constatar tal herejía comparando los porcentajes del PIB que cada país ha dedicado históricamente a su sistema sanitario, ponderándolo con su longevidad media. Si alguien se tomase la molestia de hacer un estudio histórico serio, estoy convencido de que España ocuparía el podio absoluto o quedaría muy cerca de él. Pero eso es historia, por obra y gracia de políticos asesorados por druidas de última generación, ideológica, enjuagada en ciencia estancada en desfachatez, codicia y falta de rigor.</w:t>
      </w:r>
    </w:p>
    <w:p w:rsidR="00757A10" w:rsidRPr="00631188" w:rsidRDefault="00757A10" w:rsidP="00550638">
      <w:pPr>
        <w:pStyle w:val="NormalWeb"/>
        <w:jc w:val="both"/>
        <w:rPr>
          <w:color w:val="FF0000"/>
          <w:u w:val="single"/>
        </w:rPr>
      </w:pPr>
      <w:r w:rsidRPr="00631188">
        <w:rPr>
          <w:color w:val="FF0000"/>
          <w:u w:val="single"/>
        </w:rPr>
        <w:t xml:space="preserve">Fue así, a pesar de las listas de espera y más de una incomodidad, hasta que </w:t>
      </w:r>
      <w:r w:rsidRPr="00631188">
        <w:rPr>
          <w:b/>
          <w:bCs/>
          <w:color w:val="FF0000"/>
          <w:u w:val="single"/>
        </w:rPr>
        <w:t>la sanidad se desmembró en diecisiete negociados diferentes</w:t>
      </w:r>
      <w:r w:rsidRPr="00631188">
        <w:rPr>
          <w:color w:val="FF0000"/>
          <w:u w:val="single"/>
        </w:rPr>
        <w:t xml:space="preserve">, poniendo a ineptos aficionados al frente, denominados políticos, que convirtieron la sanidad española en un oneroso galimatías. </w:t>
      </w:r>
    </w:p>
    <w:p w:rsidR="00757A10" w:rsidRPr="00631188" w:rsidRDefault="00757A10" w:rsidP="00550638">
      <w:pPr>
        <w:pStyle w:val="NormalWeb"/>
        <w:jc w:val="both"/>
        <w:rPr>
          <w:u w:val="single"/>
        </w:rPr>
      </w:pPr>
      <w:r w:rsidRPr="00631188">
        <w:rPr>
          <w:u w:val="single"/>
        </w:rPr>
        <w:t>Hasta que el descontrol provocado conscientemente sugirió que las cosas se encauzarían de nuevo privatizando los gastos, que no los ingresos, adjudicándolos, de paso, a grupos afines. Evidentemente, nunca a usted o a mí. Seguro que lo haríamos francamente mejor sin necesidad de maltratar a los trabajadores.</w:t>
      </w:r>
    </w:p>
    <w:p w:rsidR="00757A10" w:rsidRPr="00631188" w:rsidRDefault="00757A10" w:rsidP="00550638">
      <w:pPr>
        <w:pStyle w:val="NormalWeb"/>
        <w:jc w:val="both"/>
        <w:rPr>
          <w:u w:val="single"/>
        </w:rPr>
      </w:pPr>
      <w:r w:rsidRPr="00631188">
        <w:rPr>
          <w:u w:val="single"/>
        </w:rPr>
        <w:t>Nos encontramos, pues, con otro sector que se entrega impunemente a las fauces del capitalismo mediopensionista español, aquel que disfruta de garantizados ingresos públicos, o de un aseado oligopolio, mientras privatiza los gastos. A grupos que actúan al alimón con la misma casta política que dice gobernar por el bien común y la felicidad del ciudadano.</w:t>
      </w:r>
    </w:p>
    <w:p w:rsidR="00757A10" w:rsidRPr="00631188" w:rsidRDefault="00757A10" w:rsidP="00550638">
      <w:pPr>
        <w:pStyle w:val="NormalWeb"/>
        <w:jc w:val="both"/>
        <w:rPr>
          <w:color w:val="FF0000"/>
          <w:u w:val="single"/>
        </w:rPr>
      </w:pPr>
      <w:r w:rsidRPr="00631188">
        <w:rPr>
          <w:color w:val="FF0000"/>
          <w:u w:val="single"/>
        </w:rPr>
        <w:t xml:space="preserve">Cuando se está en el pelotón de cabeza de algo en el mundo, y este algo es la sanidad, hay que afinar mucho para escalar más puestos. Si se posee un sistema que funciona razonablemente y se pretende cambiarlo drásticamente, es importante tener claros los beneficios que se van obtener y poder demostrarlos previamente. Si no, los errores costarán caros, en dinero, y en calidad de la asistencia sanitaria. De momento, el saqueo de la sanidad madrileña, parece que ya no presunto, tiene muy mala pinta. La prensa empieza a sacar analíticos trapos sucios a acólitos y rufianes. </w:t>
      </w:r>
    </w:p>
    <w:p w:rsidR="00757A10" w:rsidRPr="00631188" w:rsidRDefault="00757A10" w:rsidP="00550638">
      <w:pPr>
        <w:pStyle w:val="NormalWeb"/>
        <w:jc w:val="both"/>
        <w:rPr>
          <w:color w:val="FF0000"/>
          <w:u w:val="single"/>
        </w:rPr>
      </w:pPr>
      <w:r w:rsidRPr="00631188">
        <w:rPr>
          <w:color w:val="FF0000"/>
          <w:u w:val="single"/>
        </w:rPr>
        <w:t xml:space="preserve">¿La consecuencia más trágica? </w:t>
      </w:r>
      <w:r w:rsidRPr="00631188">
        <w:rPr>
          <w:b/>
          <w:bCs/>
          <w:color w:val="FF0000"/>
          <w:u w:val="single"/>
        </w:rPr>
        <w:t xml:space="preserve">La sanidad empeorará y se encarecerá a causa de los incentivos perversos </w:t>
      </w:r>
      <w:r w:rsidRPr="00631188">
        <w:rPr>
          <w:color w:val="FF0000"/>
          <w:u w:val="single"/>
        </w:rPr>
        <w:t xml:space="preserve">habituales en la sanidad privada, los mismos que han hecho del sistema sanitario estadounidense el peor, excepto para los millonarios, de entre todos los del mundo otrora denominado rico y hoy arruinado. </w:t>
      </w:r>
    </w:p>
    <w:p w:rsidR="00757A10" w:rsidRDefault="00757A10" w:rsidP="00550638">
      <w:pPr>
        <w:pStyle w:val="NormalWeb"/>
        <w:jc w:val="both"/>
      </w:pPr>
      <w:r w:rsidRPr="00600136">
        <w:rPr>
          <w:bCs/>
        </w:rPr>
        <w:t>Esperanza, ¿dimitió usted por eso?</w:t>
      </w:r>
      <w:r>
        <w:rPr>
          <w:b/>
          <w:bCs/>
        </w:rPr>
        <w:t xml:space="preserve"> </w:t>
      </w:r>
      <w:r>
        <w:t xml:space="preserve">La creía más gallarda. ¿Por qué traicionó a sus votantes? ¿Por qué huyó cuando más la necesitaban los madrileños? Depositaron la </w:t>
      </w:r>
      <w:r>
        <w:lastRenderedPageBreak/>
        <w:t>confianza exclusivamente en usted, no en unos secuaces mediocres que no habrían ganado ninguna elección si usted no se hubiese presentado.</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B07189">
        <w:rPr>
          <w:rFonts w:ascii="Times New Roman" w:eastAsia="Times New Roman" w:hAnsi="Times New Roman"/>
          <w:sz w:val="24"/>
          <w:szCs w:val="24"/>
          <w:u w:val="single"/>
          <w:lang w:eastAsia="es-ES"/>
        </w:rPr>
        <w:t>Reformas sí, pero no así</w:t>
      </w:r>
      <w:r>
        <w:rPr>
          <w:rFonts w:ascii="Times New Roman" w:eastAsia="Times New Roman" w:hAnsi="Times New Roman"/>
          <w:sz w:val="24"/>
          <w:szCs w:val="24"/>
          <w:lang w:eastAsia="es-ES"/>
        </w:rPr>
        <w:t xml:space="preserve"> (Fedea - </w:t>
      </w:r>
      <w:r w:rsidRPr="00B07189">
        <w:rPr>
          <w:rFonts w:ascii="Times New Roman" w:eastAsia="Times New Roman" w:hAnsi="Times New Roman"/>
          <w:b/>
          <w:sz w:val="24"/>
          <w:szCs w:val="24"/>
          <w:lang w:eastAsia="es-ES"/>
        </w:rPr>
        <w:t>15/1/13</w:t>
      </w:r>
      <w:r>
        <w:rPr>
          <w:rFonts w:ascii="Times New Roman" w:eastAsia="Times New Roman" w:hAnsi="Times New Roman"/>
          <w:sz w:val="24"/>
          <w:szCs w:val="24"/>
          <w:lang w:eastAsia="es-ES"/>
        </w:rPr>
        <w:t>)</w:t>
      </w:r>
      <w:r w:rsidR="009876BF">
        <w:rPr>
          <w:rFonts w:ascii="Times New Roman" w:eastAsia="Times New Roman" w:hAnsi="Times New Roman"/>
          <w:sz w:val="24"/>
          <w:szCs w:val="24"/>
          <w:lang w:eastAsia="es-ES"/>
        </w:rPr>
        <w:t xml:space="preserve">                                     Lectura recomendada</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(Por</w:t>
      </w:r>
      <w:r w:rsidRPr="00803096">
        <w:rPr>
          <w:rFonts w:ascii="Times New Roman" w:eastAsia="Times New Roman" w:hAnsi="Times New Roman"/>
          <w:sz w:val="24"/>
          <w:szCs w:val="24"/>
          <w:lang w:eastAsia="es-ES"/>
        </w:rPr>
        <w:t xml:space="preserve"> Samuel Bentolila y Gerard Llobet</w:t>
      </w:r>
      <w:r>
        <w:rPr>
          <w:rFonts w:ascii="Times New Roman" w:eastAsia="Times New Roman" w:hAnsi="Times New Roman"/>
          <w:sz w:val="24"/>
          <w:szCs w:val="24"/>
          <w:lang w:eastAsia="es-ES"/>
        </w:rPr>
        <w:t>)</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631188">
        <w:rPr>
          <w:rFonts w:ascii="Times New Roman" w:eastAsia="Times New Roman" w:hAnsi="Times New Roman"/>
          <w:sz w:val="24"/>
          <w:szCs w:val="24"/>
          <w:u w:val="single"/>
          <w:lang w:eastAsia="es-ES"/>
        </w:rPr>
        <w:t>¿Qué proceso debería seguir una reforma de calado de una política pública clave? Para la mayoría de la gente, la respuesta es obvia. Debería existir un proyecto de ley elaborado por el Gobierno que, una vez debatido y ratificado por el parlamento, entraría en vigor.</w:t>
      </w:r>
      <w:r w:rsidRPr="00803096">
        <w:rPr>
          <w:rFonts w:ascii="Times New Roman" w:eastAsia="Times New Roman" w:hAnsi="Times New Roman"/>
          <w:sz w:val="24"/>
          <w:szCs w:val="24"/>
          <w:lang w:eastAsia="es-ES"/>
        </w:rPr>
        <w:t xml:space="preserve"> Si la ley no coincide con la voluntad de la mayoría de la sociedad, las siguientes elecciones lo dejarán claro mediante la derrota del Gobierno que la elaboró. Sin negar que el respeto a la legalidad es el elemento básico de funcionamiento de un Estado de derecho, hay otras partes del procedimiento que, siendo legalmente opcionales, contribu</w:t>
      </w:r>
      <w:r w:rsidR="009876BF">
        <w:rPr>
          <w:rFonts w:ascii="Times New Roman" w:eastAsia="Times New Roman" w:hAnsi="Times New Roman"/>
          <w:sz w:val="24"/>
          <w:szCs w:val="24"/>
          <w:lang w:eastAsia="es-ES"/>
        </w:rPr>
        <w:t>yen a introducir transparencia -</w:t>
      </w:r>
      <w:r w:rsidRPr="00803096">
        <w:rPr>
          <w:rFonts w:ascii="Times New Roman" w:eastAsia="Times New Roman" w:hAnsi="Times New Roman"/>
          <w:sz w:val="24"/>
          <w:szCs w:val="24"/>
          <w:lang w:eastAsia="es-ES"/>
        </w:rPr>
        <w:t>lo que habitualmente conll</w:t>
      </w:r>
      <w:r w:rsidR="009876BF">
        <w:rPr>
          <w:rFonts w:ascii="Times New Roman" w:eastAsia="Times New Roman" w:hAnsi="Times New Roman"/>
          <w:sz w:val="24"/>
          <w:szCs w:val="24"/>
          <w:lang w:eastAsia="es-ES"/>
        </w:rPr>
        <w:t>eva una mejora de la eficiencia-</w:t>
      </w:r>
      <w:r w:rsidRPr="00803096">
        <w:rPr>
          <w:rFonts w:ascii="Times New Roman" w:eastAsia="Times New Roman" w:hAnsi="Times New Roman"/>
          <w:sz w:val="24"/>
          <w:szCs w:val="24"/>
          <w:lang w:eastAsia="es-ES"/>
        </w:rPr>
        <w:t xml:space="preserve"> y a dar mayor legitimidad social al proceso.</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En particular, en reformas importantes, es imprescindible el debate en la sociedad. El caso de la reforma de la sanidad en Madrid es prototípico de cómo la actuación legítima del gobierno ha generado gran oposición, no solo por parte de los profesionales afectados directamente por la reforma sino también de la sociedad en general. Es difícil para la mayoría de los ciudadanos tener una idea clara de cuáles serán los beneficios y los costes de esta reforma. La aversión al riesgo genera resistencia al cambio. ¿Se mantendrá la calidad de la sanidad y se rebajar</w:t>
      </w:r>
      <w:r w:rsidR="00463C70">
        <w:rPr>
          <w:rFonts w:ascii="Times New Roman" w:eastAsia="Times New Roman" w:hAnsi="Times New Roman"/>
          <w:sz w:val="24"/>
          <w:szCs w:val="24"/>
          <w:lang w:eastAsia="es-ES"/>
        </w:rPr>
        <w:t>á su coste o, por el contrario -</w:t>
      </w:r>
      <w:r w:rsidRPr="00803096">
        <w:rPr>
          <w:rFonts w:ascii="Times New Roman" w:eastAsia="Times New Roman" w:hAnsi="Times New Roman"/>
          <w:sz w:val="24"/>
          <w:szCs w:val="24"/>
          <w:lang w:eastAsia="es-ES"/>
        </w:rPr>
        <w:t>como afi</w:t>
      </w:r>
      <w:r w:rsidR="00463C70">
        <w:rPr>
          <w:rFonts w:ascii="Times New Roman" w:eastAsia="Times New Roman" w:hAnsi="Times New Roman"/>
          <w:sz w:val="24"/>
          <w:szCs w:val="24"/>
          <w:lang w:eastAsia="es-ES"/>
        </w:rPr>
        <w:t>rman profesionales y sindicatos-</w:t>
      </w:r>
      <w:r w:rsidRPr="00803096">
        <w:rPr>
          <w:rFonts w:ascii="Times New Roman" w:eastAsia="Times New Roman" w:hAnsi="Times New Roman"/>
          <w:sz w:val="24"/>
          <w:szCs w:val="24"/>
          <w:lang w:eastAsia="es-ES"/>
        </w:rPr>
        <w:t>, se reducirán los servicios y se generarán costes adicionales para la sociedad?</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Una manera de dar contenido a este debate sería que el Gobierno, regional en este caso, incluyera como parte de su reforma los siguientes aspectos:</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 xml:space="preserve">1. </w:t>
      </w:r>
      <w:r w:rsidRPr="00631188">
        <w:rPr>
          <w:rFonts w:ascii="Times New Roman" w:eastAsia="Times New Roman" w:hAnsi="Times New Roman"/>
          <w:sz w:val="24"/>
          <w:szCs w:val="24"/>
          <w:u w:val="single"/>
          <w:lang w:eastAsia="es-ES"/>
        </w:rPr>
        <w:t>Un informe de expertos de reconocido prestigio y claramente independientes del Gobierno</w:t>
      </w:r>
      <w:r w:rsidRPr="00803096">
        <w:rPr>
          <w:rFonts w:ascii="Times New Roman" w:eastAsia="Times New Roman" w:hAnsi="Times New Roman"/>
          <w:sz w:val="24"/>
          <w:szCs w:val="24"/>
          <w:lang w:eastAsia="es-ES"/>
        </w:rPr>
        <w:t>, que proporcione una evaluación del funcionamiento actual del sistema y calcule los costes y beneficios de la medida. A esto se debería añadir el análisis de medidas parecidas en otros países y la comparación con otros estudios, lo que permitiría conocer si sería probable que las peculiaridades del caso español tuvieran implicaciones sobre los resultados.</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 xml:space="preserve">2. </w:t>
      </w:r>
      <w:r w:rsidRPr="00631188">
        <w:rPr>
          <w:rFonts w:ascii="Times New Roman" w:eastAsia="Times New Roman" w:hAnsi="Times New Roman"/>
          <w:sz w:val="24"/>
          <w:szCs w:val="24"/>
          <w:u w:val="single"/>
          <w:lang w:eastAsia="es-ES"/>
        </w:rPr>
        <w:t>La publicación de un libro blanco que desarrolle los aspectos principales de la reforma</w:t>
      </w:r>
      <w:r w:rsidRPr="00803096">
        <w:rPr>
          <w:rFonts w:ascii="Times New Roman" w:eastAsia="Times New Roman" w:hAnsi="Times New Roman"/>
          <w:sz w:val="24"/>
          <w:szCs w:val="24"/>
          <w:lang w:eastAsia="es-ES"/>
        </w:rPr>
        <w:t xml:space="preserve"> que se propone; es decir, un documento con autoridad que ayude a los ciudadanos a comprender la naturaleza del problema y el diseño de la política gubernamental que pretende solucionarlo.</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 xml:space="preserve">3. </w:t>
      </w:r>
      <w:r w:rsidRPr="00631188">
        <w:rPr>
          <w:rFonts w:ascii="Times New Roman" w:eastAsia="Times New Roman" w:hAnsi="Times New Roman"/>
          <w:sz w:val="24"/>
          <w:szCs w:val="24"/>
          <w:u w:val="single"/>
          <w:lang w:eastAsia="es-ES"/>
        </w:rPr>
        <w:t>Abrir un periodo suficientemente largo en que las empresas</w:t>
      </w:r>
      <w:r w:rsidRPr="00803096">
        <w:rPr>
          <w:rFonts w:ascii="Times New Roman" w:eastAsia="Times New Roman" w:hAnsi="Times New Roman"/>
          <w:sz w:val="24"/>
          <w:szCs w:val="24"/>
          <w:lang w:eastAsia="es-ES"/>
        </w:rPr>
        <w:t>, los profesionales, las asociaciones y la ciudadanía, utilizando la información que proporciona el informe (o los informes), puedan aportar de manera pública y transparente propuestas de cambio del libro blanco.</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 xml:space="preserve">4. </w:t>
      </w:r>
      <w:r w:rsidRPr="00631188">
        <w:rPr>
          <w:rFonts w:ascii="Times New Roman" w:eastAsia="Times New Roman" w:hAnsi="Times New Roman"/>
          <w:sz w:val="24"/>
          <w:szCs w:val="24"/>
          <w:u w:val="single"/>
          <w:lang w:eastAsia="es-ES"/>
        </w:rPr>
        <w:t>Después de un periodo razonable, el Gobierno redactaría su proyecto de ley,</w:t>
      </w:r>
      <w:r w:rsidRPr="00803096">
        <w:rPr>
          <w:rFonts w:ascii="Times New Roman" w:eastAsia="Times New Roman" w:hAnsi="Times New Roman"/>
          <w:sz w:val="24"/>
          <w:szCs w:val="24"/>
          <w:lang w:eastAsia="es-ES"/>
        </w:rPr>
        <w:t xml:space="preserve"> en el que sopesaría de manera razonada las diferentes preocupaciones de los grupos involucrados </w:t>
      </w:r>
      <w:r w:rsidRPr="00803096">
        <w:rPr>
          <w:rFonts w:ascii="Times New Roman" w:eastAsia="Times New Roman" w:hAnsi="Times New Roman"/>
          <w:sz w:val="24"/>
          <w:szCs w:val="24"/>
          <w:lang w:eastAsia="es-ES"/>
        </w:rPr>
        <w:lastRenderedPageBreak/>
        <w:t>y los beneficios que los estudios muestran que podría proporcionar la reforma. Acto seguido tendría lugar el proceso parlamentario habitual.</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 xml:space="preserve">Así se han llevado a cabo las reformas de los últimos 30 años en el Servicio Nacional de Salud de Inglaterra (National Health Service, NHS). El Gobierno de la Sra. Thatcher encargó el llamado Griffiths Report de 1983 (aquí hay una evaluación muy crítica) y después orientó el sistema hacia la gestión privada. En 1989 publicó dos libros blancos (aquí y aquí), en los que se basó otro cambio legislativo en 1990. En 1997 el Gobierno de Tony Blair publicó otro libro blanco, aunque finalmente mantuvo en gran medida la orientación del Gobierno anterior. Por último, el Gobierno de David Cameron publicó un libro blanco </w:t>
      </w:r>
      <w:r>
        <w:rPr>
          <w:rFonts w:ascii="Times New Roman" w:eastAsia="Times New Roman" w:hAnsi="Times New Roman"/>
          <w:sz w:val="24"/>
          <w:szCs w:val="24"/>
          <w:lang w:eastAsia="es-ES"/>
        </w:rPr>
        <w:t>en julio de 2010, que dio</w:t>
      </w:r>
      <w:r w:rsidRPr="00803096">
        <w:rPr>
          <w:rFonts w:ascii="Times New Roman" w:eastAsia="Times New Roman" w:hAnsi="Times New Roman"/>
          <w:sz w:val="24"/>
          <w:szCs w:val="24"/>
          <w:lang w:eastAsia="es-ES"/>
        </w:rPr>
        <w:t xml:space="preserve"> lugar a una ley aprobada en diciembre de 2011. Aparte del encargo de informes a expertos y/o la elaboración de un libro blanco, todas las reformas generaron intensos debates públicos, consultas a todos los sectores afectados y muchos debates parlamentarios. (También se puede ver la página web del Ministerio de Sanidad inglés, un modelo de transparencia. Y, por cierto, ¿para cuándo la Ley de transparencia?)</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631188">
        <w:rPr>
          <w:rFonts w:ascii="Times New Roman" w:eastAsia="Times New Roman" w:hAnsi="Times New Roman"/>
          <w:color w:val="FF0000"/>
          <w:sz w:val="24"/>
          <w:szCs w:val="24"/>
          <w:u w:val="single"/>
          <w:lang w:eastAsia="es-ES"/>
        </w:rPr>
        <w:t>La reforma de la sanidad en Madrid ha incumplido todas estas recomendaciones.</w:t>
      </w:r>
      <w:r w:rsidRPr="00803096">
        <w:rPr>
          <w:rFonts w:ascii="Times New Roman" w:eastAsia="Times New Roman" w:hAnsi="Times New Roman"/>
          <w:sz w:val="24"/>
          <w:szCs w:val="24"/>
          <w:lang w:eastAsia="es-ES"/>
        </w:rPr>
        <w:t xml:space="preserve"> La realización del proyecto de ley ha carecido de toda transparencia, basándose casi exclusivamente en la afirmación sin más del Gobierno regional de que el coste medio de la atención sanitaria en los hospitales de gestión mixta asciende a 600 euros por habitante, mientras que en los de gestión privada es de 441 euros. </w:t>
      </w:r>
      <w:r w:rsidRPr="00631188">
        <w:rPr>
          <w:rFonts w:ascii="Times New Roman" w:eastAsia="Times New Roman" w:hAnsi="Times New Roman"/>
          <w:sz w:val="24"/>
          <w:szCs w:val="24"/>
          <w:u w:val="single"/>
          <w:lang w:eastAsia="es-ES"/>
        </w:rPr>
        <w:t>Los informes han sido escasos (conocemos este, de cuestionable independencia) y se han ignorado las opiniones de los profesionales y del resto de afectados. Esto hace pensar que la reforma es un salto en el vacío, máxime cuando existe mucha incertidumbre sobre la bondad relativa de la gestión pública y privada en la sanidad, como se ha visto en la serie de entradas que ha ido publicando este blog.</w:t>
      </w:r>
      <w:r w:rsidRPr="00803096">
        <w:rPr>
          <w:rFonts w:ascii="Times New Roman" w:eastAsia="Times New Roman" w:hAnsi="Times New Roman"/>
          <w:sz w:val="24"/>
          <w:szCs w:val="24"/>
          <w:lang w:eastAsia="es-ES"/>
        </w:rPr>
        <w:t xml:space="preserve"> Incluso yendo adelante con la medida, hay elementos clave de su diseño que pueden convertirla en un éxito o un fracaso y ahí el debate público puede aportar mucho.</w:t>
      </w:r>
    </w:p>
    <w:p w:rsidR="00757A10" w:rsidRPr="00631188" w:rsidRDefault="009876BF"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w:t>
      </w:r>
      <w:r w:rsidR="00757A10" w:rsidRPr="00631188">
        <w:rPr>
          <w:rFonts w:ascii="Times New Roman" w:eastAsia="Times New Roman" w:hAnsi="Times New Roman"/>
          <w:sz w:val="24"/>
          <w:szCs w:val="24"/>
          <w:u w:val="single"/>
          <w:lang w:eastAsia="es-ES"/>
        </w:rPr>
        <w:t>Spain is different?</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No. En España también se pueden hacer bien las cosas. En la reforma del sistema español de defensa de la competencia se elaboró un libro blanco en 2005. En este caso, el estudio previo quizás era menos importante, pues existía abundante información sobre la actuación del antiguo Tribunal de Defensa de la Competencia. En los siguientes meses un gran número de agentes proporcionaron su visión y sus ideas sobre cómo mejorar el libro blanco. Estas propuestas provinieron de partidos políticos, bufetes de abogados, escuelas de negocios, empresas, patronales, etc. A mediados de 2007 se aprobó la ley que creaba la Comisión Nacional de la Competencia (CNC).</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El resultado de este procedimiento, además de la sana transparencia que ofreció, ha sido un nuevo organismo que mejoró notablemente el funcionamiento de la política de defensa de la competencia en España, en especial gracias a su alto grado de independencia, y que en sus pocos años de vida se ha ganado el respeto dentro y fuera de España.</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De paso, cabe mencionar que es una pena que en el área de los organismos reguladores no se haya seguido este proceso de forma coherente. Por ejemplo, el sector eléctrico todavía está esperando una reforma, pese a que existe un libro blanco… ¡desde 2005!</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lastRenderedPageBreak/>
        <w:t xml:space="preserve">Lamentablemente, el procedimiento no garantiza que las buenas medidas perduren. Es irónico que un proceso tan transparente y que tuvo en cuenta a todos los agentes involucrados diera como resultado la ley que </w:t>
      </w:r>
      <w:r w:rsidR="00D44948" w:rsidRPr="00803096">
        <w:rPr>
          <w:rFonts w:ascii="Times New Roman" w:eastAsia="Times New Roman" w:hAnsi="Times New Roman"/>
          <w:sz w:val="24"/>
          <w:szCs w:val="24"/>
          <w:lang w:eastAsia="es-ES"/>
        </w:rPr>
        <w:t>dio</w:t>
      </w:r>
      <w:r w:rsidRPr="00803096">
        <w:rPr>
          <w:rFonts w:ascii="Times New Roman" w:eastAsia="Times New Roman" w:hAnsi="Times New Roman"/>
          <w:sz w:val="24"/>
          <w:szCs w:val="24"/>
          <w:lang w:eastAsia="es-ES"/>
        </w:rPr>
        <w:t xml:space="preserve"> luga</w:t>
      </w:r>
      <w:r w:rsidR="00D44948">
        <w:rPr>
          <w:rFonts w:ascii="Times New Roman" w:eastAsia="Times New Roman" w:hAnsi="Times New Roman"/>
          <w:sz w:val="24"/>
          <w:szCs w:val="24"/>
          <w:lang w:eastAsia="es-ES"/>
        </w:rPr>
        <w:t>r a la CNC, mientras que ahora e</w:t>
      </w:r>
      <w:r w:rsidRPr="00803096">
        <w:rPr>
          <w:rFonts w:ascii="Times New Roman" w:eastAsia="Times New Roman" w:hAnsi="Times New Roman"/>
          <w:sz w:val="24"/>
          <w:szCs w:val="24"/>
          <w:lang w:eastAsia="es-ES"/>
        </w:rPr>
        <w:t>sta vaya a ser reemplazada por la Ley de Creación de la Comisión Nacional de los Mercados y la Competencia (CNMC) mediante un proceso oscuro, en que no se atiende a las opiniones de la mayor parte de los agentes involucrados, incluidos organismos españoles e internacionales. ¿Qué podemos esperar de esta ley? Volver a los errores que solucionó el diseño de la CNC y cometer muchos errores nuevos.</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Otro caso en que el procedimiento  ha arrancado bien es la reforma del sistema universitario español, en que se ha encargado un informe a una comisión formada por once personas de prestigio (una de ellas es Luis Garicano). La comisión se ha reunido con rectores, estudiantes, diputados, consejos sociales, senadores, etc. Esperamos que también haya una ronda de consultas tras la emisión del informe.</w:t>
      </w:r>
    </w:p>
    <w:p w:rsidR="00757A10" w:rsidRPr="00803096" w:rsidRDefault="00757A10" w:rsidP="00550638">
      <w:pPr>
        <w:spacing w:before="100" w:beforeAutospacing="1" w:after="100" w:afterAutospacing="1" w:line="240" w:lineRule="auto"/>
        <w:jc w:val="both"/>
        <w:rPr>
          <w:rFonts w:ascii="Times New Roman" w:eastAsia="Times New Roman" w:hAnsi="Times New Roman"/>
          <w:sz w:val="24"/>
          <w:szCs w:val="24"/>
          <w:lang w:eastAsia="es-ES"/>
        </w:rPr>
      </w:pPr>
      <w:r w:rsidRPr="00803096">
        <w:rPr>
          <w:rFonts w:ascii="Times New Roman" w:eastAsia="Times New Roman" w:hAnsi="Times New Roman"/>
          <w:sz w:val="24"/>
          <w:szCs w:val="24"/>
          <w:lang w:eastAsia="es-ES"/>
        </w:rPr>
        <w:t>Por supuesto, el procedimiento que proponemos tampoco garantiza que las decisiones sean acertadas. Solo permite que las medidas se tomen tras proporcionar una información amplia a la sociedad, un debate público y un proceso parlamentario normal. En estas condiciones se reduce la probabilidad de incurrir en errores de decisión y de diseño y, lo que es más importante, de que estos respondan a objetivos distintos de la maximización del bienestar social. En un momento en que, según Barómetro del CIS, los ciudadanos manifiestan que los políticos constituyen el tercer mayor problema de este país, fomentar este tipo de transparencia y participación sería muy deseable para todos.</w:t>
      </w:r>
    </w:p>
    <w:p w:rsidR="009876BF" w:rsidRDefault="00757A10" w:rsidP="00204FBF">
      <w:pPr>
        <w:pStyle w:val="Ttulo1"/>
        <w:spacing w:line="240" w:lineRule="auto"/>
        <w:jc w:val="both"/>
        <w:rPr>
          <w:rFonts w:ascii="Times New Roman" w:hAnsi="Times New Roman"/>
          <w:b w:val="0"/>
          <w:color w:val="auto"/>
          <w:sz w:val="24"/>
          <w:szCs w:val="24"/>
        </w:rPr>
      </w:pPr>
      <w:r w:rsidRPr="009876BF">
        <w:rPr>
          <w:rFonts w:ascii="Times New Roman" w:hAnsi="Times New Roman"/>
          <w:b w:val="0"/>
          <w:color w:val="auto"/>
          <w:sz w:val="24"/>
          <w:szCs w:val="24"/>
        </w:rPr>
        <w:t xml:space="preserve">- </w:t>
      </w:r>
      <w:r w:rsidRPr="009876BF">
        <w:rPr>
          <w:rFonts w:ascii="Times New Roman" w:hAnsi="Times New Roman"/>
          <w:b w:val="0"/>
          <w:color w:val="auto"/>
          <w:sz w:val="24"/>
          <w:szCs w:val="24"/>
          <w:u w:val="single"/>
        </w:rPr>
        <w:t>Cataluña y Castilla-La Mancha, a la cabeza de los recortes en sanidad</w:t>
      </w:r>
      <w:r w:rsidRPr="009876BF">
        <w:rPr>
          <w:rFonts w:ascii="Times New Roman" w:hAnsi="Times New Roman"/>
          <w:b w:val="0"/>
          <w:color w:val="auto"/>
          <w:sz w:val="24"/>
          <w:szCs w:val="24"/>
        </w:rPr>
        <w:t xml:space="preserve"> (Expansión - </w:t>
      </w:r>
      <w:r w:rsidRPr="009876BF">
        <w:rPr>
          <w:rFonts w:ascii="Times New Roman" w:hAnsi="Times New Roman"/>
          <w:color w:val="auto"/>
          <w:sz w:val="24"/>
          <w:szCs w:val="24"/>
        </w:rPr>
        <w:t>18/1/13</w:t>
      </w:r>
      <w:r w:rsidRPr="009876BF">
        <w:rPr>
          <w:rFonts w:ascii="Times New Roman" w:hAnsi="Times New Roman"/>
          <w:b w:val="0"/>
          <w:color w:val="auto"/>
          <w:sz w:val="24"/>
          <w:szCs w:val="24"/>
        </w:rPr>
        <w:t>)</w:t>
      </w:r>
    </w:p>
    <w:p w:rsidR="00757A10" w:rsidRPr="009876BF" w:rsidRDefault="00757A10" w:rsidP="00550638">
      <w:pPr>
        <w:spacing w:line="240" w:lineRule="auto"/>
        <w:jc w:val="both"/>
        <w:rPr>
          <w:rFonts w:ascii="Times New Roman" w:hAnsi="Times New Roman"/>
          <w:b/>
          <w:sz w:val="24"/>
          <w:szCs w:val="24"/>
        </w:rPr>
      </w:pPr>
      <w:r w:rsidRPr="009876BF">
        <w:rPr>
          <w:rFonts w:ascii="Times New Roman" w:hAnsi="Times New Roman"/>
          <w:sz w:val="24"/>
          <w:szCs w:val="24"/>
        </w:rPr>
        <w:t xml:space="preserve">(Por </w:t>
      </w:r>
      <w:r w:rsidRPr="009876BF">
        <w:rPr>
          <w:rStyle w:val="autor2"/>
          <w:rFonts w:ascii="Times New Roman" w:hAnsi="Times New Roman"/>
          <w:b w:val="0"/>
          <w:color w:val="auto"/>
          <w:sz w:val="24"/>
          <w:szCs w:val="24"/>
        </w:rPr>
        <w:t>B. Amigot)</w:t>
      </w:r>
      <w:r w:rsidR="009876BF" w:rsidRPr="009876BF">
        <w:rPr>
          <w:rStyle w:val="autor2"/>
          <w:rFonts w:ascii="Times New Roman" w:hAnsi="Times New Roman"/>
          <w:b w:val="0"/>
          <w:color w:val="auto"/>
          <w:sz w:val="24"/>
          <w:szCs w:val="24"/>
        </w:rPr>
        <w:t xml:space="preserve">                  </w:t>
      </w:r>
      <w:r w:rsidR="009876BF">
        <w:rPr>
          <w:rStyle w:val="autor2"/>
          <w:rFonts w:ascii="Times New Roman" w:hAnsi="Times New Roman"/>
          <w:b w:val="0"/>
          <w:color w:val="auto"/>
          <w:sz w:val="24"/>
          <w:szCs w:val="24"/>
        </w:rPr>
        <w:t xml:space="preserve">                                                               </w:t>
      </w:r>
      <w:r w:rsidR="009876BF" w:rsidRPr="009876BF">
        <w:rPr>
          <w:rStyle w:val="autor2"/>
          <w:rFonts w:ascii="Times New Roman" w:hAnsi="Times New Roman"/>
          <w:b w:val="0"/>
          <w:color w:val="auto"/>
          <w:sz w:val="24"/>
          <w:szCs w:val="24"/>
        </w:rPr>
        <w:t>Lectura recomendada</w:t>
      </w:r>
    </w:p>
    <w:p w:rsidR="00757A10" w:rsidRPr="00D9270B" w:rsidRDefault="00757A10" w:rsidP="00550638">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155437D7" wp14:editId="5AEEF1BF">
            <wp:extent cx="5712643" cy="3569817"/>
            <wp:effectExtent l="0" t="0" r="2540" b="0"/>
            <wp:docPr id="453" name="Imagen 453" descr="[foto de la noti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oto de la noticia]"/>
                    <pic:cNvPicPr>
                      <a:picLocks noChangeAspect="1" noChangeArrowheads="1"/>
                    </pic:cNvPicPr>
                  </pic:nvPicPr>
                  <pic:blipFill>
                    <a:blip r:embed="rId471">
                      <a:extLst>
                        <a:ext uri="{28A0092B-C50C-407E-A947-70E740481C1C}">
                          <a14:useLocalDpi xmlns:a14="http://schemas.microsoft.com/office/drawing/2010/main" val="0"/>
                        </a:ext>
                      </a:extLst>
                    </a:blip>
                    <a:srcRect/>
                    <a:stretch>
                      <a:fillRect/>
                    </a:stretch>
                  </pic:blipFill>
                  <pic:spPr bwMode="auto">
                    <a:xfrm>
                      <a:off x="0" y="0"/>
                      <a:ext cx="5713095" cy="3570099"/>
                    </a:xfrm>
                    <a:prstGeom prst="rect">
                      <a:avLst/>
                    </a:prstGeom>
                    <a:noFill/>
                    <a:ln>
                      <a:noFill/>
                    </a:ln>
                  </pic:spPr>
                </pic:pic>
              </a:graphicData>
            </a:graphic>
          </wp:inline>
        </w:drawing>
      </w:r>
    </w:p>
    <w:p w:rsidR="00757A10"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lastRenderedPageBreak/>
        <w:t>A partir del ejercicio 2010, el déficit público español se puso en el punto de mira de Bruselas, que presionó para que el Gobierno acometiera recortes. Entonces, empezó una nueva etapa marcada por la austeridad, que se extendió a todos los niveles de la Administración y con especial énfasis en las comunidades autónomas.</w:t>
      </w:r>
    </w:p>
    <w:p w:rsidR="009876BF" w:rsidRPr="00D9270B" w:rsidRDefault="009876BF" w:rsidP="00550638">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noProof/>
          <w:sz w:val="24"/>
          <w:szCs w:val="24"/>
          <w:lang w:eastAsia="es-ES"/>
        </w:rPr>
        <w:drawing>
          <wp:inline distT="0" distB="0" distL="0" distR="0" wp14:anchorId="1BBD0089" wp14:editId="3CCA3A92">
            <wp:extent cx="2099379" cy="3547872"/>
            <wp:effectExtent l="0" t="0" r="0" b="0"/>
            <wp:docPr id="5" name="Imagen 5" descr="[foto de la noti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oto de la noticia]"/>
                    <pic:cNvPicPr>
                      <a:picLocks noChangeAspect="1" noChangeArrowheads="1"/>
                    </pic:cNvPicPr>
                  </pic:nvPicPr>
                  <pic:blipFill>
                    <a:blip r:embed="rId472">
                      <a:extLst>
                        <a:ext uri="{28A0092B-C50C-407E-A947-70E740481C1C}">
                          <a14:useLocalDpi xmlns:a14="http://schemas.microsoft.com/office/drawing/2010/main" val="0"/>
                        </a:ext>
                      </a:extLst>
                    </a:blip>
                    <a:srcRect/>
                    <a:stretch>
                      <a:fillRect/>
                    </a:stretch>
                  </pic:blipFill>
                  <pic:spPr bwMode="auto">
                    <a:xfrm>
                      <a:off x="0" y="0"/>
                      <a:ext cx="2099310" cy="3547756"/>
                    </a:xfrm>
                    <a:prstGeom prst="rect">
                      <a:avLst/>
                    </a:prstGeom>
                    <a:noFill/>
                    <a:ln>
                      <a:noFill/>
                    </a:ln>
                  </pic:spPr>
                </pic:pic>
              </a:graphicData>
            </a:graphic>
          </wp:inline>
        </w:drawing>
      </w:r>
    </w:p>
    <w:p w:rsidR="009876BF"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En este contexto, las autonomías han tenido que dar un giro a sus cuentas para tratar de cuadrarlas y la sanidad, ámbito de su competencia, ha sido una de las partidas que ha sufrido el tijeretazo.</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Concretamente, Cataluña ha liderado el ajuste al recortar más de un 12% su gasto en sanidad en los dos últimos ejercicios, pasando de los 1.346 euros por cada ciudadano en los Presupuestos de 2010 a los 1.184 euros en 2012. Otra comunidad que ha hecho una importante disminución del gasto en sanidad es Castilla-La Mancha (-11,6%).</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Estos números son sólo el reflejo numérico de los cambios que se han llevado a cabo en la sanidad pública de ambas comunidades, cambios que no han estado exentos de polémica y de protestas populares.</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Así, por ejemplo, en 2011 tras los recortes el número de pacientes catalanes que esperaba para entrar en quirófano se disparó un 43% respecto al año anterior, pasando de 56.670 a 80.540. Además, en hasta siete hospitales los pacientes tuvieron que esperar más de seis meses (tiempo límite establecido) para operarse de intervenciones más comunes en 2012.</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Otra cuestión que ha provocado un gran revuelo en Cataluña fue la implantación el año pasado del llamado copago sanitario o farmacéutico, que suponía el cobro de un euro por receta. Esta medida quedó suspendida la semana pasada por el Tribunal Constitucional tras admitir éste el recurso presentado po</w:t>
      </w:r>
      <w:r w:rsidR="009876BF">
        <w:rPr>
          <w:rFonts w:ascii="Times New Roman" w:hAnsi="Times New Roman"/>
          <w:sz w:val="24"/>
          <w:szCs w:val="24"/>
        </w:rPr>
        <w:t>r el Gobierno de Mariano Rajoy.</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lastRenderedPageBreak/>
        <w:t>En el caso de Castilla-La Mancha, la última polémica ha sido el cierre de las urgencias nocturnas que entró en vigor el pasado lunes 14 de enero y fue suspendido apenas cuatro días después por el Tribunal Superior de Justicia de la comunidad.</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Además, en la región presidida por María Dolores de Cospedal se prevén nuevos ajustes este año. Esta comunidad ya ha presentado sus cuentas para 2013 e incluyen un recorte del gasto en sanidad del 7,2% respecto a 2012. Pero si se observa el ajuste acumulado desde los presupuestos de 2010 se dispara por encima del 18,5%.</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Los recortes en sanidad han estado bastante generalizados entre las comunidades y desde el ejercicio 2010 sus presupuestos sanitarios se han reducido un 5% de media. A Cataluña y Castilla-La Mancha le siguen de cerca otras comunidades como La Rioja, Murcia, Canarias y Navarra (ver gráfico).</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En esta comparativa tan sólo tres autonomías han aumentado su partida de gasto destinada a la salud: Extremadura, Baleares y Madrid. Aunque hay que resaltar que su posición no es la misma. Mientras la comunidad extremeña es la que más dinero destinó en 2012 por habitante (1.693 euros), Baleares y Madrid están entre las que menos (1.126 y 1.165, respectivamente) sólo la Comunidad Valenciana dedica menos recursos (1.110 euros).</w:t>
      </w:r>
    </w:p>
    <w:p w:rsidR="00757A10" w:rsidRPr="009876BF" w:rsidRDefault="00757A10" w:rsidP="00550638">
      <w:pPr>
        <w:spacing w:before="100" w:beforeAutospacing="1" w:after="100" w:afterAutospacing="1" w:line="240" w:lineRule="auto"/>
        <w:jc w:val="both"/>
        <w:rPr>
          <w:rStyle w:val="Textoennegrita"/>
          <w:rFonts w:ascii="Times New Roman" w:hAnsi="Times New Roman"/>
          <w:b w:val="0"/>
          <w:sz w:val="24"/>
          <w:szCs w:val="24"/>
        </w:rPr>
      </w:pPr>
      <w:r w:rsidRPr="009876BF">
        <w:rPr>
          <w:rStyle w:val="Textoennegrita"/>
          <w:rFonts w:ascii="Times New Roman" w:hAnsi="Times New Roman"/>
          <w:b w:val="0"/>
          <w:sz w:val="24"/>
          <w:szCs w:val="24"/>
        </w:rPr>
        <w:t>Valencia la que menos gasta en sanidad por habitante</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Según los datos del Ministerio de Sanidad, las CCAA gastaron de media en salud 1.257 euros por persona en el ejercicio pasado. Eso sí, hay que resaltar que como hemos visto las diferencias son importantes: la brecha entre la comunidad que más gasta por ciudadano y la que menos es de más de 580 euros.</w:t>
      </w:r>
    </w:p>
    <w:p w:rsidR="00757A10" w:rsidRPr="009876BF" w:rsidRDefault="00757A10" w:rsidP="00550638">
      <w:pPr>
        <w:spacing w:before="100" w:beforeAutospacing="1" w:after="100" w:afterAutospacing="1" w:line="240" w:lineRule="auto"/>
        <w:jc w:val="both"/>
        <w:rPr>
          <w:rStyle w:val="Textoennegrita"/>
          <w:rFonts w:ascii="Times New Roman" w:hAnsi="Times New Roman"/>
          <w:b w:val="0"/>
          <w:sz w:val="24"/>
          <w:szCs w:val="24"/>
        </w:rPr>
      </w:pPr>
      <w:r w:rsidRPr="009876BF">
        <w:rPr>
          <w:rStyle w:val="Textoennegrita"/>
          <w:rFonts w:ascii="Times New Roman" w:hAnsi="Times New Roman"/>
          <w:b w:val="0"/>
          <w:sz w:val="24"/>
          <w:szCs w:val="24"/>
        </w:rPr>
        <w:t>Madrid entre las que menos gasta y centro de las últimas polémicas</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Madrid, como ya se ha apuntado anteriormente, está entre las regiones que menos dinero destina a la sanidad por habitante. Pero, además, a pesar de contar con un presupuesto sanitario bastante exiguo, en 2013 lo ha vuelto a recortar un 1,6%.</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Para poner en práctica estos recortes el Gobierno de Ignacio González ha lanzado varias medidas que no han estado exentas de críticas y han provocado varias manifestaciones en la capital. Una de estas iniciativas fue el intento de modificar la actividad del Hospital la Princesa para centrarlo en el cuidado de personas mayores en lugar de ser un centro de referencia para más de 300.000 personas como hasta ahora. Sin embargo, finalmente, este proyecto se paralizó en noviembre ante el rechazo popular y de los profesionales sanitarios. También se apuntó que la gestión de este hospital pudiera pasar a ser privada pero, de momento, eso quedó en el aire.</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Lo que sí aprobó el Ejecutivo madrileño en mitad de las fiestas navideñas fue la privatización de la gestión de seis hospitales y 27 centros de salud.</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t>Además, la comunidad también ha implantado el euro por receta, que ya ha sido recurrido por el Gobierno de Rajoy ante el Tribunal Constitucional.</w:t>
      </w:r>
    </w:p>
    <w:p w:rsidR="00757A10" w:rsidRPr="00D9270B" w:rsidRDefault="00757A10" w:rsidP="00550638">
      <w:pPr>
        <w:spacing w:before="100" w:beforeAutospacing="1" w:after="100" w:afterAutospacing="1" w:line="240" w:lineRule="auto"/>
        <w:jc w:val="both"/>
        <w:rPr>
          <w:rFonts w:ascii="Times New Roman" w:hAnsi="Times New Roman"/>
          <w:sz w:val="24"/>
          <w:szCs w:val="24"/>
        </w:rPr>
      </w:pPr>
      <w:r w:rsidRPr="00D9270B">
        <w:rPr>
          <w:rFonts w:ascii="Times New Roman" w:hAnsi="Times New Roman"/>
          <w:sz w:val="24"/>
          <w:szCs w:val="24"/>
        </w:rPr>
        <w:lastRenderedPageBreak/>
        <w:t>Después de analizar las cifras lo que está claro es que las comunidades para ajustar sus cuentas han puesto la lupa sobre la sanidad y han acometido recortes en este ámbito tan sensible para la sociedad. Si la austeridad sigue siendo una exigencia de primer orden para las comunidades, no hay que descartar que en los próximos meses se conozcan nuevas medidas en este ámbito.</w:t>
      </w:r>
    </w:p>
    <w:p w:rsidR="00757A10" w:rsidRDefault="00757A10" w:rsidP="00550638">
      <w:pPr>
        <w:pStyle w:val="NormalWeb"/>
        <w:jc w:val="both"/>
      </w:pPr>
      <w:r>
        <w:t xml:space="preserve">- </w:t>
      </w:r>
      <w:r w:rsidRPr="009D0E81">
        <w:rPr>
          <w:u w:val="single"/>
        </w:rPr>
        <w:t>Los economistas abogan por privatizar la gestión hospitalaria</w:t>
      </w:r>
      <w:r>
        <w:t xml:space="preserve"> (Gaceta.es - </w:t>
      </w:r>
      <w:r w:rsidRPr="009D0E81">
        <w:rPr>
          <w:b/>
        </w:rPr>
        <w:t>24/1/13</w:t>
      </w:r>
      <w:r>
        <w:t>)</w:t>
      </w:r>
      <w:r w:rsidR="009876BF">
        <w:t xml:space="preserve"> Lectura recomendada</w:t>
      </w:r>
    </w:p>
    <w:p w:rsidR="00757A10" w:rsidRPr="00CC1333" w:rsidRDefault="00757A10" w:rsidP="00550638">
      <w:pPr>
        <w:pStyle w:val="NormalWeb"/>
        <w:jc w:val="both"/>
        <w:rPr>
          <w:color w:val="FF0000"/>
          <w:u w:val="single"/>
        </w:rPr>
      </w:pPr>
      <w:r w:rsidRPr="00CC1333">
        <w:rPr>
          <w:color w:val="FF0000"/>
          <w:u w:val="single"/>
        </w:rPr>
        <w:t xml:space="preserve">Un estudio de la Comunidad Valenciana refleja que apenas hay diferencias en el gasto por habitante entre hospitales gestionados de forma pública o privada. </w:t>
      </w:r>
    </w:p>
    <w:p w:rsidR="00757A10" w:rsidRDefault="00757A10" w:rsidP="00550638">
      <w:pPr>
        <w:pStyle w:val="NormalWeb"/>
        <w:jc w:val="both"/>
      </w:pPr>
      <w:r w:rsidRPr="00CC1333">
        <w:rPr>
          <w:color w:val="FF0000"/>
          <w:u w:val="single"/>
        </w:rPr>
        <w:t xml:space="preserve">¿La privatización de la gestión de los hospitales abarata el coste de la sanidad? Un reciente estudio realizado en la Comunidad Valenciana revela que apenas hay diferencias en el gasto por habitante entre hospitales gestionados de forma pública o privada. </w:t>
      </w:r>
      <w:r>
        <w:t xml:space="preserve">En el primer caso, se sitúa entre 608 euros y 707 y en los centros bajo el control de una empresa privada las cifras oscilan entre los 672 a 733 euros. El trabajo ha sido elaborado por Salvador Peiró, coordinador de la unidad de investigación de servicios de salud del Centro Superior de Investigación Pública de Valencia, y Richard Menue, de la Fundación Instituto de Investigación en Servicios de Salud. </w:t>
      </w:r>
    </w:p>
    <w:p w:rsidR="00757A10" w:rsidRDefault="00757A10" w:rsidP="00550638">
      <w:pPr>
        <w:pStyle w:val="NormalWeb"/>
        <w:jc w:val="both"/>
      </w:pPr>
      <w:r w:rsidRPr="00CC1333">
        <w:rPr>
          <w:u w:val="single"/>
        </w:rPr>
        <w:t>Lo cierto es que la Comunidad de Madrid apuesta por la privatización de la gestión de seis hospitales, lo que ha provocado numerosas jornadas de huelga y manifestaciones de profesionales del sistema sanitario y usuarios en contra de la medida, aunque según ha precisado el consejero de Sanidad, Javier Fernández-Lasquetty, su externalización supondría un ahorro de 200 millones sobre “año entero” de aplicación</w:t>
      </w:r>
      <w:r>
        <w:t>. Asimismo, Fernández-Lasquetty ha indicado que la atención en los centros de gestión pública cuesta 600 euros por habitante, mientras que en los de gestión privada es de 441 euros, un 26,5% inferior.</w:t>
      </w:r>
    </w:p>
    <w:p w:rsidR="00757A10" w:rsidRPr="00CC1333" w:rsidRDefault="00757A10" w:rsidP="00550638">
      <w:pPr>
        <w:pStyle w:val="NormalWeb"/>
        <w:jc w:val="both"/>
        <w:rPr>
          <w:color w:val="FF0000"/>
          <w:u w:val="single"/>
        </w:rPr>
      </w:pPr>
      <w:r w:rsidRPr="00CC1333">
        <w:rPr>
          <w:color w:val="FF0000"/>
          <w:u w:val="single"/>
        </w:rPr>
        <w:t xml:space="preserve">Los economistas también reclaman la privatización de la gestión de algunos centros hospitalarios, como es el caso del catedrático de Economía Aplicada en la UNED, vicepresidente del Instituto de Estudios Económicos y decano del Colegio de Economistas de Madrid, Juan Iranzo, que además aboga por una entrada “urgente” de la iniciativa privada en la sanidad pública. </w:t>
      </w:r>
    </w:p>
    <w:p w:rsidR="00757A10" w:rsidRPr="00CC1333" w:rsidRDefault="00757A10" w:rsidP="00550638">
      <w:pPr>
        <w:pStyle w:val="NormalWeb"/>
        <w:jc w:val="both"/>
        <w:rPr>
          <w:u w:val="single"/>
        </w:rPr>
      </w:pPr>
      <w:r w:rsidRPr="00CC1333">
        <w:rPr>
          <w:u w:val="single"/>
        </w:rPr>
        <w:t xml:space="preserve">Según ha explicado a LA GACETA, defiende esta medida porque “hay que optimizar los recursos y dada la situación de la sanidad pública, las inversiones en alta tecnología se están haciendo en la sanidad privada”. Por otro lado, destaca que “en general los criterios de gestión y de análisis de costes son más eficientes”. “Nosotros somos partidarios de una provisión pública. Es decir, que los ciudadanos tengamos acceso a la provisión de la sanidad en las condiciones actuales, pero con participación pública-privada en la producción entre otras cosas porque la gestión es más eficiente y porque además optimizamos todos los recursos”. </w:t>
      </w:r>
    </w:p>
    <w:p w:rsidR="00757A10" w:rsidRPr="00CC1333" w:rsidRDefault="00757A10" w:rsidP="00550638">
      <w:pPr>
        <w:pStyle w:val="NormalWeb"/>
        <w:jc w:val="both"/>
        <w:rPr>
          <w:u w:val="single"/>
        </w:rPr>
      </w:pPr>
      <w:r w:rsidRPr="00CC1333">
        <w:rPr>
          <w:u w:val="single"/>
        </w:rPr>
        <w:t xml:space="preserve">Iranzo también hizo hincapié en la necesidad de que se haga un análisis más detallado de los costes en la sanidad pública. “No hay contabilidad de costes en general. Se sabe lo que se gasta, pero no lo que cuesta cada una de las operaciones. Esta es una de las cosas que tenemos que resolver. Reclamamos una mayor transparencia en la información en general”, añadió. </w:t>
      </w:r>
    </w:p>
    <w:p w:rsidR="00757A10" w:rsidRPr="00CC1333" w:rsidRDefault="00757A10" w:rsidP="00550638">
      <w:pPr>
        <w:pStyle w:val="NormalWeb"/>
        <w:jc w:val="both"/>
        <w:rPr>
          <w:u w:val="single"/>
        </w:rPr>
      </w:pPr>
      <w:r w:rsidRPr="00CC1333">
        <w:rPr>
          <w:u w:val="single"/>
        </w:rPr>
        <w:lastRenderedPageBreak/>
        <w:t>Por su parte, el economista Juan Velarde considera que “el problema no es tanto de privado o de público, sino que el mecanismo de haber roto el sistema nacional de sanidad ha encarecido el sistema al repartirlo entre las diversas autonomías”.</w:t>
      </w:r>
      <w:r>
        <w:t xml:space="preserve"> </w:t>
      </w:r>
      <w:r w:rsidRPr="00CC1333">
        <w:rPr>
          <w:u w:val="single"/>
        </w:rPr>
        <w:t>Velarde ha manifestado a este diario que se necesita un sistema público único general y que dentro de este, como consecuencia de un caso particular, llegar a convenios entre lo público y lo privado como el que existió con la Fundación Jiménez Díaz o en aquello público que no está dentro del sistema como, por ejemplo, los hospitales que están vinculados con las facultades de medicina.</w:t>
      </w:r>
    </w:p>
    <w:p w:rsidR="00757A10" w:rsidRDefault="00757A10" w:rsidP="00550638">
      <w:pPr>
        <w:pStyle w:val="NormalWeb"/>
        <w:jc w:val="both"/>
      </w:pPr>
      <w:r>
        <w:t xml:space="preserve">Respecto a la pretensión de la capital de privatizar la gestión de seis hospitales considera “no se está haciendo mal porque le sale más rentable haciéndolo así” y apuntó además que la calidad no disminuye. </w:t>
      </w:r>
    </w:p>
    <w:p w:rsidR="00757A10" w:rsidRPr="00D340CC" w:rsidRDefault="00757A10" w:rsidP="00550638">
      <w:pPr>
        <w:pStyle w:val="NormalWeb"/>
        <w:jc w:val="both"/>
        <w:rPr>
          <w:u w:val="single"/>
        </w:rPr>
      </w:pPr>
      <w:r w:rsidRPr="00D340CC">
        <w:rPr>
          <w:u w:val="single"/>
        </w:rPr>
        <w:t xml:space="preserve">En cuanto al revuelo que se ha generado destacó que “en el fondo lo que motivan las protestas es que tienen que dejar de tener determinadas ventajas que tenían en el sistema inmediatamente anterior, como trabajar más horas”. </w:t>
      </w:r>
    </w:p>
    <w:p w:rsidR="00757A10" w:rsidRDefault="00757A10" w:rsidP="00550638">
      <w:pPr>
        <w:pStyle w:val="NormalWeb"/>
        <w:jc w:val="both"/>
      </w:pPr>
      <w:r>
        <w:t xml:space="preserve">La Consejería de Sanidad de Madrid y los sindicados volvieron a reunirse ayer. Sanidad les trasladó un “ofrecimiento directo” para tratar de lograr un acuerdo sobre las fórmulas de aplicación del Plan de Sostenibilidad y la externalización. Los sanitarios madrileños, por su parte, anunciaron un calendario unitario de movilizaciones, la primera el próximo día 27. Entienden que este plan supone el “desmontaje” del actual modelo de sanidad pública. </w:t>
      </w:r>
    </w:p>
    <w:p w:rsidR="00757A10" w:rsidRDefault="00757A10" w:rsidP="00550638">
      <w:pPr>
        <w:pStyle w:val="NormalWeb"/>
        <w:jc w:val="both"/>
      </w:pPr>
      <w:r>
        <w:t xml:space="preserve">- </w:t>
      </w:r>
      <w:r w:rsidRPr="00365A09">
        <w:rPr>
          <w:u w:val="single"/>
        </w:rPr>
        <w:t>Una operación de cataratas en Madrid sale un 65% más cara en un hospital público que en uno privado</w:t>
      </w:r>
      <w:r>
        <w:t xml:space="preserve"> (Vozpópuli - </w:t>
      </w:r>
      <w:r w:rsidRPr="00365A09">
        <w:rPr>
          <w:b/>
        </w:rPr>
        <w:t>24/1/13</w:t>
      </w:r>
      <w:r>
        <w:t>)</w:t>
      </w:r>
      <w:r w:rsidR="009876BF">
        <w:t xml:space="preserve">                                        Lectura recomendada</w:t>
      </w:r>
    </w:p>
    <w:p w:rsidR="00757A10" w:rsidRPr="00365A09" w:rsidRDefault="00757A10" w:rsidP="00550638">
      <w:pPr>
        <w:pStyle w:val="NormalWeb"/>
        <w:jc w:val="both"/>
        <w:rPr>
          <w:u w:val="single"/>
        </w:rPr>
      </w:pPr>
      <w:r w:rsidRPr="00365A09">
        <w:rPr>
          <w:u w:val="single"/>
        </w:rPr>
        <w:t>Los procedimientos sanitarios en Madrid en hospitales públicos cuestan desde un 20 hasta un 70 por ciento más caros que en los privados, según cifras oficiales. Estos datos comparan los precios públicos del boletín oficial de la Comunidad con los precios pactados como máximos para los conciertos.</w:t>
      </w:r>
    </w:p>
    <w:p w:rsidR="00757A10" w:rsidRPr="00365A09" w:rsidRDefault="00757A10" w:rsidP="00550638">
      <w:pPr>
        <w:pStyle w:val="NormalWeb"/>
        <w:jc w:val="both"/>
        <w:rPr>
          <w:color w:val="FF0000"/>
          <w:u w:val="single"/>
        </w:rPr>
      </w:pPr>
      <w:r w:rsidRPr="00365A09">
        <w:rPr>
          <w:color w:val="FF0000"/>
          <w:u w:val="single"/>
        </w:rPr>
        <w:t>Así, una operación de cataratas sale por 2.238 euros en un centro público frente a los 800 euros de tope que cobra uno privado, lo que arroja una diferencia del 64 por ciento. Una artroscopia cuesta en el estatal 2.224 euros, mientras que en el concertado el precio se sitúa en los 900 euros, un 59 por ciento más barato.</w:t>
      </w:r>
    </w:p>
    <w:p w:rsidR="00757A10" w:rsidRPr="00365A09" w:rsidRDefault="00757A10" w:rsidP="00550638">
      <w:pPr>
        <w:pStyle w:val="NormalWeb"/>
        <w:jc w:val="both"/>
        <w:rPr>
          <w:color w:val="FF0000"/>
          <w:u w:val="single"/>
        </w:rPr>
      </w:pPr>
      <w:r w:rsidRPr="00365A09">
        <w:rPr>
          <w:color w:val="FF0000"/>
          <w:u w:val="single"/>
        </w:rPr>
        <w:t>Por una sustitución de cadera, el ahorro en el hospital privado se eleva hasta el 38 por ciento, al costar la intervención 5.900 euros en lugar de los 9.534 de un hospital público.</w:t>
      </w:r>
    </w:p>
    <w:p w:rsidR="00757A10" w:rsidRPr="00365A09" w:rsidRDefault="00757A10" w:rsidP="00550638">
      <w:pPr>
        <w:pStyle w:val="NormalWeb"/>
        <w:jc w:val="both"/>
        <w:rPr>
          <w:u w:val="single"/>
        </w:rPr>
      </w:pPr>
      <w:r w:rsidRPr="00365A09">
        <w:rPr>
          <w:u w:val="single"/>
        </w:rPr>
        <w:t>En la sustitución de rodilla, la diferencia ronda el 45 por ciento si se comparan los 6.400 euros de coste del privado con los 11.709 euros del estatal.</w:t>
      </w:r>
    </w:p>
    <w:p w:rsidR="00757A10" w:rsidRPr="00365A09" w:rsidRDefault="00757A10" w:rsidP="00550638">
      <w:pPr>
        <w:pStyle w:val="NormalWeb"/>
        <w:jc w:val="both"/>
        <w:rPr>
          <w:color w:val="FF0000"/>
          <w:u w:val="single"/>
        </w:rPr>
      </w:pPr>
      <w:r w:rsidRPr="00365A09">
        <w:rPr>
          <w:color w:val="FF0000"/>
          <w:u w:val="single"/>
        </w:rPr>
        <w:t>Un TAC suele salir casi la mitad de económico en el privado, 100 euros en contraposición a los 199 euros. Y unas divergencias parecidas se reflejan en algunas de las resonancias.</w:t>
      </w:r>
    </w:p>
    <w:p w:rsidR="00757A10" w:rsidRPr="00365A09" w:rsidRDefault="00757A10" w:rsidP="00550638">
      <w:pPr>
        <w:pStyle w:val="NormalWeb"/>
        <w:jc w:val="both"/>
        <w:rPr>
          <w:color w:val="FF0000"/>
          <w:u w:val="single"/>
        </w:rPr>
      </w:pPr>
      <w:r w:rsidRPr="00365A09">
        <w:rPr>
          <w:color w:val="FF0000"/>
          <w:u w:val="single"/>
        </w:rPr>
        <w:t xml:space="preserve">Según el boletín de la Comunidad de Madrid, la vasectomía cuesta un 70 por ciento más en lo público, 1.017 euros frente a los 300 euros. Y la tarifa de la liberación del túnel carpiano está en los 1698 euros, frente a los 500 euros del sector privado. </w:t>
      </w:r>
    </w:p>
    <w:p w:rsidR="00757A10" w:rsidRPr="009876BF" w:rsidRDefault="00757A10" w:rsidP="00550638">
      <w:pPr>
        <w:pStyle w:val="NormalWeb"/>
        <w:jc w:val="both"/>
        <w:rPr>
          <w:b/>
        </w:rPr>
      </w:pPr>
      <w:r w:rsidRPr="009876BF">
        <w:rPr>
          <w:rStyle w:val="Textoennegrita"/>
          <w:b w:val="0"/>
        </w:rPr>
        <w:lastRenderedPageBreak/>
        <w:t>Datos oficiales</w:t>
      </w:r>
    </w:p>
    <w:p w:rsidR="00757A10" w:rsidRDefault="00757A10" w:rsidP="00550638">
      <w:pPr>
        <w:pStyle w:val="NormalWeb"/>
        <w:jc w:val="both"/>
      </w:pPr>
      <w:r>
        <w:t xml:space="preserve">Estos precios de los hospitales públicos se extraen del boletín oficial de la Comunidad de Madrid con fecha 10 de septiembre de 2009, el cual se ha actualizado cada año y establece las tarifas de la asistencia sanitaria que se cobra a los beneficiarios de convenios de colaboración, a las mutuas por accidentes, a las mutualidades de funcionarios, del judicial o de las fuerzas armadas y a otras autonomías. </w:t>
      </w:r>
    </w:p>
    <w:p w:rsidR="00757A10" w:rsidRDefault="00757A10" w:rsidP="00550638">
      <w:pPr>
        <w:pStyle w:val="NormalWeb"/>
        <w:jc w:val="both"/>
      </w:pPr>
      <w:r>
        <w:t>Los precios de los privados se obtienen de las tarifas máximas sobre las que pujan los hospitales concertados para prestar un servicio.</w:t>
      </w:r>
    </w:p>
    <w:p w:rsidR="00757A10" w:rsidRPr="00365A09" w:rsidRDefault="00757A10" w:rsidP="00550638">
      <w:pPr>
        <w:pStyle w:val="NormalWeb"/>
        <w:jc w:val="both"/>
        <w:rPr>
          <w:color w:val="FF0000"/>
          <w:u w:val="single"/>
        </w:rPr>
      </w:pPr>
      <w:r w:rsidRPr="00365A09">
        <w:rPr>
          <w:color w:val="FF0000"/>
          <w:u w:val="single"/>
        </w:rPr>
        <w:t>Una comparativa general de estos precios subraya los ahorros que puede ofrecer la gestión empresarial. De hecho, un informe de la consultora Iasist bien valorado entre los analistas del sector y al que la Comunidad de Madrid le ha dado bastante bombo y platillo arrojaba un ahorro del 27 por ciento y una productividad un 37 por ciento mayor para los centros privados.</w:t>
      </w:r>
    </w:p>
    <w:p w:rsidR="00757A10" w:rsidRPr="00365A09" w:rsidRDefault="00757A10" w:rsidP="00550638">
      <w:pPr>
        <w:pStyle w:val="NormalWeb"/>
        <w:jc w:val="both"/>
        <w:rPr>
          <w:u w:val="single"/>
        </w:rPr>
      </w:pPr>
      <w:r>
        <w:t xml:space="preserve">Este estudio se ha llevado a cabo entre 78 hospitales en 2010 e incluye indicadores de calidad como las tasas de complicaciones, mortalidad o admisiones, cuyos resultados fueron muy similares. </w:t>
      </w:r>
      <w:r w:rsidRPr="00365A09">
        <w:rPr>
          <w:u w:val="single"/>
        </w:rPr>
        <w:t>La diferencia estribaba, sobre todo, en los días de hospitalización, unas 5,47 jornadas en los privados frente a las 6,17 de los públicos.</w:t>
      </w:r>
    </w:p>
    <w:p w:rsidR="00757A10" w:rsidRPr="009876BF" w:rsidRDefault="00757A10" w:rsidP="00550638">
      <w:pPr>
        <w:pStyle w:val="NormalWeb"/>
        <w:jc w:val="both"/>
        <w:rPr>
          <w:b/>
        </w:rPr>
      </w:pPr>
      <w:r w:rsidRPr="009876BF">
        <w:rPr>
          <w:rStyle w:val="Textoennegrita"/>
          <w:b w:val="0"/>
        </w:rPr>
        <w:t>Los públicos dan más servicios</w:t>
      </w:r>
    </w:p>
    <w:p w:rsidR="00757A10" w:rsidRPr="00365A09" w:rsidRDefault="00757A10" w:rsidP="00550638">
      <w:pPr>
        <w:pStyle w:val="NormalWeb"/>
        <w:jc w:val="both"/>
        <w:rPr>
          <w:u w:val="single"/>
        </w:rPr>
      </w:pPr>
      <w:r w:rsidRPr="00365A09">
        <w:rPr>
          <w:u w:val="single"/>
        </w:rPr>
        <w:t>No obstante, los expertos apuntan diversas cautelas. Por un lado, los hospitales públicos oferta una cartera mucho mayor de servicios, tienen mayores equipamientos y tecnologías y, por lo tanto, mayores costes fijos.</w:t>
      </w:r>
    </w:p>
    <w:p w:rsidR="00757A10" w:rsidRPr="00365A09" w:rsidRDefault="00757A10" w:rsidP="00550638">
      <w:pPr>
        <w:pStyle w:val="NormalWeb"/>
        <w:jc w:val="both"/>
        <w:rPr>
          <w:u w:val="single"/>
        </w:rPr>
      </w:pPr>
      <w:r w:rsidRPr="00365A09">
        <w:rPr>
          <w:u w:val="single"/>
        </w:rPr>
        <w:t xml:space="preserve">Y esto además se traduce en que hay numerosas derivaciones de patologías más complejas y, por tanto, más costosas a los hospitales públicos con más recursos. </w:t>
      </w:r>
    </w:p>
    <w:p w:rsidR="00757A10" w:rsidRPr="00365A09" w:rsidRDefault="00757A10" w:rsidP="00550638">
      <w:pPr>
        <w:pStyle w:val="NormalWeb"/>
        <w:jc w:val="both"/>
        <w:rPr>
          <w:color w:val="FF0000"/>
          <w:u w:val="single"/>
        </w:rPr>
      </w:pPr>
      <w:r w:rsidRPr="00365A09">
        <w:rPr>
          <w:color w:val="FF0000"/>
          <w:u w:val="single"/>
        </w:rPr>
        <w:t xml:space="preserve">Además, según los expertos, uno de los factores que marca las divergencias en los costes y, por ende, los precios radica en la relaciones laborales, es decir, si se emplea o no personal público. </w:t>
      </w:r>
    </w:p>
    <w:p w:rsidR="00757A10" w:rsidRPr="00365A09" w:rsidRDefault="00757A10" w:rsidP="00550638">
      <w:pPr>
        <w:pStyle w:val="NormalWeb"/>
        <w:jc w:val="both"/>
        <w:rPr>
          <w:color w:val="FF0000"/>
          <w:u w:val="single"/>
        </w:rPr>
      </w:pPr>
      <w:r w:rsidRPr="00365A09">
        <w:rPr>
          <w:color w:val="FF0000"/>
          <w:u w:val="single"/>
        </w:rPr>
        <w:t xml:space="preserve">Por otro lado, los hospitales privados toman las operaciones más sencillas y rentables de la listas de espera de los públicos y dependen de los volúmenes para resultar rentables. De hecho, un par de centros en Madrid han denunciado a la Comunidad porque no han conseguido las cantidades acordadas. </w:t>
      </w:r>
    </w:p>
    <w:p w:rsidR="00757A10" w:rsidRPr="00E3276B" w:rsidRDefault="00757A10" w:rsidP="00550638">
      <w:pPr>
        <w:pStyle w:val="NormalWeb"/>
        <w:jc w:val="both"/>
        <w:rPr>
          <w:color w:val="000000"/>
        </w:rPr>
      </w:pPr>
      <w:r>
        <w:rPr>
          <w:color w:val="000000"/>
        </w:rPr>
        <w:t xml:space="preserve">- </w:t>
      </w:r>
      <w:r w:rsidRPr="00E3276B">
        <w:rPr>
          <w:color w:val="000000"/>
          <w:u w:val="single"/>
        </w:rPr>
        <w:t>Las ineficacias y duplicidades en la sanidad cuestan 2.000 millones al año</w:t>
      </w:r>
      <w:r>
        <w:rPr>
          <w:color w:val="000000"/>
        </w:rPr>
        <w:t xml:space="preserve"> (El Economista - </w:t>
      </w:r>
      <w:r>
        <w:rPr>
          <w:b/>
          <w:color w:val="000000"/>
        </w:rPr>
        <w:t>20</w:t>
      </w:r>
      <w:r w:rsidRPr="00E3276B">
        <w:rPr>
          <w:b/>
          <w:color w:val="000000"/>
        </w:rPr>
        <w:t>/6/13</w:t>
      </w:r>
      <w:r>
        <w:rPr>
          <w:color w:val="000000"/>
        </w:rPr>
        <w:t>)</w:t>
      </w:r>
      <w:r w:rsidR="009876BF">
        <w:rPr>
          <w:color w:val="000000"/>
        </w:rPr>
        <w:t xml:space="preserve">                                                                       Lectura recomendada</w:t>
      </w:r>
    </w:p>
    <w:p w:rsidR="00757A10" w:rsidRPr="00E3276B" w:rsidRDefault="00757A10" w:rsidP="00550638">
      <w:pPr>
        <w:pStyle w:val="NormalWeb"/>
        <w:jc w:val="both"/>
      </w:pPr>
      <w:r w:rsidRPr="007D0171">
        <w:rPr>
          <w:color w:val="FF0000"/>
          <w:u w:val="single"/>
        </w:rPr>
        <w:t>El gasto en sanidad asciende cada año a cerca de 100.000 millones de euros, casi el 10 por ciento del PIB</w:t>
      </w:r>
      <w:r w:rsidRPr="00E3276B">
        <w:t xml:space="preserve">. </w:t>
      </w:r>
      <w:r w:rsidRPr="007D0171">
        <w:rPr>
          <w:u w:val="single"/>
        </w:rPr>
        <w:t>Además, el sistema sanitario tiene un déficit anual de 10.000 millones.</w:t>
      </w:r>
      <w:r w:rsidRPr="00E3276B">
        <w:t xml:space="preserve"> Los últimos gobiernos han intentado meter mano a esta partida con políticas de ajuste. El último, el departamento de Ana Mato, que presentó un plan el pasado año para recortar el gasto sanitario en 7.000 millones, la mayor parte en presupuesto para medicamentos.</w:t>
      </w:r>
    </w:p>
    <w:p w:rsidR="00757A10" w:rsidRPr="007D0171" w:rsidRDefault="00757A10" w:rsidP="00550638">
      <w:pPr>
        <w:pStyle w:val="NormalWeb"/>
        <w:jc w:val="both"/>
        <w:rPr>
          <w:u w:val="single"/>
        </w:rPr>
      </w:pPr>
      <w:r w:rsidRPr="00E3276B">
        <w:lastRenderedPageBreak/>
        <w:t xml:space="preserve">Sin embargo, </w:t>
      </w:r>
      <w:r w:rsidRPr="007D0171">
        <w:rPr>
          <w:u w:val="single"/>
        </w:rPr>
        <w:t xml:space="preserve">los expertos consultados por </w:t>
      </w:r>
      <w:r w:rsidRPr="007D0171">
        <w:rPr>
          <w:i/>
          <w:iCs/>
          <w:u w:val="single"/>
        </w:rPr>
        <w:t xml:space="preserve">elEconomista </w:t>
      </w:r>
      <w:r w:rsidRPr="007D0171">
        <w:rPr>
          <w:u w:val="single"/>
        </w:rPr>
        <w:t>Sanidad aseguran que aún quedan muchas bolsas de ineficiencia y duplicidades que parecen imposibles de erradicar.</w:t>
      </w:r>
      <w:r w:rsidRPr="00E3276B">
        <w:t xml:space="preserve"> Hay datos que llaman la atención por su evidencia. </w:t>
      </w:r>
      <w:r w:rsidRPr="007D0171">
        <w:rPr>
          <w:u w:val="single"/>
        </w:rPr>
        <w:t>Por ejemplo,</w:t>
      </w:r>
      <w:r w:rsidRPr="007D0171">
        <w:rPr>
          <w:b/>
          <w:bCs/>
          <w:u w:val="single"/>
        </w:rPr>
        <w:t xml:space="preserve"> </w:t>
      </w:r>
      <w:r w:rsidRPr="00600136">
        <w:rPr>
          <w:bCs/>
          <w:u w:val="single"/>
        </w:rPr>
        <w:t>la sanidad duplica todavía hasta el 60 por ciento de las pruebas diagnósticas y en una cuarta parte de los casos</w:t>
      </w:r>
      <w:r w:rsidRPr="00600136">
        <w:rPr>
          <w:u w:val="single"/>
        </w:rPr>
        <w:t>,</w:t>
      </w:r>
      <w:r w:rsidRPr="007D0171">
        <w:rPr>
          <w:u w:val="single"/>
        </w:rPr>
        <w:t xml:space="preserve"> los sistemas sanitarios públicos no tiene</w:t>
      </w:r>
      <w:r>
        <w:rPr>
          <w:u w:val="single"/>
        </w:rPr>
        <w:t>n</w:t>
      </w:r>
      <w:r w:rsidRPr="007D0171">
        <w:rPr>
          <w:u w:val="single"/>
        </w:rPr>
        <w:t xml:space="preserve"> en cuenta las pruebas realizadas por la privada</w:t>
      </w:r>
      <w:r w:rsidRPr="00E3276B">
        <w:t xml:space="preserve">. </w:t>
      </w:r>
      <w:r w:rsidRPr="007D0171">
        <w:rPr>
          <w:u w:val="single"/>
        </w:rPr>
        <w:t xml:space="preserve">Además, algunas sociedades científicas alertan de la ineficacia y el gasto producido por pruebas diagnósticas sin valor: el 30 por ciento de las resonancias lumbares realizadas son inútiles. </w:t>
      </w:r>
    </w:p>
    <w:p w:rsidR="00757A10" w:rsidRPr="007D0171" w:rsidRDefault="00757A10" w:rsidP="00550638">
      <w:pPr>
        <w:pStyle w:val="NormalWeb"/>
        <w:jc w:val="both"/>
        <w:rPr>
          <w:u w:val="single"/>
        </w:rPr>
      </w:pPr>
      <w:r w:rsidRPr="007D0171">
        <w:rPr>
          <w:u w:val="single"/>
        </w:rPr>
        <w:t>No sólo se despilfarra en pruebas diagnósticas, también en consultas innecesarias. Los últimos datos hablan de hasta 77 millones de visitas al médico innecesarias. Es decir, de personas que saturan los servicios sanitarios sin estar enfermas. En total, eliminar estas ineficiencias podría ahorrar al sistema hasta 2.000 millones de euros todos los años.</w:t>
      </w:r>
    </w:p>
    <w:p w:rsidR="00757A10" w:rsidRPr="009876BF" w:rsidRDefault="00757A10" w:rsidP="00550638">
      <w:pPr>
        <w:pStyle w:val="Ttulo2"/>
        <w:spacing w:line="240" w:lineRule="auto"/>
        <w:jc w:val="both"/>
        <w:rPr>
          <w:rFonts w:ascii="Times New Roman" w:hAnsi="Times New Roman" w:cs="Times New Roman"/>
          <w:b w:val="0"/>
          <w:color w:val="auto"/>
          <w:sz w:val="24"/>
          <w:szCs w:val="24"/>
        </w:rPr>
      </w:pPr>
      <w:r w:rsidRPr="009876BF">
        <w:rPr>
          <w:rFonts w:ascii="Times New Roman" w:hAnsi="Times New Roman" w:cs="Times New Roman"/>
          <w:b w:val="0"/>
          <w:color w:val="auto"/>
          <w:sz w:val="24"/>
          <w:szCs w:val="24"/>
        </w:rPr>
        <w:t>Duplicación de pruebas</w:t>
      </w:r>
    </w:p>
    <w:p w:rsidR="00757A10" w:rsidRPr="00E3276B" w:rsidRDefault="00757A10" w:rsidP="00550638">
      <w:pPr>
        <w:pStyle w:val="NormalWeb"/>
        <w:jc w:val="both"/>
      </w:pPr>
      <w:r w:rsidRPr="007D0171">
        <w:rPr>
          <w:u w:val="single"/>
        </w:rPr>
        <w:t>En una cuarta parte de los casos, la sanidad pública no tiene en cuenta las pruebas realizadas por la sanidad privada, duplicándose, en estos casos, un 59 por ciento las pruebas diagnósticas</w:t>
      </w:r>
      <w:r w:rsidRPr="00E3276B">
        <w:t>: éste es un dato extraído de la encuesta realizada para el Segundo Barómetro de la Sanidad Privada, impulsado por el Instituto para el Desarrollo e Integración de la Sanidad (IDIS).</w:t>
      </w:r>
    </w:p>
    <w:p w:rsidR="00757A10" w:rsidRPr="00E3276B" w:rsidRDefault="00757A10" w:rsidP="00550638">
      <w:pPr>
        <w:pStyle w:val="NormalWeb"/>
        <w:jc w:val="both"/>
      </w:pPr>
      <w:r w:rsidRPr="007D0171">
        <w:rPr>
          <w:u w:val="single"/>
        </w:rPr>
        <w:t>Con estos datos, el secretario general del IDIS, Juan Abarca, asegura que evitar la repetición de las pruebas diagnósticas ayudaría a mejorar la eficiencia del Sistema Nacional de Salud, puesto que se evitarían gastos innecesarios y, además, permiten descongestionar las listas de espera</w:t>
      </w:r>
      <w:r w:rsidRPr="00E3276B">
        <w:t xml:space="preserve">. </w:t>
      </w:r>
      <w:r w:rsidR="009876BF" w:rsidRPr="00600136">
        <w:rPr>
          <w:bCs/>
        </w:rPr>
        <w:t>“</w:t>
      </w:r>
      <w:r w:rsidRPr="00600136">
        <w:rPr>
          <w:bCs/>
        </w:rPr>
        <w:t>Desde IDIS apostamos permanentemente por una colaboración entre el sector sanitario público y el privado y ésta s</w:t>
      </w:r>
      <w:r w:rsidR="009876BF" w:rsidRPr="00600136">
        <w:rPr>
          <w:bCs/>
        </w:rPr>
        <w:t>ería una fórmula más de hacerlo”</w:t>
      </w:r>
      <w:r w:rsidRPr="00600136">
        <w:t xml:space="preserve">, </w:t>
      </w:r>
      <w:r w:rsidRPr="00E3276B">
        <w:t>sentencia.</w:t>
      </w:r>
    </w:p>
    <w:p w:rsidR="00757A10" w:rsidRPr="00153DF3" w:rsidRDefault="00757A10" w:rsidP="00550638">
      <w:pPr>
        <w:pStyle w:val="NormalWeb"/>
        <w:jc w:val="both"/>
        <w:rPr>
          <w:u w:val="single"/>
        </w:rPr>
      </w:pPr>
      <w:r w:rsidRPr="00153DF3">
        <w:rPr>
          <w:u w:val="single"/>
        </w:rPr>
        <w:t>Según este dato de la encuesta, las pruebas que se repiten con mayor frecuencia son, por este orden analíticas (64 por ciento), radiografías (32 por ciento) y ecografías (26 por ciento); y, en menor medida, las resonancias magnéticas (5 por ciento) y los TAC (4 por ciento).</w:t>
      </w:r>
      <w:r w:rsidRPr="00E3276B">
        <w:t xml:space="preserve"> En palabras de Manuel Vilches, director de operaciones del IDIS, </w:t>
      </w:r>
      <w:r w:rsidR="009876BF">
        <w:rPr>
          <w:u w:val="single"/>
        </w:rPr>
        <w:t>“</w:t>
      </w:r>
      <w:r w:rsidRPr="00153DF3">
        <w:rPr>
          <w:u w:val="single"/>
        </w:rPr>
        <w:t>la repetición de pruebas, que muchas veces es difícil justificar, refuerza la necesidad de integrar los sistemas de información sanitaria y disponer de la historia y de las pruebas diagnósticas del paciente en cualquier centro al que acuda, lo que ayudará de manera muy importante en la gestión del servicio y en la p</w:t>
      </w:r>
      <w:r w:rsidR="009876BF">
        <w:rPr>
          <w:u w:val="single"/>
        </w:rPr>
        <w:t>lanificación asistencial global”</w:t>
      </w:r>
      <w:r w:rsidRPr="00153DF3">
        <w:rPr>
          <w:u w:val="single"/>
        </w:rPr>
        <w:t>.</w:t>
      </w:r>
    </w:p>
    <w:p w:rsidR="00757A10" w:rsidRPr="00E3276B" w:rsidRDefault="00757A10" w:rsidP="00550638">
      <w:pPr>
        <w:pStyle w:val="NormalWeb"/>
        <w:jc w:val="both"/>
      </w:pPr>
      <w:r w:rsidRPr="00153DF3">
        <w:rPr>
          <w:u w:val="single"/>
        </w:rPr>
        <w:t>Asimismo, los resultados muestran que durante el último año 1 de cada 3 personas entrevistadas asegura haber acudido tanto a la sanidad pública como a la privada para tratar la misma patología</w:t>
      </w:r>
      <w:r w:rsidRPr="00E3276B">
        <w:t xml:space="preserve">. </w:t>
      </w:r>
      <w:r w:rsidRPr="00153DF3">
        <w:rPr>
          <w:u w:val="single"/>
        </w:rPr>
        <w:t>Y ello hace que la integración del sistema sanitario en torno al paciente cobre aún más importancia, como elemento de garantía para mejorar la salud y la calidad de vida de los pacientes, constituyéndose además en un indicador de mayor eficiencia.</w:t>
      </w:r>
      <w:r w:rsidRPr="00E3276B">
        <w:t xml:space="preserve"> </w:t>
      </w:r>
      <w:r w:rsidR="009876BF" w:rsidRPr="00600136">
        <w:rPr>
          <w:bCs/>
          <w:u w:val="single"/>
        </w:rPr>
        <w:t>“</w:t>
      </w:r>
      <w:r w:rsidRPr="00600136">
        <w:rPr>
          <w:bCs/>
          <w:u w:val="single"/>
        </w:rPr>
        <w:t>Además, no hay que despreciar las desventajas para los pacientes de la doble realización de pruebas como por ejemplo el incremento en exposición de dosis radiológica a la que se someten</w:t>
      </w:r>
      <w:r w:rsidR="009876BF" w:rsidRPr="00600136">
        <w:rPr>
          <w:bCs/>
        </w:rPr>
        <w:t>”</w:t>
      </w:r>
      <w:r w:rsidRPr="00E3276B">
        <w:t>, puntualiza Juan Abarca.</w:t>
      </w:r>
    </w:p>
    <w:p w:rsidR="00757A10" w:rsidRPr="00153DF3" w:rsidRDefault="000C4115" w:rsidP="00550638">
      <w:pPr>
        <w:pStyle w:val="NormalWeb"/>
        <w:jc w:val="both"/>
        <w:rPr>
          <w:u w:val="single"/>
        </w:rPr>
      </w:pPr>
      <w:r>
        <w:rPr>
          <w:u w:val="single"/>
        </w:rPr>
        <w:t>“</w:t>
      </w:r>
      <w:r w:rsidR="00757A10" w:rsidRPr="00153DF3">
        <w:rPr>
          <w:u w:val="single"/>
        </w:rPr>
        <w:t xml:space="preserve">La integración de la información del paciente entre el sector público y el sector privado es el primer pilar de la colaboración público-privada real -añade el director de operaciones del IDIS- y esa integración será la base para poder hacer un sistema </w:t>
      </w:r>
      <w:r w:rsidR="00757A10" w:rsidRPr="00153DF3">
        <w:rPr>
          <w:u w:val="single"/>
        </w:rPr>
        <w:lastRenderedPageBreak/>
        <w:t>sanitario sostenible, ya que nos dará las claves para saber de dónde partimos y qué necesitamos pa</w:t>
      </w:r>
      <w:r>
        <w:rPr>
          <w:u w:val="single"/>
        </w:rPr>
        <w:t>ra el bienestar de la población”</w:t>
      </w:r>
      <w:r w:rsidR="00757A10" w:rsidRPr="00153DF3">
        <w:rPr>
          <w:u w:val="single"/>
        </w:rPr>
        <w:t>.</w:t>
      </w:r>
    </w:p>
    <w:p w:rsidR="00757A10" w:rsidRPr="00E3276B" w:rsidRDefault="00757A10" w:rsidP="00550638">
      <w:pPr>
        <w:pStyle w:val="NormalWeb"/>
        <w:jc w:val="both"/>
      </w:pPr>
      <w:r w:rsidRPr="00E3276B">
        <w:t>En esta línea, una de las principales medidas de ahorro que se han puesto en marcha son los sistema de riesgo compartido, un acuerdo entre la sanidad pública y la privada para introducir nuevos fármacos o tecnología sanitaria en los hospitales. Esta iniciativa, que ya rea</w:t>
      </w:r>
      <w:r>
        <w:t>lizan otras comunidades, supone</w:t>
      </w:r>
      <w:r w:rsidRPr="00E3276B">
        <w:t xml:space="preserve"> ahorros de 10 millones de euros por contrato</w:t>
      </w:r>
      <w:r>
        <w:t>.</w:t>
      </w:r>
    </w:p>
    <w:p w:rsidR="00757A10" w:rsidRPr="00153DF3" w:rsidRDefault="000C4115" w:rsidP="00550638">
      <w:pPr>
        <w:pStyle w:val="NormalWeb"/>
        <w:jc w:val="both"/>
        <w:rPr>
          <w:color w:val="FF0000"/>
          <w:u w:val="single"/>
        </w:rPr>
      </w:pPr>
      <w:r>
        <w:rPr>
          <w:color w:val="FF0000"/>
          <w:u w:val="single"/>
        </w:rPr>
        <w:t>“</w:t>
      </w:r>
      <w:r w:rsidR="00757A10" w:rsidRPr="00153DF3">
        <w:rPr>
          <w:color w:val="FF0000"/>
          <w:u w:val="single"/>
        </w:rPr>
        <w:t xml:space="preserve">Ninguna medida que se implante y recorte derechos a los ciudadanos es admisible -finaliza Juan Abarca- mientras sigamos </w:t>
      </w:r>
      <w:r>
        <w:rPr>
          <w:color w:val="FF0000"/>
          <w:u w:val="single"/>
        </w:rPr>
        <w:t>duplicando pruebas diagnósticas”</w:t>
      </w:r>
      <w:r w:rsidR="00757A10" w:rsidRPr="00153DF3">
        <w:rPr>
          <w:color w:val="FF0000"/>
          <w:u w:val="single"/>
        </w:rPr>
        <w:t>.</w:t>
      </w:r>
    </w:p>
    <w:p w:rsidR="00757A10" w:rsidRPr="000C4115" w:rsidRDefault="00757A10" w:rsidP="00550638">
      <w:pPr>
        <w:pStyle w:val="Ttulo2"/>
        <w:spacing w:line="240" w:lineRule="auto"/>
        <w:jc w:val="both"/>
        <w:rPr>
          <w:rFonts w:ascii="Times New Roman" w:hAnsi="Times New Roman" w:cs="Times New Roman"/>
          <w:b w:val="0"/>
          <w:color w:val="auto"/>
          <w:sz w:val="24"/>
          <w:szCs w:val="24"/>
        </w:rPr>
      </w:pPr>
      <w:r w:rsidRPr="000C4115">
        <w:rPr>
          <w:rFonts w:ascii="Times New Roman" w:hAnsi="Times New Roman" w:cs="Times New Roman"/>
          <w:b w:val="0"/>
          <w:color w:val="auto"/>
          <w:sz w:val="24"/>
          <w:szCs w:val="24"/>
        </w:rPr>
        <w:t>Resonancias inútiles</w:t>
      </w:r>
    </w:p>
    <w:p w:rsidR="00757A10" w:rsidRPr="00153DF3" w:rsidRDefault="00757A10" w:rsidP="00550638">
      <w:pPr>
        <w:pStyle w:val="NormalWeb"/>
        <w:jc w:val="both"/>
        <w:rPr>
          <w:u w:val="single"/>
        </w:rPr>
      </w:pPr>
      <w:r w:rsidRPr="00E3276B">
        <w:t>Por su parte, un estudio científico ha permitido cuantificar el porcentaje mínimo de resonancias magnéticas (RM) lumbares que son prescritas inapropiadamente en el conjunto de la sanidad española, y ha demostrado que los radiólogos identifican correctamente las que no están justificadas</w:t>
      </w:r>
      <w:r w:rsidRPr="00153DF3">
        <w:rPr>
          <w:u w:val="single"/>
        </w:rPr>
        <w:t>. Según el informe, el 30% de las resonancia</w:t>
      </w:r>
      <w:r w:rsidR="000C4115">
        <w:rPr>
          <w:u w:val="single"/>
        </w:rPr>
        <w:t>s</w:t>
      </w:r>
      <w:r w:rsidRPr="00153DF3">
        <w:rPr>
          <w:u w:val="single"/>
        </w:rPr>
        <w:t xml:space="preserve"> lumbares que se hacen en España son inútiles. Una cifra disparatada, según los especialistas. Anualmente se realizan 960.000 resonancias lumbares en la sanidad española (pública y privada). </w:t>
      </w:r>
    </w:p>
    <w:p w:rsidR="00757A10" w:rsidRPr="00600136" w:rsidRDefault="00757A10" w:rsidP="00550638">
      <w:pPr>
        <w:pStyle w:val="NormalWeb"/>
        <w:jc w:val="both"/>
        <w:rPr>
          <w:u w:val="single"/>
        </w:rPr>
      </w:pPr>
      <w:r w:rsidRPr="00153DF3">
        <w:rPr>
          <w:u w:val="single"/>
        </w:rPr>
        <w:t>Realizar esta prueba cuando no está indicado aumenta hasta un 400 por ciento el riesgo de que el paciente sea operado inútilmente.</w:t>
      </w:r>
      <w:r w:rsidRPr="00153DF3">
        <w:rPr>
          <w:b/>
          <w:bCs/>
          <w:u w:val="single"/>
        </w:rPr>
        <w:t xml:space="preserve"> </w:t>
      </w:r>
      <w:r w:rsidRPr="00600136">
        <w:rPr>
          <w:bCs/>
          <w:u w:val="single"/>
        </w:rPr>
        <w:t>En 2012, el coste medio de cada resonancia magnética lumbar fue de 244 euros. Es decir, cerca de 75 millones de euros perdidos.</w:t>
      </w:r>
    </w:p>
    <w:p w:rsidR="00757A10" w:rsidRPr="00153DF3" w:rsidRDefault="00757A10" w:rsidP="00550638">
      <w:pPr>
        <w:pStyle w:val="NormalWeb"/>
        <w:jc w:val="both"/>
        <w:rPr>
          <w:u w:val="single"/>
        </w:rPr>
      </w:pPr>
      <w:r w:rsidRPr="00E3276B">
        <w:t xml:space="preserve">El reciente estudio ha sido publicado por la revista científica European Journal of Radiology*. Financiado por la Fundación Kovacs, en él han participado 12 servicios de radiología públicos y privados. </w:t>
      </w:r>
      <w:r w:rsidRPr="00153DF3">
        <w:rPr>
          <w:u w:val="single"/>
        </w:rPr>
        <w:t>Demuestra que, como mínimo, el 11,9% de las resonancias lumbares prescritas a pacientes con y sin dolor referido son inapropiadas. Este porcentaje aumenta hasta el 17,2% en la sanidad privada y hasta el 27,8% entre los pacientes sin dolor irradiado a la pierna.</w:t>
      </w:r>
    </w:p>
    <w:p w:rsidR="00757A10" w:rsidRPr="009159DA" w:rsidRDefault="00757A10" w:rsidP="00550638">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159DA">
        <w:rPr>
          <w:rFonts w:ascii="Times New Roman" w:hAnsi="Times New Roman" w:cs="Times New Roman"/>
          <w:sz w:val="24"/>
          <w:szCs w:val="24"/>
          <w:u w:val="single"/>
        </w:rPr>
        <w:t>Cómo ajustar 13.000 millones en Sanidad sin reducir la calidad del servicio</w:t>
      </w:r>
      <w:r>
        <w:rPr>
          <w:rFonts w:ascii="Times New Roman" w:hAnsi="Times New Roman" w:cs="Times New Roman"/>
          <w:sz w:val="24"/>
          <w:szCs w:val="24"/>
        </w:rPr>
        <w:t xml:space="preserve"> (Libertad Digital - </w:t>
      </w:r>
      <w:r w:rsidRPr="009159DA">
        <w:rPr>
          <w:rFonts w:ascii="Times New Roman" w:hAnsi="Times New Roman" w:cs="Times New Roman"/>
          <w:b/>
          <w:sz w:val="24"/>
          <w:szCs w:val="24"/>
        </w:rPr>
        <w:t>30/6/13</w:t>
      </w:r>
      <w:r>
        <w:rPr>
          <w:rFonts w:ascii="Times New Roman" w:hAnsi="Times New Roman" w:cs="Times New Roman"/>
          <w:sz w:val="24"/>
          <w:szCs w:val="24"/>
        </w:rPr>
        <w:t>)</w:t>
      </w:r>
      <w:r w:rsidR="000C4115">
        <w:rPr>
          <w:rFonts w:ascii="Times New Roman" w:hAnsi="Times New Roman" w:cs="Times New Roman"/>
          <w:sz w:val="24"/>
          <w:szCs w:val="24"/>
        </w:rPr>
        <w:t xml:space="preserve">       </w:t>
      </w:r>
    </w:p>
    <w:p w:rsidR="00757A10" w:rsidRPr="00DC4815" w:rsidRDefault="00757A10" w:rsidP="00550638">
      <w:pPr>
        <w:shd w:val="clear" w:color="auto" w:fill="FFFFFF"/>
        <w:spacing w:line="240" w:lineRule="auto"/>
        <w:jc w:val="both"/>
        <w:rPr>
          <w:rFonts w:ascii="Times New Roman" w:hAnsi="Times New Roman" w:cs="Times New Roman"/>
          <w:color w:val="FF0000"/>
          <w:sz w:val="24"/>
          <w:szCs w:val="24"/>
        </w:rPr>
      </w:pPr>
      <w:r w:rsidRPr="00DC4815">
        <w:rPr>
          <w:rFonts w:ascii="Times New Roman" w:hAnsi="Times New Roman" w:cs="Times New Roman"/>
          <w:color w:val="FF0000"/>
          <w:sz w:val="24"/>
          <w:szCs w:val="24"/>
        </w:rPr>
        <w:t>Más de 1,2 millones de funcionarios disponen de un seguro médico privado financiado por el Estado, pero no todos los contribuyentes tienen esa opción.</w:t>
      </w:r>
    </w:p>
    <w:p w:rsidR="00757A10" w:rsidRPr="009159DA" w:rsidRDefault="00757A10"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159DA">
        <w:rPr>
          <w:rFonts w:ascii="Times New Roman" w:hAnsi="Times New Roman" w:cs="Times New Roman"/>
          <w:sz w:val="24"/>
          <w:szCs w:val="24"/>
        </w:rPr>
        <w:t>D</w:t>
      </w:r>
      <w:r w:rsidR="000C4115">
        <w:rPr>
          <w:rFonts w:ascii="Times New Roman" w:hAnsi="Times New Roman" w:cs="Times New Roman"/>
          <w:sz w:val="24"/>
          <w:szCs w:val="24"/>
        </w:rPr>
        <w:t>iego Sánchez de la Cruz)</w:t>
      </w:r>
      <w:r w:rsidR="000C4115">
        <w:rPr>
          <w:rFonts w:ascii="Times New Roman" w:hAnsi="Times New Roman" w:cs="Times New Roman"/>
          <w:sz w:val="24"/>
          <w:szCs w:val="24"/>
        </w:rPr>
        <w:tab/>
      </w:r>
      <w:r w:rsidR="000C4115">
        <w:rPr>
          <w:rFonts w:ascii="Times New Roman" w:hAnsi="Times New Roman" w:cs="Times New Roman"/>
          <w:sz w:val="24"/>
          <w:szCs w:val="24"/>
        </w:rPr>
        <w:tab/>
      </w:r>
      <w:r w:rsidR="000C4115">
        <w:rPr>
          <w:rFonts w:ascii="Times New Roman" w:hAnsi="Times New Roman" w:cs="Times New Roman"/>
          <w:sz w:val="24"/>
          <w:szCs w:val="24"/>
        </w:rPr>
        <w:tab/>
      </w:r>
      <w:r w:rsidR="000C4115">
        <w:rPr>
          <w:rFonts w:ascii="Times New Roman" w:hAnsi="Times New Roman" w:cs="Times New Roman"/>
          <w:sz w:val="24"/>
          <w:szCs w:val="24"/>
        </w:rPr>
        <w:tab/>
        <w:t xml:space="preserve">            Lectura recomendada</w:t>
      </w:r>
    </w:p>
    <w:p w:rsidR="00757A10" w:rsidRPr="00DC4815" w:rsidRDefault="00757A10" w:rsidP="00550638">
      <w:pPr>
        <w:pStyle w:val="NormalWeb"/>
        <w:jc w:val="both"/>
        <w:rPr>
          <w:u w:val="single"/>
        </w:rPr>
      </w:pPr>
      <w:r w:rsidRPr="00DC4815">
        <w:rPr>
          <w:u w:val="single"/>
        </w:rPr>
        <w:t>El sistema</w:t>
      </w:r>
      <w:r w:rsidRPr="00DC4815">
        <w:rPr>
          <w:rStyle w:val="Textoennegrita"/>
          <w:u w:val="single"/>
        </w:rPr>
        <w:t xml:space="preserve"> </w:t>
      </w:r>
      <w:r w:rsidRPr="00204FBF">
        <w:rPr>
          <w:rStyle w:val="Textoennegrita"/>
          <w:b w:val="0"/>
          <w:u w:val="single"/>
        </w:rPr>
        <w:t>Muface</w:t>
      </w:r>
      <w:r w:rsidRPr="00DC4815">
        <w:rPr>
          <w:u w:val="single"/>
        </w:rPr>
        <w:t xml:space="preserve"> es lo más parecido que tiene España a un </w:t>
      </w:r>
      <w:r w:rsidR="000C4115" w:rsidRPr="000C4115">
        <w:rPr>
          <w:rFonts w:eastAsiaTheme="majorEastAsia"/>
        </w:rPr>
        <w:t>sistema de “</w:t>
      </w:r>
      <w:r w:rsidR="000C4115">
        <w:rPr>
          <w:rFonts w:eastAsiaTheme="majorEastAsia"/>
        </w:rPr>
        <w:t>cheque sanitario”.</w:t>
      </w:r>
      <w:r w:rsidRPr="009159DA">
        <w:t xml:space="preserve"> En esencia, este convenio permite que determinados funcionarios elijan si quieren ser atendidos por el sistema de salud habitual o si, por el contrario, prefieren que el Estado dedique esa financiación a pagarles un seguro médico de gestión privada. Así, </w:t>
      </w:r>
      <w:r w:rsidRPr="00DC4815">
        <w:rPr>
          <w:u w:val="single"/>
        </w:rPr>
        <w:t xml:space="preserve">aquellos trabajadores públicos que eligen la cobertura de Muface entran en un </w:t>
      </w:r>
      <w:r w:rsidRPr="00600136">
        <w:rPr>
          <w:rStyle w:val="Textoennegrita"/>
          <w:b w:val="0"/>
          <w:u w:val="single"/>
        </w:rPr>
        <w:t>sistema gestionado por proveedores privados</w:t>
      </w:r>
      <w:r w:rsidRPr="00DC4815">
        <w:rPr>
          <w:u w:val="single"/>
        </w:rPr>
        <w:t>. Los beneficiarios pueden elegir entidad y facultativo, albergando la posibilidad de cambiar su elección cada año, así como de salirse del modelo Muface y ser atendidos por la sanidad pública.</w:t>
      </w:r>
    </w:p>
    <w:p w:rsidR="00757A10" w:rsidRPr="00DC4815" w:rsidRDefault="00757A10" w:rsidP="00550638">
      <w:pPr>
        <w:pStyle w:val="NormalWeb"/>
        <w:jc w:val="both"/>
        <w:rPr>
          <w:u w:val="single"/>
        </w:rPr>
      </w:pPr>
      <w:r w:rsidRPr="00DC4815">
        <w:rPr>
          <w:u w:val="single"/>
        </w:rPr>
        <w:t xml:space="preserve">Los datos muestran que el modelo tiene muy buena acogida entre los empleados de la Administración. Los datos de 2010 hablan </w:t>
      </w:r>
      <w:r w:rsidRPr="000C4115">
        <w:rPr>
          <w:u w:val="single"/>
        </w:rPr>
        <w:t xml:space="preserve">de </w:t>
      </w:r>
      <w:hyperlink r:id="rId473" w:history="1">
        <w:r w:rsidRPr="000C4115">
          <w:rPr>
            <w:rStyle w:val="Hipervnculo"/>
            <w:rFonts w:eastAsiaTheme="majorEastAsia"/>
            <w:color w:val="auto"/>
          </w:rPr>
          <w:t>1,2 millones de funcionarios</w:t>
        </w:r>
      </w:hyperlink>
      <w:r w:rsidRPr="000C4115">
        <w:rPr>
          <w:u w:val="single"/>
        </w:rPr>
        <w:t xml:space="preserve"> </w:t>
      </w:r>
      <w:r w:rsidRPr="00DC4815">
        <w:rPr>
          <w:u w:val="single"/>
        </w:rPr>
        <w:t xml:space="preserve">acogidos a </w:t>
      </w:r>
      <w:r w:rsidRPr="00DC4815">
        <w:rPr>
          <w:u w:val="single"/>
        </w:rPr>
        <w:lastRenderedPageBreak/>
        <w:t>este régimen. Este dato coincide con los números publicados para 2013, por lo que parece evidente que el sistema goza de una enorme popularidad.</w:t>
      </w:r>
    </w:p>
    <w:p w:rsidR="00757A10" w:rsidRPr="00DC4815" w:rsidRDefault="00757A10" w:rsidP="00550638">
      <w:pPr>
        <w:pStyle w:val="NormalWeb"/>
        <w:jc w:val="both"/>
        <w:rPr>
          <w:color w:val="FF0000"/>
          <w:u w:val="single"/>
        </w:rPr>
      </w:pPr>
      <w:r w:rsidRPr="00DC4815">
        <w:rPr>
          <w:color w:val="FF0000"/>
          <w:u w:val="single"/>
        </w:rPr>
        <w:t>Poniendo en perspectiva los datos de afiliación, encontramos que el 98% de los maestros, el 95% de los profesores de secundaria, el 51% de los profesores de formación profesional, el 96% de los profesores universitarios y el 92% de los profesores de escuelas universitarias eligen esta opción por encima de la sanidad pública ordinaria.</w:t>
      </w:r>
    </w:p>
    <w:p w:rsidR="00757A10" w:rsidRPr="009159DA" w:rsidRDefault="00757A10" w:rsidP="00550638">
      <w:pPr>
        <w:pStyle w:val="NormalWeb"/>
        <w:jc w:val="both"/>
      </w:pPr>
      <w:r w:rsidRPr="009159DA">
        <w:t>Hasta aquí hemos explicado el modelo Muface y hemos detallado la buena acogida que tiene entre los empleados públicos. Ahora toca ir un paso más allá y plantearnos la realidad económica del modelo:</w:t>
      </w:r>
    </w:p>
    <w:p w:rsidR="00757A10" w:rsidRPr="00600136" w:rsidRDefault="00757A10" w:rsidP="00550638">
      <w:pPr>
        <w:numPr>
          <w:ilvl w:val="0"/>
          <w:numId w:val="25"/>
        </w:numPr>
        <w:spacing w:before="100" w:beforeAutospacing="1" w:after="100" w:afterAutospacing="1" w:line="240" w:lineRule="auto"/>
        <w:jc w:val="both"/>
        <w:rPr>
          <w:rFonts w:ascii="Times New Roman" w:hAnsi="Times New Roman" w:cs="Times New Roman"/>
          <w:color w:val="FF0000"/>
          <w:sz w:val="24"/>
          <w:szCs w:val="24"/>
        </w:rPr>
      </w:pPr>
      <w:r w:rsidRPr="00DC4815">
        <w:rPr>
          <w:rFonts w:ascii="Times New Roman" w:hAnsi="Times New Roman" w:cs="Times New Roman"/>
          <w:color w:val="FF0000"/>
          <w:sz w:val="24"/>
          <w:szCs w:val="24"/>
        </w:rPr>
        <w:t>Muface genera un</w:t>
      </w:r>
      <w:r w:rsidRPr="00DC4815">
        <w:rPr>
          <w:rStyle w:val="Textoennegrita"/>
          <w:rFonts w:ascii="Times New Roman" w:hAnsi="Times New Roman" w:cs="Times New Roman"/>
          <w:color w:val="FF0000"/>
          <w:sz w:val="24"/>
          <w:szCs w:val="24"/>
        </w:rPr>
        <w:t xml:space="preserve"> </w:t>
      </w:r>
      <w:r w:rsidRPr="00600136">
        <w:rPr>
          <w:rStyle w:val="Textoennegrita"/>
          <w:rFonts w:ascii="Times New Roman" w:hAnsi="Times New Roman" w:cs="Times New Roman"/>
          <w:b w:val="0"/>
          <w:color w:val="FF0000"/>
          <w:sz w:val="24"/>
          <w:szCs w:val="24"/>
        </w:rPr>
        <w:t>ahorro medio</w:t>
      </w:r>
      <w:r w:rsidRPr="00DC4815">
        <w:rPr>
          <w:rStyle w:val="Textoennegrita"/>
          <w:rFonts w:ascii="Times New Roman" w:hAnsi="Times New Roman" w:cs="Times New Roman"/>
          <w:color w:val="FF0000"/>
          <w:sz w:val="24"/>
          <w:szCs w:val="24"/>
        </w:rPr>
        <w:t xml:space="preserve"> </w:t>
      </w:r>
      <w:r w:rsidRPr="00DC4815">
        <w:rPr>
          <w:rFonts w:ascii="Times New Roman" w:hAnsi="Times New Roman" w:cs="Times New Roman"/>
          <w:color w:val="FF0000"/>
          <w:sz w:val="24"/>
          <w:szCs w:val="24"/>
        </w:rPr>
        <w:t xml:space="preserve">en la prestación de servicios sanitarios equivalente al </w:t>
      </w:r>
      <w:r w:rsidRPr="00DC4815">
        <w:rPr>
          <w:rStyle w:val="Textoennegrita"/>
          <w:rFonts w:ascii="Times New Roman" w:hAnsi="Times New Roman" w:cs="Times New Roman"/>
          <w:color w:val="FF0000"/>
          <w:sz w:val="24"/>
          <w:szCs w:val="24"/>
        </w:rPr>
        <w:t>35%</w:t>
      </w:r>
      <w:r w:rsidRPr="00DC4815">
        <w:rPr>
          <w:rFonts w:ascii="Times New Roman" w:hAnsi="Times New Roman" w:cs="Times New Roman"/>
          <w:color w:val="FF0000"/>
          <w:sz w:val="24"/>
          <w:szCs w:val="24"/>
        </w:rPr>
        <w:t xml:space="preserve">. El Estado entrega una cuota fija por cada paciente, equivalente a </w:t>
      </w:r>
      <w:hyperlink r:id="rId474" w:history="1">
        <w:r w:rsidRPr="00DC4815">
          <w:rPr>
            <w:rStyle w:val="Hipervnculo"/>
            <w:rFonts w:ascii="Times New Roman" w:hAnsi="Times New Roman" w:cs="Times New Roman"/>
            <w:color w:val="FF0000"/>
            <w:sz w:val="24"/>
            <w:szCs w:val="24"/>
          </w:rPr>
          <w:t>825 euros anuales</w:t>
        </w:r>
      </w:hyperlink>
      <w:r w:rsidRPr="00DC4815">
        <w:rPr>
          <w:rFonts w:ascii="Times New Roman" w:hAnsi="Times New Roman" w:cs="Times New Roman"/>
          <w:b/>
          <w:color w:val="FF0000"/>
          <w:sz w:val="24"/>
          <w:szCs w:val="24"/>
        </w:rPr>
        <w:t xml:space="preserve">. </w:t>
      </w:r>
      <w:r w:rsidRPr="00600136">
        <w:rPr>
          <w:rFonts w:ascii="Times New Roman" w:hAnsi="Times New Roman" w:cs="Times New Roman"/>
          <w:color w:val="FF0000"/>
          <w:sz w:val="24"/>
          <w:szCs w:val="24"/>
        </w:rPr>
        <w:t>En el sistema público, esta cifra asciende a 1.280 euros.</w:t>
      </w:r>
    </w:p>
    <w:p w:rsidR="00757A10" w:rsidRPr="00DC4815" w:rsidRDefault="00757A10" w:rsidP="00550638">
      <w:pPr>
        <w:numPr>
          <w:ilvl w:val="0"/>
          <w:numId w:val="25"/>
        </w:numPr>
        <w:spacing w:before="100" w:beforeAutospacing="1" w:after="100" w:afterAutospacing="1" w:line="240" w:lineRule="auto"/>
        <w:jc w:val="both"/>
        <w:rPr>
          <w:rFonts w:ascii="Times New Roman" w:hAnsi="Times New Roman" w:cs="Times New Roman"/>
          <w:color w:val="FF0000"/>
          <w:sz w:val="24"/>
          <w:szCs w:val="24"/>
        </w:rPr>
      </w:pPr>
      <w:r w:rsidRPr="00DC4815">
        <w:rPr>
          <w:rFonts w:ascii="Times New Roman" w:hAnsi="Times New Roman" w:cs="Times New Roman"/>
          <w:color w:val="FF0000"/>
          <w:sz w:val="24"/>
          <w:szCs w:val="24"/>
        </w:rPr>
        <w:t xml:space="preserve">De acuerdo con los estudios del Círculo de la Sanidad, la no universalización del modelo Muface está costando a España </w:t>
      </w:r>
      <w:hyperlink r:id="rId475" w:history="1">
        <w:r w:rsidRPr="00DC4815">
          <w:rPr>
            <w:rStyle w:val="Hipervnculo"/>
            <w:rFonts w:ascii="Times New Roman" w:hAnsi="Times New Roman" w:cs="Times New Roman"/>
            <w:color w:val="FF0000"/>
            <w:sz w:val="24"/>
            <w:szCs w:val="24"/>
          </w:rPr>
          <w:t>entre 13.000 y 16.000 millones</w:t>
        </w:r>
      </w:hyperlink>
      <w:r w:rsidRPr="00DC4815">
        <w:rPr>
          <w:rFonts w:ascii="Times New Roman" w:hAnsi="Times New Roman" w:cs="Times New Roman"/>
          <w:b/>
          <w:color w:val="FF0000"/>
          <w:sz w:val="24"/>
          <w:szCs w:val="24"/>
        </w:rPr>
        <w:t xml:space="preserve"> </w:t>
      </w:r>
      <w:r w:rsidRPr="00055DFE">
        <w:rPr>
          <w:rFonts w:ascii="Times New Roman" w:hAnsi="Times New Roman" w:cs="Times New Roman"/>
          <w:color w:val="FF0000"/>
          <w:sz w:val="24"/>
          <w:szCs w:val="24"/>
        </w:rPr>
        <w:t>de euros al año</w:t>
      </w:r>
      <w:r w:rsidRPr="00DC4815">
        <w:rPr>
          <w:rFonts w:ascii="Times New Roman" w:hAnsi="Times New Roman" w:cs="Times New Roman"/>
          <w:b/>
          <w:color w:val="FF0000"/>
          <w:sz w:val="24"/>
          <w:szCs w:val="24"/>
        </w:rPr>
        <w:t>.</w:t>
      </w:r>
      <w:r w:rsidRPr="00DC4815">
        <w:rPr>
          <w:rFonts w:ascii="Times New Roman" w:hAnsi="Times New Roman" w:cs="Times New Roman"/>
          <w:color w:val="FF0000"/>
          <w:sz w:val="24"/>
          <w:szCs w:val="24"/>
        </w:rPr>
        <w:t xml:space="preserve"> Semejante ahorro podría materializarse simplemente extendiendo el sistema Muface a todo el Sistema Nacional de Salud.</w:t>
      </w:r>
    </w:p>
    <w:p w:rsidR="00757A10" w:rsidRPr="000C4115" w:rsidRDefault="00757A10" w:rsidP="00550638">
      <w:pPr>
        <w:pStyle w:val="Ttulo3"/>
        <w:spacing w:line="240" w:lineRule="auto"/>
        <w:jc w:val="both"/>
        <w:rPr>
          <w:rFonts w:ascii="Times New Roman" w:hAnsi="Times New Roman" w:cs="Times New Roman"/>
          <w:b w:val="0"/>
          <w:color w:val="auto"/>
          <w:sz w:val="24"/>
          <w:szCs w:val="24"/>
        </w:rPr>
      </w:pPr>
      <w:r w:rsidRPr="000C4115">
        <w:rPr>
          <w:rFonts w:ascii="Times New Roman" w:hAnsi="Times New Roman" w:cs="Times New Roman"/>
          <w:b w:val="0"/>
          <w:color w:val="auto"/>
          <w:sz w:val="24"/>
          <w:szCs w:val="24"/>
        </w:rPr>
        <w:t>El despilfarro que no cesa</w:t>
      </w:r>
    </w:p>
    <w:p w:rsidR="00757A10" w:rsidRPr="009159DA" w:rsidRDefault="00757A10" w:rsidP="00550638">
      <w:pPr>
        <w:pStyle w:val="NormalWeb"/>
        <w:jc w:val="both"/>
      </w:pPr>
      <w:r w:rsidRPr="009159DA">
        <w:t>A continuación, recogemos algunas noticias recientes que confirman que el despilfarro y la mala gestión del dinero público siguen a la orden del día:</w:t>
      </w:r>
    </w:p>
    <w:p w:rsidR="00757A10" w:rsidRPr="000C4115" w:rsidRDefault="00757A10" w:rsidP="00550638">
      <w:pPr>
        <w:pStyle w:val="NormalWeb"/>
        <w:jc w:val="both"/>
      </w:pPr>
      <w:r w:rsidRPr="009159DA">
        <w:t xml:space="preserve">- Solamente en 2012, el gobierno catalán otorgó </w:t>
      </w:r>
      <w:hyperlink r:id="rId476" w:anchor=".UcqRn9hr3Ne" w:history="1">
        <w:r w:rsidRPr="000C4115">
          <w:rPr>
            <w:rStyle w:val="Hipervnculo"/>
            <w:rFonts w:eastAsiaTheme="majorEastAsia"/>
            <w:color w:val="auto"/>
          </w:rPr>
          <w:t>más de 10 millones</w:t>
        </w:r>
      </w:hyperlink>
      <w:r w:rsidRPr="000C4115">
        <w:t xml:space="preserve"> de euros en </w:t>
      </w:r>
      <w:r w:rsidRPr="00600136">
        <w:rPr>
          <w:rStyle w:val="Textoennegrita"/>
          <w:b w:val="0"/>
        </w:rPr>
        <w:t>subvenciones a CCOO y UGT</w:t>
      </w:r>
      <w:r w:rsidRPr="00600136">
        <w:rPr>
          <w:b/>
        </w:rPr>
        <w:t>.</w:t>
      </w:r>
      <w:r w:rsidRPr="000C4115">
        <w:t xml:space="preserve"> Las centrales sindicales recibieron estas part</w:t>
      </w:r>
      <w:r w:rsidR="000C4115">
        <w:t>idas por diferentes conceptos: “archivo documental”, “servicios lingüísticos”, “</w:t>
      </w:r>
      <w:r w:rsidRPr="000C4115">
        <w:t>impulso de la igualdad en la negociación col</w:t>
      </w:r>
      <w:r w:rsidR="000C4115">
        <w:t>ectiva”, “sección de jóvenes”</w:t>
      </w:r>
      <w:r w:rsidRPr="000C4115">
        <w:t xml:space="preserve">, etc. Pero el maná de dinero público también llegó a los medios de comunicación en catalán, que se repartieron </w:t>
      </w:r>
      <w:hyperlink r:id="rId477" w:history="1">
        <w:r w:rsidRPr="000C4115">
          <w:rPr>
            <w:rStyle w:val="Hipervnculo"/>
            <w:rFonts w:eastAsiaTheme="majorEastAsia"/>
            <w:color w:val="auto"/>
          </w:rPr>
          <w:t>más de 6 millones</w:t>
        </w:r>
      </w:hyperlink>
      <w:r w:rsidRPr="000C4115">
        <w:t xml:space="preserve"> de los contribuyentes.</w:t>
      </w:r>
    </w:p>
    <w:p w:rsidR="00757A10" w:rsidRPr="009159DA" w:rsidRDefault="00757A10" w:rsidP="00550638">
      <w:pPr>
        <w:pStyle w:val="NormalWeb"/>
        <w:jc w:val="both"/>
      </w:pPr>
      <w:r w:rsidRPr="000C4115">
        <w:t xml:space="preserve">- La Junta de </w:t>
      </w:r>
      <w:r w:rsidRPr="00600136">
        <w:rPr>
          <w:rStyle w:val="Textoennegrita"/>
          <w:b w:val="0"/>
        </w:rPr>
        <w:t>Andalucía</w:t>
      </w:r>
      <w:r w:rsidRPr="000C4115">
        <w:rPr>
          <w:rStyle w:val="Textoennegrita"/>
        </w:rPr>
        <w:t xml:space="preserve"> </w:t>
      </w:r>
      <w:r w:rsidR="000C4115" w:rsidRPr="000C4115">
        <w:rPr>
          <w:rFonts w:eastAsiaTheme="majorEastAsia"/>
        </w:rPr>
        <w:t>mantiene 36 “</w:t>
      </w:r>
      <w:r w:rsidR="000C4115">
        <w:rPr>
          <w:rFonts w:eastAsiaTheme="majorEastAsia"/>
        </w:rPr>
        <w:t>observatorios</w:t>
      </w:r>
      <w:r w:rsidR="000C4115">
        <w:t>”</w:t>
      </w:r>
      <w:r w:rsidRPr="000C4115">
        <w:t xml:space="preserve"> que se niega a eliminar. Estos </w:t>
      </w:r>
      <w:r w:rsidRPr="009159DA">
        <w:t>entes públicos se dedican a aspectos muy variados: flamenco, drogas y adicciones, publicidad no sexista, participación ciudadana, calidad de vida de los andaluces, lectura…</w:t>
      </w:r>
    </w:p>
    <w:p w:rsidR="00757A10" w:rsidRPr="000C4115" w:rsidRDefault="00757A10" w:rsidP="00550638">
      <w:pPr>
        <w:pStyle w:val="NormalWeb"/>
        <w:jc w:val="both"/>
      </w:pPr>
      <w:r w:rsidRPr="009159DA">
        <w:t xml:space="preserve">- Las Comunidades Autónomas </w:t>
      </w:r>
      <w:hyperlink r:id="rId478" w:history="1">
        <w:r w:rsidRPr="000C4115">
          <w:rPr>
            <w:rStyle w:val="Hipervnculo"/>
            <w:rFonts w:eastAsiaTheme="majorEastAsia"/>
            <w:color w:val="auto"/>
          </w:rPr>
          <w:t xml:space="preserve">siguen manteniendo </w:t>
        </w:r>
        <w:r w:rsidRPr="00600136">
          <w:rPr>
            <w:rStyle w:val="Textoennegrita"/>
            <w:b w:val="0"/>
            <w:u w:val="single"/>
          </w:rPr>
          <w:t>149</w:t>
        </w:r>
        <w:r w:rsidRPr="000C4115">
          <w:rPr>
            <w:rStyle w:val="Textoennegrita"/>
            <w:u w:val="single"/>
          </w:rPr>
          <w:t xml:space="preserve"> </w:t>
        </w:r>
        <w:r w:rsidR="007C55D9">
          <w:rPr>
            <w:rStyle w:val="Textoennegrita"/>
            <w:u w:val="single"/>
          </w:rPr>
          <w:t>“</w:t>
        </w:r>
        <w:r w:rsidRPr="007C55D9">
          <w:rPr>
            <w:rStyle w:val="nfasis"/>
            <w:i w:val="0"/>
            <w:u w:val="single"/>
          </w:rPr>
          <w:t>embajaditas</w:t>
        </w:r>
      </w:hyperlink>
      <w:r w:rsidR="007C55D9">
        <w:rPr>
          <w:rStyle w:val="nfasis"/>
          <w:i w:val="0"/>
          <w:u w:val="single"/>
        </w:rPr>
        <w:t>”</w:t>
      </w:r>
      <w:r w:rsidRPr="000C4115">
        <w:t xml:space="preserve"> frente a las 118 embajadas del gobierno central. El gasto anual de estas </w:t>
      </w:r>
      <w:r w:rsidR="007C55D9">
        <w:t>“</w:t>
      </w:r>
      <w:r w:rsidRPr="007C55D9">
        <w:rPr>
          <w:rStyle w:val="nfasis"/>
          <w:i w:val="0"/>
        </w:rPr>
        <w:t>embajaditas</w:t>
      </w:r>
      <w:r w:rsidR="007C55D9">
        <w:rPr>
          <w:rStyle w:val="nfasis"/>
          <w:i w:val="0"/>
        </w:rPr>
        <w:t>”</w:t>
      </w:r>
      <w:r w:rsidRPr="000C4115">
        <w:rPr>
          <w:rStyle w:val="nfasis"/>
        </w:rPr>
        <w:t xml:space="preserve"> </w:t>
      </w:r>
      <w:r w:rsidRPr="000C4115">
        <w:t>supera los 150</w:t>
      </w:r>
      <w:r w:rsidR="000C4115">
        <w:t xml:space="preserve"> millones. Según el Ejecutivo, “</w:t>
      </w:r>
      <w:r w:rsidRPr="000C4115">
        <w:t>al menos 25 de las oficinas existen</w:t>
      </w:r>
      <w:r w:rsidR="000C4115">
        <w:t>tes responden a fines políticos”</w:t>
      </w:r>
      <w:r w:rsidRPr="000C4115">
        <w:t>. Regiones como Cataluña y País Vasco se han negado tajantemente a integrar estas oficinas en la red nacional.</w:t>
      </w:r>
    </w:p>
    <w:p w:rsidR="00757A10" w:rsidRPr="000C4115" w:rsidRDefault="00757A10" w:rsidP="00550638">
      <w:pPr>
        <w:pStyle w:val="NormalWeb"/>
        <w:jc w:val="both"/>
      </w:pPr>
      <w:r w:rsidRPr="000C4115">
        <w:t xml:space="preserve">- El Gobierno creará </w:t>
      </w:r>
      <w:hyperlink r:id="rId479" w:history="1">
        <w:r w:rsidRPr="000C4115">
          <w:rPr>
            <w:rStyle w:val="Hipervnculo"/>
            <w:rFonts w:eastAsiaTheme="majorEastAsia"/>
            <w:color w:val="auto"/>
          </w:rPr>
          <w:t>un sinfín de comités</w:t>
        </w:r>
      </w:hyperlink>
      <w:r w:rsidRPr="000C4115">
        <w:t xml:space="preserve"> para limitar las duplicidades autonómicas. Aunque el gabinet</w:t>
      </w:r>
      <w:r w:rsidR="000C4115">
        <w:t>e de Rajoy pretende reducir la “grasa”</w:t>
      </w:r>
      <w:r w:rsidRPr="000C4115">
        <w:t xml:space="preserve"> del Estado, la supervisión de su propuesta de reforma de las Administraciones Públicas llama a la creación de decenas de comisiones y organismos.</w:t>
      </w:r>
    </w:p>
    <w:p w:rsidR="00757A10" w:rsidRPr="000C4115" w:rsidRDefault="00757A10" w:rsidP="00550638">
      <w:pPr>
        <w:pStyle w:val="NormalWeb"/>
        <w:jc w:val="both"/>
      </w:pPr>
      <w:r w:rsidRPr="000C4115">
        <w:lastRenderedPageBreak/>
        <w:t>- El último estudio de Transparencia Internacional ha detectado</w:t>
      </w:r>
      <w:r w:rsidRPr="000C4115">
        <w:rPr>
          <w:rStyle w:val="Textoennegrita"/>
        </w:rPr>
        <w:t xml:space="preserve"> </w:t>
      </w:r>
      <w:hyperlink r:id="rId480" w:history="1">
        <w:r w:rsidRPr="000C4115">
          <w:rPr>
            <w:rStyle w:val="Hipervnculo"/>
            <w:rFonts w:eastAsiaTheme="majorEastAsia"/>
            <w:color w:val="auto"/>
          </w:rPr>
          <w:t>más de 21.000</w:t>
        </w:r>
      </w:hyperlink>
      <w:r w:rsidRPr="000C4115">
        <w:rPr>
          <w:rStyle w:val="Textoennegrita"/>
        </w:rPr>
        <w:t xml:space="preserve"> </w:t>
      </w:r>
      <w:r w:rsidRPr="00600136">
        <w:rPr>
          <w:rStyle w:val="Textoennegrita"/>
          <w:b w:val="0"/>
        </w:rPr>
        <w:t>entidades públicas</w:t>
      </w:r>
      <w:r w:rsidRPr="000C4115">
        <w:t xml:space="preserve"> en España. La cifra incluye alrededor de 3.000 sociedades mercantiles, más de 1.700 consorcios, 1.400 organismos autónomos administrativos o 3.700 entes municipales...</w:t>
      </w:r>
    </w:p>
    <w:p w:rsidR="00757A10" w:rsidRPr="000C4115" w:rsidRDefault="00757A10" w:rsidP="00550638">
      <w:pPr>
        <w:pStyle w:val="NormalWeb"/>
        <w:jc w:val="both"/>
      </w:pPr>
      <w:r w:rsidRPr="000C4115">
        <w:t xml:space="preserve">- En 2012, </w:t>
      </w:r>
      <w:r w:rsidRPr="00600136">
        <w:rPr>
          <w:rStyle w:val="Textoennegrita"/>
          <w:b w:val="0"/>
        </w:rPr>
        <w:t>RTVE dejó pérdidas de 105 millones</w:t>
      </w:r>
      <w:r w:rsidRPr="000C4115">
        <w:rPr>
          <w:rStyle w:val="Textoennegrita"/>
        </w:rPr>
        <w:t xml:space="preserve"> </w:t>
      </w:r>
      <w:r w:rsidRPr="000C4115">
        <w:t xml:space="preserve">a pesar de recibir alrededor de 950 millones de euros de los Presupuestos. Semejante cuadro no ha impedido que el ente siga gastando </w:t>
      </w:r>
      <w:hyperlink r:id="rId481" w:history="1">
        <w:r w:rsidRPr="000C4115">
          <w:rPr>
            <w:rStyle w:val="Hipervnculo"/>
            <w:rFonts w:eastAsiaTheme="majorEastAsia"/>
            <w:color w:val="auto"/>
          </w:rPr>
          <w:t>21,5 millones</w:t>
        </w:r>
      </w:hyperlink>
      <w:r w:rsidRPr="000C4115">
        <w:t xml:space="preserve"> de euros al año en su servicio de comidas. Por otro lado, cabe señalar que TVE-1 ha perdido el </w:t>
      </w:r>
      <w:hyperlink r:id="rId482" w:history="1">
        <w:r w:rsidRPr="000C4115">
          <w:rPr>
            <w:rStyle w:val="Hipervnculo"/>
            <w:rFonts w:eastAsiaTheme="majorEastAsia"/>
            <w:color w:val="auto"/>
          </w:rPr>
          <w:t>40% de su audiencia</w:t>
        </w:r>
      </w:hyperlink>
      <w:r w:rsidRPr="000C4115">
        <w:t xml:space="preserve"> desde que la Administración Zapatero eliminó la publicidad. Además, vale la pena recordar que presentadores estrella como Jordi Hurtado, Mariló Montero, Anne Igartiburu o Concha Velasco </w:t>
      </w:r>
      <w:hyperlink r:id="rId483" w:anchor=".Ucqbi9hr3Nf" w:history="1">
        <w:r w:rsidRPr="000C4115">
          <w:rPr>
            <w:rStyle w:val="Hipervnculo"/>
            <w:rFonts w:eastAsiaTheme="majorEastAsia"/>
            <w:color w:val="auto"/>
          </w:rPr>
          <w:t>se embolsan anualmente</w:t>
        </w:r>
      </w:hyperlink>
      <w:r w:rsidRPr="000C4115">
        <w:t xml:space="preserve"> 130.000, 499.000, 300.000 y 107.000 euros, respectivamente.</w:t>
      </w:r>
    </w:p>
    <w:p w:rsidR="00757A10" w:rsidRPr="000C4115" w:rsidRDefault="00757A10" w:rsidP="00550638">
      <w:pPr>
        <w:pStyle w:val="NormalWeb"/>
        <w:jc w:val="both"/>
      </w:pPr>
      <w:r w:rsidRPr="000C4115">
        <w:t xml:space="preserve">- Zapatero pagó </w:t>
      </w:r>
      <w:hyperlink r:id="rId484" w:anchor=".UchG3geoVps.twitter" w:history="1">
        <w:r w:rsidRPr="000C4115">
          <w:rPr>
            <w:rStyle w:val="Hipervnculo"/>
            <w:rFonts w:eastAsiaTheme="majorEastAsia"/>
            <w:color w:val="auto"/>
          </w:rPr>
          <w:t>234 millones de más</w:t>
        </w:r>
      </w:hyperlink>
      <w:r w:rsidRPr="000C4115">
        <w:t xml:space="preserve"> a pensionistas. La falta de control de los complementos a mínimos afectó a 124.522 jubilados entre los años 2009 y 2010. Ahora, esas pensiones deberán ser devueltas.</w:t>
      </w:r>
    </w:p>
    <w:p w:rsidR="00757A10" w:rsidRPr="000C4115" w:rsidRDefault="00757A10" w:rsidP="00550638">
      <w:pPr>
        <w:pStyle w:val="NormalWeb"/>
        <w:jc w:val="both"/>
      </w:pPr>
      <w:r w:rsidRPr="000C4115">
        <w:t xml:space="preserve">- La Junta de </w:t>
      </w:r>
      <w:r w:rsidRPr="00600136">
        <w:rPr>
          <w:rStyle w:val="Textoennegrita"/>
          <w:b w:val="0"/>
        </w:rPr>
        <w:t>Andalucía</w:t>
      </w:r>
      <w:r w:rsidRPr="000C4115">
        <w:rPr>
          <w:rStyle w:val="Textoennegrita"/>
        </w:rPr>
        <w:t xml:space="preserve"> </w:t>
      </w:r>
      <w:hyperlink r:id="rId485" w:history="1">
        <w:r w:rsidRPr="000C4115">
          <w:rPr>
            <w:rStyle w:val="nfasis"/>
            <w:u w:val="single"/>
          </w:rPr>
          <w:t>coló</w:t>
        </w:r>
        <w:r w:rsidRPr="000C4115">
          <w:rPr>
            <w:rStyle w:val="Hipervnculo"/>
            <w:rFonts w:eastAsiaTheme="majorEastAsia"/>
            <w:color w:val="auto"/>
          </w:rPr>
          <w:t xml:space="preserve"> a 1.821 empleados</w:t>
        </w:r>
      </w:hyperlink>
      <w:r w:rsidRPr="000C4115">
        <w:rPr>
          <w:rStyle w:val="Textoennegrita"/>
        </w:rPr>
        <w:t xml:space="preserve"> </w:t>
      </w:r>
      <w:r w:rsidRPr="00600136">
        <w:rPr>
          <w:rStyle w:val="Textoennegrita"/>
          <w:b w:val="0"/>
        </w:rPr>
        <w:t>nuevos</w:t>
      </w:r>
      <w:r w:rsidR="000C4115">
        <w:t xml:space="preserve"> con la llamada “Ley del enchufismo”</w:t>
      </w:r>
      <w:r w:rsidRPr="000C4115">
        <w:t xml:space="preserve">. La Cámara de Cuentas ha revelado que el Ejecutivo regional andaluz engordó la plantilla de sus empresas públicas a través de un supuesto plan de reordenación. En total, se estima que Andalucía mantiene a </w:t>
      </w:r>
      <w:r w:rsidR="000C4115" w:rsidRPr="000C4115">
        <w:rPr>
          <w:rFonts w:eastAsiaTheme="majorEastAsia"/>
        </w:rPr>
        <w:t>más de 30.000 “</w:t>
      </w:r>
      <w:r w:rsidR="000C4115">
        <w:rPr>
          <w:rFonts w:eastAsiaTheme="majorEastAsia"/>
        </w:rPr>
        <w:t>enchufados”</w:t>
      </w:r>
      <w:r w:rsidRPr="000C4115">
        <w:t xml:space="preserve"> en las diferentes instancias de su Administración.</w:t>
      </w:r>
    </w:p>
    <w:p w:rsidR="00757A10" w:rsidRPr="000C4115" w:rsidRDefault="00757A10" w:rsidP="00550638">
      <w:pPr>
        <w:pStyle w:val="NormalWeb"/>
        <w:jc w:val="both"/>
      </w:pPr>
      <w:r w:rsidRPr="000C4115">
        <w:t xml:space="preserve">- La </w:t>
      </w:r>
      <w:r w:rsidRPr="00600136">
        <w:rPr>
          <w:rStyle w:val="Textoennegrita"/>
          <w:b w:val="0"/>
        </w:rPr>
        <w:t>Fundación del Teatro Real</w:t>
      </w:r>
      <w:r w:rsidRPr="000C4115">
        <w:rPr>
          <w:rStyle w:val="Textoennegrita"/>
        </w:rPr>
        <w:t xml:space="preserve"> </w:t>
      </w:r>
      <w:r w:rsidRPr="000C4115">
        <w:t xml:space="preserve">de Madrid registró un </w:t>
      </w:r>
      <w:hyperlink r:id="rId486" w:anchor=".Ucnh8zQqPPI.twitter" w:history="1">
        <w:r w:rsidRPr="000C4115">
          <w:rPr>
            <w:rStyle w:val="Hipervnculo"/>
            <w:rFonts w:eastAsiaTheme="majorEastAsia"/>
            <w:color w:val="auto"/>
          </w:rPr>
          <w:t>déficit de 2,4 millones</w:t>
        </w:r>
      </w:hyperlink>
      <w:r w:rsidRPr="000C4115">
        <w:t xml:space="preserve"> de euros en 2011, tal y como se desprende de la Memoria de Cuentas Anuales publicada en el Boletín Oficial del Estado.</w:t>
      </w:r>
    </w:p>
    <w:p w:rsidR="00757A10" w:rsidRPr="000C4115" w:rsidRDefault="000C4115" w:rsidP="00550638">
      <w:pPr>
        <w:pStyle w:val="Ttulo3"/>
        <w:spacing w:line="240" w:lineRule="auto"/>
        <w:jc w:val="both"/>
        <w:rPr>
          <w:rFonts w:ascii="Times New Roman" w:hAnsi="Times New Roman" w:cs="Times New Roman"/>
          <w:b w:val="0"/>
          <w:color w:val="auto"/>
          <w:sz w:val="24"/>
          <w:szCs w:val="24"/>
        </w:rPr>
      </w:pPr>
      <w:r w:rsidRPr="000C4115">
        <w:rPr>
          <w:rFonts w:ascii="Times New Roman" w:hAnsi="Times New Roman" w:cs="Times New Roman"/>
          <w:b w:val="0"/>
          <w:color w:val="auto"/>
          <w:sz w:val="24"/>
          <w:szCs w:val="24"/>
        </w:rPr>
        <w:t>La “austeridad”</w:t>
      </w:r>
      <w:r w:rsidR="00757A10" w:rsidRPr="000C4115">
        <w:rPr>
          <w:rFonts w:ascii="Times New Roman" w:hAnsi="Times New Roman" w:cs="Times New Roman"/>
          <w:b w:val="0"/>
          <w:color w:val="auto"/>
          <w:sz w:val="24"/>
          <w:szCs w:val="24"/>
        </w:rPr>
        <w:t xml:space="preserve"> según Rajoy y Montoro</w:t>
      </w:r>
    </w:p>
    <w:p w:rsidR="00757A10" w:rsidRPr="000C4115" w:rsidRDefault="00757A10" w:rsidP="00550638">
      <w:pPr>
        <w:pStyle w:val="NormalWeb"/>
        <w:jc w:val="both"/>
      </w:pPr>
      <w:r w:rsidRPr="000C4115">
        <w:t xml:space="preserve">El gobierno de España ha argumentado falsamente que el gasto público es del 43% del PIB cuando este indicador </w:t>
      </w:r>
      <w:hyperlink r:id="rId487" w:history="1">
        <w:r w:rsidRPr="000C4115">
          <w:rPr>
            <w:rStyle w:val="Hipervnculo"/>
            <w:rFonts w:eastAsiaTheme="majorEastAsia"/>
            <w:color w:val="auto"/>
          </w:rPr>
          <w:t>alcanzó el 47% en 2012</w:t>
        </w:r>
      </w:hyperlink>
      <w:r w:rsidRPr="000C4115">
        <w:t>, de acuerdo con Eurostat. Por mucho que los Ejecutivos de Zapatero y Rajoy ha</w:t>
      </w:r>
      <w:r w:rsidR="000C4115">
        <w:t>yan hablado recurrentemente de “austeridad”</w:t>
      </w:r>
      <w:r w:rsidRPr="000C4115">
        <w:t>, lo cierto es que este indicador ha crecido en casi 8 puntos del PIB desde que comenzó la crisis, pasando del 39% del PIB en 2007 al 47% en 2012.</w:t>
      </w:r>
    </w:p>
    <w:p w:rsidR="00757A10" w:rsidRPr="000C4115" w:rsidRDefault="00757A10" w:rsidP="00550638">
      <w:pPr>
        <w:pStyle w:val="NormalWeb"/>
        <w:jc w:val="both"/>
      </w:pPr>
      <w:r w:rsidRPr="000C4115">
        <w:t xml:space="preserve">Analizando estos datos con el año 2000 como referencia, comprobamos que el tamaño del sector público español </w:t>
      </w:r>
      <w:hyperlink r:id="rId488" w:tgtFrame="_blank" w:history="1">
        <w:r w:rsidRPr="000C4115">
          <w:rPr>
            <w:rStyle w:val="Hipervnculo"/>
            <w:rFonts w:eastAsiaTheme="majorEastAsia"/>
            <w:color w:val="auto"/>
          </w:rPr>
          <w:t>se ha disparado un 45%</w:t>
        </w:r>
      </w:hyperlink>
      <w:r w:rsidRPr="000C4115">
        <w:t xml:space="preserve">, frente a la media del 20% que ha registrado la Unión Europea. De hecho, comparando 2007 y 2012, comprobamos que la recaudación </w:t>
      </w:r>
      <w:hyperlink r:id="rId489" w:history="1">
        <w:r w:rsidRPr="000C4115">
          <w:rPr>
            <w:rStyle w:val="Hipervnculo"/>
            <w:rFonts w:eastAsiaTheme="majorEastAsia"/>
            <w:color w:val="auto"/>
          </w:rPr>
          <w:t>ha caído en 51.000 millones</w:t>
        </w:r>
      </w:hyperlink>
      <w:r w:rsidRPr="000C4115">
        <w:t xml:space="preserve">, pero el gasto </w:t>
      </w:r>
      <w:hyperlink r:id="rId490" w:history="1">
        <w:r w:rsidRPr="000C4115">
          <w:rPr>
            <w:rStyle w:val="Hipervnculo"/>
            <w:rFonts w:eastAsiaTheme="majorEastAsia"/>
            <w:color w:val="auto"/>
          </w:rPr>
          <w:t>ha crecido en 81.000</w:t>
        </w:r>
      </w:hyperlink>
      <w:r w:rsidRPr="000C4115">
        <w:t>.</w:t>
      </w:r>
    </w:p>
    <w:p w:rsidR="00757A10" w:rsidRPr="000C4115" w:rsidRDefault="00757A10" w:rsidP="00550638">
      <w:pPr>
        <w:pStyle w:val="NormalWeb"/>
        <w:jc w:val="both"/>
      </w:pPr>
      <w:r w:rsidRPr="000C4115">
        <w:t xml:space="preserve">Semejantes datos </w:t>
      </w:r>
      <w:r w:rsidR="000C4115" w:rsidRPr="000C4115">
        <w:rPr>
          <w:rFonts w:eastAsiaTheme="majorEastAsia"/>
        </w:rPr>
        <w:t>desmontan la tesis del “</w:t>
      </w:r>
      <w:r w:rsidR="00D44948">
        <w:rPr>
          <w:rFonts w:eastAsiaTheme="majorEastAsia"/>
        </w:rPr>
        <w:t>austericidio</w:t>
      </w:r>
      <w:r w:rsidR="000C4115">
        <w:t>”</w:t>
      </w:r>
      <w:r w:rsidRPr="000C4115">
        <w:t xml:space="preserve"> que argumentan los partidarios de aumentar el tamaño del Estado, pero aún hay más. Como ha explicado </w:t>
      </w:r>
      <w:r w:rsidRPr="00600136">
        <w:rPr>
          <w:rStyle w:val="Textoennegrita"/>
          <w:b w:val="0"/>
        </w:rPr>
        <w:t>Libre Mercado</w:t>
      </w:r>
      <w:r w:rsidRPr="000C4115">
        <w:t xml:space="preserve">, las Administraciones Públicas gastaron en 2012 casi un 30% más de lo que ingresaron por la vía fiscal. Además, el déficit final para 2012 fue </w:t>
      </w:r>
      <w:hyperlink r:id="rId491" w:history="1">
        <w:r w:rsidRPr="000C4115">
          <w:rPr>
            <w:rStyle w:val="Hipervnculo"/>
            <w:rFonts w:eastAsiaTheme="majorEastAsia"/>
            <w:color w:val="auto"/>
          </w:rPr>
          <w:t>el segundo mayor de la historia</w:t>
        </w:r>
      </w:hyperlink>
      <w:r w:rsidRPr="000C4115">
        <w:t xml:space="preserve"> de España, alcanzando el 10,6% del PIB.</w:t>
      </w:r>
    </w:p>
    <w:p w:rsidR="00757A10" w:rsidRPr="000C4115" w:rsidRDefault="00757A10" w:rsidP="00550638">
      <w:pPr>
        <w:pStyle w:val="NormalWeb"/>
        <w:jc w:val="both"/>
      </w:pPr>
      <w:r w:rsidRPr="000C4115">
        <w:t>Excluyendo las ayudas financieras, algo que viola los principios de con</w:t>
      </w:r>
      <w:r w:rsidR="00D44948">
        <w:t>tabilidad de Eurostat y de la</w:t>
      </w:r>
      <w:r w:rsidRPr="000C4115">
        <w:t xml:space="preserve"> Intervención General del Estado, el Gobierno argumenta que el déficit bajó del 9% al 7%. Este ajuste, de unos 22.000 millones, se abordó en un </w:t>
      </w:r>
      <w:r w:rsidRPr="00600136">
        <w:rPr>
          <w:rStyle w:val="Textoennegrita"/>
          <w:b w:val="0"/>
        </w:rPr>
        <w:t>70% por la vía de la reducción de la inversión</w:t>
      </w:r>
      <w:r w:rsidRPr="00600136">
        <w:rPr>
          <w:b/>
        </w:rPr>
        <w:t>,</w:t>
      </w:r>
      <w:r w:rsidRPr="000C4115">
        <w:t xml:space="preserve"> el </w:t>
      </w:r>
      <w:r w:rsidR="009E6042">
        <w:t>“</w:t>
      </w:r>
      <w:r w:rsidRPr="009E6042">
        <w:rPr>
          <w:rStyle w:val="nfasis"/>
          <w:i w:val="0"/>
        </w:rPr>
        <w:t>tijeretazo</w:t>
      </w:r>
      <w:r w:rsidR="009E6042">
        <w:rPr>
          <w:rStyle w:val="nfasis"/>
          <w:i w:val="0"/>
        </w:rPr>
        <w:t>”</w:t>
      </w:r>
      <w:r w:rsidRPr="000C4115">
        <w:t xml:space="preserve"> más fácil e inefectivo de todos.</w:t>
      </w:r>
    </w:p>
    <w:p w:rsidR="003E7174" w:rsidRDefault="003E7174" w:rsidP="00550638">
      <w:pPr>
        <w:pStyle w:val="NormalWeb"/>
        <w:jc w:val="both"/>
      </w:pPr>
      <w:r>
        <w:lastRenderedPageBreak/>
        <w:t xml:space="preserve">- </w:t>
      </w:r>
      <w:r w:rsidRPr="004F414C">
        <w:rPr>
          <w:u w:val="single"/>
        </w:rPr>
        <w:t>La CNC acusa: 4 de cada 10 hospitales se han privatizado tras una sola oferta</w:t>
      </w:r>
      <w:r>
        <w:t xml:space="preserve"> (El Confidencial - </w:t>
      </w:r>
      <w:r w:rsidRPr="004F414C">
        <w:rPr>
          <w:b/>
        </w:rPr>
        <w:t>3/10/13</w:t>
      </w:r>
      <w:r>
        <w:t>)</w:t>
      </w:r>
    </w:p>
    <w:p w:rsidR="003E7174" w:rsidRDefault="003E7174" w:rsidP="00550638">
      <w:pPr>
        <w:pStyle w:val="NormalWeb"/>
        <w:jc w:val="both"/>
      </w:pPr>
      <w:r>
        <w:t>(Por Ana I. García)                                                                            Lectura recomendada</w:t>
      </w:r>
    </w:p>
    <w:p w:rsidR="003E7174" w:rsidRPr="00600136" w:rsidRDefault="003E7174" w:rsidP="00550638">
      <w:pPr>
        <w:spacing w:before="100" w:beforeAutospacing="1" w:after="100" w:afterAutospacing="1" w:line="240" w:lineRule="auto"/>
        <w:jc w:val="both"/>
        <w:rPr>
          <w:rFonts w:ascii="Times New Roman" w:eastAsia="Times New Roman" w:hAnsi="Times New Roman" w:cs="Times New Roman"/>
          <w:sz w:val="24"/>
          <w:szCs w:val="24"/>
        </w:rPr>
      </w:pPr>
      <w:r w:rsidRPr="00600136">
        <w:rPr>
          <w:rFonts w:ascii="Times New Roman" w:eastAsia="Times New Roman" w:hAnsi="Times New Roman" w:cs="Times New Roman"/>
          <w:bCs/>
          <w:sz w:val="24"/>
          <w:szCs w:val="24"/>
        </w:rPr>
        <w:t>Pujas fantasma, contratos “excesivamente” largos; una participación “alarmantemente” reducida de empresas</w:t>
      </w:r>
      <w:r w:rsidRPr="004F414C">
        <w:rPr>
          <w:rFonts w:ascii="Times New Roman" w:eastAsia="Times New Roman" w:hAnsi="Times New Roman" w:cs="Times New Roman"/>
          <w:sz w:val="24"/>
          <w:szCs w:val="24"/>
        </w:rPr>
        <w:t xml:space="preserve">... La Comisión Nacional de la Competencia (CNC) ha presentado un informe que deja en muy mal lugar el proceso puesto en marcha por aquellas  autonomías que han privatizado la gestión de algún hospital público de su territorio. De los 43 centros hospitalarios privatizados en España, 17 pasaron a manos privadas tras pujar una única empresa. En el informe, que no recoge los datos de Andalucía porque se negó a facilitar la información, el resultado es demoledor: </w:t>
      </w:r>
      <w:r w:rsidRPr="00600136">
        <w:rPr>
          <w:rFonts w:ascii="Times New Roman" w:eastAsia="Times New Roman" w:hAnsi="Times New Roman" w:cs="Times New Roman"/>
          <w:bCs/>
          <w:sz w:val="24"/>
          <w:szCs w:val="24"/>
        </w:rPr>
        <w:t>hay importantes deficiencias en el proceso que “habría que corregir en el futuro”.</w:t>
      </w:r>
    </w:p>
    <w:p w:rsidR="003E7174" w:rsidRPr="004F414C" w:rsidRDefault="00204FBF"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Desde que Valencia aplicó el “modelo Alzira”</w:t>
      </w:r>
      <w:r w:rsidR="003E7174" w:rsidRPr="004F414C">
        <w:rPr>
          <w:rFonts w:ascii="Times New Roman" w:eastAsia="Times New Roman" w:hAnsi="Times New Roman" w:cs="Times New Roman"/>
          <w:sz w:val="24"/>
          <w:szCs w:val="24"/>
        </w:rPr>
        <w:t>, el primer hospital  público cuya gestión pasó a manos privadas, siete autonomías han copiado el ejemplo para intentar cortar la hemorragia que les supone mantener el gasto sanitario. En la Comunidad Valenciana, los hospitales públicos que han externalizado la gestión integral son seis, y cinco de ellos fueron traspasados con una única oferta sobre la mesa.  </w:t>
      </w:r>
    </w:p>
    <w:p w:rsidR="003E7174" w:rsidRDefault="003E7174" w:rsidP="00550638">
      <w:pPr>
        <w:pStyle w:val="NormalWeb"/>
      </w:pPr>
      <w:r>
        <w:rPr>
          <w:noProof/>
        </w:rPr>
        <w:drawing>
          <wp:inline distT="0" distB="0" distL="0" distR="0" wp14:anchorId="3535D2B9" wp14:editId="6CE1DB52">
            <wp:extent cx="5390701" cy="2545689"/>
            <wp:effectExtent l="0" t="0" r="635" b="762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2">
                      <a:extLst>
                        <a:ext uri="{28A0092B-C50C-407E-A947-70E740481C1C}">
                          <a14:useLocalDpi xmlns:a14="http://schemas.microsoft.com/office/drawing/2010/main" val="0"/>
                        </a:ext>
                      </a:extLst>
                    </a:blip>
                    <a:srcRect/>
                    <a:stretch>
                      <a:fillRect/>
                    </a:stretch>
                  </pic:blipFill>
                  <pic:spPr bwMode="auto">
                    <a:xfrm>
                      <a:off x="0" y="0"/>
                      <a:ext cx="5391150" cy="2545901"/>
                    </a:xfrm>
                    <a:prstGeom prst="rect">
                      <a:avLst/>
                    </a:prstGeom>
                    <a:noFill/>
                    <a:ln>
                      <a:noFill/>
                    </a:ln>
                  </pic:spPr>
                </pic:pic>
              </a:graphicData>
            </a:graphic>
          </wp:inline>
        </w:drawing>
      </w:r>
    </w:p>
    <w:p w:rsidR="003E7174" w:rsidRDefault="003E7174" w:rsidP="00550638">
      <w:pPr>
        <w:pStyle w:val="NormalWeb"/>
        <w:jc w:val="both"/>
      </w:pPr>
      <w:r>
        <w:t>La primera región que copió a Valencia fue Madrid, que ya cuenta con ocho hospitales en manos privadas. Los últimos seis centros que pretendía ceder a alguna compañía está en estos momentos paralizado en</w:t>
      </w:r>
      <w:hyperlink r:id="rId493" w:history="1">
        <w:r w:rsidRPr="003E7174">
          <w:rPr>
            <w:rStyle w:val="Hipervnculo"/>
            <w:rFonts w:eastAsiaTheme="majorEastAsia"/>
            <w:color w:val="auto"/>
          </w:rPr>
          <w:t xml:space="preserve"> un proceso judicial que se antoja largo</w:t>
        </w:r>
      </w:hyperlink>
      <w:r w:rsidRPr="003E7174">
        <w:t>.</w:t>
      </w:r>
      <w:r>
        <w:t xml:space="preserve"> El organismo critica duramente que se subastaran en cinco lotes, “algunos con un tamaño relativamente parecido entre sí”. </w:t>
      </w:r>
    </w:p>
    <w:p w:rsidR="003E7174" w:rsidRDefault="003E7174" w:rsidP="00550638">
      <w:pPr>
        <w:pStyle w:val="NormalWeb"/>
        <w:jc w:val="both"/>
      </w:pPr>
      <w:r>
        <w:t>Competencia reconoce que</w:t>
      </w:r>
      <w:r>
        <w:rPr>
          <w:rStyle w:val="Textoennegrita"/>
        </w:rPr>
        <w:t xml:space="preserve"> </w:t>
      </w:r>
      <w:r w:rsidRPr="00600136">
        <w:rPr>
          <w:rStyle w:val="Textoennegrita"/>
          <w:b w:val="0"/>
        </w:rPr>
        <w:t>habría sido preferible “haber separado temporalmente las licitaciones” y diseñar “lotes más asimétricos en cada licitación”</w:t>
      </w:r>
      <w:r>
        <w:t xml:space="preserve"> para evitar que se otorgue una fuerte ventaja al gestor frente a sus potenciales rivales. En Madrid, siete hospi</w:t>
      </w:r>
      <w:r w:rsidR="00EE2B60">
        <w:t>tales de los 15 externalizados -</w:t>
      </w:r>
      <w:r>
        <w:t>o en proceso- recibieron la oferta de una única empresa.</w:t>
      </w:r>
    </w:p>
    <w:p w:rsidR="003E7174" w:rsidRDefault="003E7174" w:rsidP="00550638">
      <w:pPr>
        <w:pStyle w:val="NormalWeb"/>
        <w:jc w:val="both"/>
      </w:pPr>
      <w:r>
        <w:t xml:space="preserve">En La Rioja, los dos únicos hospitales privatizados los gestiona el mismo centro, mientras que en Navarra únicamente se presentaron dos empresas para dirigir los dos hospitales públicos que sufrieron la </w:t>
      </w:r>
      <w:r w:rsidR="007C55D9">
        <w:t>“</w:t>
      </w:r>
      <w:r w:rsidRPr="007C55D9">
        <w:rPr>
          <w:rStyle w:val="nfasis"/>
          <w:rFonts w:eastAsiaTheme="majorEastAsia"/>
          <w:i w:val="0"/>
        </w:rPr>
        <w:t>metamorfosis</w:t>
      </w:r>
      <w:r w:rsidR="007C55D9">
        <w:rPr>
          <w:rStyle w:val="nfasis"/>
          <w:rFonts w:eastAsiaTheme="majorEastAsia"/>
          <w:i w:val="0"/>
        </w:rPr>
        <w:t>”</w:t>
      </w:r>
      <w:r>
        <w:t xml:space="preserve">. </w:t>
      </w:r>
      <w:r w:rsidRPr="00600136">
        <w:rPr>
          <w:rStyle w:val="Textoennegrita"/>
          <w:b w:val="0"/>
        </w:rPr>
        <w:t xml:space="preserve">En Cataluña se han traspasado los </w:t>
      </w:r>
      <w:r w:rsidRPr="00600136">
        <w:rPr>
          <w:rStyle w:val="Textoennegrita"/>
          <w:b w:val="0"/>
        </w:rPr>
        <w:lastRenderedPageBreak/>
        <w:t>poderes de tres hospitales a empresas.</w:t>
      </w:r>
      <w:r w:rsidRPr="00600136">
        <w:rPr>
          <w:b/>
        </w:rPr>
        <w:t xml:space="preserve"> </w:t>
      </w:r>
      <w:r>
        <w:t>Por dos de ellos únicamente hubo una única puja; por el Hospital Jaume Nadal Meroles se interesaron dos compañías.   </w:t>
      </w:r>
    </w:p>
    <w:p w:rsidR="003E7174" w:rsidRDefault="003E7174" w:rsidP="00550638">
      <w:pPr>
        <w:pStyle w:val="NormalWeb"/>
        <w:jc w:val="both"/>
      </w:pPr>
      <w:r>
        <w:t>Islas Baleares es la única región que evaluó al menos dos ofertas en cada uno de los catorce procesos que abrió y el hospital Universitario de Burgos, el único en Castilla y León externalizado, estudió ocho ofertas antes de cedérsela a una compañía.   </w:t>
      </w:r>
    </w:p>
    <w:p w:rsidR="003E7174" w:rsidRPr="003E7174" w:rsidRDefault="003E7174" w:rsidP="00550638">
      <w:pPr>
        <w:pStyle w:val="NormalWeb"/>
        <w:jc w:val="both"/>
        <w:rPr>
          <w:b/>
        </w:rPr>
      </w:pPr>
      <w:r w:rsidRPr="003E7174">
        <w:rPr>
          <w:rStyle w:val="Textoennegrita"/>
          <w:b w:val="0"/>
        </w:rPr>
        <w:t>“Diferencias” dentro del territorio nacional</w:t>
      </w:r>
    </w:p>
    <w:p w:rsidR="003E7174" w:rsidRDefault="003E7174" w:rsidP="00550638">
      <w:pPr>
        <w:pStyle w:val="NormalWeb"/>
        <w:jc w:val="both"/>
      </w:pPr>
      <w:r>
        <w:t xml:space="preserve">El organismo deja en evidencia que </w:t>
      </w:r>
      <w:r w:rsidRPr="00600136">
        <w:rPr>
          <w:rStyle w:val="Textoennegrita"/>
          <w:b w:val="0"/>
        </w:rPr>
        <w:t>las autonomías han consentido procesos con una participación “alarmantemente” reducida de empresas</w:t>
      </w:r>
      <w:r>
        <w:rPr>
          <w:rStyle w:val="Textoennegrita"/>
        </w:rPr>
        <w:t>.</w:t>
      </w:r>
      <w:r>
        <w:t xml:space="preserve"> Que en la mayoría de los procesos analizados solo se presentase un candidato podría ser porque los requisitos son “muy restrictivos”, porque los potenciales licitadores perciben un “riesgo excesivo” en los ingresos y los gastos futuros asociados al a gestión de centro. </w:t>
      </w:r>
    </w:p>
    <w:p w:rsidR="003E7174" w:rsidRDefault="003E7174" w:rsidP="00550638">
      <w:pPr>
        <w:pStyle w:val="NormalWeb"/>
        <w:jc w:val="both"/>
        <w:rPr>
          <w:rStyle w:val="Textoennegrita"/>
        </w:rPr>
      </w:pPr>
      <w:r>
        <w:t xml:space="preserve">Al organismo también le “llama la atención” las “diferencias” dentro del territorio nacional en cuanto a las duraciones iniciales de los contratos ante objetos de externalización similares. Y compara las licitaciones hechas en las áreas de salud de la Comunidad Valenciana, que preveían como norma general periodos iniciales de 15 años, y Madrid, cuando prometió un proyecto similar en Valdemoro, Torrejón y Móstoles con una duración inicial de 30 años. </w:t>
      </w:r>
      <w:r w:rsidRPr="00600136">
        <w:rPr>
          <w:rStyle w:val="Textoennegrita"/>
          <w:b w:val="0"/>
        </w:rPr>
        <w:t>Tanto 15 como 30, “es una duración excesivamente larga de contratos”</w:t>
      </w:r>
      <w:r w:rsidRPr="00600136">
        <w:rPr>
          <w:b/>
        </w:rPr>
        <w:t>,</w:t>
      </w:r>
      <w:r>
        <w:t xml:space="preserve"> avisa Competencia, que deja un mensaje a las autonomías: </w:t>
      </w:r>
      <w:r w:rsidR="00600136" w:rsidRPr="00600136">
        <w:rPr>
          <w:rStyle w:val="Textoennegrita"/>
          <w:b w:val="0"/>
        </w:rPr>
        <w:t>“</w:t>
      </w:r>
      <w:r w:rsidRPr="00600136">
        <w:rPr>
          <w:rStyle w:val="Textoennegrita"/>
          <w:b w:val="0"/>
        </w:rPr>
        <w:t>Cuando el número de licitadores es bajo, es muy posible que no se estén aprovechando los potencial</w:t>
      </w:r>
      <w:r w:rsidR="00600136" w:rsidRPr="00600136">
        <w:rPr>
          <w:rStyle w:val="Textoennegrita"/>
          <w:b w:val="0"/>
        </w:rPr>
        <w:t>es beneficios de la competencia”</w:t>
      </w:r>
      <w:r w:rsidRPr="00600136">
        <w:rPr>
          <w:rStyle w:val="Textoennegrita"/>
          <w:b w:val="0"/>
        </w:rPr>
        <w:t>.</w:t>
      </w:r>
      <w:r>
        <w:rPr>
          <w:rStyle w:val="Textoennegrita"/>
        </w:rPr>
        <w:t> </w:t>
      </w:r>
    </w:p>
    <w:p w:rsidR="003E7174" w:rsidRDefault="003E7174" w:rsidP="00550638">
      <w:pPr>
        <w:pStyle w:val="NormalWeb"/>
        <w:jc w:val="both"/>
        <w:rPr>
          <w:rStyle w:val="Textoennegrita"/>
          <w:b w:val="0"/>
        </w:rPr>
      </w:pPr>
      <w:r>
        <w:rPr>
          <w:rStyle w:val="Textoennegrita"/>
        </w:rPr>
        <w:t xml:space="preserve">- </w:t>
      </w:r>
      <w:r w:rsidRPr="003E7174">
        <w:rPr>
          <w:rStyle w:val="Textoennegrita"/>
          <w:b w:val="0"/>
          <w:u w:val="single"/>
        </w:rPr>
        <w:t>Incluir la tarjeta sanitaria en el DNIe habría ahorrado hasta 500 millones</w:t>
      </w:r>
      <w:r w:rsidRPr="003E7174">
        <w:rPr>
          <w:rStyle w:val="Textoennegrita"/>
          <w:b w:val="0"/>
        </w:rPr>
        <w:t xml:space="preserve"> (El Confidencial -</w:t>
      </w:r>
      <w:r>
        <w:rPr>
          <w:rStyle w:val="Textoennegrita"/>
        </w:rPr>
        <w:t xml:space="preserve"> </w:t>
      </w:r>
      <w:r w:rsidRPr="00713F8D">
        <w:rPr>
          <w:rStyle w:val="Textoennegrita"/>
        </w:rPr>
        <w:t>4/10/13</w:t>
      </w:r>
      <w:r>
        <w:rPr>
          <w:rStyle w:val="Textoennegrita"/>
        </w:rPr>
        <w:t>)</w:t>
      </w:r>
    </w:p>
    <w:p w:rsidR="003E7174" w:rsidRPr="003E7174" w:rsidRDefault="003E7174" w:rsidP="00550638">
      <w:pPr>
        <w:pStyle w:val="NormalWeb"/>
        <w:jc w:val="both"/>
        <w:rPr>
          <w:rStyle w:val="Textoennegrita"/>
          <w:b w:val="0"/>
        </w:rPr>
      </w:pPr>
      <w:r w:rsidRPr="003E7174">
        <w:rPr>
          <w:rStyle w:val="Textoennegrita"/>
          <w:b w:val="0"/>
        </w:rPr>
        <w:t>(Por Alfredo Pascual)</w:t>
      </w:r>
      <w:r>
        <w:rPr>
          <w:rStyle w:val="Textoennegrita"/>
          <w:b w:val="0"/>
        </w:rPr>
        <w:t xml:space="preserve">                                                                        Lectura recomendada</w:t>
      </w:r>
    </w:p>
    <w:p w:rsidR="003E7174" w:rsidRPr="003E7174" w:rsidRDefault="003E7174" w:rsidP="00550638">
      <w:pPr>
        <w:pStyle w:val="NormalWeb"/>
        <w:jc w:val="both"/>
      </w:pPr>
      <w:r>
        <w:t xml:space="preserve">Entre 50 y 500 millones, como mínimo, ahorraría el contribuyente de haberse incluido la sanidad pública como una oferta más del DNI electrónico. Lo abultado de la horquilla se justifica por el dispar precio de las tarjetas que actualmente circulan. Si Sanidad optase por una tarjeta sanitaria de </w:t>
      </w:r>
      <w:hyperlink r:id="rId494" w:history="1">
        <w:r w:rsidRPr="003E7174">
          <w:rPr>
            <w:rStyle w:val="Hipervnculo"/>
            <w:rFonts w:eastAsiaTheme="majorEastAsia"/>
            <w:color w:val="auto"/>
          </w:rPr>
          <w:t>banda magnética</w:t>
        </w:r>
      </w:hyperlink>
      <w:r w:rsidRPr="003E7174">
        <w:t>, algo desfasada y con un precio para grandes volúmenes por debajo de los 10 céntimos, el Estado pagaría en torno a 50 millones de euros sólo por poner en marcha el nuevo soporte.</w:t>
      </w:r>
    </w:p>
    <w:p w:rsidR="003E7174" w:rsidRDefault="003E7174" w:rsidP="00550638">
      <w:pPr>
        <w:pStyle w:val="NormalWeb"/>
        <w:jc w:val="both"/>
      </w:pPr>
      <w:r w:rsidRPr="003E7174">
        <w:t xml:space="preserve">Ahora bien, si se optase por el </w:t>
      </w:r>
      <w:hyperlink r:id="rId495" w:history="1">
        <w:r w:rsidRPr="003E7174">
          <w:rPr>
            <w:rStyle w:val="Hipervnculo"/>
            <w:rFonts w:eastAsiaTheme="majorEastAsia"/>
            <w:color w:val="auto"/>
          </w:rPr>
          <w:t>modelo criptográfico</w:t>
        </w:r>
      </w:hyperlink>
      <w:r>
        <w:t xml:space="preserve"> (conocido como “tarjeta con chip”), que es el que han adoptado los bancos y el DNI electrónico, la maniobra se situaría alrededor de los 500 millones de euros, que es la resulta de multiplicar 47 millones de españoles por los 10 euros de coste que tiene este dispositivo. Las diferencias entre ambos modelos estriban en la durabilidad y la seguridad: en ambos casos, el modelo con </w:t>
      </w:r>
      <w:r>
        <w:rPr>
          <w:rStyle w:val="nfasis"/>
          <w:rFonts w:eastAsiaTheme="majorEastAsia"/>
        </w:rPr>
        <w:t>chip</w:t>
      </w:r>
      <w:r>
        <w:t xml:space="preserve"> se impone por notable diferencia.</w:t>
      </w:r>
    </w:p>
    <w:p w:rsidR="003E7174" w:rsidRDefault="003E7174" w:rsidP="00550638">
      <w:pPr>
        <w:pStyle w:val="NormalWeb"/>
        <w:jc w:val="both"/>
      </w:pPr>
      <w:r>
        <w:t xml:space="preserve">Sea como fuere, la inclusión de los servicios sanitarios en el DNIe no sólo habría repercutido en un ahorro para el contribuyente en lo más crudo de la crisis, sino que, además, habría potenciado el uso del dispositivo de identificación, del que ya se encuentran instaladas 46 millones de unidades. El ministerio de Sanidad lleva años dándole vueltas a la creación de la tarjeta sanitaria única, y al menos durante los últimos dos contempló la posibilidad de incorporarla en el DNI electrónico. “Era un proyecto </w:t>
      </w:r>
      <w:r>
        <w:lastRenderedPageBreak/>
        <w:t>sencillo: nosotros no queríamos incluir más información en el chip del DNI, sólo que este sirviera como “llave” a la Seguridad Social. Al fin y al cabo, todos estamos obligados a tenerlo y es un documento de máxima seguridad”, explican fuentes del Ministerio del Interior.</w:t>
      </w:r>
    </w:p>
    <w:p w:rsidR="003E7174" w:rsidRDefault="003E7174" w:rsidP="00550638">
      <w:pPr>
        <w:pStyle w:val="NormalWeb"/>
        <w:jc w:val="both"/>
      </w:pPr>
      <w:r>
        <w:t xml:space="preserve">Otra de las ventajas de su inclusión en el DNIe es el uso de la </w:t>
      </w:r>
      <w:hyperlink r:id="rId496" w:history="1">
        <w:r w:rsidRPr="003E7174">
          <w:rPr>
            <w:rStyle w:val="Hipervnculo"/>
            <w:rFonts w:eastAsiaTheme="majorEastAsia"/>
            <w:color w:val="auto"/>
          </w:rPr>
          <w:t>plataforma de validación @firma</w:t>
        </w:r>
      </w:hyperlink>
      <w:r w:rsidRPr="003E7174">
        <w:t>,</w:t>
      </w:r>
      <w:r>
        <w:t xml:space="preserve"> contra la que trabaja la mayor parte de la Administración Pública y que funciona con la firma electrónica del DNI. No habría sido necesario tocar prácticamente nada en términos de desarrollo.</w:t>
      </w:r>
    </w:p>
    <w:p w:rsidR="003E7174" w:rsidRPr="003E7174" w:rsidRDefault="003E7174" w:rsidP="00550638">
      <w:pPr>
        <w:pStyle w:val="NormalWeb"/>
        <w:jc w:val="both"/>
        <w:rPr>
          <w:b/>
        </w:rPr>
      </w:pPr>
      <w:r w:rsidRPr="003E7174">
        <w:rPr>
          <w:rStyle w:val="Textoennegrita"/>
          <w:b w:val="0"/>
        </w:rPr>
        <w:t>Nadie tiene una explicación</w:t>
      </w:r>
    </w:p>
    <w:p w:rsidR="003E7174" w:rsidRDefault="003E7174" w:rsidP="00550638">
      <w:pPr>
        <w:pStyle w:val="NormalWeb"/>
        <w:jc w:val="both"/>
      </w:pPr>
      <w:r>
        <w:t xml:space="preserve">Ninguno de los actores implicados que ha consultado </w:t>
      </w:r>
      <w:r>
        <w:rPr>
          <w:rStyle w:val="nfasis"/>
          <w:rFonts w:eastAsiaTheme="majorEastAsia"/>
        </w:rPr>
        <w:t>Teknautas</w:t>
      </w:r>
      <w:r>
        <w:t xml:space="preserve"> tiene una respuesta clara a la pregunta ¿por qué no se integra la tarjeta sanitaria en el DNIe? Desde Sanidad indican que, al tener su ministerio casi todas las competencias transferidas, la decisión final se tomó con los presidentes regionales. En Interior y las instituciones señalan los dos motivos que el ministerio de Mato argumentó en contra durante las conversaciones: que los menores de 14 años y los extranjeros no tienen DN</w:t>
      </w:r>
      <w:r w:rsidR="00253E1A">
        <w:t>I. “</w:t>
      </w:r>
      <w:r>
        <w:t>Son objeciones que hemos rebatido una y mil veces. Es mejor hacer tarjetas específicas para estos dos</w:t>
      </w:r>
      <w:r w:rsidR="00253E1A">
        <w:t xml:space="preserve"> sectores que para todo el país”</w:t>
      </w:r>
      <w:r>
        <w:t>, señalan desde Interior.</w:t>
      </w:r>
    </w:p>
    <w:p w:rsidR="003E7174" w:rsidRDefault="003E7174" w:rsidP="00550638">
      <w:pPr>
        <w:pStyle w:val="NormalWeb"/>
        <w:jc w:val="both"/>
      </w:pPr>
      <w:r>
        <w:t>Otras versiones sostienen que, lo que en realidad quería Sanidad, es “una tarjeta sanitaria con el escudo de España” (en efecto</w:t>
      </w:r>
      <w:r w:rsidRPr="003E7174">
        <w:t xml:space="preserve">, </w:t>
      </w:r>
      <w:hyperlink r:id="rId497" w:anchor="TarjetaSan" w:history="1">
        <w:r w:rsidRPr="003E7174">
          <w:rPr>
            <w:rStyle w:val="Hipervnculo"/>
            <w:rFonts w:eastAsiaTheme="majorEastAsia"/>
            <w:color w:val="auto"/>
          </w:rPr>
          <w:t>es una de las características obligatorias del documento</w:t>
        </w:r>
      </w:hyperlink>
      <w:r w:rsidRPr="003E7174">
        <w:t>, que deja libertad en el resto de especificaciones). Sin embargo, ¿acaso el DNI no cuenta con un distintivo idént</w:t>
      </w:r>
      <w:r>
        <w:t>ico?</w:t>
      </w:r>
    </w:p>
    <w:p w:rsidR="003E7174" w:rsidRDefault="003E7174" w:rsidP="00550638">
      <w:pPr>
        <w:pStyle w:val="NormalWeb"/>
        <w:jc w:val="both"/>
      </w:pPr>
      <w:r>
        <w:t xml:space="preserve">La neblina que envuelve la decisión de Sanidad produce monstruos: “Las conversaciones han existido hasta poco antes del verano, y la postura de Sanidad era favorable a la inclusión. Todos nos quedamos helados cuando se anunció la tarjeta sanitaria en los términos en que se hizo. Y claro, hay quienes piensan que el único motivo es el </w:t>
      </w:r>
      <w:r w:rsidR="00204FBF">
        <w:t>“</w:t>
      </w:r>
      <w:r w:rsidRPr="00204FBF">
        <w:rPr>
          <w:rStyle w:val="nfasis"/>
          <w:rFonts w:eastAsiaTheme="majorEastAsia"/>
          <w:i w:val="0"/>
        </w:rPr>
        <w:t>negociete</w:t>
      </w:r>
      <w:r w:rsidR="00204FBF">
        <w:rPr>
          <w:rStyle w:val="nfasis"/>
          <w:rFonts w:eastAsiaTheme="majorEastAsia"/>
          <w:i w:val="0"/>
        </w:rPr>
        <w:t>”</w:t>
      </w:r>
      <w:r>
        <w:t xml:space="preserve"> que alguno tenga montado en torno a la fabricación de tarjetas”, relatan fuentes conocedoras de la negociación.</w:t>
      </w:r>
    </w:p>
    <w:p w:rsidR="003E7174" w:rsidRPr="003E7174" w:rsidRDefault="003E7174" w:rsidP="00550638">
      <w:pPr>
        <w:pStyle w:val="NormalWeb"/>
        <w:jc w:val="both"/>
      </w:pPr>
      <w:r w:rsidRPr="003E7174">
        <w:rPr>
          <w:bCs/>
        </w:rPr>
        <w:t>Futuro oscuro para la tarjeta sanitaria</w:t>
      </w:r>
    </w:p>
    <w:p w:rsidR="003E7174" w:rsidRDefault="003E7174" w:rsidP="00550638">
      <w:pPr>
        <w:pStyle w:val="NormalWeb"/>
        <w:jc w:val="both"/>
      </w:pPr>
      <w:r>
        <w:t xml:space="preserve">Al menos dos comunidades, Madrid y Andalucía, expresaron su deseo de unificar los documentos. El Ejecutivo de Ignacio González incluso llegó a dibujar un libro de ruta con la creación de un piloto a corto plazo. </w:t>
      </w:r>
      <w:hyperlink r:id="rId498" w:history="1">
        <w:r w:rsidRPr="003E7174">
          <w:rPr>
            <w:rStyle w:val="Hipervnculo"/>
            <w:rFonts w:eastAsiaTheme="majorEastAsia"/>
            <w:color w:val="auto"/>
          </w:rPr>
          <w:t>Andalucía, por su parte, es su más ferviente defensora</w:t>
        </w:r>
      </w:hyperlink>
      <w:r w:rsidRPr="003E7174">
        <w:t>.</w:t>
      </w:r>
      <w:r>
        <w:t xml:space="preserve"> Inmediatamente después del Consejo de Ministros del 20 de septiembre emitió una nota por la que lamentaba los cambios que la tarjeta sanitaria conllevaría en sus sistemas informáticos, cuantificados en 12 millones de euros.</w:t>
      </w:r>
    </w:p>
    <w:p w:rsidR="003E7174" w:rsidRDefault="003E7174" w:rsidP="00550638">
      <w:pPr>
        <w:pStyle w:val="NormalWeb"/>
        <w:jc w:val="both"/>
      </w:pPr>
      <w:r>
        <w:t>También incluye este párrafo: “La decisión tomada hoy en el Consejo de Ministros se contradice en gran medida con la aprobada el pasado febrero en este mismo seno en relación a la “Agenda Digital”, donde se proponía el DNI electrónico como único elemento de identificación polivalente para todos los españoles, y que sería también la vía de acceso a los sistemas sanitarios en sustitución de las tarjetas sanitarias”.</w:t>
      </w:r>
    </w:p>
    <w:p w:rsidR="003E7174" w:rsidRDefault="003E7174" w:rsidP="00550638">
      <w:pPr>
        <w:pStyle w:val="NormalWeb"/>
        <w:jc w:val="both"/>
      </w:pPr>
      <w:r>
        <w:lastRenderedPageBreak/>
        <w:t>En el Ministerio de Interior no dan todo por perdido: “Estamos en un momento económico que hay que mirar cada euro que gastamos, así que seguiremos intentándolo con Sanidad hasta el último momento”.</w:t>
      </w:r>
    </w:p>
    <w:p w:rsidR="003E7174" w:rsidRPr="00441637" w:rsidRDefault="003E7174" w:rsidP="00550638">
      <w:pPr>
        <w:pStyle w:val="Ttulo1"/>
        <w:spacing w:line="240" w:lineRule="auto"/>
        <w:jc w:val="both"/>
        <w:rPr>
          <w:rFonts w:ascii="Times New Roman" w:hAnsi="Times New Roman" w:cs="Times New Roman"/>
          <w:b w:val="0"/>
          <w:color w:val="auto"/>
          <w:sz w:val="24"/>
          <w:szCs w:val="24"/>
        </w:rPr>
      </w:pPr>
      <w:r>
        <w:rPr>
          <w:rFonts w:ascii="Times New Roman" w:hAnsi="Times New Roman" w:cs="Times New Roman"/>
          <w:b w:val="0"/>
          <w:color w:val="auto"/>
          <w:sz w:val="24"/>
          <w:szCs w:val="24"/>
        </w:rPr>
        <w:t xml:space="preserve">- </w:t>
      </w:r>
      <w:r w:rsidRPr="00441637">
        <w:rPr>
          <w:rFonts w:ascii="Times New Roman" w:hAnsi="Times New Roman" w:cs="Times New Roman"/>
          <w:b w:val="0"/>
          <w:color w:val="auto"/>
          <w:sz w:val="24"/>
          <w:szCs w:val="24"/>
          <w:u w:val="single"/>
        </w:rPr>
        <w:t>El vodevil de la sanidad madrileña (I): Un ejemplo de mal diseño</w:t>
      </w:r>
      <w:r>
        <w:rPr>
          <w:rFonts w:ascii="Times New Roman" w:hAnsi="Times New Roman" w:cs="Times New Roman"/>
          <w:b w:val="0"/>
          <w:color w:val="auto"/>
          <w:sz w:val="24"/>
          <w:szCs w:val="24"/>
        </w:rPr>
        <w:t xml:space="preserve"> (Fedea - </w:t>
      </w:r>
      <w:r w:rsidRPr="00441637">
        <w:rPr>
          <w:rFonts w:ascii="Times New Roman" w:hAnsi="Times New Roman" w:cs="Times New Roman"/>
          <w:color w:val="auto"/>
          <w:sz w:val="24"/>
          <w:szCs w:val="24"/>
        </w:rPr>
        <w:t>9/10/13</w:t>
      </w:r>
      <w:r>
        <w:rPr>
          <w:rFonts w:ascii="Times New Roman" w:hAnsi="Times New Roman" w:cs="Times New Roman"/>
          <w:b w:val="0"/>
          <w:color w:val="auto"/>
          <w:sz w:val="24"/>
          <w:szCs w:val="24"/>
        </w:rPr>
        <w:t>)</w:t>
      </w:r>
    </w:p>
    <w:p w:rsidR="003E7174" w:rsidRPr="00441637" w:rsidRDefault="003E7174" w:rsidP="00550638">
      <w:pPr>
        <w:pStyle w:val="headlinemeta"/>
        <w:jc w:val="both"/>
      </w:pPr>
      <w:r>
        <w:t>(</w:t>
      </w:r>
      <w:r w:rsidRPr="00441637">
        <w:t xml:space="preserve">Por </w:t>
      </w:r>
      <w:hyperlink r:id="rId499" w:history="1">
        <w:r w:rsidRPr="003E7174">
          <w:rPr>
            <w:rStyle w:val="Hipervnculo"/>
            <w:rFonts w:eastAsiaTheme="majorEastAsia"/>
            <w:color w:val="auto"/>
            <w:u w:val="none"/>
          </w:rPr>
          <w:t>Gerard Llobet</w:t>
        </w:r>
      </w:hyperlink>
      <w:r>
        <w:t>)                                                                           Lectura recomendada</w:t>
      </w:r>
    </w:p>
    <w:p w:rsidR="003E7174" w:rsidRPr="00EF407D" w:rsidRDefault="003E7174" w:rsidP="00550638">
      <w:pPr>
        <w:pStyle w:val="NormalWeb"/>
        <w:jc w:val="both"/>
        <w:rPr>
          <w:u w:val="single"/>
        </w:rPr>
      </w:pPr>
      <w:r w:rsidRPr="00EF407D">
        <w:rPr>
          <w:u w:val="single"/>
        </w:rPr>
        <w:t xml:space="preserve">El espectáculo que hemos presenciado en los últimos meses en relación a la sanidad madrileña es digno de un vodevil. O al menos lo sería si no estuviéramos hablando de un tema tan serio. El último acto (por ahora) es la </w:t>
      </w:r>
      <w:hyperlink r:id="rId500" w:history="1">
        <w:r w:rsidRPr="003E7174">
          <w:rPr>
            <w:rStyle w:val="Hipervnculo"/>
            <w:rFonts w:eastAsiaTheme="majorEastAsia"/>
            <w:color w:val="auto"/>
          </w:rPr>
          <w:t>paralización</w:t>
        </w:r>
      </w:hyperlink>
      <w:r w:rsidRPr="00EF407D">
        <w:rPr>
          <w:u w:val="single"/>
        </w:rPr>
        <w:t xml:space="preserve"> del procedimiento de externalización por parte del Tribunal Superior de Justicia de la Comunidad de Madrid que podría posponer el proceso hasta dos años. Pero esto se suma a otros errores que son difíciles de comprender.</w:t>
      </w:r>
    </w:p>
    <w:p w:rsidR="003E7174" w:rsidRPr="00441637" w:rsidRDefault="003E7174" w:rsidP="00550638">
      <w:pPr>
        <w:pStyle w:val="NormalWeb"/>
        <w:jc w:val="both"/>
      </w:pPr>
      <w:r w:rsidRPr="00EF407D">
        <w:rPr>
          <w:u w:val="single"/>
        </w:rPr>
        <w:t xml:space="preserve">Como todos sabemos a estas alturas, el gobierno de la Comunidad de Madrid está embarcada en un proceso de externalización de los servicios sanitarios en algunos hospitales y centros de atención primaria. Como discutimos hace unos meses este procedimiento se ha llevado a cabo con total </w:t>
      </w:r>
      <w:hyperlink r:id="rId501" w:history="1">
        <w:r w:rsidRPr="003E7174">
          <w:rPr>
            <w:rStyle w:val="Hipervnculo"/>
            <w:rFonts w:eastAsiaTheme="majorEastAsia"/>
            <w:color w:val="auto"/>
          </w:rPr>
          <w:t>opacidad</w:t>
        </w:r>
      </w:hyperlink>
      <w:r w:rsidRPr="003E7174">
        <w:rPr>
          <w:u w:val="single"/>
        </w:rPr>
        <w:t>, sin consultar a expertos ni a muchos de los colectivos involucrados en la provisión de la sanidad. Este no es un tema secundario. Las bondades de la externalización dependen mucho de la manera en que se lleve a cabo.</w:t>
      </w:r>
      <w:r w:rsidRPr="003E7174">
        <w:t xml:space="preserve"> Como discutió Sergi Jiménez en una </w:t>
      </w:r>
      <w:hyperlink r:id="rId502" w:history="1">
        <w:r w:rsidRPr="003E7174">
          <w:rPr>
            <w:rStyle w:val="Hipervnculo"/>
            <w:rFonts w:eastAsiaTheme="majorEastAsia"/>
            <w:color w:val="auto"/>
          </w:rPr>
          <w:t>entrada anterior</w:t>
        </w:r>
      </w:hyperlink>
      <w:r w:rsidRPr="00441637">
        <w:t>, el modelo Alzira demuestra que sin un buen diseño, los beneficios de la externalización pueden ser inexistentes. Ejemplos como el caso británico tendrían que ser la referencia del análisis necesario para tomar este tipo de decisiones. Esto no se hizo y así se fraguó el vodevil de la sanidad madrileña.</w:t>
      </w:r>
    </w:p>
    <w:p w:rsidR="003E7174" w:rsidRPr="00EF407D" w:rsidRDefault="003E7174" w:rsidP="00550638">
      <w:pPr>
        <w:pStyle w:val="NormalWeb"/>
        <w:jc w:val="both"/>
        <w:rPr>
          <w:u w:val="single"/>
        </w:rPr>
      </w:pPr>
      <w:r w:rsidRPr="00EF407D">
        <w:rPr>
          <w:u w:val="single"/>
        </w:rPr>
        <w:t>Recordemos que la externalización de los servicios sanitarios en la Comunidad de Madrid comprendía seis hospitales (Infanta Sofía, Infanta Leonor, del Sureste, el del Henares, Infanta Cristina y del Tajo), que se dividieron en cinco lotes. Cada hospital era un lote excepto los dos últimos, que formaban parte del mismo. Las empresas participantes en la subasta debían tener una experiencia de al menos cuatro años y aunque podían pujar por todos los hospitales solo podían terminar gestionando dos. La valoración de la licitación basaba el 50% en el precio y el otro 50% en la calidad y consistía en una concesión de 10 años improrrogables.</w:t>
      </w:r>
    </w:p>
    <w:p w:rsidR="003E7174" w:rsidRPr="00EF407D" w:rsidRDefault="003E7174" w:rsidP="00550638">
      <w:pPr>
        <w:pStyle w:val="NormalWeb"/>
        <w:jc w:val="both"/>
        <w:rPr>
          <w:u w:val="single"/>
        </w:rPr>
      </w:pPr>
      <w:r w:rsidRPr="00EF407D">
        <w:rPr>
          <w:u w:val="single"/>
        </w:rPr>
        <w:t>La licitación terminó con un resultado más que decepcionante. Solo tres empresas pujaron: Ribera Salud por el Hospital Infanta Leonor y Hospital de Arganda, Sanitas por el Hospital del Henares; y HIMA-S.Pablo por los Hospitales del Norte y el lote conjunto del Hospital Infanta Cristina y Hospital del Tajo. El precio máximo prácticamente coincidió con el precio ofrecido y, sorprendentemente, para ningún hospital hubo más de una puja, quedando uno de ellos desierto.</w:t>
      </w:r>
    </w:p>
    <w:p w:rsidR="003E7174" w:rsidRPr="00441637" w:rsidRDefault="003E7174" w:rsidP="00550638">
      <w:pPr>
        <w:pStyle w:val="NormalWeb"/>
        <w:jc w:val="both"/>
      </w:pPr>
      <w:r w:rsidRPr="00EF407D">
        <w:rPr>
          <w:u w:val="single"/>
        </w:rPr>
        <w:t>Hay varias interpretaciones de este resultado. Algunos han sugerido que ha habido colusión entre las empresas que se presentaban a estas subastas. Aunque el resultado es coherente con una estrategia de división del mercado, el resultado por sí mismo no es evidencia de ello</w:t>
      </w:r>
      <w:r w:rsidRPr="00441637">
        <w:t xml:space="preserve">. </w:t>
      </w:r>
      <w:r w:rsidRPr="00EF407D">
        <w:rPr>
          <w:u w:val="single"/>
        </w:rPr>
        <w:t xml:space="preserve">Una interpretación mucho más probable es que la precipitación y el desconocimiento de los principios básicos de la economía de la regulación hayan conllevado un diseño anómalo que ha dejado a muchos de los posibles participantes </w:t>
      </w:r>
      <w:r w:rsidRPr="00EF407D">
        <w:rPr>
          <w:u w:val="single"/>
        </w:rPr>
        <w:lastRenderedPageBreak/>
        <w:t>fuera de la licitación</w:t>
      </w:r>
      <w:r w:rsidRPr="00441637">
        <w:t xml:space="preserve">. Además, muchos de los defectos de diseño de este procedimiento es probable que tenga efectos en el desarrollo posterior de estas concesiones. Esta percepción es coherente con el reciente </w:t>
      </w:r>
      <w:hyperlink r:id="rId503" w:history="1">
        <w:r w:rsidRPr="003E7174">
          <w:rPr>
            <w:rStyle w:val="Hipervnculo"/>
            <w:rFonts w:eastAsiaTheme="majorEastAsia"/>
            <w:color w:val="auto"/>
          </w:rPr>
          <w:t>informe</w:t>
        </w:r>
      </w:hyperlink>
      <w:r w:rsidRPr="003E7174">
        <w:t xml:space="preserve"> </w:t>
      </w:r>
      <w:r w:rsidRPr="00441637">
        <w:t xml:space="preserve">de la difunta CNC que muestra que </w:t>
      </w:r>
      <w:r w:rsidRPr="00EF407D">
        <w:rPr>
          <w:u w:val="single"/>
        </w:rPr>
        <w:t>este procedimiento de licitación desoyó la gran mayoría de sus recomendaciones para la licitación de estos servicios</w:t>
      </w:r>
      <w:r w:rsidRPr="00441637">
        <w:t>. En el resto de esta entrada me concentro en problemas de diseño de la regulación de estos servicios y en la segunda parte hablaré de los problemas específicos de la licitación.</w:t>
      </w:r>
    </w:p>
    <w:p w:rsidR="003E7174" w:rsidRPr="00441637" w:rsidRDefault="003E7174" w:rsidP="00550638">
      <w:pPr>
        <w:pStyle w:val="NormalWeb"/>
        <w:jc w:val="both"/>
      </w:pPr>
      <w:r w:rsidRPr="00EF407D">
        <w:rPr>
          <w:u w:val="single"/>
        </w:rPr>
        <w:t>De manera populista, algunos han comparado la externalización de la gestión sanitaria con la externalización de la recogida de basura</w:t>
      </w:r>
      <w:r w:rsidRPr="00441637">
        <w:t xml:space="preserve">. Esta </w:t>
      </w:r>
      <w:hyperlink r:id="rId504" w:history="1">
        <w:r w:rsidRPr="003E7174">
          <w:rPr>
            <w:rStyle w:val="Hipervnculo"/>
            <w:rFonts w:eastAsiaTheme="majorEastAsia"/>
            <w:color w:val="auto"/>
          </w:rPr>
          <w:t>sinrazón</w:t>
        </w:r>
      </w:hyperlink>
      <w:r w:rsidRPr="00441637">
        <w:t xml:space="preserve"> es probablemente el origen de muchos de los errores que se han cometido en la Comunidad de Madrid. La gestión de residuos urbanos es un servicio que tiene características muy distintas. Por ejemplo, existe un gran número de empresas que pueden participar en la licitación, las características del servicio y su calidad son relativamente fáciles de definir y la empresa ganadora no comparte el mercado con otras empresas privadas o públicas. La sanidad es un caso muy distinto. Como pone de manifiesto el informe de la CNC, en el año 2011 había en Madrid 82 hospitales con un total de 22136 camas. De estos hospitales, 35 eran públicos con un total de 14982 camas. Por tanto, una empresa que obtenga la concesión competirá tanto con hospitales públicos como privados de la región. La cuota de mercado entre hospitales privados a fecha de 2013 por número de camas se puede apreciar en el siguiente gráfico.</w:t>
      </w:r>
    </w:p>
    <w:p w:rsidR="003E7174" w:rsidRPr="00441637" w:rsidRDefault="003E7174" w:rsidP="00550638">
      <w:pPr>
        <w:spacing w:line="240" w:lineRule="auto"/>
        <w:jc w:val="both"/>
        <w:rPr>
          <w:rFonts w:ascii="Times New Roman" w:hAnsi="Times New Roman" w:cs="Times New Roman"/>
          <w:sz w:val="24"/>
          <w:szCs w:val="24"/>
        </w:rPr>
      </w:pPr>
      <w:r w:rsidRPr="00441637">
        <w:rPr>
          <w:rFonts w:ascii="Times New Roman" w:hAnsi="Times New Roman" w:cs="Times New Roman"/>
          <w:noProof/>
          <w:sz w:val="24"/>
          <w:szCs w:val="24"/>
          <w:lang w:eastAsia="es-ES"/>
        </w:rPr>
        <w:drawing>
          <wp:inline distT="0" distB="0" distL="0" distR="0" wp14:anchorId="2FA7CA02" wp14:editId="52FD73E2">
            <wp:extent cx="4732934" cy="2611526"/>
            <wp:effectExtent l="0" t="0" r="0" b="0"/>
            <wp:docPr id="56" name="Imagen 56" descr="cuota hospitales privados madrid">
              <a:hlinkClick xmlns:a="http://schemas.openxmlformats.org/drawingml/2006/main" r:id="rId50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ota hospitales privados madrid">
                      <a:hlinkClick r:id="rId505"/>
                    </pic:cNvPr>
                    <pic:cNvPicPr>
                      <a:picLocks noChangeAspect="1" noChangeArrowheads="1"/>
                    </pic:cNvPicPr>
                  </pic:nvPicPr>
                  <pic:blipFill>
                    <a:blip r:embed="rId506">
                      <a:extLst>
                        <a:ext uri="{28A0092B-C50C-407E-A947-70E740481C1C}">
                          <a14:useLocalDpi xmlns:a14="http://schemas.microsoft.com/office/drawing/2010/main" val="0"/>
                        </a:ext>
                      </a:extLst>
                    </a:blip>
                    <a:srcRect/>
                    <a:stretch>
                      <a:fillRect/>
                    </a:stretch>
                  </pic:blipFill>
                  <pic:spPr bwMode="auto">
                    <a:xfrm>
                      <a:off x="0" y="0"/>
                      <a:ext cx="4740275" cy="2615577"/>
                    </a:xfrm>
                    <a:prstGeom prst="rect">
                      <a:avLst/>
                    </a:prstGeom>
                    <a:noFill/>
                    <a:ln>
                      <a:noFill/>
                    </a:ln>
                  </pic:spPr>
                </pic:pic>
              </a:graphicData>
            </a:graphic>
          </wp:inline>
        </w:drawing>
      </w:r>
    </w:p>
    <w:p w:rsidR="003E7174" w:rsidRPr="00441637" w:rsidRDefault="003E7174" w:rsidP="00550638">
      <w:pPr>
        <w:pStyle w:val="wp-caption-text"/>
        <w:jc w:val="both"/>
      </w:pPr>
      <w:r w:rsidRPr="00441637">
        <w:rPr>
          <w:rStyle w:val="Textoennegrita"/>
        </w:rPr>
        <w:t>Cuota de mercado de los hospitales de la Comunidad de Madrid, por número de camas.</w:t>
      </w:r>
      <w:r w:rsidRPr="00441637">
        <w:t xml:space="preserve"> Fuente: “Aplicación de la Guía de Contratación y Competencia en los procesos de licitación para la provisión de la sanidad pública en España” de la CNC.</w:t>
      </w:r>
    </w:p>
    <w:p w:rsidR="003E7174" w:rsidRPr="00441637" w:rsidRDefault="003E7174" w:rsidP="00550638">
      <w:pPr>
        <w:pStyle w:val="NormalWeb"/>
        <w:jc w:val="both"/>
      </w:pPr>
      <w:r w:rsidRPr="00441637">
        <w:t xml:space="preserve">Medir la calidad es además algo complicado. La Comunidad de Madrid impuso un conjunto de requerimientos (mantener al personal de los hospitales, </w:t>
      </w:r>
      <w:r w:rsidR="00D44948" w:rsidRPr="00441637">
        <w:t>etc.</w:t>
      </w:r>
      <w:r w:rsidRPr="00441637">
        <w:t>) y fijo unos requisitos mínimos de calidad que cada uno de los hospitales debía satisfacer.</w:t>
      </w:r>
    </w:p>
    <w:p w:rsidR="003E7174" w:rsidRPr="00441637" w:rsidRDefault="003E7174" w:rsidP="00550638">
      <w:pPr>
        <w:spacing w:line="240" w:lineRule="auto"/>
        <w:jc w:val="both"/>
        <w:rPr>
          <w:rFonts w:ascii="Times New Roman" w:hAnsi="Times New Roman" w:cs="Times New Roman"/>
          <w:sz w:val="24"/>
          <w:szCs w:val="24"/>
        </w:rPr>
      </w:pPr>
      <w:r w:rsidRPr="00441637">
        <w:rPr>
          <w:rFonts w:ascii="Times New Roman" w:hAnsi="Times New Roman" w:cs="Times New Roman"/>
          <w:noProof/>
          <w:sz w:val="24"/>
          <w:szCs w:val="24"/>
          <w:lang w:eastAsia="es-ES"/>
        </w:rPr>
        <w:lastRenderedPageBreak/>
        <w:drawing>
          <wp:inline distT="0" distB="0" distL="0" distR="0" wp14:anchorId="6053980A" wp14:editId="01FCA9E7">
            <wp:extent cx="5266690" cy="5793740"/>
            <wp:effectExtent l="0" t="0" r="0" b="0"/>
            <wp:docPr id="484" name="Imagen 484" descr="Minimos de calidad">
              <a:hlinkClick xmlns:a="http://schemas.openxmlformats.org/drawingml/2006/main" r:id="rId5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imos de calidad">
                      <a:hlinkClick r:id="rId507"/>
                    </pic:cNvPr>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5266690" cy="5793740"/>
                    </a:xfrm>
                    <a:prstGeom prst="rect">
                      <a:avLst/>
                    </a:prstGeom>
                    <a:noFill/>
                    <a:ln>
                      <a:noFill/>
                    </a:ln>
                  </pic:spPr>
                </pic:pic>
              </a:graphicData>
            </a:graphic>
          </wp:inline>
        </w:drawing>
      </w:r>
    </w:p>
    <w:p w:rsidR="003E7174" w:rsidRPr="00441637" w:rsidRDefault="003E7174" w:rsidP="00550638">
      <w:pPr>
        <w:pStyle w:val="wp-caption-text"/>
        <w:jc w:val="both"/>
      </w:pPr>
      <w:r w:rsidRPr="00441637">
        <w:rPr>
          <w:rStyle w:val="Textoennegrita"/>
        </w:rPr>
        <w:t>Indicadores sobre los que se fijan criterios mínimos calidad.</w:t>
      </w:r>
      <w:r w:rsidRPr="00441637">
        <w:t xml:space="preserve"> Fuente: “Pliego de prescripciones técnicas para la contratación de la gestión, por concesión, del servicio público de la atención Sanitaria especializada correspondiente a los hospitales universitarios Infanta Sofía, Infanta Leonor, Infanta Cristina, del Henares, del Sureste y del Tajo”, Anexo 5.</w:t>
      </w:r>
    </w:p>
    <w:p w:rsidR="003E7174" w:rsidRPr="00EF407D" w:rsidRDefault="003E7174" w:rsidP="00550638">
      <w:pPr>
        <w:pStyle w:val="NormalWeb"/>
        <w:jc w:val="both"/>
        <w:rPr>
          <w:u w:val="single"/>
        </w:rPr>
      </w:pPr>
      <w:r w:rsidRPr="00EF407D">
        <w:rPr>
          <w:u w:val="single"/>
        </w:rPr>
        <w:t xml:space="preserve">Un inciso que quiero hacer es que como en todos los casos en que se quiere medir la calidad en un tema tan complejo como la sanidad, uno se basa en indicadores. Como es bien sabido (un ejemplo recientes es </w:t>
      </w:r>
      <w:hyperlink r:id="rId509" w:history="1">
        <w:r w:rsidRPr="003E7174">
          <w:rPr>
            <w:rStyle w:val="Hipervnculo"/>
            <w:rFonts w:eastAsiaTheme="majorEastAsia"/>
            <w:color w:val="auto"/>
          </w:rPr>
          <w:t>Fryer y Holden (2012)</w:t>
        </w:r>
      </w:hyperlink>
      <w:r w:rsidRPr="003E7174">
        <w:rPr>
          <w:u w:val="single"/>
        </w:rPr>
        <w:t>)</w:t>
      </w:r>
      <w:r w:rsidRPr="00EF407D">
        <w:rPr>
          <w:u w:val="single"/>
        </w:rPr>
        <w:t xml:space="preserve"> basar los contratos en algunas dimensiones proporciona incentivos a mejorar esos indicadores y disminuye los incentivos a proporcionar calidad en otras dimensiones que son más difícil de remunerar. Además, las empresas reciben un pago fijo por paciente atendido. Como es bien sabido, este tipo de contrato da muchos incentivos a las empresas a reducir costes pero a veces eso sucede a costa de sacrificar la calidad. Es por tanto esencial que todas las dimensiones relevantes estén recogidas en la tabla anterior y que además cada una tenga el peso correcto.</w:t>
      </w:r>
    </w:p>
    <w:p w:rsidR="003E7174" w:rsidRPr="008D1E98" w:rsidRDefault="003E7174" w:rsidP="00550638">
      <w:pPr>
        <w:pStyle w:val="NormalWeb"/>
        <w:jc w:val="both"/>
        <w:rPr>
          <w:color w:val="FF0000"/>
          <w:u w:val="single"/>
        </w:rPr>
      </w:pPr>
      <w:r w:rsidRPr="00EF407D">
        <w:rPr>
          <w:u w:val="single"/>
        </w:rPr>
        <w:lastRenderedPageBreak/>
        <w:t>Sin embargo, tal y como recoge el informe de la CNC, los procedimientos de externalización “desarrollan de modo muy sucinto los controles de calidad y la penalización efectiva que puede ocasionar para la remuneración del adjudicatario el incumplimiento de los estándares, lo que favorece la discrecionalidad administrativa y la percepción del riesgo regulatorio de los licitadores”.</w:t>
      </w:r>
      <w:r w:rsidRPr="00441637">
        <w:t xml:space="preserve"> </w:t>
      </w:r>
      <w:r w:rsidRPr="008D1E98">
        <w:rPr>
          <w:color w:val="FF0000"/>
          <w:u w:val="single"/>
        </w:rPr>
        <w:t>O sea, un error de libro que se hace aún más patente por el hecho de que las concesiones son por 10 años a pesar de no necesitarse inversiones, dado que los hospitales fueron inaugurados alrededor de 2008. Pero las cosas se ponen peor si además tenemos en cuenta que el incumplir esos estándares de calidad implica una reducción máxima del pago (per cápita) que recibirá la empresa concesionaria de solo un 20%. Es decir, que una empresa seguirá cobrando el 80% del importe independientemente de que no cumpla los requisitos de calidad. Una receta para el desastre, vamos.</w:t>
      </w:r>
    </w:p>
    <w:p w:rsidR="003E7174" w:rsidRPr="00441637" w:rsidRDefault="003E7174" w:rsidP="00550638">
      <w:pPr>
        <w:pStyle w:val="NormalWeb"/>
        <w:jc w:val="both"/>
      </w:pPr>
      <w:r w:rsidRPr="00441637">
        <w:t xml:space="preserve">La convivencia de varios tipos de hospitales genera otros problemas que no suceden en el caso de la recogida de residuos. Los pacientes pueden optar por ir a otros centros. El mecanismo de “facturación intercentros” pone un precio que el hospital debe pagar si “sus” pacientes son atendidos en otro centro, originando incentivos para que los hospitales decidan invertir en calidad y así retener a sus pacientes o captar a nuevos. Esto plantea varios problemas. Primero, la sanidad es un bien de confianza (tal como definí en una </w:t>
      </w:r>
      <w:hyperlink r:id="rId510" w:history="1">
        <w:r w:rsidRPr="009F66FC">
          <w:rPr>
            <w:rStyle w:val="Hipervnculo"/>
            <w:rFonts w:eastAsiaTheme="majorEastAsia"/>
            <w:color w:val="auto"/>
          </w:rPr>
          <w:t>entrada anterior</w:t>
        </w:r>
      </w:hyperlink>
      <w:r w:rsidRPr="009F66FC">
        <w:t xml:space="preserve">). </w:t>
      </w:r>
      <w:r w:rsidRPr="00441637">
        <w:t xml:space="preserve">Por ello, los pacientes podemos valorar mejor la calidad de algunos servicios (sala de espera, habitación individual, </w:t>
      </w:r>
      <w:r w:rsidR="00D44948" w:rsidRPr="00441637">
        <w:t>etc.</w:t>
      </w:r>
      <w:r w:rsidRPr="00441637">
        <w:t>) que otros que tengan que ver con el servicio sanitario. Esta diferente percepción puede conllevar una mala asignación de recursos en los hospitales que quieran captar nuevos pacientes. Segundo, en la medida en que los precios no estén fijados con los criterios adecuados los hospitales se especializarán en aquellos procedimientos mejor remunerados.</w:t>
      </w:r>
    </w:p>
    <w:p w:rsidR="003E7174" w:rsidRPr="009F66FC" w:rsidRDefault="003E7174" w:rsidP="00550638">
      <w:pPr>
        <w:pStyle w:val="NormalWeb"/>
        <w:jc w:val="both"/>
        <w:rPr>
          <w:u w:val="single"/>
        </w:rPr>
      </w:pPr>
      <w:r w:rsidRPr="008D1E98">
        <w:rPr>
          <w:u w:val="single"/>
        </w:rPr>
        <w:t xml:space="preserve">Globalmente, podemos concluir que la manera en que se diseñó la regulación de estos hospitales no tenía buena pinta. Y eso era antes de </w:t>
      </w:r>
      <w:r w:rsidR="009F66FC">
        <w:rPr>
          <w:u w:val="single"/>
        </w:rPr>
        <w:t>ver el resultado de la subasta…</w:t>
      </w:r>
    </w:p>
    <w:p w:rsidR="003E7174" w:rsidRDefault="003E7174" w:rsidP="00550638">
      <w:pPr>
        <w:pStyle w:val="NormalWeb"/>
        <w:jc w:val="both"/>
      </w:pPr>
      <w:r>
        <w:t xml:space="preserve">- </w:t>
      </w:r>
      <w:r w:rsidRPr="00A3402C">
        <w:rPr>
          <w:u w:val="single"/>
        </w:rPr>
        <w:t>Médicos y pacientes esgrimen el ahorro para reclamar medicamentos unidosis</w:t>
      </w:r>
      <w:r>
        <w:t xml:space="preserve"> (Vozpópuli - </w:t>
      </w:r>
      <w:r w:rsidRPr="00A3402C">
        <w:rPr>
          <w:b/>
        </w:rPr>
        <w:t>13/10/13</w:t>
      </w:r>
      <w:r>
        <w:t>)</w:t>
      </w:r>
      <w:r w:rsidR="009F66FC">
        <w:t xml:space="preserve">                                                                      Lectura recomendada</w:t>
      </w:r>
    </w:p>
    <w:p w:rsidR="003E7174" w:rsidRPr="00E52F37" w:rsidRDefault="003E7174" w:rsidP="00550638">
      <w:pPr>
        <w:pStyle w:val="NormalWeb"/>
        <w:jc w:val="both"/>
        <w:rPr>
          <w:color w:val="FF0000"/>
          <w:u w:val="single"/>
        </w:rPr>
      </w:pPr>
      <w:r w:rsidRPr="00E52F37">
        <w:rPr>
          <w:color w:val="FF0000"/>
          <w:u w:val="single"/>
        </w:rPr>
        <w:t>Desde hace meses se viene impulsando el uso de medicamentos unidosis para optimizar los tratamientos prescritos a los pacientes y para ahorrar costes. Aunque los nuevos formatos ya se encuentran disponibles, son los farmacéuticos los más reticentes a la hora de facilitarlos.</w:t>
      </w:r>
    </w:p>
    <w:p w:rsidR="003E7174" w:rsidRDefault="003E7174" w:rsidP="00550638">
      <w:pPr>
        <w:pStyle w:val="NormalWeb"/>
        <w:jc w:val="both"/>
      </w:pPr>
      <w:r>
        <w:t xml:space="preserve">El debate sobre la implantación de los medicamentos unidosis aún no ha cogido fuerza en España, pese a que desde hace tiempo los sectores afectados vienen reclamándolo. El principal motivo esgrimido por médicos, pacientes, y también por gestores del Sistema Nacional de Salud, es el importante </w:t>
      </w:r>
      <w:r w:rsidRPr="00600136">
        <w:rPr>
          <w:rStyle w:val="Textoennegrita"/>
          <w:b w:val="0"/>
        </w:rPr>
        <w:t>ahorro que supondría este tipo de prescripción</w:t>
      </w:r>
      <w:r w:rsidRPr="00600136">
        <w:rPr>
          <w:b/>
        </w:rPr>
        <w:t>.</w:t>
      </w:r>
      <w:r>
        <w:t xml:space="preserve"> Sin embargo, serían algunos farmacéuticos los que más oposición estarían presentando a esta opción. </w:t>
      </w:r>
    </w:p>
    <w:p w:rsidR="003E7174" w:rsidRPr="009F66FC" w:rsidRDefault="003E7174" w:rsidP="00550638">
      <w:pPr>
        <w:pStyle w:val="NormalWeb"/>
        <w:jc w:val="both"/>
        <w:rPr>
          <w:u w:val="single"/>
        </w:rPr>
      </w:pPr>
      <w:r>
        <w:t xml:space="preserve">La pasada semana el Comité de Uso Racional del Medicamento (CURM) del Departamento de Salud de Alicante apostaba por </w:t>
      </w:r>
      <w:r w:rsidRPr="00600136">
        <w:rPr>
          <w:rStyle w:val="Textoennegrita"/>
          <w:b w:val="0"/>
        </w:rPr>
        <w:t>aumentar la receta de medicamentos en unidosis</w:t>
      </w:r>
      <w:r w:rsidRPr="00600136">
        <w:rPr>
          <w:b/>
        </w:rPr>
        <w:t>,</w:t>
      </w:r>
      <w:r>
        <w:t xml:space="preserve"> </w:t>
      </w:r>
      <w:r w:rsidR="009F66FC">
        <w:t>ya que según sus conclusiones, “</w:t>
      </w:r>
      <w:r>
        <w:t xml:space="preserve">supone un </w:t>
      </w:r>
      <w:r w:rsidRPr="007C55D9">
        <w:rPr>
          <w:rStyle w:val="Textoennegrita"/>
          <w:b w:val="0"/>
        </w:rPr>
        <w:t>uso más racional</w:t>
      </w:r>
      <w:r>
        <w:t xml:space="preserve"> al proporcionar la dosis exacta de medicación, evitando que sobren medicinas y que se acumulen en casa particulares</w:t>
      </w:r>
      <w:r w:rsidR="009F66FC">
        <w:t>, fuera del control facultativo”</w:t>
      </w:r>
      <w:r>
        <w:t xml:space="preserve">. </w:t>
      </w:r>
      <w:r w:rsidR="009F66FC">
        <w:rPr>
          <w:u w:val="single"/>
        </w:rPr>
        <w:t>“</w:t>
      </w:r>
      <w:r w:rsidRPr="00E52F37">
        <w:rPr>
          <w:u w:val="single"/>
        </w:rPr>
        <w:t xml:space="preserve">Lo que pasa es que muchas recetas con prescripciones unidosis </w:t>
      </w:r>
      <w:r w:rsidRPr="00600136">
        <w:rPr>
          <w:rStyle w:val="Textoennegrita"/>
          <w:b w:val="0"/>
          <w:u w:val="single"/>
        </w:rPr>
        <w:t>no son dispensadas en la farmacia</w:t>
      </w:r>
      <w:r w:rsidRPr="00E52F37">
        <w:rPr>
          <w:u w:val="single"/>
        </w:rPr>
        <w:t xml:space="preserve">. Los </w:t>
      </w:r>
      <w:r w:rsidRPr="00E52F37">
        <w:rPr>
          <w:u w:val="single"/>
        </w:rPr>
        <w:lastRenderedPageBreak/>
        <w:t xml:space="preserve">pacientes llegan </w:t>
      </w:r>
      <w:r w:rsidR="009F66FC">
        <w:rPr>
          <w:u w:val="single"/>
        </w:rPr>
        <w:t>y el farmacéutico les dice que “eso no existe”</w:t>
      </w:r>
      <w:r w:rsidRPr="00E52F37">
        <w:rPr>
          <w:u w:val="single"/>
        </w:rPr>
        <w:t>, y deben vol</w:t>
      </w:r>
      <w:r w:rsidR="009F66FC">
        <w:rPr>
          <w:u w:val="single"/>
        </w:rPr>
        <w:t>ver a pasar por el médico”</w:t>
      </w:r>
      <w:r w:rsidRPr="00E52F37">
        <w:rPr>
          <w:u w:val="single"/>
        </w:rPr>
        <w:t xml:space="preserve">, explica </w:t>
      </w:r>
      <w:r w:rsidRPr="00600136">
        <w:rPr>
          <w:rStyle w:val="Textoennegrita"/>
          <w:b w:val="0"/>
          <w:u w:val="single"/>
        </w:rPr>
        <w:t>Carlos A. Arenas</w:t>
      </w:r>
      <w:r w:rsidRPr="00E52F37">
        <w:rPr>
          <w:u w:val="single"/>
        </w:rPr>
        <w:t xml:space="preserve">, miembro de la </w:t>
      </w:r>
      <w:hyperlink r:id="rId511" w:tgtFrame="_blank" w:tooltip="Este enlace se abrirá en una ventana nueva: Web de la asociación" w:history="1">
        <w:r w:rsidRPr="009F66FC">
          <w:rPr>
            <w:rStyle w:val="Hipervnculo"/>
            <w:rFonts w:eastAsiaTheme="majorEastAsia"/>
            <w:color w:val="auto"/>
          </w:rPr>
          <w:t>Sociedad Española de Directivos de Salud</w:t>
        </w:r>
      </w:hyperlink>
      <w:r w:rsidRPr="009F66FC">
        <w:rPr>
          <w:u w:val="single"/>
        </w:rPr>
        <w:t>. </w:t>
      </w:r>
    </w:p>
    <w:p w:rsidR="003E7174" w:rsidRPr="00E52F37" w:rsidRDefault="003E7174" w:rsidP="00550638">
      <w:pPr>
        <w:pStyle w:val="NormalWeb"/>
        <w:jc w:val="both"/>
        <w:rPr>
          <w:u w:val="single"/>
        </w:rPr>
      </w:pPr>
      <w:r w:rsidRPr="00E52F37">
        <w:rPr>
          <w:u w:val="single"/>
        </w:rPr>
        <w:t xml:space="preserve">Este falso argumento esgrimido por algunos farmacéuticos que se resisten a venderlo por cuestiones económicas, lo desmontan desde </w:t>
      </w:r>
      <w:hyperlink r:id="rId512" w:tgtFrame="_blank" w:tooltip="Este enlace se abrirá en una ventana nueva: Web de la empresa" w:history="1">
        <w:r w:rsidRPr="00600136">
          <w:rPr>
            <w:rStyle w:val="Textoennegrita"/>
            <w:b w:val="0"/>
            <w:u w:val="single"/>
          </w:rPr>
          <w:t>Onedose Pharma</w:t>
        </w:r>
      </w:hyperlink>
      <w:r w:rsidRPr="00E52F37">
        <w:rPr>
          <w:u w:val="single"/>
        </w:rPr>
        <w:t xml:space="preserve">, único laboratorio farmacéutico en España y Europa especializado en fabricación y comercialización de medicamentos genéricos en dosis unitarias, y que ya tiene </w:t>
      </w:r>
      <w:r w:rsidRPr="00600136">
        <w:rPr>
          <w:rStyle w:val="Textoennegrita"/>
          <w:b w:val="0"/>
          <w:u w:val="single"/>
        </w:rPr>
        <w:t>siete principios genéricos en las farmacias</w:t>
      </w:r>
      <w:r w:rsidRPr="00E52F37">
        <w:rPr>
          <w:u w:val="single"/>
        </w:rPr>
        <w:t> desde el pasado septiembre, cuatro de ellos antibióticos. </w:t>
      </w:r>
    </w:p>
    <w:p w:rsidR="003E7174" w:rsidRDefault="003E7174" w:rsidP="00550638">
      <w:pPr>
        <w:pStyle w:val="NormalWeb"/>
        <w:jc w:val="both"/>
      </w:pPr>
      <w:r w:rsidRPr="00E52F37">
        <w:rPr>
          <w:u w:val="single"/>
        </w:rPr>
        <w:t xml:space="preserve">El principal objetivo de este sistema de prescripción es </w:t>
      </w:r>
      <w:r w:rsidRPr="00600136">
        <w:rPr>
          <w:rStyle w:val="Textoennegrita"/>
          <w:b w:val="0"/>
          <w:u w:val="single"/>
        </w:rPr>
        <w:t>optimizar los tratamientos para evitar gastos innecesarios y la acumulación</w:t>
      </w:r>
      <w:r w:rsidRPr="00600136">
        <w:rPr>
          <w:b/>
          <w:u w:val="single"/>
        </w:rPr>
        <w:t xml:space="preserve"> </w:t>
      </w:r>
      <w:r w:rsidRPr="00E52F37">
        <w:rPr>
          <w:u w:val="single"/>
        </w:rPr>
        <w:t>de sobrantes en los botiquines particulares</w:t>
      </w:r>
      <w:r>
        <w:t>. Sobre ese ahorro existen ya algunos estudios que hablan de una importante reducción de costes, como el de Segú Tolsà JL, de Evaluación del impacto de la utilización de medicamentos en dosis unitarias en dos centros de atención primaria de Barcelona. </w:t>
      </w:r>
    </w:p>
    <w:p w:rsidR="003E7174" w:rsidRPr="00E52F37" w:rsidRDefault="003E7174" w:rsidP="00550638">
      <w:pPr>
        <w:pStyle w:val="NormalWeb"/>
        <w:jc w:val="both"/>
        <w:rPr>
          <w:u w:val="single"/>
        </w:rPr>
      </w:pPr>
      <w:r w:rsidRPr="00E52F37">
        <w:rPr>
          <w:u w:val="single"/>
        </w:rPr>
        <w:t xml:space="preserve">De este estudio, realizado entre enero y abril de 2012 en dos centros con cobertura para unas 36.000 personas y sobre una comparativa de 19 productos, se desprende que en términos absolutos el </w:t>
      </w:r>
      <w:r w:rsidRPr="00600136">
        <w:rPr>
          <w:rStyle w:val="Textoennegrita"/>
          <w:b w:val="0"/>
          <w:u w:val="single"/>
        </w:rPr>
        <w:t>ahorro</w:t>
      </w:r>
      <w:r w:rsidRPr="00600136">
        <w:rPr>
          <w:b/>
          <w:u w:val="single"/>
        </w:rPr>
        <w:t xml:space="preserve"> </w:t>
      </w:r>
      <w:r w:rsidRPr="00E52F37">
        <w:rPr>
          <w:u w:val="single"/>
        </w:rPr>
        <w:t>que habría supuesto utilizar dosis unitarias en lugar de las prescripciones realizadas habría sido de 45.000 euros, unos</w:t>
      </w:r>
      <w:r w:rsidRPr="00E52F37">
        <w:rPr>
          <w:rStyle w:val="Textoennegrita"/>
          <w:u w:val="single"/>
        </w:rPr>
        <w:t xml:space="preserve"> </w:t>
      </w:r>
      <w:r w:rsidRPr="00600136">
        <w:rPr>
          <w:rStyle w:val="Textoennegrita"/>
          <w:b w:val="0"/>
          <w:u w:val="single"/>
        </w:rPr>
        <w:t>133.000 anuales</w:t>
      </w:r>
      <w:r w:rsidRPr="00E52F37">
        <w:rPr>
          <w:u w:val="single"/>
        </w:rPr>
        <w:t xml:space="preserve">, mientras que se habrían </w:t>
      </w:r>
      <w:r w:rsidRPr="00600136">
        <w:rPr>
          <w:rStyle w:val="Textoennegrita"/>
          <w:b w:val="0"/>
          <w:u w:val="single"/>
        </w:rPr>
        <w:t>evitado 212.000 unidades galénicas innecesarias,</w:t>
      </w:r>
      <w:r w:rsidRPr="00E52F37">
        <w:rPr>
          <w:u w:val="single"/>
        </w:rPr>
        <w:t xml:space="preserve"> cerca de 669.000 anuales. El </w:t>
      </w:r>
      <w:r w:rsidRPr="00600136">
        <w:rPr>
          <w:rStyle w:val="Textoennegrita"/>
          <w:b w:val="0"/>
          <w:u w:val="single"/>
        </w:rPr>
        <w:t>ahorro a nivel individual</w:t>
      </w:r>
      <w:r w:rsidRPr="00E52F37">
        <w:rPr>
          <w:u w:val="single"/>
        </w:rPr>
        <w:t xml:space="preserve"> estaría en torno a </w:t>
      </w:r>
      <w:r w:rsidRPr="00600136">
        <w:rPr>
          <w:u w:val="single"/>
        </w:rPr>
        <w:t xml:space="preserve">los </w:t>
      </w:r>
      <w:r w:rsidRPr="00600136">
        <w:rPr>
          <w:rStyle w:val="Textoennegrita"/>
          <w:b w:val="0"/>
          <w:u w:val="single"/>
        </w:rPr>
        <w:t>3,1 euros anuales</w:t>
      </w:r>
      <w:r w:rsidRPr="00E52F37">
        <w:rPr>
          <w:rStyle w:val="Textoennegrita"/>
          <w:u w:val="single"/>
        </w:rPr>
        <w:t>,</w:t>
      </w:r>
      <w:r w:rsidRPr="00E52F37">
        <w:rPr>
          <w:u w:val="single"/>
        </w:rPr>
        <w:t xml:space="preserve"> evitando casi 19 dosis por persona y año. </w:t>
      </w:r>
    </w:p>
    <w:p w:rsidR="003E7174" w:rsidRDefault="009E6042" w:rsidP="00550638">
      <w:pPr>
        <w:pStyle w:val="NormalWeb"/>
        <w:jc w:val="both"/>
      </w:pPr>
      <w:r>
        <w:t>“</w:t>
      </w:r>
      <w:r w:rsidR="003E7174">
        <w:t>Si los resultados hallados siguieran una pauta similar en el conjunto de los centros de Atención Primaria, los ahorros para el Sistema Nacional de Salud en Cataluña se situarían alrededor de 22 millones de euros anuales y casi 133</w:t>
      </w:r>
      <w:r>
        <w:t xml:space="preserve"> millones de dosis innecesarias”</w:t>
      </w:r>
      <w:r w:rsidR="003E7174">
        <w:t>, apunta el informe. </w:t>
      </w:r>
    </w:p>
    <w:p w:rsidR="003E7174" w:rsidRDefault="003E7174" w:rsidP="00550638">
      <w:pPr>
        <w:pStyle w:val="NormalWeb"/>
        <w:jc w:val="both"/>
      </w:pPr>
      <w:r>
        <w:t xml:space="preserve">Pese a que los autores del estudio admiten que los resultados pueden ser difícilmente extrapolables a todos los territorios por las diferencias de población atendida, sí que concluyen que aunque se ha realizado desde la </w:t>
      </w:r>
      <w:r w:rsidRPr="00600136">
        <w:rPr>
          <w:rStyle w:val="Textoennegrita"/>
          <w:b w:val="0"/>
        </w:rPr>
        <w:t>perspectiva del ámbito prescriptor y pagador</w:t>
      </w:r>
      <w:r>
        <w:t xml:space="preserve">, la alternativa al envase multidosis </w:t>
      </w:r>
      <w:r w:rsidRPr="00600136">
        <w:rPr>
          <w:rStyle w:val="Textoennegrita"/>
          <w:b w:val="0"/>
        </w:rPr>
        <w:t>no implica costes adicionales para la farmacia</w:t>
      </w:r>
      <w:r>
        <w:t xml:space="preserve">, ya que el producto a sustituir no requiere ni </w:t>
      </w:r>
      <w:r w:rsidR="007C55D9">
        <w:t>manipulación ni fragmentación. “</w:t>
      </w:r>
      <w:r>
        <w:t xml:space="preserve">Más allá del impacto sanitario, este sistema supondría una reducción del gasto vinculado a la prescripción, una reducción de la factura de farmacia para el </w:t>
      </w:r>
      <w:hyperlink r:id="rId513" w:tgtFrame="_blank" w:tooltip="Este enlace se abrirá en una ventana nueva: Web del organismo" w:history="1">
        <w:r w:rsidRPr="00EE2B60">
          <w:rPr>
            <w:rStyle w:val="Hipervnculo"/>
            <w:rFonts w:eastAsiaTheme="majorEastAsia"/>
            <w:color w:val="auto"/>
          </w:rPr>
          <w:t>Sistema Nacional de Salud,</w:t>
        </w:r>
      </w:hyperlink>
      <w:r>
        <w:t xml:space="preserve"> situar el stock de medicamentos donde debe estar y la reducción de los stocks domiciliarios, al menos de aquellos medicamentos que objetivamente no es conveniente que sean apli</w:t>
      </w:r>
      <w:r w:rsidR="00580594">
        <w:t>cados sin un diagnóstico previo”</w:t>
      </w:r>
      <w:r>
        <w:t>, sentencia el estudio. </w:t>
      </w:r>
    </w:p>
    <w:p w:rsidR="003E7174" w:rsidRPr="009F66FC" w:rsidRDefault="003E7174" w:rsidP="00550638">
      <w:pPr>
        <w:pStyle w:val="NormalWeb"/>
        <w:jc w:val="both"/>
        <w:rPr>
          <w:b/>
        </w:rPr>
      </w:pPr>
      <w:r w:rsidRPr="009F66FC">
        <w:rPr>
          <w:rStyle w:val="Textoennegrita"/>
          <w:b w:val="0"/>
        </w:rPr>
        <w:t>Los pacientes, a favor</w:t>
      </w:r>
    </w:p>
    <w:p w:rsidR="003E7174" w:rsidRDefault="003E7174" w:rsidP="00550638">
      <w:pPr>
        <w:pStyle w:val="NormalWeb"/>
        <w:jc w:val="both"/>
      </w:pPr>
      <w:r>
        <w:t xml:space="preserve">Aunque las autoridades sanitarias en España todavía no están movilizadas en este aspecto, en países como </w:t>
      </w:r>
      <w:r w:rsidRPr="00600136">
        <w:rPr>
          <w:rStyle w:val="Textoennegrita"/>
          <w:b w:val="0"/>
        </w:rPr>
        <w:t>Francia sí se está debatiendo</w:t>
      </w:r>
      <w:r>
        <w:t xml:space="preserve"> sobre este sistema. La ministra de Sanidad gala está planteando la implantación de medicamentos unidosis como una </w:t>
      </w:r>
      <w:r w:rsidRPr="00600136">
        <w:rPr>
          <w:rStyle w:val="Textoennegrita"/>
          <w:b w:val="0"/>
        </w:rPr>
        <w:t>medida beneficiosa para el paciente y la sociedad</w:t>
      </w:r>
      <w:r w:rsidRPr="00600136">
        <w:rPr>
          <w:b/>
        </w:rPr>
        <w:t>,</w:t>
      </w:r>
      <w:r>
        <w:t xml:space="preserve"> y el </w:t>
      </w:r>
      <w:hyperlink r:id="rId514" w:tgtFrame="_blank" w:tooltip="Este enlace se abrirá en una ventana nueva: Le Figaro" w:history="1">
        <w:r w:rsidRPr="009F66FC">
          <w:rPr>
            <w:rStyle w:val="Hipervnculo"/>
            <w:rFonts w:eastAsiaTheme="majorEastAsia"/>
            <w:color w:val="auto"/>
          </w:rPr>
          <w:t xml:space="preserve">diario </w:t>
        </w:r>
        <w:r w:rsidRPr="009F66FC">
          <w:rPr>
            <w:rStyle w:val="nfasis"/>
            <w:rFonts w:eastAsiaTheme="majorEastAsia"/>
            <w:u w:val="single"/>
          </w:rPr>
          <w:t>Le Figaro</w:t>
        </w:r>
      </w:hyperlink>
      <w:r>
        <w:t xml:space="preserve"> ha publicado una encuesta realizada a 15.000 franceses que refleja que el 80% está a favor de que se imponga este sistema. </w:t>
      </w:r>
    </w:p>
    <w:p w:rsidR="003E7174" w:rsidRPr="003165B0" w:rsidRDefault="003E7174" w:rsidP="00550638">
      <w:pPr>
        <w:pStyle w:val="NormalWeb"/>
        <w:jc w:val="both"/>
      </w:pPr>
      <w:r>
        <w:lastRenderedPageBreak/>
        <w:t xml:space="preserve">En España también han sido los pacientes los que se han mostrado favorables a este tipo de medidas. Uno de los ejemplos es la </w:t>
      </w:r>
      <w:hyperlink r:id="rId515" w:tgtFrame="_blank" w:tooltip="Este enlace se abrirá en una ventana nueva: Petición en Change.org" w:history="1">
        <w:r w:rsidRPr="009F66FC">
          <w:rPr>
            <w:rStyle w:val="Hipervnculo"/>
            <w:rFonts w:eastAsiaTheme="majorEastAsia"/>
            <w:color w:val="auto"/>
          </w:rPr>
          <w:t>petición creada</w:t>
        </w:r>
      </w:hyperlink>
      <w:r>
        <w:t xml:space="preserve"> en la plataforma de acción ciudadana </w:t>
      </w:r>
      <w:hyperlink r:id="rId516" w:tgtFrame="_blank" w:tooltip="Este enlace se abrirá en una ventana nueva: Web de peticiones ciudadanas" w:history="1">
        <w:r w:rsidRPr="009E6042">
          <w:rPr>
            <w:rStyle w:val="Textoennegrita"/>
            <w:b w:val="0"/>
            <w:i/>
            <w:u w:val="single"/>
          </w:rPr>
          <w:t>Change.org</w:t>
        </w:r>
      </w:hyperlink>
      <w:r w:rsidRPr="009E6042">
        <w:rPr>
          <w:b/>
          <w:i/>
        </w:rPr>
        <w:t>,</w:t>
      </w:r>
      <w:r w:rsidRPr="009F66FC">
        <w:t xml:space="preserve"> donde se solicita al </w:t>
      </w:r>
      <w:hyperlink r:id="rId517" w:tgtFrame="_blank" w:tooltip="Este enlace se abrirá en una ventana nueva: Web del organismo" w:history="1">
        <w:r w:rsidRPr="009F66FC">
          <w:rPr>
            <w:rStyle w:val="Hipervnculo"/>
            <w:rFonts w:eastAsiaTheme="majorEastAsia"/>
            <w:color w:val="auto"/>
          </w:rPr>
          <w:t>Ministerio de Sanidad</w:t>
        </w:r>
      </w:hyperlink>
      <w:r w:rsidRPr="009F66FC">
        <w:t xml:space="preserve"> </w:t>
      </w:r>
      <w:r>
        <w:t xml:space="preserve">que se puedan dispensar los medicamentos por unidades. Esta iniciativa ha recibido ya el </w:t>
      </w:r>
      <w:r w:rsidRPr="00600136">
        <w:rPr>
          <w:rStyle w:val="Textoennegrita"/>
          <w:b w:val="0"/>
        </w:rPr>
        <w:t>apoyo de 150.086 personas</w:t>
      </w:r>
      <w:r w:rsidRPr="00600136">
        <w:rPr>
          <w:b/>
        </w:rPr>
        <w:t xml:space="preserve"> </w:t>
      </w:r>
      <w:r>
        <w:t>y sigue siendo una de las reclamaciones de algu</w:t>
      </w:r>
      <w:r w:rsidR="009F66FC">
        <w:t>nas asociaciones de pacientes. “</w:t>
      </w:r>
      <w:r>
        <w:t>Ayer tuve que comprar una caja con 30 comprimidos para mi hijo, que necesita un tratamiento de sólo ¡dos pastillas! Llevaré las 28 pastillas restantes a su pediatra, por si ella puede dárselas a otros padres que puedan evitar así e</w:t>
      </w:r>
      <w:r w:rsidR="009F66FC">
        <w:t>sta compra inútil, por excesiva”</w:t>
      </w:r>
      <w:r>
        <w:t>, explica el autor de la petición. </w:t>
      </w:r>
    </w:p>
    <w:p w:rsidR="003E7174" w:rsidRPr="00875DA5" w:rsidRDefault="003E7174" w:rsidP="00550638">
      <w:pPr>
        <w:pStyle w:val="NormalWeb"/>
        <w:jc w:val="both"/>
      </w:pPr>
      <w:r>
        <w:t xml:space="preserve">- </w:t>
      </w:r>
      <w:r w:rsidRPr="00875DA5">
        <w:rPr>
          <w:u w:val="single"/>
        </w:rPr>
        <w:t>España mantiene una de las coberturas</w:t>
      </w:r>
      <w:r w:rsidR="009F66FC">
        <w:rPr>
          <w:u w:val="single"/>
        </w:rPr>
        <w:t xml:space="preserve"> de salud más amplias para los “sin papeles”</w:t>
      </w:r>
      <w:r>
        <w:t xml:space="preserve"> (El Economista - </w:t>
      </w:r>
      <w:r w:rsidRPr="00875DA5">
        <w:rPr>
          <w:b/>
        </w:rPr>
        <w:t>14/10/13</w:t>
      </w:r>
      <w:r>
        <w:t>)</w:t>
      </w:r>
      <w:r w:rsidR="009F66FC">
        <w:t xml:space="preserve">                                                                     Lectura recomendada</w:t>
      </w:r>
    </w:p>
    <w:p w:rsidR="003E7174" w:rsidRPr="00875DA5" w:rsidRDefault="003E7174" w:rsidP="00550638">
      <w:pPr>
        <w:pStyle w:val="NormalWeb"/>
        <w:jc w:val="both"/>
      </w:pPr>
      <w:r w:rsidRPr="00875DA5">
        <w:t>Ningún país europeo existe el derecho a la pro</w:t>
      </w:r>
      <w:r w:rsidR="009F66FC">
        <w:t>tección y asistencia sanitaria “universal”</w:t>
      </w:r>
      <w:r w:rsidRPr="00875DA5">
        <w:t xml:space="preserve"> que reclaman los socialistas. Todos los sistemas públicos recogen, en mayor o menor grado, limitaciones que, antes de la reforma sanitaria aprobada por el Gobierno en 2012, no existían en España. </w:t>
      </w:r>
    </w:p>
    <w:p w:rsidR="003E7174" w:rsidRPr="00875DA5" w:rsidRDefault="003E7174" w:rsidP="00550638">
      <w:pPr>
        <w:pStyle w:val="NormalWeb"/>
        <w:jc w:val="both"/>
      </w:pPr>
      <w:r w:rsidRPr="006F10BE">
        <w:rPr>
          <w:u w:val="single"/>
        </w:rPr>
        <w:t>La asistencia sanitaria a los extranjeros en situación irregular se ha convertido en uno de los grandes obstáculos para firmar el Pacto por la Sanidad que ansía el Gobierno</w:t>
      </w:r>
      <w:r w:rsidRPr="00875DA5">
        <w:t xml:space="preserve">. </w:t>
      </w:r>
      <w:r w:rsidRPr="006F10BE">
        <w:rPr>
          <w:u w:val="single"/>
        </w:rPr>
        <w:t>El Grupo Parlamentario Socialista aprobó el pasado jueves una Moc</w:t>
      </w:r>
      <w:r w:rsidR="009F66FC">
        <w:rPr>
          <w:u w:val="single"/>
        </w:rPr>
        <w:t>ión donde insta al Ejecutivo a “</w:t>
      </w:r>
      <w:r w:rsidRPr="006F10BE">
        <w:rPr>
          <w:u w:val="single"/>
        </w:rPr>
        <w:t>recuperar el carácter universal del derecho a la protección a la salud y a la atención sanitaria a todos los ciudadanos, incluyendo a los inm</w:t>
      </w:r>
      <w:r w:rsidR="009F66FC">
        <w:rPr>
          <w:u w:val="single"/>
        </w:rPr>
        <w:t>igrantes en situación irregular”</w:t>
      </w:r>
      <w:r w:rsidRPr="00875DA5">
        <w:t xml:space="preserve">. Con esta iniciativa los socialistas reclaman la derogación del Real Decreto Ley 16/2012, que, en opinión de la secretaria de Política Social del PSOE, Trinidad Jiménez, supone un </w:t>
      </w:r>
      <w:r w:rsidR="009F66FC">
        <w:t>“</w:t>
      </w:r>
      <w:r w:rsidRPr="00875DA5">
        <w:t>at</w:t>
      </w:r>
      <w:r w:rsidR="009F66FC">
        <w:t>aque directo a la universalidad”</w:t>
      </w:r>
      <w:r w:rsidRPr="00875DA5">
        <w:t xml:space="preserve"> del </w:t>
      </w:r>
      <w:r w:rsidR="009F66FC">
        <w:t>Sistema Nacional de Salud y la “</w:t>
      </w:r>
      <w:r w:rsidRPr="00875DA5">
        <w:t>ruptura del consenso que hab</w:t>
      </w:r>
      <w:r w:rsidR="009F66FC">
        <w:t>ía imperado los últimos 35 años”</w:t>
      </w:r>
      <w:r w:rsidRPr="00875DA5">
        <w:t>, según denunció el viernes en el Congreso.</w:t>
      </w:r>
    </w:p>
    <w:p w:rsidR="003E7174" w:rsidRPr="009F66FC" w:rsidRDefault="003E7174" w:rsidP="00550638">
      <w:pPr>
        <w:pStyle w:val="Ttulo2"/>
        <w:spacing w:line="240" w:lineRule="auto"/>
        <w:jc w:val="both"/>
        <w:rPr>
          <w:rFonts w:ascii="Times New Roman" w:hAnsi="Times New Roman" w:cs="Times New Roman"/>
          <w:b w:val="0"/>
          <w:color w:val="auto"/>
          <w:sz w:val="24"/>
          <w:szCs w:val="24"/>
        </w:rPr>
      </w:pPr>
      <w:r w:rsidRPr="009F66FC">
        <w:rPr>
          <w:rFonts w:ascii="Times New Roman" w:hAnsi="Times New Roman" w:cs="Times New Roman"/>
          <w:b w:val="0"/>
          <w:color w:val="auto"/>
          <w:sz w:val="24"/>
          <w:szCs w:val="24"/>
        </w:rPr>
        <w:t>Asistencia a extranjeros</w:t>
      </w:r>
    </w:p>
    <w:p w:rsidR="003E7174" w:rsidRPr="006F10BE" w:rsidRDefault="003E7174" w:rsidP="00550638">
      <w:pPr>
        <w:pStyle w:val="NormalWeb"/>
        <w:jc w:val="both"/>
        <w:rPr>
          <w:u w:val="single"/>
        </w:rPr>
      </w:pPr>
      <w:r w:rsidRPr="006F10BE">
        <w:rPr>
          <w:u w:val="single"/>
        </w:rPr>
        <w:t>Pero lo cierto es que en ningún país europeo existe el derecho a la pro</w:t>
      </w:r>
      <w:r w:rsidR="009F66FC">
        <w:rPr>
          <w:u w:val="single"/>
        </w:rPr>
        <w:t>tección y asistencia sanitaria “universal”</w:t>
      </w:r>
      <w:r w:rsidRPr="006F10BE">
        <w:rPr>
          <w:u w:val="single"/>
        </w:rPr>
        <w:t xml:space="preserve"> que reclaman los socialistas. Todos los sistemas públicos recogen, en mayor o menor grado, limitaciones que, antes de la reforma sanitaria aprobada por el Gobierno en 2012, no existían en España y que fueron puestos en evidencia en </w:t>
      </w:r>
      <w:r w:rsidRPr="006F10BE">
        <w:rPr>
          <w:b/>
          <w:bCs/>
          <w:u w:val="single"/>
        </w:rPr>
        <w:t>un informe del Tribunal de Cuentas que elevó el coste de la asistencia a extranjeros hasta los 917 millones de euros, de los que 639 millones no pudieron ser facturados a sus países de origen.</w:t>
      </w:r>
    </w:p>
    <w:p w:rsidR="003E7174" w:rsidRPr="00EA75C1" w:rsidRDefault="003E7174" w:rsidP="00550638">
      <w:pPr>
        <w:pStyle w:val="NormalWeb"/>
        <w:jc w:val="both"/>
        <w:rPr>
          <w:u w:val="single"/>
        </w:rPr>
      </w:pPr>
      <w:r w:rsidRPr="006F10BE">
        <w:rPr>
          <w:color w:val="FF0000"/>
          <w:u w:val="single"/>
        </w:rPr>
        <w:t>A pesar de que la nueva normativa restringe la cobertura sanitaria a los extranjeros en situación irregular a accidentes y urgencias, embarazadas y menores de 18 años, en las mismas condiciones que los asegurados nacionales, el modelo español actual es homologable al de otros países de la UE e incluso más generoso si se compara con los sistemas de países como Austria y Suecia, que están cerrados para los inmigrantes ilegales</w:t>
      </w:r>
      <w:r w:rsidRPr="00875DA5">
        <w:t xml:space="preserve">. </w:t>
      </w:r>
      <w:r w:rsidRPr="006F10BE">
        <w:rPr>
          <w:color w:val="FF0000"/>
          <w:u w:val="single"/>
        </w:rPr>
        <w:t xml:space="preserve">En otros casos, se impone una limitación temporal. </w:t>
      </w:r>
      <w:r w:rsidRPr="00253E1A">
        <w:rPr>
          <w:b/>
          <w:bCs/>
          <w:u w:val="single"/>
        </w:rPr>
        <w:t xml:space="preserve">Francia, </w:t>
      </w:r>
      <w:r w:rsidRPr="00EA75C1">
        <w:rPr>
          <w:b/>
          <w:bCs/>
          <w:u w:val="single"/>
        </w:rPr>
        <w:t>por ejemplo, ofrece una carta de Asistencia Médica del Estado (AME) y la asistencia sanitaria urgente a los irregulares que acrediten una estancia irregular superior a tres meses e ingresos bajos.</w:t>
      </w:r>
      <w:r w:rsidRPr="00EA75C1">
        <w:t xml:space="preserve"> </w:t>
      </w:r>
      <w:r w:rsidRPr="00EA75C1">
        <w:rPr>
          <w:u w:val="single"/>
        </w:rPr>
        <w:t xml:space="preserve">La tarjeta tiene un año de duración y se renueva si se mantienen los requisitos exigidos. Las prestaciones cubiertas incluyen la consulta médica y la hospitalización, así como los gastos de transporte y ciertas categorías de medicamentos. </w:t>
      </w:r>
      <w:r w:rsidRPr="00EA75C1">
        <w:rPr>
          <w:u w:val="single"/>
        </w:rPr>
        <w:lastRenderedPageBreak/>
        <w:t>En el caso de una intervención quirúrgica no urgente (planificada con 15 días de antelación) que cueste más de 15.000 euros, el extranjero ha de justificar una estancia superior a un año, según los datos recabados por elEconomista.</w:t>
      </w:r>
    </w:p>
    <w:p w:rsidR="003E7174" w:rsidRPr="00EA75C1" w:rsidRDefault="003E7174" w:rsidP="00550638">
      <w:pPr>
        <w:pStyle w:val="NormalWeb"/>
        <w:jc w:val="both"/>
        <w:rPr>
          <w:u w:val="single"/>
        </w:rPr>
      </w:pPr>
      <w:r w:rsidRPr="00EA75C1">
        <w:rPr>
          <w:color w:val="FF0000"/>
          <w:u w:val="single"/>
        </w:rPr>
        <w:t xml:space="preserve">Italia </w:t>
      </w:r>
      <w:r w:rsidRPr="00EA75C1">
        <w:rPr>
          <w:u w:val="single"/>
        </w:rPr>
        <w:t>también presta asistencia sanitaria a extranjeros en situación irregular a través de la tarjeta STP (Extranjero Temporalmente Presente), que garantiza asistenc</w:t>
      </w:r>
      <w:r w:rsidR="009F66FC">
        <w:rPr>
          <w:u w:val="single"/>
        </w:rPr>
        <w:t>ia ambulatoria y hospitalaria, “</w:t>
      </w:r>
      <w:r w:rsidRPr="00EA75C1">
        <w:rPr>
          <w:u w:val="single"/>
        </w:rPr>
        <w:t xml:space="preserve">por enfermedad y accidente, urgente o considerada </w:t>
      </w:r>
      <w:r w:rsidR="009F66FC">
        <w:rPr>
          <w:u w:val="single"/>
        </w:rPr>
        <w:t>esencial, aunque sea continuada”</w:t>
      </w:r>
      <w:r w:rsidRPr="00EA75C1">
        <w:rPr>
          <w:u w:val="single"/>
        </w:rPr>
        <w:t>. La atención de médicos especialistas se grava con un copago.</w:t>
      </w:r>
    </w:p>
    <w:p w:rsidR="003E7174" w:rsidRPr="00EA75C1" w:rsidRDefault="003E7174" w:rsidP="00550638">
      <w:pPr>
        <w:pStyle w:val="NormalWeb"/>
        <w:jc w:val="both"/>
        <w:rPr>
          <w:u w:val="single"/>
        </w:rPr>
      </w:pPr>
      <w:r w:rsidRPr="00EA75C1">
        <w:rPr>
          <w:b/>
          <w:bCs/>
          <w:u w:val="single"/>
        </w:rPr>
        <w:t xml:space="preserve">Más difícil lo tienen los extranjeros irregulares en los países nórdicos. En </w:t>
      </w:r>
      <w:r w:rsidRPr="00EA75C1">
        <w:rPr>
          <w:b/>
          <w:bCs/>
          <w:color w:val="FF0000"/>
          <w:u w:val="single"/>
        </w:rPr>
        <w:t>Dinamarca</w:t>
      </w:r>
      <w:r w:rsidRPr="00EA75C1">
        <w:rPr>
          <w:b/>
          <w:bCs/>
          <w:u w:val="single"/>
        </w:rPr>
        <w:t xml:space="preserve"> sólo tienen derecho de asistencia de urgencia, en situaciones de accidente, enfermedad grave repentina, parto y empeoramiento de una enfermedad crónica. Este tipo de ayuda sólo se presta de forma gratuita en hospitales</w:t>
      </w:r>
      <w:r w:rsidRPr="00EA75C1">
        <w:rPr>
          <w:u w:val="single"/>
        </w:rPr>
        <w:t>, si bien su tratamiento posterior y seguimiento es de pago.</w:t>
      </w:r>
    </w:p>
    <w:p w:rsidR="003E7174" w:rsidRPr="00EA75C1" w:rsidRDefault="003E7174" w:rsidP="00550638">
      <w:pPr>
        <w:pStyle w:val="NormalWeb"/>
        <w:jc w:val="both"/>
        <w:rPr>
          <w:u w:val="single"/>
        </w:rPr>
      </w:pPr>
      <w:r w:rsidRPr="00EA75C1">
        <w:rPr>
          <w:color w:val="FF0000"/>
          <w:u w:val="single"/>
        </w:rPr>
        <w:t>Suecia</w:t>
      </w:r>
      <w:r w:rsidRPr="00EA75C1">
        <w:rPr>
          <w:u w:val="single"/>
        </w:rPr>
        <w:t xml:space="preserve"> también aplica una política restrictiva. Los extranjeros mayores de 18 años sin papeles sólo tienen acceso de pago a la asistencia médica de urgencia por enfermedad grave o accidente. </w:t>
      </w:r>
    </w:p>
    <w:p w:rsidR="003E7174" w:rsidRPr="009F66FC" w:rsidRDefault="003E7174" w:rsidP="00550638">
      <w:pPr>
        <w:pStyle w:val="NormalWeb"/>
        <w:jc w:val="both"/>
        <w:rPr>
          <w:u w:val="single"/>
        </w:rPr>
      </w:pPr>
      <w:r w:rsidRPr="00EA75C1">
        <w:rPr>
          <w:u w:val="single"/>
        </w:rPr>
        <w:t xml:space="preserve">Por su parte, </w:t>
      </w:r>
      <w:r w:rsidRPr="00EA75C1">
        <w:rPr>
          <w:color w:val="FF0000"/>
          <w:u w:val="single"/>
        </w:rPr>
        <w:t>Alemania</w:t>
      </w:r>
      <w:r w:rsidRPr="00EA75C1">
        <w:rPr>
          <w:u w:val="single"/>
        </w:rPr>
        <w:t xml:space="preserve"> ofrece una red de seguridad más extensa. Comprende toda terapia médica y odontológica necesaria para el tratamiento y curación de enfermedades de carácter agudo y situaciones de dolor. Para que los costes sean cubiertos a través de los fondos públicos, el extranjero en situación irregular debe solicitar un volante de atención sanitaria en la oficina de gestión de los subsidios de carácter social. Estas oficinas tienen la obligación legal de informar a las autoridades de la situación irregular del extr</w:t>
      </w:r>
      <w:r w:rsidR="009F66FC">
        <w:rPr>
          <w:u w:val="single"/>
        </w:rPr>
        <w:t>anjero.</w:t>
      </w:r>
    </w:p>
    <w:p w:rsidR="003E7174" w:rsidRDefault="003E7174"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104A3">
        <w:rPr>
          <w:rFonts w:ascii="Times New Roman" w:hAnsi="Times New Roman" w:cs="Times New Roman"/>
          <w:sz w:val="24"/>
          <w:szCs w:val="24"/>
          <w:u w:val="single"/>
        </w:rPr>
        <w:t>Verdades y mentiras sobre los chequeos médicos: ¿sirven de verdad para prevenir?</w:t>
      </w:r>
      <w:r>
        <w:rPr>
          <w:rFonts w:ascii="Times New Roman" w:hAnsi="Times New Roman" w:cs="Times New Roman"/>
          <w:sz w:val="24"/>
          <w:szCs w:val="24"/>
        </w:rPr>
        <w:t xml:space="preserve"> (El Confidencial - </w:t>
      </w:r>
      <w:r w:rsidRPr="00D104A3">
        <w:rPr>
          <w:rFonts w:ascii="Times New Roman" w:hAnsi="Times New Roman" w:cs="Times New Roman"/>
          <w:b/>
          <w:sz w:val="24"/>
          <w:szCs w:val="24"/>
        </w:rPr>
        <w:t>15/10/13</w:t>
      </w:r>
      <w:r>
        <w:rPr>
          <w:rFonts w:ascii="Times New Roman" w:hAnsi="Times New Roman" w:cs="Times New Roman"/>
          <w:sz w:val="24"/>
          <w:szCs w:val="24"/>
        </w:rPr>
        <w:t>)</w:t>
      </w:r>
    </w:p>
    <w:p w:rsidR="003E7174" w:rsidRPr="00D104A3" w:rsidRDefault="003E7174" w:rsidP="00550638">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(Por Patricia Matey)</w:t>
      </w:r>
      <w:r w:rsidR="009F66FC">
        <w:rPr>
          <w:rFonts w:ascii="Times New Roman" w:hAnsi="Times New Roman" w:cs="Times New Roman"/>
          <w:sz w:val="24"/>
          <w:szCs w:val="24"/>
        </w:rPr>
        <w:t xml:space="preserve">                                                                          Lectura recomendada</w:t>
      </w:r>
    </w:p>
    <w:p w:rsidR="003E7174" w:rsidRDefault="003E7174" w:rsidP="00550638">
      <w:pPr>
        <w:pStyle w:val="NormalWeb"/>
        <w:jc w:val="both"/>
      </w:pPr>
      <w:r>
        <w:t xml:space="preserve">Aunque todos queramos vivir cien años o más, la realidad siempre acaba imponiéndose y sólo unos pocos privilegiados llegan a centenarios: concretamente, serán 4 millones en todo el mundo en 2070. Sin embargo, hace ya tiempo que </w:t>
      </w:r>
      <w:r w:rsidRPr="00D35F72">
        <w:rPr>
          <w:rStyle w:val="Textoennegrita"/>
          <w:b w:val="0"/>
        </w:rPr>
        <w:t>la medicina preventiva hace malabares para cambiar las estadísticas demográficas</w:t>
      </w:r>
      <w:r>
        <w:t xml:space="preserve"> y prolongar en el mejor estado de salud posible la vida de los ciudadanos. </w:t>
      </w:r>
    </w:p>
    <w:p w:rsidR="003E7174" w:rsidRDefault="003E7174" w:rsidP="00550638">
      <w:pPr>
        <w:pStyle w:val="NormalWeb"/>
        <w:jc w:val="both"/>
      </w:pPr>
      <w:r>
        <w:t>En las últimas décadas, esta especialidad se ha abierto un importante hueco en la consulta de los profesionales sanitarios, sobre todo en las de atención Primaria, pero también entre las clínicas privadas y, cómo no, entre las aseguradoras.</w:t>
      </w:r>
    </w:p>
    <w:p w:rsidR="003E7174" w:rsidRDefault="003E7174" w:rsidP="00550638">
      <w:pPr>
        <w:pStyle w:val="NormalWeb"/>
        <w:jc w:val="both"/>
      </w:pPr>
      <w:r>
        <w:t xml:space="preserve">Numerosos centros cuentan ya con </w:t>
      </w:r>
      <w:r w:rsidRPr="00D35F72">
        <w:rPr>
          <w:rStyle w:val="Textoennegrita"/>
          <w:b w:val="0"/>
        </w:rPr>
        <w:t>Unidades de Chequeos Médicos</w:t>
      </w:r>
      <w:r>
        <w:t xml:space="preserve"> dirigidas por equipos multidisciplinares. También desde hace tiempo las principales aseguradoras (DKV, Adeslas, Mapfre, Sanitas y Asisa) incluyen en su cartera de servicios estos exámenes periódicos que realizan a sus clientes (usuarios de sus tarjetas) y a otros particulares a través de su red de centros sanitarios por un precio que oscila entre los 1.500 y los 2.500 euros.</w:t>
      </w:r>
    </w:p>
    <w:p w:rsidR="003E7174" w:rsidRPr="00D35F72" w:rsidRDefault="003E7174" w:rsidP="00550638">
      <w:pPr>
        <w:pStyle w:val="NormalWeb"/>
        <w:jc w:val="both"/>
        <w:rPr>
          <w:b/>
        </w:rPr>
      </w:pPr>
      <w:r>
        <w:lastRenderedPageBreak/>
        <w:t>Y la mayoría de ellas también mantiene acuerdos con grandes empresas para facilitar estas revisiones anuales a sus altos ejecutivos como parte de sus contratos, en un intento por preservar su salud y, de paso, asegurarse su rendimiento laboral</w:t>
      </w:r>
      <w:r w:rsidR="009F66FC">
        <w:t>. Como nadie duda que la salud “</w:t>
      </w:r>
      <w:r>
        <w:t>no tiene precio</w:t>
      </w:r>
      <w:r w:rsidR="009F66FC">
        <w:t>”</w:t>
      </w:r>
      <w:r>
        <w:t xml:space="preserve">, </w:t>
      </w:r>
      <w:r w:rsidR="009F66FC" w:rsidRPr="00D35F72">
        <w:rPr>
          <w:rStyle w:val="Textoennegrita"/>
          <w:b w:val="0"/>
        </w:rPr>
        <w:t>incluso hay empresas que “premian”</w:t>
      </w:r>
      <w:r w:rsidRPr="00D35F72">
        <w:rPr>
          <w:rStyle w:val="Textoennegrita"/>
          <w:b w:val="0"/>
        </w:rPr>
        <w:t xml:space="preserve"> a sus directivos y empleados con chequeos VIP</w:t>
      </w:r>
      <w:r w:rsidRPr="00D35F72">
        <w:rPr>
          <w:b/>
        </w:rPr>
        <w:t>.</w:t>
      </w:r>
    </w:p>
    <w:p w:rsidR="003E7174" w:rsidRDefault="003E7174" w:rsidP="00550638">
      <w:pPr>
        <w:pStyle w:val="NormalWeb"/>
        <w:jc w:val="both"/>
      </w:pPr>
      <w:r>
        <w:t xml:space="preserve">Rizando el rizo, lo último en llegar es el Reconocimiento Deportivo Avanzado, que ofrece a los ciudadanos de a pie </w:t>
      </w:r>
      <w:r w:rsidRPr="00D35F72">
        <w:rPr>
          <w:b/>
        </w:rPr>
        <w:t xml:space="preserve">la </w:t>
      </w:r>
      <w:r w:rsidRPr="00D35F72">
        <w:rPr>
          <w:rStyle w:val="Textoennegrita"/>
          <w:b w:val="0"/>
        </w:rPr>
        <w:t>posibilidad de someterse a las pruebas que se realizan los deportistas de élite.</w:t>
      </w:r>
      <w:r>
        <w:t xml:space="preserve"> Indicado para los que realizan cierta actividad física, se lleva a cabo en dos horas e incluye un examen cardiaco (electrocardiograma, ecocardiograma, prueba de esfuerzo), valoración nutricional, estudio biomecánico y masaje en burbuja de oxígeno, entre otras pruebas.</w:t>
      </w:r>
    </w:p>
    <w:p w:rsidR="003E7174" w:rsidRPr="00D35F72" w:rsidRDefault="003E7174" w:rsidP="00550638">
      <w:pPr>
        <w:pStyle w:val="NormalWeb"/>
        <w:jc w:val="both"/>
        <w:rPr>
          <w:b/>
          <w:color w:val="FF0000"/>
          <w:u w:val="single"/>
        </w:rPr>
      </w:pPr>
      <w:r w:rsidRPr="00155013">
        <w:rPr>
          <w:color w:val="FF0000"/>
          <w:u w:val="single"/>
        </w:rPr>
        <w:t xml:space="preserve">No existe, según </w:t>
      </w:r>
      <w:r w:rsidRPr="00D35F72">
        <w:rPr>
          <w:rStyle w:val="Textoennegrita"/>
          <w:b w:val="0"/>
          <w:color w:val="FF0000"/>
          <w:u w:val="single"/>
        </w:rPr>
        <w:t>Raquel Lana Soto</w:t>
      </w:r>
      <w:r w:rsidRPr="00D35F72">
        <w:rPr>
          <w:b/>
          <w:color w:val="FF0000"/>
          <w:u w:val="single"/>
        </w:rPr>
        <w:t>,</w:t>
      </w:r>
      <w:r w:rsidRPr="00155013">
        <w:rPr>
          <w:color w:val="FF0000"/>
          <w:u w:val="single"/>
        </w:rPr>
        <w:t xml:space="preserve"> especialista en Medicina Interna del Hospital Universitario Clínico San Carlos de Madrid, “el chequeo perfecto, ese sería el sueño de cualquier médico, nos permitiría hacer medicina preventiva plena. Se corre el riesgo de que si el chequeo es muy exhaustivo y se hacen muchas pruebas complementarias, un gran número de ellas no tengan ninguna indicación en ese paciente y se le someta a </w:t>
      </w:r>
      <w:r w:rsidRPr="00D35F72">
        <w:rPr>
          <w:rStyle w:val="Textoennegrita"/>
          <w:b w:val="0"/>
          <w:color w:val="FF0000"/>
          <w:u w:val="single"/>
        </w:rPr>
        <w:t>exploraciones innecesarias, algunas con posibles complicaciones o efectos secundarios”.</w:t>
      </w:r>
    </w:p>
    <w:p w:rsidR="003E7174" w:rsidRPr="009F66FC" w:rsidRDefault="003E7174" w:rsidP="00550638">
      <w:pPr>
        <w:pStyle w:val="NormalWeb"/>
        <w:jc w:val="both"/>
        <w:rPr>
          <w:b/>
        </w:rPr>
      </w:pPr>
      <w:r w:rsidRPr="009F66FC">
        <w:rPr>
          <w:rStyle w:val="Textoennegrita"/>
          <w:b w:val="0"/>
        </w:rPr>
        <w:t>Su utilidad en el punto de mira</w:t>
      </w:r>
    </w:p>
    <w:p w:rsidR="003E7174" w:rsidRPr="009A6BB2" w:rsidRDefault="003E7174" w:rsidP="00550638">
      <w:pPr>
        <w:pStyle w:val="NormalWeb"/>
        <w:jc w:val="both"/>
        <w:rPr>
          <w:u w:val="single"/>
        </w:rPr>
      </w:pPr>
      <w:r>
        <w:t xml:space="preserve">Un dato sobre el que se apuntala parte de la polémica sobre la utilidad real de las ‘baterías’ de pruebas. </w:t>
      </w:r>
      <w:r w:rsidRPr="009A6BB2">
        <w:rPr>
          <w:u w:val="single"/>
        </w:rPr>
        <w:t xml:space="preserve">El debate lleva sobre la mesa mucho tiempo alimentado también en ocasiones por revisiones científicas que dan al traste con su eficacia. Es el caso de una llevada a cabo el año pasado por la </w:t>
      </w:r>
      <w:hyperlink r:id="rId518" w:history="1">
        <w:r w:rsidRPr="009F66FC">
          <w:rPr>
            <w:rStyle w:val="Hipervnculo"/>
            <w:rFonts w:eastAsiaTheme="majorEastAsia"/>
            <w:color w:val="auto"/>
          </w:rPr>
          <w:t>Cochrane Collaboration</w:t>
        </w:r>
      </w:hyperlink>
      <w:r w:rsidRPr="009A6BB2">
        <w:rPr>
          <w:u w:val="single"/>
        </w:rPr>
        <w:t xml:space="preserve">, un grupo internacional que revisa la evidencia científica. Este grupo realizó un </w:t>
      </w:r>
      <w:r w:rsidR="00C16427" w:rsidRPr="009A6BB2">
        <w:rPr>
          <w:u w:val="single"/>
        </w:rPr>
        <w:t>meta análisis</w:t>
      </w:r>
      <w:r w:rsidRPr="009A6BB2">
        <w:rPr>
          <w:u w:val="single"/>
        </w:rPr>
        <w:t xml:space="preserve"> y </w:t>
      </w:r>
      <w:r w:rsidRPr="00D35F72">
        <w:rPr>
          <w:rStyle w:val="Textoennegrita"/>
          <w:b w:val="0"/>
          <w:u w:val="single"/>
        </w:rPr>
        <w:t>llegó a la conclusión de que los chequeos generales de salud para los adultos no ayudaron</w:t>
      </w:r>
      <w:r w:rsidRPr="00D35F72">
        <w:rPr>
          <w:b/>
          <w:u w:val="single"/>
        </w:rPr>
        <w:t xml:space="preserve"> </w:t>
      </w:r>
      <w:r w:rsidRPr="009A6BB2">
        <w:rPr>
          <w:u w:val="single"/>
        </w:rPr>
        <w:t>a los pacientes a vivir más y con mejor salud. La investigación se llevó a cabo sobre 16 ensayos, 14 de los cuales contaban con más de 180.000 pacientes.</w:t>
      </w:r>
    </w:p>
    <w:p w:rsidR="003E7174" w:rsidRPr="009A6BB2" w:rsidRDefault="003E7174" w:rsidP="00550638">
      <w:pPr>
        <w:pStyle w:val="NormalWeb"/>
        <w:jc w:val="both"/>
        <w:rPr>
          <w:color w:val="FF0000"/>
          <w:u w:val="single"/>
        </w:rPr>
      </w:pPr>
      <w:r w:rsidRPr="009A6BB2">
        <w:rPr>
          <w:color w:val="FF0000"/>
          <w:u w:val="single"/>
        </w:rPr>
        <w:t xml:space="preserve">Los autores determinaron que las revisiones periódicas </w:t>
      </w:r>
      <w:r w:rsidRPr="00D35F72">
        <w:rPr>
          <w:rStyle w:val="Textoennegrita"/>
          <w:b w:val="0"/>
          <w:color w:val="FF0000"/>
          <w:u w:val="single"/>
        </w:rPr>
        <w:t>no parece que tengan ningún efecto sobre la mortalidad</w:t>
      </w:r>
      <w:r w:rsidRPr="009A6BB2">
        <w:rPr>
          <w:color w:val="FF0000"/>
          <w:u w:val="single"/>
        </w:rPr>
        <w:t xml:space="preserve"> o la morbilidad de quienes se someten a ellos y, sin embargo, sí que incrementan el número de diagnósticos y los diagnósticos falso positivos, así como la cantidad de medicamentos que acaban tomando, además de elevar la angustia ante los nuevos hallazgos.</w:t>
      </w:r>
    </w:p>
    <w:p w:rsidR="003E7174" w:rsidRPr="009A6BB2" w:rsidRDefault="003E7174" w:rsidP="00550638">
      <w:pPr>
        <w:pStyle w:val="NormalWeb"/>
        <w:jc w:val="both"/>
        <w:rPr>
          <w:u w:val="single"/>
        </w:rPr>
      </w:pPr>
      <w:r w:rsidRPr="009A6BB2">
        <w:rPr>
          <w:u w:val="single"/>
        </w:rPr>
        <w:t xml:space="preserve">Un jarro de agua fría al que parte de la comunidad científica intentó buscar una explicación. Una de ellas es que los ensayos estudiados en el </w:t>
      </w:r>
      <w:r w:rsidR="00C16427" w:rsidRPr="009A6BB2">
        <w:rPr>
          <w:u w:val="single"/>
        </w:rPr>
        <w:t>meta análisis</w:t>
      </w:r>
      <w:r w:rsidRPr="009A6BB2">
        <w:rPr>
          <w:u w:val="single"/>
        </w:rPr>
        <w:t xml:space="preserve"> son antiguos, algunos de ellos llevados a cabo cuando ciertas pruebas de cribado, como la mamografía, no se habían aún introducido</w:t>
      </w:r>
      <w:r>
        <w:t xml:space="preserve">. </w:t>
      </w:r>
      <w:r w:rsidRPr="009A6BB2">
        <w:rPr>
          <w:u w:val="single"/>
        </w:rPr>
        <w:t xml:space="preserve">Otros posibles razonamientos eran apuntados este año por la revista </w:t>
      </w:r>
      <w:hyperlink r:id="rId519" w:history="1">
        <w:r w:rsidRPr="009F66FC">
          <w:rPr>
            <w:rStyle w:val="Hipervnculo"/>
            <w:rFonts w:eastAsiaTheme="majorEastAsia"/>
            <w:color w:val="auto"/>
          </w:rPr>
          <w:t>JAMA</w:t>
        </w:r>
      </w:hyperlink>
      <w:r w:rsidRPr="009F66FC">
        <w:rPr>
          <w:u w:val="single"/>
        </w:rPr>
        <w:t xml:space="preserve"> </w:t>
      </w:r>
      <w:r w:rsidRPr="009A6BB2">
        <w:rPr>
          <w:u w:val="single"/>
        </w:rPr>
        <w:t xml:space="preserve">en un editorial: hasta un 60% de las muertes de las personas menores de 65 años (como los estudiados en los ensayos clínicos) se produjeron por accidentes, suicidio, homicidio, cáncer o cardiopatías hacia las cuales no estaban dirigidas las intervenciones preventivas de esos reconocimientos periódicos, por lo cual </w:t>
      </w:r>
      <w:r w:rsidRPr="00D35F72">
        <w:rPr>
          <w:rStyle w:val="Textoennegrita"/>
          <w:b w:val="0"/>
          <w:u w:val="single"/>
        </w:rPr>
        <w:t>es muy difícil detectar ese beneficio sobre la mortalidad</w:t>
      </w:r>
      <w:r w:rsidRPr="00D35F72">
        <w:rPr>
          <w:b/>
          <w:u w:val="single"/>
        </w:rPr>
        <w:t>,</w:t>
      </w:r>
      <w:r w:rsidRPr="009A6BB2">
        <w:rPr>
          <w:u w:val="single"/>
        </w:rPr>
        <w:t xml:space="preserve"> que, en todo caso, se manifestaría a más largo plazo.</w:t>
      </w:r>
    </w:p>
    <w:p w:rsidR="003E7174" w:rsidRPr="009A6BB2" w:rsidRDefault="003E7174" w:rsidP="00550638">
      <w:pPr>
        <w:pStyle w:val="NormalWeb"/>
        <w:jc w:val="both"/>
        <w:rPr>
          <w:u w:val="single"/>
        </w:rPr>
      </w:pPr>
      <w:r w:rsidRPr="009A6BB2">
        <w:rPr>
          <w:u w:val="single"/>
        </w:rPr>
        <w:t xml:space="preserve">Por último, que en casi todos estos ensayos, los reconocimientos se hicieron en centros específicos, diferentes de los propios de la atención Primaria y se realizaron una sola </w:t>
      </w:r>
      <w:r w:rsidRPr="009A6BB2">
        <w:rPr>
          <w:u w:val="single"/>
        </w:rPr>
        <w:lastRenderedPageBreak/>
        <w:t xml:space="preserve">vez, </w:t>
      </w:r>
      <w:r w:rsidRPr="00D35F72">
        <w:rPr>
          <w:rStyle w:val="Textoennegrita"/>
          <w:b w:val="0"/>
          <w:u w:val="single"/>
        </w:rPr>
        <w:t>no periódicamente, por lo que su efectividad puede verse alterada</w:t>
      </w:r>
      <w:r w:rsidRPr="009A6BB2">
        <w:rPr>
          <w:u w:val="single"/>
        </w:rPr>
        <w:t>. También hay que destacar que no se encontró beneficio en la mortalidad y morbilidad global, pero puede que determinados pacientes sí se beneficiarán de estas revisiones.</w:t>
      </w:r>
    </w:p>
    <w:p w:rsidR="003E7174" w:rsidRPr="009A6BB2" w:rsidRDefault="003E7174" w:rsidP="00550638">
      <w:pPr>
        <w:pStyle w:val="NormalWeb"/>
        <w:jc w:val="both"/>
        <w:rPr>
          <w:color w:val="FF0000"/>
          <w:u w:val="single"/>
        </w:rPr>
      </w:pPr>
      <w:r w:rsidRPr="009A6BB2">
        <w:rPr>
          <w:color w:val="FF0000"/>
          <w:u w:val="single"/>
        </w:rPr>
        <w:t>Otro de los aspectos que ha puesto en el punto de mir</w:t>
      </w:r>
      <w:r w:rsidR="00EE495A">
        <w:rPr>
          <w:color w:val="FF0000"/>
          <w:u w:val="single"/>
        </w:rPr>
        <w:t>a a los chequeos médicos es el “fracaso”</w:t>
      </w:r>
      <w:r w:rsidRPr="009A6BB2">
        <w:rPr>
          <w:color w:val="FF0000"/>
          <w:u w:val="single"/>
        </w:rPr>
        <w:t xml:space="preserve"> de algunas pruebas que se han utilizado durante años y posteriormente han resultado ineficaces. Así, se ha dejado de recomendar el análisis del antígeno prostático específico (PSA) </w:t>
      </w:r>
      <w:r w:rsidRPr="00D35F72">
        <w:rPr>
          <w:rStyle w:val="Textoennegrita"/>
          <w:b w:val="0"/>
          <w:color w:val="FF0000"/>
          <w:u w:val="single"/>
        </w:rPr>
        <w:t>para la detección precoz del cáncer de próstata</w:t>
      </w:r>
      <w:r w:rsidRPr="009A6BB2">
        <w:rPr>
          <w:color w:val="FF0000"/>
          <w:u w:val="single"/>
        </w:rPr>
        <w:t>, debido a que no aumenta la supervivencia y estaba disparando la realización de bi</w:t>
      </w:r>
      <w:r w:rsidR="009F66FC">
        <w:rPr>
          <w:color w:val="FF0000"/>
          <w:u w:val="single"/>
        </w:rPr>
        <w:t>opsias inútiles. También se ha “defenestrado”</w:t>
      </w:r>
      <w:r w:rsidRPr="009A6BB2">
        <w:rPr>
          <w:color w:val="FF0000"/>
          <w:u w:val="single"/>
        </w:rPr>
        <w:t xml:space="preserve"> al electrocardiograma de rutina, porque sólo indica la situación actual del paciente y no garantiza que no vaya a producirse un infarto poco después.</w:t>
      </w:r>
    </w:p>
    <w:p w:rsidR="003E7174" w:rsidRPr="009F66FC" w:rsidRDefault="003E7174" w:rsidP="00550638">
      <w:pPr>
        <w:pStyle w:val="NormalWeb"/>
        <w:jc w:val="both"/>
        <w:rPr>
          <w:b/>
        </w:rPr>
      </w:pPr>
      <w:r w:rsidRPr="009F66FC">
        <w:rPr>
          <w:rStyle w:val="Textoennegrita"/>
          <w:b w:val="0"/>
        </w:rPr>
        <w:t>Los especialistas destacan sus beneficios</w:t>
      </w:r>
    </w:p>
    <w:p w:rsidR="003E7174" w:rsidRPr="00D35F72" w:rsidRDefault="003E7174" w:rsidP="00550638">
      <w:pPr>
        <w:pStyle w:val="NormalWeb"/>
        <w:jc w:val="both"/>
        <w:rPr>
          <w:b/>
          <w:u w:val="single"/>
        </w:rPr>
      </w:pPr>
      <w:r w:rsidRPr="009A6BB2">
        <w:rPr>
          <w:u w:val="single"/>
        </w:rPr>
        <w:t xml:space="preserve">Los expertos consultados por </w:t>
      </w:r>
      <w:r w:rsidRPr="009A6BB2">
        <w:rPr>
          <w:rStyle w:val="nfasis"/>
          <w:rFonts w:eastAsiaTheme="majorEastAsia"/>
          <w:u w:val="single"/>
        </w:rPr>
        <w:t>El Confidencial</w:t>
      </w:r>
      <w:r w:rsidRPr="009A6BB2">
        <w:rPr>
          <w:u w:val="single"/>
        </w:rPr>
        <w:t xml:space="preserve"> coinciden en señalar las bondades de ciertos chequeos médicos para la detección de enfermedades prevalentes con el fin de modificar la historia natural de las mismas y promover la toma de conciencia sobre </w:t>
      </w:r>
      <w:r w:rsidRPr="00D35F72">
        <w:rPr>
          <w:rStyle w:val="Textoennegrita"/>
          <w:b w:val="0"/>
          <w:u w:val="single"/>
        </w:rPr>
        <w:t xml:space="preserve">el impacto que tiene el estilo de vida sobre la salud.  </w:t>
      </w:r>
    </w:p>
    <w:p w:rsidR="003E7174" w:rsidRPr="009F66FC" w:rsidRDefault="003E7174" w:rsidP="00550638">
      <w:pPr>
        <w:pStyle w:val="NormalWeb"/>
        <w:jc w:val="both"/>
        <w:rPr>
          <w:u w:val="single"/>
        </w:rPr>
      </w:pPr>
      <w:r w:rsidRPr="009A6BB2">
        <w:rPr>
          <w:u w:val="single"/>
        </w:rPr>
        <w:t>Este no es otro que el pilar lógico sobre el que se sustentan muchas de las prácticas preventivas, especialment</w:t>
      </w:r>
      <w:r w:rsidR="00EE495A">
        <w:rPr>
          <w:u w:val="single"/>
        </w:rPr>
        <w:t>e las conocidas como cribado o “screening”</w:t>
      </w:r>
      <w:r w:rsidRPr="009A6BB2">
        <w:rPr>
          <w:u w:val="single"/>
        </w:rPr>
        <w:t xml:space="preserve"> de la población. Un buen ejemplo son las </w:t>
      </w:r>
      <w:r w:rsidRPr="00D35F72">
        <w:rPr>
          <w:rStyle w:val="Textoennegrita"/>
          <w:b w:val="0"/>
          <w:u w:val="single"/>
        </w:rPr>
        <w:t>mamografías periódicas</w:t>
      </w:r>
      <w:r w:rsidRPr="009A6BB2">
        <w:rPr>
          <w:u w:val="single"/>
        </w:rPr>
        <w:t xml:space="preserve"> en mujeres a partir de los 45-50 años para la detección precoz del cáncer de mama. En EEUU, por ejemplo, actuaciones sanitarias como ésta se ordenan según la edad y el sexo en las recomendaciones preventivas que realiza </w:t>
      </w:r>
      <w:hyperlink r:id="rId520" w:anchor="cancer" w:history="1">
        <w:r w:rsidRPr="009F66FC">
          <w:rPr>
            <w:rStyle w:val="Hipervnculo"/>
            <w:rFonts w:eastAsiaTheme="majorEastAsia"/>
            <w:color w:val="auto"/>
          </w:rPr>
          <w:t>la US Preventive Services Task Force</w:t>
        </w:r>
      </w:hyperlink>
      <w:r w:rsidRPr="009F66FC">
        <w:rPr>
          <w:u w:val="single"/>
        </w:rPr>
        <w:t>. En España, se aplica desde hace tiempo el </w:t>
      </w:r>
      <w:hyperlink r:id="rId521" w:history="1">
        <w:r w:rsidRPr="009F66FC">
          <w:rPr>
            <w:rStyle w:val="Hipervnculo"/>
            <w:rFonts w:eastAsiaTheme="majorEastAsia"/>
            <w:color w:val="auto"/>
          </w:rPr>
          <w:t>Programa de Actividades Preventivas y de la Promoción de la Salud (PAPPS)</w:t>
        </w:r>
      </w:hyperlink>
      <w:r w:rsidRPr="009F66FC">
        <w:rPr>
          <w:u w:val="single"/>
        </w:rPr>
        <w:t xml:space="preserve"> de la Sociedad Española de Medicina de Familia y Comunitaria (semFYC).</w:t>
      </w:r>
    </w:p>
    <w:p w:rsidR="003E7174" w:rsidRPr="00D35F72" w:rsidRDefault="003E7174" w:rsidP="00550638">
      <w:pPr>
        <w:pStyle w:val="NormalWeb"/>
        <w:jc w:val="both"/>
        <w:rPr>
          <w:b/>
          <w:u w:val="single"/>
        </w:rPr>
      </w:pPr>
      <w:r w:rsidRPr="009F66FC">
        <w:rPr>
          <w:u w:val="single"/>
        </w:rPr>
        <w:t>Sin embargo, las fuentes consultadas admiten, en su mayoría, que nadie puede dar una opinión categórica sobre este tema</w:t>
      </w:r>
      <w:r w:rsidRPr="009F66FC">
        <w:t xml:space="preserve">. </w:t>
      </w:r>
      <w:hyperlink r:id="rId522" w:history="1">
        <w:r w:rsidRPr="009F66FC">
          <w:rPr>
            <w:rStyle w:val="Hipervnculo"/>
            <w:rFonts w:eastAsiaTheme="majorEastAsia"/>
            <w:color w:val="auto"/>
          </w:rPr>
          <w:t>Joaquín Lamela</w:t>
        </w:r>
      </w:hyperlink>
      <w:r w:rsidRPr="009F66FC">
        <w:t>, neumólogo, director de la Clínica Joaquín Lamela en Orense y miembro, entre otras insti</w:t>
      </w:r>
      <w:r>
        <w:t>tuciones, del Colegio Americano de Médicos del Tórax (ACCP)</w:t>
      </w:r>
      <w:r>
        <w:rPr>
          <w:rStyle w:val="Textoennegrita"/>
        </w:rPr>
        <w:t xml:space="preserve">, </w:t>
      </w:r>
      <w:r w:rsidRPr="00D35F72">
        <w:rPr>
          <w:rStyle w:val="Textoennegrita"/>
          <w:b w:val="0"/>
        </w:rPr>
        <w:t>indica: “Es complicado</w:t>
      </w:r>
      <w:r>
        <w:rPr>
          <w:rStyle w:val="Textoennegrita"/>
        </w:rPr>
        <w:t xml:space="preserve"> </w:t>
      </w:r>
      <w:r>
        <w:t xml:space="preserve">dar una respuesta categórica sobre la utilidad de los chequeos médicos. Imagínese que usted se hace un chequeo con un dermatólogo porque tiene muchos lunares y le diagnostica en uno de ellos un melanoma “in situ”; se lo reseca y le cura esta maldita enfermedad. Usted hablará maravillas de los chequeos. Ahora imagínese que yo me chequeo del pulmón porque he sido fumador, me dicen que mi TAC de tórax y yo estamos fenomenal y nueve meses después me diagnostican un cáncer de pulmón (que puede suceder). Hablaré pestes del chequeo. </w:t>
      </w:r>
      <w:r w:rsidRPr="009A6BB2">
        <w:rPr>
          <w:u w:val="single"/>
        </w:rPr>
        <w:t xml:space="preserve">Creo que el protagonismo de los chequeos se debe a que a pesar de la eficacia o no de ciertas pruebas también hay negocio detrás. </w:t>
      </w:r>
      <w:r w:rsidRPr="00D35F72">
        <w:rPr>
          <w:b/>
          <w:u w:val="single"/>
        </w:rPr>
        <w:t xml:space="preserve">Y </w:t>
      </w:r>
      <w:r w:rsidRPr="00D35F72">
        <w:rPr>
          <w:rStyle w:val="Textoennegrita"/>
          <w:b w:val="0"/>
          <w:u w:val="single"/>
        </w:rPr>
        <w:t>todo en la vida es un negocio. También en la sanidad</w:t>
      </w:r>
      <w:r w:rsidRPr="00D35F72">
        <w:rPr>
          <w:b/>
          <w:u w:val="single"/>
        </w:rPr>
        <w:t>”.</w:t>
      </w:r>
    </w:p>
    <w:p w:rsidR="003E7174" w:rsidRPr="009A6BB2" w:rsidRDefault="003E7174" w:rsidP="00550638">
      <w:pPr>
        <w:pStyle w:val="NormalWeb"/>
        <w:jc w:val="both"/>
        <w:rPr>
          <w:u w:val="single"/>
        </w:rPr>
      </w:pPr>
      <w:r w:rsidRPr="009A6BB2">
        <w:rPr>
          <w:u w:val="single"/>
        </w:rPr>
        <w:t xml:space="preserve">Admite, no obstante, que “todas las pruebas diagnósticas acreditadas pueden ser eficaces si están bien indicadas. Casi todas las enfermedades son tratables, la diferencia es que en unas se puede alcanzar la curación total y en otras, no. Por ejemplo, una TAC de tórax puede ser muy eficaz si diagnostica un pequeño nódulo pulmonar maligno (un cáncer in situ), y al enfermo se lo resecan y no vuelve a presentar recidiva del tumor el resto de su vida. </w:t>
      </w:r>
      <w:r w:rsidRPr="00580594">
        <w:rPr>
          <w:rStyle w:val="Textoennegrita"/>
          <w:b w:val="0"/>
          <w:u w:val="single"/>
        </w:rPr>
        <w:t xml:space="preserve">Pero creo </w:t>
      </w:r>
      <w:r w:rsidRPr="00D35F72">
        <w:rPr>
          <w:rStyle w:val="Textoennegrita"/>
          <w:b w:val="0"/>
          <w:u w:val="single"/>
        </w:rPr>
        <w:t>que la mejor prueba, no obstante, es la prevención</w:t>
      </w:r>
      <w:r w:rsidRPr="009A6BB2">
        <w:rPr>
          <w:u w:val="single"/>
        </w:rPr>
        <w:t xml:space="preserve">. Es decir, </w:t>
      </w:r>
      <w:r w:rsidRPr="009A6BB2">
        <w:rPr>
          <w:u w:val="single"/>
        </w:rPr>
        <w:lastRenderedPageBreak/>
        <w:t>hacer una vida sana (no fumar, no tomar bebidas alcohólicas, comer poco y caminar (y trabajar) mucho. Y consultar con el médico en cuanto uno note que algo en su cuerpo/salud no anda/va bien, para que el médico le diagnostique certeramente y le trate cuanto antes”.</w:t>
      </w:r>
    </w:p>
    <w:p w:rsidR="003E7174" w:rsidRPr="009F66FC" w:rsidRDefault="003E7174" w:rsidP="00550638">
      <w:pPr>
        <w:pStyle w:val="NormalWeb"/>
        <w:jc w:val="both"/>
        <w:rPr>
          <w:b/>
        </w:rPr>
      </w:pPr>
      <w:r w:rsidRPr="009F66FC">
        <w:rPr>
          <w:rStyle w:val="Textoennegrita"/>
          <w:b w:val="0"/>
        </w:rPr>
        <w:t>La necesidad de la medicina preventiva</w:t>
      </w:r>
    </w:p>
    <w:p w:rsidR="003E7174" w:rsidRPr="009A6BB2" w:rsidRDefault="003E7174" w:rsidP="00550638">
      <w:pPr>
        <w:pStyle w:val="NormalWeb"/>
        <w:jc w:val="both"/>
        <w:rPr>
          <w:u w:val="single"/>
        </w:rPr>
      </w:pPr>
      <w:r w:rsidRPr="00D35F72">
        <w:rPr>
          <w:rStyle w:val="Textoennegrita"/>
          <w:b w:val="0"/>
          <w:u w:val="single"/>
        </w:rPr>
        <w:t>Dolores Aicart</w:t>
      </w:r>
      <w:r w:rsidRPr="009A6BB2">
        <w:rPr>
          <w:u w:val="single"/>
        </w:rPr>
        <w:t xml:space="preserve">, vocal de la Junta Nacional de la Sociedad Española de Médicos de Atención Primaria </w:t>
      </w:r>
      <w:r w:rsidRPr="009F66FC">
        <w:rPr>
          <w:u w:val="single"/>
        </w:rPr>
        <w:t>(</w:t>
      </w:r>
      <w:hyperlink r:id="rId523" w:history="1">
        <w:r w:rsidRPr="009F66FC">
          <w:rPr>
            <w:rStyle w:val="Hipervnculo"/>
            <w:rFonts w:eastAsiaTheme="majorEastAsia"/>
            <w:color w:val="auto"/>
          </w:rPr>
          <w:t>Semergen</w:t>
        </w:r>
      </w:hyperlink>
      <w:r w:rsidRPr="009F66FC">
        <w:rPr>
          <w:u w:val="single"/>
        </w:rPr>
        <w:t xml:space="preserve">), </w:t>
      </w:r>
      <w:r w:rsidRPr="009A6BB2">
        <w:rPr>
          <w:u w:val="single"/>
        </w:rPr>
        <w:t>defiende que los “chequeos médicos son recomendables porque son acciones preventivas que detectan factores de riesgo y síntomas de enfermedades antes de que éstas se desarrollen</w:t>
      </w:r>
      <w:r>
        <w:t xml:space="preserve">. Por ejemplo, la detección de abuso de alcohol o tabaco en un paciente, que es un factor de riesgo cardiovascular, implica la capacidad del clínico de recomendar un </w:t>
      </w:r>
      <w:r w:rsidRPr="00D35F72">
        <w:rPr>
          <w:rStyle w:val="Textoennegrita"/>
          <w:b w:val="0"/>
        </w:rPr>
        <w:t>estilo de vida saludable que ayude a prevenir la patología cardiaca</w:t>
      </w:r>
      <w:r w:rsidRPr="00D35F72">
        <w:rPr>
          <w:b/>
        </w:rPr>
        <w:t xml:space="preserve">. </w:t>
      </w:r>
      <w:r>
        <w:t xml:space="preserve">Porque </w:t>
      </w:r>
      <w:r w:rsidRPr="009A6BB2">
        <w:rPr>
          <w:u w:val="single"/>
        </w:rPr>
        <w:t>la importancia de los chequeos se basa fundamentalmente en la promoción de la salud”.</w:t>
      </w:r>
    </w:p>
    <w:p w:rsidR="003E7174" w:rsidRPr="009A6BB2" w:rsidRDefault="003E7174" w:rsidP="00550638">
      <w:pPr>
        <w:pStyle w:val="NormalWeb"/>
        <w:jc w:val="both"/>
        <w:rPr>
          <w:u w:val="single"/>
        </w:rPr>
      </w:pPr>
      <w:r w:rsidRPr="009A6BB2">
        <w:rPr>
          <w:u w:val="single"/>
        </w:rPr>
        <w:t>Las revisiones periódicas son, a juicio de esta especialista, beneficiosas y útiles cuando no se hacen de forma genérica, a todos por igual, sino a “</w:t>
      </w:r>
      <w:r w:rsidRPr="00D35F72">
        <w:rPr>
          <w:rStyle w:val="Textoennegrita"/>
          <w:b w:val="0"/>
          <w:u w:val="single"/>
        </w:rPr>
        <w:t>colectivos específicos, como las personas mayores, las mujeres embarazadas, los adictos</w:t>
      </w:r>
      <w:r w:rsidRPr="009A6BB2">
        <w:rPr>
          <w:u w:val="single"/>
        </w:rPr>
        <w:t xml:space="preserve"> a las drogas... Así, es recomendable revisar el calendario de vacunación de las personas mayores o buscar indicios de diabetes en las que tienen obesidad”.</w:t>
      </w:r>
    </w:p>
    <w:p w:rsidR="003E7174" w:rsidRPr="009A6BB2" w:rsidRDefault="003E7174" w:rsidP="00550638">
      <w:pPr>
        <w:pStyle w:val="NormalWeb"/>
        <w:jc w:val="both"/>
        <w:rPr>
          <w:u w:val="single"/>
        </w:rPr>
      </w:pPr>
      <w:r w:rsidRPr="00D35F72">
        <w:rPr>
          <w:rStyle w:val="Textoennegrita"/>
          <w:b w:val="0"/>
          <w:u w:val="single"/>
        </w:rPr>
        <w:t>Raquel Lana</w:t>
      </w:r>
      <w:r w:rsidRPr="009A6BB2">
        <w:rPr>
          <w:u w:val="single"/>
        </w:rPr>
        <w:t xml:space="preserve"> destaca que, efectivamente, los “chequeos son muy útiles de forma individualizada, no como paquetes genéricos que se ofrezcan a toda la población, cada persona en su situación necesita unas pruebas concretas en relación a sus enfermedades, factores de riesgo y antecedentes familiares”.</w:t>
      </w:r>
    </w:p>
    <w:p w:rsidR="003E7174" w:rsidRPr="009A6BB2" w:rsidRDefault="003E7174" w:rsidP="00550638">
      <w:pPr>
        <w:pStyle w:val="NormalWeb"/>
        <w:jc w:val="both"/>
        <w:rPr>
          <w:u w:val="single"/>
        </w:rPr>
      </w:pPr>
      <w:r w:rsidRPr="009A6BB2">
        <w:rPr>
          <w:u w:val="single"/>
        </w:rPr>
        <w:t xml:space="preserve">Todo, sin olvidar que se debe aprovechar la consulta para hacer recomendaciones para otras enfermedades como el cáncer de piel. “Por eso </w:t>
      </w:r>
      <w:r w:rsidRPr="00D35F72">
        <w:rPr>
          <w:rStyle w:val="Textoennegrita"/>
          <w:b w:val="0"/>
          <w:u w:val="single"/>
        </w:rPr>
        <w:t>aconsejamos a los pacientes que se hagan una revisión de los lunares</w:t>
      </w:r>
      <w:r w:rsidRPr="009A6BB2">
        <w:rPr>
          <w:u w:val="single"/>
        </w:rPr>
        <w:t xml:space="preserve"> y que se vigilen la aparición de manchas”, apostilla la doctora Aicart.</w:t>
      </w:r>
    </w:p>
    <w:p w:rsidR="003E7174" w:rsidRPr="009A6BB2" w:rsidRDefault="003E7174" w:rsidP="00550638">
      <w:pPr>
        <w:pStyle w:val="NormalWeb"/>
        <w:jc w:val="both"/>
        <w:rPr>
          <w:u w:val="single"/>
        </w:rPr>
      </w:pPr>
      <w:r w:rsidRPr="009A6BB2">
        <w:rPr>
          <w:u w:val="single"/>
        </w:rPr>
        <w:t>Máxime si se tiene en cuenta que el cáncer de piel es el más frecuente de todos y puede afectar a cualquier persona de cualquier edad, pero sobre todo a partir de los 40-50 años.</w:t>
      </w:r>
      <w:r>
        <w:t xml:space="preserve"> </w:t>
      </w:r>
      <w:r w:rsidRPr="009A6BB2">
        <w:rPr>
          <w:u w:val="single"/>
        </w:rPr>
        <w:t xml:space="preserve">De hecho, y según </w:t>
      </w:r>
      <w:r w:rsidRPr="00D35F72">
        <w:rPr>
          <w:rStyle w:val="Textoennegrita"/>
          <w:b w:val="0"/>
          <w:u w:val="single"/>
        </w:rPr>
        <w:t>Miguel Sánchez Viera</w:t>
      </w:r>
      <w:r w:rsidRPr="009A6BB2">
        <w:rPr>
          <w:u w:val="single"/>
        </w:rPr>
        <w:t xml:space="preserve">, dermatólogo y director del Instituto de Dermatología Integral, “los autoexámenes de la piel pueden conducir a un diagnóstico más temprano de melanoma. </w:t>
      </w:r>
      <w:r w:rsidRPr="00D35F72">
        <w:rPr>
          <w:rStyle w:val="Textoennegrita"/>
          <w:b w:val="0"/>
          <w:u w:val="single"/>
        </w:rPr>
        <w:t>Sólo el 25% por ciento de los pacientes conoce los factores de riesgo del cáncer de piel</w:t>
      </w:r>
      <w:r w:rsidRPr="00D35F72">
        <w:rPr>
          <w:b/>
          <w:u w:val="single"/>
        </w:rPr>
        <w:t xml:space="preserve">, </w:t>
      </w:r>
      <w:r w:rsidRPr="009A6BB2">
        <w:rPr>
          <w:u w:val="single"/>
        </w:rPr>
        <w:t>como la exposición al sol; la cifra es la misma para los pacientes que examinan su propia dermis en busca de señales de la enfermedad; y no llega al 10% de los que se someten a exámenes de piel con regularidad”.</w:t>
      </w:r>
    </w:p>
    <w:p w:rsidR="003E7174" w:rsidRPr="009A6BB2" w:rsidRDefault="003E7174" w:rsidP="00550638">
      <w:pPr>
        <w:pStyle w:val="NormalWeb"/>
        <w:jc w:val="both"/>
        <w:rPr>
          <w:u w:val="single"/>
        </w:rPr>
      </w:pPr>
      <w:r>
        <w:t xml:space="preserve">Este experto defiende que “el chequeo periódico por un especialista con la ayuda de la tecnología actual (sobre todo la dermatoscopia digital), puede llegar a detectar el cáncer de piel hasta en uno de cada 15-20 pacientes de riesgo examinados. </w:t>
      </w:r>
      <w:r w:rsidRPr="009A6BB2">
        <w:rPr>
          <w:u w:val="single"/>
        </w:rPr>
        <w:t xml:space="preserve">Todos aquellos con piel clara, múltiples lunares y antecedentes de quemaduras solares y/o cáncer de piel en </w:t>
      </w:r>
      <w:r w:rsidRPr="00D35F72">
        <w:rPr>
          <w:rStyle w:val="Textoennegrita"/>
          <w:b w:val="0"/>
          <w:u w:val="single"/>
        </w:rPr>
        <w:t>familiares de primer grado o que ya han sufrido algún cáncer de este tipo deberían hacerse un chequeo anual</w:t>
      </w:r>
      <w:r w:rsidRPr="00D35F72">
        <w:rPr>
          <w:u w:val="single"/>
        </w:rPr>
        <w:t>”</w:t>
      </w:r>
      <w:r w:rsidRPr="00D35F72">
        <w:rPr>
          <w:b/>
          <w:u w:val="single"/>
        </w:rPr>
        <w:t>,</w:t>
      </w:r>
      <w:r w:rsidRPr="009A6BB2">
        <w:rPr>
          <w:u w:val="single"/>
        </w:rPr>
        <w:t xml:space="preserve"> insiste el experto</w:t>
      </w:r>
      <w:r>
        <w:t xml:space="preserve">. La buena noticia es que, </w:t>
      </w:r>
      <w:r w:rsidRPr="009A6BB2">
        <w:rPr>
          <w:u w:val="single"/>
        </w:rPr>
        <w:t xml:space="preserve">“diagnosticado y tratado precozmente mediante una simple extirpación con anestesia local, se curan casi el 100% de los casos de melanoma. Pero si no se detecta a tiempo, puede ser mortal, ya </w:t>
      </w:r>
      <w:r w:rsidRPr="009A6BB2">
        <w:rPr>
          <w:u w:val="single"/>
        </w:rPr>
        <w:lastRenderedPageBreak/>
        <w:t>que produciría metástasis tempranas (extensión desde la piel a otros órganos como los ganglios linfáticos, el pulmón, etc.)”.</w:t>
      </w:r>
    </w:p>
    <w:p w:rsidR="003E7174" w:rsidRPr="00D35F72" w:rsidRDefault="003E7174" w:rsidP="00550638">
      <w:pPr>
        <w:pStyle w:val="NormalWeb"/>
        <w:jc w:val="both"/>
        <w:rPr>
          <w:b/>
          <w:u w:val="single"/>
        </w:rPr>
      </w:pPr>
      <w:r w:rsidRPr="009A6BB2">
        <w:rPr>
          <w:u w:val="single"/>
        </w:rPr>
        <w:t xml:space="preserve">Precisamente, tal y como defienden los especialistas consultados, algunos tipos de cánceres son los que se benefician claramente de los chequeos periódicos: </w:t>
      </w:r>
      <w:r w:rsidRPr="00D35F72">
        <w:rPr>
          <w:rStyle w:val="Textoennegrita"/>
          <w:b w:val="0"/>
          <w:u w:val="single"/>
        </w:rPr>
        <w:t xml:space="preserve">mama, cáncer de cuello de útero y colon, entre otros. </w:t>
      </w:r>
    </w:p>
    <w:p w:rsidR="003E7174" w:rsidRDefault="003E7174" w:rsidP="00550638">
      <w:pPr>
        <w:pStyle w:val="NormalWeb"/>
        <w:jc w:val="both"/>
      </w:pPr>
      <w:r>
        <w:t xml:space="preserve">En este sentido, un </w:t>
      </w:r>
      <w:hyperlink r:id="rId524" w:history="1">
        <w:r w:rsidRPr="009F66FC">
          <w:rPr>
            <w:rStyle w:val="Hipervnculo"/>
            <w:rFonts w:eastAsiaTheme="majorEastAsia"/>
            <w:color w:val="auto"/>
          </w:rPr>
          <w:t>estudio reciente llevado a cabo por la Unidad de Chequeos de la Clínica Universitaria de Navarra</w:t>
        </w:r>
      </w:hyperlink>
      <w:r w:rsidRPr="009F66FC">
        <w:t xml:space="preserve"> </w:t>
      </w:r>
      <w:r>
        <w:t>(una institución con más de 30 años en este campo) realizado con 22.000 pacientes que habían pasado por sus instalaciones reveló que entre los diagnósticos más importantes obtenidos de un chequeo figura la detección de cáncer, hecho que ocurrió en un 2,7% de sus casos.</w:t>
      </w:r>
    </w:p>
    <w:p w:rsidR="003E7174" w:rsidRPr="009F66FC" w:rsidRDefault="003E7174" w:rsidP="00550638">
      <w:pPr>
        <w:pStyle w:val="NormalWeb"/>
        <w:jc w:val="both"/>
        <w:rPr>
          <w:b/>
        </w:rPr>
      </w:pPr>
      <w:r w:rsidRPr="009F66FC">
        <w:rPr>
          <w:rStyle w:val="Textoennegrita"/>
          <w:b w:val="0"/>
        </w:rPr>
        <w:t>Estilos de vida saludable</w:t>
      </w:r>
    </w:p>
    <w:p w:rsidR="003E7174" w:rsidRPr="009A6BB2" w:rsidRDefault="003E7174" w:rsidP="00550638">
      <w:pPr>
        <w:pStyle w:val="NormalWeb"/>
        <w:jc w:val="both"/>
        <w:rPr>
          <w:u w:val="single"/>
        </w:rPr>
      </w:pPr>
      <w:r w:rsidRPr="009A6BB2">
        <w:rPr>
          <w:u w:val="single"/>
        </w:rPr>
        <w:t xml:space="preserve">Se trata de tumores malignos que en el momento del examen médico no provocaban síntoma alguno. En este sentido, “otra de las ventajas de los chequeos es que, su mayoría, todos los casos de cáncer detectados han sido diagnosticados de forma precoz, en fases iniciales, lo que permite abordar la enfermedad con elevadas posibilidades de supervivencia”, explica </w:t>
      </w:r>
      <w:r w:rsidRPr="00D35F72">
        <w:rPr>
          <w:rStyle w:val="Textoennegrita"/>
          <w:b w:val="0"/>
          <w:u w:val="single"/>
        </w:rPr>
        <w:t>Óscar Beloqui</w:t>
      </w:r>
      <w:r w:rsidRPr="00D35F72">
        <w:rPr>
          <w:b/>
          <w:u w:val="single"/>
        </w:rPr>
        <w:t>,</w:t>
      </w:r>
      <w:r w:rsidRPr="009A6BB2">
        <w:rPr>
          <w:u w:val="single"/>
        </w:rPr>
        <w:t xml:space="preserve"> director de la Unidad.</w:t>
      </w:r>
    </w:p>
    <w:p w:rsidR="003E7174" w:rsidRPr="009A6BB2" w:rsidRDefault="003E7174" w:rsidP="00550638">
      <w:pPr>
        <w:pStyle w:val="NormalWeb"/>
        <w:jc w:val="both"/>
        <w:rPr>
          <w:u w:val="single"/>
        </w:rPr>
      </w:pPr>
      <w:r w:rsidRPr="009A6BB2">
        <w:rPr>
          <w:u w:val="single"/>
        </w:rPr>
        <w:t xml:space="preserve">Este experto hace hincapié en que “estos chequeos no pueden ni deben realizarse a todos los pacientes de la misma forma y solicitando las mismas pruebas. Las circunstancias clínicas y personales de cada uno son la base para empezar a trabajar, unido a sus antecedentes familiares y el entorno en el que se mueve. La revisión ha de ser totalmente </w:t>
      </w:r>
      <w:r w:rsidRPr="00D35F72">
        <w:rPr>
          <w:rStyle w:val="Textoennegrita"/>
          <w:b w:val="0"/>
          <w:u w:val="single"/>
        </w:rPr>
        <w:t>individualizada y personalizada</w:t>
      </w:r>
      <w:r w:rsidRPr="009A6BB2">
        <w:rPr>
          <w:u w:val="single"/>
        </w:rPr>
        <w:t>, diseñada según el momento concreto de cada paciente”.</w:t>
      </w:r>
    </w:p>
    <w:p w:rsidR="003E7174" w:rsidRPr="009A6BB2" w:rsidRDefault="003E7174" w:rsidP="00550638">
      <w:pPr>
        <w:pStyle w:val="NormalWeb"/>
        <w:jc w:val="both"/>
        <w:rPr>
          <w:color w:val="FF0000"/>
          <w:u w:val="single"/>
        </w:rPr>
      </w:pPr>
      <w:r w:rsidRPr="009A6BB2">
        <w:rPr>
          <w:color w:val="FF0000"/>
          <w:u w:val="single"/>
        </w:rPr>
        <w:t xml:space="preserve">Defiende a </w:t>
      </w:r>
      <w:r w:rsidRPr="009A6BB2">
        <w:rPr>
          <w:rStyle w:val="nfasis"/>
          <w:rFonts w:eastAsiaTheme="majorEastAsia"/>
          <w:color w:val="FF0000"/>
          <w:u w:val="single"/>
        </w:rPr>
        <w:t>El Confidencial</w:t>
      </w:r>
      <w:r w:rsidRPr="009A6BB2">
        <w:rPr>
          <w:color w:val="FF0000"/>
          <w:u w:val="single"/>
        </w:rPr>
        <w:t xml:space="preserve"> que “al igual que los niños acuden al pediatra rutinariamente para revisar su salud, ¿por qué no lo van hacer los adultos? Lo cierto es que estas revisiones, como pasar la ITV, tienen tres </w:t>
      </w:r>
      <w:r w:rsidRPr="00D35F72">
        <w:rPr>
          <w:rStyle w:val="Textoennegrita"/>
          <w:b w:val="0"/>
          <w:color w:val="FF0000"/>
          <w:u w:val="single"/>
        </w:rPr>
        <w:t>efectos muy positivos</w:t>
      </w:r>
      <w:r w:rsidRPr="009A6BB2">
        <w:rPr>
          <w:color w:val="FF0000"/>
          <w:u w:val="single"/>
        </w:rPr>
        <w:t>. Primero, recuperar la salud; segundo; mantenerla y tercero; mejorarla. De hecho, el 85% de los que acuden a nuestra consulta lo hace porque tiene una preocupación real”.</w:t>
      </w:r>
    </w:p>
    <w:p w:rsidR="003E7174" w:rsidRDefault="003E7174" w:rsidP="00550638">
      <w:pPr>
        <w:pStyle w:val="NormalWeb"/>
        <w:jc w:val="both"/>
      </w:pPr>
      <w:r>
        <w:t>Para el doctor Beloqui, una de las partes más valiosas de su labor “es la de poder contribuir a modificar estilos de vida que a la postre se van a traducir en menor riesgo de ciertas enfermedades”.</w:t>
      </w:r>
    </w:p>
    <w:p w:rsidR="003E7174" w:rsidRPr="009A6BB2" w:rsidRDefault="003E7174" w:rsidP="00550638">
      <w:pPr>
        <w:pStyle w:val="NormalWeb"/>
        <w:jc w:val="both"/>
        <w:rPr>
          <w:color w:val="FF0000"/>
          <w:u w:val="single"/>
        </w:rPr>
      </w:pPr>
      <w:r w:rsidRPr="009A6BB2">
        <w:rPr>
          <w:color w:val="FF0000"/>
          <w:u w:val="single"/>
        </w:rPr>
        <w:t xml:space="preserve">Raquel Lana Soto, especialista en Medicina Interna del Hospital Universitario Clínico San Carlos Madrid, destaca que, efectivamente, los “chequeos son muy útiles de forma individualizada, no como paquetes genéricos que se ofrezcan a toda la población, </w:t>
      </w:r>
      <w:r w:rsidRPr="00D35F72">
        <w:rPr>
          <w:rStyle w:val="Textoennegrita"/>
          <w:b w:val="0"/>
          <w:color w:val="FF0000"/>
          <w:u w:val="single"/>
        </w:rPr>
        <w:t>cada persona en su situación necesita unas pruebas concretas</w:t>
      </w:r>
      <w:r w:rsidRPr="009A6BB2">
        <w:rPr>
          <w:color w:val="FF0000"/>
          <w:u w:val="single"/>
        </w:rPr>
        <w:t xml:space="preserve"> en relación a sus enfermedades, factores de riesgo y antecedentes familiares”.</w:t>
      </w:r>
    </w:p>
    <w:p w:rsidR="003E7174" w:rsidRDefault="003E7174" w:rsidP="00550638">
      <w:pPr>
        <w:pStyle w:val="NormalWeb"/>
        <w:jc w:val="both"/>
      </w:pPr>
      <w:r w:rsidRPr="00D35F72">
        <w:rPr>
          <w:rStyle w:val="Textoennegrita"/>
          <w:b w:val="0"/>
        </w:rPr>
        <w:t>Niko Mihic</w:t>
      </w:r>
      <w:r>
        <w:t xml:space="preserve">, jefe de la Unidad de Prevención Precoz y Personalizada de HM Hospitales se muestra de la misma opinión a la hora de establecer la idoneidad de las revisiones médicas, que a su juicio, ante todo deben ser individuales. “Tienen que basarse en la medicina de toda la vida, es decir, en la historia clínica y la exploración física del paciente. Es fundamental tomarse tiempo con cada uno de ellos, por ello previo a la cita </w:t>
      </w:r>
      <w:r>
        <w:lastRenderedPageBreak/>
        <w:t xml:space="preserve">a todos los pacientes les envío un cuestionario para poder saber de antemano cuáles son </w:t>
      </w:r>
      <w:r w:rsidRPr="00D35F72">
        <w:rPr>
          <w:rStyle w:val="Textoennegrita"/>
          <w:b w:val="0"/>
        </w:rPr>
        <w:t>sus antecedentes, sus síntomas, si practican deporte, su alimentación…</w:t>
      </w:r>
      <w:r>
        <w:t>”, puntualiza.</w:t>
      </w:r>
    </w:p>
    <w:p w:rsidR="003E7174" w:rsidRPr="009A6BB2" w:rsidRDefault="003E7174" w:rsidP="00550638">
      <w:pPr>
        <w:pStyle w:val="NormalWeb"/>
        <w:jc w:val="both"/>
        <w:rPr>
          <w:u w:val="single"/>
        </w:rPr>
      </w:pPr>
      <w:r w:rsidRPr="009A6BB2">
        <w:rPr>
          <w:u w:val="single"/>
        </w:rPr>
        <w:t xml:space="preserve">Este especialista recuerda que, afortunadamente, hoy contamos con métodos de diagnóstico más eficaces “que hace unos años y que superan los resultados de otras </w:t>
      </w:r>
      <w:r w:rsidRPr="00D35F72">
        <w:rPr>
          <w:rStyle w:val="Textoennegrita"/>
          <w:b w:val="0"/>
          <w:u w:val="single"/>
        </w:rPr>
        <w:t>pruebas rutinarias a la hora de detectar inicialmente una enfermedad</w:t>
      </w:r>
      <w:r w:rsidRPr="00D35F72">
        <w:rPr>
          <w:b/>
          <w:u w:val="single"/>
        </w:rPr>
        <w:t>”.</w:t>
      </w:r>
      <w:r w:rsidRPr="009A6BB2">
        <w:rPr>
          <w:u w:val="single"/>
        </w:rPr>
        <w:t xml:space="preserve"> Y pone por ejemplo la sangre oculta en heces, para la d</w:t>
      </w:r>
      <w:r w:rsidR="00D44948">
        <w:rPr>
          <w:u w:val="single"/>
        </w:rPr>
        <w:t>etección precoz del cáncer colon</w:t>
      </w:r>
      <w:r w:rsidRPr="009A6BB2">
        <w:rPr>
          <w:u w:val="single"/>
        </w:rPr>
        <w:t>rectal. Precisamente, el Ministerio de Sanidad acaba de acordar para todo el territorio nac</w:t>
      </w:r>
      <w:r w:rsidR="00D44948">
        <w:rPr>
          <w:u w:val="single"/>
        </w:rPr>
        <w:t>ional el cribado de cáncer colon</w:t>
      </w:r>
      <w:r w:rsidRPr="009A6BB2">
        <w:rPr>
          <w:u w:val="single"/>
        </w:rPr>
        <w:t>rectal, a través de la mencionada prueba realizada cada dos años, para todos los hombres y mujeres de 50 a 69 años. La previsión es alcanzar una cobertura poblacional del 50% en 2015.</w:t>
      </w:r>
    </w:p>
    <w:p w:rsidR="003E7174" w:rsidRPr="009F66FC" w:rsidRDefault="003E7174" w:rsidP="00550638">
      <w:pPr>
        <w:pStyle w:val="NormalWeb"/>
        <w:jc w:val="both"/>
        <w:rPr>
          <w:b/>
        </w:rPr>
      </w:pPr>
      <w:r w:rsidRPr="009F66FC">
        <w:rPr>
          <w:rStyle w:val="Textoennegrita"/>
          <w:b w:val="0"/>
        </w:rPr>
        <w:t>El problema de los falsos positivos</w:t>
      </w:r>
    </w:p>
    <w:p w:rsidR="003E7174" w:rsidRPr="002C38DB" w:rsidRDefault="003E7174" w:rsidP="00550638">
      <w:pPr>
        <w:pStyle w:val="NormalWeb"/>
        <w:jc w:val="both"/>
        <w:rPr>
          <w:u w:val="single"/>
        </w:rPr>
      </w:pPr>
      <w:r>
        <w:t xml:space="preserve">“Esta prueba es una forma de hacer cribado a la población, pero el problema es que cuando las heces tienen sangre oculta ya puede ser tardía y la enfermedad puede estar más evolucionada, además conlleva muchos falsos positivos. Por ejemplo: un cepillado de dientes fuerte puede llevar un posterior sangrado en las heces”, defiende el experto de HM Hospitales. Por este motivo, </w:t>
      </w:r>
      <w:r w:rsidRPr="00D35F72">
        <w:rPr>
          <w:rStyle w:val="Textoennegrita"/>
          <w:b w:val="0"/>
          <w:u w:val="single"/>
        </w:rPr>
        <w:t>cree en la “colonoscopia como prueba de detección precoz a partir de los 50</w:t>
      </w:r>
      <w:r w:rsidRPr="00D35F72">
        <w:rPr>
          <w:b/>
          <w:u w:val="single"/>
        </w:rPr>
        <w:t xml:space="preserve"> </w:t>
      </w:r>
      <w:r w:rsidRPr="002C38DB">
        <w:rPr>
          <w:u w:val="single"/>
        </w:rPr>
        <w:t>años si hay antecedentes familiares. En el caso de que proporcione un resultado negativo se puede pasar entre cinco hasta diez años sin tenerla que repetir”.</w:t>
      </w:r>
    </w:p>
    <w:p w:rsidR="003E7174" w:rsidRPr="00D35F72" w:rsidRDefault="003E7174" w:rsidP="00550638">
      <w:pPr>
        <w:pStyle w:val="NormalWeb"/>
        <w:jc w:val="both"/>
        <w:rPr>
          <w:b/>
          <w:u w:val="single"/>
        </w:rPr>
      </w:pPr>
      <w:r w:rsidRPr="00D35F72">
        <w:rPr>
          <w:rStyle w:val="Textoennegrita"/>
          <w:b w:val="0"/>
          <w:u w:val="single"/>
        </w:rPr>
        <w:t>Pilar Román</w:t>
      </w:r>
      <w:r w:rsidRPr="00D35F72">
        <w:rPr>
          <w:b/>
          <w:u w:val="single"/>
        </w:rPr>
        <w:t xml:space="preserve">, </w:t>
      </w:r>
      <w:r w:rsidRPr="002C38DB">
        <w:rPr>
          <w:u w:val="single"/>
        </w:rPr>
        <w:t xml:space="preserve">presidenta de la Sociedad Española de Medicina Interna, reconoce que “la prueba de sangre oculta en heces es menos sensible que la colonoscopia, pero puede ser útil. Lo que sí sabemos es que la colonoscopia a partir de los 50 años </w:t>
      </w:r>
      <w:r w:rsidRPr="00D35F72">
        <w:rPr>
          <w:rStyle w:val="Textoennegrita"/>
          <w:b w:val="0"/>
          <w:u w:val="single"/>
        </w:rPr>
        <w:t>ahorra muertes pero no reduce la mortalidad global”.</w:t>
      </w:r>
    </w:p>
    <w:p w:rsidR="003E7174" w:rsidRPr="002C38DB" w:rsidRDefault="003E7174" w:rsidP="00550638">
      <w:pPr>
        <w:pStyle w:val="NormalWeb"/>
        <w:jc w:val="both"/>
        <w:rPr>
          <w:color w:val="FF0000"/>
          <w:u w:val="single"/>
        </w:rPr>
      </w:pPr>
      <w:r w:rsidRPr="002C38DB">
        <w:rPr>
          <w:color w:val="FF0000"/>
          <w:u w:val="single"/>
        </w:rPr>
        <w:t xml:space="preserve">La doctora Román defiende que todas </w:t>
      </w:r>
      <w:r w:rsidRPr="00D35F72">
        <w:rPr>
          <w:rStyle w:val="Textoennegrita"/>
          <w:b w:val="0"/>
          <w:color w:val="FF0000"/>
          <w:u w:val="single"/>
        </w:rPr>
        <w:t>las personas asintomáticas deben someterse a pruebas</w:t>
      </w:r>
      <w:r w:rsidRPr="002C38DB">
        <w:rPr>
          <w:color w:val="FF0000"/>
          <w:u w:val="single"/>
        </w:rPr>
        <w:t xml:space="preserve"> para “determinar sus niveles de colesterol, glucosa, tensión arterial, diabetes cuando hay antecedentes familiares u obesidad. Sin embargo, otras pruebas como la placa de tórax para detectar cáncer de pulmón han demostrado dar muchos falsos positivos y falsos negativos. Lo mismo sucede con la ecografía vaginal para detectar el cáncer de endometrio o el PSA en el de próstata, que no resultan útiles”.</w:t>
      </w:r>
    </w:p>
    <w:p w:rsidR="003E7174" w:rsidRPr="002C38DB" w:rsidRDefault="003E7174" w:rsidP="00550638">
      <w:pPr>
        <w:pStyle w:val="NormalWeb"/>
        <w:jc w:val="both"/>
        <w:rPr>
          <w:color w:val="FF0000"/>
          <w:u w:val="single"/>
        </w:rPr>
      </w:pPr>
      <w:r w:rsidRPr="002C38DB">
        <w:rPr>
          <w:color w:val="FF0000"/>
          <w:u w:val="single"/>
        </w:rPr>
        <w:t xml:space="preserve">En lo que coincide esta experta con todos los especialistas consultados es en la idoneidad o no de realizar </w:t>
      </w:r>
      <w:r w:rsidRPr="00D35F72">
        <w:rPr>
          <w:rStyle w:val="Textoennegrita"/>
          <w:b w:val="0"/>
          <w:color w:val="FF0000"/>
          <w:u w:val="single"/>
        </w:rPr>
        <w:t>test genéticos preventivos en personas sanas</w:t>
      </w:r>
      <w:r w:rsidRPr="00D35F72">
        <w:rPr>
          <w:b/>
          <w:color w:val="FF0000"/>
          <w:u w:val="single"/>
        </w:rPr>
        <w:t xml:space="preserve"> </w:t>
      </w:r>
      <w:r w:rsidRPr="002C38DB">
        <w:rPr>
          <w:color w:val="FF0000"/>
          <w:u w:val="single"/>
        </w:rPr>
        <w:t>sin antecedentes familiares. “Se trata de un asunto muy polémico, ofrecer una prueba que determina cierto riesgo de desarrollar una enfermedad pero que no significa que vaya a desarrollarla porque suele haber muchos factores ambientales implicados. Sólo conduce a generar angustia a los pacientes, máxime si esa patología no tiene tratamiento”.</w:t>
      </w:r>
    </w:p>
    <w:p w:rsidR="00D35F72" w:rsidRDefault="003E7174" w:rsidP="00550638">
      <w:pPr>
        <w:pStyle w:val="NormalWeb"/>
        <w:jc w:val="both"/>
        <w:rPr>
          <w:u w:val="single"/>
        </w:rPr>
      </w:pPr>
      <w:r w:rsidRPr="00AC70C8">
        <w:rPr>
          <w:u w:val="single"/>
        </w:rPr>
        <w:t xml:space="preserve">Para la doctora Lana Soto, “actualmente hay test genéticos comercializados que son útiles para la detección de enfermedades concretas o para </w:t>
      </w:r>
      <w:r w:rsidRPr="00D35F72">
        <w:rPr>
          <w:rStyle w:val="Textoennegrita"/>
          <w:b w:val="0"/>
          <w:u w:val="single"/>
        </w:rPr>
        <w:t>detectar predisposición genética</w:t>
      </w:r>
      <w:r w:rsidRPr="00AC70C8">
        <w:rPr>
          <w:u w:val="single"/>
        </w:rPr>
        <w:t xml:space="preserve"> a padecer ciertas patologías, pero todavía no se dispone de un test lo suficientemente amplio para que sirva de 'screening' general. En casos como el cáncer de mama u otros tumores en los que se conoce su predisposición genética o de enfermedades genéticas están totalmente indicados, pero sólo en grupos de riesgo (familiares), no en población general.</w:t>
      </w:r>
    </w:p>
    <w:p w:rsidR="003E7174" w:rsidRPr="00D35F72" w:rsidRDefault="003E7174" w:rsidP="00550638">
      <w:pPr>
        <w:pStyle w:val="NormalWeb"/>
        <w:jc w:val="both"/>
        <w:rPr>
          <w:u w:val="single"/>
        </w:rPr>
      </w:pPr>
      <w:r w:rsidRPr="009F66FC">
        <w:rPr>
          <w:rStyle w:val="Textoennegrita"/>
          <w:b w:val="0"/>
        </w:rPr>
        <w:lastRenderedPageBreak/>
        <w:t>Antecedentes familiares y predisposición genética</w:t>
      </w:r>
    </w:p>
    <w:p w:rsidR="003E7174" w:rsidRPr="00AC70C8" w:rsidRDefault="003E7174" w:rsidP="00550638">
      <w:pPr>
        <w:pStyle w:val="NormalWeb"/>
        <w:jc w:val="both"/>
        <w:rPr>
          <w:color w:val="FF0000"/>
          <w:u w:val="single"/>
        </w:rPr>
      </w:pPr>
      <w:r w:rsidRPr="00AC70C8">
        <w:rPr>
          <w:color w:val="FF0000"/>
          <w:u w:val="single"/>
        </w:rPr>
        <w:t>Joaquín Lamela cree para arrojar algo de luz sobre el debate de la utilidad de este tipo de pruebas s</w:t>
      </w:r>
      <w:r w:rsidR="009F66FC">
        <w:rPr>
          <w:color w:val="FF0000"/>
          <w:u w:val="single"/>
        </w:rPr>
        <w:t>e debería “realizar un estudio “puro”</w:t>
      </w:r>
      <w:r w:rsidRPr="00AC70C8">
        <w:rPr>
          <w:color w:val="FF0000"/>
          <w:u w:val="single"/>
        </w:rPr>
        <w:t xml:space="preserve"> con muchas personas, es decir </w:t>
      </w:r>
      <w:r w:rsidRPr="00D35F72">
        <w:rPr>
          <w:rStyle w:val="Textoennegrita"/>
          <w:b w:val="0"/>
          <w:color w:val="FF0000"/>
          <w:u w:val="single"/>
        </w:rPr>
        <w:t>no financiado por la industria farmacéutica ni la tecnológica de salud</w:t>
      </w:r>
      <w:r w:rsidRPr="00AC70C8">
        <w:rPr>
          <w:color w:val="FF0000"/>
          <w:u w:val="single"/>
        </w:rPr>
        <w:t xml:space="preserve"> para determinar qué pruebas son eficaces. Pero aunque existieran beneficios individuales y fuesen negativos respecto a la mortalidad global, eso no quita lo enunciado anteriormente: que algunos individuos puedan beneficiarse de esa prueba. Los clientes son los que deciden, pero estoy seguro de que pocos médicos se hacen estos ch</w:t>
      </w:r>
      <w:r w:rsidR="00253E1A">
        <w:rPr>
          <w:color w:val="FF0000"/>
          <w:u w:val="single"/>
        </w:rPr>
        <w:t>equeos con ‘batería de pruebas’”</w:t>
      </w:r>
      <w:r w:rsidRPr="00AC70C8">
        <w:rPr>
          <w:color w:val="FF0000"/>
          <w:u w:val="single"/>
        </w:rPr>
        <w:t>.</w:t>
      </w:r>
    </w:p>
    <w:p w:rsidR="003E7174" w:rsidRDefault="003E7174" w:rsidP="00550638">
      <w:pPr>
        <w:pStyle w:val="NormalWeb"/>
        <w:jc w:val="both"/>
      </w:pPr>
      <w:r w:rsidRPr="00AC70C8">
        <w:rPr>
          <w:u w:val="single"/>
        </w:rPr>
        <w:t xml:space="preserve">Sobre todo, porque, como defiende: </w:t>
      </w:r>
      <w:r w:rsidRPr="00D35F72">
        <w:rPr>
          <w:b/>
          <w:u w:val="single"/>
        </w:rPr>
        <w:t>“</w:t>
      </w:r>
      <w:r w:rsidRPr="00D35F72">
        <w:rPr>
          <w:rStyle w:val="Textoennegrita"/>
          <w:b w:val="0"/>
          <w:u w:val="single"/>
        </w:rPr>
        <w:t>creo que en este momento no hay conocimiento suficiente</w:t>
      </w:r>
      <w:r w:rsidR="00D35F72">
        <w:rPr>
          <w:u w:val="single"/>
        </w:rPr>
        <w:t xml:space="preserve"> para recomendarlos </w:t>
      </w:r>
      <w:r w:rsidRPr="00AC70C8">
        <w:rPr>
          <w:u w:val="single"/>
        </w:rPr>
        <w:t>globalmente”</w:t>
      </w:r>
      <w:r>
        <w:t xml:space="preserve"> salvo en ciertos casos, como por ejemplo cuando haya antecedentes familiares importantes de enfermedades neoplásicas o de otro tipo en el que haya predisposición genética (que son casi todas), como ha sido el caso de la famosa actriz </w:t>
      </w:r>
      <w:r w:rsidRPr="00D35F72">
        <w:rPr>
          <w:rStyle w:val="Textoennegrita"/>
          <w:b w:val="0"/>
        </w:rPr>
        <w:t>Angeline Jolie</w:t>
      </w:r>
      <w:r>
        <w:t>. Y aun así, tendrían que realizarse en laboratorios acreditados.</w:t>
      </w:r>
    </w:p>
    <w:p w:rsidR="003E7174" w:rsidRPr="00AC70C8" w:rsidRDefault="003E7174" w:rsidP="00550638">
      <w:pPr>
        <w:pStyle w:val="NormalWeb"/>
        <w:jc w:val="both"/>
        <w:rPr>
          <w:color w:val="FF0000"/>
          <w:u w:val="single"/>
        </w:rPr>
      </w:pPr>
      <w:r w:rsidRPr="00AC70C8">
        <w:rPr>
          <w:color w:val="FF0000"/>
          <w:u w:val="single"/>
        </w:rPr>
        <w:t xml:space="preserve">Tampoco, al parecer, “existen pruebas recomendables de forma universal, en los pacientes </w:t>
      </w:r>
      <w:r w:rsidRPr="00D35F72">
        <w:rPr>
          <w:rStyle w:val="Textoennegrita"/>
          <w:b w:val="0"/>
          <w:color w:val="FF0000"/>
          <w:u w:val="single"/>
        </w:rPr>
        <w:t>a partir de los 45-50 años es aconsejable una revisión médica que incluya una exploración</w:t>
      </w:r>
      <w:r w:rsidRPr="00AC70C8">
        <w:rPr>
          <w:color w:val="FF0000"/>
          <w:u w:val="single"/>
        </w:rPr>
        <w:t xml:space="preserve"> física, una toma de tensión arterial, una analítica general y el resto de pruebas se individualizará.</w:t>
      </w:r>
      <w:r>
        <w:t xml:space="preserve"> </w:t>
      </w:r>
      <w:r w:rsidRPr="00AC70C8">
        <w:rPr>
          <w:color w:val="FF0000"/>
          <w:u w:val="single"/>
        </w:rPr>
        <w:t>Es más importante la historia clínica del enfermo en la que te explica los síntomas y sus antecedentes junto a la exploración física que una batería de pruebas indiscriminada”, documenta la especialista del Hospital Clínico.</w:t>
      </w:r>
    </w:p>
    <w:p w:rsidR="003E7174" w:rsidRPr="00AC70C8" w:rsidRDefault="003E7174" w:rsidP="00550638">
      <w:pPr>
        <w:pStyle w:val="NormalWeb"/>
        <w:jc w:val="both"/>
        <w:rPr>
          <w:color w:val="FF0000"/>
          <w:u w:val="single"/>
        </w:rPr>
      </w:pPr>
      <w:r w:rsidRPr="00AC70C8">
        <w:rPr>
          <w:color w:val="FF0000"/>
          <w:u w:val="single"/>
        </w:rPr>
        <w:t>Parece, por tanto, que lo más sensato es concienciar a la población sobre la utilidad de los chequeos</w:t>
      </w:r>
      <w:r w:rsidR="00EE495A">
        <w:rPr>
          <w:color w:val="FF0000"/>
          <w:u w:val="single"/>
        </w:rPr>
        <w:t xml:space="preserve"> médicos cuando no se realizan “a granel”</w:t>
      </w:r>
      <w:r w:rsidRPr="00AC70C8">
        <w:rPr>
          <w:color w:val="FF0000"/>
          <w:u w:val="single"/>
        </w:rPr>
        <w:t>, sino de forma personalizada e individua</w:t>
      </w:r>
      <w:r w:rsidR="00EE495A">
        <w:rPr>
          <w:color w:val="FF0000"/>
          <w:u w:val="single"/>
        </w:rPr>
        <w:t>lizada, pero sobre todo lo que “vale”</w:t>
      </w:r>
      <w:r w:rsidRPr="00AC70C8">
        <w:rPr>
          <w:color w:val="FF0000"/>
          <w:u w:val="single"/>
        </w:rPr>
        <w:t xml:space="preserve"> en medicina preventiva es </w:t>
      </w:r>
      <w:r w:rsidRPr="00D35F72">
        <w:rPr>
          <w:rStyle w:val="Textoennegrita"/>
          <w:b w:val="0"/>
          <w:color w:val="FF0000"/>
          <w:u w:val="single"/>
        </w:rPr>
        <w:t>conocer los factores de riesgo de las patologías para evitarlos</w:t>
      </w:r>
      <w:r w:rsidRPr="00AC70C8">
        <w:rPr>
          <w:color w:val="FF0000"/>
          <w:u w:val="single"/>
        </w:rPr>
        <w:t xml:space="preserve"> adoptando estilos de vida saludables.</w:t>
      </w:r>
    </w:p>
    <w:p w:rsidR="003E7174" w:rsidRPr="00AC70C8" w:rsidRDefault="003E7174" w:rsidP="00550638">
      <w:pPr>
        <w:pStyle w:val="NormalWeb"/>
        <w:jc w:val="both"/>
        <w:rPr>
          <w:color w:val="FF0000"/>
          <w:u w:val="single"/>
        </w:rPr>
      </w:pPr>
      <w:r w:rsidRPr="00AC70C8">
        <w:rPr>
          <w:color w:val="FF0000"/>
          <w:u w:val="single"/>
        </w:rPr>
        <w:t xml:space="preserve">Como puntualiza el doctor Lamela: “La mejor prueba diagnóstica aún hoy, a pesar de tantísimos avances tecnológicos médicos, es realizarle al paciente que acude a la consulta una buena historia clínica o entrevista y una buena exploración. Entonces el buen médico ya tendrá unas sospechas diagnósticas y solicitará las pruebas complementarias que considere adecuadas para alcanzar un diagnóstico cierto. Porque </w:t>
      </w:r>
      <w:r w:rsidRPr="00D35F72">
        <w:rPr>
          <w:rStyle w:val="Textoennegrita"/>
          <w:b w:val="0"/>
          <w:color w:val="FF0000"/>
          <w:u w:val="single"/>
        </w:rPr>
        <w:t>en medicina lo más importante es el diagnóstico</w:t>
      </w:r>
      <w:r w:rsidRPr="00AC70C8">
        <w:rPr>
          <w:color w:val="FF0000"/>
          <w:u w:val="single"/>
        </w:rPr>
        <w:t xml:space="preserve">. Y ya </w:t>
      </w:r>
      <w:r w:rsidRPr="00D35F72">
        <w:rPr>
          <w:rStyle w:val="Textoennegrita"/>
          <w:b w:val="0"/>
          <w:color w:val="FF0000"/>
          <w:u w:val="single"/>
        </w:rPr>
        <w:t>William Osler</w:t>
      </w:r>
      <w:r w:rsidRPr="00AC70C8">
        <w:rPr>
          <w:color w:val="FF0000"/>
          <w:u w:val="single"/>
        </w:rPr>
        <w:t>, médico canadiense, uno de los mejores de los siglos XIX-XX, dijo: “Si escuchas al paciente, él te está diciendo el diagnóstico”. Y esta sentencia sigue siendo válida hoy aunque, desafortunadamente para los pacientes, cada vez se les escucha menos”.</w:t>
      </w:r>
    </w:p>
    <w:p w:rsidR="003E7174" w:rsidRDefault="003E7174" w:rsidP="00550638">
      <w:pPr>
        <w:pStyle w:val="NormalWeb"/>
        <w:jc w:val="both"/>
      </w:pPr>
      <w:r>
        <w:t xml:space="preserve">- </w:t>
      </w:r>
      <w:r w:rsidRPr="00EB6F3E">
        <w:rPr>
          <w:u w:val="single"/>
        </w:rPr>
        <w:t>Un selecto grupo de 26 hospitales gasta un 35% menos que el resto</w:t>
      </w:r>
      <w:r>
        <w:t xml:space="preserve"> (El Economista - </w:t>
      </w:r>
      <w:r>
        <w:rPr>
          <w:b/>
        </w:rPr>
        <w:t>16</w:t>
      </w:r>
      <w:r w:rsidRPr="00EB6F3E">
        <w:rPr>
          <w:b/>
        </w:rPr>
        <w:t>/10/13</w:t>
      </w:r>
      <w:r>
        <w:t>)</w:t>
      </w:r>
      <w:r w:rsidR="009F66FC">
        <w:t xml:space="preserve">                                                                                           Lectura recomendada</w:t>
      </w:r>
    </w:p>
    <w:p w:rsidR="003E7174" w:rsidRPr="005C7C11" w:rsidRDefault="003E7174" w:rsidP="00550638">
      <w:pPr>
        <w:pStyle w:val="NormalWeb"/>
        <w:jc w:val="both"/>
        <w:rPr>
          <w:color w:val="FF0000"/>
          <w:u w:val="single"/>
        </w:rPr>
      </w:pPr>
      <w:r w:rsidRPr="005C7C11">
        <w:rPr>
          <w:color w:val="FF0000"/>
          <w:u w:val="single"/>
        </w:rPr>
        <w:t>Un selecto grupo de 26 hospitales españoles -tanto públicos como privados- consigue tener unos costes menores que el resto y a la vez conseguir una mayor productividad y un menor índice de mortalidad en su práctica diaria. La lista la ha elaborado la consultora Iasist, -de referencia en el sector- que cada año selecciona a los que considera hospitales top de la sanidad española.</w:t>
      </w:r>
    </w:p>
    <w:p w:rsidR="003E7174" w:rsidRPr="003854C4" w:rsidRDefault="003E7174" w:rsidP="00550638">
      <w:pPr>
        <w:pStyle w:val="NormalWeb"/>
        <w:jc w:val="both"/>
        <w:rPr>
          <w:color w:val="FF0000"/>
          <w:u w:val="single"/>
        </w:rPr>
      </w:pPr>
      <w:r w:rsidRPr="003854C4">
        <w:rPr>
          <w:color w:val="FF0000"/>
          <w:u w:val="single"/>
        </w:rPr>
        <w:t>En concreto, los hospitales públicos de este grupo muestran hasta un 27% más de productividad de su plantilla con unos costes</w:t>
      </w:r>
      <w:r w:rsidR="009F66FC">
        <w:rPr>
          <w:color w:val="FF0000"/>
          <w:u w:val="single"/>
        </w:rPr>
        <w:t>,</w:t>
      </w:r>
      <w:r w:rsidRPr="003854C4">
        <w:rPr>
          <w:color w:val="FF0000"/>
          <w:u w:val="single"/>
        </w:rPr>
        <w:t xml:space="preserve"> un 32% inferiores al resto de centros.</w:t>
      </w:r>
      <w:r w:rsidRPr="003854C4">
        <w:rPr>
          <w:color w:val="FF0000"/>
        </w:rPr>
        <w:t xml:space="preserve"> </w:t>
      </w:r>
      <w:r w:rsidRPr="003854C4">
        <w:rPr>
          <w:color w:val="FF0000"/>
          <w:u w:val="single"/>
        </w:rPr>
        <w:lastRenderedPageBreak/>
        <w:t>Además, mantienen una mayor calidad asistencial, con un 21% menos de mortalidad y complicaciones, y una gestión hospitalaria más eficiente</w:t>
      </w:r>
      <w:r>
        <w:t xml:space="preserve">. </w:t>
      </w:r>
      <w:r w:rsidRPr="003854C4">
        <w:rPr>
          <w:color w:val="FF0000"/>
          <w:u w:val="single"/>
        </w:rPr>
        <w:t>En el caso de los hospitales privados de esta lista, según el informe, la mayor diferencia está en la eficiencia, ya que presentan unos costes un 42% inferiores al resto.</w:t>
      </w:r>
    </w:p>
    <w:p w:rsidR="003E7174" w:rsidRDefault="003E7174" w:rsidP="00550638">
      <w:pPr>
        <w:pStyle w:val="NormalWeb"/>
        <w:jc w:val="both"/>
      </w:pPr>
      <w:r>
        <w:t>Estos 26 centros reconocidos destacan por tener la mejor gestión hospitalaria de manera global. En el informe, otro grupo de 18 hospitales también han sido seleccionados por tener una mejor gestión en distintas áreas clínicas, como corazón, respiratorio, sistema nervioso, atención al paciente crítico, mujer o cirugía digestiva. El total de estos 44 hospitales pertenecen a ocho comunidades autónomas: Baleares, Canarias, Castilla-La Mancha, Cataluña, Madrid, Murcia, País Vasco y Valencia.</w:t>
      </w:r>
    </w:p>
    <w:p w:rsidR="003E7174" w:rsidRDefault="003E7174" w:rsidP="00550638">
      <w:pPr>
        <w:spacing w:line="240" w:lineRule="auto"/>
        <w:jc w:val="both"/>
      </w:pPr>
      <w:r>
        <w:rPr>
          <w:noProof/>
          <w:lang w:eastAsia="es-ES"/>
        </w:rPr>
        <w:drawing>
          <wp:inline distT="0" distB="0" distL="0" distR="0" wp14:anchorId="550EB678" wp14:editId="307AF23D">
            <wp:extent cx="5998349" cy="3964838"/>
            <wp:effectExtent l="0" t="0" r="2540" b="0"/>
            <wp:docPr id="495" name="Imagen 495" descr="http://s01.s3c.es/imag/_v0/630x700/b/4/6/hospitales-ges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01.s3c.es/imag/_v0/630x700/b/4/6/hospitales-gestion.jpg"/>
                    <pic:cNvPicPr>
                      <a:picLocks noChangeAspect="1" noChangeArrowheads="1"/>
                    </pic:cNvPicPr>
                  </pic:nvPicPr>
                  <pic:blipFill>
                    <a:blip r:embed="rId525">
                      <a:extLst>
                        <a:ext uri="{28A0092B-C50C-407E-A947-70E740481C1C}">
                          <a14:useLocalDpi xmlns:a14="http://schemas.microsoft.com/office/drawing/2010/main" val="0"/>
                        </a:ext>
                      </a:extLst>
                    </a:blip>
                    <a:srcRect/>
                    <a:stretch>
                      <a:fillRect/>
                    </a:stretch>
                  </pic:blipFill>
                  <pic:spPr bwMode="auto">
                    <a:xfrm>
                      <a:off x="0" y="0"/>
                      <a:ext cx="5998210" cy="3964746"/>
                    </a:xfrm>
                    <a:prstGeom prst="rect">
                      <a:avLst/>
                    </a:prstGeom>
                    <a:noFill/>
                    <a:ln>
                      <a:noFill/>
                    </a:ln>
                  </pic:spPr>
                </pic:pic>
              </a:graphicData>
            </a:graphic>
          </wp:inline>
        </w:drawing>
      </w:r>
    </w:p>
    <w:p w:rsidR="003E7174" w:rsidRPr="009F66FC" w:rsidRDefault="003E7174" w:rsidP="00550638">
      <w:pPr>
        <w:pStyle w:val="Ttulo2"/>
        <w:spacing w:line="240" w:lineRule="auto"/>
        <w:jc w:val="both"/>
        <w:rPr>
          <w:rFonts w:ascii="Times New Roman" w:hAnsi="Times New Roman" w:cs="Times New Roman"/>
          <w:b w:val="0"/>
          <w:color w:val="auto"/>
          <w:sz w:val="24"/>
          <w:szCs w:val="24"/>
        </w:rPr>
      </w:pPr>
      <w:r w:rsidRPr="009F66FC">
        <w:rPr>
          <w:rFonts w:ascii="Times New Roman" w:hAnsi="Times New Roman" w:cs="Times New Roman"/>
          <w:b w:val="0"/>
          <w:color w:val="auto"/>
          <w:sz w:val="24"/>
          <w:szCs w:val="24"/>
        </w:rPr>
        <w:t>La mayoría, en Cataluña</w:t>
      </w:r>
    </w:p>
    <w:p w:rsidR="003E7174" w:rsidRDefault="003E7174" w:rsidP="00550638">
      <w:pPr>
        <w:pStyle w:val="NormalWeb"/>
        <w:jc w:val="both"/>
      </w:pPr>
      <w:r>
        <w:t>Llama la atención como de estos 26 centros, más de la mitad (14) se concentran en Cataluña. Y de ellos, una gran parte, aunque de titularidad pública, tienen su gestión en manos de consorcios o entidades privadas. Tras Cataluña aparece la Comunidad Valenciana con cuatro hospitales, la Comunidad de Madrid y Canarias, con tres, y Murcia y Castilla-La Mancha con uno.</w:t>
      </w:r>
    </w:p>
    <w:p w:rsidR="003E7174" w:rsidRDefault="003E7174" w:rsidP="00550638">
      <w:pPr>
        <w:pStyle w:val="NormalWeb"/>
        <w:jc w:val="both"/>
      </w:pPr>
      <w:r>
        <w:t>La clasificación ha tenido en cuenta un total de 162 hospitales (127 públicos y 35 privados), que se han debido presentar voluntariamente a la evaluación.</w:t>
      </w:r>
    </w:p>
    <w:p w:rsidR="003E7174" w:rsidRDefault="003E7174" w:rsidP="00550638">
      <w:pPr>
        <w:pStyle w:val="NormalWeb"/>
        <w:jc w:val="both"/>
      </w:pPr>
      <w:r>
        <w:t xml:space="preserve">"La distancia entre estos hospitales y el resto de centros no se ha reducido ni en productividad ni en eficiencia, a pesar de las restricciones presupuestarias que se están llevando a cabo. Por ello, estos hospitales son un referente y un ejemplo de gestión a seguir", aseguró ayer la directora general de Iasist, Mercè Casas. </w:t>
      </w:r>
    </w:p>
    <w:p w:rsidR="003E7174" w:rsidRDefault="003E7174" w:rsidP="00550638">
      <w:pPr>
        <w:pStyle w:val="NormalWeb"/>
        <w:jc w:val="both"/>
      </w:pPr>
      <w:r>
        <w:lastRenderedPageBreak/>
        <w:t>El informe de la consultora también ha desvelado que la productividad -medida en volumen de actividad por trabajador sanitario- en estos centros ha aumentado un 8,1% desde el año 2010, motivado fundamentalmente por el mantenimiento global de la actividad frente al importante descenso del número de trabajadores, que han caído en promedio un 7,4%, siendo los hospitales generales medianos los que muestran mayores mejoras de productividad, con incrementos cercanos al 11%, según el estudio.</w:t>
      </w:r>
    </w:p>
    <w:p w:rsidR="003E7174" w:rsidRDefault="003E7174" w:rsidP="00550638">
      <w:pPr>
        <w:pStyle w:val="NormalWeb"/>
        <w:jc w:val="both"/>
      </w:pPr>
      <w:r>
        <w:t xml:space="preserve">- </w:t>
      </w:r>
      <w:r w:rsidRPr="00EB6F3E">
        <w:rPr>
          <w:u w:val="single"/>
        </w:rPr>
        <w:t>El reto de sostener el sistema sanitario en España</w:t>
      </w:r>
      <w:r>
        <w:t xml:space="preserve"> (El Economista - </w:t>
      </w:r>
      <w:r w:rsidRPr="00EB6F3E">
        <w:rPr>
          <w:b/>
        </w:rPr>
        <w:t>15/10/13</w:t>
      </w:r>
      <w:r>
        <w:t>)</w:t>
      </w:r>
    </w:p>
    <w:p w:rsidR="003E7174" w:rsidRPr="00EB6F3E" w:rsidRDefault="003E7174" w:rsidP="00550638">
      <w:pPr>
        <w:pStyle w:val="NormalWeb"/>
        <w:jc w:val="both"/>
      </w:pPr>
      <w:r>
        <w:t>(Por Antonio Morrajas)</w:t>
      </w:r>
      <w:r w:rsidR="009F66FC">
        <w:t xml:space="preserve">                                                                     Lectura recomendada</w:t>
      </w:r>
    </w:p>
    <w:p w:rsidR="003E7174" w:rsidRPr="003854C4" w:rsidRDefault="003E7174" w:rsidP="00550638">
      <w:pPr>
        <w:pStyle w:val="NormalWeb"/>
        <w:jc w:val="both"/>
        <w:rPr>
          <w:color w:val="FF0000"/>
          <w:u w:val="single"/>
        </w:rPr>
      </w:pPr>
      <w:r w:rsidRPr="003854C4">
        <w:rPr>
          <w:color w:val="FF0000"/>
          <w:u w:val="single"/>
        </w:rPr>
        <w:t>Si hay algo que caracteriza a nuestro Sistema Nacional de Salud son los principios de igualdad y solidaridad sobre los que se asienta, características que se están viendo perjudicadas por el afán de ajustarnos cada vez más el cinturón.</w:t>
      </w:r>
    </w:p>
    <w:p w:rsidR="003E7174" w:rsidRPr="00D35F72" w:rsidRDefault="003E7174" w:rsidP="00550638">
      <w:pPr>
        <w:pStyle w:val="NormalWeb"/>
        <w:jc w:val="both"/>
      </w:pPr>
      <w:r w:rsidRPr="003854C4">
        <w:rPr>
          <w:u w:val="single"/>
        </w:rPr>
        <w:t>La situación económica que venimos arrastrando hace años, ha hecho que el sistema sanitario haya sufrido recortes continuamente: hay menos personal, menos medios y mucha menos inversión</w:t>
      </w:r>
      <w:r w:rsidRPr="00EB6F3E">
        <w:t xml:space="preserve">. Mientras, aumenta la esperanza de vida y cada vez hay más enfermos crónicos y personas mayores que necesitan más recursos. Parece entonces lógico pensar que </w:t>
      </w:r>
      <w:r w:rsidRPr="00D35F72">
        <w:rPr>
          <w:bCs/>
        </w:rPr>
        <w:t>debemos invertir en salud o el desfase entre lo que necesitamos y lo que tenemos acabará por quebrar este sistema</w:t>
      </w:r>
      <w:r w:rsidRPr="00D35F72">
        <w:t>.</w:t>
      </w:r>
    </w:p>
    <w:p w:rsidR="003E7174" w:rsidRPr="003854C4" w:rsidRDefault="003E7174" w:rsidP="00550638">
      <w:pPr>
        <w:pStyle w:val="NormalWeb"/>
        <w:jc w:val="both"/>
        <w:rPr>
          <w:u w:val="single"/>
        </w:rPr>
      </w:pPr>
      <w:r w:rsidRPr="003854C4">
        <w:rPr>
          <w:u w:val="single"/>
        </w:rPr>
        <w:t>Algunas voces anuncian que la sanidad pública ya no será nunca lo que fue y, a menos que nos pongamos manos a la obra, parece que así puede ocurrir</w:t>
      </w:r>
      <w:r w:rsidRPr="00EB6F3E">
        <w:t>. Y es que no es momento de esperar a ver qué pasa sino que debemos remangarnos y empezar a trabajar por conseguir que nuestro sistema, probablemente el mejor del mundo, siga siendo igual de buen</w:t>
      </w:r>
      <w:r w:rsidRPr="003854C4">
        <w:t>o.</w:t>
      </w:r>
      <w:r w:rsidRPr="003854C4">
        <w:rPr>
          <w:u w:val="single"/>
        </w:rPr>
        <w:t xml:space="preserve"> No hay ninguna excusa que justifique que la sanidad española deje de avanzar o se quede abandonada a su suerte, debemos conseguir una gestión sanitaria eficiente y ser capaces de lograrlo.</w:t>
      </w:r>
    </w:p>
    <w:p w:rsidR="003E7174" w:rsidRPr="009F66FC" w:rsidRDefault="003E7174" w:rsidP="00550638">
      <w:pPr>
        <w:pStyle w:val="Ttulo2"/>
        <w:spacing w:line="240" w:lineRule="auto"/>
        <w:jc w:val="both"/>
        <w:rPr>
          <w:rFonts w:ascii="Times New Roman" w:hAnsi="Times New Roman" w:cs="Times New Roman"/>
          <w:b w:val="0"/>
          <w:color w:val="auto"/>
          <w:sz w:val="24"/>
          <w:szCs w:val="24"/>
        </w:rPr>
      </w:pPr>
      <w:r w:rsidRPr="009F66FC">
        <w:rPr>
          <w:rFonts w:ascii="Times New Roman" w:hAnsi="Times New Roman" w:cs="Times New Roman"/>
          <w:b w:val="0"/>
          <w:color w:val="auto"/>
          <w:sz w:val="24"/>
          <w:szCs w:val="24"/>
        </w:rPr>
        <w:t>Menos recortes y más mejorar la gestión</w:t>
      </w:r>
    </w:p>
    <w:p w:rsidR="003E7174" w:rsidRPr="003854C4" w:rsidRDefault="003E7174" w:rsidP="00550638">
      <w:pPr>
        <w:pStyle w:val="NormalWeb"/>
        <w:jc w:val="both"/>
        <w:rPr>
          <w:color w:val="FF0000"/>
          <w:u w:val="single"/>
        </w:rPr>
      </w:pPr>
      <w:r w:rsidRPr="003854C4">
        <w:rPr>
          <w:color w:val="FF0000"/>
          <w:u w:val="single"/>
        </w:rPr>
        <w:t xml:space="preserve">Para ello, deberíamos ser lo suficientemente inteligentes como para aprovechar los recursos, tanto humanos como materiales, de los que disponemos y servirnos de las nuevas tecnologías de la información y la comunicación. No podemos seguir viviendo como en el siglo pasado y, al igual que utilizamos los últimos avances informáticos y tecnológicos para curar a las personas, ¿por qué no usar esta tecnología también para gestionar mejor nuestros hospitales y los gastos que en ellos se producen? Hay varios datos que ponen de manifiesto que podríamos gestionar mejor. </w:t>
      </w:r>
    </w:p>
    <w:p w:rsidR="003E7174" w:rsidRPr="003854C4" w:rsidRDefault="003E7174" w:rsidP="00550638">
      <w:pPr>
        <w:pStyle w:val="NormalWeb"/>
        <w:jc w:val="both"/>
        <w:rPr>
          <w:u w:val="single"/>
        </w:rPr>
      </w:pPr>
      <w:r w:rsidRPr="003854C4">
        <w:rPr>
          <w:color w:val="FF0000"/>
          <w:u w:val="single"/>
        </w:rPr>
        <w:t>El gasto en farmacia, por ejemplo, supone más del 15% del presupuesto total de un hospital. En tan sólo 10 años el gasto en medicamentos oncológicos, por ejemplo, se ha duplicado y se prevé que en 2070 la atención sanitaria consuma el 30% de la media del PIB de países desarrollados</w:t>
      </w:r>
      <w:r w:rsidRPr="00EB6F3E">
        <w:t xml:space="preserve">. Esta partida podría reducirse notablemente si se introdujera un modelo de gestión en el que estuvieran implicados médicos, farmacéuticos y pacientes y pudieran valorar, de una forma transversal, cuáles son los tratamientos más eficientes, de forma que cada paciente recibiese el tratamiento que necesitase para mejorar su salud. </w:t>
      </w:r>
      <w:r w:rsidRPr="003854C4">
        <w:rPr>
          <w:u w:val="single"/>
        </w:rPr>
        <w:t>Hablamos, en definitiva, de dar un paso más en medicina y avanzar hasta los tratamientos personalizados.</w:t>
      </w:r>
    </w:p>
    <w:p w:rsidR="003E7174" w:rsidRPr="00EB6F3E" w:rsidRDefault="003E7174" w:rsidP="00550638">
      <w:pPr>
        <w:pStyle w:val="NormalWeb"/>
        <w:jc w:val="both"/>
      </w:pPr>
      <w:r w:rsidRPr="00EB6F3E">
        <w:lastRenderedPageBreak/>
        <w:t xml:space="preserve">Con el ahorro que supondría implantar un modelo como éste en una Comunidad como la valenciana, podríamos poner en marcha el hospital de Lliria y mantener su actividad. Estamos hablando de más de 30 millones de euros al año. </w:t>
      </w:r>
      <w:r w:rsidRPr="00D35F72">
        <w:rPr>
          <w:bCs/>
        </w:rPr>
        <w:t>Es el momento de plantearnos qué sistema de salud queremos tener.</w:t>
      </w:r>
      <w:r w:rsidRPr="00D35F72">
        <w:t xml:space="preserve"> </w:t>
      </w:r>
      <w:r w:rsidRPr="00EB6F3E">
        <w:t>Habrá pues, que definir un plan de medidas efectivas que logren reducir los costes sin alterar los principios que sostienen la sanidad. Si el sistema sanitario español sigue empobreciéndose perderá eso que lo define; equidad, cohesión social, justicia y solidaridad.</w:t>
      </w:r>
    </w:p>
    <w:p w:rsidR="003E7174" w:rsidRPr="009F66FC" w:rsidRDefault="003E7174" w:rsidP="00550638">
      <w:pPr>
        <w:pStyle w:val="NormalWeb"/>
        <w:jc w:val="both"/>
        <w:rPr>
          <w:iCs/>
        </w:rPr>
      </w:pPr>
      <w:r w:rsidRPr="009F66FC">
        <w:rPr>
          <w:iCs/>
        </w:rPr>
        <w:t>(Antonio Morrajas, director de operaciones de Porib Gestión)</w:t>
      </w:r>
    </w:p>
    <w:p w:rsidR="003E7174" w:rsidRPr="00727AE3" w:rsidRDefault="003E7174" w:rsidP="0055063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727AE3">
        <w:rPr>
          <w:rFonts w:ascii="Times New Roman" w:eastAsia="Times New Roman" w:hAnsi="Times New Roman" w:cs="Times New Roman"/>
          <w:sz w:val="24"/>
          <w:szCs w:val="24"/>
          <w:u w:val="single"/>
        </w:rPr>
        <w:t>El gasto público en sanidad retrocederá en España a niveles de 2006</w:t>
      </w:r>
      <w:r>
        <w:rPr>
          <w:rFonts w:ascii="Times New Roman" w:eastAsia="Times New Roman" w:hAnsi="Times New Roman" w:cs="Times New Roman"/>
          <w:sz w:val="24"/>
          <w:szCs w:val="24"/>
        </w:rPr>
        <w:t xml:space="preserve"> (El Economista - </w:t>
      </w:r>
      <w:r w:rsidRPr="00727AE3">
        <w:rPr>
          <w:rFonts w:ascii="Times New Roman" w:eastAsia="Times New Roman" w:hAnsi="Times New Roman" w:cs="Times New Roman"/>
          <w:b/>
          <w:sz w:val="24"/>
          <w:szCs w:val="24"/>
        </w:rPr>
        <w:t>21/10/13</w:t>
      </w:r>
      <w:r>
        <w:rPr>
          <w:rFonts w:ascii="Times New Roman" w:eastAsia="Times New Roman" w:hAnsi="Times New Roman" w:cs="Times New Roman"/>
          <w:sz w:val="24"/>
          <w:szCs w:val="24"/>
        </w:rPr>
        <w:t>)</w:t>
      </w:r>
    </w:p>
    <w:p w:rsidR="003E7174" w:rsidRPr="00727AE3" w:rsidRDefault="003E7174" w:rsidP="00550638">
      <w:pPr>
        <w:shd w:val="clear" w:color="auto" w:fill="FFFFFF"/>
        <w:spacing w:after="0" w:line="240" w:lineRule="auto"/>
        <w:jc w:val="both"/>
        <w:rPr>
          <w:rFonts w:ascii="Times New Roman" w:eastAsia="Times New Roman" w:hAnsi="Times New Roman" w:cs="Times New Roman"/>
          <w:sz w:val="24"/>
          <w:szCs w:val="24"/>
        </w:rPr>
      </w:pPr>
      <w:r w:rsidRPr="00727AE3">
        <w:rPr>
          <w:rFonts w:ascii="Times New Roman" w:eastAsia="Times New Roman" w:hAnsi="Times New Roman" w:cs="Times New Roman"/>
          <w:sz w:val="24"/>
          <w:szCs w:val="24"/>
        </w:rPr>
        <w:t xml:space="preserve"> </w:t>
      </w:r>
      <w:r w:rsidR="009F66FC">
        <w:rPr>
          <w:rFonts w:ascii="Times New Roman" w:eastAsia="Times New Roman" w:hAnsi="Times New Roman" w:cs="Times New Roman"/>
          <w:sz w:val="24"/>
          <w:szCs w:val="24"/>
        </w:rPr>
        <w:t xml:space="preserve">                      </w:t>
      </w:r>
    </w:p>
    <w:p w:rsidR="003E7174" w:rsidRDefault="003E7174" w:rsidP="00550638">
      <w:pPr>
        <w:shd w:val="clear" w:color="auto" w:fill="FFFFFF"/>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(Por Juan </w:t>
      </w:r>
      <w:r w:rsidR="00D44948">
        <w:rPr>
          <w:rFonts w:ascii="Times New Roman" w:eastAsia="Times New Roman" w:hAnsi="Times New Roman" w:cs="Times New Roman"/>
          <w:sz w:val="24"/>
          <w:szCs w:val="24"/>
        </w:rPr>
        <w:t>Márquez</w:t>
      </w:r>
      <w:r>
        <w:rPr>
          <w:rFonts w:ascii="Times New Roman" w:eastAsia="Times New Roman" w:hAnsi="Times New Roman" w:cs="Times New Roman"/>
          <w:sz w:val="24"/>
          <w:szCs w:val="24"/>
        </w:rPr>
        <w:t>)</w:t>
      </w:r>
      <w:r w:rsidR="009F66FC">
        <w:rPr>
          <w:rFonts w:ascii="Times New Roman" w:eastAsia="Times New Roman" w:hAnsi="Times New Roman" w:cs="Times New Roman"/>
          <w:sz w:val="24"/>
          <w:szCs w:val="24"/>
        </w:rPr>
        <w:t xml:space="preserve">                                                                           Lectura recomendada</w:t>
      </w:r>
    </w:p>
    <w:p w:rsidR="003E7174" w:rsidRPr="007B3DDE" w:rsidRDefault="003E7174" w:rsidP="00550638">
      <w:pPr>
        <w:pStyle w:val="NormalWeb"/>
        <w:jc w:val="both"/>
        <w:rPr>
          <w:color w:val="FF0000"/>
          <w:u w:val="single"/>
        </w:rPr>
      </w:pPr>
      <w:r w:rsidRPr="007B3DDE">
        <w:rPr>
          <w:color w:val="FF0000"/>
          <w:u w:val="single"/>
        </w:rPr>
        <w:t>El peso del recorte del gasto público se seguirá cargando sobre los hombros de la sanidad. El Gobierno prevé que el gasto de las Administraciones Públicas en salud caiga hasta el 5,8 por ciento del Producto Interior Bruto en 2014, dos décimas menos que este año, según el plan presupuestario remitido a Bruselas para 2014 y 2015.</w:t>
      </w:r>
    </w:p>
    <w:p w:rsidR="003E7174" w:rsidRPr="007B3DDE" w:rsidRDefault="003E7174" w:rsidP="00550638">
      <w:pPr>
        <w:pStyle w:val="NormalWeb"/>
        <w:jc w:val="both"/>
        <w:rPr>
          <w:u w:val="single"/>
        </w:rPr>
      </w:pPr>
      <w:r w:rsidRPr="007B3DDE">
        <w:rPr>
          <w:color w:val="FF0000"/>
          <w:u w:val="single"/>
        </w:rPr>
        <w:t>Esta nueva bajada dejará esta partida en niveles de 2006 y muy lejos de 2009, cuando el gasto sanitario público absorbió el 6,95 por ciento de la riqueza del país.</w:t>
      </w:r>
      <w:r w:rsidRPr="007B3DDE">
        <w:rPr>
          <w:color w:val="FF0000"/>
        </w:rPr>
        <w:t xml:space="preserve"> </w:t>
      </w:r>
      <w:r w:rsidRPr="007B3DDE">
        <w:rPr>
          <w:b/>
          <w:bCs/>
          <w:u w:val="single"/>
        </w:rPr>
        <w:t xml:space="preserve">Desde entonces, el esfuerzo público en este capítulo que gestionan y financian las comunidades autónomas se ha deshinchado hasta perder más de 11.000 millones de euros, si se cumplen los planes del Ejecutivo para 2014. </w:t>
      </w:r>
    </w:p>
    <w:p w:rsidR="003E7174" w:rsidRPr="007B3DDE" w:rsidRDefault="003E7174" w:rsidP="00550638">
      <w:pPr>
        <w:pStyle w:val="NormalWeb"/>
        <w:jc w:val="both"/>
        <w:rPr>
          <w:color w:val="FF0000"/>
          <w:u w:val="single"/>
        </w:rPr>
      </w:pPr>
      <w:r w:rsidRPr="007B3DDE">
        <w:rPr>
          <w:color w:val="FF0000"/>
          <w:u w:val="single"/>
        </w:rPr>
        <w:t>España se aleja así del dinero público dedicado a sanidad por otros países europeos, como Holanda y Dinamarca, por encima del 8,8 por ciento del PIB, o de Francia y Alemania, con un 8,66 por ciento y 8,43 por ciento, respectivamente, en 2011, últimas cifras comparadas por la Organización para la Cooperación y Desarrollo Económicos (OCDE).</w:t>
      </w:r>
    </w:p>
    <w:p w:rsidR="003E7174" w:rsidRPr="009F66FC" w:rsidRDefault="003E7174" w:rsidP="00550638">
      <w:pPr>
        <w:pStyle w:val="Ttulo2"/>
        <w:spacing w:line="240" w:lineRule="auto"/>
        <w:jc w:val="both"/>
        <w:rPr>
          <w:rFonts w:ascii="Times New Roman" w:hAnsi="Times New Roman" w:cs="Times New Roman"/>
          <w:b w:val="0"/>
          <w:color w:val="auto"/>
          <w:sz w:val="24"/>
          <w:szCs w:val="24"/>
        </w:rPr>
      </w:pPr>
      <w:r w:rsidRPr="009F66FC">
        <w:rPr>
          <w:rFonts w:ascii="Times New Roman" w:hAnsi="Times New Roman" w:cs="Times New Roman"/>
          <w:b w:val="0"/>
          <w:color w:val="auto"/>
          <w:sz w:val="24"/>
          <w:szCs w:val="24"/>
        </w:rPr>
        <w:t>El recorte autonómico</w:t>
      </w:r>
    </w:p>
    <w:p w:rsidR="003E7174" w:rsidRPr="007B3DDE" w:rsidRDefault="003E7174" w:rsidP="00550638">
      <w:pPr>
        <w:pStyle w:val="NormalWeb"/>
        <w:jc w:val="both"/>
        <w:rPr>
          <w:u w:val="single"/>
        </w:rPr>
      </w:pPr>
      <w:r w:rsidRPr="00727AE3">
        <w:t xml:space="preserve">El Gobierno profundizará en esta tendencia, ya que de los 8.000 millones de euros que las comunidades autónomas deberán ajustar sus cuentas entre 2014 y 2015, por la vía de gastos o de ingresos, </w:t>
      </w:r>
      <w:r w:rsidRPr="007B3DDE">
        <w:rPr>
          <w:u w:val="single"/>
        </w:rPr>
        <w:t xml:space="preserve">464 millones corresponderán a recortes en medicamentos, de los que sólo 55 millones de euros procederán de las compras centralizadas de fármacos hospitalarios que el Gobierno está impulsando. </w:t>
      </w:r>
    </w:p>
    <w:p w:rsidR="003E7174" w:rsidRPr="007B3DDE" w:rsidRDefault="003E7174" w:rsidP="00550638">
      <w:pPr>
        <w:pStyle w:val="NormalWeb"/>
        <w:jc w:val="both"/>
        <w:rPr>
          <w:u w:val="single"/>
        </w:rPr>
      </w:pPr>
      <w:r w:rsidRPr="007B3DDE">
        <w:rPr>
          <w:u w:val="single"/>
        </w:rPr>
        <w:t xml:space="preserve">Junto con la partida de personal, que seguirá sufriendo los efectos de la congelación de la oferta de empleo público y no reposición de efectivos, además del incremento de la jornada laboral entre otros recortes, el capítulo de medicamentos es el que soporta la mayor corrección del gasto. </w:t>
      </w:r>
      <w:r w:rsidRPr="007B3DDE">
        <w:rPr>
          <w:b/>
          <w:bCs/>
          <w:u w:val="single"/>
        </w:rPr>
        <w:t xml:space="preserve">En total, las comunidades autónomas deberán recortar 1.214 millones de euros en farmacia entre 2013 y 2015, que se suman al ahorro de 735,5 millones contabilizado por el Gobierno en 2012. </w:t>
      </w:r>
    </w:p>
    <w:p w:rsidR="003E7174" w:rsidRPr="007B3DDE" w:rsidRDefault="003E7174" w:rsidP="00550638">
      <w:pPr>
        <w:pStyle w:val="NormalWeb"/>
        <w:jc w:val="both"/>
        <w:rPr>
          <w:u w:val="single"/>
        </w:rPr>
      </w:pPr>
      <w:r w:rsidRPr="007B3DDE">
        <w:rPr>
          <w:u w:val="single"/>
        </w:rPr>
        <w:t>El sector sanitario se verá además afectado por el impacto global en el gasto autonómico de las rebajas en conciertos o prestación de servicios y suministros por valor de 1.072 millones de euros.</w:t>
      </w:r>
    </w:p>
    <w:p w:rsidR="003E7174" w:rsidRPr="00727AE3" w:rsidRDefault="003E7174" w:rsidP="00550638">
      <w:pPr>
        <w:pStyle w:val="NormalWeb"/>
        <w:jc w:val="both"/>
      </w:pPr>
      <w:r w:rsidRPr="00727AE3">
        <w:lastRenderedPageBreak/>
        <w:t>Otras medidas pendientes de acometer por las regiones incluidas por el Gobierno de Mariano Rajoy en el plan presentado a Bruselas son la regulación de la cartera común básica de servicios asistenciales, que está aprobada ya para los grupos de cribados, que incluirá un nuevo catálogo de implantes quirúrgicos para final de año.</w:t>
      </w:r>
    </w:p>
    <w:p w:rsidR="003E7174" w:rsidRPr="00D35F72" w:rsidRDefault="003E7174" w:rsidP="00550638">
      <w:pPr>
        <w:pStyle w:val="NormalWeb"/>
        <w:jc w:val="both"/>
      </w:pPr>
      <w:r w:rsidRPr="00727AE3">
        <w:t xml:space="preserve">Además, está prevista una nueva cartera de productos dietéticos y ortoprotésicos, que estarán sometidos a aportación del paciente, </w:t>
      </w:r>
      <w:r w:rsidRPr="00D35F72">
        <w:rPr>
          <w:bCs/>
        </w:rPr>
        <w:t xml:space="preserve">así como la introducción de un nuevo copago en el transporte sanitario no urgente que todavía no se ha aplicado, a pesar de estar acordado por el Ministerio de Sanidad y las comunidades desde el pasado mes de febrero. </w:t>
      </w:r>
    </w:p>
    <w:p w:rsidR="003E7174" w:rsidRPr="00727AE3" w:rsidRDefault="003E7174" w:rsidP="00550638">
      <w:pPr>
        <w:pStyle w:val="NormalWeb"/>
        <w:jc w:val="both"/>
      </w:pPr>
      <w:r w:rsidRPr="00727AE3">
        <w:t>Falta también por cifrar el impacto económico que tendrán medidas en marcha como la tarjeta sanitaria única, el nuevo modelo sociosanitario, la reforma de la dependencia, las compras centralizadas o la nueva orden de precios de referencia. La revisión de productos sometidos al Impuesto sobre el Valor Agregado o reducido, que afecta a los productos sanitarios, se pospone a una reunión que se celebrará en febrero del próximo año, según el documento presentado por el Ejecutivo.</w:t>
      </w:r>
    </w:p>
    <w:p w:rsidR="003E7174" w:rsidRDefault="003E7174" w:rsidP="00550638">
      <w:pPr>
        <w:pStyle w:val="NormalWeb"/>
        <w:jc w:val="both"/>
      </w:pPr>
      <w:r>
        <w:t xml:space="preserve">- </w:t>
      </w:r>
      <w:r w:rsidRPr="0006771B">
        <w:rPr>
          <w:u w:val="single"/>
        </w:rPr>
        <w:t>Así es el mejor hospital de España</w:t>
      </w:r>
      <w:r>
        <w:t xml:space="preserve"> (Libertad Digital - </w:t>
      </w:r>
      <w:r>
        <w:rPr>
          <w:b/>
        </w:rPr>
        <w:t>20</w:t>
      </w:r>
      <w:r w:rsidRPr="0006771B">
        <w:rPr>
          <w:b/>
        </w:rPr>
        <w:t>/10/13</w:t>
      </w:r>
      <w:r>
        <w:t>)</w:t>
      </w:r>
    </w:p>
    <w:p w:rsidR="003E7174" w:rsidRDefault="003E7174" w:rsidP="00550638">
      <w:pPr>
        <w:pStyle w:val="NormalWeb"/>
        <w:jc w:val="both"/>
      </w:pPr>
      <w:r>
        <w:t>Un hospital público con gestión privada ha sido elegido el mejor de España. Se trata del Universitario de Torrejón y hemos querido conocerlo.</w:t>
      </w:r>
    </w:p>
    <w:p w:rsidR="003E7174" w:rsidRDefault="003E7174" w:rsidP="00550638">
      <w:pPr>
        <w:pStyle w:val="NormalWeb"/>
        <w:jc w:val="both"/>
      </w:pPr>
      <w:r>
        <w:t>(Por C. Jordá)</w:t>
      </w:r>
      <w:r w:rsidR="009F66FC">
        <w:t xml:space="preserve">                                                                                    Lectura recomendada</w:t>
      </w:r>
    </w:p>
    <w:p w:rsidR="003E7174" w:rsidRPr="009F66FC" w:rsidRDefault="003E7174" w:rsidP="00550638">
      <w:pPr>
        <w:pStyle w:val="NormalWeb"/>
        <w:jc w:val="both"/>
        <w:rPr>
          <w:u w:val="single"/>
        </w:rPr>
      </w:pPr>
      <w:r w:rsidRPr="009F66FC">
        <w:rPr>
          <w:u w:val="single"/>
        </w:rPr>
        <w:t xml:space="preserve">Mientras la polémica alrededor de la Sanidad y de la externalización de la gestión de seis hospitales de la </w:t>
      </w:r>
      <w:hyperlink r:id="rId526" w:history="1">
        <w:r w:rsidRPr="00D35F72">
          <w:rPr>
            <w:rStyle w:val="Textoennegrita"/>
            <w:rFonts w:eastAsiaTheme="majorEastAsia"/>
            <w:b w:val="0"/>
            <w:u w:val="single"/>
          </w:rPr>
          <w:t>Comunidad de Madrid</w:t>
        </w:r>
      </w:hyperlink>
      <w:r w:rsidRPr="00D35F72">
        <w:rPr>
          <w:b/>
          <w:u w:val="single"/>
        </w:rPr>
        <w:t xml:space="preserve">, </w:t>
      </w:r>
      <w:r w:rsidRPr="009F66FC">
        <w:rPr>
          <w:u w:val="single"/>
        </w:rPr>
        <w:t xml:space="preserve">los cuatro centros que ya funcionan con ese modelo siguen atendiendo a sus pacientes con total normalidad e incluso uno de ellos, el </w:t>
      </w:r>
      <w:hyperlink r:id="rId527" w:history="1">
        <w:r w:rsidRPr="00D35F72">
          <w:rPr>
            <w:rStyle w:val="Textoennegrita"/>
            <w:rFonts w:eastAsiaTheme="majorEastAsia"/>
            <w:b w:val="0"/>
            <w:u w:val="single"/>
          </w:rPr>
          <w:t>Hospital Universitario de Torrejón</w:t>
        </w:r>
      </w:hyperlink>
      <w:r w:rsidRPr="00D35F72">
        <w:rPr>
          <w:b/>
          <w:u w:val="single"/>
        </w:rPr>
        <w:t xml:space="preserve">, </w:t>
      </w:r>
      <w:r w:rsidRPr="00253E1A">
        <w:rPr>
          <w:u w:val="single"/>
        </w:rPr>
        <w:t>ha sido</w:t>
      </w:r>
      <w:r w:rsidRPr="00D35F72">
        <w:rPr>
          <w:b/>
          <w:u w:val="single"/>
        </w:rPr>
        <w:t xml:space="preserve"> </w:t>
      </w:r>
      <w:hyperlink r:id="rId528" w:history="1">
        <w:r w:rsidRPr="00D35F72">
          <w:rPr>
            <w:rStyle w:val="Textoennegrita"/>
            <w:rFonts w:eastAsiaTheme="majorEastAsia"/>
            <w:b w:val="0"/>
            <w:u w:val="single"/>
          </w:rPr>
          <w:t>elegido como el Mejor de España</w:t>
        </w:r>
      </w:hyperlink>
      <w:r w:rsidRPr="009F66FC">
        <w:rPr>
          <w:u w:val="single"/>
        </w:rPr>
        <w:t xml:space="preserve"> entre los grandes hospitales.</w:t>
      </w:r>
    </w:p>
    <w:p w:rsidR="003E7174" w:rsidRPr="009F66FC" w:rsidRDefault="003E7174" w:rsidP="00550638">
      <w:pPr>
        <w:pStyle w:val="NormalWeb"/>
        <w:jc w:val="both"/>
      </w:pPr>
      <w:r w:rsidRPr="009F66FC">
        <w:t xml:space="preserve">El Hospital cumplió dos años de vida a finales del pasado mes de septiembre. Se trata del penúltimo centro hospitalario inaugurado en la CAM. En estos 24 meses ha atendido a cerca de 120.000 personas y da trabajo a </w:t>
      </w:r>
      <w:r w:rsidRPr="00D35F72">
        <w:rPr>
          <w:rStyle w:val="Textoennegrita"/>
          <w:rFonts w:eastAsiaTheme="majorEastAsia"/>
          <w:b w:val="0"/>
        </w:rPr>
        <w:t>720 profesionales de la sanidad</w:t>
      </w:r>
      <w:r w:rsidRPr="009F66FC">
        <w:t>, cerca de 200 de ellos médicos.</w:t>
      </w:r>
    </w:p>
    <w:p w:rsidR="003E7174" w:rsidRPr="009F66FC" w:rsidRDefault="003E7174" w:rsidP="00550638">
      <w:pPr>
        <w:pStyle w:val="NormalWeb"/>
        <w:jc w:val="both"/>
      </w:pPr>
      <w:r w:rsidRPr="009F66FC">
        <w:t xml:space="preserve">Hemos querido conocer este hospital, comprobar cómo ha funcionado en este tiempo y si alguna de las </w:t>
      </w:r>
      <w:r w:rsidRPr="00D35F72">
        <w:rPr>
          <w:rStyle w:val="Textoennegrita"/>
          <w:rFonts w:eastAsiaTheme="majorEastAsia"/>
          <w:b w:val="0"/>
        </w:rPr>
        <w:t>apocalípticas previsiones</w:t>
      </w:r>
      <w:r w:rsidRPr="009F66FC">
        <w:t xml:space="preserve"> del PSOE y ciertos sindicatos sobre los estragos que la gestión privada causa al sistema se están materializando ya, aunque no lo parezca a la luz del premio recibido y del </w:t>
      </w:r>
      <w:r w:rsidRPr="00D35F72">
        <w:rPr>
          <w:rStyle w:val="Textoennegrita"/>
          <w:rFonts w:eastAsiaTheme="majorEastAsia"/>
          <w:b w:val="0"/>
        </w:rPr>
        <w:t>96% de aprobación</w:t>
      </w:r>
      <w:r w:rsidRPr="009F66FC">
        <w:t xml:space="preserve"> que recibe de sus usuarios según las encuestas oficiales.</w:t>
      </w:r>
    </w:p>
    <w:p w:rsidR="003E7174" w:rsidRPr="00253E1A" w:rsidRDefault="003E7174" w:rsidP="00550638">
      <w:pPr>
        <w:pStyle w:val="Ttulo3"/>
        <w:spacing w:line="240" w:lineRule="auto"/>
        <w:jc w:val="both"/>
        <w:rPr>
          <w:rFonts w:ascii="Times New Roman" w:hAnsi="Times New Roman" w:cs="Times New Roman"/>
          <w:b w:val="0"/>
          <w:color w:val="auto"/>
          <w:sz w:val="24"/>
          <w:szCs w:val="24"/>
        </w:rPr>
      </w:pPr>
      <w:r w:rsidRPr="00253E1A">
        <w:rPr>
          <w:rFonts w:ascii="Times New Roman" w:hAnsi="Times New Roman" w:cs="Times New Roman"/>
          <w:b w:val="0"/>
          <w:color w:val="auto"/>
          <w:sz w:val="24"/>
          <w:szCs w:val="24"/>
        </w:rPr>
        <w:t>¿Qué opinan los pacientes?</w:t>
      </w:r>
    </w:p>
    <w:p w:rsidR="003E7174" w:rsidRPr="009F66FC" w:rsidRDefault="003E7174" w:rsidP="00550638">
      <w:pPr>
        <w:pStyle w:val="NormalWeb"/>
        <w:jc w:val="both"/>
      </w:pPr>
      <w:r w:rsidRPr="009F66FC">
        <w:t>Precisamente, lo primero que queremos es conocer la opinión de los propios pacientes del hospital y de sus familiares, así que nos apostamos a la puerta del centro y vamos preguntado a quienes que salen.</w:t>
      </w:r>
    </w:p>
    <w:p w:rsidR="003E7174" w:rsidRPr="009F66FC" w:rsidRDefault="003E7174" w:rsidP="00550638">
      <w:pPr>
        <w:pStyle w:val="NormalWeb"/>
        <w:jc w:val="both"/>
      </w:pPr>
      <w:r w:rsidRPr="009F66FC">
        <w:lastRenderedPageBreak/>
        <w:t>Al contrario de lo que ocurría tiempo atrás, la mayor parte de los usuarios con los que hablamos</w:t>
      </w:r>
      <w:r w:rsidRPr="009F66FC">
        <w:rPr>
          <w:rStyle w:val="Textoennegrita"/>
          <w:rFonts w:eastAsiaTheme="majorEastAsia"/>
        </w:rPr>
        <w:t xml:space="preserve"> </w:t>
      </w:r>
      <w:r w:rsidRPr="00253E1A">
        <w:rPr>
          <w:rStyle w:val="Textoennegrita"/>
          <w:rFonts w:eastAsiaTheme="majorEastAsia"/>
          <w:b w:val="0"/>
        </w:rPr>
        <w:t>sí saben</w:t>
      </w:r>
      <w:r w:rsidRPr="009F66FC">
        <w:rPr>
          <w:rStyle w:val="Textoennegrita"/>
          <w:rFonts w:eastAsiaTheme="majorEastAsia"/>
        </w:rPr>
        <w:t xml:space="preserve"> </w:t>
      </w:r>
      <w:r w:rsidRPr="009F66FC">
        <w:t>que el Hospital de Torrejón es</w:t>
      </w:r>
      <w:r w:rsidRPr="009F66FC">
        <w:rPr>
          <w:rStyle w:val="Textoennegrita"/>
          <w:rFonts w:eastAsiaTheme="majorEastAsia"/>
        </w:rPr>
        <w:t xml:space="preserve"> </w:t>
      </w:r>
      <w:r w:rsidRPr="00D35F72">
        <w:rPr>
          <w:rStyle w:val="Textoennegrita"/>
          <w:rFonts w:eastAsiaTheme="majorEastAsia"/>
          <w:b w:val="0"/>
        </w:rPr>
        <w:t>gestionado por una empresa</w:t>
      </w:r>
      <w:r w:rsidRPr="009F66FC">
        <w:rPr>
          <w:rStyle w:val="Textoennegrita"/>
          <w:rFonts w:eastAsiaTheme="majorEastAsia"/>
        </w:rPr>
        <w:t xml:space="preserve"> </w:t>
      </w:r>
      <w:r w:rsidRPr="009F66FC">
        <w:t>privada, sin embargo el hecho no parece importarles demasiado.</w:t>
      </w:r>
    </w:p>
    <w:p w:rsidR="003E7174" w:rsidRPr="009F66FC" w:rsidRDefault="003E7174" w:rsidP="00550638">
      <w:pPr>
        <w:pStyle w:val="NormalWeb"/>
        <w:jc w:val="both"/>
      </w:pPr>
      <w:r w:rsidRPr="009F66FC">
        <w:t>Una pareja de anciano</w:t>
      </w:r>
      <w:r w:rsidR="009A4812">
        <w:t>s nos asegura que se enteraron “por la prensa”</w:t>
      </w:r>
      <w:r w:rsidRPr="009F66FC">
        <w:t xml:space="preserve"> de forma en la que se </w:t>
      </w:r>
      <w:r w:rsidR="009A4812">
        <w:t>gestiona el hospital, pero que “no les preocupa”</w:t>
      </w:r>
      <w:r w:rsidRPr="009F66FC">
        <w:t xml:space="preserve"> porque </w:t>
      </w:r>
      <w:r w:rsidR="009A4812" w:rsidRPr="00D35F72">
        <w:rPr>
          <w:rStyle w:val="Textoennegrita"/>
          <w:rFonts w:eastAsiaTheme="majorEastAsia"/>
          <w:b w:val="0"/>
        </w:rPr>
        <w:t>están “</w:t>
      </w:r>
      <w:r w:rsidRPr="00D35F72">
        <w:rPr>
          <w:rStyle w:val="Textoennegrita"/>
          <w:rFonts w:eastAsiaTheme="majorEastAsia"/>
          <w:b w:val="0"/>
        </w:rPr>
        <w:t>igual de bien</w:t>
      </w:r>
      <w:r w:rsidR="009A4812" w:rsidRPr="00D35F72">
        <w:rPr>
          <w:rStyle w:val="Textoennegrita"/>
          <w:rFonts w:eastAsiaTheme="majorEastAsia"/>
          <w:b w:val="0"/>
        </w:rPr>
        <w:t xml:space="preserve"> atendidos”</w:t>
      </w:r>
      <w:r w:rsidRPr="009F66FC">
        <w:t xml:space="preserve"> que en otros.</w:t>
      </w:r>
    </w:p>
    <w:p w:rsidR="003E7174" w:rsidRPr="009F66FC" w:rsidRDefault="003E7174" w:rsidP="00550638">
      <w:pPr>
        <w:pStyle w:val="NormalWeb"/>
        <w:jc w:val="both"/>
      </w:pPr>
      <w:r w:rsidRPr="009F66FC">
        <w:t>Hay quién incluso es más entusiasta: un grupo de tres personas de mediana edad nos explica que ell</w:t>
      </w:r>
      <w:r w:rsidR="009A4812">
        <w:t>os sí saben que el hospital es “gestionado por Asisa” -</w:t>
      </w:r>
      <w:r w:rsidRPr="009F66FC">
        <w:t xml:space="preserve">lo cierto es que la empresa gestora es Sanitas- y aseguran que </w:t>
      </w:r>
      <w:r w:rsidR="009A4812" w:rsidRPr="00D35F72">
        <w:rPr>
          <w:rStyle w:val="Textoennegrita"/>
          <w:rFonts w:eastAsiaTheme="majorEastAsia"/>
          <w:b w:val="0"/>
        </w:rPr>
        <w:t>“</w:t>
      </w:r>
      <w:r w:rsidRPr="00D35F72">
        <w:rPr>
          <w:rStyle w:val="Textoennegrita"/>
          <w:rFonts w:eastAsiaTheme="majorEastAsia"/>
          <w:b w:val="0"/>
        </w:rPr>
        <w:t>la asistencia</w:t>
      </w:r>
      <w:r w:rsidR="009A4812" w:rsidRPr="00D35F72">
        <w:rPr>
          <w:rStyle w:val="Textoennegrita"/>
          <w:rFonts w:eastAsiaTheme="majorEastAsia"/>
          <w:b w:val="0"/>
        </w:rPr>
        <w:t xml:space="preserve"> es mejor”</w:t>
      </w:r>
      <w:r w:rsidRPr="00D35F72">
        <w:rPr>
          <w:b/>
        </w:rPr>
        <w:t>.</w:t>
      </w:r>
      <w:r w:rsidRPr="009F66FC">
        <w:t xml:space="preserve"> De hech</w:t>
      </w:r>
      <w:r w:rsidR="009A4812">
        <w:t>o, la mujer del grupo insiste: “</w:t>
      </w:r>
      <w:r w:rsidRPr="009F66FC">
        <w:t xml:space="preserve">Si lo comparas con Alcalá está mil veces mejor, y también </w:t>
      </w:r>
      <w:r w:rsidR="009A4812">
        <w:t>es mejor que el de San Fernando”</w:t>
      </w:r>
      <w:r w:rsidRPr="009F66FC">
        <w:t>.</w:t>
      </w:r>
    </w:p>
    <w:p w:rsidR="003E7174" w:rsidRPr="009F66FC" w:rsidRDefault="003E7174" w:rsidP="00550638">
      <w:pPr>
        <w:pStyle w:val="NormalWeb"/>
        <w:jc w:val="both"/>
      </w:pPr>
      <w:r w:rsidRPr="009F66FC">
        <w:t>Un mujer espera en el hall del hospital sentada en una silla de ruedas y con su hijo recién nacido en brazos, nos cuenta que ella ha ido a dar a luz en Torrejón p</w:t>
      </w:r>
      <w:r w:rsidR="009A4812">
        <w:t>ese a ser de Alcalá de Henares “</w:t>
      </w:r>
      <w:r w:rsidRPr="009F66FC">
        <w:t>porque me l</w:t>
      </w:r>
      <w:r w:rsidR="009A4812">
        <w:t>o han recomendado varios amigos”</w:t>
      </w:r>
      <w:r w:rsidRPr="009F66FC">
        <w:t>. Así que hizo la visita guiada qu</w:t>
      </w:r>
      <w:r w:rsidR="002A717B">
        <w:t>e ofrece el hospital y que les “gustó mucho”</w:t>
      </w:r>
      <w:r w:rsidRPr="009F66FC">
        <w:t>, por lo que finalmente ha dado a luz en este centro del que, por cierto, no sabía que era gestionado por una empresa.</w:t>
      </w:r>
    </w:p>
    <w:p w:rsidR="003E7174" w:rsidRPr="009A4812" w:rsidRDefault="003E7174" w:rsidP="00550638">
      <w:pPr>
        <w:pStyle w:val="Ttulo3"/>
        <w:spacing w:line="240" w:lineRule="auto"/>
        <w:jc w:val="both"/>
        <w:rPr>
          <w:rFonts w:ascii="Times New Roman" w:hAnsi="Times New Roman" w:cs="Times New Roman"/>
          <w:b w:val="0"/>
          <w:color w:val="auto"/>
          <w:sz w:val="24"/>
          <w:szCs w:val="24"/>
        </w:rPr>
      </w:pPr>
      <w:r w:rsidRPr="009A4812">
        <w:rPr>
          <w:rFonts w:ascii="Times New Roman" w:hAnsi="Times New Roman" w:cs="Times New Roman"/>
          <w:b w:val="0"/>
          <w:color w:val="auto"/>
          <w:sz w:val="24"/>
          <w:szCs w:val="24"/>
        </w:rPr>
        <w:t>Éxito en los partos</w:t>
      </w:r>
    </w:p>
    <w:p w:rsidR="003E7174" w:rsidRPr="009F66FC" w:rsidRDefault="003E7174" w:rsidP="00550638">
      <w:pPr>
        <w:pStyle w:val="NormalWeb"/>
        <w:jc w:val="both"/>
      </w:pPr>
      <w:r w:rsidRPr="009F66FC">
        <w:t xml:space="preserve">Precisamente, tal y como nos cuenta el equipo de comunicación del propio Hospital de Torrejón, en el campo de los partos es uno de los que están teniendo </w:t>
      </w:r>
      <w:r w:rsidRPr="00D35F72">
        <w:rPr>
          <w:rStyle w:val="Textoennegrita"/>
          <w:rFonts w:eastAsiaTheme="majorEastAsia"/>
          <w:b w:val="0"/>
        </w:rPr>
        <w:t>un singular éxito</w:t>
      </w:r>
      <w:r w:rsidRPr="00D35F72">
        <w:rPr>
          <w:b/>
        </w:rPr>
        <w:t>,</w:t>
      </w:r>
      <w:r w:rsidRPr="009F66FC">
        <w:t xml:space="preserve"> logrando que hasta un </w:t>
      </w:r>
      <w:r w:rsidRPr="00D35F72">
        <w:rPr>
          <w:rStyle w:val="Textoennegrita"/>
          <w:rFonts w:eastAsiaTheme="majorEastAsia"/>
          <w:b w:val="0"/>
        </w:rPr>
        <w:t>34% de las pacientes</w:t>
      </w:r>
      <w:r w:rsidRPr="009F66FC">
        <w:t xml:space="preserve"> llegue, como la mujer con la que hablábamos en la entrada, desde fuera del área de referencia del hospital.</w:t>
      </w:r>
    </w:p>
    <w:p w:rsidR="003E7174" w:rsidRPr="009F66FC" w:rsidRDefault="003E7174" w:rsidP="00550638">
      <w:pPr>
        <w:pStyle w:val="NormalWeb"/>
        <w:jc w:val="both"/>
      </w:pPr>
      <w:r w:rsidRPr="009F66FC">
        <w:t xml:space="preserve">Según nos explican, la raíz del éxito está, precisamente, en </w:t>
      </w:r>
      <w:r w:rsidRPr="00D35F72">
        <w:rPr>
          <w:rStyle w:val="Textoennegrita"/>
          <w:rFonts w:eastAsiaTheme="majorEastAsia"/>
          <w:b w:val="0"/>
        </w:rPr>
        <w:t>dar a elegir a las madres</w:t>
      </w:r>
      <w:r w:rsidRPr="009F66FC">
        <w:t xml:space="preserve"> y en que la atención médica se basa en el </w:t>
      </w:r>
      <w:r w:rsidR="009A4812" w:rsidRPr="00D35F72">
        <w:rPr>
          <w:rStyle w:val="Textoennegrita"/>
          <w:rFonts w:eastAsiaTheme="majorEastAsia"/>
          <w:b w:val="0"/>
        </w:rPr>
        <w:t>“parto respetado”</w:t>
      </w:r>
      <w:r w:rsidR="002A717B">
        <w:t>, es decir, que “</w:t>
      </w:r>
      <w:r w:rsidRPr="009F66FC">
        <w:t>siempre que las condici</w:t>
      </w:r>
      <w:r w:rsidR="002A717B">
        <w:t>ones médicas no lo desaconsejen”</w:t>
      </w:r>
      <w:r w:rsidRPr="009F66FC">
        <w:t xml:space="preserve"> la mujer puede elegir cómo quiere que nazca su hijo: con o sin epidural, en bañera, de pie, en camilla... Todo acompañado de unas instalaciones impecables: el paritorio en el que se encuentra la bañera para partos se podría tomar más por una estancia en un balneario que por una sala hospitalaria.</w:t>
      </w:r>
    </w:p>
    <w:p w:rsidR="003E7174" w:rsidRPr="00D35F72" w:rsidRDefault="003E7174" w:rsidP="00550638">
      <w:pPr>
        <w:pStyle w:val="NormalWeb"/>
        <w:jc w:val="both"/>
        <w:rPr>
          <w:b/>
        </w:rPr>
      </w:pPr>
      <w:r w:rsidRPr="009F66FC">
        <w:t xml:space="preserve">Es una política que se promociona mucho con charlas a asociaciones de mujeres o de amas de casa o con las visitas preparto que hemos comentado. Un contacto con la población de referencia que se extiende a </w:t>
      </w:r>
      <w:r w:rsidR="009A4812">
        <w:t>otras áreas y que hace que sea “habitual”</w:t>
      </w:r>
      <w:r w:rsidRPr="009F66FC">
        <w:t xml:space="preserve"> que, por ejemplo, todo un jefe de cirugía se desplace a asociaciones a ofrecer </w:t>
      </w:r>
      <w:r w:rsidRPr="00D35F72">
        <w:rPr>
          <w:rStyle w:val="Textoennegrita"/>
          <w:rFonts w:eastAsiaTheme="majorEastAsia"/>
          <w:b w:val="0"/>
        </w:rPr>
        <w:t>charlas informativas</w:t>
      </w:r>
      <w:r w:rsidRPr="00D35F72">
        <w:rPr>
          <w:b/>
        </w:rPr>
        <w:t>.</w:t>
      </w:r>
    </w:p>
    <w:p w:rsidR="003E7174" w:rsidRPr="009A4812" w:rsidRDefault="003E7174" w:rsidP="00550638">
      <w:pPr>
        <w:pStyle w:val="Ttulo3"/>
        <w:spacing w:line="240" w:lineRule="auto"/>
        <w:jc w:val="both"/>
        <w:rPr>
          <w:rFonts w:ascii="Times New Roman" w:hAnsi="Times New Roman" w:cs="Times New Roman"/>
          <w:b w:val="0"/>
          <w:color w:val="auto"/>
          <w:sz w:val="24"/>
          <w:szCs w:val="24"/>
        </w:rPr>
      </w:pPr>
      <w:r w:rsidRPr="009A4812">
        <w:rPr>
          <w:rFonts w:ascii="Times New Roman" w:hAnsi="Times New Roman" w:cs="Times New Roman"/>
          <w:b w:val="0"/>
          <w:color w:val="auto"/>
          <w:sz w:val="24"/>
          <w:szCs w:val="24"/>
        </w:rPr>
        <w:t>Ahorro de costes</w:t>
      </w:r>
    </w:p>
    <w:p w:rsidR="003E7174" w:rsidRPr="009F66FC" w:rsidRDefault="003E7174" w:rsidP="00550638">
      <w:pPr>
        <w:pStyle w:val="NormalWeb"/>
        <w:jc w:val="both"/>
        <w:rPr>
          <w:u w:val="single"/>
        </w:rPr>
      </w:pPr>
      <w:r w:rsidRPr="009F66FC">
        <w:rPr>
          <w:u w:val="single"/>
        </w:rPr>
        <w:t>Y es</w:t>
      </w:r>
      <w:r w:rsidR="009A4812">
        <w:rPr>
          <w:u w:val="single"/>
        </w:rPr>
        <w:t xml:space="preserve"> que, tal y como nos aseguran, “</w:t>
      </w:r>
      <w:r w:rsidRPr="009F66FC">
        <w:rPr>
          <w:u w:val="single"/>
        </w:rPr>
        <w:t xml:space="preserve">el negocio de un hospital </w:t>
      </w:r>
      <w:r w:rsidRPr="00D35F72">
        <w:rPr>
          <w:rStyle w:val="Textoennegrita"/>
          <w:rFonts w:eastAsiaTheme="majorEastAsia"/>
          <w:b w:val="0"/>
          <w:u w:val="single"/>
        </w:rPr>
        <w:t>no es tratar enfermos sino que la gente esté sana</w:t>
      </w:r>
      <w:r w:rsidR="009A4812" w:rsidRPr="00D35F72">
        <w:rPr>
          <w:b/>
          <w:u w:val="single"/>
        </w:rPr>
        <w:t>”</w:t>
      </w:r>
      <w:r w:rsidRPr="009F66FC">
        <w:rPr>
          <w:u w:val="single"/>
        </w:rPr>
        <w:t>. De hecho, el sistema desarrollado por la Comunidad de Madrid invita a que esta sea la forma de funcionar, ya que los hospitales cobran una cápita por cada habitante de su zona de referencia, no por los pacientes que efectivamente trata -sí se cobra, ya que esto favorece la competitividad, por los que llegan desde otras zonas-.</w:t>
      </w:r>
    </w:p>
    <w:p w:rsidR="003E7174" w:rsidRPr="009F66FC" w:rsidRDefault="003E7174" w:rsidP="00550638">
      <w:pPr>
        <w:pStyle w:val="NormalWeb"/>
        <w:jc w:val="both"/>
        <w:rPr>
          <w:u w:val="single"/>
        </w:rPr>
      </w:pPr>
      <w:r w:rsidRPr="009F66FC">
        <w:rPr>
          <w:u w:val="single"/>
        </w:rPr>
        <w:lastRenderedPageBreak/>
        <w:t xml:space="preserve">Porque los ahorros de la sanidad de gestión privada no están ni en prestar una atención deficiente, ni en usar peor material, ni en pagar menos los profesionales. De hecho, en el Hospital de Torrejón se presume de </w:t>
      </w:r>
      <w:r w:rsidR="009A4812" w:rsidRPr="00D35F72">
        <w:rPr>
          <w:rStyle w:val="Textoennegrita"/>
          <w:rFonts w:eastAsiaTheme="majorEastAsia"/>
          <w:b w:val="0"/>
          <w:u w:val="single"/>
        </w:rPr>
        <w:t>“pagarles mejor”</w:t>
      </w:r>
      <w:r w:rsidRPr="009F66FC">
        <w:rPr>
          <w:u w:val="single"/>
        </w:rPr>
        <w:t xml:space="preserve"> con un sistema que </w:t>
      </w:r>
      <w:r w:rsidRPr="00D35F72">
        <w:rPr>
          <w:rStyle w:val="Textoennegrita"/>
          <w:rFonts w:eastAsiaTheme="majorEastAsia"/>
          <w:b w:val="0"/>
          <w:u w:val="single"/>
        </w:rPr>
        <w:t>premia la productividad</w:t>
      </w:r>
      <w:r w:rsidRPr="009F66FC">
        <w:rPr>
          <w:u w:val="single"/>
        </w:rPr>
        <w:t xml:space="preserve"> y gracias al cual médicos y enfermeras pueden llegar incluso a ganar más dinero.</w:t>
      </w:r>
    </w:p>
    <w:p w:rsidR="003E7174" w:rsidRPr="009F66FC" w:rsidRDefault="003E7174" w:rsidP="00550638">
      <w:pPr>
        <w:pStyle w:val="NormalWeb"/>
        <w:jc w:val="both"/>
        <w:rPr>
          <w:u w:val="single"/>
        </w:rPr>
      </w:pPr>
      <w:r w:rsidRPr="009F66FC">
        <w:rPr>
          <w:u w:val="single"/>
        </w:rPr>
        <w:t>Por supuesto, una parte del ahorro está también en la eficacia: si un paciente llega a una consulta y se le recomiendan pruebas médicas puede hacerlas en el propio hospital y en el mismo día que el médico lo diagnostica: mayor comodidad y ahorro de tiempo y, por tanto, de dinero.</w:t>
      </w:r>
    </w:p>
    <w:p w:rsidR="003E7174" w:rsidRPr="009A4812" w:rsidRDefault="003E7174" w:rsidP="00550638">
      <w:pPr>
        <w:pStyle w:val="Ttulo3"/>
        <w:spacing w:line="240" w:lineRule="auto"/>
        <w:jc w:val="both"/>
        <w:rPr>
          <w:rFonts w:ascii="Times New Roman" w:hAnsi="Times New Roman" w:cs="Times New Roman"/>
          <w:b w:val="0"/>
          <w:color w:val="auto"/>
          <w:sz w:val="24"/>
          <w:szCs w:val="24"/>
        </w:rPr>
      </w:pPr>
      <w:r w:rsidRPr="009A4812">
        <w:rPr>
          <w:rFonts w:ascii="Times New Roman" w:hAnsi="Times New Roman" w:cs="Times New Roman"/>
          <w:b w:val="0"/>
          <w:color w:val="auto"/>
          <w:sz w:val="24"/>
          <w:szCs w:val="24"/>
        </w:rPr>
        <w:t>El éxito de las urgencias</w:t>
      </w:r>
    </w:p>
    <w:p w:rsidR="003E7174" w:rsidRPr="009F66FC" w:rsidRDefault="003E7174" w:rsidP="00550638">
      <w:pPr>
        <w:pStyle w:val="NormalWeb"/>
        <w:jc w:val="both"/>
      </w:pPr>
      <w:r w:rsidRPr="009F66FC">
        <w:t xml:space="preserve">Otro de los servicios que se ha considerado especialmente exitoso en el Hospital de Torrejón es el de urgencias, que ha sido puesto en marcha por </w:t>
      </w:r>
      <w:r w:rsidRPr="00D35F72">
        <w:rPr>
          <w:rStyle w:val="Textoennegrita"/>
          <w:rFonts w:eastAsiaTheme="majorEastAsia"/>
          <w:b w:val="0"/>
        </w:rPr>
        <w:t>Francisco Malagón</w:t>
      </w:r>
      <w:r w:rsidRPr="009F66FC">
        <w:t>, un médico que ha desarrollado casi toda su carrera en hospitales públicos de gestión directa.</w:t>
      </w:r>
    </w:p>
    <w:p w:rsidR="003E7174" w:rsidRPr="009F66FC" w:rsidRDefault="003E7174" w:rsidP="00550638">
      <w:pPr>
        <w:pStyle w:val="NormalWeb"/>
        <w:jc w:val="both"/>
      </w:pPr>
      <w:r w:rsidRPr="009F66FC">
        <w:t xml:space="preserve">El doctor Malagón nos dice que la experiencia </w:t>
      </w:r>
      <w:r w:rsidR="009A4812" w:rsidRPr="00D35F72">
        <w:rPr>
          <w:rStyle w:val="Textoennegrita"/>
          <w:rFonts w:eastAsiaTheme="majorEastAsia"/>
          <w:b w:val="0"/>
        </w:rPr>
        <w:t>“no se puede ni comparar”</w:t>
      </w:r>
      <w:r w:rsidR="002A717B">
        <w:t xml:space="preserve"> gracias entre otras cosas “</w:t>
      </w:r>
      <w:r w:rsidRPr="009F66FC">
        <w:t xml:space="preserve">a </w:t>
      </w:r>
      <w:r w:rsidR="002A717B">
        <w:t>los medios de los que nos dotan”</w:t>
      </w:r>
      <w:r w:rsidRPr="009F66FC">
        <w:t>, de los que nos pone un ejemplo muy claro: en uno de sus destinos a</w:t>
      </w:r>
      <w:r w:rsidR="002A717B">
        <w:t>nteriores de un tamaño similar “</w:t>
      </w:r>
      <w:r w:rsidRPr="009F66FC">
        <w:t>éramos 14 o 15 adju</w:t>
      </w:r>
      <w:r w:rsidR="002A717B">
        <w:t>ntos en urgencias y aquí hay 25”</w:t>
      </w:r>
      <w:r w:rsidRPr="009F66FC">
        <w:t>.</w:t>
      </w:r>
    </w:p>
    <w:p w:rsidR="003E7174" w:rsidRPr="009F66FC" w:rsidRDefault="003E7174" w:rsidP="00550638">
      <w:pPr>
        <w:pStyle w:val="NormalWeb"/>
        <w:jc w:val="both"/>
      </w:pPr>
      <w:r w:rsidRPr="009F66FC">
        <w:t>Además nos habla de la perfecta integración entre las propias urgenci</w:t>
      </w:r>
      <w:r w:rsidR="009A4812">
        <w:t>as y otras áreas del hospital: “</w:t>
      </w:r>
      <w:r w:rsidRPr="009F66FC">
        <w:t xml:space="preserve">Podemos darle el alta con tranquilidad a un paciente porque </w:t>
      </w:r>
      <w:r w:rsidRPr="00D35F72">
        <w:rPr>
          <w:rStyle w:val="Textoennegrita"/>
          <w:rFonts w:eastAsiaTheme="majorEastAsia"/>
          <w:b w:val="0"/>
        </w:rPr>
        <w:t>sabemos que tendrá hora en consultas</w:t>
      </w:r>
      <w:r w:rsidRPr="009F66FC">
        <w:rPr>
          <w:rStyle w:val="Textoennegrita"/>
          <w:rFonts w:eastAsiaTheme="majorEastAsia"/>
        </w:rPr>
        <w:t xml:space="preserve"> </w:t>
      </w:r>
      <w:r w:rsidR="009A4812">
        <w:t>mañana”</w:t>
      </w:r>
      <w:r w:rsidRPr="009F66FC">
        <w:t>, nos explica.</w:t>
      </w:r>
    </w:p>
    <w:p w:rsidR="003E7174" w:rsidRPr="00D35F72" w:rsidRDefault="003E7174" w:rsidP="00550638">
      <w:pPr>
        <w:pStyle w:val="NormalWeb"/>
        <w:jc w:val="both"/>
        <w:rPr>
          <w:b/>
        </w:rPr>
      </w:pPr>
      <w:r w:rsidRPr="009F66FC">
        <w:t xml:space="preserve">Así, y pese a lo que dice la propaganda, el doctor Malagón tiene claro que </w:t>
      </w:r>
      <w:r w:rsidR="009A4812" w:rsidRPr="00D35F72">
        <w:rPr>
          <w:rStyle w:val="Textoennegrita"/>
          <w:rFonts w:eastAsiaTheme="majorEastAsia"/>
          <w:b w:val="0"/>
        </w:rPr>
        <w:t>“la medicina es la misma”</w:t>
      </w:r>
      <w:r w:rsidRPr="009F66FC">
        <w:t xml:space="preserve"> que en u</w:t>
      </w:r>
      <w:r w:rsidR="009A4812">
        <w:t>n hospital de gestión directa, “</w:t>
      </w:r>
      <w:r w:rsidRPr="009F66FC">
        <w:t xml:space="preserve">pero aquí la hacemos de una forma </w:t>
      </w:r>
      <w:r w:rsidRPr="00D35F72">
        <w:rPr>
          <w:rStyle w:val="Textoennegrita"/>
          <w:rFonts w:eastAsiaTheme="majorEastAsia"/>
          <w:b w:val="0"/>
        </w:rPr>
        <w:t>más cómoda y orientada al paciente</w:t>
      </w:r>
      <w:r w:rsidR="009A4812" w:rsidRPr="00D35F72">
        <w:rPr>
          <w:b/>
        </w:rPr>
        <w:t>”</w:t>
      </w:r>
      <w:r w:rsidRPr="00D35F72">
        <w:rPr>
          <w:b/>
        </w:rPr>
        <w:t>.</w:t>
      </w:r>
    </w:p>
    <w:p w:rsidR="003E7174" w:rsidRPr="009F66FC" w:rsidRDefault="003E7174" w:rsidP="00550638">
      <w:pPr>
        <w:pStyle w:val="NormalWeb"/>
        <w:jc w:val="both"/>
        <w:rPr>
          <w:u w:val="single"/>
        </w:rPr>
      </w:pPr>
      <w:r w:rsidRPr="009F66FC">
        <w:rPr>
          <w:u w:val="single"/>
        </w:rPr>
        <w:t>¿El resultado? La estancia media de pacientes en urgencias es de sólo 173 minutos desde que entran hasta que salen, y en esa media se cuentan los que pasan ocho horas en observación. Además, el índice de resoluc</w:t>
      </w:r>
      <w:r w:rsidR="009A4812">
        <w:rPr>
          <w:u w:val="single"/>
        </w:rPr>
        <w:t>ión -</w:t>
      </w:r>
      <w:r w:rsidRPr="009F66FC">
        <w:rPr>
          <w:u w:val="single"/>
        </w:rPr>
        <w:t xml:space="preserve">los enfermos que en ese plazo ven su problema de salud solucionado- es </w:t>
      </w:r>
      <w:r w:rsidRPr="00D35F72">
        <w:rPr>
          <w:rStyle w:val="Textoennegrita"/>
          <w:rFonts w:eastAsiaTheme="majorEastAsia"/>
          <w:b w:val="0"/>
          <w:u w:val="single"/>
        </w:rPr>
        <w:t>superior al 92%</w:t>
      </w:r>
      <w:r w:rsidRPr="00D35F72">
        <w:rPr>
          <w:b/>
          <w:u w:val="single"/>
        </w:rPr>
        <w:t>.</w:t>
      </w:r>
      <w:r w:rsidRPr="009F66FC">
        <w:rPr>
          <w:u w:val="single"/>
        </w:rPr>
        <w:t xml:space="preserve"> Y todo con un índice de reclamaciones más que bajo: dos o tres al mes -veinticinco de enero a septiembre de 2013- cuando pasan por el servicio </w:t>
      </w:r>
      <w:r w:rsidRPr="00D35F72">
        <w:rPr>
          <w:rStyle w:val="Textoennegrita"/>
          <w:rFonts w:eastAsiaTheme="majorEastAsia"/>
          <w:b w:val="0"/>
          <w:u w:val="single"/>
        </w:rPr>
        <w:t>ocho o nueve mil personas</w:t>
      </w:r>
      <w:r w:rsidRPr="009F66FC">
        <w:rPr>
          <w:u w:val="single"/>
        </w:rPr>
        <w:t xml:space="preserve"> cada treinta días.</w:t>
      </w:r>
    </w:p>
    <w:p w:rsidR="009A4812" w:rsidRDefault="003E7174" w:rsidP="00550638">
      <w:pPr>
        <w:pStyle w:val="NormalWeb"/>
        <w:jc w:val="both"/>
      </w:pPr>
      <w:r w:rsidRPr="009F66FC">
        <w:t xml:space="preserve">Y todo, por supuesto, sin cobrar a nadie y sin que los pacientes vean otra marca y otro logro que los de la </w:t>
      </w:r>
      <w:hyperlink r:id="rId529" w:history="1">
        <w:r w:rsidRPr="00D35F72">
          <w:rPr>
            <w:rStyle w:val="Textoennegrita"/>
            <w:rFonts w:eastAsiaTheme="majorEastAsia"/>
            <w:b w:val="0"/>
            <w:u w:val="single"/>
          </w:rPr>
          <w:t>Consejería de Sanidad de Madrid</w:t>
        </w:r>
      </w:hyperlink>
      <w:r w:rsidRPr="00D35F72">
        <w:rPr>
          <w:b/>
        </w:rPr>
        <w:t>.</w:t>
      </w:r>
      <w:r w:rsidRPr="009F66FC">
        <w:t xml:space="preserve"> Nadie diría, en suma, que en Torrejón se está desmontando la Sanidad.</w:t>
      </w:r>
    </w:p>
    <w:p w:rsidR="00EE495A" w:rsidRDefault="00EE495A" w:rsidP="00550638">
      <w:pPr>
        <w:pStyle w:val="NormalWeb"/>
        <w:jc w:val="both"/>
      </w:pPr>
    </w:p>
    <w:p w:rsidR="00EE495A" w:rsidRDefault="00EE495A" w:rsidP="00550638">
      <w:pPr>
        <w:pStyle w:val="NormalWeb"/>
        <w:jc w:val="both"/>
      </w:pPr>
    </w:p>
    <w:p w:rsidR="00EE495A" w:rsidRDefault="00EE495A" w:rsidP="00550638">
      <w:pPr>
        <w:pStyle w:val="NormalWeb"/>
        <w:jc w:val="both"/>
      </w:pPr>
    </w:p>
    <w:p w:rsidR="00D35F72" w:rsidRDefault="00D35F72" w:rsidP="00550638">
      <w:pPr>
        <w:pStyle w:val="NormalWeb"/>
        <w:jc w:val="both"/>
      </w:pPr>
    </w:p>
    <w:p w:rsidR="00676D56" w:rsidRPr="009A4812" w:rsidRDefault="00676D56" w:rsidP="00550638">
      <w:pPr>
        <w:pStyle w:val="NormalWeb"/>
        <w:jc w:val="both"/>
      </w:pPr>
      <w:r>
        <w:rPr>
          <w:b/>
        </w:rPr>
        <w:lastRenderedPageBreak/>
        <w:t xml:space="preserve">4 </w:t>
      </w:r>
      <w:r w:rsidR="00CD6F7C">
        <w:rPr>
          <w:b/>
        </w:rPr>
        <w:t>-</w:t>
      </w:r>
      <w:r>
        <w:rPr>
          <w:b/>
        </w:rPr>
        <w:t xml:space="preserve"> Pensiones</w:t>
      </w:r>
      <w:r w:rsidR="00CD6F7C">
        <w:rPr>
          <w:b/>
        </w:rPr>
        <w:t>: un pasado sin futuro (anticipando el adiós)</w:t>
      </w:r>
    </w:p>
    <w:p w:rsidR="00676D56" w:rsidRDefault="00676D56" w:rsidP="00550638">
      <w:pPr>
        <w:pStyle w:val="NormalWeb"/>
        <w:jc w:val="both"/>
        <w:rPr>
          <w:b/>
        </w:rPr>
      </w:pPr>
      <w:r>
        <w:rPr>
          <w:noProof/>
          <w:color w:val="0000FF"/>
        </w:rPr>
        <w:drawing>
          <wp:inline distT="0" distB="0" distL="0" distR="0" wp14:anchorId="77ABD411" wp14:editId="15F37C13">
            <wp:extent cx="5669280" cy="2662733"/>
            <wp:effectExtent l="0" t="0" r="7620" b="4445"/>
            <wp:docPr id="100" name="Imagen 100" descr="r-JUBILACIN-hu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line_image" descr="r-JUBILACIN-huge"/>
                    <pic:cNvPicPr>
                      <a:picLocks noChangeAspect="1" noChangeArrowheads="1"/>
                    </pic:cNvPicPr>
                  </pic:nvPicPr>
                  <pic:blipFill>
                    <a:blip r:embed="rId530">
                      <a:extLst>
                        <a:ext uri="{28A0092B-C50C-407E-A947-70E740481C1C}">
                          <a14:useLocalDpi xmlns:a14="http://schemas.microsoft.com/office/drawing/2010/main" val="0"/>
                        </a:ext>
                      </a:extLst>
                    </a:blip>
                    <a:srcRect/>
                    <a:stretch>
                      <a:fillRect/>
                    </a:stretch>
                  </pic:blipFill>
                  <pic:spPr bwMode="auto">
                    <a:xfrm>
                      <a:off x="0" y="0"/>
                      <a:ext cx="5670774" cy="2663435"/>
                    </a:xfrm>
                    <a:prstGeom prst="rect">
                      <a:avLst/>
                    </a:prstGeom>
                    <a:noFill/>
                    <a:ln>
                      <a:noFill/>
                    </a:ln>
                  </pic:spPr>
                </pic:pic>
              </a:graphicData>
            </a:graphic>
          </wp:inline>
        </w:drawing>
      </w:r>
    </w:p>
    <w:p w:rsidR="009B619B" w:rsidRPr="009B619B" w:rsidRDefault="009B619B" w:rsidP="00550638">
      <w:pPr>
        <w:shd w:val="clear" w:color="auto" w:fill="FFFFFF"/>
        <w:spacing w:line="240" w:lineRule="auto"/>
        <w:ind w:left="2832" w:firstLine="708"/>
        <w:jc w:val="both"/>
        <w:rPr>
          <w:rFonts w:ascii="Times New Roman" w:hAnsi="Times New Roman"/>
          <w:b/>
          <w:sz w:val="24"/>
          <w:szCs w:val="24"/>
        </w:rPr>
      </w:pPr>
      <w:r w:rsidRPr="00945713">
        <w:rPr>
          <w:rFonts w:ascii="Times New Roman" w:hAnsi="Times New Roman"/>
          <w:b/>
          <w:sz w:val="24"/>
          <w:szCs w:val="24"/>
        </w:rPr>
        <w:t>¿Hasta los 80?</w:t>
      </w:r>
    </w:p>
    <w:p w:rsidR="00C96FE4" w:rsidRDefault="004615B8" w:rsidP="00550638">
      <w:pPr>
        <w:spacing w:line="240" w:lineRule="auto"/>
        <w:jc w:val="both"/>
        <w:rPr>
          <w:rFonts w:ascii="Times New Roman" w:hAnsi="Times New Roman"/>
          <w:b/>
          <w:sz w:val="24"/>
          <w:szCs w:val="24"/>
        </w:rPr>
      </w:pPr>
      <w:r>
        <w:rPr>
          <w:rFonts w:ascii="Times New Roman" w:hAnsi="Times New Roman"/>
          <w:sz w:val="24"/>
          <w:szCs w:val="24"/>
        </w:rPr>
        <w:t xml:space="preserve">En Agosto, de 2012, publiqué el Paper titulado: </w:t>
      </w:r>
      <w:r w:rsidR="00C96FE4" w:rsidRPr="00A25C17">
        <w:rPr>
          <w:rFonts w:ascii="Times New Roman" w:hAnsi="Times New Roman"/>
          <w:b/>
          <w:sz w:val="24"/>
          <w:szCs w:val="24"/>
        </w:rPr>
        <w:t>“Tiempos modernos”</w:t>
      </w:r>
      <w:r w:rsidR="00C96FE4">
        <w:rPr>
          <w:rFonts w:ascii="Times New Roman" w:hAnsi="Times New Roman"/>
          <w:b/>
          <w:sz w:val="24"/>
          <w:szCs w:val="24"/>
        </w:rPr>
        <w:t xml:space="preserve"> (“realidades cercanas”</w:t>
      </w:r>
      <w:r w:rsidR="00C96FE4" w:rsidRPr="00A25C17">
        <w:rPr>
          <w:rFonts w:ascii="Times New Roman" w:hAnsi="Times New Roman"/>
          <w:b/>
          <w:sz w:val="24"/>
          <w:szCs w:val="24"/>
        </w:rPr>
        <w:t xml:space="preserve"> de un capitalismo sin control)</w:t>
      </w:r>
      <w:r w:rsidR="00C96FE4">
        <w:rPr>
          <w:rFonts w:ascii="Times New Roman" w:hAnsi="Times New Roman"/>
          <w:b/>
          <w:sz w:val="24"/>
          <w:szCs w:val="24"/>
        </w:rPr>
        <w:t xml:space="preserve"> </w:t>
      </w:r>
      <w:r>
        <w:rPr>
          <w:rFonts w:ascii="Times New Roman" w:hAnsi="Times New Roman"/>
          <w:b/>
          <w:sz w:val="24"/>
          <w:szCs w:val="24"/>
        </w:rPr>
        <w:t xml:space="preserve">    </w:t>
      </w:r>
    </w:p>
    <w:p w:rsidR="00C96FE4" w:rsidRPr="004615B8" w:rsidRDefault="004615B8" w:rsidP="00550638">
      <w:pPr>
        <w:spacing w:line="240" w:lineRule="auto"/>
        <w:jc w:val="both"/>
        <w:rPr>
          <w:rFonts w:ascii="Times New Roman" w:hAnsi="Times New Roman"/>
          <w:sz w:val="24"/>
          <w:szCs w:val="24"/>
        </w:rPr>
      </w:pPr>
      <w:r w:rsidRPr="004615B8">
        <w:rPr>
          <w:rFonts w:ascii="Times New Roman" w:hAnsi="Times New Roman"/>
          <w:sz w:val="24"/>
          <w:szCs w:val="24"/>
        </w:rPr>
        <w:t xml:space="preserve">En el </w:t>
      </w:r>
      <w:r w:rsidRPr="004615B8">
        <w:rPr>
          <w:rFonts w:ascii="Times New Roman" w:hAnsi="Times New Roman"/>
          <w:sz w:val="24"/>
          <w:szCs w:val="24"/>
          <w:u w:val="single"/>
        </w:rPr>
        <w:t>Apartado</w:t>
      </w:r>
      <w:r w:rsidR="00C96FE4" w:rsidRPr="004615B8">
        <w:rPr>
          <w:rFonts w:ascii="Times New Roman" w:hAnsi="Times New Roman"/>
          <w:sz w:val="24"/>
          <w:szCs w:val="24"/>
        </w:rPr>
        <w:t xml:space="preserve"> - </w:t>
      </w:r>
      <w:r w:rsidR="00C96FE4" w:rsidRPr="004615B8">
        <w:rPr>
          <w:rFonts w:ascii="Times New Roman" w:hAnsi="Times New Roman"/>
          <w:sz w:val="24"/>
          <w:szCs w:val="24"/>
          <w:u w:val="single"/>
        </w:rPr>
        <w:t>Jubilándose como pordioseros (el “invierno” del miedo)</w:t>
      </w:r>
    </w:p>
    <w:p w:rsidR="004615B8" w:rsidRPr="004615B8" w:rsidRDefault="004615B8" w:rsidP="00550638">
      <w:pPr>
        <w:spacing w:line="240" w:lineRule="auto"/>
        <w:jc w:val="both"/>
        <w:rPr>
          <w:rFonts w:ascii="Times New Roman" w:hAnsi="Times New Roman"/>
          <w:sz w:val="24"/>
          <w:szCs w:val="24"/>
        </w:rPr>
      </w:pPr>
      <w:r>
        <w:rPr>
          <w:rFonts w:ascii="Times New Roman" w:hAnsi="Times New Roman"/>
          <w:sz w:val="24"/>
          <w:szCs w:val="24"/>
        </w:rPr>
        <w:t>Decía:</w:t>
      </w:r>
    </w:p>
    <w:p w:rsidR="00F62CBA" w:rsidRDefault="00F62CBA" w:rsidP="00550638">
      <w:pPr>
        <w:spacing w:line="240" w:lineRule="auto"/>
        <w:jc w:val="both"/>
        <w:rPr>
          <w:rFonts w:ascii="Times New Roman" w:hAnsi="Times New Roman"/>
          <w:sz w:val="24"/>
          <w:szCs w:val="24"/>
          <w:u w:val="single"/>
        </w:rPr>
      </w:pPr>
      <w:r w:rsidRPr="0045054A">
        <w:rPr>
          <w:rFonts w:ascii="Times New Roman" w:hAnsi="Times New Roman"/>
          <w:sz w:val="24"/>
          <w:szCs w:val="24"/>
          <w:u w:val="single"/>
        </w:rPr>
        <w:t>Introducción a la “matemática actuarial” para pensionistas (los trucos de la memoria)</w:t>
      </w:r>
    </w:p>
    <w:p w:rsidR="00F62CBA" w:rsidRDefault="00F62CBA" w:rsidP="00550638">
      <w:pPr>
        <w:spacing w:line="240" w:lineRule="auto"/>
        <w:jc w:val="both"/>
        <w:rPr>
          <w:rFonts w:ascii="Times New Roman" w:hAnsi="Times New Roman"/>
          <w:sz w:val="24"/>
          <w:szCs w:val="24"/>
          <w:u w:val="single"/>
        </w:rPr>
      </w:pPr>
      <w:r>
        <w:rPr>
          <w:rFonts w:ascii="Times New Roman" w:hAnsi="Times New Roman"/>
          <w:sz w:val="24"/>
          <w:szCs w:val="24"/>
          <w:u w:val="single"/>
        </w:rPr>
        <w:t>S</w:t>
      </w:r>
      <w:r w:rsidRPr="0045054A">
        <w:rPr>
          <w:rFonts w:ascii="Times New Roman" w:hAnsi="Times New Roman"/>
          <w:sz w:val="24"/>
          <w:szCs w:val="24"/>
          <w:u w:val="single"/>
        </w:rPr>
        <w:t>istema de reparto y de capitalización de las pensiones</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R</w:t>
      </w:r>
      <w:r>
        <w:rPr>
          <w:rFonts w:ascii="Times New Roman" w:hAnsi="Times New Roman"/>
          <w:sz w:val="24"/>
          <w:szCs w:val="24"/>
        </w:rPr>
        <w:t>eparto</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1. El individuo no cotiza para su propia pensión</w:t>
      </w:r>
      <w:r>
        <w:rPr>
          <w:rFonts w:ascii="Times New Roman" w:hAnsi="Times New Roman"/>
          <w:sz w:val="24"/>
          <w:szCs w:val="24"/>
        </w:rPr>
        <w:t>.</w:t>
      </w:r>
      <w:r w:rsidRPr="0045054A">
        <w:rPr>
          <w:rFonts w:ascii="Times New Roman" w:hAnsi="Times New Roman"/>
          <w:sz w:val="24"/>
          <w:szCs w:val="24"/>
        </w:rPr>
        <w:t xml:space="preserve"> </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2. Las cotizaciones-prestaciones no están ligadas por un fondo de capital, ya que las pensiones actuales se financian con lo que se recauda de cotizaciones de los activos.</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3. Permite pagar pensiones de jubilación desde el momento en que se crea el sistema</w:t>
      </w:r>
      <w:r>
        <w:rPr>
          <w:rFonts w:ascii="Times New Roman" w:hAnsi="Times New Roman"/>
          <w:sz w:val="24"/>
          <w:szCs w:val="24"/>
        </w:rPr>
        <w:t>.</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4. Las cantidades aportadas por los activos det</w:t>
      </w:r>
      <w:r>
        <w:rPr>
          <w:rFonts w:ascii="Times New Roman" w:hAnsi="Times New Roman"/>
          <w:sz w:val="24"/>
          <w:szCs w:val="24"/>
        </w:rPr>
        <w:t xml:space="preserve">erminan las pensiones actuales. </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5. El sistema de reparto tiene una rentabilidad implícita derivada del creci</w:t>
      </w:r>
      <w:r>
        <w:rPr>
          <w:rFonts w:ascii="Times New Roman" w:hAnsi="Times New Roman"/>
          <w:sz w:val="24"/>
          <w:szCs w:val="24"/>
        </w:rPr>
        <w:t>miento de la base de cotización</w:t>
      </w:r>
      <w:r w:rsidRPr="0045054A">
        <w:rPr>
          <w:rFonts w:ascii="Times New Roman" w:hAnsi="Times New Roman"/>
          <w:sz w:val="24"/>
          <w:szCs w:val="24"/>
        </w:rPr>
        <w:t>:</w:t>
      </w:r>
      <w:r>
        <w:rPr>
          <w:rFonts w:ascii="Times New Roman" w:hAnsi="Times New Roman"/>
          <w:sz w:val="24"/>
          <w:szCs w:val="24"/>
        </w:rPr>
        <w:t xml:space="preserve"> </w:t>
      </w:r>
      <w:r w:rsidRPr="0045054A">
        <w:rPr>
          <w:rFonts w:ascii="Times New Roman" w:hAnsi="Times New Roman"/>
          <w:sz w:val="24"/>
          <w:szCs w:val="24"/>
        </w:rPr>
        <w:t>(crecimiento económico (productividad) y crecimiento demográfico (número de cotizantes).</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6. El sistema de reparto protege a las pensiones frente a la inflación, ya que los salarios reales se mantienen constantes por lo que las contribuciones de los activos están indiciadas por la inflación</w:t>
      </w:r>
      <w:r>
        <w:rPr>
          <w:rFonts w:ascii="Times New Roman" w:hAnsi="Times New Roman"/>
          <w:sz w:val="24"/>
          <w:szCs w:val="24"/>
        </w:rPr>
        <w:t>.</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7. En un sistema de reparto hay tres tipos de generaciones implicadas. La inicial (no contribuye y recibe pensión), la intermedia (contribuye y recibe pensión) y la terminal (contribuye y no recibe pensión).</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lastRenderedPageBreak/>
        <w:t>8. El sistema de reparto se caracteriza como un acuerdo o contrato intergeneracional por el que las generaciones activas dan soporte a las jubiladas a cambio de un compromiso de que cuando alcancen la edad de jubilación también ellos recibirán la pensión. El carácter de seguro surge a través de un intercambio de promesas entre generaciones a través de</w:t>
      </w:r>
      <w:r>
        <w:rPr>
          <w:rFonts w:ascii="Times New Roman" w:hAnsi="Times New Roman"/>
          <w:sz w:val="24"/>
          <w:szCs w:val="24"/>
        </w:rPr>
        <w:t xml:space="preserve"> un “contrato social”</w:t>
      </w:r>
      <w:r w:rsidRPr="0045054A">
        <w:rPr>
          <w:rFonts w:ascii="Times New Roman" w:hAnsi="Times New Roman"/>
          <w:sz w:val="24"/>
          <w:szCs w:val="24"/>
        </w:rPr>
        <w:t xml:space="preserve"> implícito.</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C</w:t>
      </w:r>
      <w:r>
        <w:rPr>
          <w:rFonts w:ascii="Times New Roman" w:hAnsi="Times New Roman"/>
          <w:sz w:val="24"/>
          <w:szCs w:val="24"/>
        </w:rPr>
        <w:t>apitalización</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 xml:space="preserve">1. El individuo cotiza para su propia pensión </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2. Las cotizaciones-prestaciones están ligadas mediante un fondo de capital, ya que la pensión es una reasignación de renta del individuo de los periodos activos a los pasivos.</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3. Deben transcurrir muchos años para obtener una pensión, ya que deben acumularse reservar suficientemente grandes para pagar pensiones.</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 xml:space="preserve">4. La cantidad aportada por cada individuo determina su pensión futura. </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5. El sistema tiene un rendimiento explícito por los fondos que es el tipo de interés aplicable.</w:t>
      </w:r>
    </w:p>
    <w:p w:rsidR="00F62CB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 xml:space="preserve"> 6. No corrige el efecto de la inflación porque el rendimiento que se obtiene es el tipo de interés real y no nominal.</w:t>
      </w:r>
    </w:p>
    <w:p w:rsidR="00F62CBA" w:rsidRPr="0045054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 xml:space="preserve">7. Con el sistema de capitalización desaparecen los riesgos de la coyuntura entre activos y pasivos así como desaparecen la distribución entre generaciones. </w:t>
      </w:r>
    </w:p>
    <w:p w:rsidR="00F62CBA" w:rsidRDefault="00F62CBA" w:rsidP="00550638">
      <w:pPr>
        <w:spacing w:line="240" w:lineRule="auto"/>
        <w:jc w:val="both"/>
        <w:rPr>
          <w:rFonts w:ascii="Times New Roman" w:hAnsi="Times New Roman"/>
          <w:sz w:val="24"/>
          <w:szCs w:val="24"/>
        </w:rPr>
      </w:pPr>
      <w:r w:rsidRPr="0045054A">
        <w:rPr>
          <w:rFonts w:ascii="Times New Roman" w:hAnsi="Times New Roman"/>
          <w:sz w:val="24"/>
          <w:szCs w:val="24"/>
        </w:rPr>
        <w:t>8. No vincula a generaciones futuras a realizar contrato explícito porque solo está implicada una generación. Obliga a tener cuentas personales para cada uno de los cotizantes.</w:t>
      </w:r>
    </w:p>
    <w:p w:rsidR="00F62CBA" w:rsidRDefault="00F62CBA" w:rsidP="00550638">
      <w:pPr>
        <w:spacing w:line="240" w:lineRule="auto"/>
        <w:jc w:val="both"/>
        <w:rPr>
          <w:rFonts w:ascii="Times New Roman" w:hAnsi="Times New Roman"/>
          <w:sz w:val="24"/>
          <w:szCs w:val="24"/>
          <w:u w:val="single"/>
        </w:rPr>
      </w:pPr>
      <w:r>
        <w:rPr>
          <w:rFonts w:ascii="Times New Roman" w:hAnsi="Times New Roman"/>
          <w:sz w:val="24"/>
          <w:szCs w:val="24"/>
          <w:u w:val="single"/>
        </w:rPr>
        <w:t xml:space="preserve">Experiencia “vital” en un país tercermundista (y </w:t>
      </w:r>
      <w:r w:rsidRPr="00BB18FD">
        <w:rPr>
          <w:rFonts w:ascii="Times New Roman" w:hAnsi="Times New Roman"/>
          <w:sz w:val="24"/>
          <w:szCs w:val="24"/>
          <w:u w:val="single"/>
        </w:rPr>
        <w:t>los países avanzados</w:t>
      </w:r>
      <w:r>
        <w:rPr>
          <w:rFonts w:ascii="Times New Roman" w:hAnsi="Times New Roman"/>
          <w:sz w:val="24"/>
          <w:szCs w:val="24"/>
          <w:u w:val="single"/>
        </w:rPr>
        <w:t xml:space="preserve"> están en camino</w:t>
      </w:r>
      <w:r w:rsidRPr="00BB18FD">
        <w:rPr>
          <w:rFonts w:ascii="Times New Roman" w:hAnsi="Times New Roman"/>
          <w:sz w:val="24"/>
          <w:szCs w:val="24"/>
          <w:u w:val="single"/>
        </w:rPr>
        <w:t xml:space="preserve">)  </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Por ser “NyC” (nacido y criado) en un país subdesarrollado (Argentina) nunca (repito, nunca) creí en los sistemas de pensiones públicos (en mi época), o privados (más adelante). Lamentablemente, el tiempo me ha dado la razón. Ambos terminaron estafando al trabajador que esperaba tener una pensión digna al final de su vida laboral.</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El sistema público de pensiones fue “saqueado” por el “régimen” peronista, reiterada y contumazmente. Primero, por la vía del impuesto inflacionario que fue carcomiendo el capital de las “cajas de pensiones” y en consecuencia las rentas de los pensionistas (las actualizaciones, llegaban tarde, mal o nunca) y segundo, por la utilización de los “fondos” de las cajas para cubrir el déficit público, obligándolos a suscribir deuda pública, que luego se amortizaba con dinero devaluado, o se sustituía por otros bonos, de peor suerte.</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 xml:space="preserve">El sistema privado de pensiones fue promovido en la etapa “privatizadora, desregulada, corrupta, falaz y fugaz” de otro gobierno peronista (Carlos Saúl Menem). </w:t>
      </w:r>
    </w:p>
    <w:p w:rsidR="00F62CBA" w:rsidRPr="009F50E6" w:rsidRDefault="00F62CBA" w:rsidP="00550638">
      <w:pPr>
        <w:spacing w:line="240" w:lineRule="auto"/>
        <w:jc w:val="both"/>
        <w:rPr>
          <w:rFonts w:ascii="Times New Roman" w:hAnsi="Times New Roman"/>
          <w:sz w:val="24"/>
          <w:szCs w:val="24"/>
        </w:rPr>
      </w:pPr>
      <w:r w:rsidRPr="009F50E6">
        <w:rPr>
          <w:rFonts w:ascii="Times New Roman" w:hAnsi="Times New Roman"/>
          <w:sz w:val="24"/>
          <w:szCs w:val="24"/>
        </w:rPr>
        <w:t>Las Administradoras de Fondos de Jubilaciones y Pensiones</w:t>
      </w:r>
      <w:r>
        <w:rPr>
          <w:rFonts w:ascii="Times New Roman" w:hAnsi="Times New Roman"/>
          <w:sz w:val="24"/>
          <w:szCs w:val="24"/>
        </w:rPr>
        <w:t xml:space="preserve"> de Argentina (AFJP</w:t>
      </w:r>
      <w:r w:rsidRPr="009F50E6">
        <w:rPr>
          <w:rFonts w:ascii="Times New Roman" w:hAnsi="Times New Roman"/>
          <w:sz w:val="24"/>
          <w:szCs w:val="24"/>
        </w:rPr>
        <w:t>) fueron empresas privadas con fines de lucro dedicadas a administrar los fondos generados con los aportes jubilatorios realizados por los trabajadores que optaran por quedar incluidos en el régimen de capitalización individual establecido por la Ley 24.241 de reforma previsional</w:t>
      </w:r>
      <w:r>
        <w:rPr>
          <w:rFonts w:ascii="Times New Roman" w:hAnsi="Times New Roman"/>
          <w:sz w:val="24"/>
          <w:szCs w:val="24"/>
        </w:rPr>
        <w:t xml:space="preserve"> del año 1993 de Argentina, del gobierno menemista.</w:t>
      </w:r>
    </w:p>
    <w:p w:rsidR="00F62CBA" w:rsidRDefault="00F62CBA" w:rsidP="00550638">
      <w:pPr>
        <w:spacing w:line="240" w:lineRule="auto"/>
        <w:jc w:val="both"/>
        <w:rPr>
          <w:rFonts w:ascii="Times New Roman" w:hAnsi="Times New Roman"/>
          <w:sz w:val="24"/>
          <w:szCs w:val="24"/>
        </w:rPr>
      </w:pPr>
      <w:r w:rsidRPr="009F50E6">
        <w:rPr>
          <w:rFonts w:ascii="Times New Roman" w:hAnsi="Times New Roman"/>
          <w:sz w:val="24"/>
          <w:szCs w:val="24"/>
        </w:rPr>
        <w:lastRenderedPageBreak/>
        <w:t>La AFJP percibía una comisión, deducida del aporte previsional obligatorio de los afiliados, y administraba la inversión del capital acumulado, con el doble fin de inyectar fondos en el mercado de capitales y obtener una rentabilidad para los ahorristas y para sí misma. Una vez alcanzada la edad jubilatoria, la AFJP debía entregar al afiliado el capital acumulado, en cuotas mensuales, hasta su agotamiento.</w:t>
      </w:r>
      <w:r>
        <w:rPr>
          <w:rFonts w:ascii="Times New Roman" w:hAnsi="Times New Roman"/>
          <w:sz w:val="24"/>
          <w:szCs w:val="24"/>
        </w:rPr>
        <w:t xml:space="preserve"> </w:t>
      </w:r>
    </w:p>
    <w:p w:rsidR="00F62CBA" w:rsidRPr="009F50E6" w:rsidRDefault="00F62CBA" w:rsidP="00550638">
      <w:pPr>
        <w:spacing w:line="240" w:lineRule="auto"/>
        <w:jc w:val="both"/>
        <w:rPr>
          <w:rFonts w:ascii="Times New Roman" w:hAnsi="Times New Roman"/>
          <w:sz w:val="24"/>
          <w:szCs w:val="24"/>
        </w:rPr>
      </w:pPr>
      <w:r w:rsidRPr="009F50E6">
        <w:rPr>
          <w:rFonts w:ascii="Times New Roman" w:hAnsi="Times New Roman"/>
          <w:sz w:val="24"/>
          <w:szCs w:val="24"/>
        </w:rPr>
        <w:t>La imp</w:t>
      </w:r>
      <w:r>
        <w:rPr>
          <w:rFonts w:ascii="Times New Roman" w:hAnsi="Times New Roman"/>
          <w:sz w:val="24"/>
          <w:szCs w:val="24"/>
        </w:rPr>
        <w:t>lementación del sistema de AFJP</w:t>
      </w:r>
      <w:r w:rsidRPr="009F50E6">
        <w:rPr>
          <w:rFonts w:ascii="Times New Roman" w:hAnsi="Times New Roman"/>
          <w:sz w:val="24"/>
          <w:szCs w:val="24"/>
        </w:rPr>
        <w:t>, que significó una privatización parcial de los servicios sociales, produjo grandes controversias; la esperada reducción en el gasto público, gracias a la externalización de los costes de administración, y la mejora en la rentabilidad de lo</w:t>
      </w:r>
      <w:r>
        <w:rPr>
          <w:rFonts w:ascii="Times New Roman" w:hAnsi="Times New Roman"/>
          <w:sz w:val="24"/>
          <w:szCs w:val="24"/>
        </w:rPr>
        <w:t>s planes de pensiones, no se cumplió</w:t>
      </w:r>
      <w:r w:rsidRPr="009F50E6">
        <w:rPr>
          <w:rFonts w:ascii="Times New Roman" w:hAnsi="Times New Roman"/>
          <w:sz w:val="24"/>
          <w:szCs w:val="24"/>
        </w:rPr>
        <w:t xml:space="preserve"> en la medida deseada, y un sector importa</w:t>
      </w:r>
      <w:r>
        <w:rPr>
          <w:rFonts w:ascii="Times New Roman" w:hAnsi="Times New Roman"/>
          <w:sz w:val="24"/>
          <w:szCs w:val="24"/>
        </w:rPr>
        <w:t>nte de los trabajadores continuó</w:t>
      </w:r>
      <w:r w:rsidRPr="009F50E6">
        <w:rPr>
          <w:rFonts w:ascii="Times New Roman" w:hAnsi="Times New Roman"/>
          <w:sz w:val="24"/>
          <w:szCs w:val="24"/>
        </w:rPr>
        <w:t xml:space="preserve"> aportando al régimen de reparto gestionado por el estado. A raíz de ello, en 1997 y 2001 se realizaron ulteriores reformas sobre la regulación financiera de las instituciones</w:t>
      </w:r>
      <w:r>
        <w:rPr>
          <w:rFonts w:ascii="Times New Roman" w:hAnsi="Times New Roman"/>
          <w:sz w:val="24"/>
          <w:szCs w:val="24"/>
        </w:rPr>
        <w:t>. El resultado de las mismas no quedó del todo</w:t>
      </w:r>
      <w:r w:rsidRPr="009F50E6">
        <w:rPr>
          <w:rFonts w:ascii="Times New Roman" w:hAnsi="Times New Roman"/>
          <w:sz w:val="24"/>
          <w:szCs w:val="24"/>
        </w:rPr>
        <w:t xml:space="preserve"> claro, en parte debido a la crisis económica que padeció el país a comienzos de la primera década del milenio, pero la rentabilidad de los fondos privados ha seguido por debajo de las expectativas.</w:t>
      </w:r>
    </w:p>
    <w:p w:rsidR="00F62CBA" w:rsidRPr="009F50E6" w:rsidRDefault="00F62CBA" w:rsidP="00550638">
      <w:pPr>
        <w:spacing w:line="240" w:lineRule="auto"/>
        <w:jc w:val="both"/>
        <w:rPr>
          <w:rFonts w:ascii="Times New Roman" w:hAnsi="Times New Roman"/>
          <w:sz w:val="24"/>
          <w:szCs w:val="24"/>
        </w:rPr>
      </w:pPr>
      <w:r w:rsidRPr="009F50E6">
        <w:rPr>
          <w:rFonts w:ascii="Times New Roman" w:hAnsi="Times New Roman"/>
          <w:sz w:val="24"/>
          <w:szCs w:val="24"/>
        </w:rPr>
        <w:t>La importante merma de entrada de dinero que le provocó a la administración pública argentina, fue en parte una de las causas que provocaron la crisis económica que se desencadenó en el país a fines de la década de 1990 y con toda su virulencia en 2001. Para hacer frente a los creciente</w:t>
      </w:r>
      <w:r>
        <w:rPr>
          <w:rFonts w:ascii="Times New Roman" w:hAnsi="Times New Roman"/>
          <w:sz w:val="24"/>
          <w:szCs w:val="24"/>
        </w:rPr>
        <w:t>s</w:t>
      </w:r>
      <w:r w:rsidRPr="009F50E6">
        <w:rPr>
          <w:rFonts w:ascii="Times New Roman" w:hAnsi="Times New Roman"/>
          <w:sz w:val="24"/>
          <w:szCs w:val="24"/>
        </w:rPr>
        <w:t xml:space="preserve"> déficits públicos, el estado nacional tomaba deuda, de la cual las acreedoras más importantes eran las propias AFJP, dándose la paradójica situación de que un monto de dinero que antes administraba directamente el estado ahora era utilizado por empresas privadas para ganar intereses financiando al mismo estado.</w:t>
      </w:r>
      <w:r>
        <w:rPr>
          <w:rFonts w:ascii="Times New Roman" w:hAnsi="Times New Roman"/>
          <w:sz w:val="24"/>
          <w:szCs w:val="24"/>
        </w:rPr>
        <w:t xml:space="preserve"> O sea, el “nuevo peronismo” (Kirchner), hizo lo mismo que el “viejo” (Perón), pero a un costo mayor (privatizando las ganancias y socializando las pérdidas).</w:t>
      </w:r>
    </w:p>
    <w:p w:rsidR="00F62CBA" w:rsidRDefault="00F62CBA" w:rsidP="00550638">
      <w:pPr>
        <w:spacing w:line="240" w:lineRule="auto"/>
        <w:jc w:val="both"/>
        <w:rPr>
          <w:rFonts w:ascii="Times New Roman" w:hAnsi="Times New Roman"/>
          <w:sz w:val="24"/>
          <w:szCs w:val="24"/>
        </w:rPr>
      </w:pPr>
      <w:r w:rsidRPr="009F50E6">
        <w:rPr>
          <w:rFonts w:ascii="Times New Roman" w:hAnsi="Times New Roman"/>
          <w:sz w:val="24"/>
          <w:szCs w:val="24"/>
        </w:rPr>
        <w:t>Desde 2002 se han estudiado diversos planes para modificar el sistema, volviendo al viejo sistema de reparto o implementando un sistema mixto donde el sistema de re</w:t>
      </w:r>
      <w:r>
        <w:rPr>
          <w:rFonts w:ascii="Times New Roman" w:hAnsi="Times New Roman"/>
          <w:sz w:val="24"/>
          <w:szCs w:val="24"/>
        </w:rPr>
        <w:t>parto, administrado por el sector público</w:t>
      </w:r>
      <w:r w:rsidRPr="009F50E6">
        <w:rPr>
          <w:rFonts w:ascii="Times New Roman" w:hAnsi="Times New Roman"/>
          <w:sz w:val="24"/>
          <w:szCs w:val="24"/>
        </w:rPr>
        <w:t>, tuviera un mayor peso. Sin embargo, estos proyectos han quedado en la nada, avanzándose solamente en la posibi</w:t>
      </w:r>
      <w:r>
        <w:rPr>
          <w:rFonts w:ascii="Times New Roman" w:hAnsi="Times New Roman"/>
          <w:sz w:val="24"/>
          <w:szCs w:val="24"/>
        </w:rPr>
        <w:t xml:space="preserve">lidad de que quienes inician su </w:t>
      </w:r>
      <w:r w:rsidRPr="009F50E6">
        <w:rPr>
          <w:rFonts w:ascii="Times New Roman" w:hAnsi="Times New Roman"/>
          <w:sz w:val="24"/>
          <w:szCs w:val="24"/>
        </w:rPr>
        <w:t>vida laboral puedan optar</w:t>
      </w:r>
      <w:r>
        <w:rPr>
          <w:rFonts w:ascii="Times New Roman" w:hAnsi="Times New Roman"/>
          <w:sz w:val="24"/>
          <w:szCs w:val="24"/>
        </w:rPr>
        <w:t xml:space="preserve"> por</w:t>
      </w:r>
      <w:r w:rsidRPr="009F50E6">
        <w:rPr>
          <w:rFonts w:ascii="Times New Roman" w:hAnsi="Times New Roman"/>
          <w:sz w:val="24"/>
          <w:szCs w:val="24"/>
        </w:rPr>
        <w:t xml:space="preserve"> ingresar al sistema públi</w:t>
      </w:r>
      <w:r>
        <w:rPr>
          <w:rFonts w:ascii="Times New Roman" w:hAnsi="Times New Roman"/>
          <w:sz w:val="24"/>
          <w:szCs w:val="24"/>
        </w:rPr>
        <w:t>co de reparto, no quedando</w:t>
      </w:r>
      <w:r w:rsidRPr="009F50E6">
        <w:rPr>
          <w:rFonts w:ascii="Times New Roman" w:hAnsi="Times New Roman"/>
          <w:sz w:val="24"/>
          <w:szCs w:val="24"/>
        </w:rPr>
        <w:t xml:space="preserve"> obligados a aportar a una AFJP.</w:t>
      </w:r>
      <w:r>
        <w:rPr>
          <w:rFonts w:ascii="Times New Roman" w:hAnsi="Times New Roman"/>
          <w:sz w:val="24"/>
          <w:szCs w:val="24"/>
        </w:rPr>
        <w:t xml:space="preserve"> Mientras, el Estado se sigue “zampando” los fondos.  </w:t>
      </w:r>
      <w:r w:rsidRPr="009F50E6">
        <w:rPr>
          <w:rFonts w:ascii="Times New Roman" w:hAnsi="Times New Roman"/>
          <w:sz w:val="24"/>
          <w:szCs w:val="24"/>
        </w:rPr>
        <w:t xml:space="preserve"> </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Puede que el “caso” argentino no sea el más “edificante” para extraer conclusiones. Pero si observamos el sistema jubilatorio chileno (el paradigma utilizado por los “apologistas” del sistema de capitalización), creo que se puede llegar a igual deducción.</w:t>
      </w:r>
    </w:p>
    <w:p w:rsidR="00F62CBA" w:rsidRPr="00B42CCF" w:rsidRDefault="00F62CBA" w:rsidP="00550638">
      <w:pPr>
        <w:spacing w:line="240" w:lineRule="auto"/>
        <w:jc w:val="both"/>
        <w:rPr>
          <w:rFonts w:ascii="Times New Roman" w:hAnsi="Times New Roman"/>
          <w:sz w:val="24"/>
          <w:szCs w:val="24"/>
          <w:u w:val="single"/>
        </w:rPr>
      </w:pPr>
      <w:r w:rsidRPr="00B42CCF">
        <w:rPr>
          <w:rFonts w:ascii="Times New Roman" w:hAnsi="Times New Roman"/>
          <w:sz w:val="24"/>
          <w:szCs w:val="24"/>
          <w:u w:val="single"/>
        </w:rPr>
        <w:t>Economía para la “tercer edad”</w:t>
      </w:r>
      <w:r>
        <w:rPr>
          <w:rFonts w:ascii="Times New Roman" w:hAnsi="Times New Roman"/>
          <w:sz w:val="24"/>
          <w:szCs w:val="24"/>
          <w:u w:val="single"/>
        </w:rPr>
        <w:t xml:space="preserve"> </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 xml:space="preserve">En el sistema de reparto para que un jubilado pueda recibir una pensión digna (recuérdese que los activos son los que “pagan”, con sus aportaciones al sistema de la seguridad social, la pensión de sus mayores) la relación “mínima” de trabajadores activos por pensionistas debería ser de 4 a 6 trabajadores por cada pensionista. </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El cálculo que realizo es muy sencillo: si el salario promedio de los trabajadores es de 1.000 euros (en Europa más de la mitad de la población activa recibe esos ingresos), y no se quiere retener para el sistema de pensiones más del 20% del salario (entre aportación del trabajador y de la empresa), pueden ustedes hacer una fácil operación, 20% de 4 pagas de 1.000 euros = 800 euros.</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lastRenderedPageBreak/>
        <w:t xml:space="preserve">Si los activos fueran 6, el pasivo podría recibir 1.200 euros al mes. Con 5 activos la pensión se podría equilibrar al salario medio del trabajador europeo. </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¿Pero qué ocurre si hay menos de 4 a 6 trabajadores activos por cada pensionista? Hay que aumentar las retenciones a los trabajadores, o hay que bajar las pensiones, o el estado debe aportar (vía presupuestos) la diferencia entre retenciones y prestaciones. De lo contrario  el sistema quiebra.  Matemática actuarial, pura y dura…</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Actualmente en la Unión Europea la relación entre activos y pasivos difícilmente supera los 2/1 (es varios países es menos de 2). Por eso, el sistema está quebrado. No es porque haya muchos viejos (que los hay), ni por que vivan mucho tiempo (que también), ni porque cobren pensiones muy altas (la media no supera los 1.000 euros); es porque hay pocos (muy pocos) trabajadores para sostener el sistema. No se puede negar lo obvio.</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¿Entonces? Entonces el problema no son los pensionistas, tampoco el sistema de reparto, sino el poco empleo que hay en la Unión Europea. Es un problema de paro y no de pensiones. Otra cosa es que los “profetas” de la privatización quieran aprovechar la situación económica (crisis del empleo) para abolir el sistema de reparto y promover el sistema de capitalización. Muchos de estos apologistas resultan ser meros apolo-getas.</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¿Y qué hacen, en consecuencia, los gobiernos? En un giro surrealista del análisis económico (adulterando la matemática actuarial) proponen extender la edad de jubilación, con el disparatado argumento de que el promedio de vida se está ampliando (¿demasiado?) y que los viejos de 65 años están hechos unos “pimpollos” y pueden (¿deben?) trabajar</w:t>
      </w:r>
      <w:r w:rsidR="00D44948">
        <w:rPr>
          <w:rFonts w:ascii="Times New Roman" w:hAnsi="Times New Roman"/>
          <w:sz w:val="24"/>
          <w:szCs w:val="24"/>
        </w:rPr>
        <w:t xml:space="preserve"> 2, 3 o</w:t>
      </w:r>
      <w:r>
        <w:rPr>
          <w:rFonts w:ascii="Times New Roman" w:hAnsi="Times New Roman"/>
          <w:sz w:val="24"/>
          <w:szCs w:val="24"/>
        </w:rPr>
        <w:t xml:space="preserve"> 5 años más (¿y por qué no hasta los 75 años, ya que estamos?). </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 xml:space="preserve">Pero el mayor de los absurdos se alcanza cuando se contrasta la “genial” idea de prolongar la vida activa de los trabajadores, mientras se niega la posibilidad de acceso a las fuentes de trabajo de la generación más joven (hay un 50% de paro juvenil). ¿Será por qué les gustan más los “cadetes”, seniles? ¿Mensajeros en bici, con 70 tacos? Joder. </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 xml:space="preserve">Pasemos ahora al sistema de capitalización (la tierra prometida por los “cabeza borradores”). </w:t>
      </w:r>
    </w:p>
    <w:p w:rsidR="00F62CBA" w:rsidRDefault="00F62CBA" w:rsidP="00550638">
      <w:pPr>
        <w:spacing w:line="240" w:lineRule="auto"/>
        <w:jc w:val="both"/>
        <w:rPr>
          <w:rFonts w:ascii="Times New Roman" w:hAnsi="Times New Roman"/>
          <w:sz w:val="24"/>
          <w:szCs w:val="24"/>
        </w:rPr>
      </w:pPr>
      <w:r>
        <w:rPr>
          <w:rFonts w:ascii="Times New Roman" w:hAnsi="Times New Roman"/>
          <w:sz w:val="24"/>
          <w:szCs w:val="24"/>
        </w:rPr>
        <w:t>Al margen de la experiencia nefasta del sistema de l</w:t>
      </w:r>
      <w:r w:rsidRPr="009F50E6">
        <w:rPr>
          <w:rFonts w:ascii="Times New Roman" w:hAnsi="Times New Roman"/>
          <w:sz w:val="24"/>
          <w:szCs w:val="24"/>
        </w:rPr>
        <w:t>as Administradoras de Fondos de Jubilaciones y Pensiones</w:t>
      </w:r>
      <w:r>
        <w:rPr>
          <w:rFonts w:ascii="Times New Roman" w:hAnsi="Times New Roman"/>
          <w:sz w:val="24"/>
          <w:szCs w:val="24"/>
        </w:rPr>
        <w:t xml:space="preserve"> de Argentina (país de grandes esperpentos económicos), donde “nuevamente” los fondos (en este caso privados) fueron “expoliados” por el estado para mantener su política demagógica y clientelar, cuando no fue el sector privado el que realizó malas inversiones reduciendo la renta potencial esperada.</w:t>
      </w:r>
    </w:p>
    <w:p w:rsidR="00F62CBA" w:rsidRDefault="00F62CBA" w:rsidP="00550638">
      <w:pPr>
        <w:pStyle w:val="NormalWeb"/>
        <w:jc w:val="both"/>
      </w:pPr>
      <w:r>
        <w:t>Supongamos que estamos en Chile (el país modelo), o en EEUU (donde todo el sistema es privado), o en algún país europeo serio (¿queda alguno?). Anteriormente les presenté una propuesta (banco privado europeo) sobre planes de pensiones. Si ustedes han leído con atención (si hay dudas, vuelvan a ello), habrán constatado que las rentabilidades promedio de las inversiones están en el orden del 2 al 3% anual (cifras que más se repiten en la serie de 15 años). Ello con la debida aclaración que “r</w:t>
      </w:r>
      <w:r w:rsidRPr="00642431">
        <w:t>entabilidades pasadas no suponen rentabilidades futuras</w:t>
      </w:r>
      <w:r>
        <w:t>” (por si las moscas). Si a esa (¿tentadora?) rentabilidad le restan el 1,40% anual de gastos de gestión, ya me dirán lo que les queda. Eso sin entrar a descontar la inflación (2% es la meta “ansiada” por el BCE), que si no, se pueden dar por conformes si no tienen que poner dinero encima.</w:t>
      </w:r>
    </w:p>
    <w:p w:rsidR="00F62CBA" w:rsidRDefault="00F62CBA" w:rsidP="00550638">
      <w:pPr>
        <w:pStyle w:val="NormalWeb"/>
        <w:jc w:val="both"/>
      </w:pPr>
      <w:r>
        <w:lastRenderedPageBreak/>
        <w:t>Un “cuanto de hadas”. Hagan el cálculo inverso (¿es mucho pedir?): a partir de la pensión (privada, eso sí) que desean tener (sigamos con los 1.000 euros utilizados anteriormente) y estimen el capital acumulado (ahorrado) que deberían tener al final de su carrera laboral para que la renta mensual llegue a esa cifra.</w:t>
      </w:r>
    </w:p>
    <w:p w:rsidR="00F62CBA" w:rsidRDefault="00F62CBA" w:rsidP="00550638">
      <w:pPr>
        <w:pStyle w:val="NormalWeb"/>
        <w:jc w:val="both"/>
      </w:pPr>
      <w:r>
        <w:t>Con una renta promedio del 5% anual, para lograr una pensión de 1.000 euros mensuales (12.000 euros año), el capital necesario sería de 240.000 euros (240.000 x 0,05 = 12.000 euros al año). A partir de ello, pueden hacer sus cálculos y… apuestas.</w:t>
      </w:r>
    </w:p>
    <w:p w:rsidR="00F62CBA" w:rsidRDefault="00F62CBA" w:rsidP="00550638">
      <w:pPr>
        <w:pStyle w:val="NormalWeb"/>
        <w:jc w:val="both"/>
      </w:pPr>
      <w:r>
        <w:t>No se olviden que a esa renta promedio hay que agregarle una comisión del 1,40% anual (más capital, o menos beneficio neto) y el deterioro inflacionario (2% BCE dixit).</w:t>
      </w:r>
    </w:p>
    <w:p w:rsidR="00F62CBA" w:rsidRDefault="00F62CBA" w:rsidP="00550638">
      <w:pPr>
        <w:pStyle w:val="NormalWeb"/>
        <w:jc w:val="both"/>
      </w:pPr>
      <w:r>
        <w:t>Resumiendo: 5% + 1,40% + 2% = 8,40%</w:t>
      </w:r>
    </w:p>
    <w:p w:rsidR="00F62CBA" w:rsidRDefault="00F62CBA" w:rsidP="00550638">
      <w:pPr>
        <w:pStyle w:val="NormalWeb"/>
        <w:jc w:val="both"/>
      </w:pPr>
      <w:r>
        <w:t>Si no logran una rentabilidad para la inversión del 8,40% (una sola vez en la serie de 15 años, según la muestra del banco promotor del sistema privado de pensiones), o aumentan capital o disminuyen pensión (ustedes eligen).</w:t>
      </w:r>
    </w:p>
    <w:p w:rsidR="00F62CBA" w:rsidRDefault="00F62CBA" w:rsidP="00550638">
      <w:pPr>
        <w:pStyle w:val="NormalWeb"/>
        <w:jc w:val="both"/>
      </w:pPr>
      <w:r>
        <w:t>En esas condiciones, para alcanzar una renta neta de 1.000 euros mensuales (12.000 euros anuales) necesitarían un capital de 408.00 euros (408.000 x 0,05 = 20.440 euros; 20.400 - 8.400 (1,40 gastos + 2 inflación) = 12.000 euros al año). Hagan juego, Señores.</w:t>
      </w:r>
    </w:p>
    <w:p w:rsidR="00F62CBA" w:rsidRDefault="00F62CBA" w:rsidP="00550638">
      <w:pPr>
        <w:pStyle w:val="NormalWeb"/>
        <w:jc w:val="both"/>
      </w:pPr>
      <w:r>
        <w:t xml:space="preserve">No quiero ser agorero, pero esa magnitud de ahorro “neto” (a lo largo de la vida laboral) la veo muy difícil de alcanzar en un futuro próximo para una inmensa mayoría de la población. Si asumimos un período de 30 años continuados de trabajo (hoy casi una utopía), tendríamos que ahorrar 13.600 euros anuales (lo que equivale a 1.133 euros al mes), para lograrlo. Todo ese esfuerzo…para tener una pensión “mileurista”. ¿Qué tal? </w:t>
      </w:r>
    </w:p>
    <w:p w:rsidR="00F62CBA" w:rsidRDefault="00F62CBA" w:rsidP="00550638">
      <w:pPr>
        <w:pStyle w:val="NormalWeb"/>
        <w:jc w:val="both"/>
        <w:rPr>
          <w:u w:val="single"/>
        </w:rPr>
      </w:pPr>
      <w:r w:rsidRPr="00A14596">
        <w:rPr>
          <w:u w:val="single"/>
        </w:rPr>
        <w:t>Así y todo (el gato escaldado, del agua fría huye)</w:t>
      </w:r>
    </w:p>
    <w:p w:rsidR="00F62CBA" w:rsidRDefault="00F62CBA" w:rsidP="00550638">
      <w:pPr>
        <w:pStyle w:val="NormalWeb"/>
        <w:jc w:val="both"/>
      </w:pPr>
      <w:r w:rsidRPr="00A14596">
        <w:t>Tengan la capacidad de ahorro que tengan</w:t>
      </w:r>
      <w:r>
        <w:t>, mi propuesta es que hagan su propio plan de jubilación (si pueden evitar ambos regímenes -público y privado- mejor), y administren sus recursos e inversiones. Así, al menos, evitarán que el estado se “pula” vuestra futura pensión o la empresa privada les ahogue con sus gastos y comisiones o los lleve a realizar inversiones con alto riesgo para alcanzar la meta de rentabilidad pretendida.</w:t>
      </w:r>
    </w:p>
    <w:p w:rsidR="00F62CBA" w:rsidRDefault="00F62CBA" w:rsidP="00550638">
      <w:pPr>
        <w:pStyle w:val="NormalWeb"/>
        <w:jc w:val="both"/>
      </w:pPr>
      <w:r>
        <w:t xml:space="preserve">Para ello deberán ser muy (muy) disciplinados (hay que ahorrar todos los meses del año y todos los años durante la vida laboral, y no tocar esos fondos por nada del mundo -como si los tuviera el estado o el banco promotor), luego hay que informarse (muy bien) de las alternativas de inversión de riesgo reducido y ejecutarlas con prudencia, perseverancia y mentalidad de largo plazo. No dejarse tentar por cantos de sirenas, burbujas, modas, inversiones especulativas, ni querer ser el más listo de la clase. </w:t>
      </w:r>
    </w:p>
    <w:p w:rsidR="00F62CBA" w:rsidRDefault="00F62CBA" w:rsidP="00550638">
      <w:pPr>
        <w:pStyle w:val="NormalWeb"/>
        <w:jc w:val="both"/>
      </w:pPr>
      <w:r>
        <w:t>“Solos frente al peligro”, pero con la absoluta seguridad que todo lo que puedan lograr será vuestro y sin comisiones, gastos, letras pequeñas, cláusulas penalizadoras, ni timos.</w:t>
      </w:r>
    </w:p>
    <w:p w:rsidR="00F62CBA" w:rsidRDefault="00F62CBA" w:rsidP="00550638">
      <w:pPr>
        <w:pStyle w:val="NormalWeb"/>
        <w:jc w:val="both"/>
      </w:pPr>
      <w:r>
        <w:t>Hay que volver a la “cartilla de ahorro” (en sentido figurado). Y ahorrar para la vejez (la única verdad). Así no tendrán que vivir de la caridad (familiar o social), tampoco  tendrán que esperar demasiado del Estado de Bienestar (menguante, lamentablemente).</w:t>
      </w:r>
    </w:p>
    <w:p w:rsidR="00F62CBA" w:rsidRDefault="00F62CBA" w:rsidP="00550638">
      <w:pPr>
        <w:pStyle w:val="NormalWeb"/>
        <w:jc w:val="both"/>
      </w:pPr>
      <w:r>
        <w:lastRenderedPageBreak/>
        <w:t xml:space="preserve">En la desesperación por hacer cuadrar la capacidad de ahorro con las expectativas de ingresos futuros no cometan (nunca) la imprudencia de dejarse tentar por esas inversiones fantásticas que las “serpientes encantadoras de hombres” les ofrecerán en cuanto huelan el dinero. Ustedes tienen que preguntar mucho, estudiar y resolver. Solos. </w:t>
      </w:r>
    </w:p>
    <w:p w:rsidR="006B3140" w:rsidRDefault="00F62CBA" w:rsidP="00550638">
      <w:pPr>
        <w:pStyle w:val="NormalWeb"/>
        <w:jc w:val="both"/>
      </w:pPr>
      <w:r>
        <w:t>No crean las fantasías de las participaciones preferentes, los bonos convertibles, las obligaciones subordinadas, los pagarés bancarios, u otras inversiones para viejos que les ofrecerá el director de la sucursal bancaria “de toda la vida” (por lo general demasiado joven, por lo general demasiado indiferente, por lo general demasiado presionado por la central para colocar esos productos ruinosos). Por no confiar, hoy no se puede confiar ni en la deuda soberana. Queda dicho. Mucho cuidado, no hay tiempo de revancha</w:t>
      </w:r>
      <w:r w:rsidR="004615B8">
        <w:t>…</w:t>
      </w:r>
      <w:r>
        <w:t xml:space="preserve">    </w:t>
      </w:r>
    </w:p>
    <w:p w:rsidR="00CD6F7C" w:rsidRDefault="00CD6F7C" w:rsidP="00550638">
      <w:pPr>
        <w:spacing w:line="240" w:lineRule="auto"/>
        <w:jc w:val="both"/>
        <w:rPr>
          <w:rFonts w:ascii="Times New Roman" w:hAnsi="Times New Roman"/>
          <w:b/>
          <w:sz w:val="24"/>
          <w:szCs w:val="24"/>
        </w:rPr>
      </w:pPr>
      <w:r w:rsidRPr="004F1952">
        <w:rPr>
          <w:rFonts w:ascii="Times New Roman" w:hAnsi="Times New Roman"/>
          <w:sz w:val="24"/>
          <w:szCs w:val="24"/>
        </w:rPr>
        <w:t>En  Mayo</w:t>
      </w:r>
      <w:r w:rsidR="004F1952">
        <w:rPr>
          <w:rFonts w:ascii="Times New Roman" w:hAnsi="Times New Roman"/>
          <w:sz w:val="24"/>
          <w:szCs w:val="24"/>
        </w:rPr>
        <w:t>,</w:t>
      </w:r>
      <w:r w:rsidRPr="004F1952">
        <w:rPr>
          <w:rFonts w:ascii="Times New Roman" w:hAnsi="Times New Roman"/>
          <w:sz w:val="24"/>
          <w:szCs w:val="24"/>
        </w:rPr>
        <w:t xml:space="preserve"> de 2013, publiqué el Paper</w:t>
      </w:r>
      <w:r w:rsidR="004F1952" w:rsidRPr="004F1952">
        <w:rPr>
          <w:rFonts w:ascii="Times New Roman" w:hAnsi="Times New Roman"/>
          <w:sz w:val="24"/>
          <w:szCs w:val="24"/>
        </w:rPr>
        <w:t xml:space="preserve"> titulado:</w:t>
      </w:r>
      <w:r w:rsidR="004F1952">
        <w:rPr>
          <w:rFonts w:ascii="Times New Roman" w:hAnsi="Times New Roman"/>
          <w:b/>
          <w:sz w:val="24"/>
          <w:szCs w:val="24"/>
        </w:rPr>
        <w:t xml:space="preserve"> </w:t>
      </w:r>
      <w:r>
        <w:rPr>
          <w:rFonts w:ascii="Times New Roman" w:hAnsi="Times New Roman"/>
          <w:b/>
          <w:sz w:val="24"/>
          <w:szCs w:val="24"/>
        </w:rPr>
        <w:t xml:space="preserve">Las </w:t>
      </w:r>
      <w:r w:rsidRPr="00E536D0">
        <w:rPr>
          <w:rFonts w:ascii="Times New Roman" w:hAnsi="Times New Roman"/>
          <w:b/>
          <w:sz w:val="24"/>
          <w:szCs w:val="24"/>
        </w:rPr>
        <w:t>pensiones</w:t>
      </w:r>
      <w:r>
        <w:rPr>
          <w:rFonts w:ascii="Times New Roman" w:hAnsi="Times New Roman"/>
          <w:b/>
          <w:sz w:val="24"/>
          <w:szCs w:val="24"/>
        </w:rPr>
        <w:t xml:space="preserve"> con depresión</w:t>
      </w:r>
      <w:r w:rsidRPr="00E536D0">
        <w:rPr>
          <w:rFonts w:ascii="Times New Roman" w:hAnsi="Times New Roman"/>
          <w:b/>
          <w:sz w:val="24"/>
          <w:szCs w:val="24"/>
        </w:rPr>
        <w:t xml:space="preserve"> (</w:t>
      </w:r>
      <w:r>
        <w:rPr>
          <w:rFonts w:ascii="Times New Roman" w:hAnsi="Times New Roman"/>
          <w:b/>
          <w:sz w:val="24"/>
          <w:szCs w:val="24"/>
        </w:rPr>
        <w:t>¿</w:t>
      </w:r>
      <w:r w:rsidRPr="00E536D0">
        <w:rPr>
          <w:rFonts w:ascii="Times New Roman" w:hAnsi="Times New Roman"/>
          <w:b/>
          <w:sz w:val="24"/>
          <w:szCs w:val="24"/>
        </w:rPr>
        <w:t>hay que enviar a los jubilados al Campo de Exterminio</w:t>
      </w:r>
      <w:r>
        <w:rPr>
          <w:rFonts w:ascii="Times New Roman" w:hAnsi="Times New Roman"/>
          <w:b/>
          <w:sz w:val="24"/>
          <w:szCs w:val="24"/>
        </w:rPr>
        <w:t>?</w:t>
      </w:r>
      <w:r w:rsidRPr="00E536D0">
        <w:rPr>
          <w:rFonts w:ascii="Times New Roman" w:hAnsi="Times New Roman"/>
          <w:b/>
          <w:sz w:val="24"/>
          <w:szCs w:val="24"/>
        </w:rPr>
        <w:t>)</w:t>
      </w:r>
    </w:p>
    <w:p w:rsidR="00C96FE4" w:rsidRPr="004F1952" w:rsidRDefault="004F1952" w:rsidP="00550638">
      <w:pPr>
        <w:pStyle w:val="NormalWeb"/>
        <w:jc w:val="both"/>
        <w:rPr>
          <w:u w:val="single"/>
        </w:rPr>
      </w:pPr>
      <w:r>
        <w:t xml:space="preserve">En el </w:t>
      </w:r>
      <w:r w:rsidRPr="004F1952">
        <w:rPr>
          <w:u w:val="single"/>
        </w:rPr>
        <w:t>Apartado</w:t>
      </w:r>
      <w:r>
        <w:t xml:space="preserve"> </w:t>
      </w:r>
      <w:r w:rsidR="00C96FE4" w:rsidRPr="00A819E2">
        <w:rPr>
          <w:b/>
        </w:rPr>
        <w:t xml:space="preserve">- </w:t>
      </w:r>
      <w:r w:rsidR="00C96FE4" w:rsidRPr="004F1952">
        <w:rPr>
          <w:u w:val="single"/>
        </w:rPr>
        <w:t>El futuro de las pensiones: ¿será el “suelo” el límite? (cuentas y cuentos)</w:t>
      </w:r>
    </w:p>
    <w:p w:rsidR="00CD6F7C" w:rsidRPr="004F1952" w:rsidRDefault="00CD6F7C" w:rsidP="00550638">
      <w:pPr>
        <w:spacing w:line="240" w:lineRule="auto"/>
        <w:jc w:val="both"/>
        <w:rPr>
          <w:rFonts w:ascii="Times New Roman" w:hAnsi="Times New Roman"/>
          <w:sz w:val="24"/>
          <w:szCs w:val="24"/>
        </w:rPr>
      </w:pPr>
      <w:r>
        <w:rPr>
          <w:rFonts w:ascii="Times New Roman" w:hAnsi="Times New Roman"/>
          <w:sz w:val="24"/>
          <w:szCs w:val="24"/>
        </w:rPr>
        <w:t>Decía:</w:t>
      </w:r>
    </w:p>
    <w:p w:rsidR="00C96FE4" w:rsidRDefault="00C96FE4" w:rsidP="00550638">
      <w:pPr>
        <w:spacing w:line="240" w:lineRule="auto"/>
        <w:jc w:val="both"/>
        <w:rPr>
          <w:rFonts w:ascii="Times New Roman" w:hAnsi="Times New Roman"/>
          <w:sz w:val="24"/>
          <w:szCs w:val="24"/>
        </w:rPr>
      </w:pPr>
      <w:r w:rsidRPr="00D30680">
        <w:rPr>
          <w:rFonts w:ascii="Times New Roman" w:hAnsi="Times New Roman"/>
          <w:sz w:val="24"/>
          <w:szCs w:val="24"/>
        </w:rPr>
        <w:t>Como a menudo se atribuye al escritor americano Mark Twain: “Hacer predicciones es muy difícil. Especialmente sobre el futuro”.</w:t>
      </w:r>
    </w:p>
    <w:p w:rsidR="00C96FE4" w:rsidRPr="008972BF" w:rsidRDefault="00C96FE4" w:rsidP="00550638">
      <w:pPr>
        <w:spacing w:before="100" w:beforeAutospacing="1" w:after="100" w:afterAutospacing="1" w:line="240" w:lineRule="auto"/>
        <w:jc w:val="both"/>
        <w:rPr>
          <w:rFonts w:ascii="Times New Roman" w:hAnsi="Times New Roman"/>
          <w:sz w:val="24"/>
          <w:szCs w:val="24"/>
        </w:rPr>
      </w:pPr>
      <w:r>
        <w:rPr>
          <w:rFonts w:ascii="Times New Roman" w:hAnsi="Times New Roman"/>
          <w:sz w:val="24"/>
          <w:szCs w:val="24"/>
        </w:rPr>
        <w:t xml:space="preserve">Debería remontarme -tal vez- hasta </w:t>
      </w:r>
      <w:r w:rsidRPr="00903468">
        <w:rPr>
          <w:rFonts w:ascii="Times New Roman" w:hAnsi="Times New Roman"/>
          <w:sz w:val="24"/>
          <w:szCs w:val="24"/>
        </w:rPr>
        <w:t>Tho</w:t>
      </w:r>
      <w:r>
        <w:rPr>
          <w:rFonts w:ascii="Times New Roman" w:hAnsi="Times New Roman"/>
          <w:sz w:val="24"/>
          <w:szCs w:val="24"/>
        </w:rPr>
        <w:t>mas Hobbes (5 de abril de 1588 -</w:t>
      </w:r>
      <w:r w:rsidRPr="00903468">
        <w:t xml:space="preserve"> </w:t>
      </w:r>
      <w:r w:rsidRPr="00903468">
        <w:rPr>
          <w:rFonts w:ascii="Times New Roman" w:hAnsi="Times New Roman"/>
          <w:sz w:val="24"/>
          <w:szCs w:val="24"/>
        </w:rPr>
        <w:t>Wiltshire, Inglaterra</w:t>
      </w:r>
      <w:r>
        <w:rPr>
          <w:rFonts w:ascii="Times New Roman" w:hAnsi="Times New Roman"/>
          <w:sz w:val="24"/>
          <w:szCs w:val="24"/>
        </w:rPr>
        <w:t>,</w:t>
      </w:r>
      <w:r w:rsidRPr="00903468">
        <w:rPr>
          <w:rFonts w:ascii="Times New Roman" w:hAnsi="Times New Roman"/>
          <w:sz w:val="24"/>
          <w:szCs w:val="24"/>
        </w:rPr>
        <w:t xml:space="preserve"> 4 de diciembre de 1679),</w:t>
      </w:r>
      <w:r>
        <w:rPr>
          <w:rFonts w:ascii="Times New Roman" w:hAnsi="Times New Roman"/>
          <w:sz w:val="24"/>
          <w:szCs w:val="24"/>
        </w:rPr>
        <w:t xml:space="preserve"> autor de “El Leviatán”, con su ideario: “</w:t>
      </w:r>
      <w:r w:rsidRPr="008B7B56">
        <w:rPr>
          <w:rFonts w:ascii="Times New Roman" w:hAnsi="Times New Roman"/>
          <w:sz w:val="24"/>
          <w:szCs w:val="24"/>
        </w:rPr>
        <w:t>El origen del Estado es el pacto que realizan todos los hombres entre sí, subordinándose desde ese momento a un gobernante, el cual procura por el bien de todos los súbditos y de él mismo. De esa forma se conforma la organización social</w:t>
      </w:r>
      <w:r>
        <w:rPr>
          <w:rFonts w:ascii="Times New Roman" w:hAnsi="Times New Roman"/>
          <w:sz w:val="24"/>
          <w:szCs w:val="24"/>
        </w:rPr>
        <w:t xml:space="preserve">”; </w:t>
      </w:r>
      <w:r w:rsidRPr="00817215">
        <w:rPr>
          <w:rFonts w:ascii="Times New Roman" w:hAnsi="Times New Roman"/>
          <w:sz w:val="24"/>
          <w:szCs w:val="24"/>
        </w:rPr>
        <w:t>Charles Louis de Secondat, Señor de la Brède y Barón de Montesquieu (Château de la Brède, 18 de enero de 1689 - París, 10 de febrero de 1755),</w:t>
      </w:r>
      <w:r>
        <w:rPr>
          <w:rFonts w:ascii="Times New Roman" w:hAnsi="Times New Roman"/>
          <w:sz w:val="24"/>
          <w:szCs w:val="24"/>
        </w:rPr>
        <w:t xml:space="preserve"> con su obra magistral “El espíritu de las leyes”</w:t>
      </w:r>
      <w:r w:rsidRPr="00903468">
        <w:rPr>
          <w:rFonts w:ascii="Times New Roman" w:hAnsi="Times New Roman"/>
          <w:sz w:val="24"/>
          <w:szCs w:val="24"/>
        </w:rPr>
        <w:t>,</w:t>
      </w:r>
      <w:r>
        <w:rPr>
          <w:rFonts w:ascii="Times New Roman" w:hAnsi="Times New Roman"/>
          <w:sz w:val="24"/>
          <w:szCs w:val="24"/>
        </w:rPr>
        <w:t xml:space="preserve"> y su ideario: “D</w:t>
      </w:r>
      <w:r w:rsidRPr="00903468">
        <w:rPr>
          <w:rFonts w:ascii="Times New Roman" w:hAnsi="Times New Roman"/>
          <w:sz w:val="24"/>
          <w:szCs w:val="24"/>
        </w:rPr>
        <w:t>ebe establecerse un gobierno de forma tal que ni</w:t>
      </w:r>
      <w:r>
        <w:rPr>
          <w:rFonts w:ascii="Times New Roman" w:hAnsi="Times New Roman"/>
          <w:sz w:val="24"/>
          <w:szCs w:val="24"/>
        </w:rPr>
        <w:t xml:space="preserve">ngún hombre tenga miedo de otro”; </w:t>
      </w:r>
      <w:r w:rsidRPr="00817215">
        <w:rPr>
          <w:rFonts w:ascii="Times New Roman" w:hAnsi="Times New Roman"/>
          <w:sz w:val="24"/>
          <w:szCs w:val="24"/>
        </w:rPr>
        <w:t>Jean-Jacques Rousseau (Ginebra, Suiza, 28 de junio de 1712 - Ermenonville, Francia, 2 de julio de 1778)</w:t>
      </w:r>
      <w:r>
        <w:rPr>
          <w:rFonts w:ascii="Times New Roman" w:hAnsi="Times New Roman"/>
          <w:sz w:val="24"/>
          <w:szCs w:val="24"/>
        </w:rPr>
        <w:t>, autor de</w:t>
      </w:r>
      <w:r w:rsidRPr="00817215">
        <w:rPr>
          <w:rFonts w:ascii="Times New Roman" w:hAnsi="Times New Roman"/>
          <w:sz w:val="24"/>
          <w:szCs w:val="24"/>
        </w:rPr>
        <w:t xml:space="preserve"> </w:t>
      </w:r>
      <w:r>
        <w:rPr>
          <w:rFonts w:ascii="Times New Roman" w:hAnsi="Times New Roman"/>
          <w:sz w:val="24"/>
          <w:szCs w:val="24"/>
        </w:rPr>
        <w:t>“</w:t>
      </w:r>
      <w:r w:rsidRPr="00817215">
        <w:rPr>
          <w:rFonts w:ascii="Times New Roman" w:hAnsi="Times New Roman"/>
          <w:sz w:val="24"/>
          <w:szCs w:val="24"/>
        </w:rPr>
        <w:t>El contrato social</w:t>
      </w:r>
      <w:r>
        <w:rPr>
          <w:rFonts w:ascii="Times New Roman" w:hAnsi="Times New Roman"/>
          <w:sz w:val="24"/>
          <w:szCs w:val="24"/>
        </w:rPr>
        <w:t>” y su frase: “</w:t>
      </w:r>
      <w:r w:rsidRPr="00817215">
        <w:rPr>
          <w:rFonts w:ascii="Times New Roman" w:hAnsi="Times New Roman"/>
          <w:sz w:val="24"/>
          <w:szCs w:val="24"/>
        </w:rPr>
        <w:t>El hombre nace libre, pero</w:t>
      </w:r>
      <w:r>
        <w:rPr>
          <w:rFonts w:ascii="Times New Roman" w:hAnsi="Times New Roman"/>
          <w:sz w:val="24"/>
          <w:szCs w:val="24"/>
        </w:rPr>
        <w:t xml:space="preserve"> en todos lados está encadenado”, para interpretar -nunca compartir y menos, perdonar- las “desviaciones” que están produciéndose en la “vieja” Europa (muchas veces puta, aunque de vez en cuando, sabia), para provocar semejante deshumanización inmisericorde. Tamaña denuncia del Contrato Social. Por qué, l</w:t>
      </w:r>
      <w:r w:rsidRPr="008972BF">
        <w:rPr>
          <w:rFonts w:ascii="Times New Roman" w:hAnsi="Times New Roman"/>
          <w:sz w:val="24"/>
          <w:szCs w:val="24"/>
        </w:rPr>
        <w:t>o que antes era herejía hoy se sostiene como ortodoxia</w:t>
      </w:r>
      <w:r>
        <w:rPr>
          <w:rFonts w:ascii="Times New Roman" w:hAnsi="Times New Roman"/>
          <w:sz w:val="24"/>
          <w:szCs w:val="24"/>
        </w:rPr>
        <w:t>.</w:t>
      </w:r>
      <w:r w:rsidRPr="008972BF">
        <w:rPr>
          <w:rFonts w:ascii="Times New Roman" w:hAnsi="Times New Roman"/>
          <w:sz w:val="24"/>
          <w:szCs w:val="24"/>
        </w:rPr>
        <w:t xml:space="preserve"> </w:t>
      </w:r>
    </w:p>
    <w:p w:rsidR="00C96FE4" w:rsidRPr="001C3F62"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hAnsi="Times New Roman"/>
          <w:sz w:val="24"/>
          <w:szCs w:val="24"/>
        </w:rPr>
        <w:t>Un</w:t>
      </w:r>
      <w:r w:rsidRPr="00644B1F">
        <w:rPr>
          <w:rFonts w:ascii="Times New Roman" w:hAnsi="Times New Roman"/>
          <w:sz w:val="24"/>
          <w:szCs w:val="24"/>
        </w:rPr>
        <w:t xml:space="preserve"> viaje a través del infierno</w:t>
      </w:r>
      <w:r>
        <w:rPr>
          <w:rFonts w:ascii="Times New Roman" w:hAnsi="Times New Roman"/>
          <w:sz w:val="24"/>
          <w:szCs w:val="24"/>
        </w:rPr>
        <w:t xml:space="preserve"> (l</w:t>
      </w:r>
      <w:r w:rsidRPr="00904843">
        <w:rPr>
          <w:rFonts w:ascii="Times New Roman" w:hAnsi="Times New Roman"/>
          <w:sz w:val="24"/>
          <w:szCs w:val="24"/>
        </w:rPr>
        <w:t>as cuentas de la Seguridad Soci</w:t>
      </w:r>
      <w:r>
        <w:rPr>
          <w:rFonts w:ascii="Times New Roman" w:hAnsi="Times New Roman"/>
          <w:sz w:val="24"/>
          <w:szCs w:val="24"/>
        </w:rPr>
        <w:t>al comienzan a ser deficitarias)</w:t>
      </w:r>
      <w:r w:rsidRPr="00644B1F">
        <w:rPr>
          <w:rFonts w:ascii="Times New Roman" w:hAnsi="Times New Roman"/>
          <w:sz w:val="24"/>
          <w:szCs w:val="24"/>
        </w:rPr>
        <w:t>, pero sin luz al final del túnel</w:t>
      </w:r>
      <w:r>
        <w:rPr>
          <w:rFonts w:ascii="Times New Roman" w:hAnsi="Times New Roman"/>
          <w:sz w:val="24"/>
          <w:szCs w:val="24"/>
        </w:rPr>
        <w:t xml:space="preserve"> (</w:t>
      </w:r>
      <w:r w:rsidRPr="00644B1F">
        <w:rPr>
          <w:rFonts w:ascii="Times New Roman" w:hAnsi="Times New Roman"/>
          <w:sz w:val="24"/>
          <w:szCs w:val="24"/>
        </w:rPr>
        <w:t>la relación entre número de trabajadores por cada jubilado se reduce día a día</w:t>
      </w:r>
      <w:r>
        <w:rPr>
          <w:rFonts w:ascii="Times New Roman" w:hAnsi="Times New Roman"/>
          <w:sz w:val="24"/>
          <w:szCs w:val="24"/>
        </w:rPr>
        <w:t>)</w:t>
      </w:r>
      <w:r w:rsidRPr="00644B1F">
        <w:rPr>
          <w:rFonts w:ascii="Times New Roman" w:hAnsi="Times New Roman"/>
          <w:sz w:val="24"/>
          <w:szCs w:val="24"/>
        </w:rPr>
        <w:t xml:space="preserve">. </w:t>
      </w:r>
      <w:r>
        <w:rPr>
          <w:rFonts w:ascii="Times New Roman" w:eastAsia="Times New Roman" w:hAnsi="Times New Roman"/>
          <w:sz w:val="24"/>
          <w:szCs w:val="24"/>
          <w:lang w:eastAsia="es-ES"/>
        </w:rPr>
        <w:t>U</w:t>
      </w:r>
      <w:r w:rsidRPr="001C3F62">
        <w:rPr>
          <w:rFonts w:ascii="Times New Roman" w:eastAsia="Times New Roman" w:hAnsi="Times New Roman"/>
          <w:sz w:val="24"/>
          <w:szCs w:val="24"/>
          <w:lang w:eastAsia="es-ES"/>
        </w:rPr>
        <w:t>n escenario, lleno de incertidumbre y de tristeza, del que ya no saldremos</w:t>
      </w:r>
      <w:r>
        <w:rPr>
          <w:rFonts w:ascii="Times New Roman" w:eastAsia="Times New Roman" w:hAnsi="Times New Roman"/>
          <w:sz w:val="24"/>
          <w:szCs w:val="24"/>
          <w:lang w:eastAsia="es-ES"/>
        </w:rPr>
        <w:t>.</w:t>
      </w:r>
      <w:r w:rsidRPr="00644B1F">
        <w:rPr>
          <w:rFonts w:ascii="Times New Roman" w:hAnsi="Times New Roman"/>
          <w:sz w:val="24"/>
          <w:szCs w:val="24"/>
        </w:rPr>
        <w:t xml:space="preserve"> </w:t>
      </w:r>
      <w:r>
        <w:rPr>
          <w:rFonts w:ascii="Times New Roman" w:hAnsi="Times New Roman"/>
          <w:sz w:val="24"/>
          <w:szCs w:val="24"/>
        </w:rPr>
        <w:t>V</w:t>
      </w:r>
      <w:r w:rsidRPr="001C3F62">
        <w:rPr>
          <w:rFonts w:ascii="Times New Roman" w:eastAsia="Times New Roman" w:hAnsi="Times New Roman"/>
          <w:sz w:val="24"/>
          <w:szCs w:val="24"/>
          <w:lang w:eastAsia="es-ES"/>
        </w:rPr>
        <w:t>ivir un retroceso brutal en lo que pensábamos que era un es</w:t>
      </w:r>
      <w:r>
        <w:rPr>
          <w:rFonts w:ascii="Times New Roman" w:eastAsia="Times New Roman" w:hAnsi="Times New Roman"/>
          <w:sz w:val="24"/>
          <w:szCs w:val="24"/>
          <w:lang w:eastAsia="es-ES"/>
        </w:rPr>
        <w:t xml:space="preserve">tado del bienestar para siempre y solo quedará un </w:t>
      </w:r>
      <w:r w:rsidRPr="001C3F62">
        <w:rPr>
          <w:rFonts w:ascii="Times New Roman" w:eastAsia="Times New Roman" w:hAnsi="Times New Roman"/>
          <w:sz w:val="24"/>
          <w:szCs w:val="24"/>
          <w:lang w:eastAsia="es-ES"/>
        </w:rPr>
        <w:t>mundo marginal, de pobreza exten</w:t>
      </w:r>
      <w:r>
        <w:rPr>
          <w:rFonts w:ascii="Times New Roman" w:eastAsia="Times New Roman" w:hAnsi="Times New Roman"/>
          <w:sz w:val="24"/>
          <w:szCs w:val="24"/>
          <w:lang w:eastAsia="es-ES"/>
        </w:rPr>
        <w:t>dida.</w:t>
      </w:r>
    </w:p>
    <w:p w:rsidR="00C96FE4" w:rsidRDefault="00C96FE4" w:rsidP="00550638">
      <w:pPr>
        <w:pStyle w:val="NormalWeb"/>
        <w:jc w:val="both"/>
      </w:pPr>
      <w:r>
        <w:t xml:space="preserve">El jubilado Dimitris Christoulas se suicidó a los 77 años, a causa de las privaciones que le impusieron la crisis y las políticas nefastas de su Gobierno. Pero </w:t>
      </w:r>
      <w:r w:rsidRPr="00BF0C9E">
        <w:rPr>
          <w:bCs/>
        </w:rPr>
        <w:t>no se mató por incapacidad de seguir sobreviviendo, sino porque rechazó una vida que se le antojaba indigna</w:t>
      </w:r>
      <w:r>
        <w:t xml:space="preserve">. Se le acabó la voluntad antes que las fuerzas, a juzgar por la nota que llevaba en el bolsillo: “Soy jubilado. No puedo vivir en estas condiciones. Me niego a buscar </w:t>
      </w:r>
      <w:r>
        <w:lastRenderedPageBreak/>
        <w:t xml:space="preserve">comida en la basura. Por eso he decidido poner fin a mi vida”. Me pregunto cuántas veces tuvo que escuchar en los últimos tiempos el reproche de haber vivido por encima de sus posibilidades, esa culpabilización nada sutil que convierte en justo castigo los padecimientos impuestos por la crisis; la muerte, incluso. </w:t>
      </w:r>
    </w:p>
    <w:p w:rsidR="00C96FE4" w:rsidRDefault="00C96FE4" w:rsidP="00550638">
      <w:pPr>
        <w:pStyle w:val="NormalWeb"/>
        <w:jc w:val="both"/>
      </w:pPr>
      <w:r>
        <w:t xml:space="preserve">Christoulas no estaba dispuesto a vivir tan por debajo de sus posibilidades. Dijo “no”. Por eso a primera vista el suicidio es tranquilizador: podemos consolarnos pensando que todo consiste en decir “sí”. Mientras nos merezca la pena vivir, aun buscando comida en la basura, estaremos a salvo. </w:t>
      </w:r>
    </w:p>
    <w:p w:rsidR="00C96FE4" w:rsidRDefault="00C96FE4" w:rsidP="00550638">
      <w:pPr>
        <w:pStyle w:val="NormalWeb"/>
        <w:jc w:val="both"/>
      </w:pPr>
      <w:r>
        <w:t xml:space="preserve">Se ha comparado en muchas ocasiones la crisis con una guerra. También en la guerra hace falta valor para sobrevivir. Aunque </w:t>
      </w:r>
      <w:r w:rsidRPr="009B23A5">
        <w:rPr>
          <w:bCs/>
        </w:rPr>
        <w:t>no siempre el más fuerte lo consigue, porque la supervivencia no depende de uno mismo, sino de muchos factores, y en gran medida del azar</w:t>
      </w:r>
      <w:r w:rsidRPr="009B23A5">
        <w:t>.</w:t>
      </w:r>
      <w:r>
        <w:t xml:space="preserve"> En eso, la crisis es completamente diferente a una guerra. Si es verdad, como aseguraba Demócrito, que “todo lo que ocurre en el mundo se debe al azar o a la necesidad”, no habrá muertes azarosas, sino necesarias, como la de Christoulas. El disparo que lo ha matado no ha sido fortuito: tenía poca elección a sus 77 años. Si hubiera contado veinte, habría dispuesto de muchas opciones desesperadas. Coger comida de la basura habría sido la menos dañina.</w:t>
      </w:r>
    </w:p>
    <w:p w:rsidR="00C96FE4" w:rsidRDefault="00C96FE4" w:rsidP="00550638">
      <w:pPr>
        <w:pStyle w:val="NormalWeb"/>
        <w:jc w:val="both"/>
      </w:pPr>
      <w:r>
        <w:t>Christoulas, ya cumplió con “los mercados”… Se “deflacionó” de un tiro, aliviando el gasto público, y dejando una carta de despedida a modo de “hoja de balance”: “</w:t>
      </w:r>
      <w:r w:rsidRPr="00EC629F">
        <w:t>¡Tengo d</w:t>
      </w:r>
      <w:r>
        <w:t>eudas, no puedo soportarlo más!” y “</w:t>
      </w:r>
      <w:r w:rsidRPr="00EC629F">
        <w:t>no quie</w:t>
      </w:r>
      <w:r>
        <w:t>ro dejar mis deudas a mis hijos”… El Gobierno “</w:t>
      </w:r>
      <w:r w:rsidRPr="006063EE">
        <w:t xml:space="preserve">ha eliminado cualquier esperanza de que yo sobreviva y no puedo obtener justicia, no encuentro otra forma de lucha más que un final digno para no tener que empezar a rebuscar en </w:t>
      </w:r>
      <w:r>
        <w:t>la basura para conseguir comida”… Y concluía: “</w:t>
      </w:r>
      <w:r w:rsidRPr="006063EE">
        <w:t xml:space="preserve">Algún día, los jóvenes sin futuro tomarán las armas y colgarán a los traidores de este país en la Plaza Syntagma, al igual que hicieron los </w:t>
      </w:r>
      <w:r>
        <w:t>italianos con Mussolini en 1945”…</w:t>
      </w:r>
    </w:p>
    <w:p w:rsidR="00C96FE4" w:rsidRDefault="00C96FE4" w:rsidP="00550638">
      <w:pPr>
        <w:pStyle w:val="NormalWeb"/>
        <w:jc w:val="both"/>
      </w:pPr>
      <w:r>
        <w:rPr>
          <w:bCs/>
        </w:rPr>
        <w:t>Dicen los analistas que l</w:t>
      </w:r>
      <w:r w:rsidRPr="009B4CF6">
        <w:rPr>
          <w:bCs/>
        </w:rPr>
        <w:t>o que importa en la bolsa y en los mercados financieros, es saber algo que nadie más sepa</w:t>
      </w:r>
      <w:r w:rsidRPr="009B4CF6">
        <w:t>.</w:t>
      </w:r>
      <w:r>
        <w:t xml:space="preserve"> Podrán interpretar, en este caso, los “límites, humanamente soportables”, de la austeridad proclamada (exigida). Descontarán los mercados (como dicen las serpientes encantadoras de hombres de la bolsa), que cuando la gente empieza a suicidarse (ayer en Sintagma, mañana en cualquier otra plaza de la Europa quebrada) es el final, que la cohesión social (de la Europa soñada) ha estallado.</w:t>
      </w:r>
    </w:p>
    <w:p w:rsidR="00C96FE4" w:rsidRDefault="00C96FE4" w:rsidP="00550638">
      <w:pPr>
        <w:pStyle w:val="NormalWeb"/>
        <w:jc w:val="both"/>
      </w:pPr>
      <w:r>
        <w:t>Una Europa cuyos jubilados son mendigos, cuyos trabajadores pierden sus empleos, cuyos jóvenes nunca (o tarde y mal) serán asalariados, cuyos niños se deben dar en adopción por falta de recursos para alimentarlos, educarlos o curarlos… ha fracasado.</w:t>
      </w:r>
    </w:p>
    <w:p w:rsidR="00C96FE4" w:rsidRDefault="00C96FE4" w:rsidP="00550638">
      <w:pPr>
        <w:pStyle w:val="NormalWeb"/>
        <w:jc w:val="both"/>
      </w:pPr>
      <w:r>
        <w:t xml:space="preserve">La Unión Europea (en vías de subdesarrollo) no se debe (ni se puede) construir sobre el suicidio asistido de los mayores, el salario del miedo de los trabajadores, la adolescencia perpetua de los jóvenes y la pignoración de la niñez. </w:t>
      </w:r>
    </w:p>
    <w:p w:rsidR="00C96FE4" w:rsidRPr="004F1952" w:rsidRDefault="00C96FE4" w:rsidP="00550638">
      <w:pPr>
        <w:pStyle w:val="NormalWeb"/>
        <w:jc w:val="both"/>
        <w:rPr>
          <w:u w:val="single"/>
        </w:rPr>
      </w:pPr>
      <w:r w:rsidRPr="004F1952">
        <w:rPr>
          <w:u w:val="single"/>
        </w:rPr>
        <w:t>Primero sin “memoria”, y después sin “futuro” (del cinismo no se retorna)</w:t>
      </w:r>
    </w:p>
    <w:p w:rsidR="00C96FE4" w:rsidRPr="00390B5E" w:rsidRDefault="00C96FE4" w:rsidP="00550638">
      <w:pPr>
        <w:spacing w:line="240" w:lineRule="auto"/>
        <w:jc w:val="both"/>
        <w:rPr>
          <w:rFonts w:ascii="Times New Roman" w:hAnsi="Times New Roman"/>
          <w:i/>
          <w:sz w:val="24"/>
          <w:szCs w:val="24"/>
        </w:rPr>
      </w:pPr>
      <w:r w:rsidRPr="00390B5E">
        <w:rPr>
          <w:rFonts w:ascii="Times New Roman" w:hAnsi="Times New Roman"/>
          <w:i/>
          <w:sz w:val="24"/>
          <w:szCs w:val="24"/>
        </w:rPr>
        <w:t>“Unas gotitas de cianuro en el vasito de leche matutino -con todas las pastillas que tienen que tomar ni se van a dar cuenta- y zas, nos cargamos a los 8 millones de pensionistas y recortamos de golpe 115.000 millones de euros de gasto en pensiones, además de conseguir un considerable ahorro en fármacos.</w:t>
      </w:r>
    </w:p>
    <w:p w:rsidR="00C96FE4" w:rsidRPr="005140B3" w:rsidRDefault="00C96FE4" w:rsidP="00550638">
      <w:pPr>
        <w:spacing w:line="240" w:lineRule="auto"/>
        <w:jc w:val="both"/>
        <w:rPr>
          <w:rFonts w:ascii="Times New Roman" w:hAnsi="Times New Roman"/>
          <w:sz w:val="24"/>
          <w:szCs w:val="24"/>
        </w:rPr>
      </w:pPr>
      <w:r w:rsidRPr="00390B5E">
        <w:rPr>
          <w:rFonts w:ascii="Times New Roman" w:hAnsi="Times New Roman"/>
          <w:i/>
          <w:sz w:val="24"/>
          <w:szCs w:val="24"/>
        </w:rPr>
        <w:lastRenderedPageBreak/>
        <w:t>¿Estarían satisfechos con este genocidio los especuladores financieros o también tendríamos que dejar morir de hambre a los 5 millones de parados?”…</w:t>
      </w:r>
      <w:r>
        <w:rPr>
          <w:rFonts w:ascii="Times New Roman" w:hAnsi="Times New Roman"/>
          <w:color w:val="FF0000"/>
          <w:sz w:val="24"/>
          <w:szCs w:val="24"/>
        </w:rPr>
        <w:t xml:space="preserve"> </w:t>
      </w:r>
      <w:r w:rsidRPr="005A214A">
        <w:rPr>
          <w:rFonts w:ascii="Times New Roman" w:hAnsi="Times New Roman"/>
          <w:sz w:val="24"/>
          <w:szCs w:val="24"/>
          <w:u w:val="single"/>
        </w:rPr>
        <w:t>Matemos a los jubilados para mantener a los políticos</w:t>
      </w:r>
      <w:r>
        <w:rPr>
          <w:rFonts w:ascii="Times New Roman" w:hAnsi="Times New Roman"/>
          <w:sz w:val="24"/>
          <w:szCs w:val="24"/>
        </w:rPr>
        <w:t xml:space="preserve"> (Manuel del Pozo - Expansión - </w:t>
      </w:r>
      <w:r w:rsidRPr="005A214A">
        <w:rPr>
          <w:rFonts w:ascii="Times New Roman" w:hAnsi="Times New Roman"/>
          <w:b/>
          <w:sz w:val="24"/>
          <w:szCs w:val="24"/>
        </w:rPr>
        <w:t>12/4/12</w:t>
      </w:r>
      <w:r>
        <w:rPr>
          <w:rFonts w:ascii="Times New Roman" w:hAnsi="Times New Roman"/>
          <w:sz w:val="24"/>
          <w:szCs w:val="24"/>
        </w:rPr>
        <w:t>)</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Pr>
          <w:rFonts w:ascii="Times New Roman" w:eastAsia="Times New Roman" w:hAnsi="Times New Roman"/>
          <w:sz w:val="24"/>
          <w:szCs w:val="24"/>
          <w:u w:val="single"/>
          <w:lang w:eastAsia="es-ES"/>
        </w:rPr>
        <w:t>Eduardo Galeano: “</w:t>
      </w:r>
      <w:r w:rsidRPr="0051592F">
        <w:rPr>
          <w:rFonts w:ascii="Times New Roman" w:eastAsia="Times New Roman" w:hAnsi="Times New Roman"/>
          <w:sz w:val="24"/>
          <w:szCs w:val="24"/>
          <w:u w:val="single"/>
          <w:lang w:eastAsia="es-ES"/>
        </w:rPr>
        <w:t>A la basura dos siglos de conquistas”</w:t>
      </w:r>
      <w:r>
        <w:rPr>
          <w:rFonts w:ascii="Times New Roman" w:eastAsia="Times New Roman" w:hAnsi="Times New Roman"/>
          <w:sz w:val="24"/>
          <w:szCs w:val="24"/>
          <w:lang w:eastAsia="es-ES"/>
        </w:rPr>
        <w:t xml:space="preserve"> (BBCMundo - </w:t>
      </w:r>
      <w:r w:rsidRPr="0051592F">
        <w:rPr>
          <w:rFonts w:ascii="Times New Roman" w:eastAsia="Times New Roman" w:hAnsi="Times New Roman"/>
          <w:b/>
          <w:sz w:val="24"/>
          <w:szCs w:val="24"/>
          <w:lang w:eastAsia="es-ES"/>
        </w:rPr>
        <w:t>23/7/12</w:t>
      </w:r>
      <w:r>
        <w:rPr>
          <w:rFonts w:ascii="Times New Roman" w:eastAsia="Times New Roman" w:hAnsi="Times New Roman"/>
          <w:sz w:val="24"/>
          <w:szCs w:val="24"/>
          <w:lang w:eastAsia="es-ES"/>
        </w:rPr>
        <w:t>)</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51592F">
        <w:rPr>
          <w:rFonts w:ascii="Times New Roman" w:eastAsia="Times New Roman" w:hAnsi="Times New Roman"/>
          <w:sz w:val="24"/>
          <w:szCs w:val="24"/>
          <w:lang w:eastAsia="es-ES"/>
        </w:rPr>
        <w:t>Paula Vilella</w:t>
      </w:r>
      <w:r>
        <w:rPr>
          <w:rFonts w:ascii="Times New Roman" w:eastAsia="Times New Roman" w:hAnsi="Times New Roman"/>
          <w:sz w:val="24"/>
          <w:szCs w:val="24"/>
          <w:lang w:eastAsia="es-ES"/>
        </w:rPr>
        <w:t>)</w:t>
      </w:r>
      <w:r w:rsidRPr="0051592F">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                                                                            Lectura recomendada</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“Este es un mundo violento y mentiroso pero no podemos perder la esperanza y el entusiasmo por cambiarlo”, asegura Eduardo Galeano.</w:t>
      </w:r>
    </w:p>
    <w:p w:rsidR="00C96FE4" w:rsidRPr="00F274C3" w:rsidRDefault="00C96FE4"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F274C3">
        <w:rPr>
          <w:rFonts w:ascii="Times New Roman" w:eastAsia="Times New Roman" w:hAnsi="Times New Roman"/>
          <w:sz w:val="24"/>
          <w:szCs w:val="24"/>
          <w:u w:val="single"/>
          <w:lang w:eastAsia="es-ES"/>
        </w:rPr>
        <w:t>El escritor uruguayo</w:t>
      </w:r>
      <w:r w:rsidRPr="0051592F">
        <w:rPr>
          <w:rFonts w:ascii="Times New Roman" w:eastAsia="Times New Roman" w:hAnsi="Times New Roman"/>
          <w:sz w:val="24"/>
          <w:szCs w:val="24"/>
          <w:lang w:eastAsia="es-ES"/>
        </w:rPr>
        <w:t>, historiador literario de su continente a través de obras como “</w:t>
      </w:r>
      <w:r w:rsidRPr="009E6042">
        <w:rPr>
          <w:rFonts w:ascii="Times New Roman" w:eastAsia="Times New Roman" w:hAnsi="Times New Roman"/>
          <w:i/>
          <w:sz w:val="24"/>
          <w:szCs w:val="24"/>
          <w:lang w:eastAsia="es-ES"/>
        </w:rPr>
        <w:t>Las venas abiertas de América Latina</w:t>
      </w:r>
      <w:r w:rsidRPr="0051592F">
        <w:rPr>
          <w:rFonts w:ascii="Times New Roman" w:eastAsia="Times New Roman" w:hAnsi="Times New Roman"/>
          <w:sz w:val="24"/>
          <w:szCs w:val="24"/>
          <w:lang w:eastAsia="es-ES"/>
        </w:rPr>
        <w:t>” y la trilogía “</w:t>
      </w:r>
      <w:r w:rsidRPr="009E6042">
        <w:rPr>
          <w:rFonts w:ascii="Times New Roman" w:eastAsia="Times New Roman" w:hAnsi="Times New Roman"/>
          <w:i/>
          <w:sz w:val="24"/>
          <w:szCs w:val="24"/>
          <w:lang w:eastAsia="es-ES"/>
        </w:rPr>
        <w:t>Memorias del Fuego</w:t>
      </w:r>
      <w:r w:rsidRPr="0051592F">
        <w:rPr>
          <w:rFonts w:ascii="Times New Roman" w:eastAsia="Times New Roman" w:hAnsi="Times New Roman"/>
          <w:sz w:val="24"/>
          <w:szCs w:val="24"/>
          <w:lang w:eastAsia="es-ES"/>
        </w:rPr>
        <w:t xml:space="preserve">”, </w:t>
      </w:r>
      <w:r w:rsidRPr="00F274C3">
        <w:rPr>
          <w:rFonts w:ascii="Times New Roman" w:eastAsia="Times New Roman" w:hAnsi="Times New Roman"/>
          <w:sz w:val="24"/>
          <w:szCs w:val="24"/>
          <w:u w:val="single"/>
          <w:lang w:eastAsia="es-ES"/>
        </w:rPr>
        <w:t xml:space="preserve">habló con </w:t>
      </w:r>
      <w:r w:rsidRPr="001C6E30">
        <w:rPr>
          <w:rFonts w:ascii="Times New Roman" w:eastAsia="Times New Roman" w:hAnsi="Times New Roman"/>
          <w:i/>
          <w:sz w:val="24"/>
          <w:szCs w:val="24"/>
          <w:u w:val="single"/>
          <w:lang w:eastAsia="es-ES"/>
        </w:rPr>
        <w:t>BBC Mundo</w:t>
      </w:r>
      <w:r w:rsidRPr="00F274C3">
        <w:rPr>
          <w:rFonts w:ascii="Times New Roman" w:eastAsia="Times New Roman" w:hAnsi="Times New Roman"/>
          <w:sz w:val="24"/>
          <w:szCs w:val="24"/>
          <w:u w:val="single"/>
          <w:lang w:eastAsia="es-ES"/>
        </w:rPr>
        <w:t xml:space="preserve"> sobre los últimos acontecimientos de América Latina y la crisis económica mundial.</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Desde su mesa de siempre en el céntrico Café Brasilero, dejando tras el ventanal el frío del invierno austral, insiste en que “la grandeza humana está en las cosas chiquitas, que se hace cotidianamente, día a día, la que hacen los anónimos sin saber que la hacen”.</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Por eso, alterna las respuestas con episodios de su último libro, “</w:t>
      </w:r>
      <w:r w:rsidRPr="009E6042">
        <w:rPr>
          <w:rFonts w:ascii="Times New Roman" w:eastAsia="Times New Roman" w:hAnsi="Times New Roman"/>
          <w:i/>
          <w:sz w:val="24"/>
          <w:szCs w:val="24"/>
          <w:lang w:eastAsia="es-ES"/>
        </w:rPr>
        <w:t>Los hijos de los días</w:t>
      </w:r>
      <w:r w:rsidRPr="0051592F">
        <w:rPr>
          <w:rFonts w:ascii="Times New Roman" w:eastAsia="Times New Roman" w:hAnsi="Times New Roman"/>
          <w:sz w:val="24"/>
          <w:szCs w:val="24"/>
          <w:lang w:eastAsia="es-ES"/>
        </w:rPr>
        <w:t>”, en el que agrupa 366 historias reales, una para cada día del año, que contienen más verdad que hablar de la prima de riesgo.</w:t>
      </w:r>
    </w:p>
    <w:p w:rsidR="00C96FE4" w:rsidRPr="00F274C3" w:rsidRDefault="00C96FE4"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La crisis europea se está manejando por los líderes políticos desde un discurso de sacrificio de la población.</w:t>
      </w:r>
    </w:p>
    <w:p w:rsidR="00C96FE4" w:rsidRPr="00F274C3" w:rsidRDefault="00C96FE4"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Es igual al discurso de los oficiales cuando mandan a los reclutas a morir, con menos olor a pólvora pero no menos violento.</w:t>
      </w:r>
    </w:p>
    <w:p w:rsidR="00C96FE4" w:rsidRPr="00F274C3" w:rsidRDefault="00C96FE4" w:rsidP="00550638">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F274C3">
        <w:rPr>
          <w:rFonts w:ascii="Times New Roman" w:eastAsia="Times New Roman" w:hAnsi="Times New Roman"/>
          <w:b/>
          <w:color w:val="FF0000"/>
          <w:sz w:val="24"/>
          <w:szCs w:val="24"/>
          <w:u w:val="single"/>
          <w:lang w:eastAsia="es-ES"/>
        </w:rPr>
        <w:t>Esto es un plan sistemático a nivel mundial para arrojar al tacho de la basura dos siglos de conquistas obreras, para que la humanidad retroceda en nombre de la recuperación nacional.</w:t>
      </w:r>
    </w:p>
    <w:p w:rsidR="00C96FE4" w:rsidRPr="00F274C3" w:rsidRDefault="00C96FE4"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Este es un mundo organizado y especializado en el exterminio del prójimo.</w:t>
      </w:r>
    </w:p>
    <w:p w:rsidR="00C96FE4" w:rsidRPr="00F274C3" w:rsidRDefault="00C96FE4"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F274C3">
        <w:rPr>
          <w:rFonts w:ascii="Times New Roman" w:eastAsia="Times New Roman" w:hAnsi="Times New Roman"/>
          <w:sz w:val="24"/>
          <w:szCs w:val="24"/>
          <w:u w:val="single"/>
          <w:lang w:eastAsia="es-ES"/>
        </w:rPr>
        <w:t>Y luego vienen a condenar la violencia del pobre, la de los muertos de hambre; la otra se aplaude, merece condecoraciones.</w:t>
      </w:r>
    </w:p>
    <w:p w:rsidR="00C96FE4" w:rsidRPr="00F274C3" w:rsidRDefault="00C96FE4"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¿Se está presentando la “austeridad”</w:t>
      </w:r>
      <w:r w:rsidRPr="00F274C3">
        <w:rPr>
          <w:rFonts w:ascii="Times New Roman" w:eastAsia="Times New Roman" w:hAnsi="Times New Roman"/>
          <w:color w:val="FF0000"/>
          <w:sz w:val="24"/>
          <w:szCs w:val="24"/>
          <w:u w:val="single"/>
          <w:lang w:eastAsia="es-ES"/>
        </w:rPr>
        <w:t xml:space="preserve"> como única salida?</w:t>
      </w:r>
    </w:p>
    <w:p w:rsidR="00C96FE4" w:rsidRPr="00F274C3" w:rsidRDefault="00C96FE4"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color w:val="FF0000"/>
          <w:sz w:val="24"/>
          <w:szCs w:val="24"/>
          <w:u w:val="single"/>
          <w:lang w:eastAsia="es-ES"/>
        </w:rPr>
        <w:t>¿De quiénes? Si los banqueros que produjeron este desastre fueron y siguen siendo los principales asaltantes de bancos y son recompensados con millones de euros que les pagan como indemnización…</w:t>
      </w:r>
    </w:p>
    <w:p w:rsidR="00C96FE4" w:rsidRPr="00F274C3" w:rsidRDefault="00C96FE4" w:rsidP="00550638">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F274C3">
        <w:rPr>
          <w:rFonts w:ascii="Times New Roman" w:eastAsia="Times New Roman" w:hAnsi="Times New Roman"/>
          <w:b/>
          <w:color w:val="FF0000"/>
          <w:sz w:val="24"/>
          <w:szCs w:val="24"/>
          <w:u w:val="single"/>
          <w:lang w:eastAsia="es-ES"/>
        </w:rPr>
        <w:t>Es un mundo muy mentiroso y muy violento. Lo de la austeridad es un viejo discurso en América Latina. Asistimos a una obra de teatro que fue estrenada acá y que ya conocemos.</w:t>
      </w:r>
    </w:p>
    <w:p w:rsidR="00C96FE4" w:rsidRPr="00F274C3" w:rsidRDefault="00C96FE4" w:rsidP="00550638">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F274C3">
        <w:rPr>
          <w:rFonts w:ascii="Times New Roman" w:eastAsia="Times New Roman" w:hAnsi="Times New Roman"/>
          <w:b/>
          <w:color w:val="FF0000"/>
          <w:sz w:val="24"/>
          <w:szCs w:val="24"/>
          <w:u w:val="single"/>
          <w:lang w:eastAsia="es-ES"/>
        </w:rPr>
        <w:lastRenderedPageBreak/>
        <w:t>Sabemos todo: las fórmulas, las recetas mágicas, el Fondo Monetario Internacional, el Banco Mundial…</w:t>
      </w:r>
    </w:p>
    <w:p w:rsidR="00C96FE4" w:rsidRPr="00F274C3" w:rsidRDefault="00C96FE4"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F274C3">
        <w:rPr>
          <w:rFonts w:ascii="Times New Roman" w:eastAsia="Times New Roman" w:hAnsi="Times New Roman"/>
          <w:sz w:val="24"/>
          <w:szCs w:val="24"/>
          <w:u w:val="single"/>
          <w:lang w:eastAsia="es-ES"/>
        </w:rPr>
        <w:t>¿Considera que el empobrecimiento de la población es más violento?</w:t>
      </w:r>
    </w:p>
    <w:p w:rsidR="00C96FE4" w:rsidRPr="00F274C3" w:rsidRDefault="00C96FE4"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274C3">
        <w:rPr>
          <w:rFonts w:ascii="Times New Roman" w:eastAsia="Times New Roman" w:hAnsi="Times New Roman"/>
          <w:sz w:val="24"/>
          <w:szCs w:val="24"/>
          <w:u w:val="single"/>
          <w:lang w:eastAsia="es-ES"/>
        </w:rPr>
        <w:t xml:space="preserve">Si la lucha contra el terrorismo fuera verdadera y no una coartada para otros fines, </w:t>
      </w:r>
      <w:r w:rsidRPr="00F274C3">
        <w:rPr>
          <w:rFonts w:ascii="Times New Roman" w:eastAsia="Times New Roman" w:hAnsi="Times New Roman"/>
          <w:color w:val="FF0000"/>
          <w:sz w:val="24"/>
          <w:szCs w:val="24"/>
          <w:u w:val="single"/>
          <w:lang w:eastAsia="es-ES"/>
        </w:rPr>
        <w:t>tendríamos que empapelar el mundo con carteles que dijeran ‘se buscan a los secuestradores de países, a los exterminadores de salarios, a los asesinos de empleo, a los traficantes del miedo’, que son los más peligrosos porque te condenan a la parálisis.</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Este es un mundo que te doméstica para que desconfíes del prójimo, para que sea una amenaza y nunca una promesa.</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 alguien que te va a hacer daño y para eso hay que defenderse.</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Así se justifica la industria militar, nombre poético de la industria criminal.</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Eso es un ejemplo clarísimo de violencia</w:t>
      </w:r>
      <w:r>
        <w:rPr>
          <w:rFonts w:ascii="Times New Roman" w:eastAsia="Times New Roman" w:hAnsi="Times New Roman"/>
          <w:sz w:val="24"/>
          <w:szCs w:val="24"/>
          <w:lang w:eastAsia="es-ES"/>
        </w:rPr>
        <w:t>…</w:t>
      </w:r>
    </w:p>
    <w:p w:rsidR="00C96FE4" w:rsidRPr="0051592F" w:rsidRDefault="00C96FE4" w:rsidP="00550638">
      <w:pPr>
        <w:spacing w:before="100" w:beforeAutospacing="1" w:after="100" w:afterAutospacing="1" w:line="240" w:lineRule="auto"/>
        <w:jc w:val="both"/>
        <w:rPr>
          <w:rFonts w:ascii="Times New Roman" w:eastAsia="Times New Roman" w:hAnsi="Times New Roman"/>
          <w:sz w:val="24"/>
          <w:szCs w:val="24"/>
          <w:lang w:eastAsia="es-ES"/>
        </w:rPr>
      </w:pPr>
      <w:r w:rsidRPr="0051592F">
        <w:rPr>
          <w:rFonts w:ascii="Times New Roman" w:eastAsia="Times New Roman" w:hAnsi="Times New Roman"/>
          <w:sz w:val="24"/>
          <w:szCs w:val="24"/>
          <w:lang w:eastAsia="es-ES"/>
        </w:rPr>
        <w:t>El mundo actual es muy sorprendente.</w:t>
      </w:r>
    </w:p>
    <w:p w:rsidR="00C96FE4" w:rsidRPr="00E11D13" w:rsidRDefault="00C96FE4"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11D13">
        <w:rPr>
          <w:rFonts w:ascii="Times New Roman" w:eastAsia="Times New Roman" w:hAnsi="Times New Roman"/>
          <w:color w:val="FF0000"/>
          <w:sz w:val="24"/>
          <w:szCs w:val="24"/>
          <w:u w:val="single"/>
          <w:lang w:eastAsia="es-ES"/>
        </w:rPr>
        <w:t>La mayoría de los países europeos que parecía que estaban vacunados de los golpes de Estado son ahora gobiernos gobernados a manos de tecnócratas designados a dedo por Goldman &amp; Sachs y otras grandes empresas financieras que no han sido votadas por nadie.</w:t>
      </w:r>
    </w:p>
    <w:p w:rsidR="00C96FE4" w:rsidRDefault="00C96FE4"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E11D13">
        <w:rPr>
          <w:rFonts w:ascii="Times New Roman" w:eastAsia="Times New Roman" w:hAnsi="Times New Roman"/>
          <w:color w:val="FF0000"/>
          <w:sz w:val="24"/>
          <w:szCs w:val="24"/>
          <w:u w:val="single"/>
          <w:lang w:eastAsia="es-ES"/>
        </w:rPr>
        <w:t>Hasta el lenguaje lo refleja: los países, que se supone que son soberanos e independientes, tienen que hacer bien sus deberes como si fueran niños con tendencia a la mala conducta y los maestros son los tecnócratas que vienen a tirarte de las orejas</w:t>
      </w:r>
      <w:r>
        <w:rPr>
          <w:rFonts w:ascii="Times New Roman" w:eastAsia="Times New Roman" w:hAnsi="Times New Roman"/>
          <w:color w:val="FF0000"/>
          <w:sz w:val="24"/>
          <w:szCs w:val="24"/>
          <w:u w:val="single"/>
          <w:lang w:eastAsia="es-ES"/>
        </w:rPr>
        <w:t>…</w:t>
      </w:r>
    </w:p>
    <w:p w:rsidR="00C96FE4" w:rsidRPr="00BC7B6F" w:rsidRDefault="00C96FE4"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BC7B6F">
        <w:rPr>
          <w:rFonts w:ascii="Times New Roman" w:hAnsi="Times New Roman"/>
          <w:sz w:val="24"/>
          <w:szCs w:val="24"/>
          <w:u w:val="single"/>
        </w:rPr>
        <w:t>Camino de servidumbre, la derrota de la clase media</w:t>
      </w:r>
    </w:p>
    <w:p w:rsidR="00C96FE4" w:rsidRDefault="00C96FE4" w:rsidP="00550638">
      <w:pPr>
        <w:pStyle w:val="NormalWeb"/>
        <w:jc w:val="both"/>
      </w:pPr>
      <w:r>
        <w:t>Nuestros abuelos y nuestros padres trabajaron toda su vida. Honestamente. Desde la escuela enseñando, desde la fosa de la estación de servicio engrasando autos, como en el caso del padre de quien escribe estas líneas, desde la oficina o desde el puerto, desde el Taxi o la línea de montaje, desde el campo arriba del tractor o desde la lancha pesquera, desde el taller de metalurgia o el de carpintería, desde el reparto de diarios o la atención del bar:</w:t>
      </w:r>
    </w:p>
    <w:p w:rsidR="00C96FE4" w:rsidRDefault="00C96FE4" w:rsidP="00550638">
      <w:pPr>
        <w:pStyle w:val="NormalWeb"/>
        <w:jc w:val="both"/>
      </w:pPr>
      <w:r>
        <w:t>Trabajaron duro para darnos un futuro. Acaso no eran universitarios, pero sabían lo esencial: debíamos ser mejores que ellos.</w:t>
      </w:r>
    </w:p>
    <w:p w:rsidR="00C96FE4" w:rsidRDefault="00C96FE4" w:rsidP="00550638">
      <w:pPr>
        <w:pStyle w:val="NormalWeb"/>
        <w:jc w:val="both"/>
      </w:pPr>
      <w:r>
        <w:t>Nuestros padres no fueron buitres que esquilmaron gente mediante circulares bancarias. Antes bien, fueron sus víctimas.</w:t>
      </w:r>
    </w:p>
    <w:p w:rsidR="00C96FE4" w:rsidRDefault="00C96FE4" w:rsidP="00550638">
      <w:pPr>
        <w:pStyle w:val="NormalWeb"/>
        <w:jc w:val="both"/>
      </w:pPr>
      <w:r>
        <w:t>No fueron usureros que especulaban con las necesidades de los que menos tienen para obtener réditos económicos o confiscarles sus propiedades. No fueron aves de rapiña, como la señora presidente y su difunto esposo.</w:t>
      </w:r>
    </w:p>
    <w:p w:rsidR="00C96FE4" w:rsidRDefault="00C96FE4" w:rsidP="00550638">
      <w:pPr>
        <w:pStyle w:val="NormalWeb"/>
        <w:jc w:val="both"/>
      </w:pPr>
      <w:r>
        <w:lastRenderedPageBreak/>
        <w:t>Y lo único que quisieron es tener derechos en su edad final, para poder comprarles regalos a sus nietos, para poder pagar sus medicaciones, o para poder seguir ayudando al hijo al que las cosas no le marchan bien. En definitiva, querían que les permitan usar el dinero que ellos mismos habían entregado al estado durante todo su ciclo laboral útil, durante toda una vida.</w:t>
      </w:r>
    </w:p>
    <w:p w:rsidR="00C96FE4" w:rsidRDefault="00C96FE4" w:rsidP="00550638">
      <w:pPr>
        <w:pStyle w:val="NormalWeb"/>
        <w:jc w:val="both"/>
      </w:pPr>
      <w:r>
        <w:t>A ver si queda claro que lo que los viejos reclaman es su dinero, no la del estado ni el de los políticos. Es de ellos, les pertenece.</w:t>
      </w:r>
    </w:p>
    <w:p w:rsidR="00C96FE4" w:rsidRDefault="00C96FE4" w:rsidP="00550638">
      <w:pPr>
        <w:pStyle w:val="NormalWeb"/>
        <w:jc w:val="both"/>
      </w:pPr>
      <w:r>
        <w:t xml:space="preserve">Si </w:t>
      </w:r>
      <w:r w:rsidRPr="00BC7B6F">
        <w:rPr>
          <w:bCs/>
        </w:rPr>
        <w:t>Hayek</w:t>
      </w:r>
      <w:r>
        <w:t xml:space="preserve"> levantara la cabeza, renegaría de sus discípulos. Pasó su vida luchando por la libertad, denunciando los totalitarismos, el miedo al socialismo, en el peor sentido del término. Está siendo traicionado por aquellos que están inseminando de servidumbre Occidente, utilizando su prestigio y su ideario para cebar la codicia, el liberalismo salvaje, jamás el liberalismo, el crecimiento desbocado y depredador, la ley de la selva, el enriquecimiento ilícito, el derrumbe de la clase media, aquella que apuntala la palabra libertad. </w:t>
      </w:r>
    </w:p>
    <w:p w:rsidR="00C96FE4" w:rsidRDefault="00C96FE4" w:rsidP="00550638">
      <w:pPr>
        <w:pStyle w:val="NormalWeb"/>
        <w:jc w:val="both"/>
      </w:pPr>
      <w:r>
        <w:t>Para Hayek, liberalismo no era lo mismo que “</w:t>
      </w:r>
      <w:r w:rsidRPr="00BC7B6F">
        <w:rPr>
          <w:iCs/>
        </w:rPr>
        <w:t>laissez-faire</w:t>
      </w:r>
      <w:r>
        <w:rPr>
          <w:iCs/>
        </w:rPr>
        <w:t>”</w:t>
      </w:r>
      <w:r>
        <w:t xml:space="preserve">. No todo valía para él. Las instituciones debían cumplir un papel regulador garante de la libertad. Huía de toda economía dirigida que restringiera la competencia, no de la necesidad de regulación, cuando el libre mercado no era más que teórica quimera, en determinados sectores. </w:t>
      </w:r>
    </w:p>
    <w:p w:rsidR="00C96FE4" w:rsidRDefault="00C96FE4" w:rsidP="00550638">
      <w:pPr>
        <w:pStyle w:val="NormalWeb"/>
        <w:jc w:val="both"/>
      </w:pPr>
      <w:r>
        <w:t xml:space="preserve">Conocía muy bien la economía. La tendencia al monopolio que no había manera de limitar si no era mediante la actuación coactiva y justa de los Gobiernos, incluso enérgica, cuando razones estructurales impedían una justa lid comercial. </w:t>
      </w:r>
    </w:p>
    <w:p w:rsidR="00C96FE4" w:rsidRDefault="00C96FE4" w:rsidP="00550638">
      <w:pPr>
        <w:pStyle w:val="NormalWeb"/>
        <w:jc w:val="both"/>
      </w:pPr>
      <w:r>
        <w:t>Tales monopolios, que antes de la entrada en la UE estaban razonablemente regulados, se han convertido en odiosos oligopolios bendecidos por aquellos que supuestamente defienden la libertad de mercado, que son financiados por ellos de manera camuflada o indirecta, protegidos por Gobiernos y patricios.</w:t>
      </w:r>
    </w:p>
    <w:p w:rsidR="00C96FE4" w:rsidRDefault="00C96FE4" w:rsidP="00550638">
      <w:pPr>
        <w:pStyle w:val="NormalWeb"/>
        <w:jc w:val="both"/>
      </w:pPr>
      <w:r>
        <w:t xml:space="preserve">Es </w:t>
      </w:r>
      <w:r w:rsidRPr="0080584F">
        <w:rPr>
          <w:bCs/>
        </w:rPr>
        <w:t>Keynes</w:t>
      </w:r>
      <w:r>
        <w:t xml:space="preserve"> el mayor colaborador involuntario del apesadumbrado </w:t>
      </w:r>
      <w:r w:rsidRPr="0080584F">
        <w:rPr>
          <w:bCs/>
        </w:rPr>
        <w:t>Hayek</w:t>
      </w:r>
      <w:r>
        <w:t xml:space="preserve"> en este atribulado escenario. No él, faltaría más, sino sus “falsos” seguidores. Son estos últimos los que, atizando la creencia de que insuflando crédito ilimitado en el sistema se crea riqueza al espolear el crecimiento económico, no consiguen más que taponar el hedor de las heces que supura el sistema financiero al hinchar la burbuja financiera, alargando de manera indecorosa la agonía: llámese </w:t>
      </w:r>
      <w:r w:rsidRPr="0080584F">
        <w:rPr>
          <w:iCs/>
        </w:rPr>
        <w:t>Quantitative Easing</w:t>
      </w:r>
      <w:r w:rsidRPr="0080584F">
        <w:t>,</w:t>
      </w:r>
      <w:r>
        <w:t xml:space="preserve"> rescate a entidades financieras o préstamos a gobiernos quebrados, prácticamente todos. Un bucle que se retroalimenta, engordando cada día más, hasta el día que haga </w:t>
      </w:r>
      <w:r w:rsidRPr="0080584F">
        <w:rPr>
          <w:iCs/>
        </w:rPr>
        <w:t>plaf</w:t>
      </w:r>
      <w:r w:rsidRPr="0080584F">
        <w:t>.</w:t>
      </w:r>
    </w:p>
    <w:p w:rsidR="00C96FE4" w:rsidRDefault="00C96FE4" w:rsidP="00550638">
      <w:pPr>
        <w:pStyle w:val="NormalWeb"/>
        <w:jc w:val="both"/>
      </w:pPr>
      <w:r w:rsidRPr="00E73B4C">
        <w:rPr>
          <w:bCs/>
        </w:rPr>
        <w:t>El dinero no llega a la economía real</w:t>
      </w:r>
      <w:r w:rsidRPr="00E73B4C">
        <w:t>.</w:t>
      </w:r>
      <w:r>
        <w:t xml:space="preserve"> No se benefician los ciudadanos. Su cada vez más escasa riqueza está siendo succionada a base de confiscación fiscal. Solo se insufla vida a bancos zombis o a los odiosos oligopolios, los cuales, a cambio de tapar las miserias de los Gobiernos acaparando deuda pública impagable, haciendo de agencias de colocación de políticos cesantes, salen de rositas de este entuerto hinchando la burbuja del crédito. Reventará. </w:t>
      </w:r>
    </w:p>
    <w:p w:rsidR="00C96FE4" w:rsidRDefault="00C96FE4" w:rsidP="00550638">
      <w:pPr>
        <w:pStyle w:val="NormalWeb"/>
        <w:jc w:val="both"/>
      </w:pPr>
      <w:r>
        <w:t xml:space="preserve">Se han convertido los “falsos” keynesianos en tontos útiles al servicio de la ocluida libertad de mercado, el desguace de la libertad, la disolución de la clase media. Una de las causas es la infantilización de la sociedad, empezando por arriba. La conversión de </w:t>
      </w:r>
      <w:r>
        <w:lastRenderedPageBreak/>
        <w:t xml:space="preserve">las idílicas teorías económicas en ideologías. </w:t>
      </w:r>
      <w:r w:rsidRPr="004F1952">
        <w:t>¿</w:t>
      </w:r>
      <w:hyperlink r:id="rId531" w:history="1">
        <w:r w:rsidRPr="004F1952">
          <w:rPr>
            <w:rStyle w:val="Hipervnculo"/>
            <w:color w:val="auto"/>
            <w:u w:val="none"/>
          </w:rPr>
          <w:t>Equilibrio general</w:t>
        </w:r>
      </w:hyperlink>
      <w:r w:rsidRPr="004F1952">
        <w:t xml:space="preserve">? </w:t>
      </w:r>
      <w:r>
        <w:t xml:space="preserve">Una coña macabra que los economistas austriacos ya denunciaron. </w:t>
      </w:r>
    </w:p>
    <w:p w:rsidR="00C96FE4" w:rsidRDefault="00C96FE4" w:rsidP="00550638">
      <w:pPr>
        <w:pStyle w:val="NormalWeb"/>
        <w:jc w:val="both"/>
      </w:pPr>
      <w:r>
        <w:t>Nadie es culpable de nada: la sociedad parece dirigida por encapuchados. Los políticos, los economistas y los banqueros que nos han conducido hasta aquí nos hacen creer que son anónimos los causantes del desbarajuste, para no tomar medidas ejemplarizantes o mandarlos a paseo.</w:t>
      </w:r>
    </w:p>
    <w:p w:rsidR="00C96FE4" w:rsidRPr="0080584F" w:rsidRDefault="00C96FE4" w:rsidP="00550638">
      <w:pPr>
        <w:pStyle w:val="NormalWeb"/>
        <w:jc w:val="both"/>
      </w:pPr>
      <w:r>
        <w:t xml:space="preserve">Hasta no hace mucho, estos últimos eran responsables con su patrimonio del quebranto que causaban. </w:t>
      </w:r>
      <w:r w:rsidRPr="0080584F">
        <w:rPr>
          <w:bCs/>
        </w:rPr>
        <w:t>John Pierpont Morgan</w:t>
      </w:r>
      <w:r w:rsidRPr="0080584F">
        <w:t xml:space="preserve"> y sus socios respondían con sus bienes de los créditos que otorgaba su banca, </w:t>
      </w:r>
      <w:r w:rsidRPr="0080584F">
        <w:rPr>
          <w:bCs/>
        </w:rPr>
        <w:t>J.P. Morgan</w:t>
      </w:r>
      <w:r w:rsidRPr="0080584F">
        <w:t xml:space="preserve">. Los socios de </w:t>
      </w:r>
      <w:r w:rsidRPr="0080584F">
        <w:rPr>
          <w:bCs/>
        </w:rPr>
        <w:t>Goldman Sachs</w:t>
      </w:r>
      <w:r w:rsidRPr="0080584F">
        <w:t xml:space="preserve"> eran individuos cuya responsabilidad personal era ilimitada en caso de quebranto a la sociedad. Los aristocráticos “</w:t>
      </w:r>
      <w:r w:rsidRPr="0080584F">
        <w:rPr>
          <w:iCs/>
        </w:rPr>
        <w:t>names”</w:t>
      </w:r>
      <w:r w:rsidRPr="0080584F">
        <w:t xml:space="preserve"> del </w:t>
      </w:r>
      <w:r w:rsidRPr="0080584F">
        <w:rPr>
          <w:bCs/>
        </w:rPr>
        <w:t xml:space="preserve">Lloyd´s </w:t>
      </w:r>
      <w:r w:rsidRPr="0080584F">
        <w:t xml:space="preserve">de Londres taparon de su bolsillo un envenenado agujero en los seguros hace apenas veinte años. Algunos se fueron al garete pecuniario. </w:t>
      </w:r>
    </w:p>
    <w:p w:rsidR="00C96FE4" w:rsidRDefault="00C96FE4" w:rsidP="00550638">
      <w:pPr>
        <w:pStyle w:val="NormalWeb"/>
        <w:jc w:val="both"/>
      </w:pPr>
      <w:r w:rsidRPr="0080584F">
        <w:rPr>
          <w:bCs/>
        </w:rPr>
        <w:t>Banquero y confianza eran la misma cosa</w:t>
      </w:r>
      <w:r>
        <w:t xml:space="preserve">. A cambio de responder con sus bienes, tomaban decisiones con sensatez y sabiduría, exigían rigor a los prestatarios, desaconsejaban a los temerarios. Gozaban de reconocimiento y prestigio. Igualito que ahora. Los bancos quebraban, era ley de vida. No pasaba nada, y algunos financieros se arruinaban. Sabían a lo que se exponían. </w:t>
      </w:r>
    </w:p>
    <w:p w:rsidR="00C96FE4" w:rsidRDefault="00C96FE4" w:rsidP="00550638">
      <w:pPr>
        <w:pStyle w:val="NormalWeb"/>
        <w:jc w:val="both"/>
      </w:pPr>
      <w:r>
        <w:t>Tales limitaciones no impidieron que, tanto EEUU como el Reino Unido, la clase media de todo Occidente se expandiera durante el siglo XX a pesar de cataclismos autoritarios, de nacionalismos transmutados en locura colectiva, como los que rememoramos en costado herido.</w:t>
      </w:r>
    </w:p>
    <w:p w:rsidR="00C96FE4" w:rsidRDefault="00C96FE4" w:rsidP="00550638">
      <w:pPr>
        <w:pStyle w:val="NormalWeb"/>
        <w:jc w:val="both"/>
      </w:pPr>
      <w:r>
        <w:t>Nadie en las cajas de ahorros o bancos de cualquier parte del mundo, salvo en Islandia,  y un “poquito” en EEUU (Madoff, Stanford y un par de “perejiles”), acabaron en la cárcel. Si hubo precedentes, ¿por qué no se aplica el mismo rasero a los responsables del desastre reciente, acabando con su impunidad?</w:t>
      </w:r>
    </w:p>
    <w:p w:rsidR="00C96FE4" w:rsidRDefault="00C96FE4" w:rsidP="00550638">
      <w:pPr>
        <w:pStyle w:val="NormalWeb"/>
        <w:jc w:val="both"/>
      </w:pPr>
      <w:r w:rsidRPr="00E73B4C">
        <w:rPr>
          <w:bCs/>
        </w:rPr>
        <w:t>Occidente está quebrado</w:t>
      </w:r>
      <w:r>
        <w:t xml:space="preserve">. La </w:t>
      </w:r>
      <w:hyperlink r:id="rId532" w:history="1">
        <w:r w:rsidRPr="004F1952">
          <w:rPr>
            <w:rStyle w:val="Hipervnculo"/>
            <w:color w:val="auto"/>
            <w:u w:val="none"/>
          </w:rPr>
          <w:t>deuda total</w:t>
        </w:r>
      </w:hyperlink>
      <w:r>
        <w:t xml:space="preserve"> de cualquier país (pública + familias + empresas + bancaria) oscila entre un 300 y un 500% del PIB. Japón y Gran Bretaña se llevan la palma. España sigue a distancia, en la parte baja del listón, no muy lejos de EEUU, Francia, Italia e incluso Alemania. En época de la Gran Depresión, el nivel apenas superaba el 150%. </w:t>
      </w:r>
    </w:p>
    <w:p w:rsidR="00C96FE4" w:rsidRDefault="00C96FE4" w:rsidP="00550638">
      <w:pPr>
        <w:pStyle w:val="NormalWeb"/>
        <w:jc w:val="both"/>
      </w:pPr>
      <w:r>
        <w:t>El crecimiento económico de los últimos setenta años se ha realizado mediante endeudamiento que no se podrá cancelar a causa del envejecimiento de la población. Es la burbuja definitiva que acompañará en su deflagración a la burbuja medioambiental y los desencuentros con el manido cambio climático.</w:t>
      </w:r>
    </w:p>
    <w:p w:rsidR="00C96FE4" w:rsidRDefault="00C96FE4" w:rsidP="00550638">
      <w:pPr>
        <w:pStyle w:val="NormalWeb"/>
        <w:jc w:val="both"/>
      </w:pPr>
      <w:r>
        <w:t>Antiguamente, el deudor se convertía en esclavo. Hoy, la clase media garante de la libertad, la igualdad y la fraternidad, guardiana de los valores de la Ilustración, pagadora última de la deuda del estado, está desapareciendo, retornando a estado servil, aunque disfrute de Internet. ¿Quién liquidará las deudas, quién pagará las pensiones cuando el castillo de naipes se quede sin inquilinos porque han descendido a tropel un escalón y ande con cachava el resto?</w:t>
      </w:r>
    </w:p>
    <w:p w:rsidR="00C96FE4" w:rsidRDefault="00C96FE4" w:rsidP="00550638">
      <w:pPr>
        <w:pStyle w:val="NormalWeb"/>
        <w:jc w:val="both"/>
      </w:pPr>
      <w:r>
        <w:lastRenderedPageBreak/>
        <w:t>Los culpables últimos, camuflados, “</w:t>
      </w:r>
      <w:r w:rsidRPr="00E73B4C">
        <w:rPr>
          <w:rStyle w:val="nfasis"/>
          <w:i w:val="0"/>
        </w:rPr>
        <w:t>lobbies</w:t>
      </w:r>
      <w:r>
        <w:rPr>
          <w:rStyle w:val="nfasis"/>
          <w:i w:val="0"/>
        </w:rPr>
        <w:t>”</w:t>
      </w:r>
      <w:r>
        <w:t xml:space="preserve"> los llaman, se podrían desenmascarar si hubiese interés. Actúan amparados en teorías económicas delirantes (algunas premiadas con el Nobel), a la par que neoclásicas. No fue difícil identificarlos en época de Hayek. Ahora están enquistados en las entrañas de su memoria carcomiendo la academia y la razón. </w:t>
      </w:r>
    </w:p>
    <w:p w:rsidR="00C96FE4" w:rsidRDefault="00C96FE4" w:rsidP="00550638">
      <w:pPr>
        <w:pStyle w:val="NormalWeb"/>
        <w:jc w:val="both"/>
      </w:pPr>
      <w:r>
        <w:t xml:space="preserve">Nadie quiere detener la debacle, reconducir un sistema educativo orientado exclusivamente a cebar contaminante productividad, que abjura del conocimiento, el discernimiento, el raciocinio y las letras. Interesa crear inertes masas tituladas, escasamente instruidas a causa de un igualitarismo castrador, orientadas a laborar de manera acrítica a cambio de vil subempleo, en vez de formar ciudadanos ilustrados. La filosofía, el arte, la nobleza, la cultura, el tesón, la belleza, la sensatez, la razón han claudicado. Sin clase media, la libertad desaparece: será el suicidio de Occidente. </w:t>
      </w:r>
    </w:p>
    <w:p w:rsidR="00C96FE4" w:rsidRDefault="00C96FE4" w:rsidP="00550638">
      <w:pPr>
        <w:pStyle w:val="NormalWeb"/>
        <w:jc w:val="both"/>
      </w:pPr>
      <w:r>
        <w:t>La socialdemocracia a veces cerril, que apuntaló la clase media en Europa y de alguna manera en los Estados Unidos de Roosevelt, que se desarrolló como reacción al socialismo a la manera nazi o bolchevique que tanto temía Hayek ha desaparecido sin dejar rastro, sin haber sido capaz de ponerse al día. Una gran desgracia hasta para aquellos que no comulgaban con ella.</w:t>
      </w:r>
    </w:p>
    <w:p w:rsidR="00C96FE4" w:rsidRDefault="00C96FE4" w:rsidP="00550638">
      <w:pPr>
        <w:pStyle w:val="NormalWeb"/>
        <w:jc w:val="both"/>
      </w:pPr>
      <w:r>
        <w:t xml:space="preserve">No hay alternativa al expolio de la ciudadanía. El drama, uno de ellos, es que siguen tomando las decisiones aquellos que crearon los problemas. En España y en el resto de Occidente, Lehman Brothers </w:t>
      </w:r>
      <w:r w:rsidRPr="00E73B4C">
        <w:rPr>
          <w:iCs/>
        </w:rPr>
        <w:t>dixit</w:t>
      </w:r>
      <w:r w:rsidR="004F1952">
        <w:t>…</w:t>
      </w:r>
      <w:r>
        <w:t xml:space="preserve"> </w:t>
      </w:r>
    </w:p>
    <w:p w:rsidR="00164F4F" w:rsidRDefault="00164F4F" w:rsidP="00550638">
      <w:pPr>
        <w:spacing w:line="240" w:lineRule="auto"/>
        <w:jc w:val="both"/>
        <w:rPr>
          <w:rFonts w:ascii="Times New Roman" w:hAnsi="Times New Roman"/>
          <w:b/>
          <w:sz w:val="24"/>
          <w:szCs w:val="24"/>
        </w:rPr>
      </w:pPr>
      <w:r w:rsidRPr="004B37A3">
        <w:rPr>
          <w:rFonts w:ascii="Times New Roman" w:hAnsi="Times New Roman"/>
          <w:b/>
          <w:sz w:val="24"/>
          <w:szCs w:val="24"/>
        </w:rPr>
        <w:t xml:space="preserve">El </w:t>
      </w:r>
      <w:r>
        <w:rPr>
          <w:rFonts w:ascii="Times New Roman" w:hAnsi="Times New Roman"/>
          <w:b/>
          <w:sz w:val="24"/>
          <w:szCs w:val="24"/>
        </w:rPr>
        <w:t>(</w:t>
      </w:r>
      <w:r w:rsidRPr="004B37A3">
        <w:rPr>
          <w:rFonts w:ascii="Times New Roman" w:hAnsi="Times New Roman"/>
          <w:b/>
          <w:sz w:val="24"/>
          <w:szCs w:val="24"/>
        </w:rPr>
        <w:t>im</w:t>
      </w:r>
      <w:r>
        <w:rPr>
          <w:rFonts w:ascii="Times New Roman" w:hAnsi="Times New Roman"/>
          <w:b/>
          <w:sz w:val="24"/>
          <w:szCs w:val="24"/>
        </w:rPr>
        <w:t>)</w:t>
      </w:r>
      <w:r w:rsidRPr="004B37A3">
        <w:rPr>
          <w:rFonts w:ascii="Times New Roman" w:hAnsi="Times New Roman"/>
          <w:b/>
          <w:sz w:val="24"/>
          <w:szCs w:val="24"/>
        </w:rPr>
        <w:t>predecible futuro de las pensiones</w:t>
      </w:r>
      <w:r>
        <w:rPr>
          <w:rFonts w:ascii="Times New Roman" w:hAnsi="Times New Roman"/>
          <w:b/>
          <w:sz w:val="24"/>
          <w:szCs w:val="24"/>
        </w:rPr>
        <w:t xml:space="preserve"> (la trampa millonaria)</w:t>
      </w:r>
    </w:p>
    <w:p w:rsidR="00164F4F" w:rsidRPr="008650D8" w:rsidRDefault="004F1952" w:rsidP="00550638">
      <w:pPr>
        <w:spacing w:line="240" w:lineRule="auto"/>
        <w:jc w:val="both"/>
        <w:rPr>
          <w:rFonts w:ascii="Times New Roman" w:hAnsi="Times New Roman"/>
          <w:b/>
          <w:sz w:val="24"/>
          <w:szCs w:val="24"/>
        </w:rPr>
      </w:pPr>
      <w:r>
        <w:rPr>
          <w:rFonts w:ascii="Times New Roman" w:eastAsia="Times New Roman" w:hAnsi="Times New Roman"/>
          <w:b/>
          <w:sz w:val="24"/>
          <w:szCs w:val="24"/>
          <w:lang w:eastAsia="es-ES"/>
        </w:rPr>
        <w:t>Érase</w:t>
      </w:r>
      <w:r w:rsidR="00164F4F">
        <w:rPr>
          <w:rFonts w:ascii="Times New Roman" w:eastAsia="Times New Roman" w:hAnsi="Times New Roman"/>
          <w:b/>
          <w:sz w:val="24"/>
          <w:szCs w:val="24"/>
          <w:lang w:eastAsia="es-ES"/>
        </w:rPr>
        <w:t xml:space="preserve"> una vez… un cuento hecho bostezo</w:t>
      </w:r>
    </w:p>
    <w:p w:rsidR="00164F4F" w:rsidRDefault="00164F4F" w:rsidP="00550638">
      <w:pPr>
        <w:spacing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Nada por aquí</w:t>
      </w:r>
      <w:r w:rsidRPr="00556249">
        <w:rPr>
          <w:rFonts w:ascii="Times New Roman" w:eastAsia="Times New Roman" w:hAnsi="Times New Roman"/>
          <w:b/>
          <w:sz w:val="24"/>
          <w:szCs w:val="24"/>
          <w:lang w:eastAsia="es-ES"/>
        </w:rPr>
        <w:t>…</w:t>
      </w:r>
      <w:r>
        <w:rPr>
          <w:rFonts w:ascii="Times New Roman" w:eastAsia="Times New Roman" w:hAnsi="Times New Roman"/>
          <w:b/>
          <w:sz w:val="24"/>
          <w:szCs w:val="24"/>
          <w:lang w:eastAsia="es-ES"/>
        </w:rPr>
        <w:t xml:space="preserve"> nada por allá</w:t>
      </w:r>
      <w:r w:rsidRPr="00556249">
        <w:rPr>
          <w:rFonts w:ascii="Times New Roman" w:eastAsia="Times New Roman" w:hAnsi="Times New Roman"/>
          <w:b/>
          <w:sz w:val="24"/>
          <w:szCs w:val="24"/>
          <w:lang w:eastAsia="es-ES"/>
        </w:rPr>
        <w:t>…</w:t>
      </w:r>
      <w:r>
        <w:rPr>
          <w:rFonts w:ascii="Times New Roman" w:eastAsia="Times New Roman" w:hAnsi="Times New Roman"/>
          <w:b/>
          <w:sz w:val="24"/>
          <w:szCs w:val="24"/>
          <w:lang w:eastAsia="es-ES"/>
        </w:rPr>
        <w:t xml:space="preserve"> (el fin de las falsas promesas)</w:t>
      </w:r>
    </w:p>
    <w:p w:rsidR="00164F4F" w:rsidRPr="0052717D" w:rsidRDefault="004F1952" w:rsidP="00550638">
      <w:pPr>
        <w:spacing w:line="240" w:lineRule="auto"/>
        <w:jc w:val="both"/>
        <w:rPr>
          <w:rFonts w:ascii="Times New Roman" w:hAnsi="Times New Roman"/>
          <w:b/>
          <w:sz w:val="24"/>
          <w:szCs w:val="24"/>
        </w:rPr>
      </w:pPr>
      <w:r w:rsidRPr="004F1952">
        <w:rPr>
          <w:rFonts w:ascii="Times New Roman" w:hAnsi="Times New Roman"/>
          <w:sz w:val="24"/>
          <w:szCs w:val="24"/>
        </w:rPr>
        <w:t xml:space="preserve">Del </w:t>
      </w:r>
      <w:r w:rsidR="00164F4F" w:rsidRPr="004F1952">
        <w:rPr>
          <w:rFonts w:ascii="Times New Roman" w:hAnsi="Times New Roman"/>
          <w:sz w:val="24"/>
          <w:szCs w:val="24"/>
        </w:rPr>
        <w:t>Paper</w:t>
      </w:r>
      <w:r w:rsidR="00164F4F">
        <w:rPr>
          <w:rFonts w:ascii="Times New Roman" w:hAnsi="Times New Roman"/>
          <w:b/>
          <w:sz w:val="24"/>
          <w:szCs w:val="24"/>
        </w:rPr>
        <w:t xml:space="preserve"> - Del desempleo estructural al conflicto intergeneracional</w:t>
      </w:r>
      <w:r w:rsidR="00164F4F">
        <w:rPr>
          <w:b/>
        </w:rPr>
        <w:t xml:space="preserve"> </w:t>
      </w:r>
      <w:r w:rsidR="00164F4F">
        <w:rPr>
          <w:rFonts w:ascii="Times New Roman" w:hAnsi="Times New Roman"/>
          <w:b/>
          <w:sz w:val="24"/>
          <w:szCs w:val="24"/>
        </w:rPr>
        <w:t>(15/5/11)</w:t>
      </w:r>
      <w:r w:rsidR="00882D3E">
        <w:rPr>
          <w:rFonts w:ascii="Times New Roman" w:hAnsi="Times New Roman"/>
          <w:b/>
          <w:sz w:val="24"/>
          <w:szCs w:val="24"/>
        </w:rPr>
        <w:t>:</w:t>
      </w:r>
    </w:p>
    <w:p w:rsidR="00164F4F" w:rsidRPr="006A122D" w:rsidRDefault="00164F4F" w:rsidP="00550638">
      <w:pPr>
        <w:pStyle w:val="NormalWeb"/>
        <w:jc w:val="both"/>
        <w:rPr>
          <w:b/>
        </w:rPr>
      </w:pPr>
      <w:r>
        <w:rPr>
          <w:b/>
        </w:rPr>
        <w:t>Un amargo despertar (y el “fusilamiento” del Estado de bienestar)</w:t>
      </w:r>
    </w:p>
    <w:p w:rsidR="00164F4F" w:rsidRPr="00C22CF8" w:rsidRDefault="00164F4F" w:rsidP="00550638">
      <w:pPr>
        <w:spacing w:line="240" w:lineRule="auto"/>
        <w:jc w:val="both"/>
        <w:rPr>
          <w:rFonts w:ascii="Times New Roman" w:hAnsi="Times New Roman"/>
          <w:sz w:val="24"/>
          <w:szCs w:val="24"/>
        </w:rPr>
      </w:pPr>
      <w:r>
        <w:rPr>
          <w:rFonts w:ascii="Times New Roman" w:hAnsi="Times New Roman"/>
          <w:i/>
          <w:sz w:val="24"/>
          <w:szCs w:val="24"/>
        </w:rPr>
        <w:t>“</w:t>
      </w:r>
      <w:r w:rsidRPr="00E91B54">
        <w:rPr>
          <w:rFonts w:ascii="Times New Roman" w:hAnsi="Times New Roman"/>
          <w:i/>
          <w:sz w:val="24"/>
          <w:szCs w:val="24"/>
        </w:rPr>
        <w:t>Si hay una característica que definía a los norteamericanos era el optimismo. El sueño americano, la creencia de que cualquiera podía llegar a donde quisiera a base de trabajo, ha sido uno de los mitos fundamentales de su historia. Ahora, apenas uno de cada cuatro mantiene la ilusión</w:t>
      </w:r>
      <w:r>
        <w:rPr>
          <w:rFonts w:ascii="Times New Roman" w:hAnsi="Times New Roman"/>
          <w:i/>
          <w:sz w:val="24"/>
          <w:szCs w:val="24"/>
        </w:rPr>
        <w:t>”..</w:t>
      </w:r>
      <w:r w:rsidRPr="00E91B54">
        <w:rPr>
          <w:rFonts w:ascii="Times New Roman" w:hAnsi="Times New Roman"/>
          <w:i/>
          <w:sz w:val="24"/>
          <w:szCs w:val="24"/>
        </w:rPr>
        <w:t>.</w:t>
      </w:r>
      <w:r>
        <w:rPr>
          <w:rFonts w:ascii="Times New Roman" w:hAnsi="Times New Roman"/>
          <w:i/>
          <w:sz w:val="24"/>
          <w:szCs w:val="24"/>
        </w:rPr>
        <w:t xml:space="preserve"> </w:t>
      </w:r>
      <w:r w:rsidRPr="00BC37B9">
        <w:rPr>
          <w:rFonts w:ascii="Times New Roman" w:hAnsi="Times New Roman"/>
          <w:sz w:val="24"/>
          <w:szCs w:val="24"/>
          <w:u w:val="single"/>
        </w:rPr>
        <w:t>Los estadounidenses dejan de creer en el sueño americano</w:t>
      </w:r>
      <w:r>
        <w:rPr>
          <w:rFonts w:ascii="Times New Roman" w:hAnsi="Times New Roman"/>
          <w:sz w:val="24"/>
          <w:szCs w:val="24"/>
        </w:rPr>
        <w:t xml:space="preserve"> (Libertad Digital - </w:t>
      </w:r>
      <w:r w:rsidRPr="00BC37B9">
        <w:rPr>
          <w:rFonts w:ascii="Times New Roman" w:hAnsi="Times New Roman"/>
          <w:b/>
          <w:sz w:val="24"/>
          <w:szCs w:val="24"/>
        </w:rPr>
        <w:t>2/10/10</w:t>
      </w:r>
      <w:r>
        <w:rPr>
          <w:rFonts w:ascii="Times New Roman" w:hAnsi="Times New Roman"/>
          <w:sz w:val="24"/>
          <w:szCs w:val="24"/>
        </w:rPr>
        <w:t>)</w:t>
      </w:r>
    </w:p>
    <w:p w:rsidR="00164F4F" w:rsidRPr="00E91B54" w:rsidRDefault="00164F4F" w:rsidP="00550638">
      <w:pPr>
        <w:spacing w:line="240" w:lineRule="auto"/>
        <w:jc w:val="both"/>
        <w:rPr>
          <w:rFonts w:ascii="Times New Roman" w:hAnsi="Times New Roman"/>
          <w:sz w:val="24"/>
          <w:szCs w:val="24"/>
        </w:rPr>
      </w:pPr>
      <w:r>
        <w:rPr>
          <w:rFonts w:ascii="Times New Roman" w:hAnsi="Times New Roman"/>
          <w:i/>
          <w:sz w:val="24"/>
          <w:szCs w:val="24"/>
        </w:rPr>
        <w:t>“</w:t>
      </w:r>
      <w:r w:rsidRPr="00E91B54">
        <w:rPr>
          <w:rFonts w:ascii="Times New Roman" w:hAnsi="Times New Roman"/>
          <w:i/>
          <w:sz w:val="24"/>
          <w:szCs w:val="24"/>
        </w:rPr>
        <w:t>El Gobierno británico llevará a cabo una gran revisión del sistema de prestaciones sociales con el objetivo de simplificarlo y de promover la cultura del trabajo frente a la cultura del subsidio, según los planes del ministerio de Economía</w:t>
      </w:r>
      <w:r>
        <w:rPr>
          <w:rFonts w:ascii="Times New Roman" w:hAnsi="Times New Roman"/>
          <w:i/>
          <w:sz w:val="24"/>
          <w:szCs w:val="24"/>
        </w:rPr>
        <w:t>”..</w:t>
      </w:r>
      <w:r w:rsidRPr="00E91B54">
        <w:rPr>
          <w:rFonts w:ascii="Times New Roman" w:hAnsi="Times New Roman"/>
          <w:i/>
          <w:sz w:val="24"/>
          <w:szCs w:val="24"/>
        </w:rPr>
        <w:t>.</w:t>
      </w:r>
      <w:r>
        <w:rPr>
          <w:rFonts w:ascii="Times New Roman" w:hAnsi="Times New Roman"/>
          <w:i/>
          <w:sz w:val="24"/>
          <w:szCs w:val="24"/>
        </w:rPr>
        <w:t xml:space="preserve"> </w:t>
      </w:r>
      <w:r w:rsidRPr="00ED4436">
        <w:rPr>
          <w:rFonts w:ascii="Times New Roman" w:hAnsi="Times New Roman"/>
          <w:sz w:val="24"/>
          <w:szCs w:val="24"/>
          <w:u w:val="single"/>
        </w:rPr>
        <w:t>El Gobierno británico anuncia una gran revisión de las prestaciones sociales</w:t>
      </w:r>
      <w:r>
        <w:rPr>
          <w:rFonts w:ascii="Times New Roman" w:hAnsi="Times New Roman"/>
          <w:sz w:val="24"/>
          <w:szCs w:val="24"/>
        </w:rPr>
        <w:t xml:space="preserve"> El Economista - </w:t>
      </w:r>
      <w:r w:rsidRPr="00ED4436">
        <w:rPr>
          <w:rFonts w:ascii="Times New Roman" w:hAnsi="Times New Roman"/>
          <w:b/>
          <w:sz w:val="24"/>
          <w:szCs w:val="24"/>
        </w:rPr>
        <w:t>2/10/10</w:t>
      </w:r>
      <w:r>
        <w:rPr>
          <w:rFonts w:ascii="Times New Roman" w:hAnsi="Times New Roman"/>
          <w:sz w:val="24"/>
          <w:szCs w:val="24"/>
        </w:rPr>
        <w:t>)</w:t>
      </w:r>
    </w:p>
    <w:p w:rsidR="00164F4F" w:rsidRDefault="00164F4F" w:rsidP="00550638">
      <w:pPr>
        <w:pStyle w:val="NormalWeb"/>
        <w:jc w:val="both"/>
      </w:pPr>
      <w:r>
        <w:rPr>
          <w:i/>
        </w:rPr>
        <w:t>“</w:t>
      </w:r>
      <w:r w:rsidRPr="00F44682">
        <w:rPr>
          <w:i/>
        </w:rPr>
        <w:t xml:space="preserve">Generalmente es más fácil ver el principio de algo que su fin. El Estado de bienestar, que nació en 1945 en la Gran Bretaña de la posguerra, llegó a su fin esta semana, cuando George Osborne, Ministro de Finanzas del Reino Unido, rechazó el concepto del “beneficio universal”, la idea de que todos, no sólo los pobres, deben beneficiarse </w:t>
      </w:r>
      <w:r w:rsidRPr="00F44682">
        <w:rPr>
          <w:i/>
        </w:rPr>
        <w:lastRenderedPageBreak/>
        <w:t>de la protección social</w:t>
      </w:r>
      <w:r>
        <w:rPr>
          <w:i/>
        </w:rPr>
        <w:t>”..</w:t>
      </w:r>
      <w:r w:rsidRPr="00F44682">
        <w:rPr>
          <w:i/>
        </w:rPr>
        <w:t>.</w:t>
      </w:r>
      <w:r>
        <w:rPr>
          <w:color w:val="FF0000"/>
        </w:rPr>
        <w:t xml:space="preserve"> </w:t>
      </w:r>
      <w:r w:rsidRPr="00CF0303">
        <w:rPr>
          <w:u w:val="single"/>
        </w:rPr>
        <w:t>Descanse en paz el Estado de bienestar</w:t>
      </w:r>
      <w:r>
        <w:t xml:space="preserve"> (Guy Sorman - Project Syndicate - </w:t>
      </w:r>
      <w:r w:rsidRPr="00CF0303">
        <w:rPr>
          <w:b/>
        </w:rPr>
        <w:t>8/10/10</w:t>
      </w:r>
      <w:r>
        <w:t xml:space="preserve">)  </w:t>
      </w:r>
    </w:p>
    <w:p w:rsidR="00164F4F" w:rsidRDefault="00164F4F" w:rsidP="00550638">
      <w:pPr>
        <w:pStyle w:val="NormalWeb"/>
        <w:jc w:val="both"/>
        <w:rPr>
          <w:b/>
        </w:rPr>
      </w:pPr>
      <w:r>
        <w:rPr>
          <w:b/>
        </w:rPr>
        <w:t>Cuando el empobrecimiento de los pensionistas, se considera un</w:t>
      </w:r>
      <w:r w:rsidRPr="00517DBA">
        <w:rPr>
          <w:b/>
        </w:rPr>
        <w:t xml:space="preserve"> </w:t>
      </w:r>
      <w:r>
        <w:rPr>
          <w:b/>
        </w:rPr>
        <w:t>“daño colateral”</w:t>
      </w:r>
    </w:p>
    <w:p w:rsidR="00164F4F" w:rsidRDefault="00164F4F" w:rsidP="00550638">
      <w:pPr>
        <w:pStyle w:val="NormalWeb"/>
        <w:jc w:val="both"/>
        <w:rPr>
          <w:b/>
        </w:rPr>
      </w:pPr>
      <w:r>
        <w:rPr>
          <w:b/>
        </w:rPr>
        <w:t>He querido dejar que los jóvenes economistas hablaran primero. Graduados “cum laude” en las mejores universidades del mundo, distinguidos catedráticos, académicos de prestigio, con libros, informes, estudios, conferencias, congresos y ponencias que respaldan sus opiniones. Economistas, actuarios, matemáticos, estadísticos, ingenieros sociales. En fin, la juventud mejor formada de la historia…</w:t>
      </w:r>
    </w:p>
    <w:p w:rsidR="00164F4F" w:rsidRDefault="00164F4F" w:rsidP="00550638">
      <w:pPr>
        <w:pStyle w:val="NormalWeb"/>
        <w:jc w:val="both"/>
        <w:rPr>
          <w:b/>
        </w:rPr>
      </w:pPr>
      <w:r>
        <w:rPr>
          <w:b/>
        </w:rPr>
        <w:t xml:space="preserve">Pues para estos distinguidos “eruditos”, si es que yo he entendido bien, la solución para casi todos los males económicos de las sociedades desarrolladas pasa por “atrasar la edad de jubilación”… “reducir las pensiones”… “que se trabaje hasta la muerte o hasta muy (muy) cerca de ella”. Así los números cuadran, los actuarios se quedan tranquilos, el déficit y el endeudamiento público alcanzan valores razonables. Un “mal de altura”, que puedo aceptar, pero no compartir. Perdón. </w:t>
      </w:r>
    </w:p>
    <w:p w:rsidR="00164F4F" w:rsidRDefault="00164F4F" w:rsidP="00550638">
      <w:pPr>
        <w:pStyle w:val="NormalWeb"/>
        <w:jc w:val="both"/>
        <w:rPr>
          <w:b/>
        </w:rPr>
      </w:pPr>
      <w:r>
        <w:rPr>
          <w:b/>
        </w:rPr>
        <w:t xml:space="preserve">En un sistema de reparto las aportaciones sociales de los trabajadores (población activa) sirven para sostener los pagos a los pensionistas (población pasiva). Si se reduce el número de trabajadores ocupados (aportantes) la “solución de equilibrio” que proponen algunos de estos “vegetarianos caníbales”, es acotar (proporcionalmente) la retribución a los pensionistas. Esto se puede hacer demorando el inicio del pago de las prestaciones (retrasando la edad de jubilación), o bien disminuyendo las prestaciones (o tal vez las dos cosas, como se insinúa o intenta denodadamente). De una relación 4 activos por 1 pasivo (antes de la globalización), se ha pasado a 2 activos por 1 pasivo (durante la globalización). Técnicamente impresentable, actuarialmente insostenible, económicamente ruinoso, financieramente insoportable, dogmáticamente irritante.  </w:t>
      </w:r>
    </w:p>
    <w:p w:rsidR="00164F4F" w:rsidRDefault="00164F4F" w:rsidP="00550638">
      <w:pPr>
        <w:pStyle w:val="NormalWeb"/>
        <w:jc w:val="both"/>
        <w:rPr>
          <w:b/>
        </w:rPr>
      </w:pPr>
      <w:r>
        <w:rPr>
          <w:b/>
        </w:rPr>
        <w:t>En mis épocas de estudiante (cuando aún se utilizaba la tiza y la pizarra) había “teoremas” que se demostraban por el absurdo (creo recordar). Para el caso de un “teorema de los jubilados”, sería interesante preguntar a estos “grandes bonetes” cómo balancearían las cuentas del sistema público de pensiones en el caso que la población activa continuara reduciéndose (que tal como van las cosas parece inevitable o al menos bastante previsible). El problema del paro se resolvería, reduciendo, o demorando las pensiones hasta el límite (“tendiendo al infinito”, dirían los matemáticos) o privatizando las pensiones (que sería la “solución final”, más apetecible para la banca)… ¿Y el “contrato social?... Qué contrato social. Eso es cosa de la historia y, como ya sabemos, estamos ante “el fin de la historia y el último hombre” (que… ¿será un pensionista?). O sea.</w:t>
      </w:r>
    </w:p>
    <w:p w:rsidR="00164F4F" w:rsidRDefault="00164F4F" w:rsidP="00550638">
      <w:pPr>
        <w:pStyle w:val="NormalWeb"/>
        <w:jc w:val="both"/>
        <w:rPr>
          <w:b/>
        </w:rPr>
      </w:pPr>
      <w:r>
        <w:rPr>
          <w:b/>
        </w:rPr>
        <w:t>Una demostración por el absurdo sería fusilar a los pensionistas. Si la economía no crece, si no se ocupan más trabajadores (para que con sus aportaciones puedan soportar el pago de las pensiones), la solución es “dejar morir o matar a los viejos”. Matar resulta más expeditivo (“crearía más valor”). Wall Street lo premiaría. Sería como cuando las acciones de una empresa suben su cotización, al anunciar un despido masivo de personal (cruento ejemplo del absurdo cortoplacista).</w:t>
      </w:r>
    </w:p>
    <w:p w:rsidR="00164F4F" w:rsidRDefault="00164F4F" w:rsidP="00550638">
      <w:pPr>
        <w:pStyle w:val="NormalWeb"/>
        <w:jc w:val="both"/>
        <w:rPr>
          <w:b/>
        </w:rPr>
      </w:pPr>
      <w:r>
        <w:rPr>
          <w:b/>
        </w:rPr>
        <w:lastRenderedPageBreak/>
        <w:t xml:space="preserve">Los “ángeles de la muerte” en los hospitales públicos serían como los brokers de la bolsa. Cuantos más viejitos “mandaran al otro mundo” mayores bonus. Les regalo la idea a los jóvenes economistas: el hospital “Dr. Drácula” ha mejorado su productividad, en el mes de enero firmaron el certificado de defunción de 320 personas que se acercaban peligrosamente a la edad de la jubilación. Al director médico se le asignaron las “stock options” proporcionales, el personal de enfermería ha doblado la paga extra y los médicos de la UVI recibieron los bonus correspondientes… El “mercado” premia la mayor competitividad del hospital.   </w:t>
      </w:r>
    </w:p>
    <w:p w:rsidR="00164F4F" w:rsidRDefault="00164F4F" w:rsidP="00550638">
      <w:pPr>
        <w:pStyle w:val="NormalWeb"/>
        <w:jc w:val="both"/>
        <w:rPr>
          <w:b/>
        </w:rPr>
      </w:pPr>
      <w:r>
        <w:rPr>
          <w:b/>
        </w:rPr>
        <w:t>Para que los grandes números de la macroeconomía mejoren quedan por resolver: las personas que enferman demasiado, los niños que crecen de prisa, las personas que comen en exceso (o las que todavía comen, sin más), los que consumen mucha agua, los que gastan demasiada energía, los que pretenden estudiar en establecimientos públicos… en fin, ¿los que pretenden continuar viviendo? En los cementerios no hay inflación, ni déficit, ni deuda. Y eso… “gusta a los mercados”.</w:t>
      </w:r>
    </w:p>
    <w:p w:rsidR="00164F4F" w:rsidRDefault="00164F4F" w:rsidP="00550638">
      <w:pPr>
        <w:pStyle w:val="NormalWeb"/>
        <w:jc w:val="both"/>
        <w:rPr>
          <w:b/>
        </w:rPr>
      </w:pPr>
      <w:r>
        <w:rPr>
          <w:b/>
        </w:rPr>
        <w:t>Me interesaría preguntar a los econometristas “high frequency” si realmente creen que los jubilados nos sacaran de la crisis. Probablemente estos “académicos en la nube” me contestaran que el problema está en el Estado de bienestar (insostenible) y que deben hacerse todas las “reformas estructurales” necesarias para recuperar la competitividad. Que los países desarrollados no pueden seguir viviendo por encima de sus posibilidades. Que los grandes déficits públicos resultan inadmisibles y el alto endeudamiento soberano insostenible.</w:t>
      </w:r>
    </w:p>
    <w:p w:rsidR="00164F4F" w:rsidRDefault="00164F4F" w:rsidP="00550638">
      <w:pPr>
        <w:pStyle w:val="NormalWeb"/>
        <w:jc w:val="both"/>
        <w:rPr>
          <w:b/>
        </w:rPr>
      </w:pPr>
      <w:r>
        <w:rPr>
          <w:b/>
        </w:rPr>
        <w:t xml:space="preserve">Y aquí llegamos a la “médula” del asunto. El Estado de bienestar, las reformas estructurales, la productividad, la competitividad, la internacionalización, la deslocalización, el libre movimiento de capitales y mercancías (“libérrimo” en lo financiero y “amañado” en los bienes). </w:t>
      </w:r>
    </w:p>
    <w:p w:rsidR="00164F4F" w:rsidRDefault="00164F4F" w:rsidP="00550638">
      <w:pPr>
        <w:pStyle w:val="NormalWeb"/>
        <w:jc w:val="both"/>
        <w:rPr>
          <w:b/>
        </w:rPr>
      </w:pPr>
      <w:r>
        <w:rPr>
          <w:b/>
        </w:rPr>
        <w:t>De seguir los “sabios consejos” de los catedráticos de Harvard, Stanford, Columbia, MIT, Oxford, Cambridge, London School of Economics…  ¿cuál sería el modelo “asimilable” de Estado de bienestar, para los países europeos? ¿el de China? ¿el de la India? ¿el de Vietnam? ¿o el de Camboya? ¿el de Indonesia? (siguiendo por el sendero de la competitividad pronto habrá que hacer “benchmarking” en algún país africano). Un ethos peligroso y derrotista.</w:t>
      </w:r>
    </w:p>
    <w:p w:rsidR="00164F4F" w:rsidRDefault="00164F4F" w:rsidP="00550638">
      <w:pPr>
        <w:pStyle w:val="NormalWeb"/>
        <w:jc w:val="both"/>
        <w:rPr>
          <w:b/>
        </w:rPr>
      </w:pPr>
      <w:r>
        <w:rPr>
          <w:b/>
        </w:rPr>
        <w:t>Para recuperar la “competitividad” perdida en Europa ¿se deberían pagar salarios chinos, hindúes, brasileros o rusos?</w:t>
      </w:r>
    </w:p>
    <w:p w:rsidR="00164F4F" w:rsidRDefault="00164F4F" w:rsidP="00550638">
      <w:pPr>
        <w:pStyle w:val="NormalWeb"/>
        <w:jc w:val="both"/>
        <w:rPr>
          <w:b/>
        </w:rPr>
      </w:pPr>
      <w:r>
        <w:rPr>
          <w:b/>
        </w:rPr>
        <w:t xml:space="preserve">Para aumentar la “productividad” perdida en Europa ¿se deberían trabajar 14 </w:t>
      </w:r>
      <w:r w:rsidR="00587466">
        <w:rPr>
          <w:b/>
        </w:rPr>
        <w:t>o</w:t>
      </w:r>
      <w:r>
        <w:rPr>
          <w:b/>
        </w:rPr>
        <w:t xml:space="preserve"> 16 horas diarias (6 días a la semana), dormir en las fábricas, no tener vacaciones, no tener licencia por enfermedad o maternidad, e ir a “mear” con horario establecido y a la vista del capataz?</w:t>
      </w:r>
    </w:p>
    <w:p w:rsidR="00164F4F" w:rsidRDefault="00164F4F" w:rsidP="00550638">
      <w:pPr>
        <w:pStyle w:val="NormalWeb"/>
        <w:jc w:val="both"/>
        <w:rPr>
          <w:b/>
        </w:rPr>
      </w:pPr>
      <w:r>
        <w:rPr>
          <w:b/>
        </w:rPr>
        <w:t>Para que las empresas europeas vuelvan a demandar empleo ¿la alternativa razonable es el despido libre? ¿unos trabajadores de usar y tirar? ¿un ejército en la reserva de costo cero?</w:t>
      </w:r>
    </w:p>
    <w:p w:rsidR="00164F4F" w:rsidRDefault="00164F4F" w:rsidP="00550638">
      <w:pPr>
        <w:pStyle w:val="NormalWeb"/>
        <w:jc w:val="both"/>
        <w:rPr>
          <w:b/>
        </w:rPr>
      </w:pPr>
      <w:r>
        <w:rPr>
          <w:b/>
        </w:rPr>
        <w:t>Para que los gobiernos europeos eliminen sus déficits ¿se debería suprimir la sanidad pública, la educación pública, y el sistema público de pensiones?</w:t>
      </w:r>
    </w:p>
    <w:p w:rsidR="00164F4F" w:rsidRDefault="00164F4F" w:rsidP="00550638">
      <w:pPr>
        <w:pStyle w:val="NormalWeb"/>
        <w:jc w:val="both"/>
        <w:rPr>
          <w:b/>
        </w:rPr>
      </w:pPr>
      <w:r>
        <w:rPr>
          <w:b/>
        </w:rPr>
        <w:lastRenderedPageBreak/>
        <w:t>En el libre movimiento de capitales y mercancías (esa tierra plana que proclamaron los apósteles de la globalización) ¿qué espacio queda para Europa (ya no digamos para el Estado de bienestar, abolido por imperativo del mercado)?</w:t>
      </w:r>
    </w:p>
    <w:p w:rsidR="00164F4F" w:rsidRDefault="00164F4F" w:rsidP="00550638">
      <w:pPr>
        <w:pStyle w:val="NormalWeb"/>
        <w:jc w:val="both"/>
        <w:rPr>
          <w:b/>
        </w:rPr>
      </w:pPr>
      <w:r>
        <w:rPr>
          <w:b/>
        </w:rPr>
        <w:t xml:space="preserve">Los profetas del librecambio proclaman la “tecnología” como el “ojo de la aguja por la que pasará el camello” europeo. Desde Finlandia a Grecia y desde Portugal a Polonia, todo será un big “Silicon Valley” en honor de las nuevas tecnologías. Y todos (toditos todos) los europeos programaremos video juegos, casinos y apuestas deportivas por internet, You Tubes, Twitters, Facebooks y otras redes con las que “enredar” a los incautos. Eso sí, “por amor a la competitividad perdida”, un Silicon Valley, pero con sueldos de Bangalore, of course. 350 millones de trabajadores en las nuevas tecnologías, aunque dejando unos pocos “camareros” de sol y playa, y algunos “jardineros” del parque temático (seguramente de los PIGS) para atender a los turistas que visiten Eurolandia (probablemente de Asia, donde se fueron a parar los empleos que perdió (¿o regaló?) Europa, en aras de la deslocalización y el librecambio). Una “boutade” digna de un Nobel de economía… ¡No jodamos! </w:t>
      </w:r>
    </w:p>
    <w:p w:rsidR="00164F4F" w:rsidRDefault="00164F4F" w:rsidP="00550638">
      <w:pPr>
        <w:pStyle w:val="NormalWeb"/>
        <w:jc w:val="both"/>
        <w:rPr>
          <w:b/>
        </w:rPr>
      </w:pPr>
      <w:r>
        <w:rPr>
          <w:b/>
        </w:rPr>
        <w:t xml:space="preserve">Estimados “eruditos de laboratorio”, perdonen ustedes que este viejo de 65 años -68 cuando se publique este Paper- (que afortunadamente, y por ahorros propios, no necesita de la jubilación para vivir, queda dicho) les haga algunas “aproximaciones de cabotaje”. Que intente, con toda humildad, reiterar algunas pasadas ideas políticamente incorrectas (es lo mío, casi siempre). Allí por </w:t>
      </w:r>
      <w:r w:rsidRPr="002861E0">
        <w:rPr>
          <w:b/>
          <w:color w:val="FF0000"/>
        </w:rPr>
        <w:t>abril de 2002</w:t>
      </w:r>
      <w:r>
        <w:rPr>
          <w:b/>
        </w:rPr>
        <w:t xml:space="preserve"> publiqué un Ensayo (Los daños ocultos del librecambio - La doble vida de la economía global (Unión Europea: Apertura y vulnerabilidad - (¿Es posible imaginar un futuro diferente al pasado reciente?) donde, entre otras cosas, decía:</w:t>
      </w:r>
    </w:p>
    <w:p w:rsidR="00164F4F" w:rsidRDefault="00164F4F" w:rsidP="00550638">
      <w:pPr>
        <w:pStyle w:val="NormalWeb"/>
        <w:jc w:val="both"/>
        <w:rPr>
          <w:b/>
        </w:rPr>
      </w:pPr>
      <w:r>
        <w:rPr>
          <w:b/>
        </w:rPr>
        <w:t>El Comercio libre promueve el bienestar de los ricos, pero no necesariamente el bienestar social, que debería aplicarse a la gran mayoría de la población. No es de extrañar entonces que las compañías multinacionales y sus directores ejecutivos, con sus feudos industriales diseminados por el mundo, adhieran fervientemente al comercio libre.</w:t>
      </w:r>
    </w:p>
    <w:p w:rsidR="00164F4F" w:rsidRDefault="00164F4F" w:rsidP="00550638">
      <w:pPr>
        <w:pStyle w:val="NormalWeb"/>
        <w:jc w:val="both"/>
        <w:rPr>
          <w:b/>
        </w:rPr>
      </w:pPr>
      <w:r>
        <w:rPr>
          <w:b/>
        </w:rPr>
        <w:t>El comercio internacional beneficia a unas pocas empresas y a unas pocas familias propietarias, perjudicando o en el mejor de los casos dejando en igualdad de condiciones, al resto de las empresas y familias, cualquiera sea su lugar de radicación o residencia. Para mayor agravante -si cabe- el libre comercio -profetizado, publicitado e impuesto-, es sólo una pantalla para la financierización de la economía, que es el objetivo buscado (y por lo que se constata, alcanzado).</w:t>
      </w:r>
    </w:p>
    <w:p w:rsidR="00164F4F" w:rsidRDefault="00164F4F" w:rsidP="00550638">
      <w:pPr>
        <w:pStyle w:val="NormalWeb"/>
        <w:jc w:val="both"/>
        <w:rPr>
          <w:b/>
        </w:rPr>
      </w:pPr>
      <w:r>
        <w:rPr>
          <w:b/>
        </w:rPr>
        <w:t>Al impulso de la liberalización del comercio se cuela el libre movimiento -fundamentalmente especulativo- de capitales, sin fronteras, limitaciones, ni controles, que es la única globalización verdadera.</w:t>
      </w:r>
    </w:p>
    <w:p w:rsidR="00164F4F" w:rsidRDefault="00164F4F" w:rsidP="00550638">
      <w:pPr>
        <w:pStyle w:val="NormalWeb"/>
        <w:jc w:val="both"/>
        <w:rPr>
          <w:b/>
        </w:rPr>
      </w:pPr>
      <w:r>
        <w:rPr>
          <w:b/>
        </w:rPr>
        <w:t xml:space="preserve">En este dualismo económico que ha generado la globalización, la economía de mercado, la competencia mundial y el libre comercio, hay muy pocos que ganan mucho -muchísimo- y un resto enorme que transita la depresión silenciosa. Lo que se está intentando -aunque el discurso oficial sostenga lo contrario- es la perpetuación de las desigualdades superables, la negación de la posibilidad de </w:t>
      </w:r>
      <w:r>
        <w:rPr>
          <w:b/>
        </w:rPr>
        <w:lastRenderedPageBreak/>
        <w:t>tener oportunidades superiores a las nativas, de llegar a una sociedad más igualitaria.</w:t>
      </w:r>
    </w:p>
    <w:p w:rsidR="00164F4F" w:rsidRDefault="00164F4F" w:rsidP="00550638">
      <w:pPr>
        <w:pStyle w:val="NormalWeb"/>
        <w:jc w:val="both"/>
        <w:rPr>
          <w:b/>
        </w:rPr>
      </w:pPr>
      <w:r>
        <w:rPr>
          <w:b/>
        </w:rPr>
        <w:t>El libre comercio perjudica seriamente a las economías de las naciones. Casi todos los problemas con que se enfrenta la Unión Europea -déficit público, aumento del desempleo, retroceso de la clase media, excesiva competencia, creciente endeudamiento de las empresas y degradación del medio ambiente- pueden estar relacionados con la política del libre comercio (extra regional) que ha estado siguiendo en los últimos años…</w:t>
      </w:r>
    </w:p>
    <w:p w:rsidR="00164F4F" w:rsidRDefault="00164F4F" w:rsidP="00550638">
      <w:pPr>
        <w:pStyle w:val="NormalWeb"/>
        <w:jc w:val="both"/>
        <w:rPr>
          <w:b/>
        </w:rPr>
      </w:pPr>
      <w:r>
        <w:rPr>
          <w:b/>
        </w:rPr>
        <w:t>Esos son los daños ocultos del librecambio. El alto costo de un régimen que nos lleva a pensar en el libre cambio de los idiotas.</w:t>
      </w:r>
    </w:p>
    <w:p w:rsidR="00164F4F" w:rsidRDefault="00164F4F" w:rsidP="00550638">
      <w:pPr>
        <w:pStyle w:val="NormalWeb"/>
        <w:jc w:val="both"/>
        <w:rPr>
          <w:b/>
        </w:rPr>
      </w:pPr>
      <w:r>
        <w:rPr>
          <w:b/>
        </w:rPr>
        <w:t>Una alucinación del desarrollo -la globalización de la libertad de mercado- que, entre la flexibilidad y la incertidumbre, opta por el miedo a ser uno mismo.</w:t>
      </w:r>
    </w:p>
    <w:p w:rsidR="00164F4F" w:rsidRDefault="00164F4F" w:rsidP="00550638">
      <w:pPr>
        <w:pStyle w:val="NormalWeb"/>
        <w:jc w:val="both"/>
        <w:rPr>
          <w:b/>
        </w:rPr>
      </w:pPr>
      <w:r>
        <w:rPr>
          <w:b/>
        </w:rPr>
        <w:t>La doble vida de la globalización nos plantea un caso de vulnerabilidad económica: Unión Europea versus Estados Unidos. Podríamos sospechar si no estamos ante una situación de desigualdades provocadas. Si una mayor apertura de los flujos financieros y comerciales, hacen a la Unión Europea más vulnerable a las perturbaciones externas; ¿no se presentaría una situación asemejable a la de cobayas del neoliberalismo?</w:t>
      </w:r>
    </w:p>
    <w:p w:rsidR="00164F4F" w:rsidRDefault="00164F4F" w:rsidP="00550638">
      <w:pPr>
        <w:pStyle w:val="NormalWeb"/>
        <w:jc w:val="both"/>
        <w:rPr>
          <w:b/>
        </w:rPr>
      </w:pPr>
      <w:r>
        <w:rPr>
          <w:b/>
        </w:rPr>
        <w:t>¿Ante la falsa globalización de la libertad de mercado, que nos imponen los fascistas económicos, es posible proyectar un futuro diferente al pasado reciente?</w:t>
      </w:r>
    </w:p>
    <w:p w:rsidR="00164F4F" w:rsidRDefault="00164F4F" w:rsidP="00550638">
      <w:pPr>
        <w:pStyle w:val="NormalWeb"/>
        <w:jc w:val="both"/>
        <w:rPr>
          <w:b/>
        </w:rPr>
      </w:pPr>
      <w:r>
        <w:rPr>
          <w:b/>
        </w:rPr>
        <w:t>¿Puede imaginarse un cambio de paradigma?</w:t>
      </w:r>
    </w:p>
    <w:p w:rsidR="00164F4F" w:rsidRDefault="00164F4F" w:rsidP="00550638">
      <w:pPr>
        <w:pStyle w:val="NormalWeb"/>
        <w:jc w:val="both"/>
        <w:rPr>
          <w:b/>
        </w:rPr>
      </w:pPr>
      <w:r>
        <w:rPr>
          <w:b/>
        </w:rPr>
        <w:t>¿Puede la economía salir del armario?</w:t>
      </w:r>
    </w:p>
    <w:p w:rsidR="00164F4F" w:rsidRDefault="00164F4F" w:rsidP="00550638">
      <w:pPr>
        <w:pStyle w:val="NormalWeb"/>
        <w:jc w:val="both"/>
        <w:rPr>
          <w:b/>
        </w:rPr>
      </w:pPr>
      <w:r>
        <w:rPr>
          <w:b/>
        </w:rPr>
        <w:t>¿Será posible que nos devuelvan el cerebro?</w:t>
      </w:r>
    </w:p>
    <w:p w:rsidR="00164F4F" w:rsidRDefault="00164F4F" w:rsidP="00550638">
      <w:pPr>
        <w:pStyle w:val="NormalWeb"/>
        <w:jc w:val="both"/>
        <w:rPr>
          <w:b/>
        </w:rPr>
      </w:pPr>
      <w:r>
        <w:rPr>
          <w:b/>
        </w:rPr>
        <w:t>¿Se animará Europa a quitarse el burka que la niega, la somete y castra desde finales de la Segunda Guerra Mundial y, sin solución de continuidad, desde el fin de la Guerra Fría?</w:t>
      </w:r>
    </w:p>
    <w:p w:rsidR="00164F4F" w:rsidRDefault="00164F4F" w:rsidP="00550638">
      <w:pPr>
        <w:pStyle w:val="NormalWeb"/>
        <w:jc w:val="both"/>
        <w:rPr>
          <w:b/>
        </w:rPr>
      </w:pPr>
      <w:r>
        <w:rPr>
          <w:b/>
        </w:rPr>
        <w:t>(</w:t>
      </w:r>
      <w:r w:rsidRPr="002861E0">
        <w:rPr>
          <w:b/>
        </w:rPr>
        <w:t xml:space="preserve">Hasta aquí lo publicado en </w:t>
      </w:r>
      <w:r w:rsidRPr="002861E0">
        <w:rPr>
          <w:b/>
          <w:color w:val="FF0000"/>
        </w:rPr>
        <w:t>abril de 2002</w:t>
      </w:r>
      <w:r>
        <w:rPr>
          <w:b/>
        </w:rPr>
        <w:t xml:space="preserve">) </w:t>
      </w:r>
    </w:p>
    <w:p w:rsidR="00164F4F" w:rsidRDefault="00164F4F" w:rsidP="00550638">
      <w:pPr>
        <w:pStyle w:val="NormalWeb"/>
        <w:jc w:val="both"/>
        <w:rPr>
          <w:b/>
        </w:rPr>
      </w:pPr>
      <w:r>
        <w:rPr>
          <w:b/>
        </w:rPr>
        <w:t>Viejas y queridas causas perdidas o la amargura de la victoria…</w:t>
      </w:r>
    </w:p>
    <w:p w:rsidR="00164F4F" w:rsidRDefault="00164F4F" w:rsidP="00550638">
      <w:pPr>
        <w:pStyle w:val="NormalWeb"/>
        <w:jc w:val="both"/>
        <w:rPr>
          <w:b/>
        </w:rPr>
      </w:pPr>
      <w:r>
        <w:rPr>
          <w:b/>
        </w:rPr>
        <w:t xml:space="preserve">Mientras espero (inútilmente) alguna respuesta de los “dogmáticos del mercado”, dejo a los que “ni estudian” (o que si lo hacen entienden bien poco, como han demostrado en varios países europeos), “ni trabajan” (y si todo sigue igual, tampoco trabajarán),  antes que, irremisiblemente, “ni piensen” (destino final del proyecto neoliberal), el </w:t>
      </w:r>
      <w:r w:rsidRPr="002861E0">
        <w:rPr>
          <w:b/>
          <w:color w:val="FF0000"/>
        </w:rPr>
        <w:t>Epílogo del Ensayo (2002)</w:t>
      </w:r>
      <w:r>
        <w:rPr>
          <w:b/>
        </w:rPr>
        <w:t>:</w:t>
      </w:r>
    </w:p>
    <w:p w:rsidR="00164F4F" w:rsidRDefault="00164F4F" w:rsidP="00550638">
      <w:pPr>
        <w:pStyle w:val="NormalWeb"/>
        <w:jc w:val="both"/>
        <w:rPr>
          <w:b/>
        </w:rPr>
      </w:pPr>
      <w:r>
        <w:rPr>
          <w:b/>
        </w:rPr>
        <w:t>El libre comercio, podrá resultar un tópico cuya vigencia es muy difícil de remover, pero cuya injusticia sigue siendo flagrante (y se reitera).</w:t>
      </w:r>
    </w:p>
    <w:p w:rsidR="00164F4F" w:rsidRDefault="00164F4F" w:rsidP="00550638">
      <w:pPr>
        <w:pStyle w:val="NormalWeb"/>
        <w:jc w:val="both"/>
        <w:rPr>
          <w:b/>
        </w:rPr>
      </w:pPr>
      <w:r>
        <w:rPr>
          <w:b/>
        </w:rPr>
        <w:lastRenderedPageBreak/>
        <w:t>Los puristas del librecambio nos aplastan con su rodillo económico y nos imponen un darwinismo económico cainita y fatal (se denuncia).</w:t>
      </w:r>
    </w:p>
    <w:p w:rsidR="00164F4F" w:rsidRDefault="00164F4F" w:rsidP="00550638">
      <w:pPr>
        <w:pStyle w:val="NormalWeb"/>
        <w:jc w:val="both"/>
        <w:rPr>
          <w:b/>
        </w:rPr>
      </w:pPr>
      <w:r>
        <w:rPr>
          <w:b/>
        </w:rPr>
        <w:t>La liberación, la desregulación y la privatización castigan a la sociedad, avasallan la dignidad humana, amenazan el hábitat, debilitan progresivamente la autoridad gubernamental, y provocan el crepúsculo de la piedad (espera haberse demostrado)</w:t>
      </w:r>
    </w:p>
    <w:p w:rsidR="00164F4F" w:rsidRDefault="00164F4F" w:rsidP="00550638">
      <w:pPr>
        <w:pStyle w:val="NormalWeb"/>
        <w:jc w:val="both"/>
        <w:rPr>
          <w:b/>
        </w:rPr>
      </w:pPr>
      <w:r>
        <w:rPr>
          <w:b/>
        </w:rPr>
        <w:t>Lo diga Agamenón o su porquero (asumo este último papel): Existe una larga sucesión de hechos contumaces que pueden valer por experimentos repetidos.</w:t>
      </w:r>
    </w:p>
    <w:p w:rsidR="002861E0" w:rsidRDefault="00164F4F" w:rsidP="00550638">
      <w:pPr>
        <w:pStyle w:val="NormalWeb"/>
        <w:jc w:val="both"/>
        <w:rPr>
          <w:b/>
        </w:rPr>
      </w:pPr>
      <w:r>
        <w:rPr>
          <w:b/>
        </w:rPr>
        <w:t>¡Ah!, y no se olviden: la igualdad de oportunidades es desigual (a ver si se enteran). El dilema no está en  las pensiones, la sanidad o la educación, el problema está en el trabajo y en la distribución de los ingresos (y por ello sí, hay que salir a la calle)…</w:t>
      </w:r>
    </w:p>
    <w:p w:rsidR="00164F4F" w:rsidRDefault="002861E0" w:rsidP="00550638">
      <w:pPr>
        <w:pStyle w:val="NormalWeb"/>
        <w:jc w:val="both"/>
        <w:rPr>
          <w:b/>
        </w:rPr>
      </w:pPr>
      <w:r w:rsidRPr="00306A5D">
        <w:rPr>
          <w:b/>
          <w:color w:val="FF0000"/>
        </w:rPr>
        <w:t xml:space="preserve">(Mayo 2013) </w:t>
      </w:r>
      <w:r w:rsidR="00164F4F">
        <w:rPr>
          <w:b/>
        </w:rPr>
        <w:t>Última pregunta</w:t>
      </w:r>
      <w:r>
        <w:rPr>
          <w:b/>
        </w:rPr>
        <w:t xml:space="preserve"> </w:t>
      </w:r>
      <w:r w:rsidR="00164F4F">
        <w:rPr>
          <w:b/>
        </w:rPr>
        <w:t>(e</w:t>
      </w:r>
      <w:r w:rsidR="00164F4F" w:rsidRPr="00DD7EAD">
        <w:rPr>
          <w:b/>
        </w:rPr>
        <w:t>ntre el enfado y la desazón</w:t>
      </w:r>
      <w:r w:rsidR="00164F4F">
        <w:rPr>
          <w:b/>
        </w:rPr>
        <w:t xml:space="preserve"> del pensionista): ¿Existen algunas alternativas razonables para no terminar durmiendo en un parque o suicidándose?</w:t>
      </w:r>
    </w:p>
    <w:p w:rsidR="002A717B" w:rsidRPr="002861E0" w:rsidRDefault="002A717B" w:rsidP="00550638">
      <w:pPr>
        <w:pStyle w:val="NormalWeb"/>
        <w:jc w:val="both"/>
        <w:rPr>
          <w:b/>
        </w:rPr>
      </w:pPr>
    </w:p>
    <w:p w:rsidR="00164F4F" w:rsidRDefault="00164F4F" w:rsidP="00550638">
      <w:pPr>
        <w:shd w:val="clear" w:color="auto" w:fill="FFFFFF"/>
        <w:spacing w:after="0" w:line="240" w:lineRule="auto"/>
        <w:rPr>
          <w:rFonts w:ascii="Arial" w:eastAsia="Times New Roman" w:hAnsi="Arial" w:cs="Arial"/>
          <w:color w:val="333333"/>
          <w:sz w:val="24"/>
          <w:szCs w:val="24"/>
          <w:lang w:eastAsia="es-ES"/>
        </w:rPr>
      </w:pPr>
      <w:r>
        <w:rPr>
          <w:rFonts w:ascii="Arial" w:eastAsia="Times New Roman" w:hAnsi="Arial" w:cs="Arial"/>
          <w:noProof/>
          <w:color w:val="333333"/>
          <w:sz w:val="24"/>
          <w:szCs w:val="24"/>
          <w:lang w:eastAsia="es-ES"/>
        </w:rPr>
        <w:drawing>
          <wp:inline distT="0" distB="0" distL="0" distR="0" wp14:anchorId="38EBADF5" wp14:editId="447D6DAA">
            <wp:extent cx="5405932" cy="2596896"/>
            <wp:effectExtent l="0" t="0" r="4445" b="0"/>
            <wp:docPr id="472" name="Imagen 472" descr="El precio de la vivienda cae un 15,2% en el tercer trimes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l precio de la vivienda cae un 15,2% en el tercer trimestre"/>
                    <pic:cNvPicPr>
                      <a:picLocks noChangeAspect="1" noChangeArrowheads="1"/>
                    </pic:cNvPicPr>
                  </pic:nvPicPr>
                  <pic:blipFill>
                    <a:blip r:embed="rId533">
                      <a:extLst>
                        <a:ext uri="{28A0092B-C50C-407E-A947-70E740481C1C}">
                          <a14:useLocalDpi xmlns:a14="http://schemas.microsoft.com/office/drawing/2010/main" val="0"/>
                        </a:ext>
                      </a:extLst>
                    </a:blip>
                    <a:srcRect/>
                    <a:stretch>
                      <a:fillRect/>
                    </a:stretch>
                  </pic:blipFill>
                  <pic:spPr bwMode="auto">
                    <a:xfrm>
                      <a:off x="0" y="0"/>
                      <a:ext cx="5405755" cy="2596811"/>
                    </a:xfrm>
                    <a:prstGeom prst="rect">
                      <a:avLst/>
                    </a:prstGeom>
                    <a:noFill/>
                    <a:ln>
                      <a:noFill/>
                    </a:ln>
                  </pic:spPr>
                </pic:pic>
              </a:graphicData>
            </a:graphic>
          </wp:inline>
        </w:drawing>
      </w:r>
    </w:p>
    <w:p w:rsidR="002A717B" w:rsidRDefault="002A717B" w:rsidP="00550638">
      <w:pPr>
        <w:shd w:val="clear" w:color="auto" w:fill="FFFFFF"/>
        <w:spacing w:after="0" w:line="240" w:lineRule="auto"/>
        <w:rPr>
          <w:rFonts w:ascii="Times New Roman" w:eastAsia="Times New Roman" w:hAnsi="Times New Roman"/>
          <w:sz w:val="24"/>
          <w:szCs w:val="24"/>
          <w:u w:val="single"/>
          <w:lang w:eastAsia="es-ES"/>
        </w:rPr>
      </w:pPr>
    </w:p>
    <w:p w:rsidR="002A717B" w:rsidRDefault="002A717B" w:rsidP="00550638">
      <w:pPr>
        <w:shd w:val="clear" w:color="auto" w:fill="FFFFFF"/>
        <w:spacing w:after="0" w:line="240" w:lineRule="auto"/>
        <w:rPr>
          <w:rFonts w:ascii="Times New Roman" w:eastAsia="Times New Roman" w:hAnsi="Times New Roman"/>
          <w:sz w:val="24"/>
          <w:szCs w:val="24"/>
          <w:u w:val="single"/>
          <w:lang w:eastAsia="es-ES"/>
        </w:rPr>
      </w:pPr>
    </w:p>
    <w:p w:rsidR="00164F4F" w:rsidRPr="00370791" w:rsidRDefault="00164F4F" w:rsidP="00550638">
      <w:pPr>
        <w:shd w:val="clear" w:color="auto" w:fill="FFFFFF"/>
        <w:spacing w:after="0" w:line="240" w:lineRule="auto"/>
        <w:rPr>
          <w:rFonts w:ascii="Times New Roman" w:eastAsia="Times New Roman" w:hAnsi="Times New Roman"/>
          <w:sz w:val="24"/>
          <w:szCs w:val="24"/>
          <w:u w:val="single"/>
          <w:lang w:eastAsia="es-ES"/>
        </w:rPr>
      </w:pPr>
      <w:r w:rsidRPr="00370791">
        <w:rPr>
          <w:rFonts w:ascii="Times New Roman" w:eastAsia="Times New Roman" w:hAnsi="Times New Roman"/>
          <w:sz w:val="24"/>
          <w:szCs w:val="24"/>
          <w:u w:val="single"/>
          <w:lang w:eastAsia="es-ES"/>
        </w:rPr>
        <w:t>¿Cómo superar las tendencias marcadas por las curvas de pronósticos?</w:t>
      </w:r>
    </w:p>
    <w:p w:rsidR="00164F4F" w:rsidRPr="00370791" w:rsidRDefault="00164F4F" w:rsidP="00550638">
      <w:pPr>
        <w:shd w:val="clear" w:color="auto" w:fill="FFFFFF"/>
        <w:spacing w:after="0" w:line="240" w:lineRule="auto"/>
        <w:rPr>
          <w:rFonts w:ascii="Times New Roman" w:eastAsia="Times New Roman" w:hAnsi="Times New Roman"/>
          <w:sz w:val="24"/>
          <w:szCs w:val="24"/>
          <w:u w:val="single"/>
          <w:lang w:eastAsia="es-ES"/>
        </w:rPr>
      </w:pPr>
    </w:p>
    <w:p w:rsidR="00164F4F" w:rsidRPr="00370791" w:rsidRDefault="00164F4F" w:rsidP="00550638">
      <w:pPr>
        <w:autoSpaceDE w:val="0"/>
        <w:autoSpaceDN w:val="0"/>
        <w:adjustRightInd w:val="0"/>
        <w:spacing w:before="100" w:after="100" w:line="240" w:lineRule="auto"/>
        <w:jc w:val="both"/>
        <w:rPr>
          <w:rFonts w:ascii="Times New Roman" w:hAnsi="Times New Roman"/>
          <w:sz w:val="24"/>
          <w:szCs w:val="24"/>
        </w:rPr>
      </w:pPr>
      <w:r>
        <w:rPr>
          <w:rFonts w:ascii="Times New Roman" w:hAnsi="Times New Roman"/>
          <w:sz w:val="24"/>
          <w:szCs w:val="24"/>
        </w:rPr>
        <w:t>Una vez “fusilado” el Estado de bienestar (por influencia indebida), e</w:t>
      </w:r>
      <w:r w:rsidRPr="00370791">
        <w:rPr>
          <w:rFonts w:ascii="Times New Roman" w:hAnsi="Times New Roman"/>
          <w:sz w:val="24"/>
          <w:szCs w:val="24"/>
        </w:rPr>
        <w:t>n lugar de gotitas de alivio, el camino para salir adelante podría ser un paquete de tamaño considerable, compuesto de varios elementos.</w:t>
      </w:r>
    </w:p>
    <w:p w:rsidR="00164F4F" w:rsidRPr="00370791" w:rsidRDefault="00164F4F" w:rsidP="00550638">
      <w:pPr>
        <w:autoSpaceDE w:val="0"/>
        <w:autoSpaceDN w:val="0"/>
        <w:adjustRightInd w:val="0"/>
        <w:spacing w:before="100" w:after="100" w:line="240" w:lineRule="auto"/>
        <w:jc w:val="both"/>
        <w:rPr>
          <w:rFonts w:ascii="Times New Roman" w:hAnsi="Times New Roman"/>
          <w:sz w:val="24"/>
          <w:szCs w:val="24"/>
        </w:rPr>
      </w:pPr>
      <w:r w:rsidRPr="00370791">
        <w:rPr>
          <w:rFonts w:ascii="Times New Roman" w:hAnsi="Times New Roman"/>
          <w:sz w:val="24"/>
          <w:szCs w:val="24"/>
        </w:rPr>
        <w:t>¿Por qué tomarse la molestia de pensar en otras posibilidades?</w:t>
      </w:r>
    </w:p>
    <w:p w:rsidR="00164F4F" w:rsidRPr="00370791" w:rsidRDefault="00164F4F" w:rsidP="00550638">
      <w:pPr>
        <w:spacing w:before="100" w:beforeAutospacing="1" w:after="100" w:afterAutospacing="1" w:line="240" w:lineRule="auto"/>
        <w:jc w:val="both"/>
        <w:rPr>
          <w:rFonts w:ascii="Times New Roman" w:hAnsi="Times New Roman"/>
          <w:sz w:val="24"/>
          <w:szCs w:val="24"/>
        </w:rPr>
      </w:pPr>
      <w:r w:rsidRPr="00370791">
        <w:rPr>
          <w:rFonts w:ascii="Times New Roman" w:hAnsi="Times New Roman"/>
          <w:sz w:val="24"/>
          <w:szCs w:val="24"/>
        </w:rPr>
        <w:t>Porque con “más de lo mismo” (pensiones públicas “menguantes” vs. planes privados de pensiones “riesgosos”, sistema de reparto “desequilibrado” vs. sistema de capitalización “aventurado”, asistencia sanitaria pública “deficitaria” vs. seguro privado de salud “inalcanzable”</w:t>
      </w:r>
      <w:r>
        <w:rPr>
          <w:rFonts w:ascii="Times New Roman" w:hAnsi="Times New Roman"/>
          <w:sz w:val="24"/>
          <w:szCs w:val="24"/>
        </w:rPr>
        <w:t xml:space="preserve">, educación pública -aparcadero de niños y jóvenes-, fábrica de </w:t>
      </w:r>
      <w:r>
        <w:rPr>
          <w:rFonts w:ascii="Times New Roman" w:hAnsi="Times New Roman"/>
          <w:sz w:val="24"/>
          <w:szCs w:val="24"/>
        </w:rPr>
        <w:lastRenderedPageBreak/>
        <w:t>analfabetos funcionales vs. educación privada elitista -para niños y jóvenes de familias ricas- que cercena la igualdad de oportunidades</w:t>
      </w:r>
      <w:r w:rsidRPr="00370791">
        <w:rPr>
          <w:rFonts w:ascii="Times New Roman" w:hAnsi="Times New Roman"/>
          <w:sz w:val="24"/>
          <w:szCs w:val="24"/>
        </w:rPr>
        <w:t>), no se puede resolver el stock de deuda contraída con los pensionistas actuales y los inmediatos futuros. “Más de lo mismo”, únicamente conducirá hacia un “sufrimiento innecesario” antes de que dicho rumbo colapse de manera inevitable.</w:t>
      </w:r>
    </w:p>
    <w:p w:rsidR="00164F4F" w:rsidRPr="00370791" w:rsidRDefault="00164F4F" w:rsidP="00550638">
      <w:pPr>
        <w:spacing w:before="100" w:beforeAutospacing="1" w:after="100" w:afterAutospacing="1" w:line="240" w:lineRule="auto"/>
        <w:jc w:val="both"/>
        <w:rPr>
          <w:rFonts w:ascii="Times New Roman" w:hAnsi="Times New Roman"/>
          <w:sz w:val="24"/>
          <w:szCs w:val="24"/>
        </w:rPr>
      </w:pPr>
      <w:r w:rsidRPr="00370791">
        <w:rPr>
          <w:rFonts w:ascii="Times New Roman" w:hAnsi="Times New Roman"/>
          <w:sz w:val="24"/>
          <w:szCs w:val="24"/>
        </w:rPr>
        <w:t>Seguir por este camino de eufemismos, ambigüedades, falsedades y absolutas mentiras (tanto públicas, como privadas) erosionará aún más la credibilidad de los formuladores de políticas -algo que aparentemente parecería no importarles- mientras que simultáneamente se impondría al resto de la sociedad -a los que sí, parece importarles- una sensación persistente de crisis e incertidumbre, con costos reales tanto sociales como económicos y financieros.</w:t>
      </w:r>
    </w:p>
    <w:p w:rsidR="00164F4F" w:rsidRPr="00650089" w:rsidRDefault="00164F4F" w:rsidP="00550638">
      <w:pPr>
        <w:pStyle w:val="NormalWeb"/>
        <w:jc w:val="both"/>
      </w:pPr>
      <w:r w:rsidRPr="00650089">
        <w:t xml:space="preserve">Como indicó Bill Gross (el cofundador y director de inversiones de Pimco, el mayor fondo de bonos privado del mundo) en el año 2009, estamos ante una </w:t>
      </w:r>
      <w:hyperlink r:id="rId534" w:history="1">
        <w:r w:rsidRPr="00882D3E">
          <w:rPr>
            <w:rStyle w:val="Hipervnculo"/>
            <w:color w:val="auto"/>
            <w:u w:val="none"/>
          </w:rPr>
          <w:t>“</w:t>
        </w:r>
        <w:r w:rsidRPr="00882D3E">
          <w:rPr>
            <w:rStyle w:val="Hipervnculo"/>
            <w:iCs/>
            <w:color w:val="auto"/>
            <w:u w:val="none"/>
          </w:rPr>
          <w:t>nueva normalidad</w:t>
        </w:r>
      </w:hyperlink>
      <w:r w:rsidRPr="00882D3E">
        <w:t>”,</w:t>
      </w:r>
      <w:r w:rsidRPr="00650089">
        <w:t xml:space="preserve"> para referirse a un nuevo escenario global caracterizado por un bajo crecimiento económico, un desempleo elevado y unos menores rendimientos sobre los activos. </w:t>
      </w:r>
    </w:p>
    <w:p w:rsidR="00164F4F" w:rsidRPr="00650089" w:rsidRDefault="00164F4F" w:rsidP="00550638">
      <w:pPr>
        <w:pStyle w:val="NormalWeb"/>
        <w:jc w:val="both"/>
      </w:pPr>
      <w:r w:rsidRPr="00650089">
        <w:t>Ante esa “nueva normalidad”, solo hay dos alternativas: reducir las expectativas de remuneración de las pensiones o intentar hacer magia.</w:t>
      </w:r>
    </w:p>
    <w:p w:rsidR="00164F4F" w:rsidRPr="00650089" w:rsidRDefault="00164F4F" w:rsidP="00550638">
      <w:pPr>
        <w:pStyle w:val="NormalWeb"/>
        <w:jc w:val="both"/>
      </w:pPr>
      <w:r w:rsidRPr="00650089">
        <w:t>Cuanto antes asumamos esa “nueva normalidad” (aunque nos parezca injusta e ilegal), y busquemos alternativas razonables para no terminar durmiendo en un parque o suicidándonos, me</w:t>
      </w:r>
      <w:r>
        <w:t xml:space="preserve">jor será, para poder vivir con </w:t>
      </w:r>
      <w:r w:rsidRPr="00650089">
        <w:t>cierta dignid</w:t>
      </w:r>
      <w:r>
        <w:t>ad los últimos años</w:t>
      </w:r>
      <w:r w:rsidRPr="00650089">
        <w:t xml:space="preserve">. </w:t>
      </w:r>
    </w:p>
    <w:p w:rsidR="00164F4F" w:rsidRDefault="00164F4F" w:rsidP="00550638">
      <w:pPr>
        <w:pStyle w:val="NormalWeb"/>
        <w:jc w:val="both"/>
      </w:pPr>
      <w:r w:rsidRPr="00650089">
        <w:t xml:space="preserve">(Para el caso español, que como ya dije, es el que me </w:t>
      </w:r>
      <w:r>
        <w:t>“</w:t>
      </w:r>
      <w:r w:rsidRPr="00650089">
        <w:t>pilla</w:t>
      </w:r>
      <w:r>
        <w:t>”</w:t>
      </w:r>
      <w:r w:rsidRPr="00650089">
        <w:t xml:space="preserve"> más cerca)</w:t>
      </w:r>
    </w:p>
    <w:p w:rsidR="00164F4F" w:rsidRDefault="00164F4F" w:rsidP="00550638">
      <w:pPr>
        <w:pStyle w:val="NormalWeb"/>
        <w:jc w:val="both"/>
      </w:pPr>
      <w:r>
        <w:t>La previsión del Instituto Nacional de Estadística (INE) es que dentro de 10 años, por cada diez personas en edad de trabajar (lo que no supone que tengan trabajo) habrá seis inactivos porque aún no hayan cumplido los 16 años, edad mínima para incorporarse al mercado laboral, o porque sean mayores de 65 años. Y para 2051 el 40% de la población estará jubilada y la esperanza de vida rondará los 90 años de edad. Echen cuentas. Nuestros hijos y nietos van a vivir mucho más que nosotros, pero se les va a hacer jodidamente largo.</w:t>
      </w:r>
    </w:p>
    <w:p w:rsidR="00164F4F" w:rsidRDefault="00164F4F" w:rsidP="00550638">
      <w:pPr>
        <w:pStyle w:val="NormalWeb"/>
        <w:jc w:val="both"/>
      </w:pPr>
      <w:r>
        <w:t xml:space="preserve">El importe de las futuras pensiones también va a bajar. Su cuantía se calculaba teniendo en cuenta la base de cotización del trabajador y tomando como referencia los 15 últimos años de su vida laboral, y a partir de ahora la referencia serán 25. Para tener, además, derecho a la pensión máxima tendrá que haber cotizado 37 años, frente a los 35 actuales. </w:t>
      </w:r>
    </w:p>
    <w:p w:rsidR="00164F4F" w:rsidRDefault="00164F4F" w:rsidP="00550638">
      <w:pPr>
        <w:pStyle w:val="NormalWeb"/>
        <w:jc w:val="both"/>
      </w:pPr>
      <w:r>
        <w:t>Si a los 67 años de jubilación les restan ustedes los citados 37, para situarse en el top ten de los jubilados será imprescindible incorporarse al mercado de trabajo a los 30 años, como muy tarde, y trabajar ininterrumpidamente hasta los 67. Misión imposible con el actual 52% de paro juvenil y el negro futuro que se otea en el horizonte. Sólo unos privilegiados lo conseguirán. Los actuales salarios de subsistencia de nuestros jóvenes garantizan unas pensiones igualmente de subsistencia, que permitirán al trabajador-beneficiario una vida austera, coherente y sin sobresaltos, porque de donde no hay no se puede sacar.</w:t>
      </w:r>
    </w:p>
    <w:p w:rsidR="00164F4F" w:rsidRDefault="00164F4F" w:rsidP="00550638">
      <w:pPr>
        <w:pStyle w:val="NormalWeb"/>
        <w:jc w:val="both"/>
      </w:pPr>
      <w:r>
        <w:lastRenderedPageBreak/>
        <w:t>Una situación crítica, que exigirá sacrificios de los pensionistas, pero también (y más) de otros sectores (activos, parados, gobierno, empresas…). Solidaridad y austeridad de “toda” la sociedad. Y desde luego, con el mayor esfuerzo de contribución y frugalidad, por parte de aquellos que tienen los mayores recursos. ¿Se entiende, hijo? Sí Padre.</w:t>
      </w:r>
    </w:p>
    <w:p w:rsidR="00164F4F" w:rsidRDefault="00164F4F" w:rsidP="00550638">
      <w:pPr>
        <w:pStyle w:val="NormalWeb"/>
        <w:jc w:val="both"/>
      </w:pPr>
      <w:r>
        <w:t>Así y todo, lo que resulta inadmisible (por inaudito y falaz) es “culpabilizar a la víctima” e intolerable (por cinismo y connivencia) que aquello</w:t>
      </w:r>
      <w:r w:rsidRPr="00142565">
        <w:t xml:space="preserve"> que </w:t>
      </w:r>
      <w:r>
        <w:t>“</w:t>
      </w:r>
      <w:r w:rsidRPr="00142565">
        <w:t>a</w:t>
      </w:r>
      <w:r>
        <w:t>ntes era herejía hoy se sostenga como ortodoxia”</w:t>
      </w:r>
      <w:r w:rsidRPr="00142565">
        <w:t>.</w:t>
      </w:r>
    </w:p>
    <w:p w:rsidR="00164F4F" w:rsidRDefault="00164F4F" w:rsidP="00550638">
      <w:pPr>
        <w:pStyle w:val="NormalWeb"/>
        <w:jc w:val="both"/>
      </w:pPr>
      <w:r w:rsidRPr="00300193">
        <w:t xml:space="preserve">Sin duda los países desarrollados están en una situación de </w:t>
      </w:r>
      <w:r>
        <w:t>“</w:t>
      </w:r>
      <w:r w:rsidRPr="00300193">
        <w:t>endeudamiento excesivo</w:t>
      </w:r>
      <w:r>
        <w:t>”</w:t>
      </w:r>
      <w:r w:rsidRPr="00300193">
        <w:t xml:space="preserve"> (cuando la deuda de un país es tan cuantiosa que los beneficios del ajuste y del crecimiento van a parar por completo a manos de los acreedores), pero no es por causa de la deuda previsional (que ya existía y constaba en los registros) que se ha llegado a tamaño despropósito. Por ello</w:t>
      </w:r>
      <w:r>
        <w:t>,</w:t>
      </w:r>
      <w:r w:rsidRPr="00300193">
        <w:t xml:space="preserve"> no e</w:t>
      </w:r>
      <w:r>
        <w:t>s de recibo hacer pagar a justos</w:t>
      </w:r>
      <w:r w:rsidRPr="00300193">
        <w:t xml:space="preserve"> por pecadores.</w:t>
      </w:r>
    </w:p>
    <w:p w:rsidR="00164F4F" w:rsidRDefault="00164F4F" w:rsidP="00550638">
      <w:pPr>
        <w:pStyle w:val="NormalWeb"/>
        <w:jc w:val="both"/>
        <w:rPr>
          <w:u w:val="single"/>
        </w:rPr>
      </w:pPr>
      <w:r w:rsidRPr="00026485">
        <w:rPr>
          <w:u w:val="single"/>
        </w:rPr>
        <w:t>Asuntos a desarrollar</w:t>
      </w:r>
    </w:p>
    <w:p w:rsidR="00164F4F" w:rsidRDefault="00164F4F" w:rsidP="00550638">
      <w:pPr>
        <w:pStyle w:val="NormalWeb"/>
        <w:jc w:val="both"/>
      </w:pPr>
      <w:r>
        <w:t>Según dicen los que saben e</w:t>
      </w:r>
      <w:r w:rsidRPr="0081543B">
        <w:t>n el</w:t>
      </w:r>
      <w:r>
        <w:t xml:space="preserve"> año</w:t>
      </w:r>
      <w:r w:rsidRPr="0081543B">
        <w:t xml:space="preserve"> 2052, en España existirá</w:t>
      </w:r>
      <w:r>
        <w:t xml:space="preserve"> p</w:t>
      </w:r>
      <w:r w:rsidRPr="0081543B">
        <w:t>or cada persona en edad de trabajar habrá otra dependiente, bien por estar en edad de retiro (podrán llegar hasta frisar los 90,7 años si son mujeres, o los 86,9 años si son hombres) o bien por ser menor de 16 años.</w:t>
      </w:r>
      <w:r>
        <w:t xml:space="preserve"> </w:t>
      </w:r>
      <w:r w:rsidRPr="00BB5433">
        <w:t>Cambios demográficos y del mercado laboral: ¿</w:t>
      </w:r>
      <w:r>
        <w:t>ciencia ficción o</w:t>
      </w:r>
      <w:r w:rsidRPr="0081543B">
        <w:t xml:space="preserve"> realidad</w:t>
      </w:r>
      <w:r>
        <w:t>?</w:t>
      </w:r>
    </w:p>
    <w:p w:rsidR="00164F4F" w:rsidRDefault="00164F4F" w:rsidP="00550638">
      <w:pPr>
        <w:pStyle w:val="NormalWeb"/>
        <w:jc w:val="both"/>
      </w:pPr>
      <w:r w:rsidRPr="0081543B">
        <w:t>Puede que el 2052 parezca muy lejano. Pero a la luz de los datos publicados por el Instituto Nacional de Estadística (INE), es imprescindible ponerse ya a construir el futuro. De hecho, empezará a haber problemas dentro de diez años, para cuando se prevé que haya casi seis personas inactivas por cada diez personas en edad de trabajar. Todo ello con una pirámide demográfica invertida, pues el envejecimiento progresivo provocará que en el 2022 España tenga 45 millones de habitantes, y 41,5 millones dentro de 40 años. De ellos, el 37% serán pensionistas</w:t>
      </w:r>
      <w:r>
        <w:t>.</w:t>
      </w:r>
      <w:r w:rsidRPr="00BB5433">
        <w:t xml:space="preserve"> </w:t>
      </w:r>
      <w:r>
        <w:t xml:space="preserve">Llevando al extremo esta situación y </w:t>
      </w:r>
      <w:r w:rsidRPr="0081543B">
        <w:t xml:space="preserve">tomando como referencia un sueldo de mileurista, en un futuro no muy lejano se necesitarían 8,5 cotizantes para poder pagar una pensión máxima. </w:t>
      </w:r>
    </w:p>
    <w:p w:rsidR="00164F4F" w:rsidRDefault="00164F4F" w:rsidP="00550638">
      <w:pPr>
        <w:pStyle w:val="NormalWeb"/>
        <w:jc w:val="both"/>
      </w:pPr>
      <w:r w:rsidRPr="00E153B5">
        <w:rPr>
          <w:u w:val="single"/>
        </w:rPr>
        <w:t>A partir de estos “supuestos”, y actuando como “liquidador” de la quiebra del Estado propondría las siguientes medidas de liberalización</w:t>
      </w:r>
      <w:r>
        <w:t xml:space="preserve">. A ver si se animan a tomarlas (hasta sus últimas consecuencias), esos falsos liberales que tanto se rasgan las vestiduras frente a cualquier mención (o recurso) del Estado de bienestar. </w:t>
      </w:r>
    </w:p>
    <w:p w:rsidR="00164F4F" w:rsidRDefault="00164F4F" w:rsidP="00550638">
      <w:pPr>
        <w:pStyle w:val="NormalWeb"/>
        <w:jc w:val="both"/>
      </w:pPr>
      <w:r w:rsidRPr="00FE5235">
        <w:rPr>
          <w:i/>
        </w:rPr>
        <w:t>“Es preciso tocar las partidas estructurales del gasto, adelgazar el tamaño del Estado, gestionar mejor con menos dinero, porque los recortes sin reformas son autodestructivos en sí mismos en tanto en cuanto implican sangre, sudor y lágrimas, sin recompensa de victoria al final del camino. Son sufrimientos que perpetúan un statu quo que no funciona, y que, además, ponen en peligro la paz social”..</w:t>
      </w:r>
      <w:r w:rsidRPr="00CD0C5A">
        <w:t>.</w:t>
      </w:r>
      <w:r>
        <w:t xml:space="preserve"> (Jesús Cacho - Vozpópuli - </w:t>
      </w:r>
      <w:r w:rsidRPr="009235CC">
        <w:rPr>
          <w:b/>
        </w:rPr>
        <w:t>16/12/12</w:t>
      </w:r>
      <w:r>
        <w:t>)</w:t>
      </w:r>
    </w:p>
    <w:p w:rsidR="00164F4F" w:rsidRPr="00F151F5" w:rsidRDefault="00164F4F" w:rsidP="00550638">
      <w:pPr>
        <w:pStyle w:val="NormalWeb"/>
        <w:jc w:val="both"/>
        <w:rPr>
          <w:u w:val="single"/>
        </w:rPr>
      </w:pPr>
      <w:r>
        <w:rPr>
          <w:u w:val="single"/>
        </w:rPr>
        <w:t>Una propuesta “liberal”: q</w:t>
      </w:r>
      <w:r w:rsidRPr="00F151F5">
        <w:rPr>
          <w:u w:val="single"/>
        </w:rPr>
        <w:t>ue cada S</w:t>
      </w:r>
      <w:r>
        <w:rPr>
          <w:u w:val="single"/>
        </w:rPr>
        <w:t>anto aguante su vela (na te pido, na me llevo</w:t>
      </w:r>
      <w:r w:rsidRPr="00F151F5">
        <w:rPr>
          <w:u w:val="single"/>
        </w:rPr>
        <w:t>)</w:t>
      </w:r>
    </w:p>
    <w:p w:rsidR="00164F4F" w:rsidRDefault="00164F4F" w:rsidP="00550638">
      <w:pPr>
        <w:pStyle w:val="NormalWeb"/>
        <w:jc w:val="both"/>
      </w:pPr>
      <w:r>
        <w:t>- Eliminar el sistema jubilatorio de reparto.</w:t>
      </w:r>
    </w:p>
    <w:p w:rsidR="00164F4F" w:rsidRDefault="00164F4F" w:rsidP="00550638">
      <w:pPr>
        <w:pStyle w:val="NormalWeb"/>
        <w:jc w:val="both"/>
      </w:pPr>
      <w:r>
        <w:t xml:space="preserve">- Todos los aportes previsionales actuales pasan al sistema de capitalización (o se dejan a la libre disposición del trabajador/ahorrador). </w:t>
      </w:r>
    </w:p>
    <w:p w:rsidR="00164F4F" w:rsidRDefault="00164F4F" w:rsidP="00550638">
      <w:pPr>
        <w:pStyle w:val="NormalWeb"/>
        <w:jc w:val="both"/>
      </w:pPr>
      <w:r>
        <w:lastRenderedPageBreak/>
        <w:t>- El Estado asume la deuda previsional (como gasto público) para los pensionistas actuales.</w:t>
      </w:r>
    </w:p>
    <w:p w:rsidR="00164F4F" w:rsidRDefault="00164F4F" w:rsidP="00550638">
      <w:pPr>
        <w:pStyle w:val="NormalWeb"/>
        <w:jc w:val="both"/>
      </w:pPr>
      <w:r>
        <w:t>- Para los mayores de 50 años (con 15 o 20 años más de trabajo futuro)  crear un régimen mixto (50% con cargo al presupuesto y 50% capitalización).</w:t>
      </w:r>
    </w:p>
    <w:p w:rsidR="00164F4F" w:rsidRDefault="00164F4F" w:rsidP="00550638">
      <w:pPr>
        <w:pStyle w:val="NormalWeb"/>
        <w:jc w:val="both"/>
      </w:pPr>
      <w:r>
        <w:t>- Eliminar el impuesto a las rentas del trabajo (a los menores de 50 años) para todos los ingresos por debajo de los 70.000 euros por año (por cuenta propia o ajena).</w:t>
      </w:r>
    </w:p>
    <w:p w:rsidR="00164F4F" w:rsidRDefault="00164F4F" w:rsidP="00550638">
      <w:pPr>
        <w:pStyle w:val="NormalWeb"/>
        <w:jc w:val="both"/>
      </w:pPr>
      <w:r>
        <w:t>- Reducir en un 50% el seguro de desempleo para sufragar el mayor gasto de pensiones (en cuantía y duración). Eliminar cualquier otra prestación social sustitutoria.</w:t>
      </w:r>
    </w:p>
    <w:p w:rsidR="00164F4F" w:rsidRDefault="00164F4F" w:rsidP="00550638">
      <w:pPr>
        <w:pStyle w:val="NormalWeb"/>
        <w:jc w:val="both"/>
      </w:pPr>
      <w:r>
        <w:t>- Eliminar toda contribución pública a las organizaciones sindicales, empresariales y partidos políticos.</w:t>
      </w:r>
    </w:p>
    <w:p w:rsidR="00164F4F" w:rsidRDefault="00164F4F" w:rsidP="00550638">
      <w:pPr>
        <w:pStyle w:val="NormalWeb"/>
        <w:jc w:val="both"/>
      </w:pPr>
      <w:r>
        <w:t>- Eliminar todo tipo de subvenciones a los sectores productivos y deducciones fiscales a las empresas y particulares. Eliminar todo impuesto al ahorro y la inversión.</w:t>
      </w:r>
    </w:p>
    <w:p w:rsidR="00164F4F" w:rsidRDefault="00164F4F" w:rsidP="00550638">
      <w:pPr>
        <w:pStyle w:val="NormalWeb"/>
        <w:jc w:val="both"/>
      </w:pPr>
      <w:r>
        <w:t>- Privatización o cierre de todas (repito, todas) las empresas públicas (a nivel nacional, autonómico o local). En el plazo de 1 año lo que no se puede vender se liquida.</w:t>
      </w:r>
    </w:p>
    <w:p w:rsidR="00164F4F" w:rsidRDefault="00164F4F" w:rsidP="00550638">
      <w:pPr>
        <w:pStyle w:val="NormalWeb"/>
        <w:jc w:val="both"/>
      </w:pPr>
      <w:r>
        <w:t>- El Estado dejará de contribuir a “rescates” del sector privado cualquiera sea el riesgo sistémico que represente. En el plazo de 5 años se recuperará lo aportado hasta la fecha.</w:t>
      </w:r>
    </w:p>
    <w:p w:rsidR="00164F4F" w:rsidRDefault="00164F4F" w:rsidP="00550638">
      <w:pPr>
        <w:pStyle w:val="NormalWeb"/>
        <w:jc w:val="both"/>
      </w:pPr>
      <w:r>
        <w:t>- Eliminar todo el gasto público en cursillos de formación para desempleados.</w:t>
      </w:r>
    </w:p>
    <w:p w:rsidR="00164F4F" w:rsidRDefault="00164F4F" w:rsidP="00550638">
      <w:pPr>
        <w:pStyle w:val="NormalWeb"/>
        <w:jc w:val="both"/>
      </w:pPr>
      <w:r>
        <w:t xml:space="preserve">- Los jóvenes desempleados trabajarán en empresas como aprendices durante 3 años, por 400 euros por mes y sin cargas sociales. </w:t>
      </w:r>
    </w:p>
    <w:p w:rsidR="00164F4F" w:rsidRDefault="00164F4F" w:rsidP="00550638">
      <w:pPr>
        <w:pStyle w:val="NormalWeb"/>
        <w:jc w:val="both"/>
      </w:pPr>
      <w:r>
        <w:t>- Eliminar todo régimen jubilatorio de privilegio en el sector público.</w:t>
      </w:r>
    </w:p>
    <w:p w:rsidR="00164F4F" w:rsidRDefault="00164F4F" w:rsidP="00550638">
      <w:pPr>
        <w:pStyle w:val="NormalWeb"/>
        <w:jc w:val="both"/>
      </w:pPr>
      <w:r>
        <w:t>- Los empleados públicos también pierden su régimen de pensiones y sanidad especial.</w:t>
      </w:r>
    </w:p>
    <w:p w:rsidR="00164F4F" w:rsidRDefault="00164F4F" w:rsidP="00550638">
      <w:pPr>
        <w:pStyle w:val="NormalWeb"/>
        <w:jc w:val="both"/>
      </w:pPr>
      <w:r>
        <w:t>- Implementar el cheque educativo (con libre elección de centro escolar -público de pago o privado). Los centros escolares públicos y concertados deberán autofinanciarse.</w:t>
      </w:r>
    </w:p>
    <w:p w:rsidR="00164F4F" w:rsidRDefault="00164F4F" w:rsidP="00550638">
      <w:pPr>
        <w:pStyle w:val="NormalWeb"/>
        <w:jc w:val="both"/>
      </w:pPr>
      <w:r>
        <w:t>- Implementar el cheque sanitario (con libre elección del centro sanitario -público de pago o privado). Los centros sanitarios públicos deberán autofinanciarse.</w:t>
      </w:r>
    </w:p>
    <w:p w:rsidR="00164F4F" w:rsidRDefault="00164F4F" w:rsidP="00550638">
      <w:pPr>
        <w:pStyle w:val="NormalWeb"/>
        <w:jc w:val="both"/>
      </w:pPr>
      <w:r>
        <w:t>- Eliminar el descuento del precio de las medicinas con cargo al sistema público de sanidad.</w:t>
      </w:r>
    </w:p>
    <w:p w:rsidR="00164F4F" w:rsidRDefault="00164F4F" w:rsidP="00550638">
      <w:pPr>
        <w:pStyle w:val="NormalWeb"/>
        <w:jc w:val="both"/>
      </w:pPr>
      <w:r>
        <w:t>- Reducir el gasto público en la cifra necesaria para completar el gasto en pensiones proyectado (si fuera necesario, después de todas las economías previstas).</w:t>
      </w:r>
    </w:p>
    <w:p w:rsidR="00164F4F" w:rsidRDefault="00164F4F" w:rsidP="00550638">
      <w:pPr>
        <w:pStyle w:val="NormalWeb"/>
        <w:jc w:val="both"/>
      </w:pPr>
      <w:r>
        <w:t>- Financiar con deuda pública a largo plazo el desfase financiero de los años de transición hasta la privatización plena de las pensiones (como última alternativa y al final, final, de todas las economías anteriormente indicadas). Se podría explorar la posibilidad de garantizar la deuda pública (específica) con las hipotecas inversas de las propiedades de los pensionistas del antiguo régimen (de reparto)…</w:t>
      </w:r>
    </w:p>
    <w:p w:rsidR="00164F4F" w:rsidRDefault="00164F4F" w:rsidP="00550638">
      <w:pPr>
        <w:pStyle w:val="NormalWeb"/>
        <w:jc w:val="both"/>
      </w:pPr>
      <w:r>
        <w:lastRenderedPageBreak/>
        <w:t>… (queda abierto el listado para la contribución y el debate, de los lectores)</w:t>
      </w:r>
    </w:p>
    <w:p w:rsidR="00164F4F" w:rsidRDefault="00164F4F" w:rsidP="00550638">
      <w:pPr>
        <w:pStyle w:val="NormalWeb"/>
        <w:jc w:val="both"/>
      </w:pPr>
      <w:r>
        <w:t>Para que hagan algunos cálculos los más jóvenes:</w:t>
      </w:r>
    </w:p>
    <w:p w:rsidR="00164F4F" w:rsidRDefault="00164F4F" w:rsidP="00550638">
      <w:pPr>
        <w:pStyle w:val="NormalWeb"/>
        <w:jc w:val="both"/>
      </w:pPr>
      <w:r w:rsidRPr="00A510AD">
        <w:t>Desde Citi aportan un ejemplo para tres clientes de diferentes edades y un mismo objetivo para su jubilación, 250.000 euros: “Un cliente que comienza con 35 años, sólo tiene que aportar al año 4.251 euros; una persona que comienza con 45 años necesita aportar al año 8.073 euros, mientras que alguien que empieza con 55 años, necesitaría aportar 20.022 euros para conseguir el mismo objetivo de jubilación”.</w:t>
      </w:r>
    </w:p>
    <w:p w:rsidR="00164F4F" w:rsidRDefault="00164F4F" w:rsidP="00550638">
      <w:pPr>
        <w:pStyle w:val="NormalWeb"/>
        <w:jc w:val="both"/>
      </w:pPr>
      <w:r>
        <w:t>Como ya señale anteriormente, mi sugerencia es que sean ustedes (los más jóvenes) los que administren su propio “fondo de pensiones” y no lo dejen en manos de las instituciones financieras o empresas. Para eso hay que ser muy ahorrativo, disciplinado, constante y prudente. Mucha suerte.</w:t>
      </w:r>
    </w:p>
    <w:p w:rsidR="00164F4F" w:rsidRDefault="00164F4F" w:rsidP="00550638">
      <w:pPr>
        <w:pStyle w:val="NormalWeb"/>
        <w:jc w:val="both"/>
        <w:rPr>
          <w:u w:val="single"/>
        </w:rPr>
      </w:pPr>
      <w:r>
        <w:rPr>
          <w:u w:val="single"/>
        </w:rPr>
        <w:t>Directriz bajista (empujando la soga)</w:t>
      </w:r>
      <w:r w:rsidRPr="00401A7C">
        <w:rPr>
          <w:u w:val="single"/>
        </w:rPr>
        <w:t>: una sociedad cada vez más pobre</w:t>
      </w:r>
    </w:p>
    <w:p w:rsidR="00164F4F" w:rsidRDefault="00164F4F" w:rsidP="00550638">
      <w:pPr>
        <w:pStyle w:val="NormalWeb"/>
        <w:jc w:val="both"/>
      </w:pPr>
      <w:r>
        <w:t xml:space="preserve">¿Cuál es el resultado esperado (aunque no deseado) de la acción los políticos (al menos en los países ex-desarrollados)? </w:t>
      </w:r>
      <w:r w:rsidRPr="00C53915">
        <w:rPr>
          <w:u w:val="single"/>
        </w:rPr>
        <w:t>La sociedad “mini”</w:t>
      </w:r>
      <w:r w:rsidRPr="00C53915">
        <w:t>:</w:t>
      </w:r>
      <w:r>
        <w:t xml:space="preserve"> miniempleos, minieducación, minisanidad, minipensiones, minilibertad, minidemocracia. </w:t>
      </w:r>
      <w:r w:rsidRPr="008359DA">
        <w:rPr>
          <w:u w:val="single"/>
        </w:rPr>
        <w:t>La movilidad social inversa</w:t>
      </w:r>
      <w:r>
        <w:t>.</w:t>
      </w:r>
    </w:p>
    <w:p w:rsidR="00164F4F" w:rsidRDefault="00164F4F" w:rsidP="00550638">
      <w:pPr>
        <w:pStyle w:val="NormalWeb"/>
        <w:jc w:val="both"/>
      </w:pPr>
      <w:r>
        <w:t>La clase política no renunciará a sus privilegios de casta, continuará gastando por encima de las posibilidades fiscales en beneficio propio, continuará endeudando a sus países para “socializar” las pérdidas de los bancos, o de las grandes empresas.</w:t>
      </w:r>
    </w:p>
    <w:p w:rsidR="00164F4F" w:rsidRDefault="00164F4F" w:rsidP="00550638">
      <w:pPr>
        <w:pStyle w:val="NormalWeb"/>
        <w:jc w:val="both"/>
      </w:pPr>
      <w:r>
        <w:t xml:space="preserve">Proseguirá “encantando” la economía hacia el borde del abismo. El trabajo será precario, escaso y con salarios menguantes, la educación pública servirá para “aparcar” a los jóvenes privilegiando la cantidad en detrimento de la calidad, la sanidad pública continuará disminuyendo las prestaciones y calidad del servicio, dejando a la mayor parte de la población fuera de cobertura (situación tercermundista). </w:t>
      </w:r>
      <w:r w:rsidRPr="006E02A1">
        <w:rPr>
          <w:u w:val="single"/>
        </w:rPr>
        <w:t>Un bucle siniestro</w:t>
      </w:r>
      <w:r>
        <w:t xml:space="preserve">.    </w:t>
      </w:r>
    </w:p>
    <w:p w:rsidR="00164F4F" w:rsidRDefault="00164F4F" w:rsidP="00550638">
      <w:pPr>
        <w:pStyle w:val="NormalWeb"/>
        <w:jc w:val="both"/>
      </w:pPr>
      <w:r w:rsidRPr="006E02A1">
        <w:rPr>
          <w:u w:val="single"/>
        </w:rPr>
        <w:t>Y los pensionistas</w:t>
      </w:r>
      <w:r>
        <w:t xml:space="preserve"> (hay… los pensionistas), tendrán que ayudar a sus hijos (y tal vez a sus nietos), verán disminuir sus rentas al ritmo de la inflación (o tal vez más), serán mal atendidos por la sanidad pública (les tomarán la presión con el abrigo puesto), vivirán como mendigos, </w:t>
      </w:r>
      <w:r w:rsidRPr="006E02A1">
        <w:rPr>
          <w:u w:val="single"/>
        </w:rPr>
        <w:t>reclamando sin éxito  el cumplimiento del “Contrato Social</w:t>
      </w:r>
      <w:r>
        <w:t xml:space="preserve">”… </w:t>
      </w:r>
    </w:p>
    <w:p w:rsidR="00164F4F" w:rsidRPr="00C53915" w:rsidRDefault="00164F4F" w:rsidP="00550638">
      <w:pPr>
        <w:pStyle w:val="NormalWeb"/>
        <w:jc w:val="both"/>
      </w:pPr>
      <w:r w:rsidRPr="00C15A39">
        <w:rPr>
          <w:b/>
        </w:rPr>
        <w:t>Post scriptum</w:t>
      </w:r>
      <w:r>
        <w:rPr>
          <w:b/>
        </w:rPr>
        <w:t xml:space="preserve"> (sin esperanza y sin miedo): liberalismo para exegetas liberticidas  </w:t>
      </w:r>
    </w:p>
    <w:p w:rsidR="00164F4F" w:rsidRDefault="00164F4F" w:rsidP="00550638">
      <w:pPr>
        <w:pStyle w:val="Estndar"/>
        <w:jc w:val="both"/>
        <w:rPr>
          <w:szCs w:val="24"/>
        </w:rPr>
      </w:pPr>
      <w:r>
        <w:rPr>
          <w:szCs w:val="24"/>
        </w:rPr>
        <w:t>“</w:t>
      </w:r>
      <w:r w:rsidRPr="00283743">
        <w:rPr>
          <w:szCs w:val="24"/>
        </w:rPr>
        <w:t xml:space="preserve">Hay </w:t>
      </w:r>
      <w:r>
        <w:rPr>
          <w:szCs w:val="24"/>
        </w:rPr>
        <w:t>que “aggiornar”</w:t>
      </w:r>
      <w:r w:rsidRPr="00283743">
        <w:rPr>
          <w:szCs w:val="24"/>
        </w:rPr>
        <w:t xml:space="preserve"> al estado del bienestar. Intentar que el ciudadan</w:t>
      </w:r>
      <w:r>
        <w:rPr>
          <w:szCs w:val="24"/>
        </w:rPr>
        <w:t>o asuma la responsabilidad de sí</w:t>
      </w:r>
      <w:r w:rsidRPr="00283743">
        <w:rPr>
          <w:szCs w:val="24"/>
        </w:rPr>
        <w:t xml:space="preserve"> mismo. Darle libertad y responsabilidad.</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En este proceso de trasvasamiento de iniciativas y riesgos al sector privado el gobierno pierde cometido y por consiguiente contenido.</w:t>
      </w:r>
    </w:p>
    <w:p w:rsidR="00164F4F" w:rsidRDefault="00164F4F" w:rsidP="00550638">
      <w:pPr>
        <w:pStyle w:val="Estndar"/>
        <w:jc w:val="both"/>
        <w:rPr>
          <w:szCs w:val="24"/>
        </w:rPr>
      </w:pPr>
    </w:p>
    <w:p w:rsidR="00164F4F" w:rsidRDefault="00164F4F" w:rsidP="00550638">
      <w:pPr>
        <w:pStyle w:val="Estndar"/>
        <w:jc w:val="both"/>
        <w:rPr>
          <w:szCs w:val="24"/>
        </w:rPr>
      </w:pPr>
      <w:r w:rsidRPr="00283743">
        <w:rPr>
          <w:szCs w:val="24"/>
        </w:rPr>
        <w:t xml:space="preserve">En </w:t>
      </w:r>
      <w:r>
        <w:rPr>
          <w:szCs w:val="24"/>
        </w:rPr>
        <w:t>España (</w:t>
      </w:r>
      <w:r w:rsidRPr="00283743">
        <w:rPr>
          <w:szCs w:val="24"/>
        </w:rPr>
        <w:t>Europa</w:t>
      </w:r>
      <w:r>
        <w:rPr>
          <w:szCs w:val="24"/>
        </w:rPr>
        <w:t>)</w:t>
      </w:r>
      <w:r w:rsidRPr="00283743">
        <w:rPr>
          <w:szCs w:val="24"/>
        </w:rPr>
        <w:t xml:space="preserve"> falta ciudadano y sobra gobierno. Hay una dejación de responsabilidades individu</w:t>
      </w:r>
      <w:r>
        <w:rPr>
          <w:szCs w:val="24"/>
        </w:rPr>
        <w:t>ales. Podría decir -si se me</w:t>
      </w:r>
      <w:r w:rsidRPr="00283743">
        <w:rPr>
          <w:szCs w:val="24"/>
        </w:rPr>
        <w:t xml:space="preserve"> permite- que existe una inmadurez personal y un estado paternalista plenipotente.</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lastRenderedPageBreak/>
        <w:t>Más de lo mismo es imposible. Más allá de</w:t>
      </w:r>
      <w:r>
        <w:rPr>
          <w:szCs w:val="24"/>
        </w:rPr>
        <w:t xml:space="preserve"> razones ideológicas -que he </w:t>
      </w:r>
      <w:r w:rsidRPr="00283743">
        <w:rPr>
          <w:szCs w:val="24"/>
        </w:rPr>
        <w:t>intentado no utilizar- y de razones históricas</w:t>
      </w:r>
      <w:r>
        <w:rPr>
          <w:szCs w:val="24"/>
        </w:rPr>
        <w:t>,</w:t>
      </w:r>
      <w:r w:rsidRPr="00283743">
        <w:rPr>
          <w:szCs w:val="24"/>
        </w:rPr>
        <w:t xml:space="preserve"> existe una estricta lógica económica que se torna incontrastable.</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 el envejecimiento y longevidad de la población hace difícil de continuar un sistema jubilatorio de reparto con una re</w:t>
      </w:r>
      <w:r>
        <w:rPr>
          <w:szCs w:val="24"/>
        </w:rPr>
        <w:t>lación activos/pasivos de 2 a 1</w:t>
      </w:r>
      <w:r w:rsidRPr="00283743">
        <w:rPr>
          <w:szCs w:val="24"/>
        </w:rPr>
        <w:t xml:space="preserve">. De continuarse el sistema actual sólo podrá hacerse -hasta su quiebra- disminuyendo los haberes jubilatorios o apelando a fondos presupuestarios ajenos al sistema y que generaran déficit público o disminuirán otras inversiones prioritarias. </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 el sistema sanitario, en general -sea público o privado-, cada vez requiere mayores fondos. Los avances de la medicina, la tecnología aplicada (tomografía computada, scanner, resonancia m</w:t>
      </w:r>
      <w:r>
        <w:rPr>
          <w:szCs w:val="24"/>
        </w:rPr>
        <w:t>agnética, medicina nuclear, tra</w:t>
      </w:r>
      <w:r w:rsidRPr="00283743">
        <w:rPr>
          <w:szCs w:val="24"/>
        </w:rPr>
        <w:t>splantes, genética, prótesis, etc.) y el envejecimiento de la población potencian un gasto que supera en muchos países europeos el 10% del PIB. También existen, las llamadas, enfermedades sociales (alcoholismo, tabaquismo, drogadicción, sida), que aumentan el gasto en forma exponencial y finalmente la provisión de medicinas gratuitas o subvencionadas, llevan la factura sanitaria a niveles insostenibles, y que sólo se contienen en detrimento de la calidad del servicio (masificación, listas de espera, fallos médicos, etc.).</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 el sistema de subsidio de desempleo, las oficinas de empleo y los cursos de formación ocupacional, son abusivos, contraproducentes, clientelares, placebos, denigrantes, inútiles, incont</w:t>
      </w:r>
      <w:r>
        <w:rPr>
          <w:szCs w:val="24"/>
        </w:rPr>
        <w:t xml:space="preserve">rolables </w:t>
      </w:r>
      <w:r w:rsidRPr="00283743">
        <w:rPr>
          <w:szCs w:val="24"/>
        </w:rPr>
        <w:t>insostenibles</w:t>
      </w:r>
      <w:r>
        <w:rPr>
          <w:szCs w:val="24"/>
        </w:rPr>
        <w:t>.</w:t>
      </w:r>
    </w:p>
    <w:p w:rsidR="00164F4F" w:rsidRDefault="00164F4F" w:rsidP="00550638">
      <w:pPr>
        <w:pStyle w:val="Estndar"/>
        <w:jc w:val="both"/>
        <w:rPr>
          <w:szCs w:val="24"/>
        </w:rPr>
      </w:pPr>
    </w:p>
    <w:p w:rsidR="00164F4F" w:rsidRDefault="00164F4F" w:rsidP="00550638">
      <w:pPr>
        <w:pStyle w:val="Estndar"/>
        <w:jc w:val="both"/>
        <w:rPr>
          <w:szCs w:val="24"/>
        </w:rPr>
      </w:pPr>
      <w:r>
        <w:rPr>
          <w:szCs w:val="24"/>
        </w:rPr>
        <w:t xml:space="preserve"> </w:t>
      </w:r>
      <w:r w:rsidRPr="00283743">
        <w:rPr>
          <w:szCs w:val="24"/>
        </w:rPr>
        <w:t>El subsidio de desempleo, si bien ayuda -en la emergencia- al parado, se torna muchas veces una fuente de fraude, ingreso complementario, clientelismo político, evasión de responsabilidades por parte del perceptor, y disculpas con cargo al presupuesto de una inacción gubernamental para crear empleo. Cuanto menos -en bastantes casos- se torna un sistema desalentador de la búsqueda de trabajo.</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Las Oficinas Nacionales de Empleo -en principio y por lo visto- sólo sirven para proveer de empleo a los propios funcionarios ahí ocupados. Un enorme aparato burocrático que no busca empleo, que no controla a los que cobran el subsidio de desempleo, y que sólo registra estadísticamente el drama humano de los que por sus oficinas pasan.</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Finalmente los cursos de formación ocupacional -según lo constatado- son totalmente inútiles para los parados. Sólo resultan provechosos para los burócratas que los programan, para los sindicatos y asociaciones empresarias que se quedan con buena parte de los subsidios -¿cómplices silenciosos?- y para las empresas de formación subcontratadas.</w:t>
      </w:r>
    </w:p>
    <w:p w:rsidR="00164F4F" w:rsidRPr="00283743" w:rsidRDefault="00164F4F" w:rsidP="00550638">
      <w:pPr>
        <w:pStyle w:val="Estndar"/>
        <w:jc w:val="both"/>
        <w:rPr>
          <w:szCs w:val="24"/>
        </w:rPr>
      </w:pPr>
    </w:p>
    <w:p w:rsidR="00164F4F" w:rsidRDefault="00164F4F" w:rsidP="00550638">
      <w:pPr>
        <w:pStyle w:val="Estndar"/>
        <w:jc w:val="both"/>
        <w:rPr>
          <w:szCs w:val="24"/>
        </w:rPr>
      </w:pPr>
      <w:r>
        <w:rPr>
          <w:szCs w:val="24"/>
        </w:rPr>
        <w:t>En España (Europa)</w:t>
      </w:r>
      <w:r w:rsidRPr="00283743">
        <w:rPr>
          <w:szCs w:val="24"/>
        </w:rPr>
        <w:t xml:space="preserve"> existe</w:t>
      </w:r>
      <w:r>
        <w:rPr>
          <w:szCs w:val="24"/>
        </w:rPr>
        <w:t>, lo que podríamos llamar, una “industria del paro”</w:t>
      </w:r>
      <w:r w:rsidRPr="00283743">
        <w:rPr>
          <w:szCs w:val="24"/>
        </w:rPr>
        <w:t>, con un mendicante beneficiario, el trabajador, un mendaz aprovechador, algunos empresarios, y un sátrapa funcional, el gobierno.</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Amparada en el estado del bienestar se ha generado una masa funcionarial que alcanza el nivel comunitario, nacional, provincial y local.</w:t>
      </w:r>
      <w:r>
        <w:rPr>
          <w:szCs w:val="24"/>
        </w:rPr>
        <w:t xml:space="preserve"> </w:t>
      </w:r>
      <w:r w:rsidRPr="00283743">
        <w:rPr>
          <w:szCs w:val="24"/>
        </w:rPr>
        <w:t>La</w:t>
      </w:r>
      <w:r>
        <w:rPr>
          <w:szCs w:val="24"/>
        </w:rPr>
        <w:t xml:space="preserve"> marea humana de burócratas se “come”</w:t>
      </w:r>
      <w:r w:rsidRPr="00283743">
        <w:rPr>
          <w:szCs w:val="24"/>
        </w:rPr>
        <w:t xml:space="preserve"> la mayor part</w:t>
      </w:r>
      <w:r>
        <w:rPr>
          <w:szCs w:val="24"/>
        </w:rPr>
        <w:t>e del gasto público. O sea que “</w:t>
      </w:r>
      <w:r w:rsidRPr="00283743">
        <w:rPr>
          <w:szCs w:val="24"/>
        </w:rPr>
        <w:t>ell</w:t>
      </w:r>
      <w:r>
        <w:rPr>
          <w:szCs w:val="24"/>
        </w:rPr>
        <w:t>a se lo guisa y ella se lo come”</w:t>
      </w:r>
      <w:r w:rsidRPr="00283743">
        <w:rPr>
          <w:szCs w:val="24"/>
        </w:rPr>
        <w:t>.</w:t>
      </w:r>
    </w:p>
    <w:p w:rsidR="00164F4F" w:rsidRPr="00283743" w:rsidRDefault="00164F4F" w:rsidP="00550638">
      <w:pPr>
        <w:pStyle w:val="Estndar"/>
        <w:jc w:val="both"/>
        <w:rPr>
          <w:szCs w:val="24"/>
        </w:rPr>
      </w:pPr>
    </w:p>
    <w:p w:rsidR="00164F4F" w:rsidRPr="00283743" w:rsidRDefault="00164F4F" w:rsidP="00550638">
      <w:pPr>
        <w:pStyle w:val="Estndar"/>
        <w:jc w:val="both"/>
        <w:rPr>
          <w:szCs w:val="24"/>
        </w:rPr>
      </w:pPr>
      <w:r w:rsidRPr="00283743">
        <w:rPr>
          <w:szCs w:val="24"/>
        </w:rPr>
        <w:lastRenderedPageBreak/>
        <w:t>La patrimonialización del estado ha permitido a los partidos políticos hacer del aparato guberna</w:t>
      </w:r>
      <w:r>
        <w:rPr>
          <w:szCs w:val="24"/>
        </w:rPr>
        <w:t>mental y empresas oficiales su “botín de guerra” preb</w:t>
      </w:r>
      <w:r w:rsidR="00BE0892">
        <w:rPr>
          <w:szCs w:val="24"/>
        </w:rPr>
        <w:t>enda</w:t>
      </w:r>
      <w:r w:rsidRPr="00283743">
        <w:rPr>
          <w:szCs w:val="24"/>
        </w:rPr>
        <w:t>rio y clientelar. Empleo vitalicio, horario mínimo continuo, sistema jubilatorio y asistencial independiente, licencias varias y sin control, ventajas de todo tipo, fondos reservados y viáticos, despachos y parque móvil, tarjetas de crédito sin límite de gasto, pasajes libres de costo, choferes, secretarias, y en su caso custodios, hacen de estos personajes una cast</w:t>
      </w:r>
      <w:r>
        <w:rPr>
          <w:szCs w:val="24"/>
        </w:rPr>
        <w:t>a privilegiada que dispara con “pólvora del Rey”</w:t>
      </w:r>
      <w:r w:rsidRPr="00283743">
        <w:rPr>
          <w:szCs w:val="24"/>
        </w:rPr>
        <w:t>.</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Con lo anterior hemos formado las cuatro patas que garantizan la cantera electoral de cualquier gobierno. El voto del miedo. El voto clientelar. El voto cautivo.</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Si cambia el gobierno van a rebajar la jubilación. Si cambia el gobierno van a cobrar las medicinas, o peor aún, van a privatizar la jubilación y la sanidad. Si cambia el gobierno quitan o disminuyen el subsidio de desempleo. Si cambia el gobierno van a reducir el sector público.</w:t>
      </w:r>
    </w:p>
    <w:p w:rsidR="00164F4F" w:rsidRPr="00283743" w:rsidRDefault="00164F4F" w:rsidP="00550638">
      <w:pPr>
        <w:pStyle w:val="Estndar"/>
        <w:jc w:val="both"/>
        <w:rPr>
          <w:szCs w:val="24"/>
        </w:rPr>
      </w:pPr>
    </w:p>
    <w:p w:rsidR="00164F4F" w:rsidRPr="00283743" w:rsidRDefault="00164F4F" w:rsidP="00550638">
      <w:pPr>
        <w:pStyle w:val="Estndar"/>
        <w:jc w:val="both"/>
        <w:rPr>
          <w:szCs w:val="24"/>
        </w:rPr>
      </w:pPr>
      <w:r w:rsidRPr="00283743">
        <w:rPr>
          <w:szCs w:val="24"/>
        </w:rPr>
        <w:t xml:space="preserve">En grandes números, entre jubilados, </w:t>
      </w:r>
      <w:r>
        <w:rPr>
          <w:szCs w:val="24"/>
        </w:rPr>
        <w:t>parados y funcionaros públicos “temerosos”</w:t>
      </w:r>
      <w:r w:rsidRPr="00283743">
        <w:rPr>
          <w:szCs w:val="24"/>
        </w:rPr>
        <w:t xml:space="preserve"> más algunos usuarios (fuera de esos tres sectores) de la sanidad  reunimos fácilmente un 50/60% del electorado y si a ello a</w:t>
      </w:r>
      <w:r>
        <w:rPr>
          <w:szCs w:val="24"/>
        </w:rPr>
        <w:t>gregamos los familiares de los “agraviados”</w:t>
      </w:r>
      <w:r w:rsidRPr="00283743">
        <w:rPr>
          <w:szCs w:val="24"/>
        </w:rPr>
        <w:t xml:space="preserve"> -influenciados o influenciables- tenemos una cantera que asegura la perpetuación de la demagogia. Muy mal lo tiene que hacer un partido político en ejercicio del gobierno para no ser -¿democráticamente?- reelecto.</w:t>
      </w:r>
    </w:p>
    <w:p w:rsidR="00164F4F" w:rsidRDefault="00164F4F" w:rsidP="00550638">
      <w:pPr>
        <w:pStyle w:val="Estndar"/>
        <w:jc w:val="both"/>
        <w:rPr>
          <w:szCs w:val="24"/>
        </w:rPr>
      </w:pPr>
    </w:p>
    <w:p w:rsidR="00164F4F" w:rsidRPr="00283743" w:rsidRDefault="00164F4F" w:rsidP="00550638">
      <w:pPr>
        <w:pStyle w:val="Estndar"/>
        <w:jc w:val="both"/>
        <w:rPr>
          <w:szCs w:val="24"/>
        </w:rPr>
      </w:pPr>
      <w:r w:rsidRPr="00283743">
        <w:rPr>
          <w:szCs w:val="24"/>
        </w:rPr>
        <w:t>Estas pequeñas muestras -que no las únicas- confirman la necesidad de cambio; demuestran que el infarto -casi podríamos hablar de muerte súbita- está a la vuelta de la esquina, y que el riesgo de una rebelión fiscal es el mal más benigno con que puede re</w:t>
      </w:r>
      <w:r>
        <w:rPr>
          <w:szCs w:val="24"/>
        </w:rPr>
        <w:t>a</w:t>
      </w:r>
      <w:r w:rsidRPr="00283743">
        <w:rPr>
          <w:szCs w:val="24"/>
        </w:rPr>
        <w:t>ccionar el cuerpo social</w:t>
      </w:r>
      <w:r>
        <w:rPr>
          <w:szCs w:val="24"/>
        </w:rPr>
        <w:t xml:space="preserve"> español</w:t>
      </w:r>
      <w:r w:rsidRPr="00283743">
        <w:rPr>
          <w:szCs w:val="24"/>
        </w:rPr>
        <w:t xml:space="preserve"> </w:t>
      </w:r>
      <w:r>
        <w:rPr>
          <w:szCs w:val="24"/>
        </w:rPr>
        <w:t>(</w:t>
      </w:r>
      <w:r w:rsidRPr="00283743">
        <w:rPr>
          <w:szCs w:val="24"/>
        </w:rPr>
        <w:t>europeo</w:t>
      </w:r>
      <w:r>
        <w:rPr>
          <w:szCs w:val="24"/>
        </w:rPr>
        <w:t>)</w:t>
      </w:r>
      <w:r w:rsidRPr="00283743">
        <w:rPr>
          <w:szCs w:val="24"/>
        </w:rPr>
        <w:t>.</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 xml:space="preserve">Primero hay que asumir la realidad (por aquello de que es la única verdad), luego hay que explicarla (a todos los involucrados), entonces vendrá el debate (con luz y taquígrafos), el posible acuerdo consensuado, las reformas necesarias, las prioridades correspondientes y un acomodamiento de las necesidades -ilimitadas- a los bienes disponibles -limitados-. </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No d</w:t>
      </w:r>
      <w:r>
        <w:rPr>
          <w:szCs w:val="24"/>
        </w:rPr>
        <w:t>eben ser los políticos los que “decidan”</w:t>
      </w:r>
      <w:r w:rsidRPr="00283743">
        <w:rPr>
          <w:szCs w:val="24"/>
        </w:rPr>
        <w:t xml:space="preserve"> como se reparte el pan y la sal. Sino los que hagan -mandatarios- lo que el pueblo elija, opte, resuelva. Es hora q</w:t>
      </w:r>
      <w:r>
        <w:rPr>
          <w:szCs w:val="24"/>
        </w:rPr>
        <w:t>ue los políticos vuelvan a ser “</w:t>
      </w:r>
      <w:r w:rsidRPr="00283743">
        <w:rPr>
          <w:szCs w:val="24"/>
        </w:rPr>
        <w:t>represe</w:t>
      </w:r>
      <w:r>
        <w:rPr>
          <w:szCs w:val="24"/>
        </w:rPr>
        <w:t>ntantes”</w:t>
      </w:r>
      <w:r w:rsidRPr="00283743">
        <w:rPr>
          <w:szCs w:val="24"/>
        </w:rPr>
        <w:t>. Que sean servidores públicos y dejen de servirse de lo público.</w:t>
      </w:r>
    </w:p>
    <w:p w:rsidR="00DA15F2" w:rsidRPr="00283743" w:rsidRDefault="00DA15F2" w:rsidP="00550638">
      <w:pPr>
        <w:pStyle w:val="Estndar"/>
        <w:jc w:val="both"/>
        <w:rPr>
          <w:szCs w:val="24"/>
        </w:rPr>
      </w:pPr>
    </w:p>
    <w:p w:rsidR="00164F4F" w:rsidRDefault="00164F4F" w:rsidP="00550638">
      <w:pPr>
        <w:pStyle w:val="Estndar"/>
        <w:jc w:val="both"/>
        <w:rPr>
          <w:szCs w:val="24"/>
        </w:rPr>
      </w:pPr>
      <w:r w:rsidRPr="00283743">
        <w:rPr>
          <w:szCs w:val="24"/>
        </w:rPr>
        <w:t>Antes que el sistema quiebre, antes que estalle la rebelión social, los políticos, los empresarios cortesanos, y todo el aparato clientelar deberá acomodar el bocado de su ambición al pastel de los recursos.</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Tal vez la historia no se repita, pero bueno es mirar un poco hacia atrás para proyectar el futuro.</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La economía no debe hacerse sobre los ancianos, los enfermos, los parados, los pobres, los estudiantes, el medio ambiente, los servicios públicos, las infraestructuras, y la cultura.</w:t>
      </w:r>
    </w:p>
    <w:p w:rsidR="00164F4F" w:rsidRPr="00283743" w:rsidRDefault="00164F4F" w:rsidP="00550638">
      <w:pPr>
        <w:pStyle w:val="Estndar"/>
        <w:jc w:val="both"/>
        <w:rPr>
          <w:szCs w:val="24"/>
        </w:rPr>
      </w:pPr>
    </w:p>
    <w:p w:rsidR="00164F4F" w:rsidRPr="00283743" w:rsidRDefault="00164F4F" w:rsidP="00550638">
      <w:pPr>
        <w:pStyle w:val="Estndar"/>
        <w:jc w:val="both"/>
        <w:rPr>
          <w:szCs w:val="24"/>
        </w:rPr>
      </w:pPr>
      <w:r w:rsidRPr="00283743">
        <w:rPr>
          <w:szCs w:val="24"/>
        </w:rPr>
        <w:lastRenderedPageBreak/>
        <w:t>La economía debe hacerse en la burocracia, el gasto corr</w:t>
      </w:r>
      <w:r>
        <w:rPr>
          <w:szCs w:val="24"/>
        </w:rPr>
        <w:t xml:space="preserve">iente, los contratos del estado, </w:t>
      </w:r>
      <w:r w:rsidRPr="00283743">
        <w:rPr>
          <w:szCs w:val="24"/>
        </w:rPr>
        <w:t>la corrupción, el clientelismo, el electoralismo, las subvenciones a poderosos, la demagogia, la incapacidad, el despilfarro, el mesianismo, el afán de notoriedad, los gabinetes de imagen y las encuestas de intención de voto.</w:t>
      </w:r>
    </w:p>
    <w:p w:rsidR="00164F4F" w:rsidRPr="00283743" w:rsidRDefault="00164F4F" w:rsidP="00550638">
      <w:pPr>
        <w:pStyle w:val="Estndar"/>
        <w:jc w:val="both"/>
        <w:rPr>
          <w:szCs w:val="24"/>
        </w:rPr>
      </w:pPr>
    </w:p>
    <w:p w:rsidR="00164F4F" w:rsidRPr="00283743" w:rsidRDefault="00164F4F" w:rsidP="00550638">
      <w:pPr>
        <w:pStyle w:val="Estndar"/>
        <w:jc w:val="both"/>
        <w:rPr>
          <w:szCs w:val="24"/>
        </w:rPr>
      </w:pPr>
      <w:r w:rsidRPr="00283743">
        <w:rPr>
          <w:szCs w:val="24"/>
        </w:rPr>
        <w:t>Los ciudadanos</w:t>
      </w:r>
      <w:r>
        <w:rPr>
          <w:szCs w:val="24"/>
        </w:rPr>
        <w:t xml:space="preserve"> españoles</w:t>
      </w:r>
      <w:r w:rsidRPr="00283743">
        <w:rPr>
          <w:szCs w:val="24"/>
        </w:rPr>
        <w:t xml:space="preserve"> </w:t>
      </w:r>
      <w:r>
        <w:rPr>
          <w:szCs w:val="24"/>
        </w:rPr>
        <w:t>(</w:t>
      </w:r>
      <w:r w:rsidRPr="00283743">
        <w:rPr>
          <w:szCs w:val="24"/>
        </w:rPr>
        <w:t>europeos</w:t>
      </w:r>
      <w:r>
        <w:rPr>
          <w:szCs w:val="24"/>
        </w:rPr>
        <w:t>)</w:t>
      </w:r>
      <w:r w:rsidRPr="00283743">
        <w:rPr>
          <w:szCs w:val="24"/>
        </w:rPr>
        <w:t xml:space="preserve"> deben asumir su resp</w:t>
      </w:r>
      <w:r>
        <w:rPr>
          <w:szCs w:val="24"/>
        </w:rPr>
        <w:t>onsabilidad. Dejar de tomar la “sopa boba”</w:t>
      </w:r>
      <w:r w:rsidRPr="00283743">
        <w:rPr>
          <w:szCs w:val="24"/>
        </w:rPr>
        <w:t xml:space="preserve"> de los s</w:t>
      </w:r>
      <w:r>
        <w:rPr>
          <w:szCs w:val="24"/>
        </w:rPr>
        <w:t>ubsidios. Abandonar su actitud “estabular”</w:t>
      </w:r>
      <w:r w:rsidRPr="00283743">
        <w:rPr>
          <w:szCs w:val="24"/>
        </w:rPr>
        <w:t xml:space="preserve"> dependiente del gasto público. No continuar con una actitud pusilánime y un silencio mendicante que les llev</w:t>
      </w:r>
      <w:r>
        <w:rPr>
          <w:szCs w:val="24"/>
        </w:rPr>
        <w:t>a a conceder poco menos que el “derecho de pernada”</w:t>
      </w:r>
      <w:r w:rsidRPr="00283743">
        <w:rPr>
          <w:szCs w:val="24"/>
        </w:rPr>
        <w:t xml:space="preserve"> a sus gobernantes. Deben disentir, deben participar, deben votar. Y si es necesario deben rebelarse como lo hicieron tantas veces -para bien- a lo largo de la historia.</w:t>
      </w:r>
    </w:p>
    <w:p w:rsidR="00164F4F" w:rsidRPr="00283743" w:rsidRDefault="00164F4F" w:rsidP="00550638">
      <w:pPr>
        <w:pStyle w:val="Estndar"/>
        <w:jc w:val="both"/>
        <w:rPr>
          <w:szCs w:val="24"/>
        </w:rPr>
      </w:pPr>
    </w:p>
    <w:p w:rsidR="00164F4F" w:rsidRDefault="00164F4F" w:rsidP="00550638">
      <w:pPr>
        <w:pStyle w:val="Estndar"/>
        <w:jc w:val="both"/>
        <w:rPr>
          <w:szCs w:val="24"/>
        </w:rPr>
      </w:pPr>
      <w:r>
        <w:rPr>
          <w:szCs w:val="24"/>
        </w:rPr>
        <w:t>“</w:t>
      </w:r>
      <w:r w:rsidRPr="00283743">
        <w:rPr>
          <w:szCs w:val="24"/>
        </w:rPr>
        <w:t>Con</w:t>
      </w:r>
      <w:r>
        <w:rPr>
          <w:szCs w:val="24"/>
        </w:rPr>
        <w:t>”</w:t>
      </w:r>
      <w:r w:rsidRPr="00283743">
        <w:rPr>
          <w:szCs w:val="24"/>
        </w:rPr>
        <w:t xml:space="preserve"> esperanza y sin miedo, los jóvenes deben reclamar -exigir- lo que es suyo: derecho al trabajo, derecho a la educación, equidad, libertad, democracia, cuidado del planeta, sanidad, vivienda, seguridad, honestidad, ética, responsabilidad, identidad cultural, justicia, solidaridad, información, comunicación, arte. Abandonar el rol suicida social de la indiferencia, apagar el walkman, y si es posible la televisión, dejar de alcoholizarse o drogarse y recuperar el idealismo, la </w:t>
      </w:r>
      <w:r w:rsidR="00D44948" w:rsidRPr="00283743">
        <w:rPr>
          <w:szCs w:val="24"/>
        </w:rPr>
        <w:t>combatividad</w:t>
      </w:r>
      <w:r w:rsidRPr="00283743">
        <w:rPr>
          <w:szCs w:val="24"/>
        </w:rPr>
        <w:t xml:space="preserve"> y hasta la utopía. Ser sujetos y no consumidores. Hacer la historia y no verla por televisión. </w:t>
      </w:r>
    </w:p>
    <w:p w:rsidR="00164F4F" w:rsidRPr="00283743" w:rsidRDefault="00164F4F" w:rsidP="00550638">
      <w:pPr>
        <w:pStyle w:val="Estndar"/>
        <w:jc w:val="both"/>
        <w:rPr>
          <w:szCs w:val="24"/>
        </w:rPr>
      </w:pPr>
    </w:p>
    <w:p w:rsidR="00164F4F" w:rsidRDefault="00164F4F" w:rsidP="00550638">
      <w:pPr>
        <w:pStyle w:val="Estndar"/>
        <w:jc w:val="both"/>
        <w:rPr>
          <w:szCs w:val="24"/>
        </w:rPr>
      </w:pPr>
      <w:r w:rsidRPr="00283743">
        <w:rPr>
          <w:szCs w:val="24"/>
        </w:rPr>
        <w:t xml:space="preserve">Interpretando a Francois Furet podríamos concluir: </w:t>
      </w:r>
      <w:r>
        <w:rPr>
          <w:szCs w:val="24"/>
        </w:rPr>
        <w:t>“N</w:t>
      </w:r>
      <w:r w:rsidRPr="00283743">
        <w:rPr>
          <w:szCs w:val="24"/>
        </w:rPr>
        <w:t>i el fin del comunismo, ni la globalización económica modifican en nada la exigencia dem</w:t>
      </w:r>
      <w:r>
        <w:rPr>
          <w:szCs w:val="24"/>
        </w:rPr>
        <w:t xml:space="preserve">ocrática de otra sociedad… </w:t>
      </w:r>
      <w:r w:rsidRPr="00283743">
        <w:rPr>
          <w:szCs w:val="24"/>
        </w:rPr>
        <w:t>La desaparición de ciertas figuras familiares de nuestro siglo sólo pone punto final a una época, mas no agota el rep</w:t>
      </w:r>
      <w:r>
        <w:rPr>
          <w:szCs w:val="24"/>
        </w:rPr>
        <w:t>ertorio de la democracia”...</w:t>
      </w:r>
    </w:p>
    <w:p w:rsidR="00164F4F" w:rsidRDefault="00164F4F" w:rsidP="00550638">
      <w:pPr>
        <w:pStyle w:val="Estndar"/>
        <w:jc w:val="both"/>
        <w:rPr>
          <w:szCs w:val="24"/>
        </w:rPr>
      </w:pPr>
    </w:p>
    <w:p w:rsidR="00164F4F" w:rsidRPr="00697BE9" w:rsidRDefault="00164F4F" w:rsidP="00550638">
      <w:pPr>
        <w:pStyle w:val="Estndar"/>
        <w:jc w:val="both"/>
        <w:rPr>
          <w:szCs w:val="24"/>
          <w:u w:val="single"/>
        </w:rPr>
      </w:pPr>
      <w:r w:rsidRPr="00697BE9">
        <w:rPr>
          <w:szCs w:val="24"/>
          <w:u w:val="single"/>
        </w:rPr>
        <w:t>Estas reflexiones fueron escritas a principios del año 1998. Corresponden al Capítulo XIV (Tendencias - Propuestas) del Ensayo “Globalización Económica (el imperio de la mediocridad)”.</w:t>
      </w:r>
    </w:p>
    <w:p w:rsidR="00164F4F" w:rsidRPr="00697BE9" w:rsidRDefault="00164F4F" w:rsidP="00550638">
      <w:pPr>
        <w:pStyle w:val="Estndar"/>
        <w:jc w:val="both"/>
        <w:rPr>
          <w:szCs w:val="24"/>
          <w:u w:val="single"/>
        </w:rPr>
      </w:pPr>
    </w:p>
    <w:p w:rsidR="00164F4F" w:rsidRDefault="00164F4F" w:rsidP="00550638">
      <w:pPr>
        <w:pStyle w:val="Estndar"/>
        <w:jc w:val="both"/>
        <w:rPr>
          <w:szCs w:val="24"/>
        </w:rPr>
      </w:pPr>
      <w:r>
        <w:rPr>
          <w:szCs w:val="24"/>
        </w:rPr>
        <w:t xml:space="preserve">Es lamentable constatar su vigencia. Una evidencia, deplorable, de lo poco o nada que se ha hecho por mejorar el funcionamiento de la economía española (en particular) y europea (en general) en los últimos 15 años. Un tiempo perdido entre burbujas y medianoche. </w:t>
      </w:r>
    </w:p>
    <w:p w:rsidR="00164F4F" w:rsidRDefault="00164F4F" w:rsidP="00550638">
      <w:pPr>
        <w:pStyle w:val="Estndar"/>
        <w:jc w:val="both"/>
        <w:rPr>
          <w:szCs w:val="24"/>
        </w:rPr>
      </w:pPr>
    </w:p>
    <w:p w:rsidR="00164F4F" w:rsidRDefault="00164F4F" w:rsidP="00550638">
      <w:pPr>
        <w:pStyle w:val="Estndar"/>
        <w:jc w:val="both"/>
        <w:rPr>
          <w:szCs w:val="24"/>
        </w:rPr>
        <w:sectPr w:rsidR="00164F4F" w:rsidSect="00780364">
          <w:pgSz w:w="11906" w:h="16838"/>
          <w:pgMar w:top="1417" w:right="1701" w:bottom="1417" w:left="1701" w:header="708" w:footer="708" w:gutter="0"/>
          <w:cols w:space="708"/>
          <w:docGrid w:linePitch="360"/>
        </w:sectPr>
      </w:pPr>
      <w:r>
        <w:rPr>
          <w:szCs w:val="24"/>
          <w:u w:val="single"/>
        </w:rPr>
        <w:t>Fatuos</w:t>
      </w:r>
      <w:r w:rsidRPr="002C51FB">
        <w:rPr>
          <w:szCs w:val="24"/>
          <w:u w:val="single"/>
        </w:rPr>
        <w:t xml:space="preserve"> burócratas</w:t>
      </w:r>
      <w:r>
        <w:rPr>
          <w:szCs w:val="24"/>
        </w:rPr>
        <w:t>: a ver si se animan, esta vez… (para no repetirles la misma cantinela dentro de otros 15 años; aunque con la sanidad y las pensiones vigentes, creo que no llegaré)… Vamos, recuerden a María Antonieta, y actúen antes que llegue la guillotina.</w:t>
      </w:r>
    </w:p>
    <w:p w:rsidR="00164F4F" w:rsidRDefault="00164F4F" w:rsidP="00550638">
      <w:pPr>
        <w:pStyle w:val="Estndar"/>
        <w:jc w:val="both"/>
        <w:rPr>
          <w:szCs w:val="24"/>
        </w:rPr>
      </w:pPr>
    </w:p>
    <w:p w:rsidR="00164F4F" w:rsidRDefault="00164F4F" w:rsidP="00550638">
      <w:pPr>
        <w:pStyle w:val="NormalWeb"/>
        <w:jc w:val="both"/>
      </w:pPr>
      <w:r>
        <w:t xml:space="preserve">- </w:t>
      </w:r>
      <w:r w:rsidRPr="00925ACE">
        <w:rPr>
          <w:u w:val="single"/>
        </w:rPr>
        <w:t>Informe de la Comisión Europea</w:t>
      </w:r>
      <w:r>
        <w:t xml:space="preserve"> - (El Confidencial - </w:t>
      </w:r>
      <w:r w:rsidRPr="00925ACE">
        <w:rPr>
          <w:b/>
        </w:rPr>
        <w:t>19/12/12</w:t>
      </w:r>
      <w:r>
        <w:t>)</w:t>
      </w:r>
    </w:p>
    <w:p w:rsidR="00164F4F" w:rsidRDefault="00164F4F" w:rsidP="00550638">
      <w:pPr>
        <w:pStyle w:val="NormalWeb"/>
        <w:jc w:val="both"/>
        <w:sectPr w:rsidR="00164F4F" w:rsidSect="00780364">
          <w:pgSz w:w="16838" w:h="11906" w:orient="landscape"/>
          <w:pgMar w:top="1701" w:right="1418" w:bottom="1701" w:left="1418" w:header="709" w:footer="709" w:gutter="0"/>
          <w:cols w:space="708"/>
          <w:docGrid w:linePitch="360"/>
        </w:sectPr>
      </w:pPr>
      <w:r>
        <w:rPr>
          <w:noProof/>
        </w:rPr>
        <w:drawing>
          <wp:inline distT="0" distB="0" distL="0" distR="0" wp14:anchorId="1AE4EE8C" wp14:editId="5BA037E4">
            <wp:extent cx="8617585" cy="4601210"/>
            <wp:effectExtent l="0" t="0" r="0" b="8890"/>
            <wp:docPr id="470" name="Imagen 470" descr="2012121855sanchez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012121855sanchez3"/>
                    <pic:cNvPicPr>
                      <a:picLocks noChangeAspect="1" noChangeArrowheads="1"/>
                    </pic:cNvPicPr>
                  </pic:nvPicPr>
                  <pic:blipFill>
                    <a:blip r:embed="rId391">
                      <a:extLst>
                        <a:ext uri="{28A0092B-C50C-407E-A947-70E740481C1C}">
                          <a14:useLocalDpi xmlns:a14="http://schemas.microsoft.com/office/drawing/2010/main" val="0"/>
                        </a:ext>
                      </a:extLst>
                    </a:blip>
                    <a:srcRect/>
                    <a:stretch>
                      <a:fillRect/>
                    </a:stretch>
                  </pic:blipFill>
                  <pic:spPr bwMode="auto">
                    <a:xfrm>
                      <a:off x="0" y="0"/>
                      <a:ext cx="8617585" cy="4601210"/>
                    </a:xfrm>
                    <a:prstGeom prst="rect">
                      <a:avLst/>
                    </a:prstGeom>
                    <a:noFill/>
                    <a:ln>
                      <a:noFill/>
                    </a:ln>
                  </pic:spPr>
                </pic:pic>
              </a:graphicData>
            </a:graphic>
          </wp:inline>
        </w:drawing>
      </w:r>
    </w:p>
    <w:p w:rsidR="00164F4F" w:rsidRDefault="00164F4F" w:rsidP="00550638">
      <w:pPr>
        <w:pStyle w:val="NormalWeb"/>
        <w:jc w:val="both"/>
      </w:pPr>
    </w:p>
    <w:p w:rsidR="00164F4F" w:rsidRPr="008528B3" w:rsidRDefault="00164F4F" w:rsidP="00550638">
      <w:pPr>
        <w:pStyle w:val="NormalWeb"/>
        <w:jc w:val="both"/>
      </w:pPr>
      <w:r>
        <w:rPr>
          <w:noProof/>
        </w:rPr>
        <w:drawing>
          <wp:inline distT="0" distB="0" distL="0" distR="0" wp14:anchorId="2C8D0729" wp14:editId="395887DC">
            <wp:extent cx="5186680" cy="3599180"/>
            <wp:effectExtent l="0" t="0" r="0" b="1270"/>
            <wp:docPr id="458" name="Imagen 458" descr="2012121881sanchez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2012121881sanchez1"/>
                    <pic:cNvPicPr>
                      <a:picLocks noChangeAspect="1" noChangeArrowheads="1"/>
                    </pic:cNvPicPr>
                  </pic:nvPicPr>
                  <pic:blipFill>
                    <a:blip r:embed="rId392">
                      <a:extLst>
                        <a:ext uri="{28A0092B-C50C-407E-A947-70E740481C1C}">
                          <a14:useLocalDpi xmlns:a14="http://schemas.microsoft.com/office/drawing/2010/main" val="0"/>
                        </a:ext>
                      </a:extLst>
                    </a:blip>
                    <a:srcRect/>
                    <a:stretch>
                      <a:fillRect/>
                    </a:stretch>
                  </pic:blipFill>
                  <pic:spPr bwMode="auto">
                    <a:xfrm>
                      <a:off x="0" y="0"/>
                      <a:ext cx="5186680" cy="3599180"/>
                    </a:xfrm>
                    <a:prstGeom prst="rect">
                      <a:avLst/>
                    </a:prstGeom>
                    <a:noFill/>
                    <a:ln>
                      <a:noFill/>
                    </a:ln>
                  </pic:spPr>
                </pic:pic>
              </a:graphicData>
            </a:graphic>
          </wp:inline>
        </w:drawing>
      </w:r>
    </w:p>
    <w:p w:rsidR="00164F4F" w:rsidRDefault="00164F4F" w:rsidP="00550638">
      <w:pPr>
        <w:pStyle w:val="NormalWeb"/>
        <w:jc w:val="both"/>
        <w:rPr>
          <w:b/>
        </w:rPr>
      </w:pPr>
      <w:r w:rsidRPr="00AD0C9F">
        <w:rPr>
          <w:b/>
        </w:rPr>
        <w:t xml:space="preserve">Unos </w:t>
      </w:r>
      <w:r>
        <w:rPr>
          <w:b/>
        </w:rPr>
        <w:t>“</w:t>
      </w:r>
      <w:r w:rsidRPr="00AD0C9F">
        <w:rPr>
          <w:b/>
        </w:rPr>
        <w:t>cuadros</w:t>
      </w:r>
      <w:r>
        <w:rPr>
          <w:b/>
        </w:rPr>
        <w:t>”</w:t>
      </w:r>
      <w:r w:rsidRPr="00AD0C9F">
        <w:rPr>
          <w:b/>
        </w:rPr>
        <w:t xml:space="preserve"> para colgar en el Museo del Prado, o el Louvre, o la National Gallery, o la Gemaeldegalerie  o la Galería Uffizi, o el Rijks (aprovechando su reapertura), o el Kunsthistorisches… y mirarlos muy bien, y volver a mirarlos… antes de “colgar” a los políticos o “colgarse” uno mismo (es que a la fuerza ahorcan)... Pero antes, habría que pedir explicaciones y aclararse uno mismo -haciendo el esfuerzo de pensar, por favor- que post guerra estamos viviendo (sin una guerra real previa) para padecer semejantes sacrificios. ¿Quiénes han sido los “mariscales” de la derrota? ¿Cuál es el tribunal que los juzgará? ¿Qué castigo ejemplar se les impondrá?...</w:t>
      </w:r>
      <w:r>
        <w:rPr>
          <w:b/>
        </w:rPr>
        <w:t xml:space="preserve"> ¿Hasta dónde puede llegar esta rutina de los rescates?</w:t>
      </w:r>
    </w:p>
    <w:p w:rsidR="00164F4F" w:rsidRPr="00EC0E91" w:rsidRDefault="00164F4F" w:rsidP="00550638">
      <w:pPr>
        <w:pStyle w:val="NormalWeb"/>
        <w:jc w:val="both"/>
        <w:rPr>
          <w:b/>
        </w:rPr>
      </w:pPr>
      <w:r w:rsidRPr="00EC0E91">
        <w:rPr>
          <w:b/>
        </w:rPr>
        <w:t>Muchas familias están descendiendo en la escalera económica que sus padres y abuelos ascendieron, y a menudo han pasado a depender de las decrecientes pensiones de esos mismos jubilados. Las familias que ya eran pobres están cayendo en los brazos de los organismos de beneficencia, que apenas dan abasto.</w:t>
      </w:r>
    </w:p>
    <w:p w:rsidR="00164F4F" w:rsidRPr="004D4FEA" w:rsidRDefault="00164F4F" w:rsidP="00550638">
      <w:pPr>
        <w:spacing w:before="100" w:beforeAutospacing="1" w:after="100" w:afterAutospacing="1" w:line="240" w:lineRule="auto"/>
        <w:jc w:val="both"/>
        <w:rPr>
          <w:rFonts w:ascii="Times New Roman" w:eastAsia="Times New Roman" w:hAnsi="Times New Roman"/>
          <w:sz w:val="24"/>
          <w:szCs w:val="24"/>
          <w:lang w:eastAsia="es-ES"/>
        </w:rPr>
      </w:pPr>
      <w:r w:rsidRPr="00EC0E91">
        <w:rPr>
          <w:rFonts w:ascii="Times New Roman" w:eastAsia="Times New Roman" w:hAnsi="Times New Roman"/>
          <w:b/>
          <w:sz w:val="24"/>
          <w:szCs w:val="24"/>
          <w:lang w:eastAsia="es-ES"/>
        </w:rPr>
        <w:t>Andreas Schleicher, asesor especial de educación en la Organización para la Cooperación y el Desarrollo Económico (OCDE), dice que Estados Unidos es actualmente la única gran economía del mundo en la que la generación más joven no estará mejor educada que la anterior. Las estadísticas del informe anual de la OCDE muestran que sólo uno de cada cinco adultos jóvenes de EEUU consigue un nivel educativo más alto que el de sus padres.</w:t>
      </w:r>
      <w:r>
        <w:rPr>
          <w:rFonts w:ascii="Times New Roman" w:eastAsia="Times New Roman" w:hAnsi="Times New Roman"/>
          <w:b/>
          <w:sz w:val="24"/>
          <w:szCs w:val="24"/>
          <w:lang w:eastAsia="es-ES"/>
        </w:rPr>
        <w:t xml:space="preserve"> (</w:t>
      </w:r>
      <w:r>
        <w:rPr>
          <w:rFonts w:ascii="Times New Roman" w:eastAsia="Times New Roman" w:hAnsi="Times New Roman"/>
          <w:sz w:val="24"/>
          <w:szCs w:val="24"/>
          <w:u w:val="single"/>
          <w:lang w:eastAsia="es-ES"/>
        </w:rPr>
        <w:t>EEUU</w:t>
      </w:r>
      <w:r w:rsidRPr="004D4FEA">
        <w:rPr>
          <w:rFonts w:ascii="Times New Roman" w:eastAsia="Times New Roman" w:hAnsi="Times New Roman"/>
          <w:sz w:val="24"/>
          <w:szCs w:val="24"/>
          <w:u w:val="single"/>
          <w:lang w:eastAsia="es-ES"/>
        </w:rPr>
        <w:t>: el ascenso social va en descenso</w:t>
      </w:r>
      <w:r>
        <w:rPr>
          <w:rFonts w:ascii="Times New Roman" w:eastAsia="Times New Roman" w:hAnsi="Times New Roman"/>
          <w:sz w:val="24"/>
          <w:szCs w:val="24"/>
          <w:lang w:eastAsia="es-ES"/>
        </w:rPr>
        <w:t xml:space="preserve"> - The Wall Street Journal - </w:t>
      </w:r>
      <w:r w:rsidRPr="004D4FEA">
        <w:rPr>
          <w:rFonts w:ascii="Times New Roman" w:eastAsia="Times New Roman" w:hAnsi="Times New Roman"/>
          <w:b/>
          <w:sz w:val="24"/>
          <w:szCs w:val="24"/>
          <w:lang w:eastAsia="es-ES"/>
        </w:rPr>
        <w:t>17/12/12</w:t>
      </w:r>
      <w:r>
        <w:rPr>
          <w:rFonts w:ascii="Times New Roman" w:eastAsia="Times New Roman" w:hAnsi="Times New Roman"/>
          <w:sz w:val="24"/>
          <w:szCs w:val="24"/>
          <w:lang w:eastAsia="es-ES"/>
        </w:rPr>
        <w:t>)</w:t>
      </w:r>
    </w:p>
    <w:p w:rsidR="00164F4F" w:rsidRPr="00EC0E91"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sidRPr="00EC0E91">
        <w:rPr>
          <w:rFonts w:ascii="Times New Roman" w:eastAsia="Times New Roman" w:hAnsi="Times New Roman"/>
          <w:b/>
          <w:sz w:val="24"/>
          <w:szCs w:val="24"/>
          <w:lang w:eastAsia="es-ES"/>
        </w:rPr>
        <w:t>Este es uno de los índices más bajos de ascenso social en el mundo desarrollado.</w:t>
      </w:r>
    </w:p>
    <w:p w:rsidR="00164F4F" w:rsidRPr="00EC0E91"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sidRPr="00EC0E91">
        <w:rPr>
          <w:rFonts w:ascii="Times New Roman" w:eastAsia="Times New Roman" w:hAnsi="Times New Roman"/>
          <w:b/>
          <w:sz w:val="24"/>
          <w:szCs w:val="24"/>
          <w:lang w:eastAsia="es-ES"/>
        </w:rPr>
        <w:t xml:space="preserve">A pesar de ser un país cuya imagen está basada en el optimismo y la oportunidad, EEUU es ahora un lugar en el que es poco probable que un hijo con padres poco </w:t>
      </w:r>
      <w:r w:rsidRPr="00EC0E91">
        <w:rPr>
          <w:rFonts w:ascii="Times New Roman" w:eastAsia="Times New Roman" w:hAnsi="Times New Roman"/>
          <w:b/>
          <w:sz w:val="24"/>
          <w:szCs w:val="24"/>
          <w:lang w:eastAsia="es-ES"/>
        </w:rPr>
        <w:lastRenderedPageBreak/>
        <w:t>educados llegue a la universidad. Mucho menos probable que en cualquier otro país industrializado.</w:t>
      </w:r>
    </w:p>
    <w:p w:rsidR="00164F4F" w:rsidRPr="00EC0E91"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sidRPr="00EC0E91">
        <w:rPr>
          <w:rFonts w:ascii="Times New Roman" w:eastAsia="Times New Roman" w:hAnsi="Times New Roman"/>
          <w:b/>
          <w:sz w:val="24"/>
          <w:szCs w:val="24"/>
          <w:lang w:eastAsia="es-ES"/>
        </w:rPr>
        <w:t>Es exactamente lo contrario a un final feliz de Hollywood.</w:t>
      </w:r>
    </w:p>
    <w:p w:rsidR="00164F4F" w:rsidRPr="00EC0E91"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sidRPr="00EC0E91">
        <w:rPr>
          <w:rFonts w:ascii="Times New Roman" w:eastAsia="Times New Roman" w:hAnsi="Times New Roman"/>
          <w:b/>
          <w:sz w:val="24"/>
          <w:szCs w:val="24"/>
          <w:lang w:eastAsia="es-ES"/>
        </w:rPr>
        <w:t>Además, sólo uno de cada cinco jóvenes adultos en EEUU se identifica ahora en términos educativos con la “movilidad descendente”, pues a pesar de tener padres con posgrados, ellos no pueden alcanzar ese nivel universitario.</w:t>
      </w:r>
    </w:p>
    <w:p w:rsidR="00164F4F" w:rsidRPr="00EC0E91"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sidRPr="00EC0E91">
        <w:rPr>
          <w:rFonts w:ascii="Times New Roman" w:eastAsia="Times New Roman" w:hAnsi="Times New Roman"/>
          <w:b/>
          <w:sz w:val="24"/>
          <w:szCs w:val="24"/>
          <w:lang w:eastAsia="es-ES"/>
        </w:rPr>
        <w:t>Un estudio realizado por el Centro Pew examinó el fenómeno del descenso social y encontró que un tercio de los adultos de clase media abandonará ese estatus en algún momento de su vida adulta.</w:t>
      </w:r>
    </w:p>
    <w:p w:rsidR="00164F4F" w:rsidRPr="00EC0E91"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sidRPr="00EC0E91">
        <w:rPr>
          <w:rFonts w:ascii="Times New Roman" w:eastAsia="Times New Roman" w:hAnsi="Times New Roman"/>
          <w:b/>
          <w:sz w:val="24"/>
          <w:szCs w:val="24"/>
          <w:lang w:eastAsia="es-ES"/>
        </w:rPr>
        <w:t>Los hallazgos reflejan una percepción de inseguridad moderna, pues las familias ya no pueden suponer que sus hijos serán prósperos. De hecho, se espera que aproximadamente una cuarta parte de los niños nacidos en la clase media bajen de estatus.</w:t>
      </w:r>
    </w:p>
    <w:p w:rsidR="00164F4F" w:rsidRPr="00EC0E91"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sidRPr="00EC0E91">
        <w:rPr>
          <w:rFonts w:ascii="Times New Roman" w:eastAsia="Times New Roman" w:hAnsi="Times New Roman"/>
          <w:b/>
          <w:sz w:val="24"/>
          <w:szCs w:val="24"/>
          <w:lang w:eastAsia="es-ES"/>
        </w:rPr>
        <w:t>Nada de esto encaja con la imagen de EEUU como lugar ideal para empezar de cero y de millonarios que se hacen a sí mismos.</w:t>
      </w:r>
    </w:p>
    <w:p w:rsidR="00164F4F" w:rsidRPr="00EC0E91"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sidRPr="00EC0E91">
        <w:rPr>
          <w:rFonts w:ascii="Times New Roman" w:eastAsia="Times New Roman" w:hAnsi="Times New Roman"/>
          <w:b/>
          <w:sz w:val="24"/>
          <w:szCs w:val="24"/>
          <w:lang w:eastAsia="es-ES"/>
        </w:rPr>
        <w:t>“El sueño americano se ha estancado”, dice el informe de la American Asociation of Community Colleges</w:t>
      </w:r>
      <w:r>
        <w:rPr>
          <w:rFonts w:ascii="Times New Roman" w:eastAsia="Times New Roman" w:hAnsi="Times New Roman"/>
          <w:b/>
          <w:sz w:val="24"/>
          <w:szCs w:val="24"/>
          <w:lang w:eastAsia="es-ES"/>
        </w:rPr>
        <w:t>,</w:t>
      </w:r>
      <w:r w:rsidRPr="00EC0E91">
        <w:rPr>
          <w:rFonts w:ascii="Times New Roman" w:eastAsia="Times New Roman" w:hAnsi="Times New Roman"/>
          <w:b/>
          <w:sz w:val="24"/>
          <w:szCs w:val="24"/>
          <w:lang w:eastAsia="es-ES"/>
        </w:rPr>
        <w:t xml:space="preserve"> que además describe a una sociedad en donde los ingresos familiares han caído durante más de una década.</w:t>
      </w:r>
    </w:p>
    <w:p w:rsidR="00164F4F"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sidRPr="00EC0E91">
        <w:rPr>
          <w:rFonts w:ascii="Times New Roman" w:eastAsia="Times New Roman" w:hAnsi="Times New Roman"/>
          <w:b/>
          <w:sz w:val="24"/>
          <w:szCs w:val="24"/>
          <w:lang w:eastAsia="es-ES"/>
        </w:rPr>
        <w:t>“Es más probable que un niño que nace pobre en Estados Unidos hoy en día, siga siendo pobre el resto de su vida, mucho más que en ningún otro momento de nuestra historia. Muchas otras naciones ahora nos superan en nivel de estudio y movilidad económica. La clase media estadounidense se está encogiendo ante nuestros ojos”.</w:t>
      </w:r>
    </w:p>
    <w:p w:rsidR="00164F4F" w:rsidRPr="00EC0E91" w:rsidRDefault="00164F4F" w:rsidP="00550638">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Vuelvo a preguntar Señores: ¿Qué guerra se ha perdido? ¿Qué deuda de guerra se está pagando? ¿En nombre de qué o quién, se está condenando a la pobreza a tanta gente (de tres generaciones)? ¿Por qué nos han robado (hasta) el futuro?</w:t>
      </w:r>
    </w:p>
    <w:p w:rsidR="00882D3E" w:rsidRDefault="00164F4F" w:rsidP="00550638">
      <w:pPr>
        <w:spacing w:line="240" w:lineRule="auto"/>
        <w:jc w:val="both"/>
        <w:rPr>
          <w:rFonts w:ascii="Times New Roman" w:hAnsi="Times New Roman"/>
          <w:b/>
          <w:sz w:val="24"/>
          <w:szCs w:val="24"/>
        </w:rPr>
      </w:pPr>
      <w:r w:rsidRPr="00FC46CC">
        <w:rPr>
          <w:rFonts w:ascii="Times New Roman" w:hAnsi="Times New Roman"/>
          <w:i/>
          <w:sz w:val="24"/>
          <w:szCs w:val="24"/>
        </w:rPr>
        <w:t xml:space="preserve">“Los bancos convencionales han perdido mucho, y ahora están en el proceso de depreciarse en cientos de miles de millones de dólares, que es mucho dinero. Y mientras discutimos sobre esto, y hablamos de la ralentización de la economía a causa de los problemas del sector bancario, nadie se ha hecho la pregunta de ¿quién es el responsable de esto? No se ha hecho ninguna investigación, no se ha escrito ningún editorial. Si un empleado mediano comete un error y pierde dinero, se hacen muchas investigaciones, pero por cientos de miles de millones nadie hace nada. La gente responsable de esto está probablemente jugando al golf, y no les importa. Sus salarios no se han visto afectados. Pero, eso sí, nadie le deja dinero a una mujer pobre por si no lo puede devolver”… </w:t>
      </w:r>
      <w:r w:rsidRPr="00FC46CC">
        <w:rPr>
          <w:rFonts w:ascii="Times New Roman" w:hAnsi="Times New Roman"/>
          <w:sz w:val="24"/>
          <w:szCs w:val="24"/>
        </w:rPr>
        <w:t>Muhammad Yunus, Presidente del Banco Grameen y Nobel de la Paz)</w:t>
      </w:r>
      <w:r>
        <w:rPr>
          <w:rFonts w:ascii="Times New Roman" w:hAnsi="Times New Roman"/>
          <w:sz w:val="24"/>
          <w:szCs w:val="24"/>
        </w:rPr>
        <w:t xml:space="preserve"> - </w:t>
      </w:r>
      <w:r w:rsidRPr="00307D1C">
        <w:rPr>
          <w:rFonts w:ascii="Times New Roman" w:hAnsi="Times New Roman"/>
          <w:sz w:val="24"/>
          <w:szCs w:val="24"/>
        </w:rPr>
        <w:t>De mi Ensayo:</w:t>
      </w:r>
      <w:r>
        <w:rPr>
          <w:rFonts w:ascii="Times New Roman" w:hAnsi="Times New Roman"/>
          <w:sz w:val="24"/>
          <w:szCs w:val="24"/>
        </w:rPr>
        <w:t xml:space="preserve"> </w:t>
      </w:r>
      <w:r w:rsidRPr="00307D1C">
        <w:rPr>
          <w:rFonts w:ascii="Times New Roman" w:hAnsi="Times New Roman"/>
          <w:b/>
          <w:sz w:val="24"/>
          <w:szCs w:val="24"/>
        </w:rPr>
        <w:t>La codicia de los mercados (el virus mutante)</w:t>
      </w:r>
      <w:r>
        <w:rPr>
          <w:rFonts w:ascii="Times New Roman" w:hAnsi="Times New Roman"/>
          <w:sz w:val="24"/>
          <w:szCs w:val="24"/>
        </w:rPr>
        <w:t xml:space="preserve"> - </w:t>
      </w:r>
      <w:r w:rsidRPr="00307D1C">
        <w:rPr>
          <w:rFonts w:ascii="Times New Roman" w:hAnsi="Times New Roman"/>
          <w:b/>
          <w:sz w:val="24"/>
          <w:szCs w:val="24"/>
        </w:rPr>
        <w:t>De la crisis de crédito a la crisis del descrédito</w:t>
      </w:r>
      <w:r>
        <w:rPr>
          <w:rFonts w:ascii="Times New Roman" w:hAnsi="Times New Roman"/>
          <w:b/>
          <w:sz w:val="24"/>
          <w:szCs w:val="24"/>
        </w:rPr>
        <w:t xml:space="preserve"> - </w:t>
      </w:r>
      <w:r w:rsidRPr="00307D1C">
        <w:rPr>
          <w:rFonts w:ascii="Times New Roman" w:hAnsi="Times New Roman"/>
          <w:b/>
          <w:sz w:val="24"/>
          <w:szCs w:val="24"/>
        </w:rPr>
        <w:t>Diciembre de 2008</w:t>
      </w:r>
    </w:p>
    <w:p w:rsidR="00DA15F2" w:rsidRDefault="00DA15F2" w:rsidP="00550638">
      <w:pPr>
        <w:spacing w:line="240" w:lineRule="auto"/>
        <w:jc w:val="both"/>
        <w:rPr>
          <w:rFonts w:ascii="Times New Roman" w:hAnsi="Times New Roman"/>
          <w:b/>
          <w:sz w:val="24"/>
          <w:szCs w:val="24"/>
        </w:rPr>
      </w:pPr>
    </w:p>
    <w:p w:rsidR="00067F51" w:rsidRDefault="00067F51" w:rsidP="00550638">
      <w:pPr>
        <w:spacing w:line="240" w:lineRule="auto"/>
        <w:jc w:val="both"/>
        <w:rPr>
          <w:rFonts w:ascii="Times New Roman" w:hAnsi="Times New Roman"/>
          <w:b/>
          <w:sz w:val="24"/>
          <w:szCs w:val="24"/>
        </w:rPr>
      </w:pPr>
    </w:p>
    <w:p w:rsidR="00067F51" w:rsidRDefault="00067F51" w:rsidP="00550638">
      <w:pPr>
        <w:spacing w:line="240" w:lineRule="auto"/>
        <w:jc w:val="both"/>
        <w:rPr>
          <w:rFonts w:ascii="Times New Roman" w:hAnsi="Times New Roman"/>
          <w:b/>
          <w:sz w:val="24"/>
          <w:szCs w:val="24"/>
        </w:rPr>
      </w:pPr>
      <w:r>
        <w:rPr>
          <w:rFonts w:ascii="Times New Roman" w:hAnsi="Times New Roman"/>
          <w:b/>
          <w:sz w:val="24"/>
          <w:szCs w:val="24"/>
        </w:rPr>
        <w:lastRenderedPageBreak/>
        <w:t>(Noviembre 2013) Pensionistas: las “</w:t>
      </w:r>
      <w:r w:rsidR="00D44948">
        <w:rPr>
          <w:rFonts w:ascii="Times New Roman" w:hAnsi="Times New Roman"/>
          <w:b/>
          <w:sz w:val="24"/>
          <w:szCs w:val="24"/>
        </w:rPr>
        <w:t>últimas</w:t>
      </w:r>
      <w:r>
        <w:rPr>
          <w:rFonts w:ascii="Times New Roman" w:hAnsi="Times New Roman"/>
          <w:b/>
          <w:sz w:val="24"/>
          <w:szCs w:val="24"/>
        </w:rPr>
        <w:t xml:space="preserve"> víctimas” de la represión financiera</w:t>
      </w:r>
    </w:p>
    <w:p w:rsidR="00067F51" w:rsidRDefault="00067F51" w:rsidP="00550638">
      <w:pPr>
        <w:spacing w:line="240" w:lineRule="auto"/>
        <w:jc w:val="both"/>
        <w:rPr>
          <w:rFonts w:ascii="Times New Roman" w:hAnsi="Times New Roman"/>
          <w:b/>
          <w:sz w:val="24"/>
          <w:szCs w:val="24"/>
        </w:rPr>
      </w:pPr>
      <w:r>
        <w:rPr>
          <w:rFonts w:ascii="Times New Roman" w:hAnsi="Times New Roman"/>
          <w:b/>
          <w:sz w:val="24"/>
          <w:szCs w:val="24"/>
        </w:rPr>
        <w:t>Los “fundamentalistas” del superávit primario, los “vigilantes” de los bonos, los “</w:t>
      </w:r>
      <w:r w:rsidR="000975E9">
        <w:rPr>
          <w:rFonts w:ascii="Times New Roman" w:hAnsi="Times New Roman"/>
          <w:b/>
          <w:sz w:val="24"/>
          <w:szCs w:val="24"/>
        </w:rPr>
        <w:t>demoledores</w:t>
      </w:r>
      <w:r>
        <w:rPr>
          <w:rFonts w:ascii="Times New Roman" w:hAnsi="Times New Roman"/>
          <w:b/>
          <w:sz w:val="24"/>
          <w:szCs w:val="24"/>
        </w:rPr>
        <w:t>” del Estado de Bienestar</w:t>
      </w:r>
      <w:r w:rsidR="000975E9">
        <w:rPr>
          <w:rFonts w:ascii="Times New Roman" w:hAnsi="Times New Roman"/>
          <w:b/>
          <w:sz w:val="24"/>
          <w:szCs w:val="24"/>
        </w:rPr>
        <w:t xml:space="preserve">, lo han “dispuesto”: solo estudiarán aquellos que tengan recursos económicos, solo serán curados aquellos que se puedan pagar el tratamiento, solo recibirán pensiones aquellos </w:t>
      </w:r>
      <w:r w:rsidR="00D0659F">
        <w:rPr>
          <w:rFonts w:ascii="Times New Roman" w:hAnsi="Times New Roman"/>
          <w:b/>
          <w:sz w:val="24"/>
          <w:szCs w:val="24"/>
        </w:rPr>
        <w:t>que hayan contratado planes pri</w:t>
      </w:r>
      <w:r w:rsidR="000975E9">
        <w:rPr>
          <w:rFonts w:ascii="Times New Roman" w:hAnsi="Times New Roman"/>
          <w:b/>
          <w:sz w:val="24"/>
          <w:szCs w:val="24"/>
        </w:rPr>
        <w:t>vados. Todos los demás, serán</w:t>
      </w:r>
      <w:r w:rsidR="005C2613">
        <w:rPr>
          <w:rFonts w:ascii="Times New Roman" w:hAnsi="Times New Roman"/>
          <w:b/>
          <w:sz w:val="24"/>
          <w:szCs w:val="24"/>
        </w:rPr>
        <w:t xml:space="preserve"> “descartados” del sistema a causa de su “</w:t>
      </w:r>
      <w:r w:rsidR="000975E9">
        <w:rPr>
          <w:rFonts w:ascii="Times New Roman" w:hAnsi="Times New Roman"/>
          <w:b/>
          <w:sz w:val="24"/>
          <w:szCs w:val="24"/>
        </w:rPr>
        <w:t>externalización negativa</w:t>
      </w:r>
      <w:r w:rsidR="005C2613">
        <w:rPr>
          <w:rFonts w:ascii="Times New Roman" w:hAnsi="Times New Roman"/>
          <w:b/>
          <w:sz w:val="24"/>
          <w:szCs w:val="24"/>
        </w:rPr>
        <w:t>”</w:t>
      </w:r>
      <w:r w:rsidR="000975E9">
        <w:rPr>
          <w:rFonts w:ascii="Times New Roman" w:hAnsi="Times New Roman"/>
          <w:b/>
          <w:sz w:val="24"/>
          <w:szCs w:val="24"/>
        </w:rPr>
        <w:t xml:space="preserve">. Una forma </w:t>
      </w:r>
      <w:r w:rsidR="005C2613">
        <w:rPr>
          <w:rFonts w:ascii="Times New Roman" w:hAnsi="Times New Roman"/>
          <w:b/>
          <w:sz w:val="24"/>
          <w:szCs w:val="24"/>
        </w:rPr>
        <w:t>“</w:t>
      </w:r>
      <w:r w:rsidR="000975E9">
        <w:rPr>
          <w:rFonts w:ascii="Times New Roman" w:hAnsi="Times New Roman"/>
          <w:b/>
          <w:sz w:val="24"/>
          <w:szCs w:val="24"/>
        </w:rPr>
        <w:t>pol</w:t>
      </w:r>
      <w:r w:rsidR="005C2613">
        <w:rPr>
          <w:rFonts w:ascii="Times New Roman" w:hAnsi="Times New Roman"/>
          <w:b/>
          <w:sz w:val="24"/>
          <w:szCs w:val="24"/>
        </w:rPr>
        <w:t>íticamente correcta” de llamar a los</w:t>
      </w:r>
      <w:r w:rsidR="000975E9">
        <w:rPr>
          <w:rFonts w:ascii="Times New Roman" w:hAnsi="Times New Roman"/>
          <w:b/>
          <w:sz w:val="24"/>
          <w:szCs w:val="24"/>
        </w:rPr>
        <w:t xml:space="preserve"> </w:t>
      </w:r>
      <w:r w:rsidR="009323EE">
        <w:rPr>
          <w:rFonts w:ascii="Times New Roman" w:hAnsi="Times New Roman"/>
          <w:b/>
          <w:sz w:val="24"/>
          <w:szCs w:val="24"/>
        </w:rPr>
        <w:t>“</w:t>
      </w:r>
      <w:r w:rsidR="000975E9">
        <w:rPr>
          <w:rFonts w:ascii="Times New Roman" w:hAnsi="Times New Roman"/>
          <w:b/>
          <w:sz w:val="24"/>
          <w:szCs w:val="24"/>
        </w:rPr>
        <w:t>campo</w:t>
      </w:r>
      <w:r w:rsidR="005C2613">
        <w:rPr>
          <w:rFonts w:ascii="Times New Roman" w:hAnsi="Times New Roman"/>
          <w:b/>
          <w:sz w:val="24"/>
          <w:szCs w:val="24"/>
        </w:rPr>
        <w:t>s</w:t>
      </w:r>
      <w:r w:rsidR="000975E9">
        <w:rPr>
          <w:rFonts w:ascii="Times New Roman" w:hAnsi="Times New Roman"/>
          <w:b/>
          <w:sz w:val="24"/>
          <w:szCs w:val="24"/>
        </w:rPr>
        <w:t xml:space="preserve"> de exterminio</w:t>
      </w:r>
      <w:r w:rsidR="009323EE">
        <w:rPr>
          <w:rFonts w:ascii="Times New Roman" w:hAnsi="Times New Roman"/>
          <w:b/>
          <w:sz w:val="24"/>
          <w:szCs w:val="24"/>
        </w:rPr>
        <w:t>”</w:t>
      </w:r>
      <w:r w:rsidR="005C2613">
        <w:rPr>
          <w:rFonts w:ascii="Times New Roman" w:hAnsi="Times New Roman"/>
          <w:b/>
          <w:sz w:val="24"/>
          <w:szCs w:val="24"/>
        </w:rPr>
        <w:t>, en los tiempos de la globalización</w:t>
      </w:r>
      <w:r w:rsidR="000975E9">
        <w:rPr>
          <w:rFonts w:ascii="Times New Roman" w:hAnsi="Times New Roman"/>
          <w:b/>
          <w:sz w:val="24"/>
          <w:szCs w:val="24"/>
        </w:rPr>
        <w:t>.</w:t>
      </w:r>
    </w:p>
    <w:p w:rsidR="00D0659F" w:rsidRDefault="005C2613" w:rsidP="00550638">
      <w:pPr>
        <w:spacing w:line="240" w:lineRule="auto"/>
        <w:jc w:val="both"/>
        <w:rPr>
          <w:rFonts w:ascii="Times New Roman" w:hAnsi="Times New Roman"/>
          <w:b/>
          <w:sz w:val="24"/>
          <w:szCs w:val="24"/>
        </w:rPr>
      </w:pPr>
      <w:r>
        <w:rPr>
          <w:rFonts w:ascii="Times New Roman" w:hAnsi="Times New Roman"/>
          <w:b/>
          <w:sz w:val="24"/>
          <w:szCs w:val="24"/>
        </w:rPr>
        <w:t>La</w:t>
      </w:r>
      <w:r w:rsidR="00D0659F">
        <w:rPr>
          <w:rFonts w:ascii="Times New Roman" w:hAnsi="Times New Roman"/>
          <w:b/>
          <w:sz w:val="24"/>
          <w:szCs w:val="24"/>
        </w:rPr>
        <w:t xml:space="preserve"> escuela ha terminado. No hay que ponerse enfermo. Se debe trabajar hasta la muerte</w:t>
      </w:r>
      <w:r>
        <w:rPr>
          <w:rFonts w:ascii="Times New Roman" w:hAnsi="Times New Roman"/>
          <w:b/>
          <w:sz w:val="24"/>
          <w:szCs w:val="24"/>
        </w:rPr>
        <w:t>. El equilibrio perfecto. Presupuestos austeros. Déficit cero. Sostenibilidad de la deuda</w:t>
      </w:r>
      <w:r w:rsidR="00D0659F">
        <w:rPr>
          <w:rFonts w:ascii="Times New Roman" w:hAnsi="Times New Roman"/>
          <w:b/>
          <w:sz w:val="24"/>
          <w:szCs w:val="24"/>
        </w:rPr>
        <w:t xml:space="preserve">. </w:t>
      </w:r>
      <w:r w:rsidR="00D4411F">
        <w:rPr>
          <w:rFonts w:ascii="Times New Roman" w:hAnsi="Times New Roman"/>
          <w:b/>
          <w:sz w:val="24"/>
          <w:szCs w:val="24"/>
        </w:rPr>
        <w:t>Una auténtica</w:t>
      </w:r>
      <w:r w:rsidR="00D0659F">
        <w:rPr>
          <w:rFonts w:ascii="Times New Roman" w:hAnsi="Times New Roman"/>
          <w:b/>
          <w:sz w:val="24"/>
          <w:szCs w:val="24"/>
        </w:rPr>
        <w:t xml:space="preserve"> política macroprudencia</w:t>
      </w:r>
      <w:r w:rsidR="009323EE">
        <w:rPr>
          <w:rFonts w:ascii="Times New Roman" w:hAnsi="Times New Roman"/>
          <w:b/>
          <w:sz w:val="24"/>
          <w:szCs w:val="24"/>
        </w:rPr>
        <w:t>l. La</w:t>
      </w:r>
      <w:r w:rsidR="00D0659F">
        <w:rPr>
          <w:rFonts w:ascii="Times New Roman" w:hAnsi="Times New Roman"/>
          <w:b/>
          <w:sz w:val="24"/>
          <w:szCs w:val="24"/>
        </w:rPr>
        <w:t xml:space="preserve"> maquinita de la felicidad.</w:t>
      </w:r>
    </w:p>
    <w:p w:rsidR="00DA15F2" w:rsidRDefault="00DA15F2" w:rsidP="00550638">
      <w:pPr>
        <w:spacing w:line="240" w:lineRule="auto"/>
        <w:jc w:val="both"/>
        <w:rPr>
          <w:rFonts w:ascii="Times New Roman" w:hAnsi="Times New Roman"/>
          <w:b/>
          <w:sz w:val="24"/>
          <w:szCs w:val="24"/>
        </w:rPr>
      </w:pPr>
    </w:p>
    <w:p w:rsidR="002A1DDE" w:rsidRDefault="002A1DDE" w:rsidP="00550638">
      <w:pPr>
        <w:spacing w:line="240" w:lineRule="auto"/>
        <w:jc w:val="both"/>
        <w:rPr>
          <w:rFonts w:ascii="Times New Roman" w:hAnsi="Times New Roman"/>
          <w:b/>
          <w:sz w:val="24"/>
          <w:szCs w:val="24"/>
        </w:rPr>
      </w:pPr>
      <w:r>
        <w:rPr>
          <w:rFonts w:ascii="Times New Roman" w:hAnsi="Times New Roman"/>
          <w:b/>
          <w:sz w:val="24"/>
          <w:szCs w:val="24"/>
        </w:rPr>
        <w:tab/>
        <w:t xml:space="preserve">      </w:t>
      </w:r>
      <w:r>
        <w:rPr>
          <w:rFonts w:ascii="Arial" w:eastAsia="Times New Roman" w:hAnsi="Arial" w:cs="Arial"/>
          <w:noProof/>
          <w:color w:val="0000FF"/>
          <w:sz w:val="24"/>
          <w:szCs w:val="24"/>
          <w:lang w:eastAsia="es-ES"/>
        </w:rPr>
        <w:drawing>
          <wp:inline distT="0" distB="0" distL="0" distR="0" wp14:anchorId="1460E634" wp14:editId="646C2637">
            <wp:extent cx="3811270" cy="2362835"/>
            <wp:effectExtent l="0" t="0" r="0" b="0"/>
            <wp:docPr id="457" name="Imagen 457" descr="La eutanasia en Bélgica o lo que está por venir">
              <a:hlinkClick xmlns:a="http://schemas.openxmlformats.org/drawingml/2006/main" r:id="rId5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a eutanasia en Bélgica o lo que está por venir">
                      <a:hlinkClick r:id="rId535"/>
                    </pic:cNvPr>
                    <pic:cNvPicPr>
                      <a:picLocks noChangeAspect="1" noChangeArrowheads="1"/>
                    </pic:cNvPicPr>
                  </pic:nvPicPr>
                  <pic:blipFill>
                    <a:blip r:embed="rId536">
                      <a:extLst>
                        <a:ext uri="{28A0092B-C50C-407E-A947-70E740481C1C}">
                          <a14:useLocalDpi xmlns:a14="http://schemas.microsoft.com/office/drawing/2010/main" val="0"/>
                        </a:ext>
                      </a:extLst>
                    </a:blip>
                    <a:srcRect/>
                    <a:stretch>
                      <a:fillRect/>
                    </a:stretch>
                  </pic:blipFill>
                  <pic:spPr bwMode="auto">
                    <a:xfrm>
                      <a:off x="0" y="0"/>
                      <a:ext cx="3811270" cy="2362835"/>
                    </a:xfrm>
                    <a:prstGeom prst="rect">
                      <a:avLst/>
                    </a:prstGeom>
                    <a:noFill/>
                    <a:ln>
                      <a:noFill/>
                    </a:ln>
                  </pic:spPr>
                </pic:pic>
              </a:graphicData>
            </a:graphic>
          </wp:inline>
        </w:drawing>
      </w:r>
    </w:p>
    <w:p w:rsidR="00DA15F2" w:rsidRDefault="00DA15F2" w:rsidP="00550638">
      <w:pPr>
        <w:spacing w:line="240" w:lineRule="auto"/>
        <w:jc w:val="both"/>
        <w:rPr>
          <w:rFonts w:ascii="Times New Roman" w:hAnsi="Times New Roman"/>
          <w:b/>
          <w:sz w:val="24"/>
          <w:szCs w:val="24"/>
        </w:rPr>
      </w:pPr>
    </w:p>
    <w:p w:rsidR="002A1DDE" w:rsidRDefault="002A1DDE" w:rsidP="00550638">
      <w:pPr>
        <w:spacing w:line="240" w:lineRule="auto"/>
        <w:jc w:val="both"/>
        <w:rPr>
          <w:rFonts w:ascii="Times New Roman" w:hAnsi="Times New Roman"/>
          <w:b/>
          <w:sz w:val="24"/>
          <w:szCs w:val="24"/>
        </w:rPr>
      </w:pPr>
      <w:r>
        <w:rPr>
          <w:rFonts w:ascii="Times New Roman" w:hAnsi="Times New Roman"/>
          <w:b/>
          <w:sz w:val="24"/>
          <w:szCs w:val="24"/>
        </w:rPr>
        <w:t>Una foto vale más que mil palabras</w:t>
      </w:r>
    </w:p>
    <w:p w:rsidR="00D4411F" w:rsidRDefault="00A51A29" w:rsidP="00550638">
      <w:pPr>
        <w:spacing w:line="240" w:lineRule="auto"/>
        <w:jc w:val="both"/>
        <w:rPr>
          <w:rFonts w:ascii="Times New Roman" w:hAnsi="Times New Roman"/>
          <w:b/>
          <w:sz w:val="24"/>
          <w:szCs w:val="24"/>
        </w:rPr>
      </w:pPr>
      <w:r>
        <w:rPr>
          <w:rFonts w:ascii="Times New Roman" w:hAnsi="Times New Roman" w:cs="Times New Roman"/>
          <w:b/>
          <w:sz w:val="24"/>
          <w:szCs w:val="24"/>
        </w:rPr>
        <w:t xml:space="preserve">Así como la </w:t>
      </w:r>
      <w:r w:rsidR="00D44948">
        <w:rPr>
          <w:rFonts w:ascii="Times New Roman" w:hAnsi="Times New Roman" w:cs="Times New Roman"/>
          <w:b/>
          <w:sz w:val="24"/>
          <w:szCs w:val="24"/>
        </w:rPr>
        <w:t>imagen</w:t>
      </w:r>
      <w:r w:rsidRPr="00A51A29">
        <w:rPr>
          <w:rFonts w:ascii="Times New Roman" w:hAnsi="Times New Roman" w:cs="Times New Roman"/>
          <w:b/>
          <w:sz w:val="24"/>
          <w:szCs w:val="24"/>
        </w:rPr>
        <w:t xml:space="preserve"> de un hombre en un hospital del noreste de China mientras aguardaba pacientemente su turno en una sala de espera con media hoja de un cuchillo clavada en su cráneo,</w:t>
      </w:r>
      <w:r>
        <w:rPr>
          <w:rFonts w:ascii="Times New Roman" w:hAnsi="Times New Roman" w:cs="Times New Roman"/>
          <w:b/>
          <w:sz w:val="24"/>
          <w:szCs w:val="24"/>
        </w:rPr>
        <w:t xml:space="preserve"> </w:t>
      </w:r>
      <w:r w:rsidR="002A1DDE">
        <w:rPr>
          <w:rFonts w:ascii="Times New Roman" w:hAnsi="Times New Roman"/>
          <w:b/>
          <w:sz w:val="24"/>
          <w:szCs w:val="24"/>
        </w:rPr>
        <w:t>me sirvió para llevar al extremo</w:t>
      </w:r>
      <w:r>
        <w:rPr>
          <w:rFonts w:ascii="Times New Roman" w:hAnsi="Times New Roman"/>
          <w:b/>
          <w:sz w:val="24"/>
          <w:szCs w:val="24"/>
        </w:rPr>
        <w:t xml:space="preserve"> </w:t>
      </w:r>
      <w:r w:rsidR="002A1DDE">
        <w:rPr>
          <w:rFonts w:ascii="Times New Roman" w:hAnsi="Times New Roman"/>
          <w:b/>
          <w:sz w:val="24"/>
          <w:szCs w:val="24"/>
        </w:rPr>
        <w:t>el “esperpento”</w:t>
      </w:r>
      <w:r>
        <w:rPr>
          <w:rFonts w:ascii="Times New Roman" w:hAnsi="Times New Roman"/>
          <w:b/>
          <w:sz w:val="24"/>
          <w:szCs w:val="24"/>
        </w:rPr>
        <w:t xml:space="preserve"> de</w:t>
      </w:r>
      <w:r w:rsidR="002A1DDE">
        <w:rPr>
          <w:rFonts w:ascii="Times New Roman" w:hAnsi="Times New Roman"/>
          <w:b/>
          <w:sz w:val="24"/>
          <w:szCs w:val="24"/>
        </w:rPr>
        <w:t xml:space="preserve"> las carencias y deficiencias del sistema</w:t>
      </w:r>
      <w:r>
        <w:rPr>
          <w:rFonts w:ascii="Times New Roman" w:hAnsi="Times New Roman"/>
          <w:b/>
          <w:sz w:val="24"/>
          <w:szCs w:val="24"/>
        </w:rPr>
        <w:t xml:space="preserve"> público</w:t>
      </w:r>
      <w:r w:rsidR="002A1DDE">
        <w:rPr>
          <w:rFonts w:ascii="Times New Roman" w:hAnsi="Times New Roman"/>
          <w:b/>
          <w:sz w:val="24"/>
          <w:szCs w:val="24"/>
        </w:rPr>
        <w:t xml:space="preserve"> de salud, la presentada  más arriba, puede</w:t>
      </w:r>
      <w:r>
        <w:rPr>
          <w:rFonts w:ascii="Times New Roman" w:hAnsi="Times New Roman"/>
          <w:b/>
          <w:sz w:val="24"/>
          <w:szCs w:val="24"/>
        </w:rPr>
        <w:t xml:space="preserve"> simbolizar la “</w:t>
      </w:r>
      <w:r w:rsidR="00AC7C82">
        <w:rPr>
          <w:rFonts w:ascii="Times New Roman" w:hAnsi="Times New Roman"/>
          <w:b/>
          <w:sz w:val="24"/>
          <w:szCs w:val="24"/>
        </w:rPr>
        <w:t>respuesta</w:t>
      </w:r>
      <w:r>
        <w:rPr>
          <w:rFonts w:ascii="Times New Roman" w:hAnsi="Times New Roman"/>
          <w:b/>
          <w:sz w:val="24"/>
          <w:szCs w:val="24"/>
        </w:rPr>
        <w:t xml:space="preserve"> oficial” de las autoridades políticas europeas (o </w:t>
      </w:r>
      <w:r w:rsidR="00D44948">
        <w:rPr>
          <w:rFonts w:ascii="Times New Roman" w:hAnsi="Times New Roman"/>
          <w:b/>
          <w:sz w:val="24"/>
          <w:szCs w:val="24"/>
        </w:rPr>
        <w:t>norteamericanas</w:t>
      </w:r>
      <w:r>
        <w:rPr>
          <w:rFonts w:ascii="Times New Roman" w:hAnsi="Times New Roman"/>
          <w:b/>
          <w:sz w:val="24"/>
          <w:szCs w:val="24"/>
        </w:rPr>
        <w:t>) de cara al “molesto</w:t>
      </w:r>
      <w:r w:rsidR="00D4411F">
        <w:rPr>
          <w:rFonts w:ascii="Times New Roman" w:hAnsi="Times New Roman"/>
          <w:b/>
          <w:sz w:val="24"/>
          <w:szCs w:val="24"/>
        </w:rPr>
        <w:t>”</w:t>
      </w:r>
      <w:r>
        <w:rPr>
          <w:rFonts w:ascii="Times New Roman" w:hAnsi="Times New Roman"/>
          <w:b/>
          <w:sz w:val="24"/>
          <w:szCs w:val="24"/>
        </w:rPr>
        <w:t xml:space="preserve"> contribuyente, que pide demasiado del estado y paga muy poco por los servicios prestados.</w:t>
      </w:r>
      <w:r w:rsidR="00D4411F">
        <w:rPr>
          <w:rFonts w:ascii="Times New Roman" w:hAnsi="Times New Roman"/>
          <w:b/>
          <w:sz w:val="24"/>
          <w:szCs w:val="24"/>
        </w:rPr>
        <w:t xml:space="preserve"> </w:t>
      </w:r>
    </w:p>
    <w:p w:rsidR="00D4411F" w:rsidRDefault="00D4411F" w:rsidP="00550638">
      <w:pPr>
        <w:spacing w:line="240" w:lineRule="auto"/>
        <w:jc w:val="both"/>
        <w:rPr>
          <w:rFonts w:ascii="Times New Roman" w:hAnsi="Times New Roman"/>
          <w:b/>
          <w:sz w:val="24"/>
          <w:szCs w:val="24"/>
        </w:rPr>
      </w:pPr>
      <w:r>
        <w:rPr>
          <w:rFonts w:ascii="Times New Roman" w:hAnsi="Times New Roman"/>
          <w:b/>
          <w:sz w:val="24"/>
          <w:szCs w:val="24"/>
        </w:rPr>
        <w:t>Una verdadera “solidaridad directa”…</w:t>
      </w:r>
      <w:r w:rsidR="00AC7C82">
        <w:rPr>
          <w:rFonts w:ascii="Times New Roman" w:hAnsi="Times New Roman"/>
          <w:b/>
          <w:sz w:val="24"/>
          <w:szCs w:val="24"/>
        </w:rPr>
        <w:t xml:space="preserve"> además de</w:t>
      </w:r>
      <w:r>
        <w:rPr>
          <w:rFonts w:ascii="Times New Roman" w:hAnsi="Times New Roman"/>
          <w:b/>
          <w:sz w:val="24"/>
          <w:szCs w:val="24"/>
        </w:rPr>
        <w:t xml:space="preserve"> una solución “</w:t>
      </w:r>
      <w:r w:rsidR="00D44948">
        <w:rPr>
          <w:rFonts w:ascii="Times New Roman" w:hAnsi="Times New Roman"/>
          <w:b/>
          <w:sz w:val="24"/>
          <w:szCs w:val="24"/>
        </w:rPr>
        <w:t>sostenible</w:t>
      </w:r>
      <w:r>
        <w:rPr>
          <w:rFonts w:ascii="Times New Roman" w:hAnsi="Times New Roman"/>
          <w:b/>
          <w:sz w:val="24"/>
          <w:szCs w:val="24"/>
        </w:rPr>
        <w:t>”…</w:t>
      </w:r>
      <w:r w:rsidR="00AC7C82">
        <w:rPr>
          <w:rFonts w:ascii="Times New Roman" w:hAnsi="Times New Roman"/>
          <w:b/>
          <w:sz w:val="24"/>
          <w:szCs w:val="24"/>
        </w:rPr>
        <w:t xml:space="preserve"> “no dependiente”…  y sin duda</w:t>
      </w:r>
      <w:r w:rsidR="009323EE">
        <w:rPr>
          <w:rFonts w:ascii="Times New Roman" w:hAnsi="Times New Roman"/>
          <w:b/>
          <w:sz w:val="24"/>
          <w:szCs w:val="24"/>
        </w:rPr>
        <w:t>,</w:t>
      </w:r>
      <w:r>
        <w:rPr>
          <w:rFonts w:ascii="Times New Roman" w:hAnsi="Times New Roman"/>
          <w:b/>
          <w:sz w:val="24"/>
          <w:szCs w:val="24"/>
        </w:rPr>
        <w:t xml:space="preserve"> de “larga duración”…</w:t>
      </w:r>
      <w:r w:rsidR="009323EE">
        <w:rPr>
          <w:rFonts w:ascii="Times New Roman" w:hAnsi="Times New Roman"/>
          <w:b/>
          <w:sz w:val="24"/>
          <w:szCs w:val="24"/>
        </w:rPr>
        <w:t xml:space="preserve"> </w:t>
      </w:r>
      <w:r w:rsidR="00AC7C82">
        <w:rPr>
          <w:rFonts w:ascii="Times New Roman" w:hAnsi="Times New Roman"/>
          <w:b/>
          <w:sz w:val="24"/>
          <w:szCs w:val="24"/>
        </w:rPr>
        <w:t xml:space="preserve">  </w:t>
      </w:r>
    </w:p>
    <w:p w:rsidR="00DA15F2" w:rsidRDefault="00D4411F" w:rsidP="00550638">
      <w:pPr>
        <w:spacing w:line="240" w:lineRule="auto"/>
        <w:jc w:val="both"/>
        <w:rPr>
          <w:rFonts w:ascii="Times New Roman" w:hAnsi="Times New Roman"/>
          <w:b/>
          <w:sz w:val="24"/>
          <w:szCs w:val="24"/>
        </w:rPr>
      </w:pPr>
      <w:r>
        <w:rPr>
          <w:rFonts w:ascii="Times New Roman" w:hAnsi="Times New Roman"/>
          <w:b/>
          <w:sz w:val="24"/>
          <w:szCs w:val="24"/>
        </w:rPr>
        <w:t>Queda por saber si esa “solución” estará adaptada a las “expectativas de los ciudadanos”</w:t>
      </w:r>
      <w:r w:rsidR="00AC7C82">
        <w:rPr>
          <w:rFonts w:ascii="Times New Roman" w:hAnsi="Times New Roman"/>
          <w:b/>
          <w:sz w:val="24"/>
          <w:szCs w:val="24"/>
        </w:rPr>
        <w:t xml:space="preserve"> y si, llegado el caso, no “querrán decidir por sí mismos”</w:t>
      </w:r>
      <w:r>
        <w:rPr>
          <w:rFonts w:ascii="Times New Roman" w:hAnsi="Times New Roman"/>
          <w:b/>
          <w:sz w:val="24"/>
          <w:szCs w:val="24"/>
        </w:rPr>
        <w:t>, pero eso a los políticos les</w:t>
      </w:r>
      <w:r w:rsidR="00AC7C82">
        <w:rPr>
          <w:rFonts w:ascii="Times New Roman" w:hAnsi="Times New Roman"/>
          <w:b/>
          <w:sz w:val="24"/>
          <w:szCs w:val="24"/>
        </w:rPr>
        <w:t xml:space="preserve"> debería importar bien</w:t>
      </w:r>
      <w:r>
        <w:rPr>
          <w:rFonts w:ascii="Times New Roman" w:hAnsi="Times New Roman"/>
          <w:b/>
          <w:sz w:val="24"/>
          <w:szCs w:val="24"/>
        </w:rPr>
        <w:t xml:space="preserve"> poco,</w:t>
      </w:r>
      <w:r w:rsidR="00AC7C82">
        <w:rPr>
          <w:rFonts w:ascii="Times New Roman" w:hAnsi="Times New Roman"/>
          <w:b/>
          <w:sz w:val="24"/>
          <w:szCs w:val="24"/>
        </w:rPr>
        <w:t xml:space="preserve"> porque ellos solo están convocados para </w:t>
      </w:r>
      <w:r>
        <w:rPr>
          <w:rFonts w:ascii="Times New Roman" w:hAnsi="Times New Roman"/>
          <w:b/>
          <w:sz w:val="24"/>
          <w:szCs w:val="24"/>
        </w:rPr>
        <w:t>“</w:t>
      </w:r>
      <w:r w:rsidR="00AC7C82">
        <w:rPr>
          <w:rFonts w:ascii="Times New Roman" w:hAnsi="Times New Roman"/>
          <w:b/>
          <w:sz w:val="24"/>
          <w:szCs w:val="24"/>
        </w:rPr>
        <w:t>fines superiores</w:t>
      </w:r>
      <w:r>
        <w:rPr>
          <w:rFonts w:ascii="Times New Roman" w:hAnsi="Times New Roman"/>
          <w:b/>
          <w:sz w:val="24"/>
          <w:szCs w:val="24"/>
        </w:rPr>
        <w:t>”.</w:t>
      </w:r>
      <w:r w:rsidR="009323EE">
        <w:rPr>
          <w:rFonts w:ascii="Times New Roman" w:hAnsi="Times New Roman"/>
          <w:b/>
          <w:sz w:val="24"/>
          <w:szCs w:val="24"/>
        </w:rPr>
        <w:t xml:space="preserve"> Están preocupados por evitar que la gente se corrompa recibiendo los beneficios del Estado del Bienestar que los hace dependientes. O sea. </w:t>
      </w:r>
      <w:r w:rsidR="00AC7C82">
        <w:rPr>
          <w:rFonts w:ascii="Times New Roman" w:hAnsi="Times New Roman"/>
          <w:b/>
          <w:sz w:val="24"/>
          <w:szCs w:val="24"/>
        </w:rPr>
        <w:t xml:space="preserve">   </w:t>
      </w:r>
    </w:p>
    <w:p w:rsidR="009323EE" w:rsidRDefault="00D4411F" w:rsidP="00550638">
      <w:pPr>
        <w:spacing w:line="240" w:lineRule="auto"/>
        <w:jc w:val="both"/>
        <w:rPr>
          <w:rFonts w:ascii="Times New Roman" w:hAnsi="Times New Roman"/>
          <w:b/>
          <w:sz w:val="24"/>
          <w:szCs w:val="24"/>
        </w:rPr>
      </w:pPr>
      <w:r>
        <w:rPr>
          <w:rFonts w:ascii="Times New Roman" w:hAnsi="Times New Roman"/>
          <w:b/>
          <w:sz w:val="24"/>
          <w:szCs w:val="24"/>
        </w:rPr>
        <w:t xml:space="preserve">  </w:t>
      </w:r>
    </w:p>
    <w:p w:rsidR="007C40DE" w:rsidRPr="009323EE" w:rsidRDefault="007C40DE" w:rsidP="00550638">
      <w:pPr>
        <w:spacing w:line="240" w:lineRule="auto"/>
        <w:jc w:val="both"/>
        <w:rPr>
          <w:rFonts w:ascii="Times New Roman" w:hAnsi="Times New Roman"/>
          <w:b/>
          <w:sz w:val="24"/>
          <w:szCs w:val="24"/>
        </w:rPr>
      </w:pPr>
      <w:r w:rsidRPr="00C26470">
        <w:rPr>
          <w:rFonts w:ascii="Times New Roman" w:eastAsia="Times New Roman" w:hAnsi="Times New Roman"/>
          <w:b/>
          <w:bCs/>
          <w:kern w:val="36"/>
          <w:sz w:val="24"/>
          <w:szCs w:val="24"/>
          <w:lang w:eastAsia="es-ES"/>
        </w:rPr>
        <w:lastRenderedPageBreak/>
        <w:t>Un recorrido</w:t>
      </w:r>
      <w:r>
        <w:rPr>
          <w:rFonts w:ascii="Times New Roman" w:eastAsia="Times New Roman" w:hAnsi="Times New Roman"/>
          <w:b/>
          <w:bCs/>
          <w:kern w:val="36"/>
          <w:sz w:val="24"/>
          <w:szCs w:val="24"/>
          <w:lang w:eastAsia="es-ES"/>
        </w:rPr>
        <w:t xml:space="preserve"> de cabotaje, por la hemeroteca (2011 - 2013)</w:t>
      </w:r>
    </w:p>
    <w:p w:rsidR="00864D30" w:rsidRPr="00864D30" w:rsidRDefault="00864D30" w:rsidP="00550638">
      <w:pPr>
        <w:spacing w:before="100" w:beforeAutospacing="1" w:after="100" w:afterAutospacing="1" w:line="240" w:lineRule="auto"/>
        <w:outlineLvl w:val="0"/>
        <w:rPr>
          <w:rFonts w:ascii="Times New Roman" w:eastAsia="Times New Roman" w:hAnsi="Times New Roman"/>
          <w:bCs/>
          <w:kern w:val="36"/>
          <w:sz w:val="24"/>
          <w:szCs w:val="24"/>
          <w:u w:val="single"/>
          <w:lang w:eastAsia="es-ES"/>
        </w:rPr>
      </w:pPr>
      <w:r w:rsidRPr="00864D30">
        <w:rPr>
          <w:rFonts w:ascii="Times New Roman" w:eastAsia="Times New Roman" w:hAnsi="Times New Roman"/>
          <w:bCs/>
          <w:kern w:val="36"/>
          <w:sz w:val="24"/>
          <w:szCs w:val="24"/>
          <w:u w:val="single"/>
          <w:lang w:eastAsia="es-ES"/>
        </w:rPr>
        <w:t>Pensionistas en riesgo de pobreza</w:t>
      </w:r>
      <w:r>
        <w:rPr>
          <w:rFonts w:ascii="Times New Roman" w:eastAsia="Times New Roman" w:hAnsi="Times New Roman"/>
          <w:bCs/>
          <w:kern w:val="36"/>
          <w:sz w:val="24"/>
          <w:szCs w:val="24"/>
          <w:u w:val="single"/>
          <w:lang w:eastAsia="es-ES"/>
        </w:rPr>
        <w:t xml:space="preserve"> (los pordioseros de la </w:t>
      </w:r>
      <w:r w:rsidR="005C2409">
        <w:rPr>
          <w:rFonts w:ascii="Times New Roman" w:eastAsia="Times New Roman" w:hAnsi="Times New Roman"/>
          <w:bCs/>
          <w:kern w:val="36"/>
          <w:sz w:val="24"/>
          <w:szCs w:val="24"/>
          <w:u w:val="single"/>
          <w:lang w:eastAsia="es-ES"/>
        </w:rPr>
        <w:t>tercera</w:t>
      </w:r>
      <w:r>
        <w:rPr>
          <w:rFonts w:ascii="Times New Roman" w:eastAsia="Times New Roman" w:hAnsi="Times New Roman"/>
          <w:bCs/>
          <w:kern w:val="36"/>
          <w:sz w:val="24"/>
          <w:szCs w:val="24"/>
          <w:u w:val="single"/>
          <w:lang w:eastAsia="es-ES"/>
        </w:rPr>
        <w:t xml:space="preserve"> edad)</w:t>
      </w:r>
    </w:p>
    <w:p w:rsidR="003F3A81" w:rsidRPr="00864D30" w:rsidRDefault="00864D30"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3F3A81" w:rsidRPr="00864D30">
        <w:rPr>
          <w:rFonts w:ascii="Times New Roman" w:eastAsia="Times New Roman" w:hAnsi="Times New Roman"/>
          <w:i/>
          <w:sz w:val="24"/>
          <w:szCs w:val="24"/>
          <w:lang w:eastAsia="es-ES"/>
        </w:rPr>
        <w:t>España es uno de los países europeos con mayor porcentaje de pensionistas en riesgo de pobreza relativa, un 19,3%, sólo por detrás de siete de los otros 26 Estados que componen la UE -Letonia, Chipre, Estonia, Bulgaria, Lituania, Reino Unido y Finlandia-, según un informe de los Técnicos del Ministerio de Hacienda (GESTHA) hecho público hoy con motivo de la reforma del sistema de pensiones</w:t>
      </w:r>
      <w:r>
        <w:rPr>
          <w:rFonts w:ascii="Times New Roman" w:eastAsia="Times New Roman" w:hAnsi="Times New Roman"/>
          <w:i/>
          <w:sz w:val="24"/>
          <w:szCs w:val="24"/>
          <w:lang w:eastAsia="es-ES"/>
        </w:rPr>
        <w:t>”..</w:t>
      </w:r>
      <w:r w:rsidR="003F3A81" w:rsidRPr="00864D30">
        <w:rPr>
          <w:rFonts w:ascii="Times New Roman" w:eastAsia="Times New Roman" w:hAnsi="Times New Roman"/>
          <w:i/>
          <w:sz w:val="24"/>
          <w:szCs w:val="24"/>
          <w:lang w:eastAsia="es-ES"/>
        </w:rPr>
        <w:t>.</w:t>
      </w:r>
      <w:r>
        <w:rPr>
          <w:rFonts w:ascii="Times New Roman" w:eastAsia="Times New Roman" w:hAnsi="Times New Roman"/>
          <w:i/>
          <w:sz w:val="24"/>
          <w:szCs w:val="24"/>
          <w:lang w:eastAsia="es-ES"/>
        </w:rPr>
        <w:t xml:space="preserve"> </w:t>
      </w:r>
      <w:r w:rsidRPr="00B25862">
        <w:rPr>
          <w:rFonts w:ascii="Times New Roman" w:eastAsia="Times New Roman" w:hAnsi="Times New Roman"/>
          <w:sz w:val="24"/>
          <w:szCs w:val="24"/>
          <w:u w:val="single"/>
          <w:lang w:eastAsia="es-ES"/>
        </w:rPr>
        <w:t xml:space="preserve">El 77% </w:t>
      </w:r>
      <w:r>
        <w:rPr>
          <w:rFonts w:ascii="Times New Roman" w:eastAsia="Times New Roman" w:hAnsi="Times New Roman"/>
          <w:sz w:val="24"/>
          <w:szCs w:val="24"/>
          <w:u w:val="single"/>
          <w:lang w:eastAsia="es-ES"/>
        </w:rPr>
        <w:t>de los pensionistas no llega a “mileurista”</w:t>
      </w:r>
      <w:r w:rsidRPr="00B25862">
        <w:rPr>
          <w:rFonts w:ascii="Times New Roman" w:eastAsia="Times New Roman" w:hAnsi="Times New Roman"/>
          <w:sz w:val="24"/>
          <w:szCs w:val="24"/>
          <w:u w:val="single"/>
          <w:lang w:eastAsia="es-ES"/>
        </w:rPr>
        <w:t xml:space="preserve"> y uno de cada cinco corre el riesgo de pobreza</w:t>
      </w:r>
      <w:r>
        <w:rPr>
          <w:rFonts w:ascii="Times New Roman" w:eastAsia="Times New Roman" w:hAnsi="Times New Roman"/>
          <w:sz w:val="24"/>
          <w:szCs w:val="24"/>
          <w:lang w:eastAsia="es-ES"/>
        </w:rPr>
        <w:t xml:space="preserve"> (Gaceta.es - </w:t>
      </w:r>
      <w:r w:rsidRPr="00B25862">
        <w:rPr>
          <w:rFonts w:ascii="Times New Roman" w:eastAsia="Times New Roman" w:hAnsi="Times New Roman"/>
          <w:b/>
          <w:sz w:val="24"/>
          <w:szCs w:val="24"/>
          <w:lang w:eastAsia="es-ES"/>
        </w:rPr>
        <w:t>24/1/11</w:t>
      </w:r>
      <w:r>
        <w:rPr>
          <w:rFonts w:ascii="Times New Roman" w:eastAsia="Times New Roman" w:hAnsi="Times New Roman"/>
          <w:sz w:val="24"/>
          <w:szCs w:val="24"/>
          <w:lang w:eastAsia="es-ES"/>
        </w:rPr>
        <w:t>)</w:t>
      </w:r>
    </w:p>
    <w:p w:rsidR="003F3A81" w:rsidRPr="00E96222"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E96222">
        <w:rPr>
          <w:rFonts w:ascii="Times New Roman" w:eastAsia="Times New Roman" w:hAnsi="Times New Roman"/>
          <w:sz w:val="24"/>
          <w:szCs w:val="24"/>
          <w:lang w:eastAsia="es-ES"/>
        </w:rPr>
        <w:t>Sin embargo, se da la circunstancia de que los jubilados del Reino Unido y Finlandia cobran mayores pensiones que los españoles. Así, la pensión contributiva media española representa el 63% de la pensión media de la UE-15, frente al 92% y 93% de los jubilados británicos y finlandeses, respectivamente.</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Además, los Técnicos recuerdan que las</w:t>
      </w:r>
      <w:r w:rsidR="00864D30" w:rsidRPr="00864D30">
        <w:rPr>
          <w:rFonts w:ascii="Times New Roman" w:eastAsia="Times New Roman" w:hAnsi="Times New Roman"/>
          <w:sz w:val="24"/>
          <w:szCs w:val="24"/>
          <w:lang w:eastAsia="es-ES"/>
        </w:rPr>
        <w:t xml:space="preserve"> pensiones en nuestro país son “reducidas”</w:t>
      </w:r>
      <w:r w:rsidRPr="00864D30">
        <w:rPr>
          <w:rFonts w:ascii="Times New Roman" w:eastAsia="Times New Roman" w:hAnsi="Times New Roman"/>
          <w:sz w:val="24"/>
          <w:szCs w:val="24"/>
          <w:lang w:eastAsia="es-ES"/>
        </w:rPr>
        <w:t>, hasta el punto de que un 77% de los pensionistas esp</w:t>
      </w:r>
      <w:r w:rsidR="00864D30" w:rsidRPr="00864D30">
        <w:rPr>
          <w:rFonts w:ascii="Times New Roman" w:eastAsia="Times New Roman" w:hAnsi="Times New Roman"/>
          <w:sz w:val="24"/>
          <w:szCs w:val="24"/>
          <w:lang w:eastAsia="es-ES"/>
        </w:rPr>
        <w:t>añoles no llega siquiera a ser “mileurista”</w:t>
      </w:r>
      <w:r w:rsidRPr="00864D30">
        <w:rPr>
          <w:rFonts w:ascii="Times New Roman" w:eastAsia="Times New Roman" w:hAnsi="Times New Roman"/>
          <w:sz w:val="24"/>
          <w:szCs w:val="24"/>
          <w:lang w:eastAsia="es-ES"/>
        </w:rPr>
        <w:t>, a lo que hay que añadir una pérdida de poder adquisitivo superior a la de la mayoría de países europeos más desarrollados.</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En este sentido, Gestha señala que la relación de ingresos de los jubilados españoles respecto a los de aquellos menores de 65 años se encuentra por debajo de la media europea. Concretamente, la pensión de un jubilado español representa el 49% de los ingresos medios que cobran los españoles de entre 50 y 59 años.</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Por otro lado, los Técnicos de Hacienda recuerdan que el gasto en pensiones de España en proporción a su Producto Interior Bruto (PIB) es de los menores de la UE-15. Concretamente, este gasto se situó en el 8,9% durante el ejercicio 2010, frente al 10,2% de media en la UE-27.</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Además, y según las estimaciones publicadas por la Comisión Europea la pasada semana, el gasto español en pensiones continuará en niveles inferiores a los de la Europa de los 27 durante al menos dos décadas más.</w:t>
      </w:r>
    </w:p>
    <w:p w:rsidR="00864D30" w:rsidRPr="00864D30" w:rsidRDefault="00864D30" w:rsidP="00550638">
      <w:pPr>
        <w:spacing w:before="100" w:beforeAutospacing="1" w:after="100" w:afterAutospacing="1" w:line="240" w:lineRule="auto"/>
        <w:jc w:val="both"/>
        <w:rPr>
          <w:rFonts w:ascii="Times New Roman" w:eastAsia="Times New Roman" w:hAnsi="Times New Roman"/>
          <w:sz w:val="24"/>
          <w:szCs w:val="24"/>
          <w:lang w:eastAsia="es-ES"/>
        </w:rPr>
      </w:pPr>
      <w:r w:rsidRPr="00E96222">
        <w:rPr>
          <w:rFonts w:ascii="Times New Roman" w:eastAsia="Times New Roman" w:hAnsi="Times New Roman"/>
          <w:sz w:val="24"/>
          <w:szCs w:val="24"/>
          <w:lang w:eastAsia="es-ES"/>
        </w:rPr>
        <w:t>Mejoras en materia de pensiones</w:t>
      </w:r>
    </w:p>
    <w:p w:rsidR="00864D30" w:rsidRPr="00E96222" w:rsidRDefault="00864D30" w:rsidP="00550638">
      <w:pPr>
        <w:spacing w:before="100" w:beforeAutospacing="1" w:after="100" w:afterAutospacing="1" w:line="240" w:lineRule="auto"/>
        <w:jc w:val="both"/>
        <w:rPr>
          <w:rFonts w:ascii="Times New Roman" w:eastAsia="Times New Roman" w:hAnsi="Times New Roman"/>
          <w:sz w:val="24"/>
          <w:szCs w:val="24"/>
          <w:lang w:eastAsia="es-ES"/>
        </w:rPr>
      </w:pPr>
      <w:r w:rsidRPr="00E96222">
        <w:rPr>
          <w:rFonts w:ascii="Times New Roman" w:eastAsia="Times New Roman" w:hAnsi="Times New Roman"/>
          <w:sz w:val="24"/>
          <w:szCs w:val="24"/>
          <w:lang w:eastAsia="es-ES"/>
        </w:rPr>
        <w:t>Ante esta situación, los Técnicos de Hacienda valoran positivamente el esfuerzo que los diversos gobiernos españoles vienen realizando en estos últimos años para aumentar la pensión media de jubilación, así como para mejorar al resto de pensiones contributivas.</w:t>
      </w:r>
    </w:p>
    <w:p w:rsidR="00864D30" w:rsidRPr="00E96222" w:rsidRDefault="00864D30" w:rsidP="00550638">
      <w:pPr>
        <w:spacing w:before="100" w:beforeAutospacing="1" w:after="100" w:afterAutospacing="1" w:line="240" w:lineRule="auto"/>
        <w:jc w:val="both"/>
        <w:rPr>
          <w:rFonts w:ascii="Times New Roman" w:eastAsia="Times New Roman" w:hAnsi="Times New Roman"/>
          <w:sz w:val="24"/>
          <w:szCs w:val="24"/>
          <w:lang w:eastAsia="es-ES"/>
        </w:rPr>
      </w:pPr>
      <w:r w:rsidRPr="00E96222">
        <w:rPr>
          <w:rFonts w:ascii="Times New Roman" w:eastAsia="Times New Roman" w:hAnsi="Times New Roman"/>
          <w:sz w:val="24"/>
          <w:szCs w:val="24"/>
          <w:lang w:eastAsia="es-ES"/>
        </w:rPr>
        <w:t>A lo largo de los diez últimos años, la pensión contributiva media se elevó en casi un 60%, hasta alcanzar los 785,83 euros mensuales, con un repunte especialmente pronunciado en el caso de las prestaciones a favor de familiares (+76%), viudedad (+65%) y jubilación (+58%).</w:t>
      </w:r>
    </w:p>
    <w:p w:rsidR="00864D30" w:rsidRPr="00864D30" w:rsidRDefault="00864D30" w:rsidP="00550638">
      <w:pPr>
        <w:spacing w:before="100" w:beforeAutospacing="1" w:after="100" w:afterAutospacing="1" w:line="240" w:lineRule="auto"/>
        <w:jc w:val="both"/>
        <w:rPr>
          <w:rFonts w:ascii="Times New Roman" w:eastAsia="Times New Roman" w:hAnsi="Times New Roman"/>
          <w:sz w:val="24"/>
          <w:szCs w:val="24"/>
          <w:lang w:eastAsia="es-ES"/>
        </w:rPr>
      </w:pPr>
      <w:r w:rsidRPr="00E96222">
        <w:rPr>
          <w:rFonts w:ascii="Times New Roman" w:eastAsia="Times New Roman" w:hAnsi="Times New Roman"/>
          <w:sz w:val="24"/>
          <w:szCs w:val="24"/>
          <w:lang w:eastAsia="es-ES"/>
        </w:rPr>
        <w:t>Sin embargo, el colectivo considera que la negociación y aprobación de la próxima reforma de</w:t>
      </w:r>
      <w:r>
        <w:rPr>
          <w:rFonts w:ascii="Times New Roman" w:eastAsia="Times New Roman" w:hAnsi="Times New Roman"/>
          <w:sz w:val="24"/>
          <w:szCs w:val="24"/>
          <w:lang w:eastAsia="es-ES"/>
        </w:rPr>
        <w:t xml:space="preserve"> las pensiones debe realizarse “sin prisas”</w:t>
      </w:r>
      <w:r w:rsidRPr="00E96222">
        <w:rPr>
          <w:rFonts w:ascii="Times New Roman" w:eastAsia="Times New Roman" w:hAnsi="Times New Roman"/>
          <w:sz w:val="24"/>
          <w:szCs w:val="24"/>
          <w:lang w:eastAsia="es-ES"/>
        </w:rPr>
        <w:t xml:space="preserve"> y respetando la concertación social y el pacto de Estado que existe ac</w:t>
      </w:r>
      <w:r>
        <w:rPr>
          <w:rFonts w:ascii="Times New Roman" w:eastAsia="Times New Roman" w:hAnsi="Times New Roman"/>
          <w:sz w:val="24"/>
          <w:szCs w:val="24"/>
          <w:lang w:eastAsia="es-ES"/>
        </w:rPr>
        <w:t>t</w:t>
      </w:r>
      <w:r w:rsidRPr="00E96222">
        <w:rPr>
          <w:rFonts w:ascii="Times New Roman" w:eastAsia="Times New Roman" w:hAnsi="Times New Roman"/>
          <w:sz w:val="24"/>
          <w:szCs w:val="24"/>
          <w:lang w:eastAsia="es-ES"/>
        </w:rPr>
        <w:t>ual</w:t>
      </w:r>
      <w:r>
        <w:rPr>
          <w:rFonts w:ascii="Times New Roman" w:eastAsia="Times New Roman" w:hAnsi="Times New Roman"/>
          <w:sz w:val="24"/>
          <w:szCs w:val="24"/>
          <w:lang w:eastAsia="es-ES"/>
        </w:rPr>
        <w:t>mente en torno a esta materia. “</w:t>
      </w:r>
      <w:r w:rsidRPr="00E96222">
        <w:rPr>
          <w:rFonts w:ascii="Times New Roman" w:eastAsia="Times New Roman" w:hAnsi="Times New Roman"/>
          <w:sz w:val="24"/>
          <w:szCs w:val="24"/>
          <w:lang w:eastAsia="es-ES"/>
        </w:rPr>
        <w:t xml:space="preserve">La necesidad de </w:t>
      </w:r>
      <w:r w:rsidRPr="00E96222">
        <w:rPr>
          <w:rFonts w:ascii="Times New Roman" w:eastAsia="Times New Roman" w:hAnsi="Times New Roman"/>
          <w:sz w:val="24"/>
          <w:szCs w:val="24"/>
          <w:lang w:eastAsia="es-ES"/>
        </w:rPr>
        <w:lastRenderedPageBreak/>
        <w:t>quitar incertidumbre a los inversores de los mercados financieros y reducir el diferencial de la prima de riesgo de la deuda pública no justifica lo con</w:t>
      </w:r>
      <w:r>
        <w:rPr>
          <w:rFonts w:ascii="Times New Roman" w:eastAsia="Times New Roman" w:hAnsi="Times New Roman"/>
          <w:sz w:val="24"/>
          <w:szCs w:val="24"/>
          <w:lang w:eastAsia="es-ES"/>
        </w:rPr>
        <w:t>trario”, subrayan desde Gestha.</w:t>
      </w:r>
    </w:p>
    <w:p w:rsidR="003F3A81" w:rsidRPr="00E96222"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003F3A81">
        <w:rPr>
          <w:rFonts w:ascii="Arial" w:eastAsia="Times New Roman" w:hAnsi="Arial" w:cs="Arial"/>
          <w:b/>
          <w:bCs/>
          <w:noProof/>
          <w:color w:val="000000"/>
          <w:sz w:val="20"/>
          <w:szCs w:val="20"/>
          <w:lang w:eastAsia="es-ES"/>
        </w:rPr>
        <w:drawing>
          <wp:inline distT="0" distB="0" distL="0" distR="0" wp14:anchorId="2402F734" wp14:editId="20D25CF6">
            <wp:extent cx="4754880" cy="3928262"/>
            <wp:effectExtent l="0" t="0" r="7620" b="0"/>
            <wp:docPr id="42" name="Imagen 42" descr="gest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gestha"/>
                    <pic:cNvPicPr>
                      <a:picLocks noChangeAspect="1" noChangeArrowheads="1"/>
                    </pic:cNvPicPr>
                  </pic:nvPicPr>
                  <pic:blipFill>
                    <a:blip r:embed="rId537">
                      <a:extLst>
                        <a:ext uri="{28A0092B-C50C-407E-A947-70E740481C1C}">
                          <a14:useLocalDpi xmlns:a14="http://schemas.microsoft.com/office/drawing/2010/main" val="0"/>
                        </a:ext>
                      </a:extLst>
                    </a:blip>
                    <a:srcRect/>
                    <a:stretch>
                      <a:fillRect/>
                    </a:stretch>
                  </pic:blipFill>
                  <pic:spPr bwMode="auto">
                    <a:xfrm>
                      <a:off x="0" y="0"/>
                      <a:ext cx="4755185" cy="3928514"/>
                    </a:xfrm>
                    <a:prstGeom prst="rect">
                      <a:avLst/>
                    </a:prstGeom>
                    <a:noFill/>
                    <a:ln>
                      <a:noFill/>
                    </a:ln>
                  </pic:spPr>
                </pic:pic>
              </a:graphicData>
            </a:graphic>
          </wp:inline>
        </w:drawing>
      </w:r>
    </w:p>
    <w:p w:rsidR="003F3A81" w:rsidRPr="00494435" w:rsidRDefault="003F3A81" w:rsidP="00550638">
      <w:pPr>
        <w:shd w:val="clear" w:color="auto" w:fill="FFFFFF"/>
        <w:spacing w:after="225" w:line="240" w:lineRule="auto"/>
        <w:rPr>
          <w:rFonts w:ascii="Arial" w:eastAsia="Times New Roman" w:hAnsi="Arial" w:cs="Arial"/>
          <w:color w:val="000000"/>
          <w:sz w:val="20"/>
          <w:szCs w:val="20"/>
          <w:lang w:eastAsia="es-ES"/>
        </w:rPr>
      </w:pPr>
      <w:r>
        <w:rPr>
          <w:rFonts w:ascii="Arial" w:eastAsia="Times New Roman" w:hAnsi="Arial" w:cs="Arial"/>
          <w:color w:val="000000"/>
          <w:sz w:val="20"/>
          <w:szCs w:val="20"/>
          <w:lang w:eastAsia="es-ES"/>
        </w:rPr>
        <w:t xml:space="preserve">                                 </w:t>
      </w:r>
      <w:r>
        <w:rPr>
          <w:rFonts w:ascii="Arial" w:eastAsia="Times New Roman" w:hAnsi="Arial" w:cs="Arial"/>
          <w:noProof/>
          <w:color w:val="000000"/>
          <w:sz w:val="20"/>
          <w:szCs w:val="20"/>
          <w:lang w:eastAsia="es-ES"/>
        </w:rPr>
        <w:drawing>
          <wp:inline distT="0" distB="0" distL="0" distR="0" wp14:anchorId="4144FF64" wp14:editId="0F0677BF">
            <wp:extent cx="3079622" cy="3950208"/>
            <wp:effectExtent l="0" t="0" r="6985" b="0"/>
            <wp:docPr id="41" name="Imagen 41" descr="pi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descr="pib"/>
                    <pic:cNvPicPr>
                      <a:picLocks noChangeAspect="1" noChangeArrowheads="1"/>
                    </pic:cNvPicPr>
                  </pic:nvPicPr>
                  <pic:blipFill>
                    <a:blip r:embed="rId538">
                      <a:extLst>
                        <a:ext uri="{28A0092B-C50C-407E-A947-70E740481C1C}">
                          <a14:useLocalDpi xmlns:a14="http://schemas.microsoft.com/office/drawing/2010/main" val="0"/>
                        </a:ext>
                      </a:extLst>
                    </a:blip>
                    <a:srcRect/>
                    <a:stretch>
                      <a:fillRect/>
                    </a:stretch>
                  </pic:blipFill>
                  <pic:spPr bwMode="auto">
                    <a:xfrm>
                      <a:off x="0" y="0"/>
                      <a:ext cx="3079750" cy="3950372"/>
                    </a:xfrm>
                    <a:prstGeom prst="rect">
                      <a:avLst/>
                    </a:prstGeom>
                    <a:noFill/>
                    <a:ln>
                      <a:noFill/>
                    </a:ln>
                  </pic:spPr>
                </pic:pic>
              </a:graphicData>
            </a:graphic>
          </wp:inline>
        </w:drawing>
      </w:r>
    </w:p>
    <w:p w:rsidR="003F3A81" w:rsidRPr="00E96222"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E96222">
        <w:rPr>
          <w:rFonts w:ascii="Times New Roman" w:eastAsia="Times New Roman" w:hAnsi="Times New Roman"/>
          <w:sz w:val="24"/>
          <w:szCs w:val="24"/>
          <w:lang w:eastAsia="es-ES"/>
        </w:rPr>
        <w:lastRenderedPageBreak/>
        <w:t>Alternativas</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Los Técnicos de Hacienda proponen diversas alternativas para mantener la viabilidad y sostenibilidad del sistema público de pensiones, entre las que destacan la creación de un sistema mixto de financiación, la mejora de la eficiencia en la recaudación tributaria a través de la lucha contra las grandes bolsas de fraude o el desarrollo de incentivos para alargar voluntariamente la edad de jubilación.</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En primer lugar, Gestha recomienda introducir una parte de la recaudación de impuestos en el sistema de pensiones, además de las cotizaciones sociales. A su juicio, esta medida permitiría financiar con impuestos casi 5.400 millones de costes administrativos de gestión anual de la Seguridad Social.</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En segundo lugar, los Técnicos abogan por mejorar la eficiencia del gasto público y la reducción de la economía sumergida, especialmente en la lucha contra el fraude laboral, con el fin de atajar el endeudamiento de las Administraciones Públicas y aliviar las tensiones en el coste de la deuda pública.</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 xml:space="preserve">Para Gestha, el Ministerio </w:t>
      </w:r>
      <w:r w:rsidR="00864D30">
        <w:rPr>
          <w:rFonts w:ascii="Times New Roman" w:eastAsia="Times New Roman" w:hAnsi="Times New Roman"/>
          <w:sz w:val="24"/>
          <w:szCs w:val="24"/>
          <w:lang w:eastAsia="es-ES"/>
        </w:rPr>
        <w:t>de Economía y Hacienda “</w:t>
      </w:r>
      <w:r w:rsidRPr="00864D30">
        <w:rPr>
          <w:rFonts w:ascii="Times New Roman" w:eastAsia="Times New Roman" w:hAnsi="Times New Roman"/>
          <w:sz w:val="24"/>
          <w:szCs w:val="24"/>
          <w:lang w:eastAsia="es-ES"/>
        </w:rPr>
        <w:t xml:space="preserve">debería convertir la lucha contra la economía sumergida en una prioridad, en lugar de exigir sacrificios a </w:t>
      </w:r>
      <w:r w:rsidR="00864D30">
        <w:rPr>
          <w:rFonts w:ascii="Times New Roman" w:eastAsia="Times New Roman" w:hAnsi="Times New Roman"/>
          <w:sz w:val="24"/>
          <w:szCs w:val="24"/>
          <w:lang w:eastAsia="es-ES"/>
        </w:rPr>
        <w:t>los trabajadores y pensionistas”, puesto que “</w:t>
      </w:r>
      <w:r w:rsidRPr="00864D30">
        <w:rPr>
          <w:rFonts w:ascii="Times New Roman" w:eastAsia="Times New Roman" w:hAnsi="Times New Roman"/>
          <w:sz w:val="24"/>
          <w:szCs w:val="24"/>
          <w:lang w:eastAsia="es-ES"/>
        </w:rPr>
        <w:t>el verdadero lastre de las cuentas públicas es la evasión fiscal de más de 88.0</w:t>
      </w:r>
      <w:r w:rsidR="00864D30">
        <w:rPr>
          <w:rFonts w:ascii="Times New Roman" w:eastAsia="Times New Roman" w:hAnsi="Times New Roman"/>
          <w:sz w:val="24"/>
          <w:szCs w:val="24"/>
          <w:lang w:eastAsia="es-ES"/>
        </w:rPr>
        <w:t>00 millones de euros cada año”</w:t>
      </w:r>
      <w:r w:rsidRPr="00864D30">
        <w:rPr>
          <w:rFonts w:ascii="Times New Roman" w:eastAsia="Times New Roman" w:hAnsi="Times New Roman"/>
          <w:sz w:val="24"/>
          <w:szCs w:val="24"/>
          <w:lang w:eastAsia="es-ES"/>
        </w:rPr>
        <w:t>.</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Convergencia de la edad legal y real de jubilación</w:t>
      </w:r>
    </w:p>
    <w:p w:rsidR="003F3A81" w:rsidRPr="00864D30"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 xml:space="preserve">Entre los años 1991 y 2008, la tasa de supervivencia de los españoles mayores de 65 años se incrementó en 2,4 años, situación </w:t>
      </w:r>
      <w:r w:rsidR="00864D30">
        <w:rPr>
          <w:rFonts w:ascii="Times New Roman" w:eastAsia="Times New Roman" w:hAnsi="Times New Roman"/>
          <w:sz w:val="24"/>
          <w:szCs w:val="24"/>
          <w:lang w:eastAsia="es-ES"/>
        </w:rPr>
        <w:t>que, a juicio de los Técnicos, “</w:t>
      </w:r>
      <w:r w:rsidRPr="00864D30">
        <w:rPr>
          <w:rFonts w:ascii="Times New Roman" w:eastAsia="Times New Roman" w:hAnsi="Times New Roman"/>
          <w:sz w:val="24"/>
          <w:szCs w:val="24"/>
          <w:lang w:eastAsia="es-ES"/>
        </w:rPr>
        <w:t xml:space="preserve">no justifica por sí misma la necesidad de aumentar la edad real </w:t>
      </w:r>
      <w:r w:rsidR="00864D30">
        <w:rPr>
          <w:rFonts w:ascii="Times New Roman" w:eastAsia="Times New Roman" w:hAnsi="Times New Roman"/>
          <w:sz w:val="24"/>
          <w:szCs w:val="24"/>
          <w:lang w:eastAsia="es-ES"/>
        </w:rPr>
        <w:t>de jubilación hasta los 67 años”</w:t>
      </w:r>
      <w:r w:rsidRPr="00864D30">
        <w:rPr>
          <w:rFonts w:ascii="Times New Roman" w:eastAsia="Times New Roman" w:hAnsi="Times New Roman"/>
          <w:sz w:val="24"/>
          <w:szCs w:val="24"/>
          <w:lang w:eastAsia="es-ES"/>
        </w:rPr>
        <w:t>.</w:t>
      </w:r>
    </w:p>
    <w:p w:rsidR="003F3A81" w:rsidRDefault="003F3A81" w:rsidP="00550638">
      <w:pPr>
        <w:spacing w:before="100" w:beforeAutospacing="1" w:after="100" w:afterAutospacing="1" w:line="240" w:lineRule="auto"/>
        <w:jc w:val="both"/>
        <w:rPr>
          <w:rFonts w:ascii="Times New Roman" w:eastAsia="Times New Roman" w:hAnsi="Times New Roman"/>
          <w:sz w:val="24"/>
          <w:szCs w:val="24"/>
          <w:lang w:eastAsia="es-ES"/>
        </w:rPr>
      </w:pPr>
      <w:r w:rsidRPr="00864D30">
        <w:rPr>
          <w:rFonts w:ascii="Times New Roman" w:eastAsia="Times New Roman" w:hAnsi="Times New Roman"/>
          <w:sz w:val="24"/>
          <w:szCs w:val="24"/>
          <w:lang w:eastAsia="es-ES"/>
        </w:rPr>
        <w:t>En su lugar, el colectivo aboga por acomodar en esos dos años la edad real de 63,27 años a la edad legal de jubilación. Para lograrlo, Gestha propone articular incentivos para el alargamiento voluntario la edad de jubilación, limitar las reducciones de plantilla en las empresas con beneficios y disminuir los coeficientes reductores para la jubilación anticipada.</w:t>
      </w:r>
    </w:p>
    <w:p w:rsidR="005C2409" w:rsidRDefault="005C2409" w:rsidP="00550638">
      <w:pPr>
        <w:pStyle w:val="NormalWeb"/>
        <w:jc w:val="both"/>
        <w:rPr>
          <w:u w:val="single"/>
        </w:rPr>
      </w:pPr>
      <w:r w:rsidRPr="005C2409">
        <w:rPr>
          <w:u w:val="single"/>
        </w:rPr>
        <w:t>Las obligaciones contraídas por los sistemas de jubilación para la población actual alcanzan los 30</w:t>
      </w:r>
      <w:r>
        <w:rPr>
          <w:u w:val="single"/>
        </w:rPr>
        <w:t xml:space="preserve"> billones de euros</w:t>
      </w:r>
    </w:p>
    <w:p w:rsidR="003F3A81" w:rsidRPr="005C2409" w:rsidRDefault="005C2409" w:rsidP="00550638">
      <w:pPr>
        <w:pStyle w:val="NormalWeb"/>
        <w:jc w:val="both"/>
        <w:rPr>
          <w:u w:val="single"/>
        </w:rPr>
      </w:pPr>
      <w:r>
        <w:rPr>
          <w:i/>
        </w:rPr>
        <w:t>“</w:t>
      </w:r>
      <w:r w:rsidR="003F3A81" w:rsidRPr="005C2409">
        <w:rPr>
          <w:i/>
        </w:rPr>
        <w:t>Desde hace más de dos años, el tema central en la economía mundial es la crisis de deuda en Europa. Los países de la UE han emitido cientos de miles de bonos en los últimos años y los mercados ahora dudan de que vayan a ser capaces de hacer frente a sus obligaciones de pago. Sin embargo, existe una deuda oculta de la que se habla mucho menos pero que amenaza por igual a las economías europeas: las pensiones</w:t>
      </w:r>
      <w:r>
        <w:rPr>
          <w:i/>
        </w:rPr>
        <w:t>”..</w:t>
      </w:r>
      <w:r w:rsidR="003F3A81" w:rsidRPr="005C2409">
        <w:rPr>
          <w:i/>
        </w:rPr>
        <w:t xml:space="preserve">. </w:t>
      </w:r>
      <w:r w:rsidRPr="00BB01AD">
        <w:rPr>
          <w:u w:val="single"/>
        </w:rPr>
        <w:t>Los estados europeos deben en pensiones cinco veces más que en bonos</w:t>
      </w:r>
      <w:r>
        <w:t xml:space="preserve"> (Libertad Digital - </w:t>
      </w:r>
      <w:r w:rsidRPr="00BB01AD">
        <w:rPr>
          <w:b/>
        </w:rPr>
        <w:t>21/1/12</w:t>
      </w:r>
      <w:r>
        <w:t>)</w:t>
      </w:r>
    </w:p>
    <w:p w:rsidR="003F3A81" w:rsidRDefault="003F3A81" w:rsidP="00550638">
      <w:pPr>
        <w:pStyle w:val="NormalWeb"/>
        <w:jc w:val="both"/>
      </w:pPr>
      <w:r>
        <w:t xml:space="preserve">Las obligaciones contraídas por los estados del Viejo Continente en materia de prestaciones de jubilación suman 30 billones de euros. Esto supone, según Bloomberg, cinco veces más que la cantidad de bonos en circulación. Normalmente, no cuenta como deuda, porque no se emite, ni hay mercados ni existen inversores. Sin embargo, la </w:t>
      </w:r>
      <w:r>
        <w:lastRenderedPageBreak/>
        <w:t xml:space="preserve">obligación de pago es similar a la que existe con una letra o un bono del Tesoro: el Estado se ha comprometido a abonar esas pensiones y no puede dejar de hacerlo. </w:t>
      </w:r>
    </w:p>
    <w:p w:rsidR="003F3A81" w:rsidRPr="005C2409" w:rsidRDefault="003F3A81" w:rsidP="00550638">
      <w:pPr>
        <w:pStyle w:val="NormalWeb"/>
        <w:jc w:val="both"/>
      </w:pPr>
      <w:r>
        <w:t>De hecho, desde un punto de vista político, es más fácil para cualquier Gobierno decretar un impago de la deuda (pese a las catastróficas consecuencias que tiene, como estamos viendo en Grecia) que anunciar un recorte drástico en las pensiones</w:t>
      </w:r>
      <w:r w:rsidRPr="005C2409">
        <w:t xml:space="preserve">. Por eso, a la hora de valorar el estado de las finanzas europea no sólo hay que mirar a las subastas de los tesoros nacionales: existe una carga mucho más pesada sobre sus espaldas y nadie sabe si sus ingresos futuros podrán soportarlo. </w:t>
      </w:r>
    </w:p>
    <w:p w:rsidR="003F3A81" w:rsidRDefault="003F3A81" w:rsidP="00550638">
      <w:pPr>
        <w:pStyle w:val="NormalWeb"/>
        <w:jc w:val="both"/>
      </w:pPr>
      <w:r w:rsidRPr="005C2409">
        <w:t>La teoría dice que las pensiones de la Seguridad Social (o sus equivalentes en los demás países de la UE) se paga</w:t>
      </w:r>
      <w:r w:rsidR="001A6B40">
        <w:t>n</w:t>
      </w:r>
      <w:r w:rsidRPr="005C2409">
        <w:t xml:space="preserve"> con las contribuciones de los trabajadores presentes. Mientras, la deuda y el resto del gasto salen de los impuestos. Sin embargo, está claro que si alguna vez no hay cotizaciones suficientes, entonces el dinero de las pensiones comenzará a llegar también de los imp</w:t>
      </w:r>
      <w:r w:rsidR="005C2409">
        <w:t>uestos.</w:t>
      </w:r>
    </w:p>
    <w:p w:rsidR="003F3A81" w:rsidRDefault="001A6B40" w:rsidP="00550638">
      <w:pPr>
        <w:pStyle w:val="NormalWeb"/>
        <w:jc w:val="both"/>
      </w:pPr>
      <w:r>
        <w:t>Los medios espe</w:t>
      </w:r>
      <w:r w:rsidR="005C2409">
        <w:t>cializados</w:t>
      </w:r>
      <w:r>
        <w:t xml:space="preserve"> advierten</w:t>
      </w:r>
      <w:r w:rsidR="003F3A81">
        <w:t xml:space="preserve"> cada cierto tiempo que los riesgos de los sistemas de pensiones en Europa están asociados al aumento en la esperanza de vida, así como a la falta de nacimientos. Cada vez hay más mayores de 65 años y menos trabajadores. En la década de los 60, podía haber 30 </w:t>
      </w:r>
      <w:r w:rsidR="00587466">
        <w:t>o</w:t>
      </w:r>
      <w:r w:rsidR="003F3A81">
        <w:t xml:space="preserve"> 40 cotizantes por jubilado; ahora hay 3-4 y la tendencia es a que la ratio siga cayendo.</w:t>
      </w:r>
    </w:p>
    <w:p w:rsidR="003F3A81" w:rsidRPr="005C2409" w:rsidRDefault="003F3A81" w:rsidP="00550638">
      <w:pPr>
        <w:pStyle w:val="NormalWeb"/>
        <w:jc w:val="both"/>
      </w:pPr>
      <w:r w:rsidRPr="005C2409">
        <w:t>Todo esto ha quedado claro en un informe del Banco Central Europeo (BCE) publicado estos días y en el que se utilizan los datos de un estudio realizado hace un par de años en los Veintisiete países de la UE. Según sus cálculos, en 2060 el gasto en términos reales habrá aumentado un 25% y supondrá el 14% del PIB europeo.</w:t>
      </w:r>
    </w:p>
    <w:p w:rsidR="003F3A81" w:rsidRDefault="003F3A81" w:rsidP="00550638">
      <w:pPr>
        <w:pStyle w:val="NormalWeb"/>
        <w:jc w:val="both"/>
      </w:pPr>
      <w:r>
        <w:t>En estos momentos, el Viejo Continente tienen ya la mayor proporción de población de más de 60 años del mundo y esa tendencia se acentuará. El 35% de sus habitantes en 2050 estará por encima de esa edad, frente al 22% en el resto del planeta. A mitad del siglo XXI, habrá unos 350 millones de personas en la OCDE que pertenecerán a la Tercera Edad, cuando en 1970 apenas sumaban 85 millones. Y la esperanza de vida en Europa aumenta a una velocidad de cinco horas al días (algo bueno, pero que debe hacernos reflexionar).</w:t>
      </w:r>
    </w:p>
    <w:p w:rsidR="003F3A81" w:rsidRDefault="003F3A81" w:rsidP="00550638">
      <w:pPr>
        <w:pStyle w:val="NormalWeb"/>
        <w:jc w:val="center"/>
      </w:pPr>
      <w:r>
        <w:rPr>
          <w:noProof/>
        </w:rPr>
        <w:drawing>
          <wp:inline distT="0" distB="0" distL="0" distR="0" wp14:anchorId="062C9AC1" wp14:editId="783992B6">
            <wp:extent cx="5720486" cy="2640787"/>
            <wp:effectExtent l="0" t="0" r="0" b="7620"/>
            <wp:docPr id="17" name="Imagen 17" descr="pensiones_europa_b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ensiones_europa_bce"/>
                    <pic:cNvPicPr>
                      <a:picLocks noChangeAspect="1" noChangeArrowheads="1"/>
                    </pic:cNvPicPr>
                  </pic:nvPicPr>
                  <pic:blipFill>
                    <a:blip r:embed="rId539">
                      <a:extLst>
                        <a:ext uri="{28A0092B-C50C-407E-A947-70E740481C1C}">
                          <a14:useLocalDpi xmlns:a14="http://schemas.microsoft.com/office/drawing/2010/main" val="0"/>
                        </a:ext>
                      </a:extLst>
                    </a:blip>
                    <a:srcRect/>
                    <a:stretch>
                      <a:fillRect/>
                    </a:stretch>
                  </pic:blipFill>
                  <pic:spPr bwMode="auto">
                    <a:xfrm>
                      <a:off x="0" y="0"/>
                      <a:ext cx="5741568" cy="2650519"/>
                    </a:xfrm>
                    <a:prstGeom prst="rect">
                      <a:avLst/>
                    </a:prstGeom>
                    <a:noFill/>
                    <a:ln>
                      <a:noFill/>
                    </a:ln>
                  </pic:spPr>
                </pic:pic>
              </a:graphicData>
            </a:graphic>
          </wp:inline>
        </w:drawing>
      </w:r>
    </w:p>
    <w:p w:rsidR="001A6B40" w:rsidRDefault="001A6B40" w:rsidP="00550638">
      <w:pPr>
        <w:pStyle w:val="NormalWeb"/>
        <w:jc w:val="both"/>
      </w:pPr>
      <w:r>
        <w:lastRenderedPageBreak/>
        <w:t>En España, la situación es especialmente preocupante. Según se puede ver en el gráfico anterior, será el segundo país con un mayor incremento en la población de más de 60 años en 2050. Sólo Eslovaquia nos supera.</w:t>
      </w:r>
    </w:p>
    <w:p w:rsidR="003F3A81" w:rsidRPr="005C2409" w:rsidRDefault="001A6B40" w:rsidP="00550638">
      <w:pPr>
        <w:pStyle w:val="NormalWeb"/>
        <w:jc w:val="both"/>
      </w:pPr>
      <w:r>
        <w:t>Muy probablemente,</w:t>
      </w:r>
      <w:r w:rsidR="003F3A81" w:rsidRPr="005C2409">
        <w:t xml:space="preserve"> la solución vendrá de la mano de recortes en las pensiones. Con la excusa de hacer sostenible el sistema, los políticos reducirán la cuantía de las prestaciones o harán más difícil acceder a las mismas</w:t>
      </w:r>
      <w:r>
        <w:t xml:space="preserve">. En España, </w:t>
      </w:r>
      <w:r w:rsidR="003F3A81" w:rsidRPr="005C2409">
        <w:t>h</w:t>
      </w:r>
      <w:r>
        <w:t>ace unos meses cómo se retrasó</w:t>
      </w:r>
      <w:r w:rsidR="003F3A81" w:rsidRPr="005C2409">
        <w:t xml:space="preserve"> la edad de jubila</w:t>
      </w:r>
      <w:r>
        <w:t>ción a los 67 años y se amplió</w:t>
      </w:r>
      <w:r w:rsidR="003F3A81" w:rsidRPr="005C2409">
        <w:t xml:space="preserve"> la base de cálculo (de 15 a 25 años, para reducir las prestaciones). Las previsiones de los</w:t>
      </w:r>
      <w:r>
        <w:t xml:space="preserve"> estudios oficiales</w:t>
      </w:r>
      <w:r w:rsidR="003F3A81" w:rsidRPr="005C2409">
        <w:t xml:space="preserve"> dicen que para 2060, la pensión en Francia supondrá sólo un 48% del salario medio, cuando ahora es del 63%. Y posiblemente la edad legal de jubilación estará alrededor de los 75 años. </w:t>
      </w:r>
    </w:p>
    <w:p w:rsidR="003F3A81" w:rsidRDefault="003F3A81" w:rsidP="00550638">
      <w:pPr>
        <w:pStyle w:val="NormalWeb"/>
        <w:jc w:val="both"/>
      </w:pPr>
      <w:r w:rsidRPr="005C2409">
        <w:t>Ningún político lo llamará así, pero esto es una quiebra en toda regla del sistema de pensiones. Cuando los trabajadores actuales comenzaron su vida laboral, les prometieron unas condiciones y se las cambian a mitad de la partida. La quiebra no es completa, pero incluye una quita obligatoria; también esto es muy parecido a lo que está haciendo Grecia con sus bonos, no pagar parte de sus promesas y obligar a sus acreedores a aceptar un descuento.</w:t>
      </w:r>
    </w:p>
    <w:p w:rsidR="001A6B40" w:rsidRPr="001A6B40" w:rsidRDefault="001A6B40" w:rsidP="00550638">
      <w:pPr>
        <w:pStyle w:val="NormalWeb"/>
        <w:jc w:val="both"/>
        <w:rPr>
          <w:u w:val="single"/>
        </w:rPr>
      </w:pPr>
      <w:r w:rsidRPr="001A6B40">
        <w:rPr>
          <w:u w:val="single"/>
        </w:rPr>
        <w:t>La Unión Europea tiene la palabra: el Libro Blanco de las pensiones “menguantes”</w:t>
      </w:r>
    </w:p>
    <w:p w:rsidR="003F3A81" w:rsidRPr="00B87D4D" w:rsidRDefault="003F3A81"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B87D4D">
        <w:rPr>
          <w:rFonts w:ascii="Times New Roman" w:hAnsi="Times New Roman"/>
          <w:sz w:val="24"/>
          <w:szCs w:val="24"/>
          <w:u w:val="single"/>
        </w:rPr>
        <w:t>La UE establece planes para conseguir unas pensiones adecuadas, seguras y sostenibles</w:t>
      </w:r>
      <w:r>
        <w:rPr>
          <w:rFonts w:ascii="Times New Roman" w:hAnsi="Times New Roman"/>
          <w:sz w:val="24"/>
          <w:szCs w:val="24"/>
        </w:rPr>
        <w:t xml:space="preserve"> (Europa - Press Releases - </w:t>
      </w:r>
      <w:r w:rsidRPr="00B87D4D">
        <w:rPr>
          <w:rFonts w:ascii="Times New Roman" w:hAnsi="Times New Roman"/>
          <w:b/>
          <w:sz w:val="24"/>
          <w:szCs w:val="24"/>
        </w:rPr>
        <w:t>16/2/12</w:t>
      </w:r>
      <w:r>
        <w:rPr>
          <w:rFonts w:ascii="Times New Roman" w:hAnsi="Times New Roman"/>
          <w:sz w:val="24"/>
          <w:szCs w:val="24"/>
        </w:rPr>
        <w:t>)</w:t>
      </w:r>
      <w:r w:rsidR="001A6B40">
        <w:rPr>
          <w:rFonts w:ascii="Times New Roman" w:hAnsi="Times New Roman"/>
          <w:sz w:val="24"/>
          <w:szCs w:val="24"/>
        </w:rPr>
        <w:t xml:space="preserve">                                Lectura recomendada</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Bruselas, 16 de febrero de 2012. En la actualidad, las pensiones constituyen la principal fuente de ingresos de aproximadamente una cuarta parte de la población de la UE y, más adelante, los jóvenes europeos también acabarán dependiendo de las pensiones. A menos que Europa proporcione unas pensiones dignas, ahora y en el futuro, millones de ciudadanos se verán abocados a la pobreza en la vejez. Europa también está envejeciendo, ya que las personas viven más tiempo y nacen menos niños. A partir del próximo año, la población activa de la UE también empezará a disminuir. Las pensiones cada vez ejercen más presión financiera en los presupuestos nacionales, en particular con el factor añadido de la crisis financiera y económica. Para respaldar estos esfuerzos, la Comisión Europea ha publicado un Libro Blanco relativo a unas pensiones adecuadas, seguras y sostenibles. En él se examina de qué manera la UE y los Estados miembros pueden trabajar para combatir los principales problemas por los que atraviesan los sistemas de pensiones. Se presentan una serie de iniciativas: para contribuir a crear las condiciones adecuadas para que, quienes puedan, sigan trabajando, de manera que se alcance un mayor equilibrio entre el tiempo de trabajo y el tiempo de jubilación; para garantizar que las personas que se desplazan a otro país puedan conservar sus derechos de pensión; y para ayudar a los ciudadanos a ahorrar más, velar por que se cumplan las promesas en materia de pensiones y garantizar que los ciudadanos obtengan lo que esperan en el momento de su jubilación.</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En la presentación, en Bruselas, del Libro Blanco a la prensa, László Andor, Comisario de Empleo, Asuntos Sociales e In</w:t>
      </w:r>
      <w:r w:rsidR="00EA5CDF">
        <w:rPr>
          <w:rFonts w:ascii="Times New Roman" w:hAnsi="Times New Roman"/>
          <w:sz w:val="24"/>
          <w:szCs w:val="24"/>
        </w:rPr>
        <w:t>clusión de la UE, ha afirmado: “</w:t>
      </w:r>
      <w:r w:rsidRPr="00B87D4D">
        <w:rPr>
          <w:rFonts w:ascii="Times New Roman" w:hAnsi="Times New Roman"/>
          <w:sz w:val="24"/>
          <w:szCs w:val="24"/>
        </w:rPr>
        <w:t>Garantizar unas pensiones adecuadas para el futuro es posible, si cumplimos hasta el final nuestros compromisos de reforma. Ya estamos notando el impacto del envejecimiento; los nacidos del boom de natalidad se están jubilando y cada vez son menos los jóvenes que se incorporan al mercado laboral. Pero aún no es demasiado</w:t>
      </w:r>
      <w:r w:rsidR="00EA5CDF">
        <w:rPr>
          <w:rFonts w:ascii="Times New Roman" w:hAnsi="Times New Roman"/>
          <w:sz w:val="24"/>
          <w:szCs w:val="24"/>
        </w:rPr>
        <w:t xml:space="preserve"> tarde para superar estos </w:t>
      </w:r>
      <w:r w:rsidR="00EA5CDF">
        <w:rPr>
          <w:rFonts w:ascii="Times New Roman" w:hAnsi="Times New Roman"/>
          <w:sz w:val="24"/>
          <w:szCs w:val="24"/>
        </w:rPr>
        <w:lastRenderedPageBreak/>
        <w:t>retos”</w:t>
      </w:r>
      <w:r w:rsidRPr="00B87D4D">
        <w:rPr>
          <w:rFonts w:ascii="Times New Roman" w:hAnsi="Times New Roman"/>
          <w:sz w:val="24"/>
          <w:szCs w:val="24"/>
        </w:rPr>
        <w:t>. El Comisario ha añadido que aumentar la edad de jubilación es importante y ha afirmado que una encuesta reciente del Eurobarómetro ha puesto de manifiesto que muchos europeos seguirían en el mercado de trabajo después incluso de la edad en la que podrían cobrar una pensión si las</w:t>
      </w:r>
      <w:r>
        <w:rPr>
          <w:rFonts w:ascii="Times New Roman" w:hAnsi="Times New Roman"/>
          <w:sz w:val="24"/>
          <w:szCs w:val="24"/>
        </w:rPr>
        <w:t xml:space="preserve"> condiciones fueran adecuadas. </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 xml:space="preserve">El Libro Blanco, que coincide con 2012, Año Europeo del Envejecimiento Activo y de la Solidaridad Intergeneracional, se basa en los resultados de una amplia consulta que se puso en marcha en julio de 2010. Aborda diferentes ámbitos políticos y está plenamente en consonancia con el Estudio Prospectivo Anual sobre el Crecimiento 2012 de la Comisión. Las medidas a nivel europeo apoyarán y complementarán las reformas nacionales en materia de pensiones. El Libro Blanco propone, en particular: </w:t>
      </w:r>
    </w:p>
    <w:p w:rsidR="003F3A81" w:rsidRPr="00B87D4D" w:rsidRDefault="003F3A81"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B87D4D">
        <w:rPr>
          <w:rFonts w:ascii="Times New Roman" w:hAnsi="Times New Roman"/>
          <w:sz w:val="24"/>
          <w:szCs w:val="24"/>
        </w:rPr>
        <w:t>Crear mejores oportunidades para los trabajadores de más edad, instando a los interlocutores sociales a adaptar los lugares de trabajo y las prácticas de los mercados laborales y recurriendo al Fondo Social Europeo para que los trabajadores de más edad puedan acceder al empleo. Capacitar a las personas para que trabajen más tiempo es uno de los componentes centrales de 2012, Año Europeo del Envejecimiento Activo y de la Solidaridad Intergeneracional.</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w:t>
      </w:r>
      <w:r>
        <w:rPr>
          <w:rFonts w:ascii="Times New Roman" w:hAnsi="Times New Roman"/>
          <w:sz w:val="24"/>
          <w:szCs w:val="24"/>
        </w:rPr>
        <w:t xml:space="preserve"> </w:t>
      </w:r>
      <w:r w:rsidRPr="00B87D4D">
        <w:rPr>
          <w:rFonts w:ascii="Times New Roman" w:hAnsi="Times New Roman"/>
          <w:sz w:val="24"/>
          <w:szCs w:val="24"/>
        </w:rPr>
        <w:t>Constituir planes privados de jubilación complementarios animando a los interlocutores sociales a crearlos y a los Estados miembros a optimizar los ince</w:t>
      </w:r>
      <w:r>
        <w:rPr>
          <w:rFonts w:ascii="Times New Roman" w:hAnsi="Times New Roman"/>
          <w:sz w:val="24"/>
          <w:szCs w:val="24"/>
        </w:rPr>
        <w:t>ntivos fiscales y de otro tipo.</w:t>
      </w:r>
      <w:r w:rsidRPr="00B87D4D">
        <w:rPr>
          <w:rFonts w:ascii="Times New Roman" w:hAnsi="Times New Roman"/>
          <w:sz w:val="24"/>
          <w:szCs w:val="24"/>
        </w:rPr>
        <w:t xml:space="preserve"> </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w:t>
      </w:r>
      <w:r>
        <w:rPr>
          <w:rFonts w:ascii="Times New Roman" w:hAnsi="Times New Roman"/>
          <w:sz w:val="24"/>
          <w:szCs w:val="24"/>
        </w:rPr>
        <w:t xml:space="preserve"> </w:t>
      </w:r>
      <w:r w:rsidRPr="00B87D4D">
        <w:rPr>
          <w:rFonts w:ascii="Times New Roman" w:hAnsi="Times New Roman"/>
          <w:sz w:val="24"/>
          <w:szCs w:val="24"/>
        </w:rPr>
        <w:t>Mejorar la seguridad de los planes de pensiones complementarios, por ejemplo mediante la revisión de la Directiva sobre fondos de pensiones de empleo y la mejora de la información al consumidor.</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w:t>
      </w:r>
      <w:r>
        <w:rPr>
          <w:rFonts w:ascii="Times New Roman" w:hAnsi="Times New Roman"/>
          <w:sz w:val="24"/>
          <w:szCs w:val="24"/>
        </w:rPr>
        <w:t xml:space="preserve"> </w:t>
      </w:r>
      <w:r w:rsidRPr="00B87D4D">
        <w:rPr>
          <w:rFonts w:ascii="Times New Roman" w:hAnsi="Times New Roman"/>
          <w:sz w:val="24"/>
          <w:szCs w:val="24"/>
        </w:rPr>
        <w:t>Hacer que los planes de pensiones complementarios sean compatibles con la movilidad, protegiendo, a través de la legislación, los derechos de pensión de los ciudadanos que se desplazan e impulsando el establecimiento de servicios de rastreo de pensiones en toda la UE. De este modo es posible proporcionar a los ciudadanos información sobre sus derechos de pensión y previsiones sobre su</w:t>
      </w:r>
      <w:r>
        <w:rPr>
          <w:rFonts w:ascii="Times New Roman" w:hAnsi="Times New Roman"/>
          <w:sz w:val="24"/>
          <w:szCs w:val="24"/>
        </w:rPr>
        <w:t xml:space="preserve">s ingresos tras la jubilación. </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w:t>
      </w:r>
      <w:r>
        <w:rPr>
          <w:rFonts w:ascii="Times New Roman" w:hAnsi="Times New Roman"/>
          <w:sz w:val="24"/>
          <w:szCs w:val="24"/>
        </w:rPr>
        <w:t xml:space="preserve"> </w:t>
      </w:r>
      <w:r w:rsidRPr="00B87D4D">
        <w:rPr>
          <w:rFonts w:ascii="Times New Roman" w:hAnsi="Times New Roman"/>
          <w:sz w:val="24"/>
          <w:szCs w:val="24"/>
        </w:rPr>
        <w:t xml:space="preserve">Animar a los Estados miembros a que fomenten la prolongación de la vida laboral, vinculando la edad de jubilación a la esperanza de vida, restringiendo el acceso a la jubilación anticipada y eliminando las diferencias que existen entre hombres y mujeres en materia de pensiones. </w:t>
      </w:r>
    </w:p>
    <w:p w:rsidR="00EA5CDF"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w:t>
      </w:r>
      <w:r>
        <w:rPr>
          <w:rFonts w:ascii="Times New Roman" w:hAnsi="Times New Roman"/>
          <w:sz w:val="24"/>
          <w:szCs w:val="24"/>
        </w:rPr>
        <w:t xml:space="preserve"> </w:t>
      </w:r>
      <w:r w:rsidRPr="00B87D4D">
        <w:rPr>
          <w:rFonts w:ascii="Times New Roman" w:hAnsi="Times New Roman"/>
          <w:sz w:val="24"/>
          <w:szCs w:val="24"/>
        </w:rPr>
        <w:t>Seguir con el seguimiento de la adecuación, la sostenibilidad y la seguridad de las pensiones y apoyar las reformas de los Estados miembros en materia de pensiones.</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Contexto</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 xml:space="preserve">Los pensionistas constituyen una parte significativa y en rápido crecimiento de la población de la UE (ciento veinte millones o el 24 %), en particular debido a que los nacidos del boom de natalidad empiezan a alcanzar la edad de jubilación y el número de trabajadores en la edad laboral principal está descendiendo. En 2008, por cada ciudadano de la UE de sesenta y cinco años o más había cuatro personas en edad de trabajar (15-64 años). De aquí a 2060, esta relación bajará a dos personas en edad de trabajar por cada ciudadano de sesenta y cinco años o más. El impacto del envejecimiento demográfico se ha visto agravado aún más por la crisis económica. Las pensiones ya representan un porcentaje muy alto del gasto público: una media del 10 % </w:t>
      </w:r>
      <w:r w:rsidRPr="00B87D4D">
        <w:rPr>
          <w:rFonts w:ascii="Times New Roman" w:hAnsi="Times New Roman"/>
          <w:sz w:val="24"/>
          <w:szCs w:val="24"/>
        </w:rPr>
        <w:lastRenderedPageBreak/>
        <w:t>del PIB en la actualidad, que posiblemente llegue hasta el 12,5 % en 2060. No obstante, el gasto en pensiones públicas, que va del 6 % del PIB en Irlanda al 15 % en Italia, pone de manifiesto que, si bien los países afrontan problemas demográficos similares, la situación varía bastante de un país a otro. La crisis afecta a los planes de pensiones basados en un sistema de reparto a través de la caída del empleo y el consiguiente descenso de las cotizaciones, mientras que los planes de capitalización se ven afectados por la caída del valor de los activos y la bajada del rendimiento.</w:t>
      </w:r>
    </w:p>
    <w:p w:rsidR="003F3A81" w:rsidRPr="00B87D4D" w:rsidRDefault="003F3A81" w:rsidP="00550638">
      <w:pPr>
        <w:spacing w:line="240" w:lineRule="auto"/>
        <w:jc w:val="both"/>
        <w:rPr>
          <w:rFonts w:ascii="Times New Roman" w:hAnsi="Times New Roman"/>
          <w:sz w:val="24"/>
          <w:szCs w:val="24"/>
        </w:rPr>
      </w:pPr>
      <w:r w:rsidRPr="00B87D4D">
        <w:rPr>
          <w:rFonts w:ascii="Times New Roman" w:hAnsi="Times New Roman"/>
          <w:sz w:val="24"/>
          <w:szCs w:val="24"/>
        </w:rPr>
        <w:t>Aunque los sistemas de pensiones son en gran medida competencia de los Estados miembros, la UE puede contribuir con legislación sobre las cuestiones que afectan al funcionamiento del mercado interior, con ayuda financiera para que los trabajadores de más edad puedan permanecer en el mercado laboral, con coordinación de políticas y con aprendizaje mutuo. Las reformas de los sistemas de pensiones se evalúan en el marco de la estrategia Europa 2020. En 2011, dieciséis Estados miembros recibieron una recomendación específica relativa a las pensiones, y otros cinco firmaron reformas en materia de pensiones como parte de sus Memorandos de Acuerdo (más información en el anexo III del Libro Blanco).</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Más información:</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 xml:space="preserve">El Libro Blanco sobre las pensiones: </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 xml:space="preserve">http://ec.europa.eu/social/BlobServlet?docId=7341&amp;langId=en </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 xml:space="preserve">Eurobarómetro sobre envejecimiento activo </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 xml:space="preserve">IP/12/16 + MEMO/12/10 sobre envejecimiento activo </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Sitio web de la Comisión Europea sobre pensiones (asuntos sociales):</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http://ec.europa.eu/social/main.jsp?catId=752&amp;langId=en</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Sitio web de la Comisión Europea sobre pensiones (mercado interior):</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http://ec.europa.eu/internal_market/pensions/index_en.htm</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Sitio web de la Comisión Europea sobre pensiones (asuntos económicos y financieros):</w:t>
      </w:r>
    </w:p>
    <w:p w:rsidR="003F3A81" w:rsidRPr="008520D8" w:rsidRDefault="003F3A81" w:rsidP="00550638">
      <w:pPr>
        <w:spacing w:line="240" w:lineRule="auto"/>
        <w:jc w:val="both"/>
        <w:rPr>
          <w:rFonts w:ascii="Times New Roman" w:hAnsi="Times New Roman"/>
          <w:color w:val="FF0000"/>
          <w:sz w:val="24"/>
          <w:szCs w:val="24"/>
        </w:rPr>
      </w:pPr>
      <w:r w:rsidRPr="008520D8">
        <w:rPr>
          <w:rFonts w:ascii="Times New Roman" w:hAnsi="Times New Roman"/>
          <w:color w:val="FF0000"/>
          <w:sz w:val="24"/>
          <w:szCs w:val="24"/>
        </w:rPr>
        <w:t xml:space="preserve">http://ec.europa.eu/economy_finance/structural_reforms/ageing/pensions/index_en.htm </w:t>
      </w:r>
    </w:p>
    <w:p w:rsidR="003F3A81" w:rsidRPr="008F6086" w:rsidRDefault="003F3A81" w:rsidP="00550638">
      <w:pPr>
        <w:spacing w:line="240" w:lineRule="auto"/>
        <w:jc w:val="both"/>
        <w:rPr>
          <w:rFonts w:ascii="Times New Roman" w:hAnsi="Times New Roman"/>
          <w:color w:val="FF0000"/>
          <w:sz w:val="24"/>
          <w:szCs w:val="24"/>
          <w:lang w:val="en-US"/>
        </w:rPr>
      </w:pPr>
      <w:r w:rsidRPr="008F6086">
        <w:rPr>
          <w:rFonts w:ascii="Times New Roman" w:hAnsi="Times New Roman"/>
          <w:color w:val="FF0000"/>
          <w:sz w:val="24"/>
          <w:szCs w:val="24"/>
          <w:lang w:val="en-US"/>
        </w:rPr>
        <w:t>Véase también:</w:t>
      </w:r>
    </w:p>
    <w:p w:rsidR="003F3A81" w:rsidRPr="008F6086" w:rsidRDefault="003F3A81" w:rsidP="00550638">
      <w:pPr>
        <w:spacing w:line="240" w:lineRule="auto"/>
        <w:jc w:val="both"/>
        <w:rPr>
          <w:rFonts w:ascii="Times New Roman" w:hAnsi="Times New Roman"/>
          <w:color w:val="FF0000"/>
          <w:sz w:val="24"/>
          <w:szCs w:val="24"/>
          <w:lang w:val="en-US"/>
        </w:rPr>
      </w:pPr>
      <w:r w:rsidRPr="008F6086">
        <w:rPr>
          <w:rFonts w:ascii="Times New Roman" w:hAnsi="Times New Roman"/>
          <w:color w:val="FF0000"/>
          <w:sz w:val="24"/>
          <w:szCs w:val="24"/>
          <w:lang w:val="en-US"/>
        </w:rPr>
        <w:t>VNR: Bridging Europe's pensions gap</w:t>
      </w:r>
    </w:p>
    <w:p w:rsidR="003F3A81" w:rsidRPr="008F6086" w:rsidRDefault="003F3A81" w:rsidP="00550638">
      <w:pPr>
        <w:spacing w:line="240" w:lineRule="auto"/>
        <w:jc w:val="both"/>
        <w:rPr>
          <w:rFonts w:ascii="Times New Roman" w:hAnsi="Times New Roman"/>
          <w:color w:val="FF0000"/>
          <w:sz w:val="24"/>
          <w:szCs w:val="24"/>
          <w:lang w:val="en-US"/>
        </w:rPr>
      </w:pPr>
      <w:r w:rsidRPr="008F6086">
        <w:rPr>
          <w:rFonts w:ascii="Times New Roman" w:hAnsi="Times New Roman"/>
          <w:color w:val="FF0000"/>
          <w:sz w:val="24"/>
          <w:szCs w:val="24"/>
          <w:lang w:val="en-US"/>
        </w:rPr>
        <w:t>Video animation on pensions</w:t>
      </w:r>
    </w:p>
    <w:p w:rsidR="003F3A81" w:rsidRPr="00856E13" w:rsidRDefault="003F3A81" w:rsidP="00550638">
      <w:pPr>
        <w:spacing w:line="240" w:lineRule="auto"/>
        <w:jc w:val="both"/>
        <w:rPr>
          <w:rFonts w:ascii="Times New Roman" w:hAnsi="Times New Roman"/>
          <w:sz w:val="24"/>
          <w:szCs w:val="24"/>
          <w:u w:val="single"/>
          <w:lang w:val="en-US"/>
        </w:rPr>
      </w:pPr>
      <w:r>
        <w:rPr>
          <w:rFonts w:ascii="Times New Roman" w:hAnsi="Times New Roman"/>
          <w:sz w:val="24"/>
          <w:szCs w:val="24"/>
          <w:lang w:val="en-US"/>
        </w:rPr>
        <w:t xml:space="preserve">- </w:t>
      </w:r>
      <w:r w:rsidRPr="00856E13">
        <w:rPr>
          <w:rFonts w:ascii="Times New Roman" w:hAnsi="Times New Roman"/>
          <w:sz w:val="24"/>
          <w:szCs w:val="24"/>
          <w:u w:val="single"/>
          <w:lang w:val="en-US"/>
        </w:rPr>
        <w:t>Citizens' summary White Paper on Pensions - EU proposal explained</w:t>
      </w:r>
    </w:p>
    <w:p w:rsidR="003F3A81" w:rsidRPr="00856E13" w:rsidRDefault="003F3A81" w:rsidP="00550638">
      <w:pPr>
        <w:spacing w:line="240" w:lineRule="auto"/>
        <w:jc w:val="both"/>
        <w:rPr>
          <w:rFonts w:ascii="Times New Roman" w:hAnsi="Times New Roman"/>
          <w:sz w:val="24"/>
          <w:szCs w:val="24"/>
          <w:lang w:val="en-US"/>
        </w:rPr>
      </w:pPr>
      <w:r w:rsidRPr="00856E13">
        <w:rPr>
          <w:rFonts w:ascii="Times New Roman" w:hAnsi="Times New Roman"/>
          <w:sz w:val="24"/>
          <w:szCs w:val="24"/>
          <w:lang w:val="en-US"/>
        </w:rPr>
        <w:t>WHAT'S THE ISSUE?</w:t>
      </w:r>
    </w:p>
    <w:p w:rsidR="00070734" w:rsidRPr="00070734" w:rsidRDefault="003F3A81" w:rsidP="00070734">
      <w:pPr>
        <w:spacing w:line="240" w:lineRule="auto"/>
        <w:jc w:val="both"/>
        <w:rPr>
          <w:rFonts w:ascii="Times New Roman" w:hAnsi="Times New Roman"/>
          <w:sz w:val="24"/>
          <w:szCs w:val="24"/>
          <w:lang w:val="en-US"/>
        </w:rPr>
      </w:pPr>
      <w:r w:rsidRPr="00856E13">
        <w:rPr>
          <w:rFonts w:ascii="Times New Roman" w:hAnsi="Times New Roman"/>
          <w:sz w:val="24"/>
          <w:szCs w:val="24"/>
          <w:lang w:val="en-US"/>
        </w:rPr>
        <w:t xml:space="preserve">How to ensure the adequacy of pensions in ageing societies without putting public finances under too much strain? Today there are roughly 4 people of working age for every person of retirement age - a 4 to 1 ratio. In 50 years' time, </w:t>
      </w:r>
      <w:r w:rsidR="00070734">
        <w:rPr>
          <w:rFonts w:ascii="Times New Roman" w:hAnsi="Times New Roman"/>
          <w:sz w:val="24"/>
          <w:szCs w:val="24"/>
          <w:lang w:val="en-US"/>
        </w:rPr>
        <w:t>the ratio will be only 2 to 1 -</w:t>
      </w:r>
      <w:r w:rsidRPr="00856E13">
        <w:rPr>
          <w:rFonts w:ascii="Times New Roman" w:hAnsi="Times New Roman"/>
          <w:sz w:val="24"/>
          <w:szCs w:val="24"/>
          <w:lang w:val="en-US"/>
        </w:rPr>
        <w:t xml:space="preserve"> a dramatic shift, and a major challenge for pensions as there will be more people </w:t>
      </w:r>
      <w:r w:rsidRPr="00856E13">
        <w:rPr>
          <w:rFonts w:ascii="Times New Roman" w:hAnsi="Times New Roman"/>
          <w:sz w:val="24"/>
          <w:szCs w:val="24"/>
          <w:lang w:val="en-US"/>
        </w:rPr>
        <w:lastRenderedPageBreak/>
        <w:t>of pension age and fewer workers to help support them. But with the right response, adequate pensions can be secured for the future.</w:t>
      </w:r>
    </w:p>
    <w:p w:rsidR="003F3A81" w:rsidRPr="00856E13" w:rsidRDefault="003F3A81" w:rsidP="00550638">
      <w:pPr>
        <w:spacing w:line="240" w:lineRule="auto"/>
        <w:jc w:val="both"/>
        <w:rPr>
          <w:rFonts w:ascii="Times New Roman" w:hAnsi="Times New Roman"/>
          <w:sz w:val="24"/>
          <w:szCs w:val="24"/>
          <w:lang w:val="en-US"/>
        </w:rPr>
      </w:pPr>
      <w:r w:rsidRPr="00856E13">
        <w:rPr>
          <w:rFonts w:ascii="Times New Roman" w:hAnsi="Times New Roman"/>
          <w:sz w:val="24"/>
          <w:szCs w:val="24"/>
          <w:lang w:val="en-US"/>
        </w:rPr>
        <w:t>WHAT'S BEING PROPOSED?</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b/>
          <w:sz w:val="24"/>
          <w:szCs w:val="24"/>
          <w:lang w:val="en-US"/>
        </w:rPr>
        <w:t xml:space="preserve">* </w:t>
      </w:r>
      <w:r w:rsidRPr="00856E13">
        <w:rPr>
          <w:rFonts w:ascii="Times New Roman" w:hAnsi="Times New Roman"/>
          <w:sz w:val="24"/>
          <w:szCs w:val="24"/>
          <w:lang w:val="en-US"/>
        </w:rPr>
        <w:t>The EU pensions white paper suggests measures to help EU countries ensure adequate pensions in an affordable and sustainable way, by:</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 </w:t>
      </w:r>
      <w:r w:rsidRPr="00856E13">
        <w:rPr>
          <w:rFonts w:ascii="Times New Roman" w:hAnsi="Times New Roman"/>
          <w:sz w:val="24"/>
          <w:szCs w:val="24"/>
          <w:lang w:val="en-US"/>
        </w:rPr>
        <w:t>encouraging people to stay in work longer and save more for their retirement</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 </w:t>
      </w:r>
      <w:r w:rsidRPr="00856E13">
        <w:rPr>
          <w:rFonts w:ascii="Times New Roman" w:hAnsi="Times New Roman"/>
          <w:sz w:val="24"/>
          <w:szCs w:val="24"/>
          <w:lang w:val="en-US"/>
        </w:rPr>
        <w:t>enhancing the safety and cost-effectiveness of such savings.</w:t>
      </w:r>
    </w:p>
    <w:p w:rsidR="003F3A81" w:rsidRPr="00856E13" w:rsidRDefault="003F3A81" w:rsidP="00550638">
      <w:pPr>
        <w:spacing w:line="240" w:lineRule="auto"/>
        <w:jc w:val="both"/>
        <w:rPr>
          <w:rFonts w:ascii="Times New Roman" w:hAnsi="Times New Roman"/>
          <w:sz w:val="24"/>
          <w:szCs w:val="24"/>
          <w:lang w:val="en-US"/>
        </w:rPr>
      </w:pPr>
      <w:r w:rsidRPr="00856E13">
        <w:rPr>
          <w:rFonts w:ascii="Times New Roman" w:hAnsi="Times New Roman"/>
          <w:sz w:val="24"/>
          <w:szCs w:val="24"/>
          <w:lang w:val="en-US"/>
        </w:rPr>
        <w:t>WHO WILL BENEFIT AND HOW?</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856E13">
        <w:rPr>
          <w:rFonts w:ascii="Times New Roman" w:hAnsi="Times New Roman"/>
          <w:sz w:val="24"/>
          <w:szCs w:val="24"/>
          <w:lang w:val="en-US"/>
        </w:rPr>
        <w:t>Pote</w:t>
      </w:r>
      <w:r w:rsidR="00055DFE">
        <w:rPr>
          <w:rFonts w:ascii="Times New Roman" w:hAnsi="Times New Roman"/>
          <w:sz w:val="24"/>
          <w:szCs w:val="24"/>
          <w:lang w:val="en-US"/>
        </w:rPr>
        <w:t>ntially all European citizens -</w:t>
      </w:r>
      <w:r w:rsidRPr="00856E13">
        <w:rPr>
          <w:rFonts w:ascii="Times New Roman" w:hAnsi="Times New Roman"/>
          <w:sz w:val="24"/>
          <w:szCs w:val="24"/>
          <w:lang w:val="en-US"/>
        </w:rPr>
        <w:t xml:space="preserve"> as they plan for and receive their pension.</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856E13">
        <w:rPr>
          <w:rFonts w:ascii="Times New Roman" w:hAnsi="Times New Roman"/>
          <w:sz w:val="24"/>
          <w:szCs w:val="24"/>
          <w:lang w:val="en-US"/>
        </w:rPr>
        <w:t>This White Paper presents a number of policy initiatives through which the EU can support national policy makers in their efforts to secure adequate pensions for the future.</w:t>
      </w:r>
    </w:p>
    <w:p w:rsidR="003F3A81" w:rsidRPr="00856E13" w:rsidRDefault="003F3A81" w:rsidP="00550638">
      <w:pPr>
        <w:spacing w:line="240" w:lineRule="auto"/>
        <w:jc w:val="both"/>
        <w:rPr>
          <w:rFonts w:ascii="Times New Roman" w:hAnsi="Times New Roman"/>
          <w:sz w:val="24"/>
          <w:szCs w:val="24"/>
          <w:lang w:val="en-US"/>
        </w:rPr>
      </w:pPr>
      <w:r w:rsidRPr="00856E13">
        <w:rPr>
          <w:rFonts w:ascii="Times New Roman" w:hAnsi="Times New Roman"/>
          <w:sz w:val="24"/>
          <w:szCs w:val="24"/>
          <w:lang w:val="en-US"/>
        </w:rPr>
        <w:t>WHY DOES ACTION HAVE TO BE TAKEN BY THE EU?</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856E13">
        <w:rPr>
          <w:rFonts w:ascii="Times New Roman" w:hAnsi="Times New Roman"/>
          <w:sz w:val="24"/>
          <w:szCs w:val="24"/>
          <w:lang w:val="en-US"/>
        </w:rPr>
        <w:t>Pensions are increasingly a matter</w:t>
      </w:r>
      <w:r w:rsidR="00BF31FE">
        <w:rPr>
          <w:rFonts w:ascii="Times New Roman" w:hAnsi="Times New Roman"/>
          <w:sz w:val="24"/>
          <w:szCs w:val="24"/>
          <w:lang w:val="en-US"/>
        </w:rPr>
        <w:t xml:space="preserve"> of common concern in the EU - </w:t>
      </w:r>
      <w:r w:rsidRPr="00856E13">
        <w:rPr>
          <w:rFonts w:ascii="Times New Roman" w:hAnsi="Times New Roman"/>
          <w:sz w:val="24"/>
          <w:szCs w:val="24"/>
          <w:lang w:val="en-US"/>
        </w:rPr>
        <w:t>because of the central importance of pensions for Europe¡¦s social and economic success, and the fact that pension policies in one country can have effect on other countries.</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856E13">
        <w:rPr>
          <w:rFonts w:ascii="Times New Roman" w:hAnsi="Times New Roman"/>
          <w:sz w:val="24"/>
          <w:szCs w:val="24"/>
          <w:lang w:val="en-US"/>
        </w:rPr>
        <w:t>The whole EU has an interest in helping every single member country to reform their pension system and retirement practices successfully.</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856E13">
        <w:rPr>
          <w:rFonts w:ascii="Times New Roman" w:hAnsi="Times New Roman"/>
          <w:sz w:val="24"/>
          <w:szCs w:val="24"/>
          <w:lang w:val="en-US"/>
        </w:rPr>
        <w:t>Coordinated EU action is needed to ensure people do not lose their pension rights when moving to another EU country, to ensure consumers fully benefit from the internal market by ensuring they have good competition and choice between pension products and to maintain stability of public finances and the EU economy.</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856E13">
        <w:rPr>
          <w:rFonts w:ascii="Times New Roman" w:hAnsi="Times New Roman"/>
          <w:sz w:val="24"/>
          <w:szCs w:val="24"/>
          <w:lang w:val="en-US"/>
        </w:rPr>
        <w:t>The public consultation on pensions has shown that action on pensions is expected from the EU.</w:t>
      </w:r>
    </w:p>
    <w:p w:rsidR="003F3A81" w:rsidRPr="00856E13" w:rsidRDefault="003F3A81" w:rsidP="00550638">
      <w:pPr>
        <w:spacing w:line="240" w:lineRule="auto"/>
        <w:jc w:val="both"/>
        <w:rPr>
          <w:rFonts w:ascii="Times New Roman" w:hAnsi="Times New Roman"/>
          <w:sz w:val="24"/>
          <w:szCs w:val="24"/>
          <w:lang w:val="en-US"/>
        </w:rPr>
      </w:pPr>
      <w:r w:rsidRPr="00856E13">
        <w:rPr>
          <w:rFonts w:ascii="Times New Roman" w:hAnsi="Times New Roman"/>
          <w:sz w:val="24"/>
          <w:szCs w:val="24"/>
          <w:lang w:val="en-US"/>
        </w:rPr>
        <w:t>WHAT EXACTLY WILL CHANGE?</w:t>
      </w:r>
    </w:p>
    <w:p w:rsidR="003F3A81" w:rsidRPr="00856E13"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856E13">
        <w:rPr>
          <w:rFonts w:ascii="Times New Roman" w:hAnsi="Times New Roman"/>
          <w:sz w:val="24"/>
          <w:szCs w:val="24"/>
          <w:lang w:val="en-US"/>
        </w:rPr>
        <w:t>EU policies will offer more comprehensive and better coordinated support for national pension and retirement reforms that encourage and enable people to earn adequate, sustainable and safe pension entitlements by working longer and increasing their complementary retirement savings in a cost-effective manner.</w:t>
      </w:r>
    </w:p>
    <w:p w:rsidR="003F3A81" w:rsidRPr="00856E13" w:rsidRDefault="003F3A81" w:rsidP="00550638">
      <w:pPr>
        <w:spacing w:line="240" w:lineRule="auto"/>
        <w:jc w:val="both"/>
        <w:rPr>
          <w:rFonts w:ascii="Times New Roman" w:hAnsi="Times New Roman"/>
          <w:sz w:val="24"/>
          <w:szCs w:val="24"/>
          <w:lang w:val="en-US"/>
        </w:rPr>
      </w:pPr>
      <w:r w:rsidRPr="00856E13">
        <w:rPr>
          <w:rFonts w:ascii="Times New Roman" w:hAnsi="Times New Roman"/>
          <w:sz w:val="24"/>
          <w:szCs w:val="24"/>
          <w:lang w:val="en-US"/>
        </w:rPr>
        <w:t>WHEN IS THE PROPOSAL LIKELY TO COME INTO EFFECT?</w:t>
      </w:r>
    </w:p>
    <w:p w:rsidR="003F3A81" w:rsidRDefault="003F3A81" w:rsidP="00550638">
      <w:pPr>
        <w:spacing w:line="240" w:lineRule="auto"/>
        <w:jc w:val="both"/>
        <w:rPr>
          <w:rFonts w:ascii="Times New Roman" w:hAnsi="Times New Roman"/>
          <w:sz w:val="24"/>
          <w:szCs w:val="24"/>
          <w:lang w:val="en-US"/>
        </w:rPr>
      </w:pPr>
      <w:r>
        <w:rPr>
          <w:rFonts w:ascii="Times New Roman" w:hAnsi="Times New Roman"/>
          <w:sz w:val="24"/>
          <w:szCs w:val="24"/>
          <w:lang w:val="en-US"/>
        </w:rPr>
        <w:t xml:space="preserve">* </w:t>
      </w:r>
      <w:r w:rsidRPr="00856E13">
        <w:rPr>
          <w:rFonts w:ascii="Times New Roman" w:hAnsi="Times New Roman"/>
          <w:sz w:val="24"/>
          <w:szCs w:val="24"/>
          <w:lang w:val="en-US"/>
        </w:rPr>
        <w:t>The proposals will be discussed in 2012-2013. Legislation would only take effect some years later.</w:t>
      </w:r>
    </w:p>
    <w:p w:rsidR="00EA5CDF" w:rsidRPr="00EA5CDF" w:rsidRDefault="00EA5CDF" w:rsidP="00550638">
      <w:pPr>
        <w:spacing w:line="240" w:lineRule="auto"/>
        <w:jc w:val="both"/>
        <w:rPr>
          <w:rFonts w:ascii="Times New Roman" w:hAnsi="Times New Roman"/>
          <w:sz w:val="24"/>
          <w:szCs w:val="24"/>
          <w:u w:val="single"/>
        </w:rPr>
      </w:pPr>
      <w:r w:rsidRPr="00EA5CDF">
        <w:rPr>
          <w:rFonts w:ascii="Times New Roman" w:hAnsi="Times New Roman"/>
          <w:sz w:val="24"/>
          <w:szCs w:val="24"/>
          <w:u w:val="single"/>
        </w:rPr>
        <w:t>El Fondo Monetario Internacional ayuda</w:t>
      </w:r>
      <w:r>
        <w:rPr>
          <w:rFonts w:ascii="Times New Roman" w:hAnsi="Times New Roman"/>
          <w:sz w:val="24"/>
          <w:szCs w:val="24"/>
          <w:u w:val="single"/>
        </w:rPr>
        <w:t xml:space="preserve"> a</w:t>
      </w:r>
      <w:r w:rsidRPr="00EA5CDF">
        <w:rPr>
          <w:rFonts w:ascii="Times New Roman" w:hAnsi="Times New Roman"/>
          <w:sz w:val="24"/>
          <w:szCs w:val="24"/>
          <w:u w:val="single"/>
        </w:rPr>
        <w:t>… “meter</w:t>
      </w:r>
      <w:r>
        <w:rPr>
          <w:rFonts w:ascii="Times New Roman" w:hAnsi="Times New Roman"/>
          <w:sz w:val="24"/>
          <w:szCs w:val="24"/>
          <w:u w:val="single"/>
        </w:rPr>
        <w:t xml:space="preserve"> más</w:t>
      </w:r>
      <w:r w:rsidRPr="00EA5CDF">
        <w:rPr>
          <w:rFonts w:ascii="Times New Roman" w:hAnsi="Times New Roman"/>
          <w:sz w:val="24"/>
          <w:szCs w:val="24"/>
          <w:u w:val="single"/>
        </w:rPr>
        <w:t xml:space="preserve"> miedo en el cuerpo”</w:t>
      </w:r>
    </w:p>
    <w:p w:rsidR="00EA5CDF" w:rsidRPr="00EA5CDF" w:rsidRDefault="00EA5CDF" w:rsidP="00550638">
      <w:pPr>
        <w:pStyle w:val="NormalWeb"/>
        <w:jc w:val="both"/>
      </w:pPr>
      <w:r>
        <w:rPr>
          <w:i/>
        </w:rPr>
        <w:t>“</w:t>
      </w:r>
      <w:r w:rsidR="003F3A81" w:rsidRPr="00EA5CDF">
        <w:rPr>
          <w:i/>
        </w:rPr>
        <w:t>El Fondo Monetario Internacional ha presentado hoy los capítulos analíticos de su Informe de Estabilidad Financiera (GFSR, por sus siglas en inglés) dond</w:t>
      </w:r>
      <w:r w:rsidRPr="00EA5CDF">
        <w:rPr>
          <w:i/>
        </w:rPr>
        <w:t>e la organización reconoce que “</w:t>
      </w:r>
      <w:r w:rsidR="003F3A81" w:rsidRPr="00EA5CDF">
        <w:rPr>
          <w:i/>
        </w:rPr>
        <w:t>si el promedio de vida aumentara para el año 2050 tres años más de lo previsto hoy</w:t>
      </w:r>
      <w:r>
        <w:rPr>
          <w:i/>
        </w:rPr>
        <w:t>, los costes de envejecimiento “</w:t>
      </w:r>
      <w:r w:rsidR="003F3A81" w:rsidRPr="00EA5CDF">
        <w:rPr>
          <w:i/>
        </w:rPr>
        <w:t>que ya son enorme</w:t>
      </w:r>
      <w:r>
        <w:rPr>
          <w:i/>
        </w:rPr>
        <w:t>s”</w:t>
      </w:r>
      <w:r w:rsidRPr="00EA5CDF">
        <w:rPr>
          <w:i/>
        </w:rPr>
        <w:t xml:space="preserve"> </w:t>
      </w:r>
      <w:r w:rsidRPr="00EA5CDF">
        <w:rPr>
          <w:i/>
        </w:rPr>
        <w:lastRenderedPageBreak/>
        <w:t>aumentarían un 50 por ciento”..</w:t>
      </w:r>
      <w:r w:rsidR="003F3A81" w:rsidRPr="00EA5CDF">
        <w:rPr>
          <w:i/>
        </w:rPr>
        <w:t>.</w:t>
      </w:r>
      <w:r>
        <w:t xml:space="preserve">  </w:t>
      </w:r>
      <w:r w:rsidRPr="00931B31">
        <w:rPr>
          <w:u w:val="single"/>
        </w:rPr>
        <w:t>FMI: Los costes del envejecimiento podrían crecer un 50 por ciento antes de 2050</w:t>
      </w:r>
      <w:r>
        <w:t xml:space="preserve"> (El Economista - </w:t>
      </w:r>
      <w:r w:rsidRPr="00931B31">
        <w:rPr>
          <w:b/>
        </w:rPr>
        <w:t>11/4/12</w:t>
      </w:r>
      <w:r>
        <w:t>)</w:t>
      </w:r>
    </w:p>
    <w:p w:rsidR="003F3A81" w:rsidRPr="00EA5CDF" w:rsidRDefault="003F3A81" w:rsidP="00550638">
      <w:pPr>
        <w:pStyle w:val="NormalWeb"/>
        <w:jc w:val="both"/>
      </w:pPr>
      <w:r w:rsidRPr="00EA5CDF">
        <w:t>Según la organización, para neutralizar los efectos financieros del ries</w:t>
      </w:r>
      <w:r w:rsidR="00EA5CDF">
        <w:t>go de longevidad, es necesario “</w:t>
      </w:r>
      <w:r w:rsidRPr="00EA5CDF">
        <w:t>combinar aumentos de la edad de jubilación (obligatoria o voluntaria) y de las contribuciones a los planes de jubilación con recor</w:t>
      </w:r>
      <w:r w:rsidR="00EA5CDF">
        <w:t>tes de las prestaciones futuras”</w:t>
      </w:r>
      <w:r w:rsidRPr="00EA5CDF">
        <w:t xml:space="preserve">. </w:t>
      </w:r>
    </w:p>
    <w:p w:rsidR="003F3A81" w:rsidRPr="00EA5CDF" w:rsidRDefault="003F3A81" w:rsidP="00550638">
      <w:pPr>
        <w:pStyle w:val="NormalWeb"/>
        <w:jc w:val="both"/>
      </w:pPr>
      <w:r w:rsidRPr="00EA5CDF">
        <w:t>En un ejemplo, el FMI muestra que en el caso de los planes privados de pensiones de Estados Unidos, un aumento de tres años en la media de vida podría elevar los pasivos jubilatorios alrededor de un 9 por ciento. Es decir, las empresas que organizan los planes de pensiones tendrían</w:t>
      </w:r>
      <w:r w:rsidR="00EA5CDF">
        <w:t xml:space="preserve"> que “multiplicar varias veces”</w:t>
      </w:r>
      <w:r w:rsidRPr="00EA5CDF">
        <w:t xml:space="preserve"> sus contribuciones anuales normales, en términos generales, para poder afrontar esos costes adicionales.</w:t>
      </w:r>
    </w:p>
    <w:p w:rsidR="003F3A81" w:rsidRPr="00EA5CDF" w:rsidRDefault="003F3A81" w:rsidP="00550638">
      <w:pPr>
        <w:pStyle w:val="NormalWeb"/>
        <w:jc w:val="both"/>
      </w:pPr>
      <w:r w:rsidRPr="00EA5CDF">
        <w:t xml:space="preserve">Dadas las circunstancias, la organización plantea tres posibles respuestas para hacer frente a este riesgo de longevidad. Primero, los gobiernos deben reconocer el riesgo de longevidad al que los exponen los planes de prestaciones definidas para sus propios empleados y los sistemas de seguridad social para las personas de edad avanzada. </w:t>
      </w:r>
    </w:p>
    <w:p w:rsidR="003F3A81" w:rsidRPr="00EA5CDF" w:rsidRDefault="003F3A81" w:rsidP="00550638">
      <w:pPr>
        <w:pStyle w:val="NormalWeb"/>
        <w:jc w:val="both"/>
      </w:pPr>
      <w:r w:rsidRPr="00EA5CDF">
        <w:t xml:space="preserve">En segundo lugar, el riesgo debe estar debidamente distribuido entre los particulares, los organizadores de los planes de pensiones y el gobierno. </w:t>
      </w:r>
    </w:p>
    <w:p w:rsidR="00EA5CDF" w:rsidRPr="00EA5CDF" w:rsidRDefault="003F3A81" w:rsidP="00550638">
      <w:pPr>
        <w:pStyle w:val="NormalWeb"/>
        <w:jc w:val="both"/>
      </w:pPr>
      <w:r w:rsidRPr="00EA5CDF">
        <w:t>Por último, se puede recurrir a los mercados de capital para transferir el riesgo de longevidad de los planes de pensiones a quienes tienen más capacidad para gestionarlo. El FMI a través del GSFR pone de relieve una serie de instrumentos en este mercado creciente, y distintas posibilidades para mejorar su funcionamiento.</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 xml:space="preserve">- </w:t>
      </w:r>
      <w:r w:rsidR="00EA5CDF" w:rsidRPr="00EA5CDF">
        <w:rPr>
          <w:rFonts w:ascii="Times New Roman" w:hAnsi="Times New Roman"/>
          <w:sz w:val="24"/>
          <w:szCs w:val="24"/>
          <w:u w:val="single"/>
        </w:rPr>
        <w:t>Informe: “</w:t>
      </w:r>
      <w:r w:rsidRPr="00EA5CDF">
        <w:rPr>
          <w:rFonts w:ascii="Times New Roman" w:hAnsi="Times New Roman"/>
          <w:sz w:val="24"/>
          <w:szCs w:val="24"/>
          <w:u w:val="single"/>
        </w:rPr>
        <w:t>El impacto fina</w:t>
      </w:r>
      <w:r w:rsidR="00EA5CDF" w:rsidRPr="00EA5CDF">
        <w:rPr>
          <w:rFonts w:ascii="Times New Roman" w:hAnsi="Times New Roman"/>
          <w:sz w:val="24"/>
          <w:szCs w:val="24"/>
          <w:u w:val="single"/>
        </w:rPr>
        <w:t>nciero del riesgo de longevidad”</w:t>
      </w:r>
      <w:r w:rsidRPr="00EA5CDF">
        <w:rPr>
          <w:rFonts w:ascii="Times New Roman" w:hAnsi="Times New Roman"/>
          <w:sz w:val="24"/>
          <w:szCs w:val="24"/>
          <w:u w:val="single"/>
        </w:rPr>
        <w:t xml:space="preserve"> - El FMI pide elevar la edad de jubilación y un mayor recorte de las pensiones</w:t>
      </w:r>
      <w:r w:rsidRPr="00EA5CDF">
        <w:rPr>
          <w:rFonts w:ascii="Times New Roman" w:hAnsi="Times New Roman"/>
          <w:sz w:val="24"/>
          <w:szCs w:val="24"/>
        </w:rPr>
        <w:t xml:space="preserve"> (Negocios.com - </w:t>
      </w:r>
      <w:r w:rsidRPr="00EA5CDF">
        <w:rPr>
          <w:rFonts w:ascii="Times New Roman" w:hAnsi="Times New Roman"/>
          <w:b/>
          <w:sz w:val="24"/>
          <w:szCs w:val="24"/>
        </w:rPr>
        <w:t>11/4/12</w:t>
      </w:r>
      <w:r w:rsidRPr="00EA5CDF">
        <w:rPr>
          <w:rFonts w:ascii="Times New Roman" w:hAnsi="Times New Roman"/>
          <w:sz w:val="24"/>
          <w:szCs w:val="24"/>
        </w:rPr>
        <w:t>)</w:t>
      </w:r>
      <w:r w:rsidR="00EA5CDF">
        <w:rPr>
          <w:rFonts w:ascii="Times New Roman" w:hAnsi="Times New Roman"/>
          <w:sz w:val="24"/>
          <w:szCs w:val="24"/>
        </w:rPr>
        <w:t xml:space="preserve"> Lectura recomendada</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El organismo internacional sostiene que es necesario retrasar la edad de retiro de forma acorde a la longevidad para mantener el sistema.</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El Fondo Monetario Internacional (FMI) ha alertado del riesgo financiero que supone el envejecimiento de la población, por lo que ha incidido en</w:t>
      </w:r>
      <w:r w:rsidR="00EA5CDF">
        <w:rPr>
          <w:rFonts w:ascii="Times New Roman" w:hAnsi="Times New Roman"/>
          <w:sz w:val="24"/>
          <w:szCs w:val="24"/>
        </w:rPr>
        <w:t xml:space="preserve"> la importancia de combinar el “</w:t>
      </w:r>
      <w:r w:rsidRPr="00EA5CDF">
        <w:rPr>
          <w:rFonts w:ascii="Times New Roman" w:hAnsi="Times New Roman"/>
          <w:sz w:val="24"/>
          <w:szCs w:val="24"/>
        </w:rPr>
        <w:t xml:space="preserve">aumento en la edad de jubilación y de </w:t>
      </w:r>
      <w:r w:rsidR="00EA5CDF">
        <w:rPr>
          <w:rFonts w:ascii="Times New Roman" w:hAnsi="Times New Roman"/>
          <w:sz w:val="24"/>
          <w:szCs w:val="24"/>
        </w:rPr>
        <w:t>las contribuciones a los planes” de pensiones con “</w:t>
      </w:r>
      <w:r w:rsidRPr="00EA5CDF">
        <w:rPr>
          <w:rFonts w:ascii="Times New Roman" w:hAnsi="Times New Roman"/>
          <w:sz w:val="24"/>
          <w:szCs w:val="24"/>
        </w:rPr>
        <w:t>recortes de las prestaciones futuras</w:t>
      </w:r>
      <w:r w:rsidR="00EA5CDF">
        <w:rPr>
          <w:rFonts w:ascii="Times New Roman" w:hAnsi="Times New Roman"/>
          <w:sz w:val="24"/>
          <w:szCs w:val="24"/>
        </w:rPr>
        <w:t>”</w:t>
      </w:r>
      <w:r w:rsidRPr="00EA5CDF">
        <w:rPr>
          <w:rFonts w:ascii="Times New Roman" w:hAnsi="Times New Roman"/>
          <w:sz w:val="24"/>
          <w:szCs w:val="24"/>
        </w:rPr>
        <w:t xml:space="preserve">. </w:t>
      </w:r>
    </w:p>
    <w:p w:rsidR="003F3A81" w:rsidRPr="00EA5CDF" w:rsidRDefault="00EA5CDF" w:rsidP="00550638">
      <w:pPr>
        <w:spacing w:line="240" w:lineRule="auto"/>
        <w:jc w:val="both"/>
        <w:rPr>
          <w:rFonts w:ascii="Times New Roman" w:hAnsi="Times New Roman"/>
          <w:sz w:val="24"/>
          <w:szCs w:val="24"/>
        </w:rPr>
      </w:pPr>
      <w:r>
        <w:rPr>
          <w:rFonts w:ascii="Times New Roman" w:hAnsi="Times New Roman"/>
          <w:sz w:val="24"/>
          <w:szCs w:val="24"/>
        </w:rPr>
        <w:t>En el capítulo “</w:t>
      </w:r>
      <w:r w:rsidR="003F3A81" w:rsidRPr="00EA5CDF">
        <w:rPr>
          <w:rFonts w:ascii="Times New Roman" w:hAnsi="Times New Roman"/>
          <w:sz w:val="24"/>
          <w:szCs w:val="24"/>
        </w:rPr>
        <w:t>El impacto fina</w:t>
      </w:r>
      <w:r>
        <w:rPr>
          <w:rFonts w:ascii="Times New Roman" w:hAnsi="Times New Roman"/>
          <w:sz w:val="24"/>
          <w:szCs w:val="24"/>
        </w:rPr>
        <w:t>nciero del riesgo de longevidad”</w:t>
      </w:r>
      <w:r w:rsidR="003F3A81" w:rsidRPr="00EA5CDF">
        <w:rPr>
          <w:rFonts w:ascii="Times New Roman" w:hAnsi="Times New Roman"/>
          <w:sz w:val="24"/>
          <w:szCs w:val="24"/>
        </w:rPr>
        <w:t xml:space="preserve"> del Informe sobre la Estabilidad Financiera Mundial (GFSR por sus siglas en inglés), el FMI</w:t>
      </w:r>
      <w:r>
        <w:rPr>
          <w:rFonts w:ascii="Times New Roman" w:hAnsi="Times New Roman"/>
          <w:sz w:val="24"/>
          <w:szCs w:val="24"/>
        </w:rPr>
        <w:t xml:space="preserve"> considera “esencial”</w:t>
      </w:r>
      <w:r w:rsidR="003F3A81" w:rsidRPr="00EA5CDF">
        <w:rPr>
          <w:rFonts w:ascii="Times New Roman" w:hAnsi="Times New Roman"/>
          <w:sz w:val="24"/>
          <w:szCs w:val="24"/>
        </w:rPr>
        <w:t xml:space="preserve"> permitir que la edad de jubilación aumente a la par de la longevidad esperada, algo que podría ser impuesto por los gobiernos o realizarse mediante la oferta de incentivos a los particulares para que posterguen su jubilación. </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La institución dirigida por Christine Lagarde destaca que retrasar la edad de jubilación prolonga el período de acumulación de recursos jubilatorios y acorta el</w:t>
      </w:r>
      <w:r w:rsidR="00674BC4">
        <w:rPr>
          <w:rFonts w:ascii="Times New Roman" w:hAnsi="Times New Roman"/>
          <w:sz w:val="24"/>
          <w:szCs w:val="24"/>
        </w:rPr>
        <w:t xml:space="preserve"> período de uso de los mismos. “</w:t>
      </w:r>
      <w:r w:rsidRPr="00EA5CDF">
        <w:rPr>
          <w:rFonts w:ascii="Times New Roman" w:hAnsi="Times New Roman"/>
          <w:sz w:val="24"/>
          <w:szCs w:val="24"/>
        </w:rPr>
        <w:t xml:space="preserve">La divulgación de información más completa sobre la longevidad y su impacto financiero contribuiría a </w:t>
      </w:r>
      <w:r w:rsidR="00674BC4">
        <w:rPr>
          <w:rFonts w:ascii="Times New Roman" w:hAnsi="Times New Roman"/>
          <w:sz w:val="24"/>
          <w:szCs w:val="24"/>
        </w:rPr>
        <w:t>aclarar mejor las consecuencias”</w:t>
      </w:r>
      <w:r w:rsidRPr="00EA5CDF">
        <w:rPr>
          <w:rFonts w:ascii="Times New Roman" w:hAnsi="Times New Roman"/>
          <w:sz w:val="24"/>
          <w:szCs w:val="24"/>
        </w:rPr>
        <w:t>, agrega.</w:t>
      </w:r>
    </w:p>
    <w:p w:rsidR="003F3A81" w:rsidRPr="00EA5CDF" w:rsidRDefault="00674BC4" w:rsidP="00550638">
      <w:pPr>
        <w:spacing w:line="240" w:lineRule="auto"/>
        <w:jc w:val="both"/>
        <w:rPr>
          <w:rFonts w:ascii="Times New Roman" w:hAnsi="Times New Roman"/>
          <w:sz w:val="24"/>
          <w:szCs w:val="24"/>
        </w:rPr>
      </w:pPr>
      <w:r>
        <w:rPr>
          <w:rFonts w:ascii="Times New Roman" w:hAnsi="Times New Roman"/>
          <w:sz w:val="24"/>
          <w:szCs w:val="24"/>
        </w:rPr>
        <w:t>“</w:t>
      </w:r>
      <w:r w:rsidR="003F3A81" w:rsidRPr="00EA5CDF">
        <w:rPr>
          <w:rFonts w:ascii="Times New Roman" w:hAnsi="Times New Roman"/>
          <w:sz w:val="24"/>
          <w:szCs w:val="24"/>
        </w:rPr>
        <w:t>Es importante que las entidades que ofrecen pensiones puedan actuar con flexibilidad: si no es posible incrementar las contribuciones o subir la edad de jubilación, posiblemente hay</w:t>
      </w:r>
      <w:r>
        <w:rPr>
          <w:rFonts w:ascii="Times New Roman" w:hAnsi="Times New Roman"/>
          <w:sz w:val="24"/>
          <w:szCs w:val="24"/>
        </w:rPr>
        <w:t>a que recortar las prestaciones”</w:t>
      </w:r>
      <w:r w:rsidR="003F3A81" w:rsidRPr="00EA5CDF">
        <w:rPr>
          <w:rFonts w:ascii="Times New Roman" w:hAnsi="Times New Roman"/>
          <w:sz w:val="24"/>
          <w:szCs w:val="24"/>
        </w:rPr>
        <w:t xml:space="preserve">, advierte. </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lastRenderedPageBreak/>
        <w:t xml:space="preserve">Costes de envejecimiento </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Por otro lado, el FMI avisa de que si el promedio de vida para 2050 aumentara tres años más de</w:t>
      </w:r>
      <w:r w:rsidR="00674BC4">
        <w:rPr>
          <w:rFonts w:ascii="Times New Roman" w:hAnsi="Times New Roman"/>
          <w:sz w:val="24"/>
          <w:szCs w:val="24"/>
        </w:rPr>
        <w:t xml:space="preserve"> lo que se espera actualmente, “</w:t>
      </w:r>
      <w:r w:rsidRPr="00EA5CDF">
        <w:rPr>
          <w:rFonts w:ascii="Times New Roman" w:hAnsi="Times New Roman"/>
          <w:sz w:val="24"/>
          <w:szCs w:val="24"/>
        </w:rPr>
        <w:t>los costes del envejecimiento, que ya so</w:t>
      </w:r>
      <w:r w:rsidR="00674BC4">
        <w:rPr>
          <w:rFonts w:ascii="Times New Roman" w:hAnsi="Times New Roman"/>
          <w:sz w:val="24"/>
          <w:szCs w:val="24"/>
        </w:rPr>
        <w:t>n enormes, podrían aumentar 50%”</w:t>
      </w:r>
      <w:r w:rsidRPr="00EA5CDF">
        <w:rPr>
          <w:rFonts w:ascii="Times New Roman" w:hAnsi="Times New Roman"/>
          <w:sz w:val="24"/>
          <w:szCs w:val="24"/>
        </w:rPr>
        <w:t>.</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La institución considera que una longevidad inesperada más allá de lo que reco</w:t>
      </w:r>
      <w:r w:rsidR="00674BC4">
        <w:rPr>
          <w:rFonts w:ascii="Times New Roman" w:hAnsi="Times New Roman"/>
          <w:sz w:val="24"/>
          <w:szCs w:val="24"/>
        </w:rPr>
        <w:t>gen las previsiones constituye “un riesgo financiero”</w:t>
      </w:r>
      <w:r w:rsidRPr="00EA5CDF">
        <w:rPr>
          <w:rFonts w:ascii="Times New Roman" w:hAnsi="Times New Roman"/>
          <w:sz w:val="24"/>
          <w:szCs w:val="24"/>
        </w:rPr>
        <w:t xml:space="preserve"> para los gobiernos y las entidades que ofrecen prestaciones definidas, que tendrán que pagar más de lo esperado en pensiones y prestaciones de la seguridad social. </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 xml:space="preserve">Así, reconoce que, aunque los Gobiernos y las entidades del sector privado que ofrecen pensiones se han estado preparando para las consecuencias financieras del envejecimiento de la población, se han basado en proyecciones demográficas de base que en el pasado han subestimado constantemente cuántos años vive la gente. Por su parte, los particulares se exponen al riesgo financiero de agotar los recursos jubilatorios. </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Además, añade que el riesgo debe estar debidamente distribuido entre los particulares, los organizadores de los planes de pensiones y el gobierno, y sugiere que la posibilidad de recurrir a los mercados de capital para transferir el riesgo de longevidad de los planes de pensiones a quienes tienen más capacidad para gestionarlo.</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Reformas para restaurar la confianza</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Antes situación, el FMI reclama que se aborden con tie</w:t>
      </w:r>
      <w:r w:rsidR="00674BC4">
        <w:rPr>
          <w:rFonts w:ascii="Times New Roman" w:hAnsi="Times New Roman"/>
          <w:sz w:val="24"/>
          <w:szCs w:val="24"/>
        </w:rPr>
        <w:t>mpos estos riesgos para evitar “</w:t>
      </w:r>
      <w:r w:rsidRPr="00EA5CDF">
        <w:rPr>
          <w:rFonts w:ascii="Times New Roman" w:hAnsi="Times New Roman"/>
          <w:sz w:val="24"/>
          <w:szCs w:val="24"/>
        </w:rPr>
        <w:t>efectos negativos profundos en los balances, ya debilitados, de los sectores público y privado, exacerbando su vulnerabilidad a otros shocks y afectando posiblemente su estabili</w:t>
      </w:r>
      <w:r w:rsidR="00674BC4">
        <w:rPr>
          <w:rFonts w:ascii="Times New Roman" w:hAnsi="Times New Roman"/>
          <w:sz w:val="24"/>
          <w:szCs w:val="24"/>
        </w:rPr>
        <w:t>dad financiera”</w:t>
      </w:r>
      <w:r w:rsidRPr="00EA5CDF">
        <w:rPr>
          <w:rFonts w:ascii="Times New Roman" w:hAnsi="Times New Roman"/>
          <w:sz w:val="24"/>
          <w:szCs w:val="24"/>
        </w:rPr>
        <w:t>.</w:t>
      </w:r>
    </w:p>
    <w:p w:rsidR="003F3A81" w:rsidRPr="00EA5CDF" w:rsidRDefault="003F3A81" w:rsidP="00550638">
      <w:pPr>
        <w:spacing w:line="240" w:lineRule="auto"/>
        <w:jc w:val="both"/>
        <w:rPr>
          <w:rFonts w:ascii="Times New Roman" w:hAnsi="Times New Roman"/>
          <w:sz w:val="24"/>
          <w:szCs w:val="24"/>
        </w:rPr>
      </w:pPr>
      <w:r w:rsidRPr="00EA5CDF">
        <w:rPr>
          <w:rFonts w:ascii="Times New Roman" w:hAnsi="Times New Roman"/>
          <w:sz w:val="24"/>
          <w:szCs w:val="24"/>
        </w:rPr>
        <w:t>Asimismo, incide en que prestar atención al envejecimiento de la población y al riesgo de longevidad adicional forma parte del conjunto de reformas necesarias para restaurar la confianza en la viabilidad de los balances del sector público y del sector privado.</w:t>
      </w:r>
    </w:p>
    <w:p w:rsidR="008F7D48" w:rsidRDefault="00674BC4" w:rsidP="00550638">
      <w:pPr>
        <w:spacing w:line="240" w:lineRule="auto"/>
        <w:jc w:val="both"/>
        <w:rPr>
          <w:rFonts w:ascii="Times New Roman" w:hAnsi="Times New Roman"/>
          <w:sz w:val="24"/>
          <w:szCs w:val="24"/>
        </w:rPr>
      </w:pPr>
      <w:r>
        <w:rPr>
          <w:rFonts w:ascii="Times New Roman" w:hAnsi="Times New Roman"/>
          <w:sz w:val="24"/>
          <w:szCs w:val="24"/>
        </w:rPr>
        <w:t>“</w:t>
      </w:r>
      <w:r w:rsidR="003F3A81" w:rsidRPr="00EA5CDF">
        <w:rPr>
          <w:rFonts w:ascii="Times New Roman" w:hAnsi="Times New Roman"/>
          <w:sz w:val="24"/>
          <w:szCs w:val="24"/>
        </w:rPr>
        <w:t>Reconocer y mitigar mejor el riesgo de longevidad es un proceso que debe ponerse en marcha ahora. Las medidas tardarán años en dar fruto y será más difícil abordar debidamente esta cuestión si s</w:t>
      </w:r>
      <w:r>
        <w:rPr>
          <w:rFonts w:ascii="Times New Roman" w:hAnsi="Times New Roman"/>
          <w:sz w:val="24"/>
          <w:szCs w:val="24"/>
        </w:rPr>
        <w:t>e posterga la acción correctiva”</w:t>
      </w:r>
      <w:r w:rsidR="003F3A81" w:rsidRPr="00EA5CDF">
        <w:rPr>
          <w:rFonts w:ascii="Times New Roman" w:hAnsi="Times New Roman"/>
          <w:sz w:val="24"/>
          <w:szCs w:val="24"/>
        </w:rPr>
        <w:t>, recalca.</w:t>
      </w:r>
    </w:p>
    <w:p w:rsidR="003F3A81" w:rsidRPr="001649F8" w:rsidRDefault="003F3A81"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1649F8">
        <w:rPr>
          <w:rFonts w:ascii="Times New Roman" w:hAnsi="Times New Roman"/>
          <w:sz w:val="24"/>
          <w:szCs w:val="24"/>
          <w:u w:val="single"/>
        </w:rPr>
        <w:t>Los países desarrollados subestiman el riesgo de la longevidad de su población, dice el FMI</w:t>
      </w:r>
      <w:r>
        <w:rPr>
          <w:rFonts w:ascii="Times New Roman" w:hAnsi="Times New Roman"/>
          <w:sz w:val="24"/>
          <w:szCs w:val="24"/>
        </w:rPr>
        <w:t xml:space="preserve"> (The Wall Street Journal - </w:t>
      </w:r>
      <w:r w:rsidRPr="001649F8">
        <w:rPr>
          <w:rFonts w:ascii="Times New Roman" w:hAnsi="Times New Roman"/>
          <w:b/>
          <w:sz w:val="24"/>
          <w:szCs w:val="24"/>
        </w:rPr>
        <w:t>11/4/12</w:t>
      </w:r>
      <w:r>
        <w:rPr>
          <w:rFonts w:ascii="Times New Roman" w:hAnsi="Times New Roman"/>
          <w:sz w:val="24"/>
          <w:szCs w:val="24"/>
        </w:rPr>
        <w:t xml:space="preserve">) </w:t>
      </w:r>
      <w:r w:rsidR="008F7D48">
        <w:rPr>
          <w:rFonts w:ascii="Times New Roman" w:hAnsi="Times New Roman"/>
          <w:sz w:val="24"/>
          <w:szCs w:val="24"/>
        </w:rPr>
        <w:t xml:space="preserve">                                         Lectura recomendada</w:t>
      </w:r>
    </w:p>
    <w:p w:rsidR="003F3A81" w:rsidRPr="001649F8" w:rsidRDefault="003F3A81" w:rsidP="00550638">
      <w:pPr>
        <w:spacing w:line="240" w:lineRule="auto"/>
        <w:jc w:val="both"/>
        <w:rPr>
          <w:rFonts w:ascii="Times New Roman" w:hAnsi="Times New Roman"/>
          <w:sz w:val="24"/>
          <w:szCs w:val="24"/>
        </w:rPr>
      </w:pPr>
      <w:r>
        <w:rPr>
          <w:rFonts w:ascii="Times New Roman" w:hAnsi="Times New Roman"/>
          <w:sz w:val="24"/>
          <w:szCs w:val="24"/>
        </w:rPr>
        <w:t>(</w:t>
      </w:r>
      <w:r w:rsidRPr="001649F8">
        <w:rPr>
          <w:rFonts w:ascii="Times New Roman" w:hAnsi="Times New Roman"/>
          <w:sz w:val="24"/>
          <w:szCs w:val="24"/>
        </w:rPr>
        <w:t>Por I</w:t>
      </w:r>
      <w:r w:rsidR="008F7D48">
        <w:rPr>
          <w:rFonts w:ascii="Times New Roman" w:hAnsi="Times New Roman"/>
          <w:sz w:val="24"/>
          <w:szCs w:val="24"/>
        </w:rPr>
        <w:t>an Talley)</w:t>
      </w:r>
    </w:p>
    <w:p w:rsidR="003F3A81" w:rsidRPr="00655046" w:rsidRDefault="008F7D48" w:rsidP="00550638">
      <w:pPr>
        <w:spacing w:line="240" w:lineRule="auto"/>
        <w:jc w:val="both"/>
        <w:rPr>
          <w:rFonts w:ascii="Times New Roman" w:hAnsi="Times New Roman"/>
          <w:color w:val="FF0000"/>
          <w:sz w:val="24"/>
          <w:szCs w:val="24"/>
        </w:rPr>
      </w:pPr>
      <w:r>
        <w:rPr>
          <w:rFonts w:ascii="Times New Roman" w:hAnsi="Times New Roman"/>
          <w:sz w:val="24"/>
          <w:szCs w:val="24"/>
        </w:rPr>
        <w:t xml:space="preserve">Washington (Dow Jones).- </w:t>
      </w:r>
      <w:r w:rsidR="003F3A81" w:rsidRPr="00655046">
        <w:rPr>
          <w:rFonts w:ascii="Times New Roman" w:hAnsi="Times New Roman"/>
          <w:color w:val="FF0000"/>
          <w:sz w:val="24"/>
          <w:szCs w:val="24"/>
        </w:rPr>
        <w:t xml:space="preserve">Estados Unidos y otros gobiernos probablemente están subestimando la expectativa de vida de sus poblaciones, un riesgo que podría elevar las obligaciones de sus sistemas de pensiones en casi un 10% e inflar sus ya masivos niveles de deuda pública, advirtió el miércoles el Fondo Monetario Internacional. </w:t>
      </w:r>
    </w:p>
    <w:p w:rsidR="003F3A81" w:rsidRPr="001649F8" w:rsidRDefault="003F3A81" w:rsidP="00550638">
      <w:pPr>
        <w:spacing w:line="240" w:lineRule="auto"/>
        <w:jc w:val="both"/>
        <w:rPr>
          <w:rFonts w:ascii="Times New Roman" w:hAnsi="Times New Roman"/>
          <w:sz w:val="24"/>
          <w:szCs w:val="24"/>
        </w:rPr>
      </w:pPr>
      <w:r w:rsidRPr="00655046">
        <w:rPr>
          <w:rFonts w:ascii="Times New Roman" w:hAnsi="Times New Roman"/>
          <w:b/>
          <w:color w:val="FF0000"/>
          <w:sz w:val="24"/>
          <w:szCs w:val="24"/>
          <w:u w:val="single"/>
        </w:rPr>
        <w:t>El FMI señaló que muchos gobiernos deberían actuar ahora para elevar la edad obligatoria de jubilación</w:t>
      </w:r>
      <w:r w:rsidRPr="001649F8">
        <w:rPr>
          <w:rFonts w:ascii="Times New Roman" w:hAnsi="Times New Roman"/>
          <w:sz w:val="24"/>
          <w:szCs w:val="24"/>
        </w:rPr>
        <w:t xml:space="preserve"> e instar a sus sistemas de pensiones a protegerse mejor contra sus riesgos. </w:t>
      </w:r>
    </w:p>
    <w:p w:rsidR="003F3A81" w:rsidRPr="00655046" w:rsidRDefault="008F7D48" w:rsidP="00550638">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w:t>
      </w:r>
      <w:r w:rsidR="003F3A81" w:rsidRPr="00655046">
        <w:rPr>
          <w:rFonts w:ascii="Times New Roman" w:hAnsi="Times New Roman"/>
          <w:b/>
          <w:color w:val="FF0000"/>
          <w:sz w:val="24"/>
          <w:szCs w:val="24"/>
          <w:u w:val="single"/>
        </w:rPr>
        <w:t>Las demoras elevarían los riesgos a la estabilidad financiera y fiscal, lo que podría requerir medidas mucho m</w:t>
      </w:r>
      <w:r>
        <w:rPr>
          <w:rFonts w:ascii="Times New Roman" w:hAnsi="Times New Roman"/>
          <w:b/>
          <w:color w:val="FF0000"/>
          <w:sz w:val="24"/>
          <w:szCs w:val="24"/>
          <w:u w:val="single"/>
        </w:rPr>
        <w:t>ayores e invasivas en el futuro”</w:t>
      </w:r>
      <w:r w:rsidR="003F3A81" w:rsidRPr="00655046">
        <w:rPr>
          <w:rFonts w:ascii="Times New Roman" w:hAnsi="Times New Roman"/>
          <w:b/>
          <w:color w:val="FF0000"/>
          <w:sz w:val="24"/>
          <w:szCs w:val="24"/>
          <w:u w:val="single"/>
        </w:rPr>
        <w:t xml:space="preserve">, dijeron economistas del FMI. </w:t>
      </w:r>
    </w:p>
    <w:p w:rsidR="003F3A81" w:rsidRPr="00655046" w:rsidRDefault="003F3A81" w:rsidP="00550638">
      <w:pPr>
        <w:spacing w:line="240" w:lineRule="auto"/>
        <w:jc w:val="both"/>
        <w:rPr>
          <w:rFonts w:ascii="Times New Roman" w:hAnsi="Times New Roman"/>
          <w:b/>
          <w:color w:val="FF0000"/>
          <w:sz w:val="24"/>
          <w:szCs w:val="24"/>
          <w:u w:val="single"/>
        </w:rPr>
      </w:pPr>
      <w:r w:rsidRPr="00655046">
        <w:rPr>
          <w:rFonts w:ascii="Times New Roman" w:hAnsi="Times New Roman"/>
          <w:b/>
          <w:color w:val="FF0000"/>
          <w:sz w:val="24"/>
          <w:szCs w:val="24"/>
          <w:u w:val="single"/>
        </w:rPr>
        <w:lastRenderedPageBreak/>
        <w:t xml:space="preserve">La entidad señaló que pocos gobiernos o proveedores de pensiones reconocen adecuadamente el riesgo de la longevidad, al subestimarla en tres años en promedio, un error que podría costar a las economías avanzadas la mitad del producto interno bruto de un año. </w:t>
      </w:r>
    </w:p>
    <w:p w:rsidR="003F3A81" w:rsidRPr="00655046" w:rsidRDefault="003F3A81" w:rsidP="00550638">
      <w:pPr>
        <w:spacing w:line="240" w:lineRule="auto"/>
        <w:jc w:val="both"/>
        <w:rPr>
          <w:rFonts w:ascii="Times New Roman" w:hAnsi="Times New Roman"/>
          <w:color w:val="FF0000"/>
          <w:sz w:val="24"/>
          <w:szCs w:val="24"/>
          <w:u w:val="single"/>
        </w:rPr>
      </w:pPr>
      <w:r w:rsidRPr="00655046">
        <w:rPr>
          <w:rFonts w:ascii="Times New Roman" w:hAnsi="Times New Roman"/>
          <w:color w:val="FF0000"/>
          <w:sz w:val="24"/>
          <w:szCs w:val="24"/>
          <w:u w:val="single"/>
        </w:rPr>
        <w:t>Para Estados Unidos, esto significaría un error de US$</w:t>
      </w:r>
      <w:r w:rsidR="008F7D48">
        <w:rPr>
          <w:rFonts w:ascii="Times New Roman" w:hAnsi="Times New Roman"/>
          <w:color w:val="FF0000"/>
          <w:sz w:val="24"/>
          <w:szCs w:val="24"/>
          <w:u w:val="single"/>
        </w:rPr>
        <w:t xml:space="preserve"> </w:t>
      </w:r>
      <w:r w:rsidRPr="00655046">
        <w:rPr>
          <w:rFonts w:ascii="Times New Roman" w:hAnsi="Times New Roman"/>
          <w:color w:val="FF0000"/>
          <w:sz w:val="24"/>
          <w:szCs w:val="24"/>
          <w:u w:val="single"/>
        </w:rPr>
        <w:t>7 billon</w:t>
      </w:r>
      <w:r w:rsidR="008F7D48">
        <w:rPr>
          <w:rFonts w:ascii="Times New Roman" w:hAnsi="Times New Roman"/>
          <w:color w:val="FF0000"/>
          <w:sz w:val="24"/>
          <w:szCs w:val="24"/>
          <w:u w:val="single"/>
        </w:rPr>
        <w:t xml:space="preserve">es al calcular costos futuros. </w:t>
      </w:r>
      <w:r w:rsidRPr="00655046">
        <w:rPr>
          <w:rFonts w:ascii="Times New Roman" w:hAnsi="Times New Roman"/>
          <w:color w:val="FF0000"/>
          <w:sz w:val="24"/>
          <w:szCs w:val="24"/>
          <w:u w:val="single"/>
        </w:rPr>
        <w:t xml:space="preserve">La entidad también dijo que Japón, Canadá, Francia, España y Alemania también podrían enfrentar enormes déficit para financiar pensiones y servicios sociales si se equivocan sobre la longevidad de sus poblaciones. </w:t>
      </w:r>
    </w:p>
    <w:p w:rsidR="00C9494A" w:rsidRPr="00847176" w:rsidRDefault="003F3A81" w:rsidP="00550638">
      <w:pPr>
        <w:spacing w:line="240" w:lineRule="auto"/>
        <w:jc w:val="both"/>
        <w:rPr>
          <w:rFonts w:ascii="Times New Roman" w:hAnsi="Times New Roman"/>
          <w:b/>
          <w:color w:val="FF0000"/>
          <w:sz w:val="24"/>
          <w:szCs w:val="24"/>
          <w:u w:val="single"/>
        </w:rPr>
      </w:pPr>
      <w:r w:rsidRPr="00655046">
        <w:rPr>
          <w:rFonts w:ascii="Times New Roman" w:hAnsi="Times New Roman"/>
          <w:b/>
          <w:color w:val="FF0000"/>
          <w:sz w:val="24"/>
          <w:szCs w:val="24"/>
          <w:u w:val="single"/>
        </w:rPr>
        <w:t>El FMI advirtió que hacia 2050 este riesgo podría llegar a decenas de billones de dólares.</w:t>
      </w:r>
    </w:p>
    <w:p w:rsidR="00847176" w:rsidRPr="00847176" w:rsidRDefault="00847176" w:rsidP="00550638">
      <w:pPr>
        <w:pStyle w:val="NormalWeb"/>
        <w:jc w:val="both"/>
        <w:rPr>
          <w:u w:val="single"/>
        </w:rPr>
      </w:pPr>
      <w:r w:rsidRPr="00847176">
        <w:rPr>
          <w:u w:val="single"/>
        </w:rPr>
        <w:t xml:space="preserve">¿Es el </w:t>
      </w:r>
      <w:r w:rsidR="00D41FAA">
        <w:rPr>
          <w:u w:val="single"/>
        </w:rPr>
        <w:t>“</w:t>
      </w:r>
      <w:r w:rsidRPr="00847176">
        <w:rPr>
          <w:u w:val="single"/>
        </w:rPr>
        <w:t>sistema de reparto</w:t>
      </w:r>
      <w:r w:rsidR="00D41FAA">
        <w:rPr>
          <w:u w:val="single"/>
        </w:rPr>
        <w:t>”</w:t>
      </w:r>
      <w:r w:rsidRPr="00847176">
        <w:rPr>
          <w:u w:val="single"/>
        </w:rPr>
        <w:t xml:space="preserve"> un “esquema Ponzi”?</w:t>
      </w:r>
    </w:p>
    <w:p w:rsidR="00C9494A" w:rsidRDefault="00C9494A" w:rsidP="00550638">
      <w:pPr>
        <w:pStyle w:val="NormalWeb"/>
        <w:jc w:val="both"/>
      </w:pPr>
      <w:r>
        <w:t xml:space="preserve">- </w:t>
      </w:r>
      <w:r w:rsidRPr="0014647C">
        <w:rPr>
          <w:u w:val="single"/>
        </w:rPr>
        <w:t>¿Es sostenible el actual sistema de pensiones?</w:t>
      </w:r>
      <w:r>
        <w:t xml:space="preserve"> (Negocios.com - </w:t>
      </w:r>
      <w:r w:rsidRPr="0014647C">
        <w:rPr>
          <w:b/>
        </w:rPr>
        <w:t>22/5/12</w:t>
      </w:r>
      <w:r>
        <w:t>)</w:t>
      </w:r>
    </w:p>
    <w:p w:rsidR="00C9494A" w:rsidRDefault="00C9494A" w:rsidP="00550638">
      <w:pPr>
        <w:pStyle w:val="NormalWeb"/>
        <w:jc w:val="both"/>
      </w:pPr>
      <w:r>
        <w:t>(Por D</w:t>
      </w:r>
      <w:r w:rsidR="00847176">
        <w:t>aniel Marín Arribas)</w:t>
      </w:r>
      <w:r w:rsidR="00306A5D">
        <w:t xml:space="preserve">                                                               Lectura recomendada</w:t>
      </w:r>
    </w:p>
    <w:p w:rsidR="00C9494A" w:rsidRPr="003136F9" w:rsidRDefault="00C9494A" w:rsidP="00550638">
      <w:pPr>
        <w:pStyle w:val="NormalWeb"/>
        <w:jc w:val="both"/>
        <w:rPr>
          <w:color w:val="FF0000"/>
          <w:u w:val="single"/>
        </w:rPr>
      </w:pPr>
      <w:r w:rsidRPr="003136F9">
        <w:rPr>
          <w:color w:val="FF0000"/>
          <w:u w:val="single"/>
        </w:rPr>
        <w:t>El actual modelo de gestión de las pensiones tiene una estructura piramidal que se viene abajo en una situación con la actual, con</w:t>
      </w:r>
      <w:r>
        <w:rPr>
          <w:color w:val="FF0000"/>
          <w:u w:val="single"/>
        </w:rPr>
        <w:t xml:space="preserve"> un</w:t>
      </w:r>
      <w:r w:rsidRPr="003136F9">
        <w:rPr>
          <w:color w:val="FF0000"/>
          <w:u w:val="single"/>
        </w:rPr>
        <w:t xml:space="preserve"> paro camino de los seis millones de personas con el que no se puede hacer frente a las pensiones de una población jubilada que va en aumento.</w:t>
      </w:r>
    </w:p>
    <w:p w:rsidR="00C9494A" w:rsidRDefault="00C9494A" w:rsidP="00550638">
      <w:pPr>
        <w:pStyle w:val="NormalWeb"/>
        <w:jc w:val="both"/>
      </w:pPr>
      <w:r>
        <w:t>La historia de la Seguridad Social y el sistema público de pensiones se remonta a 1883. En ese año, el por entonces canciller de Alemania Otto von Bismarck puso en con una iniciativa que actualmente ya se ha convertido en costumbre en numerosos países europeos. En concreto, en España, fue implantado en 1964 por el antiguo jefe del Estado, Francisco Franco, y perdura hasta la actualidad.</w:t>
      </w:r>
    </w:p>
    <w:p w:rsidR="00C9494A" w:rsidRPr="003136F9" w:rsidRDefault="00C9494A" w:rsidP="00550638">
      <w:pPr>
        <w:pStyle w:val="NormalWeb"/>
        <w:jc w:val="both"/>
        <w:rPr>
          <w:u w:val="single"/>
        </w:rPr>
      </w:pPr>
      <w:r w:rsidRPr="003136F9">
        <w:rPr>
          <w:u w:val="single"/>
        </w:rPr>
        <w:t>Esta forma de garantizar una jubilación a los trabajadores después de una larga v</w:t>
      </w:r>
      <w:r w:rsidR="00847176">
        <w:rPr>
          <w:u w:val="single"/>
        </w:rPr>
        <w:t>ida de servicio se conoce como “sistema de reparto”</w:t>
      </w:r>
      <w:r w:rsidRPr="003136F9">
        <w:rPr>
          <w:u w:val="single"/>
        </w:rPr>
        <w:t>.</w:t>
      </w:r>
      <w:r>
        <w:t xml:space="preserve"> Éste, consiste en una manera de financiación intergeneracional en el que la población activa se encarga de sufragar el retiro a los más adultos. </w:t>
      </w:r>
      <w:r w:rsidRPr="003136F9">
        <w:rPr>
          <w:u w:val="single"/>
        </w:rPr>
        <w:t>Es una estructura piramidal en la que los que se sitúan en su base subvencionan a los que se hallan su vértice, siempre con la promesa de que en un futuro, cuando ellos asciendan, los nuevos sujetos que entren en el sistema, obrarán de la misma forma.</w:t>
      </w:r>
    </w:p>
    <w:p w:rsidR="00C9494A" w:rsidRDefault="00C9494A" w:rsidP="00550638">
      <w:pPr>
        <w:pStyle w:val="NormalWeb"/>
        <w:jc w:val="both"/>
      </w:pPr>
      <w:r>
        <w:t>El esquema de Ponzi</w:t>
      </w:r>
    </w:p>
    <w:p w:rsidR="00C9494A" w:rsidRDefault="00C9494A" w:rsidP="00550638">
      <w:pPr>
        <w:pStyle w:val="NormalWeb"/>
        <w:jc w:val="both"/>
        <w:rPr>
          <w:u w:val="single"/>
        </w:rPr>
      </w:pPr>
      <w:r w:rsidRPr="003136F9">
        <w:rPr>
          <w:u w:val="single"/>
        </w:rPr>
        <w:t xml:space="preserve">Un sistema parecido ideó el italiano emigrado a EEUU Carlo Ponzi en los años 20 del siglo pasado. Su negocio era el de rescatar a numerosos inversores a los que les prometía una jugosa rentabilidad tras cumplir el plazo de la operación. No obstante, Ponzi no invertía este dinero que los acreedores confiaban en sus manos, sino que cada vez convencía a nuevos sujetos para entrar en la escala piramidal, y con su dinero, pagaba a los primeros. Mientras su labia le permitía captar a nuevos estafados, su engranaje seguía funcionando, pero en el momento en el que la suerte le jugó una mala pasada, se quedó sin fondos con los que recompensar a los viejos inversores, y el engaño fue descubierto. Su destino final, como es evidente, fue la cárcel. </w:t>
      </w:r>
    </w:p>
    <w:p w:rsidR="00DA15F2" w:rsidRPr="003136F9" w:rsidRDefault="00DA15F2" w:rsidP="00550638">
      <w:pPr>
        <w:pStyle w:val="NormalWeb"/>
        <w:jc w:val="both"/>
        <w:rPr>
          <w:u w:val="single"/>
        </w:rPr>
      </w:pPr>
    </w:p>
    <w:p w:rsidR="00C9494A" w:rsidRDefault="00C9494A" w:rsidP="00550638">
      <w:pPr>
        <w:pStyle w:val="NormalWeb"/>
        <w:jc w:val="both"/>
      </w:pPr>
      <w:r>
        <w:lastRenderedPageBreak/>
        <w:t xml:space="preserve">La estafa </w:t>
      </w:r>
    </w:p>
    <w:p w:rsidR="00C9494A" w:rsidRPr="003136F9" w:rsidRDefault="00C9494A" w:rsidP="00550638">
      <w:pPr>
        <w:pStyle w:val="NormalWeb"/>
        <w:jc w:val="both"/>
        <w:rPr>
          <w:color w:val="FF0000"/>
          <w:u w:val="single"/>
        </w:rPr>
      </w:pPr>
      <w:r w:rsidRPr="003136F9">
        <w:rPr>
          <w:color w:val="FF0000"/>
          <w:u w:val="single"/>
        </w:rPr>
        <w:t xml:space="preserve">El actual sistema de pensiones funciona exactamente igual que lo hacía el esquema de Carlo Ponzi. En el fondo, lo que se vende bajo la moralidad solidaria, es una estafa en la que unos están pagando por lo que no reciben y otros reciben por lo que no pagan, aunque </w:t>
      </w:r>
      <w:r w:rsidR="00D44948" w:rsidRPr="003136F9">
        <w:rPr>
          <w:color w:val="FF0000"/>
          <w:u w:val="single"/>
        </w:rPr>
        <w:t>sí</w:t>
      </w:r>
      <w:r w:rsidRPr="003136F9">
        <w:rPr>
          <w:color w:val="FF0000"/>
          <w:u w:val="single"/>
        </w:rPr>
        <w:t xml:space="preserve"> lo han estado haciendo durante los años de su vida laboral. Cuando comenzó el engranaje, los primeros jubilados cobraron pensiones sin haber cotizado, y cuando termine, los últimos que entraron, se quedarán sin los servicios habiéndolos abonado. </w:t>
      </w:r>
    </w:p>
    <w:p w:rsidR="00C9494A" w:rsidRPr="003136F9" w:rsidRDefault="00D41FAA" w:rsidP="00550638">
      <w:pPr>
        <w:pStyle w:val="NormalWeb"/>
        <w:jc w:val="both"/>
        <w:rPr>
          <w:u w:val="single"/>
        </w:rPr>
      </w:pPr>
      <w:r>
        <w:rPr>
          <w:u w:val="single"/>
        </w:rPr>
        <w:t>Además, el nombre de “sistema de reparto” está viciado y es falso. Un “sistema de reparto”</w:t>
      </w:r>
      <w:r w:rsidR="00C9494A" w:rsidRPr="003136F9">
        <w:rPr>
          <w:u w:val="single"/>
        </w:rPr>
        <w:t xml:space="preserve"> real debería consistir en una redistribución entre todos los contribuyentes, de forma parecida al funcionamiento de una empresa de seguros. Es decir, los afiliados aportarían su dinero a un fondo común que se repartiría a partes iguales cuando llegara la hora de entrar en la jubilación. Pagarían su retiro, pero no el retiro de otros. </w:t>
      </w:r>
    </w:p>
    <w:p w:rsidR="00C9494A" w:rsidRDefault="00C9494A" w:rsidP="00550638">
      <w:pPr>
        <w:pStyle w:val="NormalWeb"/>
        <w:jc w:val="both"/>
      </w:pPr>
      <w:r w:rsidRPr="003136F9">
        <w:rPr>
          <w:color w:val="FF0000"/>
          <w:u w:val="single"/>
        </w:rPr>
        <w:t xml:space="preserve">El problema de socializar a la manera piramidal es que tarde o temprano ocurrirá algo que desvele la estafa. Y probablemente, quizá nos estemos acercando a ese momento. El alargamiento de la esperanza de vida y la crisis demográfica ha estirado demasiado la </w:t>
      </w:r>
      <w:r w:rsidR="00D44948" w:rsidRPr="003136F9">
        <w:rPr>
          <w:color w:val="FF0000"/>
          <w:u w:val="single"/>
        </w:rPr>
        <w:t>pirámide</w:t>
      </w:r>
      <w:r w:rsidRPr="003136F9">
        <w:rPr>
          <w:color w:val="FF0000"/>
          <w:u w:val="single"/>
        </w:rPr>
        <w:t xml:space="preserve"> por arriba y la ha acortado por abajo, y ello ya está empezando a destapar la inviabilidad del sistema, especialmente en un país como España azotado por la lacra del paro que puede llegar a afectar al 25% de su población activa</w:t>
      </w:r>
      <w:r>
        <w:t>. Cuando comenzó el engranaje, por cada jubilado había diez contribuyentes; actualmente hay dos. ¿Irá por ello algún gobernante a la cárcel, al igual que lo hizo Carlo Ponzi? o ¿Por qué no cambiar el sistema hacia uno mixto de capitalización?</w:t>
      </w:r>
    </w:p>
    <w:p w:rsidR="00D41FAA" w:rsidRPr="00D41FAA" w:rsidRDefault="00D41FAA" w:rsidP="00550638">
      <w:pPr>
        <w:pStyle w:val="NormalWeb"/>
        <w:jc w:val="both"/>
        <w:rPr>
          <w:u w:val="single"/>
        </w:rPr>
      </w:pPr>
      <w:r w:rsidRPr="00D41FAA">
        <w:rPr>
          <w:u w:val="single"/>
        </w:rPr>
        <w:t>La OCDE pide retrasar la edad de ret</w:t>
      </w:r>
      <w:r>
        <w:rPr>
          <w:u w:val="single"/>
        </w:rPr>
        <w:t>iro y contratar planes privados (todos a la contra)</w:t>
      </w:r>
      <w:r w:rsidRPr="00D41FAA">
        <w:rPr>
          <w:u w:val="single"/>
        </w:rPr>
        <w:t xml:space="preserve"> </w:t>
      </w:r>
    </w:p>
    <w:p w:rsidR="00C9494A" w:rsidRPr="00D41FAA" w:rsidRDefault="00D41FAA" w:rsidP="00550638">
      <w:pPr>
        <w:pStyle w:val="NormalWeb"/>
        <w:jc w:val="both"/>
      </w:pPr>
      <w:r>
        <w:rPr>
          <w:i/>
        </w:rPr>
        <w:t>“</w:t>
      </w:r>
      <w:r w:rsidR="00C9494A" w:rsidRPr="00D41FAA">
        <w:rPr>
          <w:i/>
        </w:rPr>
        <w:t>“Puede no parecerlo, pero los actuales jubilados están viviendo lo que podría ser la edad de oro para las pensiones y los pensionistas”. Así comienza la Organización para la Cooperación y el Desarrollo Económico (OCDE) su informe sobre las pensiones de 2012, en el que constata que, con las últimas reformas introducidas en la mayor parte de países desarrollados, las futuras generaciones de jubilados percibirán unas pensiones públicas entre un 20 y un 25% más bajas que ahora. La OCDE ofrece dos recetas para asegurar que la brecha de ingresos sea lo menor posible: fomentar el retraso en la edad de jubilación “incluso más allá de los 67 años” y fomentar l</w:t>
      </w:r>
      <w:r>
        <w:rPr>
          <w:i/>
        </w:rPr>
        <w:t xml:space="preserve">os planes privados de pensiones”… </w:t>
      </w:r>
      <w:r w:rsidRPr="00AC4FEB">
        <w:rPr>
          <w:u w:val="single"/>
        </w:rPr>
        <w:t>Los jubilados del futuro cobrarán pensiones un 25% más bajas</w:t>
      </w:r>
      <w:r>
        <w:t xml:space="preserve"> (Negocios.com - </w:t>
      </w:r>
      <w:r w:rsidRPr="00AC4FEB">
        <w:rPr>
          <w:b/>
        </w:rPr>
        <w:t>12/6/12</w:t>
      </w:r>
      <w:r>
        <w:t>)</w:t>
      </w:r>
    </w:p>
    <w:p w:rsidR="00C9494A" w:rsidRPr="00D41FAA" w:rsidRDefault="00C9494A" w:rsidP="00550638">
      <w:pPr>
        <w:pStyle w:val="NormalWeb"/>
        <w:jc w:val="both"/>
      </w:pPr>
      <w:r w:rsidRPr="00D41FAA">
        <w:t>El futuro para los actuales trabajadores pasa por “trabajar más antes de jubilarse y recibir menores” rentas. Sus cálculos indican que los que se incorporen ahora al mercado laboral pueden aspirar a que, cuando se jubilen tras “una carrera completa a la edad legal de retiro”, perciban una pensión que será la mitad de sus ingresos. En la actualidad, ese porcentaje alcanza el 85% de media en España, uno de los países donde los jubilados tienen una pensión más alta respecto a sus últimos ingresos como trabajador, sólo superada por Grecia, Luxemburgo, Turquía y Austria.</w:t>
      </w:r>
    </w:p>
    <w:p w:rsidR="00C9494A" w:rsidRPr="00D41FAA" w:rsidRDefault="00C9494A" w:rsidP="00550638">
      <w:pPr>
        <w:pStyle w:val="NormalWeb"/>
        <w:jc w:val="both"/>
      </w:pPr>
      <w:r w:rsidRPr="00D41FAA">
        <w:t xml:space="preserve">Para evitar el empobrecimiento de los futuros jubilados, la OCDE recomienda fomentar los planes privados de pensiones hasta el punto de que señala que lo ideal sería “hacerlos obligatorios”, aunque constata la oposición de muchos países a hacerlo. Como </w:t>
      </w:r>
      <w:r w:rsidRPr="00D41FAA">
        <w:lastRenderedPageBreak/>
        <w:t>alternativa, aboga por que la inclusión en estos planes sea “automática” aunque con la posibilidad de que, pasado un tiempo, los trabajadores puedan descolgarse.</w:t>
      </w:r>
    </w:p>
    <w:p w:rsidR="00C9494A" w:rsidRPr="00D41FAA" w:rsidRDefault="00C9494A" w:rsidP="00550638">
      <w:pPr>
        <w:pStyle w:val="NormalWeb"/>
        <w:jc w:val="both"/>
      </w:pPr>
      <w:r w:rsidRPr="00D41FAA">
        <w:t>El problema es que la caída en las Bolsas puede dar al traste con las aspiraciones a una jubilación dorada. Entre 2007 y 2011, los fondos de pensiones se han devaluado un 1,6% anual de media, un porcentaje que se acerca al 4% en España, una caída sólo superada por Islandia y Australia. Incluso entre 2001 y 2010, la ganancia media para los países de la OCDE se limita al 0,1% anual (en España han caído casi un 1,5%).</w:t>
      </w:r>
    </w:p>
    <w:p w:rsidR="00D41FAA" w:rsidRDefault="00C9494A" w:rsidP="00550638">
      <w:pPr>
        <w:pStyle w:val="NormalWeb"/>
        <w:jc w:val="both"/>
      </w:pPr>
      <w:r w:rsidRPr="00D41FAA">
        <w:t xml:space="preserve">El aumento de la edad de retiro y su vinculación a la esperanza de vida es otra tendencia imparable. En 13 de la treintena de países miembros se han introducido ya reformas para fijar la edad legal de jubilación en 67 años. República Checa, Irlanda y Reino Unido llegarán a los 68, y Dinamarca e Italia, a los 69.  </w:t>
      </w:r>
    </w:p>
    <w:p w:rsidR="002D19C4" w:rsidRPr="002D19C4" w:rsidRDefault="002D19C4" w:rsidP="00550638">
      <w:pPr>
        <w:pStyle w:val="NormalWeb"/>
        <w:jc w:val="both"/>
        <w:rPr>
          <w:u w:val="single"/>
        </w:rPr>
      </w:pPr>
      <w:r w:rsidRPr="002D19C4">
        <w:rPr>
          <w:u w:val="single"/>
        </w:rPr>
        <w:t>Capitalización vs reparto (el gran debate, con sospechosas manos que mecen el ataúd)</w:t>
      </w:r>
    </w:p>
    <w:p w:rsidR="002D19C4" w:rsidRPr="009D670E" w:rsidRDefault="002D19C4" w:rsidP="00550638">
      <w:pPr>
        <w:pStyle w:val="NormalWeb"/>
        <w:jc w:val="both"/>
      </w:pPr>
      <w:r>
        <w:t xml:space="preserve">- </w:t>
      </w:r>
      <w:r w:rsidRPr="00A56E16">
        <w:rPr>
          <w:u w:val="single"/>
        </w:rPr>
        <w:t>Guerra ciudadana en las pensiones: la revolución ha comenzado</w:t>
      </w:r>
      <w:r>
        <w:t xml:space="preserve"> (El Confidencial - </w:t>
      </w:r>
      <w:r w:rsidRPr="002D19C4">
        <w:rPr>
          <w:b/>
        </w:rPr>
        <w:t>13/6/12</w:t>
      </w:r>
      <w:r>
        <w:t>)</w:t>
      </w:r>
    </w:p>
    <w:p w:rsidR="002D19C4" w:rsidRPr="00F32783" w:rsidRDefault="002D19C4" w:rsidP="00550638">
      <w:pPr>
        <w:pStyle w:val="centro-texto-notis"/>
        <w:rPr>
          <w:color w:val="FF0000"/>
        </w:rPr>
      </w:pPr>
      <w:r>
        <w:rPr>
          <w:rStyle w:val="firma-negra-grande"/>
        </w:rPr>
        <w:t xml:space="preserve">(Por </w:t>
      </w:r>
      <w:hyperlink r:id="rId540" w:history="1">
        <w:r w:rsidRPr="002D19C4">
          <w:rPr>
            <w:rStyle w:val="Hipervnculo"/>
            <w:rFonts w:eastAsiaTheme="majorEastAsia"/>
            <w:color w:val="auto"/>
            <w:u w:val="none"/>
          </w:rPr>
          <w:t>S. McCoy</w:t>
        </w:r>
      </w:hyperlink>
      <w:r w:rsidRPr="002D19C4">
        <w:rPr>
          <w:rStyle w:val="firma-negra-grande"/>
        </w:rPr>
        <w:t xml:space="preserve">)   </w:t>
      </w:r>
      <w:r>
        <w:rPr>
          <w:rStyle w:val="firma-negra-grande"/>
        </w:rPr>
        <w:t xml:space="preserve">                                                                              Lectura recomendada</w:t>
      </w:r>
    </w:p>
    <w:p w:rsidR="002D19C4" w:rsidRPr="002D19C4" w:rsidRDefault="002D19C4" w:rsidP="00550638">
      <w:pPr>
        <w:pStyle w:val="NormalWeb"/>
        <w:jc w:val="both"/>
      </w:pPr>
      <w:r w:rsidRPr="00286B12">
        <w:rPr>
          <w:bCs/>
          <w:u w:val="single"/>
        </w:rPr>
        <w:t>Soplan aires de cambio en los sistemas de pensiones públicas del mundo desarrollado</w:t>
      </w:r>
      <w:r w:rsidRPr="0032418C">
        <w:rPr>
          <w:u w:val="single"/>
        </w:rPr>
        <w:t xml:space="preserve">. En aquellos lugares regidos por un </w:t>
      </w:r>
      <w:r w:rsidRPr="00286B12">
        <w:rPr>
          <w:bCs/>
          <w:u w:val="single"/>
        </w:rPr>
        <w:t>esquema puro de reparto</w:t>
      </w:r>
      <w:r w:rsidRPr="0032418C">
        <w:rPr>
          <w:u w:val="single"/>
        </w:rPr>
        <w:t xml:space="preserve"> -dinero que entra de los trabajadores, dinero que sale para los jubilados, Ponzi redivivo- las altas tasas de paro y la inversión de la pirámide poblacional auguran </w:t>
      </w:r>
      <w:r w:rsidRPr="00286B12">
        <w:rPr>
          <w:u w:val="single"/>
        </w:rPr>
        <w:t xml:space="preserve">un </w:t>
      </w:r>
      <w:r w:rsidRPr="00286B12">
        <w:rPr>
          <w:bCs/>
          <w:u w:val="single"/>
        </w:rPr>
        <w:t>desequilibrio entre aportaciones y prestaciones</w:t>
      </w:r>
      <w:r w:rsidRPr="0032418C">
        <w:rPr>
          <w:u w:val="single"/>
        </w:rPr>
        <w:t xml:space="preserve"> que amenaza con colapsar las finanzas de las respectivas Seguridades Sociales más antes que después</w:t>
      </w:r>
      <w:r>
        <w:t xml:space="preserve">. </w:t>
      </w:r>
      <w:r w:rsidRPr="0032418C">
        <w:rPr>
          <w:u w:val="single"/>
        </w:rPr>
        <w:t xml:space="preserve">En los que, por el contrario, prima el </w:t>
      </w:r>
      <w:r w:rsidRPr="00286B12">
        <w:rPr>
          <w:bCs/>
          <w:u w:val="single"/>
        </w:rPr>
        <w:t>modelo de capitalización</w:t>
      </w:r>
      <w:r w:rsidR="00306A5D">
        <w:rPr>
          <w:u w:val="single"/>
        </w:rPr>
        <w:t xml:space="preserve"> -</w:t>
      </w:r>
      <w:r w:rsidRPr="0032418C">
        <w:rPr>
          <w:u w:val="single"/>
        </w:rPr>
        <w:t xml:space="preserve">las entregas a cuenta son individuales y se recuperan vía capital o renta cuando la jubilación, caso de determinados colectivos- la baja rentabilidad de los activos y el aumento progresivo de los beneficiados del pago multiplica exponencialmente el </w:t>
      </w:r>
      <w:r w:rsidRPr="00286B12">
        <w:rPr>
          <w:bCs/>
          <w:u w:val="single"/>
        </w:rPr>
        <w:t>desfase entre los activos bajo gestión y las obligaciones hacia los aportantes, especialmente cuando se ha asegurado un rendimiento</w:t>
      </w:r>
      <w:r w:rsidRPr="0032418C">
        <w:rPr>
          <w:b/>
          <w:bCs/>
          <w:u w:val="single"/>
        </w:rPr>
        <w:t>.</w:t>
      </w:r>
      <w:r>
        <w:t xml:space="preserve"> Algo que también afecta a los planes de pensiones privados que comparten esta </w:t>
      </w:r>
      <w:r w:rsidRPr="002D19C4">
        <w:t xml:space="preserve">característica </w:t>
      </w:r>
      <w:r w:rsidRPr="00580594">
        <w:t>(</w:t>
      </w:r>
      <w:hyperlink r:id="rId541" w:tgtFrame="_blank" w:history="1">
        <w:r w:rsidRPr="00580594">
          <w:rPr>
            <w:rStyle w:val="Hipervnculo"/>
            <w:rFonts w:eastAsiaTheme="majorEastAsia"/>
            <w:iCs/>
            <w:color w:val="auto"/>
          </w:rPr>
          <w:t>312.000 millones de libras es el palme no realizado en UK</w:t>
        </w:r>
      </w:hyperlink>
      <w:r w:rsidRPr="002D19C4">
        <w:t xml:space="preserve">). Un panorama preocupante sobre el que, hasta ahora, actuaban solo los gobiernos. Con mayor o menor originalidad, eso sí. </w:t>
      </w:r>
    </w:p>
    <w:p w:rsidR="002D19C4" w:rsidRPr="00286B12" w:rsidRDefault="002D19C4" w:rsidP="00550638">
      <w:pPr>
        <w:pStyle w:val="NormalWeb"/>
        <w:jc w:val="both"/>
        <w:rPr>
          <w:color w:val="FF0000"/>
          <w:u w:val="single"/>
        </w:rPr>
      </w:pPr>
      <w:r w:rsidRPr="002D19C4">
        <w:t xml:space="preserve">Por ejemplo, más allá de regular edades o niveles de percepción </w:t>
      </w:r>
      <w:hyperlink r:id="rId542" w:tgtFrame="_blank" w:history="1">
        <w:r w:rsidRPr="00580594">
          <w:rPr>
            <w:rStyle w:val="Hipervnculo"/>
            <w:rFonts w:eastAsiaTheme="majorEastAsia"/>
            <w:iCs/>
            <w:color w:val="auto"/>
          </w:rPr>
          <w:t>como sugieren distintos organismos internacionales</w:t>
        </w:r>
      </w:hyperlink>
      <w:r w:rsidRPr="00580594">
        <w:t>,</w:t>
      </w:r>
      <w:r w:rsidRPr="002D19C4">
        <w:t xml:space="preserve"> el gabinete conservador de </w:t>
      </w:r>
      <w:r w:rsidRPr="00286B12">
        <w:rPr>
          <w:bCs/>
        </w:rPr>
        <w:t>David Cameron</w:t>
      </w:r>
      <w:r w:rsidRPr="002D19C4">
        <w:rPr>
          <w:b/>
          <w:bCs/>
        </w:rPr>
        <w:t xml:space="preserve">, </w:t>
      </w:r>
      <w:r w:rsidRPr="002D19C4">
        <w:t xml:space="preserve">en su presentación de presupuestos allá por el pasado mes de marzo, decidió </w:t>
      </w:r>
      <w:r w:rsidRPr="00286B12">
        <w:rPr>
          <w:bCs/>
        </w:rPr>
        <w:t>congelar en algunos casos y minorar en otros</w:t>
      </w:r>
      <w:r w:rsidRPr="002D19C4">
        <w:rPr>
          <w:b/>
          <w:bCs/>
        </w:rPr>
        <w:t xml:space="preserve"> </w:t>
      </w:r>
      <w:hyperlink r:id="rId543" w:history="1">
        <w:r w:rsidRPr="00580594">
          <w:rPr>
            <w:rStyle w:val="Hipervnculo"/>
            <w:rFonts w:eastAsiaTheme="majorEastAsia"/>
            <w:iCs/>
            <w:color w:val="auto"/>
          </w:rPr>
          <w:t>los mínimos exentos de tributación de las rentas de los pensionistas</w:t>
        </w:r>
      </w:hyperlink>
      <w:r w:rsidRPr="002D19C4">
        <w:rPr>
          <w:b/>
          <w:bCs/>
        </w:rPr>
        <w:t xml:space="preserve"> </w:t>
      </w:r>
      <w:r w:rsidRPr="00286B12">
        <w:rPr>
          <w:bCs/>
        </w:rPr>
        <w:t>británicos</w:t>
      </w:r>
      <w:r w:rsidRPr="00286B12">
        <w:t>,</w:t>
      </w:r>
      <w:r w:rsidRPr="002D19C4">
        <w:t xml:space="preserve"> eliminando la segmentación por razón de la edad y manteniendo, sin embargo, las reducciones en función de la renta. Una medida -que gira más sobre la tributación que sobre la percepción- con la que </w:t>
      </w:r>
      <w:r w:rsidRPr="00286B12">
        <w:rPr>
          <w:bCs/>
        </w:rPr>
        <w:t>espera ahorrar 1.000 millones de libras al año a partir de 2015</w:t>
      </w:r>
      <w:r w:rsidRPr="00286B12">
        <w:t>,</w:t>
      </w:r>
      <w:r w:rsidRPr="002D19C4">
        <w:t xml:space="preserve"> esto es: unos 1.250 millones de euros anuales. La propuesta ha generado no poca controversia ya que </w:t>
      </w:r>
      <w:r>
        <w:t>viene acompañada del anuncio de una disminución de los tipos marginales para las rentas más altas del 50% al 45% bajo el argumento de que desincentiva la actividad,</w:t>
      </w:r>
      <w:r>
        <w:rPr>
          <w:i/>
          <w:iCs/>
        </w:rPr>
        <w:t xml:space="preserve"> </w:t>
      </w:r>
      <w:r w:rsidR="00580594">
        <w:rPr>
          <w:iCs/>
        </w:rPr>
        <w:t>“</w:t>
      </w:r>
      <w:r w:rsidRPr="00580594">
        <w:rPr>
          <w:iCs/>
        </w:rPr>
        <w:t>Laffer dixit</w:t>
      </w:r>
      <w:r w:rsidR="00580594">
        <w:rPr>
          <w:iCs/>
        </w:rPr>
        <w:t>”</w:t>
      </w:r>
      <w:r>
        <w:t xml:space="preserve">. Una justificación objetiva que, sin embargo, deviene falaz en la medida en que no traslada el cambio al resto de la escala del tributo. </w:t>
      </w:r>
      <w:r w:rsidRPr="0032418C">
        <w:rPr>
          <w:color w:val="FF0000"/>
          <w:u w:val="single"/>
        </w:rPr>
        <w:t xml:space="preserve">Sea como fuere, </w:t>
      </w:r>
      <w:r w:rsidRPr="00286B12">
        <w:rPr>
          <w:bCs/>
          <w:color w:val="FF0000"/>
          <w:u w:val="single"/>
        </w:rPr>
        <w:t>primacía del contribuyente actual frente al pasado</w:t>
      </w:r>
      <w:r w:rsidRPr="00286B12">
        <w:rPr>
          <w:color w:val="FF0000"/>
          <w:u w:val="single"/>
        </w:rPr>
        <w:t>.</w:t>
      </w:r>
    </w:p>
    <w:p w:rsidR="002D19C4" w:rsidRPr="00580594" w:rsidRDefault="002D19C4" w:rsidP="00550638">
      <w:pPr>
        <w:pStyle w:val="NormalWeb"/>
        <w:jc w:val="both"/>
      </w:pPr>
      <w:r>
        <w:lastRenderedPageBreak/>
        <w:t xml:space="preserve">Sin embargo, en Estados Unidos se acaba de producir un salto cualitativo brutal. Apenas ha tenido repercusión lo ocurrido en California, en los condados de San José y San Diego en concreto. Allí el pasado cinco de junio se </w:t>
      </w:r>
      <w:r w:rsidRPr="00286B12">
        <w:rPr>
          <w:bCs/>
        </w:rPr>
        <w:t>sometió a referéndum ciudadano un</w:t>
      </w:r>
      <w:r>
        <w:rPr>
          <w:b/>
          <w:bCs/>
        </w:rPr>
        <w:t xml:space="preserve"> </w:t>
      </w:r>
      <w:hyperlink r:id="rId544" w:history="1">
        <w:r w:rsidRPr="00580594">
          <w:rPr>
            <w:rStyle w:val="Hipervnculo"/>
            <w:rFonts w:eastAsiaTheme="majorEastAsia"/>
            <w:iCs/>
            <w:color w:val="auto"/>
          </w:rPr>
          <w:t>recorte de las prestaciones a cobrar por los funcionarios públicos llegada la hora de su jubilación</w:t>
        </w:r>
      </w:hyperlink>
      <w:r w:rsidRPr="00580594">
        <w:rPr>
          <w:i/>
        </w:rPr>
        <w:t>,</w:t>
      </w:r>
      <w:r>
        <w:t xml:space="preserve"> tanto las consolidadas como las futuras. El ejecutivo propone y el votante dispone. Pues bien, frente a la alternativa de una subida de impuestos para afrontar el coste de los servicios locales, los habitantes de esos municipios han optado mayoritariamente por aprobar un ajuste de esta partida. Hoy por mí, mañana por mí. La aprobación se ha visto respaldada por republicanos y demócratas a lo largo del país. Pensiones congeladas, mayores aportaciones o retraso de la edad de jubilación son parte de las medidas ratificadas por la población, democracia pura. </w:t>
      </w:r>
      <w:r w:rsidRPr="00286B12">
        <w:rPr>
          <w:bCs/>
        </w:rPr>
        <w:t>También la sustitución de la gestión profesional por la personal de los fondos de pensiones</w:t>
      </w:r>
      <w:r>
        <w:t xml:space="preserve"> lo que, de generalizarse, afectará a CalPERS, una de las mayores gestoras del mundo y </w:t>
      </w:r>
      <w:hyperlink r:id="rId545" w:history="1">
        <w:r w:rsidRPr="00580594">
          <w:rPr>
            <w:rStyle w:val="Hipervnculo"/>
            <w:rFonts w:eastAsiaTheme="majorEastAsia"/>
            <w:iCs/>
            <w:color w:val="auto"/>
          </w:rPr>
          <w:t>cuyo agujero entre assets y liabilities suponía, ya en 2010, 500.000 millones de dólares</w:t>
        </w:r>
      </w:hyperlink>
      <w:r w:rsidRPr="00580594">
        <w:t>.</w:t>
      </w:r>
    </w:p>
    <w:p w:rsidR="002D19C4" w:rsidRPr="002D19C4" w:rsidRDefault="002D19C4" w:rsidP="00550638">
      <w:pPr>
        <w:pStyle w:val="NormalWeb"/>
        <w:jc w:val="both"/>
      </w:pPr>
      <w:r w:rsidRPr="002D19C4">
        <w:t xml:space="preserve">Tal y como están evolucionando los acontecimientos ahí fuera, y pronto en nuestra querida España, da la sensación de que esto </w:t>
      </w:r>
      <w:r w:rsidRPr="00286B12">
        <w:rPr>
          <w:bCs/>
        </w:rPr>
        <w:t>tiene mucho más recorrido de lo que puede parecer a primera vista, Kramer contra Kramer. Y nos lleva a un apasionante triple debate: sobre los límites del estado del bienestar</w:t>
      </w:r>
      <w:r w:rsidRPr="002D19C4">
        <w:t xml:space="preserve"> cuando este afecta al bienestar del estado, concepto de derecho f</w:t>
      </w:r>
      <w:r w:rsidR="00286B12">
        <w:t>undamental frente a derecho de “imposición”</w:t>
      </w:r>
      <w:r w:rsidRPr="002D19C4">
        <w:t xml:space="preserve">, que se sufraga con impuestos; </w:t>
      </w:r>
      <w:r w:rsidRPr="00286B12">
        <w:rPr>
          <w:bCs/>
        </w:rPr>
        <w:t>sobre la gestión eficiente de los recursos de los ciudadanos</w:t>
      </w:r>
      <w:r w:rsidRPr="002D19C4">
        <w:t xml:space="preserve"> en el ámbito administrativo si este no es capaz de garantizar el cumplimiento de sus compromisos, asignación eficiente del ahorro; y, el menos extendido de todos, </w:t>
      </w:r>
      <w:r w:rsidRPr="00286B12">
        <w:rPr>
          <w:bCs/>
        </w:rPr>
        <w:t xml:space="preserve">sobre la </w:t>
      </w:r>
      <w:hyperlink r:id="rId546" w:history="1">
        <w:r w:rsidRPr="00580594">
          <w:rPr>
            <w:rStyle w:val="Hipervnculo"/>
            <w:rFonts w:eastAsiaTheme="majorEastAsia"/>
            <w:iCs/>
            <w:color w:val="auto"/>
          </w:rPr>
          <w:t xml:space="preserve">cuestión de la justicia intergeneracional o </w:t>
        </w:r>
        <w:r w:rsidR="00494A8D" w:rsidRPr="00580594">
          <w:rPr>
            <w:rStyle w:val="Hipervnculo"/>
            <w:rFonts w:eastAsiaTheme="majorEastAsia"/>
            <w:iCs/>
            <w:color w:val="auto"/>
          </w:rPr>
          <w:t>por qué</w:t>
        </w:r>
        <w:r w:rsidRPr="00580594">
          <w:rPr>
            <w:rStyle w:val="Hipervnculo"/>
            <w:rFonts w:eastAsiaTheme="majorEastAsia"/>
            <w:iCs/>
            <w:color w:val="auto"/>
          </w:rPr>
          <w:t xml:space="preserve"> la siguiente generación ha de sostener a la anterior</w:t>
        </w:r>
      </w:hyperlink>
      <w:r w:rsidRPr="002D19C4">
        <w:rPr>
          <w:i/>
          <w:iCs/>
        </w:rPr>
        <w:t>,</w:t>
      </w:r>
      <w:r w:rsidRPr="002D19C4">
        <w:t xml:space="preserve"> rompiendo el curso natural de las cosas y condenando su futuro, frente a los que postulan que es la justa contraprestación a todo su desembolso dinerario o de conocimiento anterior (imprescindible este </w:t>
      </w:r>
      <w:hyperlink r:id="rId547" w:tgtFrame="_blank" w:history="1">
        <w:r w:rsidRPr="002D19C4">
          <w:rPr>
            <w:rStyle w:val="Hipervnculo"/>
            <w:rFonts w:eastAsiaTheme="majorEastAsia"/>
            <w:i/>
            <w:iCs/>
            <w:color w:val="auto"/>
          </w:rPr>
          <w:t>Europe´s Pension Crisis Yet to Come of Age</w:t>
        </w:r>
      </w:hyperlink>
      <w:r w:rsidRPr="002D19C4">
        <w:t xml:space="preserve"> del </w:t>
      </w:r>
      <w:r w:rsidRPr="00286B12">
        <w:rPr>
          <w:bCs/>
          <w:i/>
          <w:iCs/>
        </w:rPr>
        <w:t>Heard of the Street-WSJ</w:t>
      </w:r>
      <w:r w:rsidRPr="002D19C4">
        <w:rPr>
          <w:i/>
          <w:iCs/>
        </w:rPr>
        <w:t>, 07-06-2012</w:t>
      </w:r>
      <w:r w:rsidRPr="002D19C4">
        <w:t xml:space="preserve">, como resumen de todo lo anterior). </w:t>
      </w:r>
    </w:p>
    <w:p w:rsidR="002D19C4" w:rsidRDefault="002D19C4" w:rsidP="00550638">
      <w:pPr>
        <w:pStyle w:val="NormalWeb"/>
        <w:jc w:val="both"/>
      </w:pPr>
      <w:r>
        <w:t>Tres preguntas apasionantes que darían para tres debates apasionados. Queda en sus manos. Se abre el foro.</w:t>
      </w:r>
    </w:p>
    <w:p w:rsidR="00D41FAA" w:rsidRPr="00D41FAA" w:rsidRDefault="00D41FAA" w:rsidP="00550638">
      <w:pPr>
        <w:pStyle w:val="NormalWeb"/>
        <w:jc w:val="both"/>
        <w:rPr>
          <w:u w:val="single"/>
        </w:rPr>
      </w:pPr>
      <w:r w:rsidRPr="00D41FAA">
        <w:rPr>
          <w:u w:val="single"/>
        </w:rPr>
        <w:t>Triste, solitario y final: los abuelos como “sostén de último recurso”</w:t>
      </w:r>
      <w:r>
        <w:rPr>
          <w:u w:val="single"/>
        </w:rPr>
        <w:t xml:space="preserve"> en la crisis </w:t>
      </w:r>
    </w:p>
    <w:p w:rsidR="00F32783" w:rsidRPr="00D41FAA" w:rsidRDefault="00D41FAA" w:rsidP="00550638">
      <w:pPr>
        <w:spacing w:line="240" w:lineRule="auto"/>
        <w:jc w:val="both"/>
        <w:rPr>
          <w:rFonts w:ascii="Times New Roman" w:hAnsi="Times New Roman"/>
          <w:i/>
          <w:sz w:val="24"/>
          <w:szCs w:val="24"/>
        </w:rPr>
      </w:pPr>
      <w:r>
        <w:rPr>
          <w:rFonts w:ascii="Times New Roman" w:hAnsi="Times New Roman"/>
          <w:i/>
          <w:sz w:val="24"/>
          <w:szCs w:val="24"/>
        </w:rPr>
        <w:t>“</w:t>
      </w:r>
      <w:r w:rsidR="00F32783" w:rsidRPr="00D41FAA">
        <w:rPr>
          <w:rFonts w:ascii="Times New Roman" w:hAnsi="Times New Roman"/>
          <w:i/>
          <w:sz w:val="24"/>
          <w:szCs w:val="24"/>
        </w:rPr>
        <w:t>Como muchos abuelos en Italia, Isidoro y Antonietta Arcidiacone ofrecieron de muy buena gana ayuda a su hija Grazia y su esposo cuando estos decidieron formar una familia. Pero al final, tuvieron que hacer más de lo que esperaban</w:t>
      </w:r>
      <w:r>
        <w:rPr>
          <w:rFonts w:ascii="Times New Roman" w:hAnsi="Times New Roman"/>
          <w:i/>
          <w:sz w:val="24"/>
          <w:szCs w:val="24"/>
        </w:rPr>
        <w:t>”..</w:t>
      </w:r>
      <w:r w:rsidR="00F32783" w:rsidRPr="00D41FAA">
        <w:rPr>
          <w:rFonts w:ascii="Times New Roman" w:hAnsi="Times New Roman"/>
          <w:i/>
          <w:sz w:val="24"/>
          <w:szCs w:val="24"/>
        </w:rPr>
        <w:t>.</w:t>
      </w:r>
      <w:r>
        <w:rPr>
          <w:rFonts w:ascii="Times New Roman" w:hAnsi="Times New Roman"/>
          <w:i/>
          <w:sz w:val="24"/>
          <w:szCs w:val="24"/>
        </w:rPr>
        <w:t xml:space="preserve"> </w:t>
      </w:r>
      <w:r w:rsidRPr="00CE7382">
        <w:rPr>
          <w:rFonts w:ascii="Times New Roman" w:hAnsi="Times New Roman"/>
          <w:sz w:val="24"/>
          <w:szCs w:val="24"/>
          <w:u w:val="single"/>
        </w:rPr>
        <w:t>En la crisis europea, los abuelos salen al rescate</w:t>
      </w:r>
      <w:r>
        <w:rPr>
          <w:rFonts w:ascii="Times New Roman" w:hAnsi="Times New Roman"/>
          <w:sz w:val="24"/>
          <w:szCs w:val="24"/>
        </w:rPr>
        <w:t xml:space="preserve"> (The Wall Street Journal - </w:t>
      </w:r>
      <w:r w:rsidRPr="00CE7382">
        <w:rPr>
          <w:rFonts w:ascii="Times New Roman" w:hAnsi="Times New Roman"/>
          <w:b/>
          <w:sz w:val="24"/>
          <w:szCs w:val="24"/>
        </w:rPr>
        <w:t>22/6/12</w:t>
      </w:r>
      <w:r>
        <w:rPr>
          <w:rFonts w:ascii="Times New Roman" w:hAnsi="Times New Roman"/>
          <w:sz w:val="24"/>
          <w:szCs w:val="24"/>
        </w:rPr>
        <w:t>)</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El policía retirado de 67 años y su esposa han tenido que abrir espacio en su apartamento de una habitación en Roma para su hija y familia. Arcidiacone lleva a sus nietos al parque y al médico y su esposa les cocina.</w:t>
      </w:r>
    </w:p>
    <w:p w:rsidR="00F32783" w:rsidRPr="00D41FAA" w:rsidRDefault="00D41FAA" w:rsidP="00550638">
      <w:pPr>
        <w:spacing w:line="240" w:lineRule="auto"/>
        <w:jc w:val="both"/>
        <w:rPr>
          <w:rFonts w:ascii="Times New Roman" w:hAnsi="Times New Roman"/>
          <w:sz w:val="24"/>
          <w:szCs w:val="24"/>
        </w:rPr>
      </w:pPr>
      <w:r>
        <w:rPr>
          <w:rFonts w:ascii="Times New Roman" w:hAnsi="Times New Roman"/>
          <w:sz w:val="24"/>
          <w:szCs w:val="24"/>
        </w:rPr>
        <w:t>“</w:t>
      </w:r>
      <w:r w:rsidR="00F32783" w:rsidRPr="00D41FAA">
        <w:rPr>
          <w:rFonts w:ascii="Times New Roman" w:hAnsi="Times New Roman"/>
          <w:sz w:val="24"/>
          <w:szCs w:val="24"/>
        </w:rPr>
        <w:t>Mi mamá y mi papá han sido fundamentales. N</w:t>
      </w:r>
      <w:r>
        <w:rPr>
          <w:rFonts w:ascii="Times New Roman" w:hAnsi="Times New Roman"/>
          <w:sz w:val="24"/>
          <w:szCs w:val="24"/>
        </w:rPr>
        <w:t>o habríamos resistido sin ellos”</w:t>
      </w:r>
      <w:r w:rsidR="00F32783" w:rsidRPr="00D41FAA">
        <w:rPr>
          <w:rFonts w:ascii="Times New Roman" w:hAnsi="Times New Roman"/>
          <w:sz w:val="24"/>
          <w:szCs w:val="24"/>
        </w:rPr>
        <w:t>, dice Grazia Arcidiacone, de 36 años.</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 xml:space="preserve">Los Arcidiacone forman parte de una red de seguridad social que pocas veces hace titulares en la prensa del sur de Europa: el ejército de miembros mayores de una familia que está ayudando a las generaciones más jóvenes a subsistir durante la crisis económica que azota la región. La mitad de los abuelos en España cuida a sus nietos a </w:t>
      </w:r>
      <w:r w:rsidRPr="00D41FAA">
        <w:rPr>
          <w:rFonts w:ascii="Times New Roman" w:hAnsi="Times New Roman"/>
          <w:sz w:val="24"/>
          <w:szCs w:val="24"/>
        </w:rPr>
        <w:lastRenderedPageBreak/>
        <w:t>diario, y 68% de todos los niños menores de 10 años en Italia son cuidados por sus nonos cuando no están en el colegio o con sus padres, según cifras oficiales.</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No se trata solo de hacer las veces de niñeros. El número de adultos de entre 25 y 34 años que viven con sus padres en Italia está aumentando (en 2011 fue 42% frente a 33% en 1994) y la mayoría dice que no puede darse el luj</w:t>
      </w:r>
      <w:r w:rsidR="00D41FAA">
        <w:rPr>
          <w:rFonts w:ascii="Times New Roman" w:hAnsi="Times New Roman"/>
          <w:sz w:val="24"/>
          <w:szCs w:val="24"/>
        </w:rPr>
        <w:t>o de vivir independientemente. “Se está volviendo una necesidad”</w:t>
      </w:r>
      <w:r w:rsidRPr="00D41FAA">
        <w:rPr>
          <w:rFonts w:ascii="Times New Roman" w:hAnsi="Times New Roman"/>
          <w:sz w:val="24"/>
          <w:szCs w:val="24"/>
        </w:rPr>
        <w:t>, dice Linda Laura Sabbadini, directora de la agencia de estadísticas de Italia.</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La tendencia no solo es cultural, dice Katherine Newman, experta en la clase pobre trabajadora y en movilidad económica de la Universidad Johns Hopkins.</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En tiempos modernos, los lazos familiares han compensado los sistemas de seguridad social que no son extensos o eficientes en su misión de ayudar a la población en general, como ha sido el caso en América Latina. Pero en Europa, especialmente al norte, los lazos de integración son mucho más débiles debido precisamente a que los países invierten mucho más en servicios sociales y las personas no tienen necesidad de acudir a sus familias por ayuda.</w:t>
      </w:r>
    </w:p>
    <w:p w:rsid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La historia es diferente en el sur, en países como Italia y España, donde los padres de los adultos de entre 20 y 30 tantos años pueden ayudar principalmente porque las mujeres de generaciones mayores raramente tuvieron empleos. Cuando trabajaron, renunciaron a una edad joven gracias a generosos paquetes de jubilación. En 2010, apenas 36% de los ciudadanos entre 55 y 64 años trabajaban en Italia, frente a 70% en Suecia y más de 60% en Estados Unidos, según la Organización para la Cooperación y el Desarrollo Económico (OCDE).</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Pero a medida que los gobiernos endeudados pusieron un límite al gasto en pensiones, las personas se vieron obligadas a trabajar por más tiempo. Esto significa que los mayores dentro de una familia están menos disponibles para ayudar.</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Los adultos jóvenes también dependían (financiera y físicamente) de sus padres gracias a leyes laborales que prácticamente les garantizaban empleos vitalicios. Pero ahora tanto Italia como España están desmantelando esas normas por lo que un solo proveedor no necesariamente podrá mantener a múltiples generaciones. Este año, las cabezas de familia que están desempleadas llegaron a un nivel histórico de 12,4% en España.</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 xml:space="preserve">La nueva legislación tiene como fin darles más oportunidades a los jóvenes. Pero también significa que los trabajadores deberán dejar su círculo familiar para encontrar empleos, aflojando esos fuertes lazos generacionales de los que dependen los jóvenes bajo presión en Europa. Es un cambio radical en una región donde la gente usualmente se rehúsa a mudarse incluso por oportunidades de desarrollo. </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La ayuda familiar cobra muchas formas en el sur de Europa. A los padres por lo general se les mantiene y cuida en casa, no en ancianatos. Pero pocas áreas de asistencia intrageneracional son tan atesoradas como el cuidado de los niños. Si tienen la opción, los padres prefieren dejar a sus hijos con los abuelos que en una guardería o con niñeras.</w:t>
      </w:r>
    </w:p>
    <w:p w:rsidR="00F32783" w:rsidRPr="00D41FAA" w:rsidRDefault="00D41FAA" w:rsidP="00550638">
      <w:pPr>
        <w:spacing w:line="240" w:lineRule="auto"/>
        <w:jc w:val="both"/>
        <w:rPr>
          <w:rFonts w:ascii="Times New Roman" w:hAnsi="Times New Roman"/>
          <w:sz w:val="24"/>
          <w:szCs w:val="24"/>
        </w:rPr>
      </w:pPr>
      <w:r>
        <w:rPr>
          <w:rFonts w:ascii="Times New Roman" w:hAnsi="Times New Roman"/>
          <w:sz w:val="24"/>
          <w:szCs w:val="24"/>
        </w:rPr>
        <w:t>“</w:t>
      </w:r>
      <w:r w:rsidR="00F32783" w:rsidRPr="00D41FAA">
        <w:rPr>
          <w:rFonts w:ascii="Times New Roman" w:hAnsi="Times New Roman"/>
          <w:sz w:val="24"/>
          <w:szCs w:val="24"/>
        </w:rPr>
        <w:t>Los papás son la mejor opción, pero l</w:t>
      </w:r>
      <w:r>
        <w:rPr>
          <w:rFonts w:ascii="Times New Roman" w:hAnsi="Times New Roman"/>
          <w:sz w:val="24"/>
          <w:szCs w:val="24"/>
        </w:rPr>
        <w:t>os abuelos son la segunda mejor”</w:t>
      </w:r>
      <w:r w:rsidR="00F32783" w:rsidRPr="00D41FAA">
        <w:rPr>
          <w:rFonts w:ascii="Times New Roman" w:hAnsi="Times New Roman"/>
          <w:sz w:val="24"/>
          <w:szCs w:val="24"/>
        </w:rPr>
        <w:t xml:space="preserve"> alternativa, afirma Teresa Jimeno, una profesora de 44 años en Madrid, que se apoyó en sus padres para el cuidado de sus dos hijos antes de que entraran al colegio a los 4 años. Cuando eran más grandes, los abuelos llegaban a la casa mientras ella se alistaba para el trabajo </w:t>
      </w:r>
      <w:r w:rsidR="00F32783" w:rsidRPr="00D41FAA">
        <w:rPr>
          <w:rFonts w:ascii="Times New Roman" w:hAnsi="Times New Roman"/>
          <w:sz w:val="24"/>
          <w:szCs w:val="24"/>
        </w:rPr>
        <w:lastRenderedPageBreak/>
        <w:t xml:space="preserve">y les hacían el desayuno antes de llevarlos al colegio. </w:t>
      </w:r>
      <w:r>
        <w:rPr>
          <w:rFonts w:ascii="Times New Roman" w:hAnsi="Times New Roman"/>
          <w:sz w:val="24"/>
          <w:szCs w:val="24"/>
        </w:rPr>
        <w:t>“</w:t>
      </w:r>
      <w:r w:rsidR="00F32783" w:rsidRPr="00D41FAA">
        <w:rPr>
          <w:rFonts w:ascii="Times New Roman" w:hAnsi="Times New Roman"/>
          <w:sz w:val="24"/>
          <w:szCs w:val="24"/>
        </w:rPr>
        <w:t>Ni siquiera me atrevo a calc</w:t>
      </w:r>
      <w:r>
        <w:rPr>
          <w:rFonts w:ascii="Times New Roman" w:hAnsi="Times New Roman"/>
          <w:sz w:val="24"/>
          <w:szCs w:val="24"/>
        </w:rPr>
        <w:t>ular cuánto dinero me ahorraron”</w:t>
      </w:r>
      <w:r w:rsidR="00F32783" w:rsidRPr="00D41FAA">
        <w:rPr>
          <w:rFonts w:ascii="Times New Roman" w:hAnsi="Times New Roman"/>
          <w:sz w:val="24"/>
          <w:szCs w:val="24"/>
        </w:rPr>
        <w:t>, dice.</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La preferencia cultural del sur de Europa por el cuidado de los abuelos significa que los políticos y las empresas tienen pocos incentivos para ofrecer las guarderías y flexibilidad laboral que ha permitido que las madres del norte de Europa trabajen, dice Daniela Del Boca, profesora de economía en el Collegio Carlo Alberto, en la Universidad de Turín y que estudia los efectos de las estructuras familiares sobre la movilidad y el crecimiento. Como porcentaje del Producto Interno Bruto, Italia y España gastan menos de la mitad en servicios de cuidado temprano y preescolar que Francia, el Reino Unido, Dinamarca o Suecia, dice la OCDE.</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La disponibilidad de una red estatal de cuidado infantil es una de las razones clave para que 72% de toda la población femenina en Dinamarca y 60% en Francia esté empleada, comparado con 53% en España y 46% en Italia.</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El vacío creado por la falta de servicios de guarderías pagados por el Estado ha sido llenado por los abuelos, lo que a su vez ha contribuido a un aumento del desempleo entre las mujeres en los últimos 20 años.</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Gabriella Garuffi, de 66 años, dejó su empleo en el sector público con todos los beneficios pensionales cuando tenía 37 años, gracias a una antigua ley italiana, ahora desaparecida, que les permitía a las mujeres con hijos jubilarse después de trabajar apenas 14 años y medio.</w:t>
      </w:r>
    </w:p>
    <w:p w:rsidR="00F32783" w:rsidRPr="00D41FAA" w:rsidRDefault="00D41FAA" w:rsidP="00550638">
      <w:pPr>
        <w:spacing w:line="240" w:lineRule="auto"/>
        <w:jc w:val="both"/>
        <w:rPr>
          <w:rFonts w:ascii="Times New Roman" w:hAnsi="Times New Roman"/>
          <w:sz w:val="24"/>
          <w:szCs w:val="24"/>
        </w:rPr>
      </w:pPr>
      <w:r>
        <w:rPr>
          <w:rFonts w:ascii="Times New Roman" w:hAnsi="Times New Roman"/>
          <w:sz w:val="24"/>
          <w:szCs w:val="24"/>
        </w:rPr>
        <w:t>La llamada “pensión bebé”</w:t>
      </w:r>
      <w:r w:rsidR="00F32783" w:rsidRPr="00D41FAA">
        <w:rPr>
          <w:rFonts w:ascii="Times New Roman" w:hAnsi="Times New Roman"/>
          <w:sz w:val="24"/>
          <w:szCs w:val="24"/>
        </w:rPr>
        <w:t xml:space="preserve"> le permitió a Garuffi criar a su hija Cecilia. Cuando en 2008 nació su nieta, Garuffi y su esposo se dedicaron a cuidarla a diario. Esta ayuda le permitió a Cecilia, hoy de 38 años, trabajar como abogada de derecho familiar en Roma, mientras su esposo laboraba en Milán. </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Este escenario es poco probable en el futuro. Las reglas de la Unión Europea requieren que los estados miembros eleven sus edades de retiro con el fin de equilibrar un sistema que significa una carga cada vez más pesada para la población joven. La edad de jubilación en Italia será de 67 años para las mujeres en 2022.</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Entre los que no estarán disponibles para suministrar apoyo familiar están los padres de Giulia Voci, una graduada de economía de 26 años de la Universidad de Roma. Voci recibe ayuda de sus padres para pagar la niñera de su hijo Tommaso de 18 meses, que asciende a US$</w:t>
      </w:r>
      <w:r w:rsidR="00306A5D">
        <w:rPr>
          <w:rFonts w:ascii="Times New Roman" w:hAnsi="Times New Roman"/>
          <w:sz w:val="24"/>
          <w:szCs w:val="24"/>
        </w:rPr>
        <w:t xml:space="preserve"> </w:t>
      </w:r>
      <w:r w:rsidRPr="00D41FAA">
        <w:rPr>
          <w:rFonts w:ascii="Times New Roman" w:hAnsi="Times New Roman"/>
          <w:sz w:val="24"/>
          <w:szCs w:val="24"/>
        </w:rPr>
        <w:t>620 al mes y también acude a ellos cuando la niñera no está disponible. La ayuda es primordial porque Voci gasta su sueldo de US$</w:t>
      </w:r>
      <w:r w:rsidR="00306A5D">
        <w:rPr>
          <w:rFonts w:ascii="Times New Roman" w:hAnsi="Times New Roman"/>
          <w:sz w:val="24"/>
          <w:szCs w:val="24"/>
        </w:rPr>
        <w:t xml:space="preserve"> </w:t>
      </w:r>
      <w:r w:rsidRPr="00D41FAA">
        <w:rPr>
          <w:rFonts w:ascii="Times New Roman" w:hAnsi="Times New Roman"/>
          <w:sz w:val="24"/>
          <w:szCs w:val="24"/>
        </w:rPr>
        <w:t>900 al mes que gana en una empresa de tarjetas de regalo en gastos de la casa que comparte con su pareja.</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 xml:space="preserve">Los padres de Voci, una psiquiatra y un funcionario del Ministerio de Finanzas, los dos de 56 años, enfrentan vidas laborales más largas. Hasta el año pasado, la madre se habría podido retirar en cuatro años, pero ahora es probable que </w:t>
      </w:r>
      <w:r w:rsidR="00D41FAA">
        <w:rPr>
          <w:rFonts w:ascii="Times New Roman" w:hAnsi="Times New Roman"/>
          <w:sz w:val="24"/>
          <w:szCs w:val="24"/>
        </w:rPr>
        <w:t>tenga que esperar otra década. “</w:t>
      </w:r>
      <w:r w:rsidRPr="00D41FAA">
        <w:rPr>
          <w:rFonts w:ascii="Times New Roman" w:hAnsi="Times New Roman"/>
          <w:sz w:val="24"/>
          <w:szCs w:val="24"/>
        </w:rPr>
        <w:t>Tengo suerte porque están ah</w:t>
      </w:r>
      <w:r w:rsidR="002D19C4">
        <w:rPr>
          <w:rFonts w:ascii="Times New Roman" w:hAnsi="Times New Roman"/>
          <w:sz w:val="24"/>
          <w:szCs w:val="24"/>
        </w:rPr>
        <w:t>í para ayudarme financieramente”, dice Voci. “</w:t>
      </w:r>
      <w:r w:rsidRPr="00D41FAA">
        <w:rPr>
          <w:rFonts w:ascii="Times New Roman" w:hAnsi="Times New Roman"/>
          <w:sz w:val="24"/>
          <w:szCs w:val="24"/>
        </w:rPr>
        <w:t>Pero van a estar ocupados trabajando por mucho</w:t>
      </w:r>
      <w:r w:rsidR="002D19C4">
        <w:rPr>
          <w:rFonts w:ascii="Times New Roman" w:hAnsi="Times New Roman"/>
          <w:sz w:val="24"/>
          <w:szCs w:val="24"/>
        </w:rPr>
        <w:t>s años más”</w:t>
      </w:r>
      <w:r w:rsidRPr="00D41FAA">
        <w:rPr>
          <w:rFonts w:ascii="Times New Roman" w:hAnsi="Times New Roman"/>
          <w:sz w:val="24"/>
          <w:szCs w:val="24"/>
        </w:rPr>
        <w:t>.</w:t>
      </w:r>
    </w:p>
    <w:p w:rsidR="00F32783" w:rsidRPr="00D41FAA" w:rsidRDefault="00F32783" w:rsidP="00550638">
      <w:pPr>
        <w:spacing w:line="240" w:lineRule="auto"/>
        <w:jc w:val="both"/>
        <w:rPr>
          <w:rFonts w:ascii="Times New Roman" w:hAnsi="Times New Roman"/>
          <w:sz w:val="24"/>
          <w:szCs w:val="24"/>
        </w:rPr>
      </w:pPr>
      <w:r w:rsidRPr="00D41FAA">
        <w:rPr>
          <w:rFonts w:ascii="Times New Roman" w:hAnsi="Times New Roman"/>
          <w:sz w:val="24"/>
          <w:szCs w:val="24"/>
        </w:rPr>
        <w:t xml:space="preserve">En última instancia, eliminar la dependencia de los habitantes del sur de Europa de sus familias puede resultar positivo, dice Alberto Alesina, un economista italiano de la Universidad de Harvard. Alesina dice que la estrecha dependencia de la familia es una de las razones del estancamiento del crecimiento en Italia en la última década porque </w:t>
      </w:r>
      <w:r w:rsidRPr="00D41FAA">
        <w:rPr>
          <w:rFonts w:ascii="Times New Roman" w:hAnsi="Times New Roman"/>
          <w:sz w:val="24"/>
          <w:szCs w:val="24"/>
        </w:rPr>
        <w:lastRenderedPageBreak/>
        <w:t>siempre ha impedido que los trabajadores se muden a donde están los mejores trabajos y salarios.</w:t>
      </w:r>
    </w:p>
    <w:p w:rsidR="00F32783" w:rsidRDefault="002D19C4" w:rsidP="00550638">
      <w:pPr>
        <w:spacing w:line="240" w:lineRule="auto"/>
        <w:jc w:val="both"/>
        <w:rPr>
          <w:rFonts w:ascii="Times New Roman" w:hAnsi="Times New Roman"/>
          <w:sz w:val="24"/>
          <w:szCs w:val="24"/>
        </w:rPr>
      </w:pPr>
      <w:r>
        <w:rPr>
          <w:rFonts w:ascii="Times New Roman" w:hAnsi="Times New Roman"/>
          <w:sz w:val="24"/>
          <w:szCs w:val="24"/>
        </w:rPr>
        <w:t>“</w:t>
      </w:r>
      <w:r w:rsidR="00F32783" w:rsidRPr="00D41FAA">
        <w:rPr>
          <w:rFonts w:ascii="Times New Roman" w:hAnsi="Times New Roman"/>
          <w:sz w:val="24"/>
          <w:szCs w:val="24"/>
        </w:rPr>
        <w:t xml:space="preserve">La familia ha ayudado a los adultos jóvenes a resistir la crisis, pero se ha convertido en un obstáculo </w:t>
      </w:r>
      <w:r>
        <w:rPr>
          <w:rFonts w:ascii="Times New Roman" w:hAnsi="Times New Roman"/>
          <w:sz w:val="24"/>
          <w:szCs w:val="24"/>
        </w:rPr>
        <w:t>de cara al futuro a largo plazo”</w:t>
      </w:r>
      <w:r w:rsidR="00F32783" w:rsidRPr="00D41FAA">
        <w:rPr>
          <w:rFonts w:ascii="Times New Roman" w:hAnsi="Times New Roman"/>
          <w:sz w:val="24"/>
          <w:szCs w:val="24"/>
        </w:rPr>
        <w:t>, dice Andrea Ichino, profesor de economía de la Universidad de Bolonia quien coescribió un libro con Alesina titulado L'Italia fatta in casa (La Italia hecha en casa).</w:t>
      </w:r>
    </w:p>
    <w:p w:rsidR="002D19C4" w:rsidRPr="002D19C4" w:rsidRDefault="002D19C4" w:rsidP="00550638">
      <w:pPr>
        <w:spacing w:line="240" w:lineRule="auto"/>
        <w:jc w:val="both"/>
        <w:rPr>
          <w:rFonts w:ascii="Times New Roman" w:hAnsi="Times New Roman"/>
          <w:sz w:val="24"/>
          <w:szCs w:val="24"/>
          <w:u w:val="single"/>
        </w:rPr>
      </w:pPr>
      <w:r w:rsidRPr="002D19C4">
        <w:rPr>
          <w:rFonts w:ascii="Times New Roman" w:hAnsi="Times New Roman"/>
          <w:sz w:val="24"/>
          <w:szCs w:val="24"/>
          <w:u w:val="single"/>
        </w:rPr>
        <w:t>Los abuelos “socorristas”: más de la mitad</w:t>
      </w:r>
      <w:r w:rsidR="004B09EE">
        <w:rPr>
          <w:rFonts w:ascii="Times New Roman" w:hAnsi="Times New Roman"/>
          <w:sz w:val="24"/>
          <w:szCs w:val="24"/>
          <w:u w:val="single"/>
        </w:rPr>
        <w:t>,</w:t>
      </w:r>
      <w:r w:rsidRPr="002D19C4">
        <w:rPr>
          <w:rFonts w:ascii="Times New Roman" w:hAnsi="Times New Roman"/>
          <w:sz w:val="24"/>
          <w:szCs w:val="24"/>
          <w:u w:val="single"/>
        </w:rPr>
        <w:t xml:space="preserve"> cuida a sus nietos casi todos los días</w:t>
      </w:r>
    </w:p>
    <w:p w:rsidR="00C9494A" w:rsidRPr="00A37057" w:rsidRDefault="00A37057" w:rsidP="00550638">
      <w:pPr>
        <w:spacing w:line="240" w:lineRule="auto"/>
        <w:jc w:val="both"/>
        <w:rPr>
          <w:rFonts w:ascii="Times New Roman" w:hAnsi="Times New Roman"/>
          <w:sz w:val="24"/>
          <w:szCs w:val="24"/>
        </w:rPr>
      </w:pPr>
      <w:r>
        <w:rPr>
          <w:rFonts w:ascii="Times New Roman" w:hAnsi="Times New Roman"/>
          <w:i/>
          <w:sz w:val="24"/>
          <w:szCs w:val="24"/>
        </w:rPr>
        <w:t>“</w:t>
      </w:r>
      <w:r w:rsidR="00C9494A" w:rsidRPr="00A37057">
        <w:rPr>
          <w:rFonts w:ascii="Times New Roman" w:hAnsi="Times New Roman"/>
          <w:i/>
          <w:sz w:val="24"/>
          <w:szCs w:val="24"/>
        </w:rPr>
        <w:t>“Los abuelos se han convertido en el eje económico familiar al ayudar a sus hijos a afrontar el sostenimiento monetario y educar a los nietos”. Así lo manifestó ayer la Confederación Española de Organizaciones de Mayores (Ceoma) con motivo del Día de los Abuelos, una fiesta, promovida por la ONG Mensajeros de la paz desde 1998, que coincide con las onomásticas de San Joaquín y Santa Ana, padres de la Virgen María y, por tanto, abuelos del Niño Jesús</w:t>
      </w:r>
      <w:r>
        <w:rPr>
          <w:rFonts w:ascii="Times New Roman" w:hAnsi="Times New Roman"/>
          <w:i/>
          <w:sz w:val="24"/>
          <w:szCs w:val="24"/>
        </w:rPr>
        <w:t>”..</w:t>
      </w:r>
      <w:r w:rsidR="00C9494A" w:rsidRPr="00A37057">
        <w:rPr>
          <w:rFonts w:ascii="Times New Roman" w:hAnsi="Times New Roman"/>
          <w:i/>
          <w:sz w:val="24"/>
          <w:szCs w:val="24"/>
        </w:rPr>
        <w:t xml:space="preserve">. </w:t>
      </w:r>
      <w:r w:rsidRPr="0035368A">
        <w:rPr>
          <w:rFonts w:ascii="Times New Roman" w:hAnsi="Times New Roman"/>
          <w:sz w:val="24"/>
          <w:szCs w:val="24"/>
          <w:u w:val="single"/>
        </w:rPr>
        <w:t>Los abuelos, fundamentales para la educación de sus nietos</w:t>
      </w:r>
      <w:r>
        <w:rPr>
          <w:rFonts w:ascii="Times New Roman" w:hAnsi="Times New Roman"/>
          <w:sz w:val="24"/>
          <w:szCs w:val="24"/>
        </w:rPr>
        <w:t xml:space="preserve"> (Gaceta.es - </w:t>
      </w:r>
      <w:r w:rsidRPr="0035368A">
        <w:rPr>
          <w:rFonts w:ascii="Times New Roman" w:hAnsi="Times New Roman"/>
          <w:b/>
          <w:sz w:val="24"/>
          <w:szCs w:val="24"/>
        </w:rPr>
        <w:t>27/7/12</w:t>
      </w:r>
      <w:r>
        <w:rPr>
          <w:rFonts w:ascii="Times New Roman" w:hAnsi="Times New Roman"/>
          <w:sz w:val="24"/>
          <w:szCs w:val="24"/>
        </w:rPr>
        <w:t>)</w:t>
      </w:r>
      <w:r w:rsidRPr="0035368A">
        <w:rPr>
          <w:rFonts w:ascii="Times New Roman" w:hAnsi="Times New Roman"/>
          <w:sz w:val="24"/>
          <w:szCs w:val="24"/>
        </w:rPr>
        <w:t xml:space="preserve"> </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Según datos del Imserso, más de un 50% de los abuelos cuidan a sus nietos casi todos los días, y el 45% casi todas las semanas. Los abuelos comienzan a atender a los nietos con más frecuencia que las abuelas, pero las abuelas los cuidan más tiempo, 6,2 horas al día las mujeres por 5,3 horas los hombres.</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 xml:space="preserve">Ceoma reivindicó el papel de los abuelos en la familia y destacó que las relaciones intergeneracionales son “imprescindibles” en una sociedad “cambiante”, donde el ritmo de trabajo “invade” la vida cotidiana. Además, el presidente de la confederación, José Luis Méler, subrayó que el rol de los abuelos ha cambiado “estrepitosamente” y que, para muchos, el cuidado de los nietos se ha convertido en una obligación. Declaró que los abuelos son “más que una guardería o colegio”, ya que son un “eficaz complemento” de la tarea educativa de los padres y contribuyen a reforzar lazos familiares y redes de apoyo y ayuda mutua entre los miembros de la familia. </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En este mismo sentido se pronunció el coordinador del Proyecto Madurez Vital de la Ceoma, José de las Heras, que indicó que los abuelos españoles se han volcado en la familia dejando de lado sus propias aficiones debido a la crisis económica. Por ello, lamentó “el egoísmo” de la sociedad actual que, a su juicio, “exige demasiado” a los abuelos e insistió en la importancia de que los mayores puedan recuperar su “papel secundario” frente a “las tareas obligatorias” y dedicarse a sus propias aficiones.</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No obstante, una encuesta realizada por Imaginarium entre los 100.000 abuelos que son socios del Club Imaginar</w:t>
      </w:r>
      <w:r w:rsidR="00A37057">
        <w:rPr>
          <w:rFonts w:ascii="Times New Roman" w:hAnsi="Times New Roman"/>
          <w:sz w:val="24"/>
          <w:szCs w:val="24"/>
        </w:rPr>
        <w:t xml:space="preserve">ium, presentada el 26/7 </w:t>
      </w:r>
      <w:r w:rsidRPr="00A37057">
        <w:rPr>
          <w:rFonts w:ascii="Times New Roman" w:hAnsi="Times New Roman"/>
          <w:sz w:val="24"/>
          <w:szCs w:val="24"/>
        </w:rPr>
        <w:t>por Natalia Chueca, directora de marketing de esta compañía, muestra que aunque hay una frecuencia de relación muy alta entre abuelos y nietos, ya que el 40% comparte con los niños una media de entre cuatro y siete días a la semana, sólo a un 2% le produce estrés hacerse a cargo de ellos y casi el 62% disfruta más de esta etapa que cuando fueron padres.</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 xml:space="preserve"> El estudio revela también que los abuelos españoles tienen una media de dos nietos y que el 66% vive en la misma ciudad que ellos.</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 xml:space="preserve">Un 53% afirma jugar más de lo que hacía con sus hijos y casi un 20% dice que emplea el mismo tiempo. Asimismo, declaran que están disfrutando y aprendiendo mucho de la mano de sus nietos. Natalia Chueca resaltó que “hay una relación de diversión y de aprendizaje mutuo” y que “los abuelos están volviendo a recuperar las ganas de jugar </w:t>
      </w:r>
      <w:r w:rsidRPr="00A37057">
        <w:rPr>
          <w:rFonts w:ascii="Times New Roman" w:hAnsi="Times New Roman"/>
          <w:sz w:val="24"/>
          <w:szCs w:val="24"/>
        </w:rPr>
        <w:lastRenderedPageBreak/>
        <w:t xml:space="preserve">que quizás durante unos años de su vida estuvieron más apartadas por las obligaciones del día a día”. </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 xml:space="preserve">El estudio además refleja que la línea educativa la marcan los padres. El 51% de los abuelos suele coincidir plenamente en las decisiones tomadas por los padres y un porcentaje de casi el 40% afirma que en caso de duda siempre se decantan por seguir la opinión de los padres. Para Chueca este hecho “permite mantener esa relación de complicidad entre los nietos y los abuelos”.  </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 xml:space="preserve">Otro aspecto curioso es que los abuelos siempre tienen detalles con los nietos. El 48% asegura tenerlo cada vez que visita a sus nieto, “lo que demuestra la ilusión con la que los abuelos reciben a los niños y con la que se encuentran mutuamente”. </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 xml:space="preserve">Los abuelos manifiestan que la relación con sus nietos es, sobre todo, de cariño (24,6%), diversión (23,3%) y de aprendizaje (18%). “En el sentido del aprendizaje también hay un aspecto interesante que es cómo ese aprendizaje es mutuo, tanto de las experiencias que pueden tener los niños de lo que los abuelos les explican </w:t>
      </w:r>
      <w:r w:rsidR="00587466" w:rsidRPr="00A37057">
        <w:rPr>
          <w:rFonts w:ascii="Times New Roman" w:hAnsi="Times New Roman"/>
          <w:sz w:val="24"/>
          <w:szCs w:val="24"/>
        </w:rPr>
        <w:t>cómo</w:t>
      </w:r>
      <w:r w:rsidRPr="00A37057">
        <w:rPr>
          <w:rFonts w:ascii="Times New Roman" w:hAnsi="Times New Roman"/>
          <w:sz w:val="24"/>
          <w:szCs w:val="24"/>
        </w:rPr>
        <w:t xml:space="preserve"> esa enseñanza de los niños a sus abuelos de, por ejemplo, el uso de las nuevas tecnologías”.</w:t>
      </w:r>
    </w:p>
    <w:p w:rsidR="00C9494A" w:rsidRPr="00A37057"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Entre las actividades que más realizan cuando están juntos destacan pasear, ir al parque, jugar y leer cuentos, aunque también se encargan de hacer otras tareas como ir a buscarlos al colegio, prepararles la merienda o la cena y hacer los deberes.</w:t>
      </w:r>
    </w:p>
    <w:p w:rsidR="005C4368" w:rsidRDefault="00C9494A" w:rsidP="00550638">
      <w:pPr>
        <w:spacing w:line="240" w:lineRule="auto"/>
        <w:jc w:val="both"/>
        <w:rPr>
          <w:rFonts w:ascii="Times New Roman" w:hAnsi="Times New Roman"/>
          <w:sz w:val="24"/>
          <w:szCs w:val="24"/>
        </w:rPr>
      </w:pPr>
      <w:r w:rsidRPr="00A37057">
        <w:rPr>
          <w:rFonts w:ascii="Times New Roman" w:hAnsi="Times New Roman"/>
          <w:sz w:val="24"/>
          <w:szCs w:val="24"/>
        </w:rPr>
        <w:t xml:space="preserve">Otra reciente encuesta, de Sigma Dos para Mensajeros de la Paz, indica que ocho de cada 10 españoles consideran que sin la ayuda de muchos abuelos y abuelas no podría sostenerse el actual modelo social, que ocho de cada diez españoles tiene una imagen positiva de sus abuelos y que para el 62% ocupan un papel importante en su vida. </w:t>
      </w:r>
    </w:p>
    <w:p w:rsidR="00C9494A" w:rsidRPr="005C4368" w:rsidRDefault="005C4368" w:rsidP="00550638">
      <w:pPr>
        <w:spacing w:line="240" w:lineRule="auto"/>
        <w:jc w:val="both"/>
        <w:rPr>
          <w:rFonts w:ascii="Times New Roman" w:hAnsi="Times New Roman"/>
          <w:sz w:val="24"/>
          <w:szCs w:val="24"/>
          <w:u w:val="single"/>
        </w:rPr>
      </w:pPr>
      <w:r w:rsidRPr="005C4368">
        <w:rPr>
          <w:rFonts w:ascii="Times New Roman" w:hAnsi="Times New Roman"/>
          <w:sz w:val="24"/>
          <w:szCs w:val="24"/>
          <w:u w:val="single"/>
        </w:rPr>
        <w:t>El Contrato Social europeo se tambalea</w:t>
      </w:r>
      <w:r w:rsidR="00B0074F">
        <w:rPr>
          <w:rFonts w:ascii="Times New Roman" w:hAnsi="Times New Roman"/>
          <w:sz w:val="24"/>
          <w:szCs w:val="24"/>
          <w:u w:val="single"/>
        </w:rPr>
        <w:t xml:space="preserve"> (un futuro robado)</w:t>
      </w:r>
      <w:r w:rsidRPr="005C4368">
        <w:rPr>
          <w:rFonts w:ascii="Times New Roman" w:hAnsi="Times New Roman"/>
          <w:sz w:val="24"/>
          <w:szCs w:val="24"/>
          <w:u w:val="single"/>
        </w:rPr>
        <w:t xml:space="preserve"> </w:t>
      </w:r>
      <w:r w:rsidR="00C9494A" w:rsidRPr="005C4368">
        <w:rPr>
          <w:rFonts w:ascii="Times New Roman" w:hAnsi="Times New Roman"/>
          <w:sz w:val="24"/>
          <w:szCs w:val="24"/>
          <w:u w:val="single"/>
        </w:rPr>
        <w:t xml:space="preserve"> </w:t>
      </w:r>
    </w:p>
    <w:p w:rsidR="00B0074F" w:rsidRPr="005913C1" w:rsidRDefault="00B0074F" w:rsidP="00550638">
      <w:pPr>
        <w:shd w:val="clear" w:color="auto" w:fill="FFFFFF"/>
        <w:spacing w:line="240" w:lineRule="auto"/>
        <w:jc w:val="both"/>
        <w:rPr>
          <w:rFonts w:ascii="Times New Roman" w:hAnsi="Times New Roman"/>
          <w:bCs/>
          <w:sz w:val="24"/>
          <w:szCs w:val="24"/>
        </w:rPr>
      </w:pPr>
      <w:r>
        <w:rPr>
          <w:rFonts w:ascii="Times New Roman" w:hAnsi="Times New Roman"/>
          <w:bCs/>
          <w:i/>
          <w:sz w:val="24"/>
          <w:szCs w:val="24"/>
        </w:rPr>
        <w:t>“</w:t>
      </w:r>
      <w:r w:rsidR="009B619B" w:rsidRPr="00B0074F">
        <w:rPr>
          <w:rFonts w:ascii="Times New Roman" w:hAnsi="Times New Roman"/>
          <w:bCs/>
          <w:i/>
          <w:sz w:val="24"/>
          <w:szCs w:val="24"/>
        </w:rPr>
        <w:t>La crisis está haciendo tambalearse el futuro del Estado del Bienestar en Europa, hasta el punto de que el 52% de los ciudadanos europeos en activo teme no disponer de recursos suficientes par</w:t>
      </w:r>
      <w:r w:rsidR="00C16427">
        <w:rPr>
          <w:rFonts w:ascii="Times New Roman" w:hAnsi="Times New Roman"/>
          <w:bCs/>
          <w:i/>
          <w:sz w:val="24"/>
          <w:szCs w:val="24"/>
        </w:rPr>
        <w:t>a jubilarse. España lidera el ra</w:t>
      </w:r>
      <w:r w:rsidR="009B619B" w:rsidRPr="00B0074F">
        <w:rPr>
          <w:rFonts w:ascii="Times New Roman" w:hAnsi="Times New Roman"/>
          <w:bCs/>
          <w:i/>
          <w:sz w:val="24"/>
          <w:szCs w:val="24"/>
        </w:rPr>
        <w:t xml:space="preserve">nking con un 73% de españoles </w:t>
      </w:r>
      <w:r>
        <w:rPr>
          <w:rFonts w:ascii="Times New Roman" w:hAnsi="Times New Roman"/>
          <w:bCs/>
          <w:i/>
          <w:sz w:val="24"/>
          <w:szCs w:val="24"/>
        </w:rPr>
        <w:t>“preocupados” o “muy preocupados”</w:t>
      </w:r>
      <w:r w:rsidR="009B619B" w:rsidRPr="00B0074F">
        <w:rPr>
          <w:rFonts w:ascii="Times New Roman" w:hAnsi="Times New Roman"/>
          <w:bCs/>
          <w:i/>
          <w:sz w:val="24"/>
          <w:szCs w:val="24"/>
        </w:rPr>
        <w:t xml:space="preserve"> por esta posibilidad, según una encuesta de ámbito europeo realizada por el grupo ING</w:t>
      </w:r>
      <w:r>
        <w:rPr>
          <w:rFonts w:ascii="Times New Roman" w:hAnsi="Times New Roman"/>
          <w:bCs/>
          <w:i/>
          <w:sz w:val="24"/>
          <w:szCs w:val="24"/>
        </w:rPr>
        <w:t>”..</w:t>
      </w:r>
      <w:r w:rsidR="009B619B" w:rsidRPr="00B0074F">
        <w:rPr>
          <w:rFonts w:ascii="Times New Roman" w:hAnsi="Times New Roman"/>
          <w:bCs/>
          <w:i/>
          <w:sz w:val="24"/>
          <w:szCs w:val="24"/>
        </w:rPr>
        <w:t xml:space="preserve">. </w:t>
      </w:r>
      <w:r w:rsidRPr="005913C1">
        <w:rPr>
          <w:rFonts w:ascii="Times New Roman" w:hAnsi="Times New Roman"/>
          <w:bCs/>
          <w:sz w:val="24"/>
          <w:szCs w:val="24"/>
          <w:u w:val="single"/>
        </w:rPr>
        <w:t>El 73% de los españoles teme no contar con recursos suficientes en su jubilación</w:t>
      </w:r>
      <w:r>
        <w:rPr>
          <w:rFonts w:ascii="Times New Roman" w:hAnsi="Times New Roman"/>
          <w:bCs/>
          <w:sz w:val="24"/>
          <w:szCs w:val="24"/>
        </w:rPr>
        <w:t xml:space="preserve"> (Expansión - </w:t>
      </w:r>
      <w:r w:rsidRPr="005913C1">
        <w:rPr>
          <w:rFonts w:ascii="Times New Roman" w:hAnsi="Times New Roman"/>
          <w:b/>
          <w:bCs/>
          <w:sz w:val="24"/>
          <w:szCs w:val="24"/>
        </w:rPr>
        <w:t>21/8/12</w:t>
      </w:r>
      <w:r>
        <w:rPr>
          <w:rFonts w:ascii="Times New Roman" w:hAnsi="Times New Roman"/>
          <w:bCs/>
          <w:sz w:val="24"/>
          <w:szCs w:val="24"/>
        </w:rPr>
        <w:t>)</w:t>
      </w:r>
    </w:p>
    <w:p w:rsidR="009B619B" w:rsidRPr="00B0074F"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t>El porcentaje de españoles inquietos es muy superior al de otros países vecinos, como Italia o Francia, que muestran tasas del 65% y el 63%, respectivamente; porcentajes que, no obstante, son muy significativos e ilustran los estragos causados por la crisis en la confianza y las expectativas de los ciudadanos.</w:t>
      </w:r>
    </w:p>
    <w:p w:rsidR="009B619B" w:rsidRPr="00B0074F"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t xml:space="preserve">Que España, Francia e Italia sobresalgan en su temor hacia el futuro no es casualidad: son los países europeos con menor implantación de planes de pensiones privados. De hecho, mientras que la media europea de ciudadanos que cuentan con planes privados es del 40%, en España e Italia este porcentaje se reduce al 29%, mientras que en Francia es del 32%, sensiblemente inferior también al promedio. </w:t>
      </w:r>
    </w:p>
    <w:p w:rsidR="009B619B" w:rsidRPr="00B0074F"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t>Con independencia de los planes de pensiones no obligatorios, el 61% de los europeos cuenta con ahorros a largo plazo,</w:t>
      </w:r>
      <w:r w:rsidR="00C16427">
        <w:rPr>
          <w:rFonts w:ascii="Times New Roman" w:hAnsi="Times New Roman"/>
          <w:bCs/>
          <w:sz w:val="24"/>
          <w:szCs w:val="24"/>
        </w:rPr>
        <w:t xml:space="preserve"> con Luxemburgo al frente del ra</w:t>
      </w:r>
      <w:r w:rsidRPr="00B0074F">
        <w:rPr>
          <w:rFonts w:ascii="Times New Roman" w:hAnsi="Times New Roman"/>
          <w:bCs/>
          <w:sz w:val="24"/>
          <w:szCs w:val="24"/>
        </w:rPr>
        <w:t>nking (un 82%) y España (52%) y Rumanía (51%) a la cola. Sin embargo, en la mayor parte de los Estados europeos, los ciudadanos no esperan poder ahorrar en los próximos tres meses. Italia y España son los países con peores perspectivas en este sentido.</w:t>
      </w:r>
    </w:p>
    <w:p w:rsidR="009B619B" w:rsidRPr="00B0074F"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lastRenderedPageBreak/>
        <w:t xml:space="preserve">Por todo ello, los europeos creen de forma generalizada que su nivel de vida durante la jubilación será inferior a la de los actuales pensionistas, un dato especialmente alto en España, mientras que los austriacos son los únicos que creen que vivirán mejor. </w:t>
      </w:r>
    </w:p>
    <w:p w:rsidR="009B619B"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t>El economista sénior de ING, Ian Bright, autor prin</w:t>
      </w:r>
      <w:r w:rsidR="00B0074F">
        <w:rPr>
          <w:rFonts w:ascii="Times New Roman" w:hAnsi="Times New Roman"/>
          <w:bCs/>
          <w:sz w:val="24"/>
          <w:szCs w:val="24"/>
        </w:rPr>
        <w:t>cipal de la encuesta, dice que “</w:t>
      </w:r>
      <w:r w:rsidRPr="00B0074F">
        <w:rPr>
          <w:rFonts w:ascii="Times New Roman" w:hAnsi="Times New Roman"/>
          <w:bCs/>
          <w:sz w:val="24"/>
          <w:szCs w:val="24"/>
        </w:rPr>
        <w:t xml:space="preserve">las reformas en Italia y España para aumentar la edad de jubilación y recortar otros beneficios públicos podría estar alimentando la incomodidad sobre la preparación para la jubilación en esos países, </w:t>
      </w:r>
      <w:r w:rsidR="00B0074F">
        <w:rPr>
          <w:rFonts w:ascii="Times New Roman" w:hAnsi="Times New Roman"/>
          <w:bCs/>
          <w:sz w:val="24"/>
          <w:szCs w:val="24"/>
        </w:rPr>
        <w:t>especialmente entre los jóvenes”</w:t>
      </w:r>
      <w:r w:rsidRPr="00B0074F">
        <w:rPr>
          <w:rFonts w:ascii="Times New Roman" w:hAnsi="Times New Roman"/>
          <w:bCs/>
          <w:sz w:val="24"/>
          <w:szCs w:val="24"/>
        </w:rPr>
        <w:t>, y no sólo con relación a las condiciones individuales de cada uno, sino con respecto a la situación general de la sociedad.</w:t>
      </w:r>
    </w:p>
    <w:p w:rsidR="00B0074F" w:rsidRPr="00B0074F" w:rsidRDefault="00B0074F" w:rsidP="00550638">
      <w:pPr>
        <w:shd w:val="clear" w:color="auto" w:fill="FFFFFF"/>
        <w:spacing w:line="240" w:lineRule="auto"/>
        <w:jc w:val="both"/>
        <w:rPr>
          <w:rFonts w:ascii="Times New Roman" w:hAnsi="Times New Roman"/>
          <w:bCs/>
          <w:sz w:val="24"/>
          <w:szCs w:val="24"/>
          <w:u w:val="single"/>
        </w:rPr>
      </w:pPr>
      <w:r w:rsidRPr="00B0074F">
        <w:rPr>
          <w:rFonts w:ascii="Times New Roman" w:hAnsi="Times New Roman"/>
          <w:bCs/>
          <w:sz w:val="24"/>
          <w:szCs w:val="24"/>
          <w:u w:val="single"/>
        </w:rPr>
        <w:t xml:space="preserve">Éste es el Estado del Bienestar de la Globalización </w:t>
      </w:r>
      <w:r>
        <w:rPr>
          <w:rFonts w:ascii="Times New Roman" w:hAnsi="Times New Roman"/>
          <w:bCs/>
          <w:sz w:val="24"/>
          <w:szCs w:val="24"/>
          <w:u w:val="single"/>
        </w:rPr>
        <w:t>(¡B</w:t>
      </w:r>
      <w:r w:rsidRPr="00B0074F">
        <w:rPr>
          <w:rFonts w:ascii="Times New Roman" w:hAnsi="Times New Roman"/>
          <w:bCs/>
          <w:sz w:val="24"/>
          <w:szCs w:val="24"/>
          <w:u w:val="single"/>
        </w:rPr>
        <w:t>rav</w:t>
      </w:r>
      <w:r>
        <w:rPr>
          <w:rFonts w:ascii="Times New Roman" w:hAnsi="Times New Roman"/>
          <w:bCs/>
          <w:sz w:val="24"/>
          <w:szCs w:val="24"/>
          <w:u w:val="single"/>
        </w:rPr>
        <w:t>o! lograron</w:t>
      </w:r>
      <w:r w:rsidRPr="00B0074F">
        <w:rPr>
          <w:rFonts w:ascii="Times New Roman" w:hAnsi="Times New Roman"/>
          <w:bCs/>
          <w:sz w:val="24"/>
          <w:szCs w:val="24"/>
          <w:u w:val="single"/>
        </w:rPr>
        <w:t xml:space="preserve"> aplanar la </w:t>
      </w:r>
      <w:r>
        <w:rPr>
          <w:rFonts w:ascii="Times New Roman" w:hAnsi="Times New Roman"/>
          <w:bCs/>
          <w:sz w:val="24"/>
          <w:szCs w:val="24"/>
          <w:u w:val="single"/>
        </w:rPr>
        <w:t>T</w:t>
      </w:r>
      <w:r w:rsidRPr="00B0074F">
        <w:rPr>
          <w:rFonts w:ascii="Times New Roman" w:hAnsi="Times New Roman"/>
          <w:bCs/>
          <w:sz w:val="24"/>
          <w:szCs w:val="24"/>
          <w:u w:val="single"/>
        </w:rPr>
        <w:t>ierra)</w:t>
      </w:r>
    </w:p>
    <w:p w:rsidR="009B619B" w:rsidRPr="00B0074F" w:rsidRDefault="00B0074F"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i/>
          <w:sz w:val="24"/>
          <w:szCs w:val="24"/>
        </w:rPr>
        <w:t>“</w:t>
      </w:r>
      <w:r w:rsidR="009B619B" w:rsidRPr="00B0074F">
        <w:rPr>
          <w:rFonts w:ascii="Times New Roman" w:hAnsi="Times New Roman"/>
          <w:bCs/>
          <w:i/>
          <w:sz w:val="24"/>
          <w:szCs w:val="24"/>
        </w:rPr>
        <w:t>Alemania comenzó a aplicar la jubilación a los 67 años a partir de enero de 2012, una medida insuficiente, asegún Wolfang Clement. El que fuera ministro de Economía alemán entre 2002 y 2005 propone que l</w:t>
      </w:r>
      <w:r w:rsidRPr="00B0074F">
        <w:rPr>
          <w:rFonts w:ascii="Times New Roman" w:hAnsi="Times New Roman"/>
          <w:bCs/>
          <w:i/>
          <w:sz w:val="24"/>
          <w:szCs w:val="24"/>
        </w:rPr>
        <w:t>a edad de jubilación sea libre ‘</w:t>
      </w:r>
      <w:r w:rsidR="009B619B" w:rsidRPr="00B0074F">
        <w:rPr>
          <w:rFonts w:ascii="Times New Roman" w:hAnsi="Times New Roman"/>
          <w:bCs/>
          <w:i/>
          <w:sz w:val="24"/>
          <w:szCs w:val="24"/>
        </w:rPr>
        <w:t>al men</w:t>
      </w:r>
      <w:r w:rsidRPr="00B0074F">
        <w:rPr>
          <w:rFonts w:ascii="Times New Roman" w:hAnsi="Times New Roman"/>
          <w:bCs/>
          <w:i/>
          <w:sz w:val="24"/>
          <w:szCs w:val="24"/>
        </w:rPr>
        <w:t>os hasta los 80 años’ para que ‘</w:t>
      </w:r>
      <w:r w:rsidR="009B619B" w:rsidRPr="00B0074F">
        <w:rPr>
          <w:rFonts w:ascii="Times New Roman" w:hAnsi="Times New Roman"/>
          <w:bCs/>
          <w:i/>
          <w:sz w:val="24"/>
          <w:szCs w:val="24"/>
        </w:rPr>
        <w:t>quien quiera, pue</w:t>
      </w:r>
      <w:r w:rsidRPr="00B0074F">
        <w:rPr>
          <w:rFonts w:ascii="Times New Roman" w:hAnsi="Times New Roman"/>
          <w:bCs/>
          <w:i/>
          <w:sz w:val="24"/>
          <w:szCs w:val="24"/>
        </w:rPr>
        <w:t>da seguir trabajando a esa edad’”..</w:t>
      </w:r>
      <w:r w:rsidR="009B619B" w:rsidRPr="00B0074F">
        <w:rPr>
          <w:rFonts w:ascii="Times New Roman" w:hAnsi="Times New Roman"/>
          <w:bCs/>
          <w:i/>
          <w:sz w:val="24"/>
          <w:szCs w:val="24"/>
        </w:rPr>
        <w:t>.</w:t>
      </w:r>
      <w:r>
        <w:rPr>
          <w:rFonts w:ascii="Times New Roman" w:hAnsi="Times New Roman"/>
          <w:bCs/>
          <w:sz w:val="24"/>
          <w:szCs w:val="24"/>
        </w:rPr>
        <w:t xml:space="preserve"> </w:t>
      </w:r>
      <w:r w:rsidRPr="005913C1">
        <w:rPr>
          <w:rFonts w:ascii="Times New Roman" w:hAnsi="Times New Roman"/>
          <w:bCs/>
          <w:sz w:val="24"/>
          <w:szCs w:val="24"/>
          <w:u w:val="single"/>
        </w:rPr>
        <w:t>Un ex ministro alemán propone ampliar la edad de jubilación de forma voluntaria hasta los 80 años</w:t>
      </w:r>
      <w:r>
        <w:rPr>
          <w:rFonts w:ascii="Times New Roman" w:hAnsi="Times New Roman"/>
          <w:bCs/>
          <w:sz w:val="24"/>
          <w:szCs w:val="24"/>
        </w:rPr>
        <w:t xml:space="preserve"> (Expansión - </w:t>
      </w:r>
      <w:r w:rsidRPr="005913C1">
        <w:rPr>
          <w:rFonts w:ascii="Times New Roman" w:hAnsi="Times New Roman"/>
          <w:b/>
          <w:bCs/>
          <w:sz w:val="24"/>
          <w:szCs w:val="24"/>
        </w:rPr>
        <w:t>21/8/12</w:t>
      </w:r>
      <w:r>
        <w:rPr>
          <w:rFonts w:ascii="Times New Roman" w:hAnsi="Times New Roman"/>
          <w:bCs/>
          <w:sz w:val="24"/>
          <w:szCs w:val="24"/>
        </w:rPr>
        <w:t>)</w:t>
      </w:r>
    </w:p>
    <w:p w:rsidR="009B619B" w:rsidRPr="00B0074F"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t>Clement propone este medida para combatir el cambio demográfic</w:t>
      </w:r>
      <w:r w:rsidR="0018036E">
        <w:rPr>
          <w:rFonts w:ascii="Times New Roman" w:hAnsi="Times New Roman"/>
          <w:bCs/>
          <w:sz w:val="24"/>
          <w:szCs w:val="24"/>
        </w:rPr>
        <w:t xml:space="preserve">o al que se enfrenta Alemania. </w:t>
      </w:r>
      <w:r w:rsidR="00B0074F">
        <w:rPr>
          <w:rFonts w:ascii="Times New Roman" w:hAnsi="Times New Roman"/>
          <w:bCs/>
          <w:sz w:val="24"/>
          <w:szCs w:val="24"/>
        </w:rPr>
        <w:t>“</w:t>
      </w:r>
      <w:r w:rsidRPr="00B0074F">
        <w:rPr>
          <w:rFonts w:ascii="Times New Roman" w:hAnsi="Times New Roman"/>
          <w:bCs/>
          <w:sz w:val="24"/>
          <w:szCs w:val="24"/>
        </w:rPr>
        <w:t xml:space="preserve">Deberíamos lanzar señales que estimulen la continuidad </w:t>
      </w:r>
      <w:r w:rsidR="00B0074F">
        <w:rPr>
          <w:rFonts w:ascii="Times New Roman" w:hAnsi="Times New Roman"/>
          <w:bCs/>
          <w:sz w:val="24"/>
          <w:szCs w:val="24"/>
        </w:rPr>
        <w:t>laboral más allá de los 70 años”</w:t>
      </w:r>
      <w:r w:rsidRPr="00B0074F">
        <w:rPr>
          <w:rFonts w:ascii="Times New Roman" w:hAnsi="Times New Roman"/>
          <w:bCs/>
          <w:sz w:val="24"/>
          <w:szCs w:val="24"/>
        </w:rPr>
        <w:t xml:space="preserve">, propone el ex ministro. Él mismo, a sus 72 años de edad, sigue en activo y trabaja en el ámbito del lobby energético. </w:t>
      </w:r>
    </w:p>
    <w:p w:rsidR="009B619B" w:rsidRPr="00B0074F" w:rsidRDefault="00B0074F" w:rsidP="00550638">
      <w:pPr>
        <w:shd w:val="clear" w:color="auto" w:fill="FFFFFF"/>
        <w:spacing w:line="240" w:lineRule="auto"/>
        <w:jc w:val="both"/>
        <w:rPr>
          <w:rFonts w:ascii="Times New Roman" w:hAnsi="Times New Roman"/>
          <w:bCs/>
          <w:sz w:val="24"/>
          <w:szCs w:val="24"/>
        </w:rPr>
      </w:pPr>
      <w:r>
        <w:rPr>
          <w:rFonts w:ascii="Times New Roman" w:hAnsi="Times New Roman"/>
          <w:bCs/>
          <w:sz w:val="24"/>
          <w:szCs w:val="24"/>
        </w:rPr>
        <w:t>“</w:t>
      </w:r>
      <w:r w:rsidR="009B619B" w:rsidRPr="00B0074F">
        <w:rPr>
          <w:rFonts w:ascii="Times New Roman" w:hAnsi="Times New Roman"/>
          <w:bCs/>
          <w:sz w:val="24"/>
          <w:szCs w:val="24"/>
        </w:rPr>
        <w:t>Tenemos que enfrentarnos al hecho de que es necesario que los alemanes trabajemos durante más años. Es la consecuencia lógica del cambio demográfico. Con jubilarnos a los 67 no alcanzamos. Quien quiera y pueda debe seguir trabajando hast</w:t>
      </w:r>
      <w:r>
        <w:rPr>
          <w:rFonts w:ascii="Times New Roman" w:hAnsi="Times New Roman"/>
          <w:bCs/>
          <w:sz w:val="24"/>
          <w:szCs w:val="24"/>
        </w:rPr>
        <w:t>a los 75 e incluso hasta los 80”</w:t>
      </w:r>
      <w:r w:rsidR="009B619B" w:rsidRPr="00B0074F">
        <w:rPr>
          <w:rFonts w:ascii="Times New Roman" w:hAnsi="Times New Roman"/>
          <w:bCs/>
          <w:sz w:val="24"/>
          <w:szCs w:val="24"/>
        </w:rPr>
        <w:t>, señala.</w:t>
      </w:r>
    </w:p>
    <w:p w:rsidR="009B619B" w:rsidRPr="00B0074F"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t>Agenda 2010</w:t>
      </w:r>
    </w:p>
    <w:p w:rsidR="009B619B" w:rsidRPr="00B0074F"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t xml:space="preserve"> Con Clement como ministro de Economía, el ex canciller alemán Gerhard Schröder llevó a cabo una serie de reformas denominada Agenda 2010. Dichas reformas fueron muy criticadas por la opinión pública, que consideraba que las medidas adoptadas por el ejecutivo alemán mermaban el estado de bienestar germano.</w:t>
      </w:r>
    </w:p>
    <w:p w:rsidR="009B619B" w:rsidRPr="00B0074F"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t xml:space="preserve">Desde el Gobierno, no obstante, siempre se defendió que la Agenda 2010 lo que pretendía era precisamente la sostenibilidad de ese estado de bienestar. </w:t>
      </w:r>
    </w:p>
    <w:p w:rsidR="009B619B" w:rsidRDefault="009B619B" w:rsidP="00550638">
      <w:pPr>
        <w:shd w:val="clear" w:color="auto" w:fill="FFFFFF"/>
        <w:spacing w:line="240" w:lineRule="auto"/>
        <w:jc w:val="both"/>
        <w:rPr>
          <w:rFonts w:ascii="Times New Roman" w:hAnsi="Times New Roman"/>
          <w:bCs/>
          <w:sz w:val="24"/>
          <w:szCs w:val="24"/>
        </w:rPr>
      </w:pPr>
      <w:r w:rsidRPr="00B0074F">
        <w:rPr>
          <w:rFonts w:ascii="Times New Roman" w:hAnsi="Times New Roman"/>
          <w:bCs/>
          <w:sz w:val="24"/>
          <w:szCs w:val="24"/>
        </w:rPr>
        <w:t>Dos años después las reformas económicas adoptadas por Clement y Schröder son la base de la actual prosperidad del país germano, él país de la zona euro que mejor está aguantando la crisis.</w:t>
      </w:r>
    </w:p>
    <w:p w:rsidR="0018036E" w:rsidRPr="0018036E" w:rsidRDefault="00FE14BF" w:rsidP="00550638">
      <w:pPr>
        <w:shd w:val="clear" w:color="auto" w:fill="FFFFFF"/>
        <w:spacing w:line="240" w:lineRule="auto"/>
        <w:jc w:val="both"/>
        <w:rPr>
          <w:rFonts w:ascii="Times New Roman" w:hAnsi="Times New Roman" w:cs="Times New Roman"/>
          <w:bCs/>
          <w:sz w:val="24"/>
          <w:szCs w:val="24"/>
          <w:u w:val="single"/>
          <w:lang w:val="en-US"/>
        </w:rPr>
      </w:pPr>
      <w:hyperlink r:id="rId548" w:tgtFrame="_blank" w:history="1">
        <w:r w:rsidR="0018036E" w:rsidRPr="0018036E">
          <w:rPr>
            <w:rStyle w:val="Hipervnculo"/>
            <w:rFonts w:ascii="Times New Roman" w:eastAsiaTheme="majorEastAsia" w:hAnsi="Times New Roman" w:cs="Times New Roman"/>
            <w:iCs/>
            <w:color w:val="auto"/>
            <w:sz w:val="24"/>
            <w:szCs w:val="24"/>
            <w:lang w:val="en-US"/>
          </w:rPr>
          <w:t>Bayesian Probabilistic Population Projections for all Countries</w:t>
        </w:r>
      </w:hyperlink>
      <w:r w:rsidR="0018036E" w:rsidRPr="0018036E">
        <w:rPr>
          <w:rStyle w:val="Hipervnculo"/>
          <w:rFonts w:ascii="Times New Roman" w:eastAsiaTheme="majorEastAsia" w:hAnsi="Times New Roman" w:cs="Times New Roman"/>
          <w:iCs/>
          <w:color w:val="auto"/>
          <w:sz w:val="24"/>
          <w:szCs w:val="24"/>
          <w:lang w:val="en-US"/>
        </w:rPr>
        <w:t xml:space="preserve">: 2100 </w:t>
      </w:r>
      <w:r w:rsidR="0018036E">
        <w:rPr>
          <w:rStyle w:val="Hipervnculo"/>
          <w:rFonts w:ascii="Times New Roman" w:eastAsiaTheme="majorEastAsia" w:hAnsi="Times New Roman" w:cs="Times New Roman"/>
          <w:iCs/>
          <w:color w:val="auto"/>
          <w:sz w:val="24"/>
          <w:szCs w:val="24"/>
          <w:lang w:val="en-US"/>
        </w:rPr>
        <w:t>“</w:t>
      </w:r>
      <w:r w:rsidR="0018036E" w:rsidRPr="0018036E">
        <w:rPr>
          <w:rStyle w:val="Hipervnculo"/>
          <w:rFonts w:ascii="Times New Roman" w:eastAsiaTheme="majorEastAsia" w:hAnsi="Times New Roman" w:cs="Times New Roman"/>
          <w:iCs/>
          <w:color w:val="auto"/>
          <w:sz w:val="24"/>
          <w:szCs w:val="24"/>
          <w:lang w:val="en-US"/>
        </w:rPr>
        <w:t>the game is over</w:t>
      </w:r>
      <w:r w:rsidR="0018036E">
        <w:rPr>
          <w:rStyle w:val="Hipervnculo"/>
          <w:rFonts w:ascii="Times New Roman" w:eastAsiaTheme="majorEastAsia" w:hAnsi="Times New Roman" w:cs="Times New Roman"/>
          <w:iCs/>
          <w:color w:val="auto"/>
          <w:sz w:val="24"/>
          <w:szCs w:val="24"/>
          <w:lang w:val="en-US"/>
        </w:rPr>
        <w:t>”</w:t>
      </w:r>
    </w:p>
    <w:p w:rsidR="009B619B" w:rsidRPr="0018036E" w:rsidRDefault="0018036E" w:rsidP="00550638">
      <w:pPr>
        <w:pStyle w:val="NormalWeb"/>
        <w:jc w:val="both"/>
        <w:rPr>
          <w:i/>
        </w:rPr>
      </w:pPr>
      <w:r>
        <w:rPr>
          <w:i/>
        </w:rPr>
        <w:t>“</w:t>
      </w:r>
      <w:r w:rsidR="009B619B" w:rsidRPr="0018036E">
        <w:rPr>
          <w:i/>
        </w:rPr>
        <w:t>Las previsiones demográficas de la ONU para las próximas décadas advierten sobre un fuerte retroceso vegetativo y envejecimiento poblacional en los países más desarrollados. Sin embargo, esta tendencia afectará en igual o mayor medida en los países en vías de desarrollo:</w:t>
      </w:r>
      <w:r w:rsidR="009B619B" w:rsidRPr="0018036E">
        <w:rPr>
          <w:bCs/>
          <w:i/>
        </w:rPr>
        <w:t xml:space="preserve"> en China, el número de adultos en edad de trabajar por cada persona mayor de 65 años se reducirá de las 7,9 actuales a 1,6</w:t>
      </w:r>
      <w:r w:rsidR="009B619B" w:rsidRPr="0018036E">
        <w:rPr>
          <w:i/>
        </w:rPr>
        <w:t xml:space="preserve"> en 2100, mientras que en la India, esta misma proporción pasará de 11,1 a 2. Estas son las principales conclusiones del estudio </w:t>
      </w:r>
      <w:hyperlink r:id="rId549" w:tgtFrame="_blank" w:history="1">
        <w:r w:rsidR="009B619B" w:rsidRPr="0018036E">
          <w:rPr>
            <w:rStyle w:val="Hipervnculo"/>
            <w:rFonts w:eastAsiaTheme="majorEastAsia"/>
            <w:i/>
            <w:iCs/>
            <w:color w:val="auto"/>
            <w:u w:val="none"/>
          </w:rPr>
          <w:t xml:space="preserve">Bayesian Probabilistic Population Projections for all </w:t>
        </w:r>
        <w:r w:rsidR="009B619B" w:rsidRPr="0018036E">
          <w:rPr>
            <w:rStyle w:val="Hipervnculo"/>
            <w:rFonts w:eastAsiaTheme="majorEastAsia"/>
            <w:i/>
            <w:iCs/>
            <w:color w:val="auto"/>
            <w:u w:val="none"/>
          </w:rPr>
          <w:lastRenderedPageBreak/>
          <w:t>Countries</w:t>
        </w:r>
      </w:hyperlink>
      <w:r w:rsidR="009B619B" w:rsidRPr="0018036E">
        <w:rPr>
          <w:i/>
          <w:iCs/>
        </w:rPr>
        <w:t xml:space="preserve"> </w:t>
      </w:r>
      <w:r w:rsidR="009B619B" w:rsidRPr="0018036E">
        <w:rPr>
          <w:i/>
        </w:rPr>
        <w:t>publicado esta semana en la revista de la National Academy of Sciences de Estados Unidos y que advierte sobre las consecuencias económicas de un fenómeno a escala mundial</w:t>
      </w:r>
      <w:r>
        <w:rPr>
          <w:i/>
        </w:rPr>
        <w:t xml:space="preserve">”… </w:t>
      </w:r>
      <w:r w:rsidRPr="00B033F1">
        <w:rPr>
          <w:u w:val="single"/>
        </w:rPr>
        <w:t>Año 2100: dos trabajadores en activo por cada jubilado</w:t>
      </w:r>
      <w:r>
        <w:t xml:space="preserve"> (El Confidencial - </w:t>
      </w:r>
      <w:r w:rsidRPr="00B033F1">
        <w:rPr>
          <w:b/>
        </w:rPr>
        <w:t>23/8/12</w:t>
      </w:r>
      <w:r>
        <w:t>)</w:t>
      </w:r>
    </w:p>
    <w:p w:rsidR="009B619B" w:rsidRPr="0018036E" w:rsidRDefault="009B619B" w:rsidP="00550638">
      <w:pPr>
        <w:pStyle w:val="NormalWeb"/>
        <w:jc w:val="both"/>
      </w:pPr>
      <w:r w:rsidRPr="0018036E">
        <w:t xml:space="preserve">En España se calcula que </w:t>
      </w:r>
      <w:r w:rsidRPr="0018036E">
        <w:rPr>
          <w:bCs/>
        </w:rPr>
        <w:t>en poco más de una década el porcentaje de mayores de 65 años se acercará al 21% y llegará al 32,6% en 2050</w:t>
      </w:r>
      <w:r w:rsidRPr="0018036E">
        <w:t xml:space="preserve">, lo que se traduce en 10,3 y 16,8 millones de jubilados, respectivamente. La esperanza de vida también aumentará, de tal modo que en 2025 habrá un 6,1% de españoles con más de 80 años (tres millones) y en 2050 representarán el 11,6% de la población total (casi seis millones), </w:t>
      </w:r>
      <w:hyperlink r:id="rId550" w:tgtFrame="_blank" w:history="1">
        <w:r w:rsidRPr="0018036E">
          <w:rPr>
            <w:rStyle w:val="Hipervnculo"/>
            <w:rFonts w:eastAsiaTheme="majorEastAsia"/>
            <w:color w:val="auto"/>
            <w:u w:val="none"/>
          </w:rPr>
          <w:t>según los datos de la ONU</w:t>
        </w:r>
      </w:hyperlink>
      <w:r w:rsidRPr="0018036E">
        <w:t xml:space="preserve">, puesto que las previsiones del INE se limitan al año 2020. Una inversión de la pirámide poblacional que por sí misma significa un retroceso del crecimiento económico, al margen de las posibles crisis estructurales, ya que acarreará una disminución del consumo y la productividad, como explica el consultor empresarial </w:t>
      </w:r>
      <w:r w:rsidRPr="0018036E">
        <w:rPr>
          <w:bCs/>
        </w:rPr>
        <w:t>Alejandro Macarrón</w:t>
      </w:r>
      <w:r w:rsidRPr="0018036E">
        <w:t xml:space="preserve"> en su informe titulado </w:t>
      </w:r>
      <w:hyperlink r:id="rId551" w:tgtFrame="_blank" w:history="1">
        <w:r w:rsidRPr="0018036E">
          <w:rPr>
            <w:rStyle w:val="Hipervnculo"/>
            <w:rFonts w:eastAsiaTheme="majorEastAsia"/>
            <w:i/>
            <w:iCs/>
            <w:color w:val="auto"/>
            <w:u w:val="none"/>
          </w:rPr>
          <w:t>El suicidio demográfico en España</w:t>
        </w:r>
      </w:hyperlink>
      <w:r w:rsidR="0018036E">
        <w:t xml:space="preserve">. </w:t>
      </w:r>
    </w:p>
    <w:p w:rsidR="009B619B" w:rsidRPr="0018036E" w:rsidRDefault="009B619B" w:rsidP="00550638">
      <w:pPr>
        <w:pStyle w:val="NormalWeb"/>
        <w:jc w:val="both"/>
      </w:pPr>
      <w:r w:rsidRPr="0018036E">
        <w:t xml:space="preserve">La viabilidad del sistema de pensiones y la sanidad pública se pondrá claramente en duda a la vista de estas cifras, ya que la carga para los trabajadores en activo y empresarios será prácticamente insoportable. Así lo alertó estos días el exministro alemán de Economía </w:t>
      </w:r>
      <w:r w:rsidRPr="0018036E">
        <w:rPr>
          <w:bCs/>
        </w:rPr>
        <w:t xml:space="preserve">Wolfgang Clement </w:t>
      </w:r>
      <w:r w:rsidRPr="0018036E">
        <w:t xml:space="preserve">al tiempo que propuso una jubilación libre, al menos hasta los 80 años. </w:t>
      </w:r>
      <w:r w:rsidRPr="0018036E">
        <w:rPr>
          <w:bCs/>
        </w:rPr>
        <w:t>“Es la consecuencia lógica del cambio demográfico, con jubilarnos a los 67 no alcanzamos</w:t>
      </w:r>
      <w:r w:rsidRPr="0018036E">
        <w:t>. Quien quiera y pueda debe seguir trabajando hasta los 75 e incluso hasta los 80”, defendió el socialdemócrata.</w:t>
      </w:r>
    </w:p>
    <w:p w:rsidR="009B619B" w:rsidRPr="0018036E" w:rsidRDefault="009B619B" w:rsidP="00550638">
      <w:pPr>
        <w:pStyle w:val="NormalWeb"/>
        <w:jc w:val="both"/>
      </w:pPr>
      <w:r w:rsidRPr="0018036E">
        <w:t xml:space="preserve">La tendencia en el Viejo Continente, con unas tasas de fecundidad en continuo retroceso, tampoco deja margen al optimismo. Por ejemplo, en Holanda el número de trabajadores en activo por cada jubilado pasará de los cuatro actuales a 1,6 a finales de siglo y en Gran Bretaña esta misma cifra caerá del 3,6 al 1,6. En Estados Unidos el descenso será de 4,6 a 1,8, aunque el director de la investigación, </w:t>
      </w:r>
      <w:r w:rsidRPr="0018036E">
        <w:rPr>
          <w:bCs/>
        </w:rPr>
        <w:t>Adrian Raftery</w:t>
      </w:r>
      <w:r w:rsidRPr="0018036E">
        <w:t xml:space="preserve">, profesor de Demografía en la Universidad de Washington, apunta que </w:t>
      </w:r>
      <w:r w:rsidRPr="0018036E">
        <w:rPr>
          <w:bCs/>
        </w:rPr>
        <w:t>el país norteamericano mantendrá una ligera ventaja de mano de obra sobre otros países desarrollados gracias a la inmigración</w:t>
      </w:r>
      <w:r w:rsidR="00BF31FE">
        <w:t>. China podría dejar de ser la “</w:t>
      </w:r>
      <w:r w:rsidRPr="0018036E">
        <w:t xml:space="preserve">fábrica </w:t>
      </w:r>
      <w:r w:rsidR="00BF31FE">
        <w:t>del mundo”</w:t>
      </w:r>
      <w:r w:rsidR="0018036E">
        <w:t>.</w:t>
      </w:r>
    </w:p>
    <w:p w:rsidR="009B619B" w:rsidRPr="0018036E" w:rsidRDefault="009B619B" w:rsidP="00550638">
      <w:pPr>
        <w:pStyle w:val="NormalWeb"/>
        <w:jc w:val="both"/>
      </w:pPr>
      <w:r w:rsidRPr="0018036E">
        <w:t xml:space="preserve">De mantenerse la tendencia migratoria actual en España, a finales de esta década el saldo será negativo (450.000 emigrantes por 513.000 inmigrantes), con una población estimada que también retrocederá, pasando de los 46,1 millones actuales a los 45,6 de dentro de ocho años, </w:t>
      </w:r>
      <w:hyperlink r:id="rId552" w:tgtFrame="_blank" w:history="1">
        <w:r w:rsidRPr="0018036E">
          <w:rPr>
            <w:rStyle w:val="Hipervnculo"/>
            <w:rFonts w:eastAsiaTheme="majorEastAsia"/>
            <w:color w:val="auto"/>
            <w:u w:val="none"/>
          </w:rPr>
          <w:t>según las previsiones del Instituto Nacional de Estadística</w:t>
        </w:r>
      </w:hyperlink>
      <w:r w:rsidRPr="0018036E">
        <w:t xml:space="preserve"> (INE). En este mismo período, el </w:t>
      </w:r>
      <w:r w:rsidRPr="0018036E">
        <w:rPr>
          <w:bCs/>
        </w:rPr>
        <w:t>número de nacimientos descenderá a razón de unos 14.000 menos por año</w:t>
      </w:r>
      <w:r w:rsidRPr="0018036E">
        <w:t>, pasando de los 496.000 del 2011 a los 481.000 que se estiman en 2020.</w:t>
      </w:r>
    </w:p>
    <w:p w:rsidR="009B619B" w:rsidRPr="0018036E" w:rsidRDefault="009B619B" w:rsidP="00550638">
      <w:pPr>
        <w:pStyle w:val="NormalWeb"/>
        <w:jc w:val="both"/>
      </w:pPr>
      <w:r w:rsidRPr="0018036E">
        <w:t xml:space="preserve">La </w:t>
      </w:r>
      <w:r w:rsidRPr="0018036E">
        <w:rPr>
          <w:bCs/>
        </w:rPr>
        <w:t>crisis demográfica tendrá unas “dramáticas” consecuencias</w:t>
      </w:r>
      <w:r w:rsidRPr="0018036E">
        <w:t xml:space="preserve">, según el equipo dirigido por Raftery, por lo que animan a la ONU a que incorpore los datos de este estudio, elaborados mediante una metodología estadística bayesiana (introducen probabilidades subjetivas en base a conocimientos previos), en su siguiente informe sobre tendencias demográficas que será lanzado en febrero del próximo año. </w:t>
      </w:r>
    </w:p>
    <w:p w:rsidR="009B619B" w:rsidRPr="0018036E" w:rsidRDefault="009B619B" w:rsidP="00550638">
      <w:pPr>
        <w:pStyle w:val="NormalWeb"/>
        <w:jc w:val="both"/>
      </w:pPr>
      <w:r w:rsidRPr="0018036E">
        <w:t xml:space="preserve">La investigación excluye a los 38 países en los que el VIH se considera una epidemia, ya que requieren un método estadístico diferente, pero en el resto de países en vías de desarrollo se observa un ascenso de la esperanza de vida media, lo que eleva a </w:t>
      </w:r>
      <w:r w:rsidRPr="0018036E">
        <w:rPr>
          <w:bCs/>
        </w:rPr>
        <w:t xml:space="preserve">10.100 millones la población mundial a finales de este siglo, casi mil millones más de lo que se </w:t>
      </w:r>
      <w:r w:rsidRPr="0018036E">
        <w:rPr>
          <w:bCs/>
        </w:rPr>
        <w:lastRenderedPageBreak/>
        <w:t>preveía</w:t>
      </w:r>
      <w:r w:rsidRPr="0018036E">
        <w:t xml:space="preserve"> hasta el momento. “Aunque no tenemos total seguridad de lo que vaya a suceder en el futuro, estas cifras deberían ser tenidas en cuenta por los responsables políticos para adaptar a ellas sus decisiones y</w:t>
      </w:r>
      <w:r w:rsidR="0018036E">
        <w:t xml:space="preserve"> proyecciones”, apunta Raftery.</w:t>
      </w:r>
    </w:p>
    <w:p w:rsidR="009B619B" w:rsidRPr="0018036E" w:rsidRDefault="009B619B" w:rsidP="00550638">
      <w:pPr>
        <w:pStyle w:val="NormalWeb"/>
        <w:jc w:val="both"/>
      </w:pPr>
      <w:r w:rsidRPr="0018036E">
        <w:t xml:space="preserve">Cada vez son más las voces que piden una </w:t>
      </w:r>
      <w:r w:rsidRPr="0018036E">
        <w:rPr>
          <w:bCs/>
        </w:rPr>
        <w:t>nueva</w:t>
      </w:r>
      <w:r w:rsidRPr="0018036E">
        <w:t xml:space="preserve"> </w:t>
      </w:r>
      <w:r w:rsidRPr="0018036E">
        <w:rPr>
          <w:bCs/>
        </w:rPr>
        <w:t>revisión de la edad de jubilación en España</w:t>
      </w:r>
      <w:r w:rsidRPr="0018036E">
        <w:t xml:space="preserve">, una recomendación que ya llegado desde Bruselas o la Organización para la Cooperación y el Desarrollo Económico, pero que se podría convertir en una </w:t>
      </w:r>
      <w:r w:rsidRPr="0018036E">
        <w:rPr>
          <w:bCs/>
        </w:rPr>
        <w:t>imposición de la troika que el país debería acatar para el recibir el rescate</w:t>
      </w:r>
      <w:r w:rsidRPr="0018036E">
        <w:t xml:space="preserve"> </w:t>
      </w:r>
      <w:r w:rsidRPr="0018036E">
        <w:rPr>
          <w:bCs/>
        </w:rPr>
        <w:t>bancario.</w:t>
      </w:r>
    </w:p>
    <w:p w:rsidR="0018036E" w:rsidRDefault="009B619B" w:rsidP="00550638">
      <w:pPr>
        <w:pStyle w:val="NormalWeb"/>
        <w:jc w:val="both"/>
      </w:pPr>
      <w:r w:rsidRPr="0018036E">
        <w:t xml:space="preserve">La convulsión demográfica internacional ya no solo preocupa en términos del Estado del bienestar, sino de supervivencia. </w:t>
      </w:r>
      <w:r w:rsidRPr="0018036E">
        <w:rPr>
          <w:bCs/>
        </w:rPr>
        <w:t>El acceso a los alimentos y recursos estará menos garantizado</w:t>
      </w:r>
      <w:r w:rsidRPr="0018036E">
        <w:t>, ya que descenderá la productividad paralelamente a la disminución de la población en edad de trabajar y, al mismo tiempo, aumentará el número total de habitantes del planeta. En la actualidad, con una población mundial de 7.000 millones de habitantes, la infraalimentación afecta a uno de cada cinco, por lo que a finales de siglo, con una población estimada de 10.100 millones, las cifras de hambrientos en el mundo podrían ser mucho más escalofriantes. Una autén</w:t>
      </w:r>
      <w:r w:rsidR="0018036E">
        <w:t xml:space="preserve">tica “destrucción masiva”, </w:t>
      </w:r>
      <w:hyperlink r:id="rId553" w:history="1">
        <w:r w:rsidR="0018036E">
          <w:rPr>
            <w:rStyle w:val="Hipervnculo"/>
            <w:rFonts w:eastAsiaTheme="majorEastAsia"/>
            <w:color w:val="auto"/>
            <w:u w:val="none"/>
          </w:rPr>
          <w:t>señaló</w:t>
        </w:r>
        <w:r w:rsidRPr="0018036E">
          <w:rPr>
            <w:rStyle w:val="Hipervnculo"/>
            <w:rFonts w:eastAsiaTheme="majorEastAsia"/>
            <w:color w:val="auto"/>
            <w:u w:val="none"/>
          </w:rPr>
          <w:t xml:space="preserve"> </w:t>
        </w:r>
      </w:hyperlink>
      <w:r w:rsidRPr="0018036E">
        <w:t xml:space="preserve">el vicepresidente del consejo consultivo de la Comisión de DDHH de la ONU, </w:t>
      </w:r>
      <w:r w:rsidRPr="0018036E">
        <w:rPr>
          <w:bCs/>
        </w:rPr>
        <w:t>Jean Ziegler</w:t>
      </w:r>
      <w:r w:rsidRPr="0018036E">
        <w:t xml:space="preserve">, en su último ensayo titulado </w:t>
      </w:r>
      <w:r w:rsidRPr="0018036E">
        <w:rPr>
          <w:i/>
          <w:iCs/>
        </w:rPr>
        <w:t>La Geopolítica del Hambre</w:t>
      </w:r>
      <w:r w:rsidRPr="0018036E">
        <w:t xml:space="preserve"> (Península), al predecir nuevas crisis alimentarias provocadas por la especulación con los recursos agrarios. </w:t>
      </w:r>
    </w:p>
    <w:p w:rsidR="0018036E" w:rsidRPr="0018036E" w:rsidRDefault="0018036E" w:rsidP="00550638">
      <w:pPr>
        <w:pStyle w:val="NormalWeb"/>
        <w:jc w:val="both"/>
        <w:rPr>
          <w:u w:val="single"/>
        </w:rPr>
      </w:pPr>
      <w:r w:rsidRPr="0018036E">
        <w:rPr>
          <w:u w:val="single"/>
        </w:rPr>
        <w:t>Como los</w:t>
      </w:r>
      <w:r>
        <w:rPr>
          <w:u w:val="single"/>
        </w:rPr>
        <w:t xml:space="preserve"> alemanes son tan disciplinados,</w:t>
      </w:r>
      <w:r w:rsidRPr="0018036E">
        <w:rPr>
          <w:u w:val="single"/>
        </w:rPr>
        <w:t xml:space="preserve"> ya hay</w:t>
      </w:r>
      <w:r w:rsidR="003F4B86">
        <w:rPr>
          <w:u w:val="single"/>
        </w:rPr>
        <w:t xml:space="preserve"> casi</w:t>
      </w:r>
      <w:r w:rsidRPr="0018036E">
        <w:rPr>
          <w:u w:val="single"/>
        </w:rPr>
        <w:t xml:space="preserve"> 80</w:t>
      </w:r>
      <w:r>
        <w:rPr>
          <w:u w:val="single"/>
        </w:rPr>
        <w:t>0.000 jubilados que “disfrutan” de un</w:t>
      </w:r>
      <w:r w:rsidRPr="0018036E">
        <w:rPr>
          <w:u w:val="single"/>
        </w:rPr>
        <w:t xml:space="preserve"> minijob</w:t>
      </w:r>
      <w:r>
        <w:rPr>
          <w:u w:val="single"/>
        </w:rPr>
        <w:t xml:space="preserve"> (algunos “secretillos” del milagro alemán del S XXI)</w:t>
      </w:r>
    </w:p>
    <w:p w:rsidR="009B619B" w:rsidRPr="003F4B86" w:rsidRDefault="003F4B86" w:rsidP="00550638">
      <w:pPr>
        <w:spacing w:before="100" w:beforeAutospacing="1" w:after="100" w:afterAutospacing="1" w:line="240" w:lineRule="auto"/>
        <w:jc w:val="both"/>
        <w:rPr>
          <w:rFonts w:ascii="Times New Roman" w:eastAsia="Times New Roman" w:hAnsi="Times New Roman"/>
          <w:i/>
          <w:sz w:val="24"/>
          <w:szCs w:val="24"/>
          <w:lang w:eastAsia="es-ES"/>
        </w:rPr>
      </w:pPr>
      <w:r w:rsidRPr="00306A5D">
        <w:rPr>
          <w:rFonts w:ascii="Times New Roman" w:eastAsia="Times New Roman" w:hAnsi="Times New Roman"/>
          <w:sz w:val="24"/>
          <w:szCs w:val="24"/>
          <w:lang w:eastAsia="es-ES"/>
        </w:rPr>
        <w:t>“</w:t>
      </w:r>
      <w:r w:rsidR="009B619B" w:rsidRPr="003F4B86">
        <w:rPr>
          <w:rFonts w:ascii="Times New Roman" w:eastAsia="Times New Roman" w:hAnsi="Times New Roman"/>
          <w:i/>
          <w:sz w:val="24"/>
          <w:szCs w:val="24"/>
          <w:lang w:eastAsia="es-ES"/>
        </w:rPr>
        <w:t>Un total de 761.000 jubilados alemanes, 120.000 de ellos mayo</w:t>
      </w:r>
      <w:r w:rsidRPr="003F4B86">
        <w:rPr>
          <w:rFonts w:ascii="Times New Roman" w:eastAsia="Times New Roman" w:hAnsi="Times New Roman"/>
          <w:i/>
          <w:sz w:val="24"/>
          <w:szCs w:val="24"/>
          <w:lang w:eastAsia="es-ES"/>
        </w:rPr>
        <w:t>res de 75 años, trabajan en un “minijob”</w:t>
      </w:r>
      <w:r w:rsidR="009B619B" w:rsidRPr="003F4B86">
        <w:rPr>
          <w:rFonts w:ascii="Times New Roman" w:eastAsia="Times New Roman" w:hAnsi="Times New Roman"/>
          <w:i/>
          <w:sz w:val="24"/>
          <w:szCs w:val="24"/>
          <w:lang w:eastAsia="es-ES"/>
        </w:rPr>
        <w:t xml:space="preserve"> por necesidad o para mantenerse activos, con un incremento del 60 % desde el año 2000, según datos recabados en 2011</w:t>
      </w:r>
      <w:r>
        <w:rPr>
          <w:rFonts w:ascii="Times New Roman" w:eastAsia="Times New Roman" w:hAnsi="Times New Roman"/>
          <w:i/>
          <w:sz w:val="24"/>
          <w:szCs w:val="24"/>
          <w:lang w:eastAsia="es-ES"/>
        </w:rPr>
        <w:t>”..</w:t>
      </w:r>
      <w:r w:rsidR="009B619B" w:rsidRPr="003F4B86">
        <w:rPr>
          <w:rFonts w:ascii="Times New Roman" w:eastAsia="Times New Roman" w:hAnsi="Times New Roman"/>
          <w:i/>
          <w:sz w:val="24"/>
          <w:szCs w:val="24"/>
          <w:lang w:eastAsia="es-ES"/>
        </w:rPr>
        <w:t>.</w:t>
      </w:r>
      <w:r>
        <w:rPr>
          <w:rFonts w:ascii="Times New Roman" w:eastAsia="Times New Roman" w:hAnsi="Times New Roman"/>
          <w:i/>
          <w:sz w:val="24"/>
          <w:szCs w:val="24"/>
          <w:lang w:eastAsia="es-ES"/>
        </w:rPr>
        <w:t xml:space="preserve"> </w:t>
      </w:r>
      <w:r w:rsidRPr="00D6328C">
        <w:rPr>
          <w:rFonts w:ascii="Times New Roman" w:eastAsia="Times New Roman" w:hAnsi="Times New Roman"/>
          <w:sz w:val="24"/>
          <w:szCs w:val="24"/>
          <w:u w:val="single"/>
          <w:lang w:eastAsia="es-ES"/>
        </w:rPr>
        <w:t>Unos 800.000 jub</w:t>
      </w:r>
      <w:r>
        <w:rPr>
          <w:rFonts w:ascii="Times New Roman" w:eastAsia="Times New Roman" w:hAnsi="Times New Roman"/>
          <w:sz w:val="24"/>
          <w:szCs w:val="24"/>
          <w:u w:val="single"/>
          <w:lang w:eastAsia="es-ES"/>
        </w:rPr>
        <w:t>ilados alemanes trabajan en un “minijob”</w:t>
      </w:r>
      <w:r>
        <w:rPr>
          <w:rFonts w:ascii="Times New Roman" w:eastAsia="Times New Roman" w:hAnsi="Times New Roman"/>
          <w:sz w:val="24"/>
          <w:szCs w:val="24"/>
          <w:lang w:eastAsia="es-ES"/>
        </w:rPr>
        <w:t xml:space="preserve"> (Cinco Días - </w:t>
      </w:r>
      <w:r w:rsidRPr="00D6328C">
        <w:rPr>
          <w:rFonts w:ascii="Times New Roman" w:eastAsia="Times New Roman" w:hAnsi="Times New Roman"/>
          <w:b/>
          <w:sz w:val="24"/>
          <w:szCs w:val="24"/>
          <w:lang w:eastAsia="es-ES"/>
        </w:rPr>
        <w:t>28/8/12</w:t>
      </w:r>
      <w:r>
        <w:rPr>
          <w:rFonts w:ascii="Times New Roman" w:eastAsia="Times New Roman" w:hAnsi="Times New Roman"/>
          <w:sz w:val="24"/>
          <w:szCs w:val="24"/>
          <w:lang w:eastAsia="es-ES"/>
        </w:rPr>
        <w:t>)</w:t>
      </w:r>
    </w:p>
    <w:p w:rsidR="009B619B" w:rsidRPr="00D6328C"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D6328C">
        <w:rPr>
          <w:rFonts w:ascii="Times New Roman" w:eastAsia="Times New Roman" w:hAnsi="Times New Roman"/>
          <w:sz w:val="24"/>
          <w:szCs w:val="24"/>
          <w:lang w:eastAsia="es-ES"/>
        </w:rPr>
        <w:t>Ello se desprende de una respuesta del Gobierno federal a una interpelación parlamentaria del partido de La Izquierda que publica hoy el rotativo Süddeutsche Zeitung.</w:t>
      </w:r>
    </w:p>
    <w:p w:rsidR="009B619B" w:rsidRPr="003F4B86" w:rsidRDefault="003F4B86"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Los “minijob”</w:t>
      </w:r>
      <w:r w:rsidR="009B619B" w:rsidRPr="003F4B86">
        <w:rPr>
          <w:rFonts w:ascii="Times New Roman" w:eastAsia="Times New Roman" w:hAnsi="Times New Roman"/>
          <w:sz w:val="24"/>
          <w:szCs w:val="24"/>
          <w:lang w:eastAsia="es-ES"/>
        </w:rPr>
        <w:t xml:space="preserve"> se han hecho atractivos para los pensionistas desde su regulación en 2003 ya que permiten tener ingresos suplementarios por un trabajo mínimo de hasta 400 euros al mes que no son gravados fiscalmente ni deben cotizar en las cajas sociales. </w:t>
      </w:r>
    </w:p>
    <w:p w:rsidR="009B619B" w:rsidRPr="003F4B86"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3F4B86">
        <w:rPr>
          <w:rFonts w:ascii="Times New Roman" w:eastAsia="Times New Roman" w:hAnsi="Times New Roman"/>
          <w:sz w:val="24"/>
          <w:szCs w:val="24"/>
          <w:lang w:eastAsia="es-ES"/>
        </w:rPr>
        <w:t>Sin embargo, el diario subraya que aumenta también la cifra de pensionistas mayores de 65 años que no se conforman con un mini-empleo de hasta 400 euros al mes.</w:t>
      </w:r>
    </w:p>
    <w:p w:rsidR="009B619B" w:rsidRPr="003F4B86"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3F4B86">
        <w:rPr>
          <w:rFonts w:ascii="Times New Roman" w:eastAsia="Times New Roman" w:hAnsi="Times New Roman"/>
          <w:sz w:val="24"/>
          <w:szCs w:val="24"/>
          <w:lang w:eastAsia="es-ES"/>
        </w:rPr>
        <w:t>Según datos de la Agencia Federal de Empleo (BA) a finales de 2012 había en Alemania 154.000 personas en edad de jubilación que contaban con un empleo de plena cotización, cifra que se ha duplicado desde 1999.</w:t>
      </w:r>
    </w:p>
    <w:p w:rsidR="009B619B" w:rsidRPr="003F4B86"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3F4B86">
        <w:rPr>
          <w:rFonts w:ascii="Times New Roman" w:eastAsia="Times New Roman" w:hAnsi="Times New Roman"/>
          <w:sz w:val="24"/>
          <w:szCs w:val="24"/>
          <w:lang w:eastAsia="es-ES"/>
        </w:rPr>
        <w:t xml:space="preserve">La citada agencia subraya que la mayoría de ellos, unos 80.000 cuenta incluso con un puesto de trabajo de horario completo y destaca que la estadística no incluye a los trabajadores autónomos en edad de jubilación. </w:t>
      </w:r>
    </w:p>
    <w:p w:rsidR="009B619B" w:rsidRPr="003F4B86" w:rsidRDefault="003F4B86"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w:t>
      </w:r>
      <w:r w:rsidR="009B619B" w:rsidRPr="003F4B86">
        <w:rPr>
          <w:rFonts w:ascii="Times New Roman" w:eastAsia="Times New Roman" w:hAnsi="Times New Roman"/>
          <w:sz w:val="24"/>
          <w:szCs w:val="24"/>
          <w:lang w:eastAsia="es-ES"/>
        </w:rPr>
        <w:t>Muchos quieren trab</w:t>
      </w:r>
      <w:r>
        <w:rPr>
          <w:rFonts w:ascii="Times New Roman" w:eastAsia="Times New Roman" w:hAnsi="Times New Roman"/>
          <w:sz w:val="24"/>
          <w:szCs w:val="24"/>
          <w:lang w:eastAsia="es-ES"/>
        </w:rPr>
        <w:t>ajar porque se sienten en forma”</w:t>
      </w:r>
      <w:r w:rsidR="009B619B" w:rsidRPr="003F4B86">
        <w:rPr>
          <w:rFonts w:ascii="Times New Roman" w:eastAsia="Times New Roman" w:hAnsi="Times New Roman"/>
          <w:sz w:val="24"/>
          <w:szCs w:val="24"/>
          <w:lang w:eastAsia="es-ES"/>
        </w:rPr>
        <w:t>, declara en el rotativo Holger Schäfer, experto en mercado laboral del Instituto de la Economía Alemana (IW), quien comenta que una gran parte de esas personas en edad de jubilación cuentan con una elevada cualificación.</w:t>
      </w:r>
    </w:p>
    <w:p w:rsidR="009B619B" w:rsidRPr="003F4B86" w:rsidRDefault="003F4B86"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Añade que “</w:t>
      </w:r>
      <w:r w:rsidR="009B619B" w:rsidRPr="003F4B86">
        <w:rPr>
          <w:rFonts w:ascii="Times New Roman" w:eastAsia="Times New Roman" w:hAnsi="Times New Roman"/>
          <w:sz w:val="24"/>
          <w:szCs w:val="24"/>
          <w:lang w:eastAsia="es-ES"/>
        </w:rPr>
        <w:t>eso indica que las necesidades financieras no son en m</w:t>
      </w:r>
      <w:r>
        <w:rPr>
          <w:rFonts w:ascii="Times New Roman" w:eastAsia="Times New Roman" w:hAnsi="Times New Roman"/>
          <w:sz w:val="24"/>
          <w:szCs w:val="24"/>
          <w:lang w:eastAsia="es-ES"/>
        </w:rPr>
        <w:t>uchos casos el motivo principal”</w:t>
      </w:r>
      <w:r w:rsidR="009B619B" w:rsidRPr="003F4B86">
        <w:rPr>
          <w:rFonts w:ascii="Times New Roman" w:eastAsia="Times New Roman" w:hAnsi="Times New Roman"/>
          <w:sz w:val="24"/>
          <w:szCs w:val="24"/>
          <w:lang w:eastAsia="es-ES"/>
        </w:rPr>
        <w:t xml:space="preserve"> para seguir trabajando, pese a haber superado los 65 años de edad. </w:t>
      </w:r>
    </w:p>
    <w:p w:rsidR="009B619B" w:rsidRPr="003F4B86"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3F4B86">
        <w:rPr>
          <w:rFonts w:ascii="Times New Roman" w:eastAsia="Times New Roman" w:hAnsi="Times New Roman"/>
          <w:sz w:val="24"/>
          <w:szCs w:val="24"/>
          <w:lang w:eastAsia="es-ES"/>
        </w:rPr>
        <w:t>Por el contrario, Ulrike Mascher, presidenta del organismo social VdK, asegura que la mayoría de los 120.000 mayo</w:t>
      </w:r>
      <w:r w:rsidR="003F4B86">
        <w:rPr>
          <w:rFonts w:ascii="Times New Roman" w:eastAsia="Times New Roman" w:hAnsi="Times New Roman"/>
          <w:sz w:val="24"/>
          <w:szCs w:val="24"/>
          <w:lang w:eastAsia="es-ES"/>
        </w:rPr>
        <w:t>res de 75 años que practica un “minijob” “</w:t>
      </w:r>
      <w:r w:rsidRPr="003F4B86">
        <w:rPr>
          <w:rFonts w:ascii="Times New Roman" w:eastAsia="Times New Roman" w:hAnsi="Times New Roman"/>
          <w:sz w:val="24"/>
          <w:szCs w:val="24"/>
          <w:lang w:eastAsia="es-ES"/>
        </w:rPr>
        <w:t xml:space="preserve">no son precisamente profesores universitarios que quieren trabajar </w:t>
      </w:r>
      <w:r w:rsidR="003F4B86" w:rsidRPr="003F4B86">
        <w:rPr>
          <w:rFonts w:ascii="Times New Roman" w:eastAsia="Times New Roman" w:hAnsi="Times New Roman"/>
          <w:sz w:val="24"/>
          <w:szCs w:val="24"/>
          <w:lang w:eastAsia="es-ES"/>
        </w:rPr>
        <w:t>más</w:t>
      </w:r>
      <w:r w:rsidR="003F4B86">
        <w:rPr>
          <w:rFonts w:ascii="Times New Roman" w:eastAsia="Times New Roman" w:hAnsi="Times New Roman"/>
          <w:sz w:val="24"/>
          <w:szCs w:val="24"/>
          <w:lang w:eastAsia="es-ES"/>
        </w:rPr>
        <w:t xml:space="preserve"> tiempo”</w:t>
      </w:r>
      <w:r w:rsidRPr="003F4B86">
        <w:rPr>
          <w:rFonts w:ascii="Times New Roman" w:eastAsia="Times New Roman" w:hAnsi="Times New Roman"/>
          <w:sz w:val="24"/>
          <w:szCs w:val="24"/>
          <w:lang w:eastAsia="es-ES"/>
        </w:rPr>
        <w:t>.</w:t>
      </w:r>
    </w:p>
    <w:p w:rsidR="009B619B" w:rsidRPr="003F4B86" w:rsidRDefault="003F4B86"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9B619B" w:rsidRPr="003F4B86">
        <w:rPr>
          <w:rFonts w:ascii="Times New Roman" w:eastAsia="Times New Roman" w:hAnsi="Times New Roman"/>
          <w:sz w:val="24"/>
          <w:szCs w:val="24"/>
          <w:lang w:eastAsia="es-ES"/>
        </w:rPr>
        <w:t xml:space="preserve">Se trata </w:t>
      </w:r>
      <w:r w:rsidRPr="003F4B86">
        <w:rPr>
          <w:rFonts w:ascii="Times New Roman" w:eastAsia="Times New Roman" w:hAnsi="Times New Roman"/>
          <w:sz w:val="24"/>
          <w:szCs w:val="24"/>
          <w:lang w:eastAsia="es-ES"/>
        </w:rPr>
        <w:t>más</w:t>
      </w:r>
      <w:r w:rsidR="009B619B" w:rsidRPr="003F4B86">
        <w:rPr>
          <w:rFonts w:ascii="Times New Roman" w:eastAsia="Times New Roman" w:hAnsi="Times New Roman"/>
          <w:sz w:val="24"/>
          <w:szCs w:val="24"/>
          <w:lang w:eastAsia="es-ES"/>
        </w:rPr>
        <w:t xml:space="preserve"> bien de jubilados que reparten periódicos, llenan las estanterías de supermercados y practican otros oficios poco atract</w:t>
      </w:r>
      <w:r>
        <w:rPr>
          <w:rFonts w:ascii="Times New Roman" w:eastAsia="Times New Roman" w:hAnsi="Times New Roman"/>
          <w:sz w:val="24"/>
          <w:szCs w:val="24"/>
          <w:lang w:eastAsia="es-ES"/>
        </w:rPr>
        <w:t>ivos para mejorar sus pensiones”</w:t>
      </w:r>
      <w:r w:rsidR="009B619B" w:rsidRPr="003F4B86">
        <w:rPr>
          <w:rFonts w:ascii="Times New Roman" w:eastAsia="Times New Roman" w:hAnsi="Times New Roman"/>
          <w:sz w:val="24"/>
          <w:szCs w:val="24"/>
          <w:lang w:eastAsia="es-ES"/>
        </w:rPr>
        <w:t>, señala la experta, para quien aumenta el número de personas a quienes no les alcanza su pensión para vivir.</w:t>
      </w:r>
    </w:p>
    <w:p w:rsidR="003F4B86" w:rsidRPr="003F4B86"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3F4B86">
        <w:rPr>
          <w:rFonts w:ascii="Times New Roman" w:eastAsia="Times New Roman" w:hAnsi="Times New Roman"/>
          <w:sz w:val="24"/>
          <w:szCs w:val="24"/>
          <w:lang w:eastAsia="es-ES"/>
        </w:rPr>
        <w:t>Las cifras del gobierno confirman además que las pensiones se han ido reduciendo de manera continuada y quien en 2000 se convirtió en pensionista tras 35 años de vida laboral sobraba una renta media de 1.035 euros, que se han reducido a 953 en 2011.</w:t>
      </w:r>
    </w:p>
    <w:p w:rsidR="003F4B86" w:rsidRPr="003F4B86" w:rsidRDefault="003F4B86" w:rsidP="00550638">
      <w:pPr>
        <w:shd w:val="clear" w:color="auto" w:fill="FFFFFF"/>
        <w:spacing w:line="240" w:lineRule="auto"/>
        <w:jc w:val="both"/>
        <w:rPr>
          <w:rFonts w:ascii="Times New Roman" w:eastAsia="Times New Roman" w:hAnsi="Times New Roman"/>
          <w:sz w:val="24"/>
          <w:szCs w:val="24"/>
          <w:u w:val="single"/>
          <w:lang w:eastAsia="es-ES"/>
        </w:rPr>
      </w:pPr>
      <w:r w:rsidRPr="003F4B86">
        <w:rPr>
          <w:rFonts w:ascii="Times New Roman" w:eastAsia="Times New Roman" w:hAnsi="Times New Roman"/>
          <w:sz w:val="24"/>
          <w:szCs w:val="24"/>
          <w:u w:val="single"/>
          <w:lang w:eastAsia="es-ES"/>
        </w:rPr>
        <w:t xml:space="preserve">No comment: </w:t>
      </w:r>
      <w:r w:rsidR="00C16427" w:rsidRPr="003F4B86">
        <w:rPr>
          <w:rFonts w:ascii="Times New Roman" w:eastAsia="Times New Roman" w:hAnsi="Times New Roman"/>
          <w:sz w:val="24"/>
          <w:szCs w:val="24"/>
          <w:u w:val="single"/>
          <w:lang w:eastAsia="es-ES"/>
        </w:rPr>
        <w:t>cómo</w:t>
      </w:r>
      <w:r w:rsidRPr="003F4B86">
        <w:rPr>
          <w:rFonts w:ascii="Times New Roman" w:eastAsia="Times New Roman" w:hAnsi="Times New Roman"/>
          <w:sz w:val="24"/>
          <w:szCs w:val="24"/>
          <w:u w:val="single"/>
          <w:lang w:eastAsia="es-ES"/>
        </w:rPr>
        <w:t xml:space="preserve"> justificar lo injustificable (¿viejos ‘minijobeando’ en McDonald´s?)</w:t>
      </w:r>
    </w:p>
    <w:p w:rsidR="009B619B" w:rsidRDefault="009B619B" w:rsidP="00550638">
      <w:pPr>
        <w:shd w:val="clear" w:color="auto" w:fill="FFFFFF"/>
        <w:spacing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AD6735">
        <w:rPr>
          <w:rFonts w:ascii="Times New Roman" w:eastAsia="Times New Roman" w:hAnsi="Times New Roman"/>
          <w:sz w:val="24"/>
          <w:szCs w:val="24"/>
          <w:u w:val="single"/>
          <w:lang w:eastAsia="es-ES"/>
        </w:rPr>
        <w:t>Jubilación y trabajo</w:t>
      </w:r>
      <w:r>
        <w:rPr>
          <w:rFonts w:ascii="Times New Roman" w:eastAsia="Times New Roman" w:hAnsi="Times New Roman"/>
          <w:sz w:val="24"/>
          <w:szCs w:val="24"/>
          <w:lang w:eastAsia="es-ES"/>
        </w:rPr>
        <w:t xml:space="preserve"> (El Confidencial - </w:t>
      </w:r>
      <w:r w:rsidRPr="00AD6735">
        <w:rPr>
          <w:rFonts w:ascii="Times New Roman" w:eastAsia="Times New Roman" w:hAnsi="Times New Roman"/>
          <w:b/>
          <w:sz w:val="24"/>
          <w:szCs w:val="24"/>
          <w:lang w:eastAsia="es-ES"/>
        </w:rPr>
        <w:t>5/9/12</w:t>
      </w:r>
      <w:r>
        <w:rPr>
          <w:rFonts w:ascii="Times New Roman" w:eastAsia="Times New Roman" w:hAnsi="Times New Roman"/>
          <w:sz w:val="24"/>
          <w:szCs w:val="24"/>
          <w:lang w:eastAsia="es-ES"/>
        </w:rPr>
        <w:t>)</w:t>
      </w:r>
      <w:r w:rsidR="003F4B86">
        <w:rPr>
          <w:rFonts w:ascii="Times New Roman" w:eastAsia="Times New Roman" w:hAnsi="Times New Roman"/>
          <w:sz w:val="24"/>
          <w:szCs w:val="24"/>
          <w:lang w:eastAsia="es-ES"/>
        </w:rPr>
        <w:t xml:space="preserve">                              Lectura recomendada</w:t>
      </w:r>
    </w:p>
    <w:p w:rsidR="009B619B" w:rsidRDefault="009B619B" w:rsidP="00550638">
      <w:pPr>
        <w:pStyle w:val="centro-texto-opinion"/>
        <w:jc w:val="both"/>
      </w:pPr>
      <w:r>
        <w:rPr>
          <w:rStyle w:val="firma-negra-grande"/>
        </w:rPr>
        <w:t>(Por Juan Manuel López-Zafra)</w:t>
      </w:r>
    </w:p>
    <w:p w:rsidR="009B619B" w:rsidRPr="00813DF6" w:rsidRDefault="009B619B" w:rsidP="00550638">
      <w:pPr>
        <w:pStyle w:val="NormalWeb"/>
        <w:jc w:val="both"/>
        <w:rPr>
          <w:u w:val="single"/>
        </w:rPr>
      </w:pPr>
      <w:r w:rsidRPr="00813DF6">
        <w:rPr>
          <w:u w:val="single"/>
        </w:rPr>
        <w:t xml:space="preserve">La semana pasada fue noticia el hecho de que unos 800.000 jubilados alemanes, de ellos más de 100.000 mayores de 75 años, completasen su pensión con contratos de trabajo a tiempo parcial, los famosos </w:t>
      </w:r>
      <w:r w:rsidR="00580594">
        <w:rPr>
          <w:u w:val="single"/>
        </w:rPr>
        <w:t>“</w:t>
      </w:r>
      <w:r w:rsidRPr="00580594">
        <w:rPr>
          <w:iCs/>
          <w:u w:val="single"/>
        </w:rPr>
        <w:t>minijobs</w:t>
      </w:r>
      <w:r w:rsidR="00580594">
        <w:rPr>
          <w:iCs/>
          <w:u w:val="single"/>
        </w:rPr>
        <w:t>”</w:t>
      </w:r>
      <w:r w:rsidRPr="00580594">
        <w:rPr>
          <w:u w:val="single"/>
        </w:rPr>
        <w:t>.</w:t>
      </w:r>
      <w:r w:rsidRPr="00813DF6">
        <w:rPr>
          <w:u w:val="single"/>
        </w:rPr>
        <w:t xml:space="preserve"> A una buena parte del pensamiento económico tradicional le parece aberrante que alguien que ha trabajado toda su vida </w:t>
      </w:r>
      <w:r w:rsidR="00580594">
        <w:rPr>
          <w:u w:val="single"/>
        </w:rPr>
        <w:t>“</w:t>
      </w:r>
      <w:r w:rsidRPr="00580594">
        <w:rPr>
          <w:iCs/>
          <w:u w:val="single"/>
        </w:rPr>
        <w:t>deba</w:t>
      </w:r>
      <w:r w:rsidR="00580594">
        <w:rPr>
          <w:iCs/>
          <w:u w:val="single"/>
        </w:rPr>
        <w:t>”</w:t>
      </w:r>
      <w:r w:rsidRPr="00813DF6">
        <w:rPr>
          <w:i/>
          <w:iCs/>
          <w:u w:val="single"/>
        </w:rPr>
        <w:t xml:space="preserve"> </w:t>
      </w:r>
      <w:r w:rsidRPr="00813DF6">
        <w:rPr>
          <w:u w:val="single"/>
        </w:rPr>
        <w:t>seguir haciéndolo una vez alcanzada la edad legal de jubilación.</w:t>
      </w:r>
    </w:p>
    <w:p w:rsidR="009B619B" w:rsidRDefault="009B619B" w:rsidP="00550638">
      <w:pPr>
        <w:pStyle w:val="NormalWeb"/>
        <w:jc w:val="both"/>
      </w:pPr>
      <w:r>
        <w:t xml:space="preserve">Recordemos, en primer lugar, que la jubilación es un derecho garantizado por nuestra Constitución, no una obligación. Pero el problema es mucho más profundo, pues tiene esencialmente que ver con la </w:t>
      </w:r>
      <w:r w:rsidRPr="00286B12">
        <w:rPr>
          <w:bCs/>
        </w:rPr>
        <w:t>evolución demográfica</w:t>
      </w:r>
      <w:r>
        <w:t xml:space="preserve">, la </w:t>
      </w:r>
      <w:r w:rsidRPr="00286B12">
        <w:rPr>
          <w:bCs/>
        </w:rPr>
        <w:t>esperanza de vida</w:t>
      </w:r>
      <w:r>
        <w:t xml:space="preserve">, la situación física y mental de nuestros jubilados, la </w:t>
      </w:r>
      <w:r w:rsidRPr="00286B12">
        <w:rPr>
          <w:bCs/>
        </w:rPr>
        <w:t>sostenibilidad del sistema de pensiones</w:t>
      </w:r>
      <w:r>
        <w:rPr>
          <w:b/>
          <w:bCs/>
        </w:rPr>
        <w:t xml:space="preserve"> </w:t>
      </w:r>
      <w:r>
        <w:t xml:space="preserve">y la </w:t>
      </w:r>
      <w:r w:rsidRPr="00286B12">
        <w:rPr>
          <w:bCs/>
        </w:rPr>
        <w:t>libertad individual</w:t>
      </w:r>
      <w:r>
        <w:t>.</w:t>
      </w:r>
    </w:p>
    <w:p w:rsidR="009B619B" w:rsidRPr="00813DF6" w:rsidRDefault="009B619B" w:rsidP="00550638">
      <w:pPr>
        <w:pStyle w:val="NormalWeb"/>
        <w:jc w:val="both"/>
        <w:rPr>
          <w:u w:val="single"/>
        </w:rPr>
      </w:pPr>
      <w:r w:rsidRPr="00813DF6">
        <w:rPr>
          <w:u w:val="single"/>
        </w:rPr>
        <w:t>España ha sido, hasta hace poco, uno de los países con la población más joven de Europa. Es interesante observar cómo, en sólo 60 años, España ha pasado de contar con algo más de un 25% de menores de 15 años a menos de un 15% en 2011, mientras que el resto de países del entorno se han mantenido en cifras relativas de alrededor del 20% de forma bastante estable.</w:t>
      </w:r>
    </w:p>
    <w:p w:rsidR="009B619B" w:rsidRDefault="008E08FE" w:rsidP="00550638">
      <w:pPr>
        <w:pStyle w:val="NormalWeb"/>
        <w:jc w:val="both"/>
      </w:pPr>
      <w:r>
        <w:lastRenderedPageBreak/>
        <w:t xml:space="preserve">         </w:t>
      </w:r>
      <w:r w:rsidR="009B619B">
        <w:rPr>
          <w:noProof/>
        </w:rPr>
        <w:drawing>
          <wp:inline distT="0" distB="0" distL="0" distR="0" wp14:anchorId="53BE3D96" wp14:editId="444D8BDE">
            <wp:extent cx="4740275" cy="2340610"/>
            <wp:effectExtent l="0" t="0" r="3175" b="2540"/>
            <wp:docPr id="112" name="Imagen 112" descr="2012090390dat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2012090390data1"/>
                    <pic:cNvPicPr>
                      <a:picLocks noChangeAspect="1" noChangeArrowheads="1"/>
                    </pic:cNvPicPr>
                  </pic:nvPicPr>
                  <pic:blipFill>
                    <a:blip r:embed="rId554">
                      <a:extLst>
                        <a:ext uri="{28A0092B-C50C-407E-A947-70E740481C1C}">
                          <a14:useLocalDpi xmlns:a14="http://schemas.microsoft.com/office/drawing/2010/main" val="0"/>
                        </a:ext>
                      </a:extLst>
                    </a:blip>
                    <a:srcRect/>
                    <a:stretch>
                      <a:fillRect/>
                    </a:stretch>
                  </pic:blipFill>
                  <pic:spPr bwMode="auto">
                    <a:xfrm>
                      <a:off x="0" y="0"/>
                      <a:ext cx="4740275" cy="2340610"/>
                    </a:xfrm>
                    <a:prstGeom prst="rect">
                      <a:avLst/>
                    </a:prstGeom>
                    <a:noFill/>
                    <a:ln>
                      <a:noFill/>
                    </a:ln>
                  </pic:spPr>
                </pic:pic>
              </a:graphicData>
            </a:graphic>
          </wp:inline>
        </w:drawing>
      </w:r>
    </w:p>
    <w:p w:rsidR="009B619B" w:rsidRPr="00286B12" w:rsidRDefault="009B619B" w:rsidP="00550638">
      <w:pPr>
        <w:pStyle w:val="NormalWeb"/>
        <w:jc w:val="both"/>
      </w:pPr>
      <w:r w:rsidRPr="00286B12">
        <w:rPr>
          <w:bCs/>
        </w:rPr>
        <w:t>Múltiplos de incremento de los distintos grupos de edad de la población española desde 1900 (Base: 1900, factor 1). Ya_b indica grupo de edades entre a y b años.</w:t>
      </w:r>
    </w:p>
    <w:p w:rsidR="009B619B" w:rsidRPr="00813DF6" w:rsidRDefault="009B619B" w:rsidP="00550638">
      <w:pPr>
        <w:pStyle w:val="NormalWeb"/>
        <w:jc w:val="both"/>
        <w:rPr>
          <w:u w:val="single"/>
        </w:rPr>
      </w:pPr>
      <w:r w:rsidRPr="00813DF6">
        <w:rPr>
          <w:u w:val="single"/>
        </w:rPr>
        <w:t xml:space="preserve">En el último siglo, la población española ha duplicado sus efectivos, al tiempo que el número de personas de edad ha crecido en casi siete veces (actualmente, más de 17 de cada 100 españoles) y los octogenarios se han multiplicado por trece; éstos ya suponen alrededor del 5% de la población (casi el 30% de los mayores). En 2050 se estima que sean ya el 10% de toda la población española. </w:t>
      </w:r>
    </w:p>
    <w:p w:rsidR="009B619B" w:rsidRPr="00813DF6" w:rsidRDefault="009B619B" w:rsidP="00550638">
      <w:pPr>
        <w:pStyle w:val="NormalWeb"/>
        <w:jc w:val="both"/>
        <w:rPr>
          <w:u w:val="single"/>
        </w:rPr>
      </w:pPr>
      <w:r w:rsidRPr="00813DF6">
        <w:rPr>
          <w:u w:val="single"/>
        </w:rPr>
        <w:t xml:space="preserve">Según </w:t>
      </w:r>
      <w:r w:rsidRPr="00813DF6">
        <w:rPr>
          <w:i/>
          <w:iCs/>
          <w:u w:val="single"/>
        </w:rPr>
        <w:t>The 2012 Ageing Report. Economic and budgetary projections for the 27 EU Member States (2010-2060)</w:t>
      </w:r>
      <w:r w:rsidRPr="00813DF6">
        <w:rPr>
          <w:u w:val="single"/>
        </w:rPr>
        <w:t xml:space="preserve"> de la Comisión, se prevé un fuerte aumento en Europa (y en España en particular) de la tasa de dependencia de la tercera edad (población de 65 y más años como porcentaje de la población de 20-64 años), desde el 28,4% en 2010 (España, 26,8%) al 55% en 2050 (España, 62%).</w:t>
      </w:r>
    </w:p>
    <w:p w:rsidR="009B619B" w:rsidRDefault="008E08FE" w:rsidP="00550638">
      <w:pPr>
        <w:pStyle w:val="NormalWeb"/>
        <w:jc w:val="both"/>
      </w:pPr>
      <w:r>
        <w:t xml:space="preserve">         </w:t>
      </w:r>
      <w:r w:rsidR="009B619B">
        <w:rPr>
          <w:noProof/>
        </w:rPr>
        <w:drawing>
          <wp:inline distT="0" distB="0" distL="0" distR="0" wp14:anchorId="6DFB9E76" wp14:editId="68FAF466">
            <wp:extent cx="4740250" cy="2377440"/>
            <wp:effectExtent l="0" t="0" r="3810" b="3810"/>
            <wp:docPr id="111" name="Imagen 111" descr="2012090357dat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2012090357data2"/>
                    <pic:cNvPicPr>
                      <a:picLocks noChangeAspect="1" noChangeArrowheads="1"/>
                    </pic:cNvPicPr>
                  </pic:nvPicPr>
                  <pic:blipFill>
                    <a:blip r:embed="rId555">
                      <a:extLst>
                        <a:ext uri="{28A0092B-C50C-407E-A947-70E740481C1C}">
                          <a14:useLocalDpi xmlns:a14="http://schemas.microsoft.com/office/drawing/2010/main" val="0"/>
                        </a:ext>
                      </a:extLst>
                    </a:blip>
                    <a:srcRect/>
                    <a:stretch>
                      <a:fillRect/>
                    </a:stretch>
                  </pic:blipFill>
                  <pic:spPr bwMode="auto">
                    <a:xfrm>
                      <a:off x="0" y="0"/>
                      <a:ext cx="4740275" cy="2377453"/>
                    </a:xfrm>
                    <a:prstGeom prst="rect">
                      <a:avLst/>
                    </a:prstGeom>
                    <a:noFill/>
                    <a:ln>
                      <a:noFill/>
                    </a:ln>
                  </pic:spPr>
                </pic:pic>
              </a:graphicData>
            </a:graphic>
          </wp:inline>
        </w:drawing>
      </w:r>
    </w:p>
    <w:p w:rsidR="009B619B" w:rsidRPr="00BF31FE" w:rsidRDefault="009B619B" w:rsidP="00550638">
      <w:pPr>
        <w:pStyle w:val="NormalWeb"/>
        <w:jc w:val="both"/>
      </w:pPr>
      <w:r w:rsidRPr="00286B12">
        <w:rPr>
          <w:bCs/>
        </w:rPr>
        <w:t xml:space="preserve">Población de 65 años y más, en tanto por ciento del total. </w:t>
      </w:r>
      <w:r w:rsidRPr="00BF31FE">
        <w:rPr>
          <w:bCs/>
          <w:iCs/>
        </w:rPr>
        <w:t>2012 Ageing Report 2010-2060</w:t>
      </w:r>
      <w:r w:rsidRPr="00BF31FE">
        <w:rPr>
          <w:bCs/>
        </w:rPr>
        <w:t>.</w:t>
      </w:r>
    </w:p>
    <w:p w:rsidR="009B619B" w:rsidRPr="00813DF6" w:rsidRDefault="009B619B" w:rsidP="00550638">
      <w:pPr>
        <w:pStyle w:val="NormalWeb"/>
        <w:jc w:val="both"/>
        <w:rPr>
          <w:u w:val="single"/>
        </w:rPr>
      </w:pPr>
      <w:r w:rsidRPr="00813DF6">
        <w:rPr>
          <w:u w:val="single"/>
        </w:rPr>
        <w:t xml:space="preserve">Las implicaciones del aumento de la longevidad de los mayores son muy evidentes sobre la capacidad financiera de la Seguridad Social. Así, cada vez son más los mayores y viven cada vez más tiempo. Hace 20 años la esperanza de vida de una mujer que se </w:t>
      </w:r>
      <w:r w:rsidRPr="00813DF6">
        <w:rPr>
          <w:u w:val="single"/>
        </w:rPr>
        <w:lastRenderedPageBreak/>
        <w:t>jubilase con 65 años era de unos 19; hoy excede los 22. Y todo ello, insisto, en sólo 20 años.</w:t>
      </w:r>
    </w:p>
    <w:p w:rsidR="009B619B" w:rsidRDefault="008E08FE" w:rsidP="00550638">
      <w:pPr>
        <w:pStyle w:val="NormalWeb"/>
        <w:jc w:val="both"/>
      </w:pPr>
      <w:r>
        <w:t xml:space="preserve">          </w:t>
      </w:r>
      <w:r w:rsidR="009B619B">
        <w:rPr>
          <w:noProof/>
        </w:rPr>
        <w:drawing>
          <wp:inline distT="0" distB="0" distL="0" distR="0" wp14:anchorId="7E7EDDAB" wp14:editId="640AE98C">
            <wp:extent cx="4740250" cy="2099463"/>
            <wp:effectExtent l="0" t="0" r="3810" b="0"/>
            <wp:docPr id="110" name="Imagen 110" descr="2012090350dat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012090350data3"/>
                    <pic:cNvPicPr>
                      <a:picLocks noChangeAspect="1" noChangeArrowheads="1"/>
                    </pic:cNvPicPr>
                  </pic:nvPicPr>
                  <pic:blipFill>
                    <a:blip r:embed="rId556">
                      <a:extLst>
                        <a:ext uri="{28A0092B-C50C-407E-A947-70E740481C1C}">
                          <a14:useLocalDpi xmlns:a14="http://schemas.microsoft.com/office/drawing/2010/main" val="0"/>
                        </a:ext>
                      </a:extLst>
                    </a:blip>
                    <a:srcRect/>
                    <a:stretch>
                      <a:fillRect/>
                    </a:stretch>
                  </pic:blipFill>
                  <pic:spPr bwMode="auto">
                    <a:xfrm>
                      <a:off x="0" y="0"/>
                      <a:ext cx="4740275" cy="2099474"/>
                    </a:xfrm>
                    <a:prstGeom prst="rect">
                      <a:avLst/>
                    </a:prstGeom>
                    <a:noFill/>
                    <a:ln>
                      <a:noFill/>
                    </a:ln>
                  </pic:spPr>
                </pic:pic>
              </a:graphicData>
            </a:graphic>
          </wp:inline>
        </w:drawing>
      </w:r>
    </w:p>
    <w:p w:rsidR="009B619B" w:rsidRPr="00286B12" w:rsidRDefault="009B619B" w:rsidP="00550638">
      <w:pPr>
        <w:pStyle w:val="NormalWeb"/>
        <w:jc w:val="both"/>
      </w:pPr>
      <w:r w:rsidRPr="00286B12">
        <w:rPr>
          <w:bCs/>
        </w:rPr>
        <w:t>Evolución de la esperanza de vida a los 65 años desde 1991; Hombres y Mujeres. Datos INE.</w:t>
      </w:r>
    </w:p>
    <w:p w:rsidR="009B619B" w:rsidRDefault="009B619B" w:rsidP="00550638">
      <w:pPr>
        <w:pStyle w:val="NormalWeb"/>
        <w:jc w:val="both"/>
      </w:pPr>
      <w:r>
        <w:t>La Ley General de la Seguridad Social (LGSS) de 1994 establecía la incompatibilidad entre “el disfrute de la pensión de jubilación en su modalidad contributiva” con “con el trabajo del pensionista;” posteriormente, esto se corrigió en 2001, señalando desde entonces el art. 165.1 de la LGSS que “</w:t>
      </w:r>
      <w:r w:rsidRPr="00286B12">
        <w:rPr>
          <w:bCs/>
        </w:rPr>
        <w:t>las personas que accedan a la jubilación podrán compatibilizar el percibo de la pensión con un trabajo a tiempo parcial</w:t>
      </w:r>
      <w:r>
        <w:t xml:space="preserve"> en los términos que reg</w:t>
      </w:r>
      <w:r w:rsidR="008E08FE">
        <w:t>lamentariamente se establezcan”.</w:t>
      </w:r>
    </w:p>
    <w:p w:rsidR="009B619B" w:rsidRPr="00813DF6" w:rsidRDefault="009B619B" w:rsidP="00550638">
      <w:pPr>
        <w:pStyle w:val="NormalWeb"/>
        <w:jc w:val="both"/>
        <w:rPr>
          <w:u w:val="single"/>
        </w:rPr>
      </w:pPr>
      <w:r w:rsidRPr="00813DF6">
        <w:rPr>
          <w:u w:val="single"/>
        </w:rPr>
        <w:t xml:space="preserve">Tal y como recoge la Comisión Europea en su </w:t>
      </w:r>
      <w:r w:rsidRPr="00813DF6">
        <w:rPr>
          <w:i/>
          <w:iCs/>
          <w:u w:val="single"/>
        </w:rPr>
        <w:t>White paper. An agenda for adequate, safe and sustainable pension</w:t>
      </w:r>
      <w:r w:rsidRPr="00813DF6">
        <w:rPr>
          <w:u w:val="single"/>
        </w:rPr>
        <w:t xml:space="preserve">s de este año, las pensiones públicas suponen alrededor del 60% de los ingresos de los mayores de 65 años. Actualmente, </w:t>
      </w:r>
      <w:r w:rsidRPr="00286B12">
        <w:rPr>
          <w:bCs/>
          <w:u w:val="single"/>
        </w:rPr>
        <w:t>más de 4,1 millones de europeos de más de 65 años están empleados</w:t>
      </w:r>
      <w:r w:rsidRPr="00286B12">
        <w:rPr>
          <w:u w:val="single"/>
        </w:rPr>
        <w:t>,</w:t>
      </w:r>
      <w:r w:rsidRPr="00813DF6">
        <w:rPr>
          <w:u w:val="single"/>
        </w:rPr>
        <w:t xml:space="preserve"> y si analizamos las tasas de empleo de los jubilados en la UE27 podemos observar que estas cifras, coincidiendo con la crisis, se han incrementado. Como se desprende de la Encuesta Europea sobre Fuerza de Trabajo (2011), la tasa de empleo de la población de entre 65 y 69 años en la EU27 ha pasado del 8,8% en 2005 al 10,5% en 2011; en España las cifras se sitúan en 4,5% y 5%, en el mismo periodo, con lo que el margen de crecimiento es importante. </w:t>
      </w:r>
    </w:p>
    <w:p w:rsidR="009B619B" w:rsidRDefault="009B619B" w:rsidP="00550638">
      <w:pPr>
        <w:pStyle w:val="NormalWeb"/>
        <w:jc w:val="both"/>
      </w:pPr>
      <w:r w:rsidRPr="00813DF6">
        <w:rPr>
          <w:u w:val="single"/>
        </w:rPr>
        <w:t xml:space="preserve">La misma tasa en 2011 es en Finlandia del 11,7%, y en el Reino Unido del 19,1%. Parece pues que facilitando el trabajo después de la jubilación a aquellos que quieren trabajar se puede contribuir a la sostenibilidad del sistema público de pensiones. </w:t>
      </w:r>
      <w:r w:rsidRPr="00286B12">
        <w:rPr>
          <w:bCs/>
          <w:u w:val="single"/>
        </w:rPr>
        <w:t>En la mayoría de estados miembros es posible combinar los ingresos obtenidos del trabajo</w:t>
      </w:r>
      <w:r w:rsidRPr="00813DF6">
        <w:rPr>
          <w:u w:val="single"/>
        </w:rPr>
        <w:t xml:space="preserve">, ya sea por cuenta ajena o el autoempleo, </w:t>
      </w:r>
      <w:r w:rsidRPr="00286B12">
        <w:rPr>
          <w:bCs/>
          <w:u w:val="single"/>
        </w:rPr>
        <w:t>con la percepción de prestaciones de jubilación</w:t>
      </w:r>
      <w:r w:rsidRPr="00286B12">
        <w:rPr>
          <w:u w:val="single"/>
        </w:rPr>
        <w:t>,</w:t>
      </w:r>
      <w:r w:rsidRPr="00813DF6">
        <w:rPr>
          <w:u w:val="single"/>
        </w:rPr>
        <w:t xml:space="preserve"> como señala el informe de Eurofound del próximo octubre, </w:t>
      </w:r>
      <w:r w:rsidRPr="00813DF6">
        <w:rPr>
          <w:i/>
          <w:iCs/>
          <w:u w:val="single"/>
        </w:rPr>
        <w:t>Income from work after retirement in the EU</w:t>
      </w:r>
      <w:r>
        <w:rPr>
          <w:i/>
          <w:iCs/>
        </w:rPr>
        <w:t>.</w:t>
      </w:r>
      <w:r>
        <w:t xml:space="preserve"> El objetivo principal de esta medida es apoyar la participación en el mercado laboral de los trabajadores de más edad, si bien las posibilidades que se ofrecen son diferentes; algunos ofrecen posibilidades ilimitadas para la suspensión de las pensiones, mientras que en otros los beneficios sólo se dan si los ingresos por trabajo no exceden de determinadas cantidades.</w:t>
      </w:r>
    </w:p>
    <w:p w:rsidR="009B619B" w:rsidRPr="00286B12" w:rsidRDefault="009B619B" w:rsidP="00550638">
      <w:pPr>
        <w:pStyle w:val="NormalWeb"/>
        <w:jc w:val="both"/>
        <w:rPr>
          <w:color w:val="FF0000"/>
          <w:u w:val="single"/>
        </w:rPr>
      </w:pPr>
      <w:r w:rsidRPr="00813DF6">
        <w:rPr>
          <w:color w:val="FF0000"/>
          <w:u w:val="single"/>
        </w:rPr>
        <w:t xml:space="preserve">Si el objetivo básico de los sistemas de pensiones de jubilación es proporcionar unos ingresos adecuados para así permitir que la población mayor disfrute de un nivel de vida </w:t>
      </w:r>
      <w:r w:rsidRPr="00813DF6">
        <w:rPr>
          <w:color w:val="FF0000"/>
          <w:u w:val="single"/>
        </w:rPr>
        <w:lastRenderedPageBreak/>
        <w:t xml:space="preserve">digno y goce de independencia económica, queda entonces mucho camino por recorrer. Si bien las reformas recientes de las pensiones públicas han tendido a mejorar o mantener el nivel de protección frente a la pobreza, en el futuro próximo las tasas de reemplazo, es decir, </w:t>
      </w:r>
      <w:r w:rsidRPr="00286B12">
        <w:rPr>
          <w:bCs/>
          <w:color w:val="FF0000"/>
          <w:u w:val="single"/>
        </w:rPr>
        <w:t>el número de pensiones comparadas con las cotizaciones realizadas</w:t>
      </w:r>
      <w:r w:rsidRPr="00286B12">
        <w:rPr>
          <w:color w:val="FF0000"/>
          <w:u w:val="single"/>
        </w:rPr>
        <w:t xml:space="preserve">, </w:t>
      </w:r>
      <w:r w:rsidRPr="00286B12">
        <w:rPr>
          <w:bCs/>
          <w:color w:val="FF0000"/>
          <w:u w:val="single"/>
        </w:rPr>
        <w:t>disminuirá considerablemente</w:t>
      </w:r>
      <w:r w:rsidRPr="00286B12">
        <w:rPr>
          <w:color w:val="FF0000"/>
          <w:u w:val="single"/>
        </w:rPr>
        <w:t xml:space="preserve">. </w:t>
      </w:r>
    </w:p>
    <w:p w:rsidR="009B619B" w:rsidRDefault="009B619B" w:rsidP="00550638">
      <w:pPr>
        <w:pStyle w:val="NormalWeb"/>
        <w:jc w:val="both"/>
      </w:pPr>
      <w:r>
        <w:t>La proporción de población en edad de trabajar (15-64 años) cae asimismo en España de forma alarmante, mientras que la tasa de empleo de trabajadores de más edad (55 a 64 años) ha crecido desde el 39,2% en 2001 al 43,6% en 2010, aunque todavía se encuentra por debajo de la media de la UE27: 46,3%.</w:t>
      </w:r>
    </w:p>
    <w:p w:rsidR="009B619B" w:rsidRPr="00286B12" w:rsidRDefault="008E08FE" w:rsidP="00550638">
      <w:pPr>
        <w:pStyle w:val="NormalWeb"/>
        <w:jc w:val="both"/>
      </w:pPr>
      <w:r>
        <w:t xml:space="preserve">        </w:t>
      </w:r>
      <w:r w:rsidR="009B619B">
        <w:rPr>
          <w:noProof/>
        </w:rPr>
        <w:drawing>
          <wp:inline distT="0" distB="0" distL="0" distR="0" wp14:anchorId="11AE8697" wp14:editId="6F6E0374">
            <wp:extent cx="4732934" cy="2318918"/>
            <wp:effectExtent l="0" t="0" r="0" b="5715"/>
            <wp:docPr id="109" name="Imagen 109" descr="2012090378dat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2012090378data4"/>
                    <pic:cNvPicPr>
                      <a:picLocks noChangeAspect="1" noChangeArrowheads="1"/>
                    </pic:cNvPicPr>
                  </pic:nvPicPr>
                  <pic:blipFill>
                    <a:blip r:embed="rId557">
                      <a:extLst>
                        <a:ext uri="{28A0092B-C50C-407E-A947-70E740481C1C}">
                          <a14:useLocalDpi xmlns:a14="http://schemas.microsoft.com/office/drawing/2010/main" val="0"/>
                        </a:ext>
                      </a:extLst>
                    </a:blip>
                    <a:srcRect/>
                    <a:stretch>
                      <a:fillRect/>
                    </a:stretch>
                  </pic:blipFill>
                  <pic:spPr bwMode="auto">
                    <a:xfrm>
                      <a:off x="0" y="0"/>
                      <a:ext cx="4740275" cy="2322515"/>
                    </a:xfrm>
                    <a:prstGeom prst="rect">
                      <a:avLst/>
                    </a:prstGeom>
                    <a:noFill/>
                    <a:ln>
                      <a:noFill/>
                    </a:ln>
                  </pic:spPr>
                </pic:pic>
              </a:graphicData>
            </a:graphic>
          </wp:inline>
        </w:drawing>
      </w:r>
      <w:r w:rsidR="009B619B" w:rsidRPr="00286B12">
        <w:rPr>
          <w:bCs/>
        </w:rPr>
        <w:t xml:space="preserve">Población de en edad de trabajar (15-64 años), en tanto por ciento del total. </w:t>
      </w:r>
      <w:r w:rsidR="009B619B" w:rsidRPr="00286B12">
        <w:rPr>
          <w:bCs/>
          <w:i/>
          <w:iCs/>
        </w:rPr>
        <w:t>2012 Ageing Report 2010-2060</w:t>
      </w:r>
    </w:p>
    <w:p w:rsidR="009B619B" w:rsidRPr="00813DF6" w:rsidRDefault="009B619B" w:rsidP="00550638">
      <w:pPr>
        <w:pStyle w:val="NormalWeb"/>
        <w:jc w:val="both"/>
        <w:rPr>
          <w:u w:val="single"/>
        </w:rPr>
      </w:pPr>
      <w:r w:rsidRPr="00813DF6">
        <w:rPr>
          <w:u w:val="single"/>
        </w:rPr>
        <w:t xml:space="preserve">El reciente informe </w:t>
      </w:r>
      <w:r w:rsidRPr="00813DF6">
        <w:rPr>
          <w:i/>
          <w:iCs/>
          <w:u w:val="single"/>
        </w:rPr>
        <w:t>Pension Adequacy in the European Union 2010-2050</w:t>
      </w:r>
      <w:r w:rsidRPr="00813DF6">
        <w:rPr>
          <w:u w:val="single"/>
        </w:rPr>
        <w:t xml:space="preserve"> del Comité de Protección Social de la UE señala que la mayor parte de las políticas para promover el trabajo durante un mayor número de años se centran en la eliminación de los incentivos negativos al trabajo, como son la edad temprana de jubilación por defecto o las normas legales en materia de empleo después de la edad de jubilación. La mayoría de los estados miembros animan a los trabajadores a permanecer más tiempo en el empleo, a fin de que adquieran derechos de pensiones complementarios. </w:t>
      </w:r>
      <w:r w:rsidRPr="00286B12">
        <w:rPr>
          <w:bCs/>
          <w:u w:val="single"/>
        </w:rPr>
        <w:t>Una vida laboral más larga, y la reducción de la jubilación anticipada, es por tanto una de las formas de mejorar las tasas de reemplazo de pensiones</w:t>
      </w:r>
      <w:r w:rsidRPr="00286B12">
        <w:rPr>
          <w:u w:val="single"/>
        </w:rPr>
        <w:t>.</w:t>
      </w:r>
      <w:r w:rsidRPr="00813DF6">
        <w:rPr>
          <w:u w:val="single"/>
        </w:rPr>
        <w:t xml:space="preserve"> La edad media efectiva de salida en España del mercado de trabajo en 2010 fue de 62,9 años, superior a la media de la UE27 (62,1 años). Sin embargo, el desafío consiste en proporcionar suficientes oportunidades de empleo para los trabajadores de más edad.</w:t>
      </w:r>
    </w:p>
    <w:p w:rsidR="009B619B" w:rsidRDefault="009B619B" w:rsidP="00550638">
      <w:pPr>
        <w:pStyle w:val="NormalWeb"/>
        <w:jc w:val="both"/>
      </w:pPr>
      <w:r>
        <w:t>Mejorar las condiciones de trabajo será crucial para que la naturaleza de dicho trabajo sea menos perjudicial para los trabajadores. Es imprescindible que el trabajador pueda seguir activo el tiempo que estime oportuno, sin perjuicio de sus intereses y derechos consolidados. Además de ser una medida de respaldo a la libertad individual, servirá para mitigar en parte el grave problema de financiación de nuestro sistema de pensiones, que de otro modo está abocado a la quiebra.</w:t>
      </w:r>
    </w:p>
    <w:p w:rsidR="00286B12" w:rsidRDefault="00286B12" w:rsidP="00550638">
      <w:pPr>
        <w:pStyle w:val="NormalWeb"/>
        <w:jc w:val="both"/>
      </w:pPr>
    </w:p>
    <w:p w:rsidR="00286B12" w:rsidRDefault="00286B12" w:rsidP="00550638">
      <w:pPr>
        <w:pStyle w:val="NormalWeb"/>
        <w:jc w:val="both"/>
      </w:pPr>
    </w:p>
    <w:p w:rsidR="008E08FE" w:rsidRPr="008E08FE" w:rsidRDefault="008E08FE" w:rsidP="00550638">
      <w:pPr>
        <w:pStyle w:val="NormalWeb"/>
        <w:jc w:val="both"/>
        <w:rPr>
          <w:u w:val="single"/>
        </w:rPr>
      </w:pPr>
      <w:r w:rsidRPr="008E08FE">
        <w:rPr>
          <w:u w:val="single"/>
        </w:rPr>
        <w:lastRenderedPageBreak/>
        <w:t>¿Cómo está la situación en el “paraíso”</w:t>
      </w:r>
      <w:r w:rsidR="0022080F">
        <w:rPr>
          <w:u w:val="single"/>
        </w:rPr>
        <w:t xml:space="preserve"> del sistema de pensiones</w:t>
      </w:r>
      <w:r w:rsidRPr="008E08FE">
        <w:rPr>
          <w:u w:val="single"/>
        </w:rPr>
        <w:t xml:space="preserve"> por capitalización?</w:t>
      </w:r>
    </w:p>
    <w:p w:rsidR="009B619B" w:rsidRPr="008E08FE" w:rsidRDefault="008E08FE" w:rsidP="00550638">
      <w:pPr>
        <w:pStyle w:val="NormalWeb"/>
        <w:jc w:val="both"/>
      </w:pPr>
      <w:r>
        <w:rPr>
          <w:i/>
        </w:rPr>
        <w:t>“</w:t>
      </w:r>
      <w:r w:rsidR="009B619B" w:rsidRPr="008E08FE">
        <w:rPr>
          <w:i/>
        </w:rPr>
        <w:t>Uno de los aspectos que cada vez preocupan más a los ciudadanos estadounidenses, especialmente aquellos que se aproximan a su edad de jubilación, es la solvencia de sus planes de pensiones. Este problema, que continuamente se relaciona con Europa y con la insolvencia del estado de bienestar, también es un quebradero de cabeza al otro lado del Atlántico</w:t>
      </w:r>
      <w:r>
        <w:rPr>
          <w:i/>
        </w:rPr>
        <w:t>”..</w:t>
      </w:r>
      <w:r w:rsidR="009B619B" w:rsidRPr="008E08FE">
        <w:rPr>
          <w:i/>
        </w:rPr>
        <w:t>.</w:t>
      </w:r>
      <w:r>
        <w:rPr>
          <w:i/>
        </w:rPr>
        <w:t xml:space="preserve"> </w:t>
      </w:r>
      <w:r w:rsidRPr="00966771">
        <w:rPr>
          <w:u w:val="single"/>
        </w:rPr>
        <w:t>El “agujero” de las pensiones en EEUU</w:t>
      </w:r>
      <w:r>
        <w:t xml:space="preserve"> (El Confidencial - </w:t>
      </w:r>
      <w:r w:rsidRPr="00966771">
        <w:rPr>
          <w:b/>
        </w:rPr>
        <w:t>2/10/12</w:t>
      </w:r>
      <w:r>
        <w:t>)</w:t>
      </w:r>
    </w:p>
    <w:p w:rsidR="009B619B" w:rsidRPr="008E08FE" w:rsidRDefault="009B619B" w:rsidP="00550638">
      <w:pPr>
        <w:pStyle w:val="NormalWeb"/>
        <w:jc w:val="both"/>
      </w:pPr>
      <w:r w:rsidRPr="008E08FE">
        <w:t>Los mayores cien fondos de pensiones americanos de empleados públicos gestionaban a final de 2011 un total de 2.700 millones de dólares, lo que supone aproximadamente dos veces el PIB español. Según los últimos análisis actuariales de los fondos públicos, se estima que</w:t>
      </w:r>
      <w:r w:rsidRPr="008E08FE">
        <w:rPr>
          <w:bCs/>
        </w:rPr>
        <w:t xml:space="preserve"> existe un “agujero” de un 25% entre el valor de los activos bajo gestión y las obligaciones de pago a futuros pensionistas</w:t>
      </w:r>
      <w:r w:rsidRPr="008E08FE">
        <w:t>.</w:t>
      </w:r>
    </w:p>
    <w:p w:rsidR="009B619B" w:rsidRPr="008E08FE" w:rsidRDefault="009B619B" w:rsidP="00550638">
      <w:pPr>
        <w:pStyle w:val="NormalWeb"/>
        <w:jc w:val="both"/>
      </w:pPr>
      <w:r w:rsidRPr="008E08FE">
        <w:t xml:space="preserve">El problema de financiación de los fondos de pensiones no es nuevo, pero se agravó de forma considerable tras la crisis crediticia del 2007, lo que aumentó el déficit de las pensiones americanas pasando de un 15% a un 25%. </w:t>
      </w:r>
    </w:p>
    <w:p w:rsidR="009B619B" w:rsidRPr="008E08FE" w:rsidRDefault="009B619B" w:rsidP="00550638">
      <w:pPr>
        <w:pStyle w:val="NormalWeb"/>
        <w:jc w:val="both"/>
      </w:pPr>
      <w:r w:rsidRPr="008E08FE">
        <w:t>Según los expertos, los fondos de pensiones</w:t>
      </w:r>
      <w:r w:rsidRPr="008E08FE">
        <w:rPr>
          <w:bCs/>
        </w:rPr>
        <w:t xml:space="preserve"> tienen que alcanzar niveles de rentabilidad anuales superiores al 7% para poder hacer frente en un futuro a sus obligaciones </w:t>
      </w:r>
      <w:r w:rsidRPr="008E08FE">
        <w:t xml:space="preserve">de pago con los pensionistas. Sin embargo, la rentabilidad media de los fondos de pensiones americanos durante la última década ha sido de un 5.6% anual, muy por debajo del 7-8% deseado para corregir el “agujero” de financiación. </w:t>
      </w:r>
    </w:p>
    <w:p w:rsidR="009B619B" w:rsidRPr="008E08FE" w:rsidRDefault="009B619B" w:rsidP="00550638">
      <w:pPr>
        <w:pStyle w:val="NormalWeb"/>
        <w:jc w:val="both"/>
      </w:pPr>
      <w:r w:rsidRPr="008E08FE">
        <w:t>El entorno actual de los tipos de interés, que tal como ha anunciado la Fed recientemente “estarán cercanos a cero hasta mediados del 2015”, tampoco ayuda a mejorar la solvencia financiera de las pensiones americanas.</w:t>
      </w:r>
    </w:p>
    <w:p w:rsidR="009B619B" w:rsidRPr="008E08FE" w:rsidRDefault="009B619B" w:rsidP="00550638">
      <w:pPr>
        <w:pStyle w:val="NormalWeb"/>
        <w:jc w:val="both"/>
      </w:pPr>
      <w:r w:rsidRPr="008E08FE">
        <w:t>Una de las estrategias por la que han adoptado la mayoría de los gestores en Estados Unidos es la de aumentar su exposición a activos alternativos con expectativas de rentabilidad superiores para poder alcanzar el deseado 7-8% retorno anual.</w:t>
      </w:r>
    </w:p>
    <w:p w:rsidR="009B619B" w:rsidRPr="008E08FE" w:rsidRDefault="009B619B" w:rsidP="00550638">
      <w:pPr>
        <w:pStyle w:val="NormalWeb"/>
        <w:jc w:val="both"/>
      </w:pPr>
      <w:r w:rsidRPr="008E08FE">
        <w:t xml:space="preserve">Si comparamos el </w:t>
      </w:r>
      <w:r w:rsidRPr="00580594">
        <w:t>“</w:t>
      </w:r>
      <w:r w:rsidRPr="00580594">
        <w:rPr>
          <w:iCs/>
        </w:rPr>
        <w:t>asset allocation</w:t>
      </w:r>
      <w:r w:rsidRPr="00580594">
        <w:t>”</w:t>
      </w:r>
      <w:r w:rsidRPr="008E08FE">
        <w:t xml:space="preserve"> de 2007 con el actual, </w:t>
      </w:r>
      <w:r w:rsidRPr="008E08FE">
        <w:rPr>
          <w:bCs/>
        </w:rPr>
        <w:t xml:space="preserve">los fondos de pensiones han pasado de invertir un 60% en renta variable a un 50%, </w:t>
      </w:r>
      <w:r w:rsidRPr="008E08FE">
        <w:t>han mantenido un 25% en renta fija y las inver</w:t>
      </w:r>
      <w:r w:rsidR="0022080F">
        <w:t>siones alternativas en activos “menos líquidos”</w:t>
      </w:r>
      <w:r w:rsidRPr="008E08FE">
        <w:t xml:space="preserve"> como private equity, inmobiliario y </w:t>
      </w:r>
      <w:r w:rsidR="00580594">
        <w:t>“</w:t>
      </w:r>
      <w:r w:rsidRPr="00580594">
        <w:rPr>
          <w:iCs/>
        </w:rPr>
        <w:t>hedge funds</w:t>
      </w:r>
      <w:r w:rsidR="00580594">
        <w:rPr>
          <w:iCs/>
        </w:rPr>
        <w:t>”</w:t>
      </w:r>
      <w:r w:rsidRPr="008E08FE">
        <w:rPr>
          <w:i/>
          <w:iCs/>
        </w:rPr>
        <w:t xml:space="preserve"> </w:t>
      </w:r>
      <w:r w:rsidRPr="008E08FE">
        <w:t>han pasado de un 12% en 2007 a un 20% de media en la actualidad.</w:t>
      </w:r>
    </w:p>
    <w:p w:rsidR="009B619B" w:rsidRPr="008E08FE" w:rsidRDefault="009B619B" w:rsidP="00550638">
      <w:pPr>
        <w:pStyle w:val="NormalWeb"/>
        <w:jc w:val="both"/>
      </w:pPr>
      <w:r w:rsidRPr="008E08FE">
        <w:t xml:space="preserve">Los mayores cien fondos de pensiones públicos americanos están destinando de media un 8% a invertir en </w:t>
      </w:r>
      <w:r w:rsidR="00580594">
        <w:t>“</w:t>
      </w:r>
      <w:r w:rsidRPr="00580594">
        <w:rPr>
          <w:iCs/>
        </w:rPr>
        <w:t>private equity</w:t>
      </w:r>
      <w:r w:rsidR="00580594">
        <w:rPr>
          <w:iCs/>
        </w:rPr>
        <w:t>”</w:t>
      </w:r>
      <w:r w:rsidRPr="008E08FE">
        <w:rPr>
          <w:i/>
          <w:iCs/>
        </w:rPr>
        <w:t xml:space="preserve">, </w:t>
      </w:r>
      <w:r w:rsidRPr="008E08FE">
        <w:t xml:space="preserve">un 6% en el sector inmobiliario y un 3-4% a </w:t>
      </w:r>
      <w:r w:rsidR="00580594">
        <w:t>“</w:t>
      </w:r>
      <w:r w:rsidRPr="00580594">
        <w:rPr>
          <w:iCs/>
        </w:rPr>
        <w:t>hedge funds</w:t>
      </w:r>
      <w:r w:rsidR="00580594">
        <w:rPr>
          <w:iCs/>
        </w:rPr>
        <w:t>”</w:t>
      </w:r>
      <w:r w:rsidRPr="008E08FE">
        <w:t xml:space="preserve"> para poder corregir de forma progresiva su déficit de financiación.</w:t>
      </w:r>
    </w:p>
    <w:p w:rsidR="009B619B" w:rsidRPr="008E08FE" w:rsidRDefault="009B619B" w:rsidP="00550638">
      <w:pPr>
        <w:pStyle w:val="NormalWeb"/>
        <w:jc w:val="both"/>
      </w:pPr>
      <w:r w:rsidRPr="008E08FE">
        <w:t xml:space="preserve">Esta tendencia que se dio a conocer a finales de los ochenta por los </w:t>
      </w:r>
      <w:r w:rsidR="00580594">
        <w:t>“</w:t>
      </w:r>
      <w:r w:rsidRPr="00580594">
        <w:rPr>
          <w:iCs/>
        </w:rPr>
        <w:t>endowments</w:t>
      </w:r>
      <w:r w:rsidR="00580594">
        <w:rPr>
          <w:iCs/>
        </w:rPr>
        <w:t>”</w:t>
      </w:r>
      <w:r w:rsidRPr="008E08FE">
        <w:t xml:space="preserve"> de prestigiosas universidades americanas como Princeton, Harvard y Yale, invirtiendo hasta un 50% en inversiones alternativas es cada vez más popular entre los inversores institucionales. </w:t>
      </w:r>
      <w:r w:rsidRPr="008E08FE">
        <w:rPr>
          <w:bCs/>
        </w:rPr>
        <w:t>Los modelos tradicionales de inversión no funcionan,</w:t>
      </w:r>
      <w:r w:rsidRPr="008E08FE">
        <w:t xml:space="preserve"> por lo menos para garantizar que los americanos cobren sus pensiones.</w:t>
      </w:r>
    </w:p>
    <w:p w:rsidR="009B619B" w:rsidRDefault="009B619B" w:rsidP="00550638">
      <w:pPr>
        <w:pStyle w:val="NormalWeb"/>
        <w:jc w:val="both"/>
      </w:pPr>
      <w:r w:rsidRPr="008E08FE">
        <w:t xml:space="preserve">Habrá que esperar unos años para analizar los resultados de esta política de inversión </w:t>
      </w:r>
      <w:r w:rsidR="00494A8D" w:rsidRPr="008E08FE">
        <w:t>más</w:t>
      </w:r>
      <w:r w:rsidRPr="008E08FE">
        <w:t xml:space="preserve"> “arriesgada” de los fondos de pensiones para superar sus problemas de </w:t>
      </w:r>
      <w:r w:rsidRPr="008E08FE">
        <w:lastRenderedPageBreak/>
        <w:t xml:space="preserve">financiación, en un entorno de mercado donde los modelos tradicionales de renta variable y renta fija no son suficientes para alcanzar las rentabilidades deseadas. La búsqueda de rentabilidades atractivas invirtiendo una parte de la cartera en “activos ilíquidos” es una estrategia cada vez </w:t>
      </w:r>
      <w:r w:rsidR="008E08FE" w:rsidRPr="008E08FE">
        <w:t>más</w:t>
      </w:r>
      <w:r w:rsidRPr="008E08FE">
        <w:t xml:space="preserve"> asumida entre los grandes fondos de pensiones americanos.</w:t>
      </w:r>
    </w:p>
    <w:p w:rsidR="008E08FE" w:rsidRPr="008E08FE" w:rsidRDefault="008E08FE"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8E08FE">
        <w:rPr>
          <w:rFonts w:ascii="Times New Roman" w:eastAsia="Times New Roman" w:hAnsi="Times New Roman"/>
          <w:iCs/>
          <w:sz w:val="24"/>
          <w:szCs w:val="24"/>
          <w:u w:val="single"/>
          <w:lang w:eastAsia="es-ES"/>
        </w:rPr>
        <w:t>HelpAge International y los</w:t>
      </w:r>
      <w:r w:rsidRPr="008E08FE">
        <w:rPr>
          <w:rFonts w:ascii="Times New Roman" w:eastAsia="Times New Roman" w:hAnsi="Times New Roman"/>
          <w:bCs/>
          <w:sz w:val="24"/>
          <w:szCs w:val="24"/>
          <w:u w:val="single"/>
          <w:lang w:eastAsia="es-ES"/>
        </w:rPr>
        <w:t xml:space="preserve"> desafíos del envejecimiento</w:t>
      </w:r>
    </w:p>
    <w:p w:rsidR="009B619B" w:rsidRPr="008E08FE" w:rsidRDefault="008E08FE" w:rsidP="00550638">
      <w:pPr>
        <w:spacing w:line="240" w:lineRule="auto"/>
        <w:jc w:val="both"/>
        <w:rPr>
          <w:rFonts w:ascii="Times New Roman" w:hAnsi="Times New Roman"/>
          <w:sz w:val="24"/>
          <w:szCs w:val="24"/>
        </w:rPr>
      </w:pPr>
      <w:r>
        <w:rPr>
          <w:rFonts w:ascii="Times New Roman" w:eastAsia="Times New Roman" w:hAnsi="Times New Roman" w:cs="Times New Roman"/>
          <w:sz w:val="24"/>
          <w:szCs w:val="24"/>
          <w:lang w:eastAsia="es-ES"/>
        </w:rPr>
        <w:t>“</w:t>
      </w:r>
      <w:r w:rsidR="009B619B" w:rsidRPr="008E08FE">
        <w:rPr>
          <w:rFonts w:ascii="Times New Roman" w:hAnsi="Times New Roman"/>
          <w:i/>
          <w:sz w:val="24"/>
          <w:szCs w:val="24"/>
        </w:rPr>
        <w:t>Para 2050 habrá por primera vez más personas de edad que niños menores de 15 años, según datos de HelpAge International. La asociación ha desembarcado en España con un objetivo claro: alertar de la importancia de invertir en nuestros mayores para construir un mundo mejor. Quieren reconocer a los ancianos de todo el mundo como gente válida y útil. Quieren que los mayores cuenten en nuestra sociedad y que no se les margine</w:t>
      </w:r>
      <w:r>
        <w:rPr>
          <w:rFonts w:ascii="Times New Roman" w:hAnsi="Times New Roman"/>
          <w:i/>
          <w:sz w:val="24"/>
          <w:szCs w:val="24"/>
        </w:rPr>
        <w:t>”..</w:t>
      </w:r>
      <w:r w:rsidR="009B619B" w:rsidRPr="008E08FE">
        <w:rPr>
          <w:rFonts w:ascii="Times New Roman" w:hAnsi="Times New Roman"/>
          <w:i/>
          <w:sz w:val="24"/>
          <w:szCs w:val="24"/>
        </w:rPr>
        <w:t>.</w:t>
      </w:r>
      <w:r>
        <w:rPr>
          <w:rFonts w:ascii="Times New Roman" w:hAnsi="Times New Roman"/>
          <w:i/>
          <w:sz w:val="24"/>
          <w:szCs w:val="24"/>
        </w:rPr>
        <w:t xml:space="preserve"> </w:t>
      </w:r>
      <w:r w:rsidRPr="007B1C7C">
        <w:rPr>
          <w:rFonts w:ascii="Times New Roman" w:hAnsi="Times New Roman"/>
          <w:sz w:val="24"/>
          <w:szCs w:val="24"/>
          <w:u w:val="single"/>
        </w:rPr>
        <w:t>España y el resto del mundo</w:t>
      </w:r>
      <w:r w:rsidR="0022080F">
        <w:rPr>
          <w:rFonts w:ascii="Times New Roman" w:hAnsi="Times New Roman"/>
          <w:sz w:val="24"/>
          <w:szCs w:val="24"/>
          <w:u w:val="single"/>
        </w:rPr>
        <w:t xml:space="preserve"> se enfrentan a un nuevo reto: “El envejecimiento global”</w:t>
      </w:r>
      <w:r>
        <w:rPr>
          <w:rFonts w:ascii="Times New Roman" w:hAnsi="Times New Roman"/>
          <w:sz w:val="24"/>
          <w:szCs w:val="24"/>
        </w:rPr>
        <w:t xml:space="preserve"> (Vozpópuli - </w:t>
      </w:r>
      <w:r w:rsidRPr="007B1C7C">
        <w:rPr>
          <w:rFonts w:ascii="Times New Roman" w:hAnsi="Times New Roman"/>
          <w:b/>
          <w:sz w:val="24"/>
          <w:szCs w:val="24"/>
        </w:rPr>
        <w:t>27/10/12</w:t>
      </w:r>
      <w:r>
        <w:rPr>
          <w:rFonts w:ascii="Times New Roman" w:hAnsi="Times New Roman"/>
          <w:sz w:val="24"/>
          <w:szCs w:val="24"/>
        </w:rPr>
        <w:t>)</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 xml:space="preserve">El envejecimiento de la población es inevitable. </w:t>
      </w:r>
      <w:r w:rsidRPr="008E08FE">
        <w:rPr>
          <w:rFonts w:ascii="Times New Roman" w:eastAsia="Times New Roman" w:hAnsi="Times New Roman"/>
          <w:bCs/>
          <w:sz w:val="24"/>
          <w:szCs w:val="24"/>
          <w:lang w:eastAsia="es-ES"/>
        </w:rPr>
        <w:t>Cada segundo que pasa, hay dos personas en todo el mundo que celebran su sexagésimo cumpleaños</w:t>
      </w:r>
      <w:r w:rsidRPr="008E08FE">
        <w:rPr>
          <w:rFonts w:ascii="Times New Roman" w:eastAsia="Times New Roman" w:hAnsi="Times New Roman"/>
          <w:sz w:val="24"/>
          <w:szCs w:val="24"/>
          <w:lang w:eastAsia="es-ES"/>
        </w:rPr>
        <w:t xml:space="preserve">. Es decir, el total anual es de casi 58 millones de personas sexagenarias. Para 2050 habrá por primera vez más personas de edad que niños menores de 15 años, según datos de </w:t>
      </w:r>
      <w:r w:rsidRPr="00120D86">
        <w:rPr>
          <w:rFonts w:ascii="Times New Roman" w:eastAsia="Times New Roman" w:hAnsi="Times New Roman"/>
          <w:iCs/>
          <w:sz w:val="24"/>
          <w:szCs w:val="24"/>
          <w:lang w:eastAsia="es-ES"/>
        </w:rPr>
        <w:t>HelpAge International</w:t>
      </w:r>
      <w:r w:rsidRPr="008E08FE">
        <w:rPr>
          <w:rFonts w:ascii="Times New Roman" w:eastAsia="Times New Roman" w:hAnsi="Times New Roman"/>
          <w:sz w:val="24"/>
          <w:szCs w:val="24"/>
          <w:lang w:eastAsia="es-ES"/>
        </w:rPr>
        <w:t>, una red global que ayuda a las personas mayores para reivindicar sus derechos.</w:t>
      </w:r>
    </w:p>
    <w:p w:rsidR="009B619B" w:rsidRPr="008E08FE" w:rsidRDefault="008E08FE"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A mediados de octubre (2012), en Madrid, se presentó su “filial”</w:t>
      </w:r>
      <w:r w:rsidR="009B619B" w:rsidRPr="008E08FE">
        <w:rPr>
          <w:rFonts w:ascii="Times New Roman" w:eastAsia="Times New Roman" w:hAnsi="Times New Roman"/>
          <w:sz w:val="24"/>
          <w:szCs w:val="24"/>
          <w:lang w:eastAsia="es-ES"/>
        </w:rPr>
        <w:t xml:space="preserve"> en España y allí Pilar Rodríguez, presidenta de </w:t>
      </w:r>
      <w:r w:rsidR="009B619B" w:rsidRPr="00120D86">
        <w:rPr>
          <w:rFonts w:ascii="Times New Roman" w:eastAsia="Times New Roman" w:hAnsi="Times New Roman"/>
          <w:iCs/>
          <w:sz w:val="24"/>
          <w:szCs w:val="24"/>
          <w:lang w:eastAsia="es-ES"/>
        </w:rPr>
        <w:t>HelpAge International España</w:t>
      </w:r>
      <w:r w:rsidR="009B619B" w:rsidRPr="008E08FE">
        <w:rPr>
          <w:rFonts w:ascii="Times New Roman" w:eastAsia="Times New Roman" w:hAnsi="Times New Roman"/>
          <w:sz w:val="24"/>
          <w:szCs w:val="24"/>
          <w:lang w:eastAsia="es-ES"/>
        </w:rPr>
        <w:t xml:space="preserve">, recordó que </w:t>
      </w:r>
      <w:r w:rsidR="0022080F">
        <w:rPr>
          <w:rFonts w:ascii="Times New Roman" w:eastAsia="Times New Roman" w:hAnsi="Times New Roman"/>
          <w:sz w:val="24"/>
          <w:szCs w:val="24"/>
          <w:lang w:eastAsia="es-ES"/>
        </w:rPr>
        <w:t>“</w:t>
      </w:r>
      <w:r w:rsidR="009B619B" w:rsidRPr="008E08FE">
        <w:rPr>
          <w:rFonts w:ascii="Times New Roman" w:eastAsia="Times New Roman" w:hAnsi="Times New Roman"/>
          <w:sz w:val="24"/>
          <w:szCs w:val="24"/>
          <w:lang w:eastAsia="es-ES"/>
        </w:rPr>
        <w:t>pronto la cifra de personas mayores de 60 años alcanza</w:t>
      </w:r>
      <w:r w:rsidR="0022080F">
        <w:rPr>
          <w:rFonts w:ascii="Times New Roman" w:eastAsia="Times New Roman" w:hAnsi="Times New Roman"/>
          <w:sz w:val="24"/>
          <w:szCs w:val="24"/>
          <w:lang w:eastAsia="es-ES"/>
        </w:rPr>
        <w:t>rá los mil millones de personas”</w:t>
      </w:r>
      <w:r w:rsidR="009B619B" w:rsidRPr="008E08FE">
        <w:rPr>
          <w:rFonts w:ascii="Times New Roman" w:eastAsia="Times New Roman" w:hAnsi="Times New Roman"/>
          <w:sz w:val="24"/>
          <w:szCs w:val="24"/>
          <w:lang w:eastAsia="es-ES"/>
        </w:rPr>
        <w:t>. Pero quiso centrar su atención en las personas mayores que viv</w:t>
      </w:r>
      <w:r w:rsidR="0022080F">
        <w:rPr>
          <w:rFonts w:ascii="Times New Roman" w:eastAsia="Times New Roman" w:hAnsi="Times New Roman"/>
          <w:sz w:val="24"/>
          <w:szCs w:val="24"/>
          <w:lang w:eastAsia="es-ES"/>
        </w:rPr>
        <w:t>en en los países en desarrollo “</w:t>
      </w:r>
      <w:r w:rsidR="009B619B" w:rsidRPr="008E08FE">
        <w:rPr>
          <w:rFonts w:ascii="Times New Roman" w:eastAsia="Times New Roman" w:hAnsi="Times New Roman"/>
          <w:sz w:val="24"/>
          <w:szCs w:val="24"/>
          <w:lang w:eastAsia="es-ES"/>
        </w:rPr>
        <w:t xml:space="preserve">sin pensiones, sin </w:t>
      </w:r>
      <w:r w:rsidR="0022080F">
        <w:rPr>
          <w:rFonts w:ascii="Times New Roman" w:eastAsia="Times New Roman" w:hAnsi="Times New Roman"/>
          <w:sz w:val="24"/>
          <w:szCs w:val="24"/>
          <w:lang w:eastAsia="es-ES"/>
        </w:rPr>
        <w:t>sanidad, sin servicios sociales”</w:t>
      </w:r>
      <w:r w:rsidR="009B619B" w:rsidRPr="008E08FE">
        <w:rPr>
          <w:rFonts w:ascii="Times New Roman" w:eastAsia="Times New Roman" w:hAnsi="Times New Roman"/>
          <w:sz w:val="24"/>
          <w:szCs w:val="24"/>
          <w:lang w:eastAsia="es-ES"/>
        </w:rPr>
        <w:t>.</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Según un informe de esta organización, muchos países han logrado importantes avances adoptando nuevas políticas y estrategias, además de planes y leyes sobre el enve</w:t>
      </w:r>
      <w:r w:rsidR="0022080F">
        <w:rPr>
          <w:rFonts w:ascii="Times New Roman" w:eastAsia="Times New Roman" w:hAnsi="Times New Roman"/>
          <w:sz w:val="24"/>
          <w:szCs w:val="24"/>
          <w:lang w:eastAsia="es-ES"/>
        </w:rPr>
        <w:t>jecimiento. Pero alerta de que “</w:t>
      </w:r>
      <w:r w:rsidRPr="008E08FE">
        <w:rPr>
          <w:rFonts w:ascii="Times New Roman" w:eastAsia="Times New Roman" w:hAnsi="Times New Roman"/>
          <w:sz w:val="24"/>
          <w:szCs w:val="24"/>
          <w:lang w:eastAsia="es-ES"/>
        </w:rPr>
        <w:t>es mucho más lo que debe hacerse para plasmar el potencia</w:t>
      </w:r>
      <w:r w:rsidR="0022080F">
        <w:rPr>
          <w:rFonts w:ascii="Times New Roman" w:eastAsia="Times New Roman" w:hAnsi="Times New Roman"/>
          <w:sz w:val="24"/>
          <w:szCs w:val="24"/>
          <w:lang w:eastAsia="es-ES"/>
        </w:rPr>
        <w:t>l de nuestro mundo que envejece”</w:t>
      </w:r>
      <w:r w:rsidRPr="008E08FE">
        <w:rPr>
          <w:rFonts w:ascii="Times New Roman" w:eastAsia="Times New Roman" w:hAnsi="Times New Roman"/>
          <w:sz w:val="24"/>
          <w:szCs w:val="24"/>
          <w:lang w:eastAsia="es-ES"/>
        </w:rPr>
        <w:t>.</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 xml:space="preserve">Al fin y al cabo, </w:t>
      </w:r>
      <w:r w:rsidRPr="008E08FE">
        <w:rPr>
          <w:rFonts w:ascii="Times New Roman" w:eastAsia="Times New Roman" w:hAnsi="Times New Roman"/>
          <w:bCs/>
          <w:sz w:val="24"/>
          <w:szCs w:val="24"/>
          <w:lang w:eastAsia="es-ES"/>
        </w:rPr>
        <w:t>el envejecimiento de la población es una de las tendencias más significativas del siglo XXI</w:t>
      </w:r>
      <w:r w:rsidRPr="008E08FE">
        <w:rPr>
          <w:rFonts w:ascii="Times New Roman" w:eastAsia="Times New Roman" w:hAnsi="Times New Roman"/>
          <w:sz w:val="24"/>
          <w:szCs w:val="24"/>
          <w:lang w:eastAsia="es-ES"/>
        </w:rPr>
        <w:t>. D</w:t>
      </w:r>
      <w:r w:rsidR="0022080F">
        <w:rPr>
          <w:rFonts w:ascii="Times New Roman" w:eastAsia="Times New Roman" w:hAnsi="Times New Roman"/>
          <w:sz w:val="24"/>
          <w:szCs w:val="24"/>
          <w:lang w:eastAsia="es-ES"/>
        </w:rPr>
        <w:t>esde la asociación señalan que “</w:t>
      </w:r>
      <w:r w:rsidRPr="008E08FE">
        <w:rPr>
          <w:rFonts w:ascii="Times New Roman" w:eastAsia="Times New Roman" w:hAnsi="Times New Roman"/>
          <w:sz w:val="24"/>
          <w:szCs w:val="24"/>
          <w:lang w:eastAsia="es-ES"/>
        </w:rPr>
        <w:t>dado que actualmente una de cada nueve personas tiene 60 o más años de edad, y las proyecciones indican que la proporción será de una de cada cinco personas hacia 2050, el envejecimiento de la población es un fenóme</w:t>
      </w:r>
      <w:r w:rsidR="0022080F">
        <w:rPr>
          <w:rFonts w:ascii="Times New Roman" w:eastAsia="Times New Roman" w:hAnsi="Times New Roman"/>
          <w:sz w:val="24"/>
          <w:szCs w:val="24"/>
          <w:lang w:eastAsia="es-ES"/>
        </w:rPr>
        <w:t>no que ya no puede ser ignorado”</w:t>
      </w:r>
      <w:r w:rsidRPr="008E08FE">
        <w:rPr>
          <w:rFonts w:ascii="Times New Roman" w:eastAsia="Times New Roman" w:hAnsi="Times New Roman"/>
          <w:sz w:val="24"/>
          <w:szCs w:val="24"/>
          <w:lang w:eastAsia="es-ES"/>
        </w:rPr>
        <w:t>.</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 xml:space="preserve">El envejecimiento de la población está ocurriendo en todas las regiones del mundo y aumenta con mayor rapidez en los países en desarrollo. Al menos un 50% de los niños huérfanos a causa del SIDA en África son cuidados por sus abuelos. </w:t>
      </w:r>
      <w:r w:rsidR="0022080F">
        <w:rPr>
          <w:rFonts w:ascii="Times New Roman" w:eastAsia="Times New Roman" w:hAnsi="Times New Roman"/>
          <w:bCs/>
          <w:sz w:val="24"/>
          <w:szCs w:val="24"/>
          <w:lang w:eastAsia="es-ES"/>
        </w:rPr>
        <w:t>“</w:t>
      </w:r>
      <w:r w:rsidRPr="008E08FE">
        <w:rPr>
          <w:rFonts w:ascii="Times New Roman" w:eastAsia="Times New Roman" w:hAnsi="Times New Roman"/>
          <w:bCs/>
          <w:sz w:val="24"/>
          <w:szCs w:val="24"/>
          <w:lang w:eastAsia="es-ES"/>
        </w:rPr>
        <w:t>Las personas mayor</w:t>
      </w:r>
      <w:r w:rsidR="0022080F">
        <w:rPr>
          <w:rFonts w:ascii="Times New Roman" w:eastAsia="Times New Roman" w:hAnsi="Times New Roman"/>
          <w:bCs/>
          <w:sz w:val="24"/>
          <w:szCs w:val="24"/>
          <w:lang w:eastAsia="es-ES"/>
        </w:rPr>
        <w:t>es son un recurso, no una carga”</w:t>
      </w:r>
      <w:r w:rsidRPr="008E08FE">
        <w:rPr>
          <w:rFonts w:ascii="Times New Roman" w:eastAsia="Times New Roman" w:hAnsi="Times New Roman"/>
          <w:sz w:val="24"/>
          <w:szCs w:val="24"/>
          <w:lang w:eastAsia="es-ES"/>
        </w:rPr>
        <w:t xml:space="preserve">, eso es lo que nos quieren hacer entender desde </w:t>
      </w:r>
      <w:r w:rsidRPr="00120D86">
        <w:rPr>
          <w:rFonts w:ascii="Times New Roman" w:eastAsia="Times New Roman" w:hAnsi="Times New Roman"/>
          <w:iCs/>
          <w:sz w:val="24"/>
          <w:szCs w:val="24"/>
          <w:lang w:eastAsia="es-ES"/>
        </w:rPr>
        <w:t>HelpAge International</w:t>
      </w:r>
      <w:r w:rsidRPr="008E08FE">
        <w:rPr>
          <w:rFonts w:ascii="Times New Roman" w:eastAsia="Times New Roman" w:hAnsi="Times New Roman"/>
          <w:sz w:val="24"/>
          <w:szCs w:val="24"/>
          <w:lang w:eastAsia="es-ES"/>
        </w:rPr>
        <w:t xml:space="preserve">. Hay que tener en cuenta además que </w:t>
      </w:r>
      <w:r w:rsidR="0022080F">
        <w:rPr>
          <w:rFonts w:ascii="Times New Roman" w:eastAsia="Times New Roman" w:hAnsi="Times New Roman"/>
          <w:sz w:val="24"/>
          <w:szCs w:val="24"/>
          <w:lang w:eastAsia="es-ES"/>
        </w:rPr>
        <w:t>“</w:t>
      </w:r>
      <w:r w:rsidRPr="008E08FE">
        <w:rPr>
          <w:rFonts w:ascii="Times New Roman" w:eastAsia="Times New Roman" w:hAnsi="Times New Roman"/>
          <w:sz w:val="24"/>
          <w:szCs w:val="24"/>
          <w:lang w:eastAsia="es-ES"/>
        </w:rPr>
        <w:t>las personas mayores de países en vías de desarrollo, aunque a menudo son pobres y sufren discriminación, son también líderes, cuidadores, trabaja</w:t>
      </w:r>
      <w:r w:rsidR="0022080F">
        <w:rPr>
          <w:rFonts w:ascii="Times New Roman" w:eastAsia="Times New Roman" w:hAnsi="Times New Roman"/>
          <w:sz w:val="24"/>
          <w:szCs w:val="24"/>
          <w:lang w:eastAsia="es-ES"/>
        </w:rPr>
        <w:t>dores y catalizadores de cambio”</w:t>
      </w:r>
      <w:r w:rsidRPr="008E08FE">
        <w:rPr>
          <w:rFonts w:ascii="Times New Roman" w:eastAsia="Times New Roman" w:hAnsi="Times New Roman"/>
          <w:sz w:val="24"/>
          <w:szCs w:val="24"/>
          <w:lang w:eastAsia="es-ES"/>
        </w:rPr>
        <w:t>.</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 xml:space="preserve">En las regiones más pobres del planeta, los conflictos, el SIDA y la inmigración han dejado a muchos niños al cuidado de sus abuelos. Y allí es donde interviene esta </w:t>
      </w:r>
      <w:r w:rsidRPr="008E08FE">
        <w:rPr>
          <w:rFonts w:ascii="Times New Roman" w:eastAsia="Times New Roman" w:hAnsi="Times New Roman"/>
          <w:sz w:val="24"/>
          <w:szCs w:val="24"/>
          <w:lang w:eastAsia="es-ES"/>
        </w:rPr>
        <w:lastRenderedPageBreak/>
        <w:t>organización para hacerse cargo del pago del material escolar y los uniformes, e incluso para ayudar a las familias a generar ingresos. La asociación también facilita unidades médicas móviles adaptadas a la edad de los mayores y también pone a su alcance personal sanitario especializado para atenderles; y formación p</w:t>
      </w:r>
      <w:r w:rsidR="0022080F">
        <w:rPr>
          <w:rFonts w:ascii="Times New Roman" w:eastAsia="Times New Roman" w:hAnsi="Times New Roman"/>
          <w:sz w:val="24"/>
          <w:szCs w:val="24"/>
          <w:lang w:eastAsia="es-ES"/>
        </w:rPr>
        <w:t>ara poder cuidar mejor a otros.</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120D86">
        <w:rPr>
          <w:rFonts w:ascii="Times New Roman" w:eastAsia="Times New Roman" w:hAnsi="Times New Roman"/>
          <w:iCs/>
          <w:sz w:val="24"/>
          <w:szCs w:val="24"/>
          <w:lang w:eastAsia="es-ES"/>
        </w:rPr>
        <w:t>HelpAge</w:t>
      </w:r>
      <w:r w:rsidRPr="008E08FE">
        <w:rPr>
          <w:rFonts w:ascii="Times New Roman" w:eastAsia="Times New Roman" w:hAnsi="Times New Roman"/>
          <w:sz w:val="24"/>
          <w:szCs w:val="24"/>
          <w:lang w:eastAsia="es-ES"/>
        </w:rPr>
        <w:t xml:space="preserve"> reconoce que </w:t>
      </w:r>
      <w:r w:rsidRPr="008E08FE">
        <w:rPr>
          <w:rFonts w:ascii="Times New Roman" w:eastAsia="Times New Roman" w:hAnsi="Times New Roman"/>
          <w:bCs/>
          <w:sz w:val="24"/>
          <w:szCs w:val="24"/>
          <w:lang w:eastAsia="es-ES"/>
        </w:rPr>
        <w:t>el envejecimiento es un triunfo del desarrollo y que el aumento de la longevidad es uno de los mayores logros de la humanidad</w:t>
      </w:r>
      <w:r w:rsidRPr="008E08FE">
        <w:rPr>
          <w:rFonts w:ascii="Times New Roman" w:eastAsia="Times New Roman" w:hAnsi="Times New Roman"/>
          <w:sz w:val="24"/>
          <w:szCs w:val="24"/>
          <w:lang w:eastAsia="es-ES"/>
        </w:rPr>
        <w:t>. Ahora, la esperanza de vida al nacer es en la actualidad superior a 80 años en 33 países. Hace solamente cinco años habían llegado a ese hito únicamente 19 países. Para hacernos una idea más clara: en el último decenio, la cantidad de personas de 60 o más años de edad aumentó en 178 millones, lo cual equivale a casi toda la población de Pakistán, que ocupa el sexto lugar entre los países más populosos del mundo.</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 xml:space="preserve">El envejecimiento de la población ofrece desafíos económicos, sociales y culturales a las personas, las familias, las sociedades y la comunidad mundial. Como señaló el Secretario General de las Naciones Unidas, </w:t>
      </w:r>
      <w:r w:rsidRPr="008E08FE">
        <w:rPr>
          <w:rFonts w:ascii="Times New Roman" w:eastAsia="Times New Roman" w:hAnsi="Times New Roman"/>
          <w:bCs/>
          <w:sz w:val="24"/>
          <w:szCs w:val="24"/>
          <w:lang w:eastAsia="es-ES"/>
        </w:rPr>
        <w:t>Ban Ki-moon</w:t>
      </w:r>
      <w:r w:rsidRPr="008E08FE">
        <w:rPr>
          <w:rFonts w:ascii="Times New Roman" w:eastAsia="Times New Roman" w:hAnsi="Times New Roman"/>
          <w:sz w:val="24"/>
          <w:szCs w:val="24"/>
          <w:lang w:eastAsia="es-ES"/>
        </w:rPr>
        <w:t xml:space="preserve">, en el prefacio del informe de </w:t>
      </w:r>
      <w:r w:rsidRPr="00120D86">
        <w:rPr>
          <w:rFonts w:ascii="Times New Roman" w:eastAsia="Times New Roman" w:hAnsi="Times New Roman"/>
          <w:iCs/>
          <w:sz w:val="24"/>
          <w:szCs w:val="24"/>
          <w:lang w:eastAsia="es-ES"/>
        </w:rPr>
        <w:t>HelpAge</w:t>
      </w:r>
      <w:r w:rsidR="0022080F">
        <w:rPr>
          <w:rFonts w:ascii="Times New Roman" w:eastAsia="Times New Roman" w:hAnsi="Times New Roman"/>
          <w:sz w:val="24"/>
          <w:szCs w:val="24"/>
          <w:lang w:eastAsia="es-ES"/>
        </w:rPr>
        <w:t>: “</w:t>
      </w:r>
      <w:r w:rsidRPr="008E08FE">
        <w:rPr>
          <w:rFonts w:ascii="Times New Roman" w:eastAsia="Times New Roman" w:hAnsi="Times New Roman"/>
          <w:sz w:val="24"/>
          <w:szCs w:val="24"/>
          <w:lang w:eastAsia="es-ES"/>
        </w:rPr>
        <w:t xml:space="preserve">Las repercusiones sociales y económicas de este fenómeno son profundas y exceden en mucho el ámbito inmediato de la propia persona de edad y de su familia, pues involucran de manera sin precedentes a la sociedad en general y a la </w:t>
      </w:r>
      <w:r w:rsidR="0022080F">
        <w:rPr>
          <w:rFonts w:ascii="Times New Roman" w:eastAsia="Times New Roman" w:hAnsi="Times New Roman"/>
          <w:sz w:val="24"/>
          <w:szCs w:val="24"/>
          <w:lang w:eastAsia="es-ES"/>
        </w:rPr>
        <w:t>comunidad mundial”</w:t>
      </w:r>
      <w:r w:rsidRPr="008E08FE">
        <w:rPr>
          <w:rFonts w:ascii="Times New Roman" w:eastAsia="Times New Roman" w:hAnsi="Times New Roman"/>
          <w:sz w:val="24"/>
          <w:szCs w:val="24"/>
          <w:lang w:eastAsia="es-ES"/>
        </w:rPr>
        <w:t>.</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Se prevé para 2050 que un 10% de la población de África tendrá 60 o más años, en comparación con el 24% en Asia, el 24% en Oceanía, el 25% en América Latina y el Caribe, el 27% en América del Norte y el 34% en Europa.</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bCs/>
          <w:sz w:val="24"/>
          <w:szCs w:val="24"/>
          <w:lang w:eastAsia="es-ES"/>
        </w:rPr>
        <w:t>Además, a escala mundial, las mujeres constituyen la mayoría del grupo de personas de edad</w:t>
      </w:r>
      <w:r w:rsidRPr="008E08FE">
        <w:rPr>
          <w:rFonts w:ascii="Times New Roman" w:eastAsia="Times New Roman" w:hAnsi="Times New Roman"/>
          <w:sz w:val="24"/>
          <w:szCs w:val="24"/>
          <w:lang w:eastAsia="es-ES"/>
        </w:rPr>
        <w:t>. Por cada 100 mujeres de 60 o más años de edad, hay solamente 84 hombres en ese grupo de edades; y por cada 100 mujeres de 80 o más años, hay solamente 61 hombres de la misma edad. Es decir, que los hombres y las mujeres experimentan la vejez de manera diferente.</w:t>
      </w:r>
    </w:p>
    <w:p w:rsidR="009B619B" w:rsidRPr="0022080F"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En muchas situaciones, las mujeres de edad suelen ser más vulnerables a la discriminación, además de tener un deficiente acceso al empleo y a la atención de la salud, estar sujetas a malos tratos, a la denegación de su derecho a la propiedad y la herencia de bienes, y a la falta de un ingreso mínimo y la carencia de medidas de la seguridad social. Y aunque los hombres de edad también pueden pasar a ser vulnerables, las diferencias entre hombres y mujeres tienen importantes repercusiones en las políticas y</w:t>
      </w:r>
      <w:r w:rsidR="0022080F">
        <w:rPr>
          <w:rFonts w:ascii="Times New Roman" w:eastAsia="Times New Roman" w:hAnsi="Times New Roman"/>
          <w:sz w:val="24"/>
          <w:szCs w:val="24"/>
          <w:lang w:eastAsia="es-ES"/>
        </w:rPr>
        <w:t xml:space="preserve"> la planificación de programas.</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 xml:space="preserve">En Madrid se realizó una asamblea sobre el envejecimiento en 2002, hace ya diez años. Ese plan exhortaba a cambiar las actitudes, las políticas y las prácticas a fin de asegurar que las personas de edad fueran consideradas no solamente como beneficiarias de medidas de bienestar social, sino como activas copartícipes en el proceso de desarrollo, cuyos derechos es preciso respetar. El informe actual, </w:t>
      </w:r>
      <w:r w:rsidRPr="008E08FE">
        <w:rPr>
          <w:rFonts w:ascii="Times New Roman" w:eastAsia="Times New Roman" w:hAnsi="Times New Roman"/>
          <w:i/>
          <w:iCs/>
          <w:sz w:val="24"/>
          <w:szCs w:val="24"/>
          <w:lang w:eastAsia="es-ES"/>
        </w:rPr>
        <w:t>El envejecimiento en el siglo XXI: Una celebración y un desafío</w:t>
      </w:r>
      <w:r w:rsidRPr="008E08FE">
        <w:rPr>
          <w:rFonts w:ascii="Times New Roman" w:eastAsia="Times New Roman" w:hAnsi="Times New Roman"/>
          <w:sz w:val="24"/>
          <w:szCs w:val="24"/>
          <w:lang w:eastAsia="es-ES"/>
        </w:rPr>
        <w:t>, constata la insospechada productividad de las contribuciones de las personas de 60 y más años de edad, en calidad de cuidadores de otras personas, votantes, voluntarios, empresarios, etc.</w:t>
      </w:r>
    </w:p>
    <w:p w:rsidR="009B619B" w:rsidRPr="008E08FE"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bCs/>
          <w:sz w:val="24"/>
          <w:szCs w:val="24"/>
          <w:lang w:eastAsia="es-ES"/>
        </w:rPr>
        <w:lastRenderedPageBreak/>
        <w:t>El informe muestra que, cuando se adoptan las medidas correctas</w:t>
      </w:r>
      <w:r w:rsidRPr="008E08FE">
        <w:rPr>
          <w:rFonts w:ascii="Times New Roman" w:eastAsia="Times New Roman" w:hAnsi="Times New Roman"/>
          <w:sz w:val="24"/>
          <w:szCs w:val="24"/>
          <w:lang w:eastAsia="es-ES"/>
        </w:rPr>
        <w:t xml:space="preserve"> para asegurar buena atención de la salud, ingreso regular, redes sociales y protección jurídica, </w:t>
      </w:r>
      <w:r w:rsidRPr="008E08FE">
        <w:rPr>
          <w:rFonts w:ascii="Times New Roman" w:eastAsia="Times New Roman" w:hAnsi="Times New Roman"/>
          <w:bCs/>
          <w:sz w:val="24"/>
          <w:szCs w:val="24"/>
          <w:lang w:eastAsia="es-ES"/>
        </w:rPr>
        <w:t>las generaciones actuales y futuras pueden cosechar en todo el mundo el dividendo de la longevidad</w:t>
      </w:r>
      <w:r w:rsidRPr="008E08FE">
        <w:rPr>
          <w:rFonts w:ascii="Times New Roman" w:eastAsia="Times New Roman" w:hAnsi="Times New Roman"/>
          <w:sz w:val="24"/>
          <w:szCs w:val="24"/>
          <w:lang w:eastAsia="es-ES"/>
        </w:rPr>
        <w:t>.</w:t>
      </w:r>
    </w:p>
    <w:p w:rsidR="009B619B" w:rsidRDefault="009B619B" w:rsidP="00550638">
      <w:pPr>
        <w:spacing w:before="100" w:beforeAutospacing="1" w:after="100" w:afterAutospacing="1" w:line="240" w:lineRule="auto"/>
        <w:jc w:val="both"/>
        <w:rPr>
          <w:rFonts w:ascii="Times New Roman" w:eastAsia="Times New Roman" w:hAnsi="Times New Roman"/>
          <w:sz w:val="24"/>
          <w:szCs w:val="24"/>
          <w:lang w:eastAsia="es-ES"/>
        </w:rPr>
      </w:pPr>
      <w:r w:rsidRPr="008E08FE">
        <w:rPr>
          <w:rFonts w:ascii="Times New Roman" w:eastAsia="Times New Roman" w:hAnsi="Times New Roman"/>
          <w:sz w:val="24"/>
          <w:szCs w:val="24"/>
          <w:lang w:eastAsia="es-ES"/>
        </w:rPr>
        <w:t>En los datos queda reflejada la necesidad de que los gobiernos nacionales y locales, las organizaciones internacionales, las comunidades y las entidades de la sociedad civil se comprometan plenamente en un esfuerzo mundial concertado para replantear la sociedad del futuro y adecuarla a las realidades demográficas del siglo XXI.</w:t>
      </w:r>
    </w:p>
    <w:p w:rsidR="0022080F" w:rsidRPr="0026027D" w:rsidRDefault="0026027D"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No comment: r</w:t>
      </w:r>
      <w:r w:rsidR="0022080F" w:rsidRPr="0026027D">
        <w:rPr>
          <w:rFonts w:ascii="Times New Roman" w:eastAsia="Times New Roman" w:hAnsi="Times New Roman"/>
          <w:sz w:val="24"/>
          <w:szCs w:val="24"/>
          <w:u w:val="single"/>
          <w:lang w:eastAsia="es-ES"/>
        </w:rPr>
        <w:t>iesgo de pobreza, dependencia y otras lacras sociales</w:t>
      </w:r>
      <w:r>
        <w:rPr>
          <w:rFonts w:ascii="Times New Roman" w:eastAsia="Times New Roman" w:hAnsi="Times New Roman"/>
          <w:sz w:val="24"/>
          <w:szCs w:val="24"/>
          <w:u w:val="single"/>
          <w:lang w:eastAsia="es-ES"/>
        </w:rPr>
        <w:t xml:space="preserve"> </w:t>
      </w:r>
    </w:p>
    <w:p w:rsidR="009B619B" w:rsidRDefault="009B619B"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7D32E7">
        <w:rPr>
          <w:rFonts w:ascii="Times New Roman" w:eastAsia="Times New Roman" w:hAnsi="Times New Roman"/>
          <w:sz w:val="24"/>
          <w:szCs w:val="24"/>
          <w:u w:val="single"/>
          <w:lang w:eastAsia="es-ES"/>
        </w:rPr>
        <w:t>Riesgo de pobreza y pensiones</w:t>
      </w:r>
      <w:r>
        <w:rPr>
          <w:rFonts w:ascii="Times New Roman" w:eastAsia="Times New Roman" w:hAnsi="Times New Roman"/>
          <w:sz w:val="24"/>
          <w:szCs w:val="24"/>
          <w:lang w:eastAsia="es-ES"/>
        </w:rPr>
        <w:t xml:space="preserve"> (El Confidencial - </w:t>
      </w:r>
      <w:r w:rsidRPr="007D32E7">
        <w:rPr>
          <w:rFonts w:ascii="Times New Roman" w:eastAsia="Times New Roman" w:hAnsi="Times New Roman"/>
          <w:b/>
          <w:sz w:val="24"/>
          <w:szCs w:val="24"/>
          <w:lang w:eastAsia="es-ES"/>
        </w:rPr>
        <w:t>5/12/12</w:t>
      </w:r>
      <w:r>
        <w:rPr>
          <w:rFonts w:ascii="Times New Roman" w:eastAsia="Times New Roman" w:hAnsi="Times New Roman"/>
          <w:sz w:val="24"/>
          <w:szCs w:val="24"/>
          <w:lang w:eastAsia="es-ES"/>
        </w:rPr>
        <w:t>)</w:t>
      </w:r>
      <w:r w:rsidR="0026027D">
        <w:rPr>
          <w:rFonts w:ascii="Times New Roman" w:eastAsia="Times New Roman" w:hAnsi="Times New Roman"/>
          <w:sz w:val="24"/>
          <w:szCs w:val="24"/>
          <w:lang w:eastAsia="es-ES"/>
        </w:rPr>
        <w:t xml:space="preserve"> Lectura recomendada</w:t>
      </w:r>
    </w:p>
    <w:p w:rsidR="009B619B" w:rsidRDefault="009B619B" w:rsidP="00550638">
      <w:pPr>
        <w:spacing w:after="0" w:line="240" w:lineRule="auto"/>
        <w:jc w:val="both"/>
        <w:rPr>
          <w:rFonts w:ascii="Times New Roman" w:eastAsia="Times New Roman" w:hAnsi="Times New Roman"/>
          <w:sz w:val="24"/>
          <w:szCs w:val="24"/>
          <w:lang w:eastAsia="es-ES"/>
        </w:rPr>
      </w:pPr>
    </w:p>
    <w:p w:rsidR="009B619B" w:rsidRDefault="009B619B"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7D32E7">
        <w:rPr>
          <w:rFonts w:ascii="Times New Roman" w:eastAsia="Times New Roman" w:hAnsi="Times New Roman"/>
          <w:sz w:val="24"/>
          <w:szCs w:val="24"/>
          <w:lang w:eastAsia="es-ES"/>
        </w:rPr>
        <w:t>Juan Manuel López-Zafra</w:t>
      </w:r>
      <w:r>
        <w:rPr>
          <w:rFonts w:ascii="Times New Roman" w:eastAsia="Times New Roman" w:hAnsi="Times New Roman"/>
          <w:sz w:val="24"/>
          <w:szCs w:val="24"/>
          <w:lang w:eastAsia="es-ES"/>
        </w:rPr>
        <w:t>)</w:t>
      </w:r>
    </w:p>
    <w:p w:rsidR="009B619B" w:rsidRPr="0026027D" w:rsidRDefault="0026027D" w:rsidP="00550638">
      <w:pPr>
        <w:pStyle w:val="NormalWeb"/>
        <w:jc w:val="both"/>
        <w:rPr>
          <w:u w:val="single"/>
        </w:rPr>
      </w:pPr>
      <w:r w:rsidRPr="0026027D">
        <w:t xml:space="preserve">… </w:t>
      </w:r>
      <w:r w:rsidR="009B619B" w:rsidRPr="0026027D">
        <w:rPr>
          <w:u w:val="single"/>
        </w:rPr>
        <w:t xml:space="preserve">Se está hablando mucho del </w:t>
      </w:r>
      <w:hyperlink r:id="rId558" w:history="1">
        <w:r w:rsidR="009B619B" w:rsidRPr="0026027D">
          <w:rPr>
            <w:rStyle w:val="Hipervnculo"/>
            <w:rFonts w:eastAsiaTheme="majorEastAsia"/>
            <w:color w:val="auto"/>
          </w:rPr>
          <w:t>riesgo de pobreza</w:t>
        </w:r>
      </w:hyperlink>
      <w:r w:rsidR="009B619B" w:rsidRPr="0026027D">
        <w:rPr>
          <w:u w:val="single"/>
        </w:rPr>
        <w:t xml:space="preserve"> estos días. Y, relacionado con ello, coinciden en el tiempo la presentación del </w:t>
      </w:r>
      <w:hyperlink r:id="rId559" w:history="1">
        <w:r w:rsidR="009B619B" w:rsidRPr="0026027D">
          <w:rPr>
            <w:rStyle w:val="Hipervnculo"/>
            <w:rFonts w:eastAsiaTheme="majorEastAsia"/>
            <w:color w:val="auto"/>
          </w:rPr>
          <w:t>informe</w:t>
        </w:r>
      </w:hyperlink>
      <w:r w:rsidR="009B619B" w:rsidRPr="0026027D">
        <w:rPr>
          <w:u w:val="single"/>
        </w:rPr>
        <w:t xml:space="preserve"> </w:t>
      </w:r>
      <w:r w:rsidR="009B619B" w:rsidRPr="00BF31FE">
        <w:rPr>
          <w:i/>
          <w:u w:val="single"/>
        </w:rPr>
        <w:t>“Income from work after retirement in the EU”</w:t>
      </w:r>
      <w:r w:rsidR="009B619B" w:rsidRPr="0026027D">
        <w:rPr>
          <w:u w:val="single"/>
        </w:rPr>
        <w:t xml:space="preserve"> por parte de la </w:t>
      </w:r>
      <w:r w:rsidR="009B619B" w:rsidRPr="0026027D">
        <w:rPr>
          <w:rStyle w:val="nfasis"/>
          <w:u w:val="single"/>
        </w:rPr>
        <w:t>European Foundation for the Improvement of Living and Working Conditions</w:t>
      </w:r>
      <w:r w:rsidR="009B619B" w:rsidRPr="0026027D">
        <w:rPr>
          <w:u w:val="single"/>
        </w:rPr>
        <w:t xml:space="preserve"> </w:t>
      </w:r>
      <w:r w:rsidR="009B619B" w:rsidRPr="00BF31FE">
        <w:rPr>
          <w:i/>
          <w:u w:val="single"/>
        </w:rPr>
        <w:t>(</w:t>
      </w:r>
      <w:r w:rsidR="009B619B" w:rsidRPr="00BF31FE">
        <w:rPr>
          <w:bCs/>
          <w:i/>
          <w:u w:val="single"/>
        </w:rPr>
        <w:t>Eurofound</w:t>
      </w:r>
      <w:r w:rsidR="009B619B" w:rsidRPr="00BF31FE">
        <w:rPr>
          <w:i/>
          <w:u w:val="single"/>
        </w:rPr>
        <w:t>),</w:t>
      </w:r>
      <w:r w:rsidR="009B619B" w:rsidRPr="0026027D">
        <w:rPr>
          <w:u w:val="single"/>
        </w:rPr>
        <w:t xml:space="preserve"> hoy en Bruselas, y la </w:t>
      </w:r>
      <w:hyperlink r:id="rId560" w:history="1">
        <w:r w:rsidR="009B619B" w:rsidRPr="0026027D">
          <w:rPr>
            <w:rStyle w:val="Hipervnculo"/>
            <w:rFonts w:eastAsiaTheme="majorEastAsia"/>
            <w:color w:val="auto"/>
          </w:rPr>
          <w:t>celebración</w:t>
        </w:r>
      </w:hyperlink>
      <w:r w:rsidR="009B619B" w:rsidRPr="0026027D">
        <w:rPr>
          <w:u w:val="single"/>
        </w:rPr>
        <w:t xml:space="preserve"> estos mismos días en Santiago de Compostela del </w:t>
      </w:r>
      <w:r w:rsidR="009B619B" w:rsidRPr="00120D86">
        <w:rPr>
          <w:rStyle w:val="nfasis"/>
          <w:i w:val="0"/>
          <w:u w:val="single"/>
        </w:rPr>
        <w:t>International Congress on Social Diversity</w:t>
      </w:r>
      <w:r w:rsidR="009B619B" w:rsidRPr="0026027D">
        <w:rPr>
          <w:u w:val="single"/>
        </w:rPr>
        <w:t xml:space="preserve">, en el que se están abordando este y muchos otros problemas que, de forma particular, atañen tanto a discapacitados como a las personas de mayor edad. </w:t>
      </w:r>
    </w:p>
    <w:p w:rsidR="009B619B" w:rsidRPr="00691B46" w:rsidRDefault="009B619B" w:rsidP="00550638">
      <w:pPr>
        <w:pStyle w:val="NormalWeb"/>
        <w:jc w:val="both"/>
        <w:rPr>
          <w:u w:val="single"/>
        </w:rPr>
      </w:pPr>
      <w:r w:rsidRPr="00691B46">
        <w:rPr>
          <w:color w:val="FF0000"/>
          <w:u w:val="single"/>
        </w:rPr>
        <w:t xml:space="preserve">Durante 2010, y a nivel de la UE27, el </w:t>
      </w:r>
      <w:r w:rsidRPr="00691B46">
        <w:rPr>
          <w:b/>
          <w:bCs/>
          <w:color w:val="FF0000"/>
          <w:u w:val="single"/>
        </w:rPr>
        <w:t xml:space="preserve">porcentaje de hogares con dificultades para llegar a fin de mes </w:t>
      </w:r>
      <w:r w:rsidRPr="00691B46">
        <w:rPr>
          <w:color w:val="FF0000"/>
          <w:u w:val="single"/>
        </w:rPr>
        <w:t>fue del 53.6% para aquellos con un adulto de 65 o más años, y del 44.5% para los de dos adultos, con al menos uno de 65 o más</w:t>
      </w:r>
      <w:r>
        <w:t xml:space="preserve">. </w:t>
      </w:r>
      <w:r w:rsidRPr="00691B46">
        <w:rPr>
          <w:u w:val="single"/>
        </w:rPr>
        <w:t>En España los valores fueron desgraciadamente superiores, alcanzando el 61.3% y 54.5% respectivamente</w:t>
      </w:r>
      <w:r>
        <w:t xml:space="preserve">. </w:t>
      </w:r>
      <w:r w:rsidRPr="00691B46">
        <w:rPr>
          <w:u w:val="single"/>
        </w:rPr>
        <w:t>Surgen entonces dos alternativas para reducir ese riesgo: la asistencial</w:t>
      </w:r>
      <w:r>
        <w:t xml:space="preserve"> (absolutamente imprescindible, pues en muchos casos ni la formación, ni la salud, ni la zona de residencia permiten otra) </w:t>
      </w:r>
      <w:r w:rsidRPr="00691B46">
        <w:rPr>
          <w:u w:val="single"/>
        </w:rPr>
        <w:t>y la laboral.</w:t>
      </w:r>
    </w:p>
    <w:p w:rsidR="009B619B" w:rsidRDefault="009B619B" w:rsidP="00550638">
      <w:pPr>
        <w:pStyle w:val="NormalWeb"/>
        <w:jc w:val="both"/>
      </w:pPr>
      <w:r w:rsidRPr="00691B46">
        <w:rPr>
          <w:u w:val="single"/>
        </w:rPr>
        <w:t xml:space="preserve">En el citado informe de </w:t>
      </w:r>
      <w:r w:rsidRPr="00120D86">
        <w:rPr>
          <w:u w:val="single"/>
        </w:rPr>
        <w:t>Eurofound</w:t>
      </w:r>
      <w:r w:rsidRPr="00691B46">
        <w:rPr>
          <w:u w:val="single"/>
        </w:rPr>
        <w:t xml:space="preserve">, elaborado por los Dres. </w:t>
      </w:r>
      <w:r w:rsidRPr="00286B12">
        <w:rPr>
          <w:bCs/>
          <w:u w:val="single"/>
        </w:rPr>
        <w:t>Dubois</w:t>
      </w:r>
      <w:r w:rsidRPr="00286B12">
        <w:rPr>
          <w:u w:val="single"/>
        </w:rPr>
        <w:t xml:space="preserve"> y </w:t>
      </w:r>
      <w:r w:rsidRPr="00286B12">
        <w:rPr>
          <w:bCs/>
          <w:u w:val="single"/>
        </w:rPr>
        <w:t>Anderson</w:t>
      </w:r>
      <w:r w:rsidRPr="00691B46">
        <w:rPr>
          <w:u w:val="single"/>
        </w:rPr>
        <w:t xml:space="preserve">, en el que también ha colaborado la Dra. </w:t>
      </w:r>
      <w:r w:rsidRPr="00286B12">
        <w:rPr>
          <w:bCs/>
          <w:u w:val="single"/>
        </w:rPr>
        <w:t>De Paz Cobo</w:t>
      </w:r>
      <w:r w:rsidRPr="00691B46">
        <w:rPr>
          <w:u w:val="single"/>
        </w:rPr>
        <w:t>, de la URJC, se lleva a cabo una revisión exhaustiva de los distintos esquemas de jubilación en la UE y las posibilidades contempladas en cada país en relación con el trabajo de los mayores.</w:t>
      </w:r>
      <w:r>
        <w:t xml:space="preserve"> </w:t>
      </w:r>
      <w:r w:rsidRPr="00691B46">
        <w:rPr>
          <w:color w:val="FF0000"/>
          <w:u w:val="single"/>
        </w:rPr>
        <w:t>Efectivamente, uno de cada tres europeos quiere continuar trabajando llegada su edad de jubilación, y seis de cada diez piensan que la gente debería tener la posibilidad de hacerlo</w:t>
      </w:r>
      <w:r>
        <w:t xml:space="preserve">. </w:t>
      </w:r>
      <w:r w:rsidRPr="00691B46">
        <w:rPr>
          <w:u w:val="single"/>
        </w:rPr>
        <w:t>De hecho, desde 2005 las tasas de empleo de las personas de edad superior a los 65 años se han incrementado significativamente en Finlandia, el Reino Unido, Lituania, Alemania y Austria</w:t>
      </w:r>
      <w:r>
        <w:t>. La persecución del interés individual, nuevamente, redunda en el beneficio del colectivo, pues un incremento tanto del tiempo de actividad como del número de personas en tal situación reduce la carga que pesa sobre los sistemas públicos de pensiones.</w:t>
      </w:r>
    </w:p>
    <w:p w:rsidR="009B619B" w:rsidRPr="00691B46" w:rsidRDefault="009B619B" w:rsidP="00550638">
      <w:pPr>
        <w:pStyle w:val="NormalWeb"/>
        <w:jc w:val="both"/>
        <w:rPr>
          <w:color w:val="FF0000"/>
          <w:u w:val="single"/>
        </w:rPr>
      </w:pPr>
      <w:r>
        <w:t xml:space="preserve">Es interesante observar cómo la </w:t>
      </w:r>
      <w:r w:rsidRPr="00691B46">
        <w:rPr>
          <w:color w:val="FF0000"/>
          <w:u w:val="single"/>
        </w:rPr>
        <w:t>dependencia demográfica</w:t>
      </w:r>
      <w:r>
        <w:t xml:space="preserve"> </w:t>
      </w:r>
      <w:r w:rsidRPr="00691B46">
        <w:rPr>
          <w:u w:val="single"/>
        </w:rPr>
        <w:t>en la UE27 pasará de un pensionista por cada cuatro en edad de trabajar a uno por cada tres en 2020</w:t>
      </w:r>
      <w:r>
        <w:t xml:space="preserve">. </w:t>
      </w:r>
      <w:r w:rsidRPr="00691B46">
        <w:rPr>
          <w:u w:val="single"/>
        </w:rPr>
        <w:t>Sin embargo, esta relación no recoge el hecho de que entre los potencialmente activos no todos lo están, como ocurre de forma especialmente grave en situaciones de crisis económica como la actual</w:t>
      </w:r>
      <w:r>
        <w:t xml:space="preserve">. </w:t>
      </w:r>
      <w:r w:rsidRPr="00691B46">
        <w:rPr>
          <w:u w:val="single"/>
        </w:rPr>
        <w:t xml:space="preserve">Surge así el ratio de </w:t>
      </w:r>
      <w:r w:rsidRPr="00691B46">
        <w:rPr>
          <w:color w:val="FF0000"/>
          <w:u w:val="single"/>
        </w:rPr>
        <w:t>dependencia económica</w:t>
      </w:r>
      <w:r w:rsidRPr="00691B46">
        <w:rPr>
          <w:u w:val="single"/>
        </w:rPr>
        <w:t xml:space="preserve">, que en 2010 </w:t>
      </w:r>
      <w:r w:rsidRPr="00691B46">
        <w:rPr>
          <w:u w:val="single"/>
        </w:rPr>
        <w:lastRenderedPageBreak/>
        <w:t>alcanzó el valor del 65%, lo que significa que en la UE27 tres activos mantienen a dos jubilados;</w:t>
      </w:r>
      <w:r>
        <w:t xml:space="preserve"> </w:t>
      </w:r>
      <w:r w:rsidRPr="00691B46">
        <w:rPr>
          <w:u w:val="single"/>
        </w:rPr>
        <w:t>el peso es ahora mismo exactamente el doble de lo que indica el de dependencia demográfica para 2020</w:t>
      </w:r>
      <w:r>
        <w:t xml:space="preserve">. </w:t>
      </w:r>
      <w:r w:rsidRPr="00691B46">
        <w:rPr>
          <w:color w:val="FF0000"/>
          <w:u w:val="single"/>
        </w:rPr>
        <w:t>Cierto es que los ratios, sean los que sean, no recogen los incrementos de productividad. Y que son precisamente esos incrementos de productividad inherentes al sistema capitalista los que han permitido la jubilación a los 65 años o la eliminación del trabajo infantil, entre otros avances sociales.</w:t>
      </w:r>
    </w:p>
    <w:p w:rsidR="009B619B" w:rsidRDefault="009B619B" w:rsidP="00550638">
      <w:pPr>
        <w:pStyle w:val="NormalWeb"/>
        <w:jc w:val="both"/>
      </w:pPr>
      <w:r>
        <w:rPr>
          <w:noProof/>
        </w:rPr>
        <w:drawing>
          <wp:inline distT="0" distB="0" distL="0" distR="0" wp14:anchorId="6A87669C" wp14:editId="6778570B">
            <wp:extent cx="5405932" cy="1748332"/>
            <wp:effectExtent l="0" t="0" r="4445" b="4445"/>
            <wp:docPr id="164" name="Imagen 164" descr="2012120489zafr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2012120489zafra1"/>
                    <pic:cNvPicPr>
                      <a:picLocks noChangeAspect="1" noChangeArrowheads="1"/>
                    </pic:cNvPicPr>
                  </pic:nvPicPr>
                  <pic:blipFill>
                    <a:blip r:embed="rId561">
                      <a:extLst>
                        <a:ext uri="{28A0092B-C50C-407E-A947-70E740481C1C}">
                          <a14:useLocalDpi xmlns:a14="http://schemas.microsoft.com/office/drawing/2010/main" val="0"/>
                        </a:ext>
                      </a:extLst>
                    </a:blip>
                    <a:srcRect/>
                    <a:stretch>
                      <a:fillRect/>
                    </a:stretch>
                  </pic:blipFill>
                  <pic:spPr bwMode="auto">
                    <a:xfrm>
                      <a:off x="0" y="0"/>
                      <a:ext cx="5406257" cy="1748437"/>
                    </a:xfrm>
                    <a:prstGeom prst="rect">
                      <a:avLst/>
                    </a:prstGeom>
                    <a:noFill/>
                    <a:ln>
                      <a:noFill/>
                    </a:ln>
                  </pic:spPr>
                </pic:pic>
              </a:graphicData>
            </a:graphic>
          </wp:inline>
        </w:drawing>
      </w:r>
    </w:p>
    <w:p w:rsidR="009B619B" w:rsidRDefault="009B619B" w:rsidP="00550638">
      <w:pPr>
        <w:pStyle w:val="NormalWeb"/>
        <w:jc w:val="both"/>
      </w:pPr>
      <w:r>
        <w:t>Mayores de 65 años en rojo, entre 16 y 64 en verde. Elaboración propia.</w:t>
      </w:r>
    </w:p>
    <w:p w:rsidR="009B619B" w:rsidRPr="00860FE7" w:rsidRDefault="009B619B" w:rsidP="00550638">
      <w:pPr>
        <w:pStyle w:val="NormalWeb"/>
        <w:jc w:val="both"/>
        <w:rPr>
          <w:u w:val="single"/>
        </w:rPr>
      </w:pPr>
      <w:r w:rsidRPr="00860FE7">
        <w:rPr>
          <w:u w:val="single"/>
        </w:rPr>
        <w:t>Cabría preguntarse si es socialmente admisible que una persona que ya ha alcanzado la edad legal de jubilación (impuesta desde el Estado, independientemente de la actividad que desarrolle el ya jubilado y de su situación de salud) tenga la opción de permanecer activo</w:t>
      </w:r>
      <w:r>
        <w:t xml:space="preserve">. Evidentemente, desde la óptica social del pretendido reparto del trabajo (como si los puestos de trabajo fuesen manzanas que pudieran repartirse dentro de una caja) la pregunta carece de sentido, y, desde la del respeto a la libertad individual, aún más. Pero admitamos la barbaridad, desde un marco meramente de análisis. Para ello, quizá sería conveniente conocer cuál es la situación en la que se encuentra el colectivo analizado, en este caso el de los mayores de 65 años, pero no sólo de forma absoluta, sino también en comparación con los demás. </w:t>
      </w:r>
      <w:r w:rsidRPr="00860FE7">
        <w:rPr>
          <w:u w:val="single"/>
        </w:rPr>
        <w:t xml:space="preserve">Una de las medidas más informativas acerca de su mejor o peor situación en cuanto a su capacidad económica es el ingreso mediano, valor que recoge el importe de los ingresos que divide en dos partes iguales al grupo: la mitad exactamente obtiene ingresos mayores y la otra mitad menores. </w:t>
      </w:r>
    </w:p>
    <w:p w:rsidR="009B619B" w:rsidRDefault="009B619B" w:rsidP="00550638">
      <w:pPr>
        <w:pStyle w:val="NormalWeb"/>
        <w:jc w:val="both"/>
      </w:pPr>
      <w:r w:rsidRPr="00860FE7">
        <w:rPr>
          <w:u w:val="single"/>
        </w:rPr>
        <w:t>Efectúan los autores la relación por cociente entre el ingreso mediano de los mayores de 65 años con el de quienes tienen entre 16 y 64 años; un valor de 1 indica igualdad entre los dos colectivos (en ambos existe la misma proporción de personas por encima y por debajo del mismo salario), mientras que valores inferiores a la unidad indican que el salario mediano de los mayores es inferior al de los potencialmente activos</w:t>
      </w:r>
      <w:r>
        <w:t xml:space="preserve">. Del gráfico posterior podemos concluir dos cosas: por un lado, que la evolución en sólo tres años ha sido positiva, pues en general ha crecido el valor del indicador; por otro, que </w:t>
      </w:r>
      <w:r w:rsidRPr="00860FE7">
        <w:rPr>
          <w:u w:val="single"/>
        </w:rPr>
        <w:t>los ingresos medianos del colectivo de mayores siguen en general siendo más de un 10% inferiores a los del resto de la población.</w:t>
      </w:r>
      <w:r>
        <w:t xml:space="preserve"> De hecho, en España el ratio toma el valor 0.83 en 2010.</w:t>
      </w:r>
    </w:p>
    <w:p w:rsidR="009B619B" w:rsidRDefault="009B619B" w:rsidP="00550638">
      <w:pPr>
        <w:pStyle w:val="NormalWeb"/>
        <w:jc w:val="both"/>
      </w:pPr>
      <w:r>
        <w:rPr>
          <w:noProof/>
        </w:rPr>
        <w:lastRenderedPageBreak/>
        <w:drawing>
          <wp:inline distT="0" distB="0" distL="0" distR="0" wp14:anchorId="0EB0422D" wp14:editId="1AE77185">
            <wp:extent cx="5341090" cy="3043123"/>
            <wp:effectExtent l="0" t="0" r="0" b="5080"/>
            <wp:docPr id="163" name="Imagen 163" descr="2012120467zaf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2012120467zafra2"/>
                    <pic:cNvPicPr>
                      <a:picLocks noChangeAspect="1" noChangeArrowheads="1"/>
                    </pic:cNvPicPr>
                  </pic:nvPicPr>
                  <pic:blipFill>
                    <a:blip r:embed="rId562">
                      <a:extLst>
                        <a:ext uri="{28A0092B-C50C-407E-A947-70E740481C1C}">
                          <a14:useLocalDpi xmlns:a14="http://schemas.microsoft.com/office/drawing/2010/main" val="0"/>
                        </a:ext>
                      </a:extLst>
                    </a:blip>
                    <a:srcRect/>
                    <a:stretch>
                      <a:fillRect/>
                    </a:stretch>
                  </pic:blipFill>
                  <pic:spPr bwMode="auto">
                    <a:xfrm>
                      <a:off x="0" y="0"/>
                      <a:ext cx="5354937" cy="3051012"/>
                    </a:xfrm>
                    <a:prstGeom prst="rect">
                      <a:avLst/>
                    </a:prstGeom>
                    <a:noFill/>
                    <a:ln>
                      <a:noFill/>
                    </a:ln>
                  </pic:spPr>
                </pic:pic>
              </a:graphicData>
            </a:graphic>
          </wp:inline>
        </w:drawing>
      </w:r>
    </w:p>
    <w:p w:rsidR="009B619B" w:rsidRDefault="009B619B" w:rsidP="00550638">
      <w:pPr>
        <w:pStyle w:val="NormalWeb"/>
        <w:jc w:val="both"/>
      </w:pPr>
      <w:r>
        <w:t>Distribución del ratio de salarios medianos de los mayores de 65 respecto de los potencialmente activos (16 a 64 años). Fuente: Eurofound.</w:t>
      </w:r>
    </w:p>
    <w:p w:rsidR="009B619B" w:rsidRDefault="009B619B" w:rsidP="00550638">
      <w:pPr>
        <w:pStyle w:val="NormalWeb"/>
        <w:jc w:val="both"/>
      </w:pPr>
      <w:r w:rsidRPr="00860FE7">
        <w:rPr>
          <w:u w:val="single"/>
        </w:rPr>
        <w:t>No es extraño entonces que nuestros mayores quieran trabajar</w:t>
      </w:r>
      <w:r>
        <w:t xml:space="preserve">. </w:t>
      </w:r>
      <w:r w:rsidRPr="00860FE7">
        <w:rPr>
          <w:u w:val="single"/>
        </w:rPr>
        <w:t>Se encuentran (en general) bien de salud, tienen claramente mucho que aportar y sus ingresos no les permiten vivir de la forma en que lo hacían; ingresos proporcionados en su mayor parte por la pensión de jubilación, en el caso español con un sistema de reparto que limita las máximas y que sigue sometido al vaivén de las decisiones políticas (situaciones ambas que no se producirían en un sistema de capitalización).</w:t>
      </w:r>
      <w:r>
        <w:t xml:space="preserve"> </w:t>
      </w:r>
      <w:r w:rsidRPr="00860FE7">
        <w:rPr>
          <w:u w:val="single"/>
        </w:rPr>
        <w:t xml:space="preserve">Y así, es normal que la </w:t>
      </w:r>
      <w:r w:rsidRPr="00286B12">
        <w:rPr>
          <w:bCs/>
          <w:u w:val="single"/>
        </w:rPr>
        <w:t>tasa de empleo de las personas de 65 a 69 años</w:t>
      </w:r>
      <w:r w:rsidRPr="00286B12">
        <w:rPr>
          <w:u w:val="single"/>
        </w:rPr>
        <w:t xml:space="preserve"> </w:t>
      </w:r>
      <w:r w:rsidRPr="00860FE7">
        <w:rPr>
          <w:u w:val="single"/>
        </w:rPr>
        <w:t>en la UE27 se haya incrementado en 1,7 puntos porcentuales desde el 8.8% en 2005 al 10.5% en 2011, destacando en Finlandia con un incremento del 4.9% o el Reino Unido con uno del 4.7%. España ha pasado en ese mismo período del 4.5% al</w:t>
      </w:r>
      <w:r w:rsidR="00306A5D">
        <w:rPr>
          <w:u w:val="single"/>
        </w:rPr>
        <w:t xml:space="preserve"> 5%. Al mismo tiempo, en los EEUU</w:t>
      </w:r>
      <w:r w:rsidRPr="00860FE7">
        <w:rPr>
          <w:u w:val="single"/>
        </w:rPr>
        <w:t xml:space="preserve">, y según el </w:t>
      </w:r>
      <w:r w:rsidRPr="00860FE7">
        <w:rPr>
          <w:i/>
          <w:iCs/>
          <w:u w:val="single"/>
        </w:rPr>
        <w:t>US Bureau of Labor Statistics</w:t>
      </w:r>
      <w:r w:rsidRPr="00860FE7">
        <w:rPr>
          <w:u w:val="single"/>
        </w:rPr>
        <w:t>, esa misma tasa de empleo en 2011 alcanzaba al 29.9% de la cohorte de 65 a 69 años de edad.</w:t>
      </w:r>
      <w:r>
        <w:t xml:space="preserve"> Es interesante observar que esa misma población de mayores ha elegido mayoritariamente la opción de </w:t>
      </w:r>
      <w:r w:rsidRPr="00286B12">
        <w:rPr>
          <w:bCs/>
        </w:rPr>
        <w:t>trabajo a tiempo parcial</w:t>
      </w:r>
      <w:r>
        <w:t>; comparando los terceros trimestres de 2007 y 2011,</w:t>
      </w:r>
      <w:r>
        <w:rPr>
          <w:b/>
          <w:bCs/>
        </w:rPr>
        <w:t xml:space="preserve"> </w:t>
      </w:r>
      <w:r>
        <w:t>en la UE se ha pasado del 51.6% del total de mayores empleados al 56.8%. En España, mientras tanto, hemos caminado en sentido opuesto, pasando del 29.9% al 24.4%. Los países de más incremento son Chipre (11.3 puntos porcentuales, pp), Francia (8.8 pp), Suecia (8.4 pp) y Estonia (8.5 pp). Y recordemos que uno de los colectivos más sensibles al riesgo de pobreza es el de los mayores.</w:t>
      </w:r>
    </w:p>
    <w:p w:rsidR="009B619B" w:rsidRPr="00655600" w:rsidRDefault="009B619B" w:rsidP="00550638">
      <w:pPr>
        <w:pStyle w:val="NormalWeb"/>
        <w:jc w:val="both"/>
        <w:rPr>
          <w:u w:val="single"/>
        </w:rPr>
      </w:pPr>
      <w:r>
        <w:t xml:space="preserve">En el previamente citado congreso presento, junto con la Dra. de Paz Cobo, un estudio pormenorizado de la </w:t>
      </w:r>
      <w:hyperlink r:id="rId563" w:history="1">
        <w:r w:rsidRPr="0026027D">
          <w:rPr>
            <w:rStyle w:val="Hipervnculo"/>
            <w:rFonts w:eastAsiaTheme="majorEastAsia"/>
            <w:color w:val="auto"/>
          </w:rPr>
          <w:t>Encuesta</w:t>
        </w:r>
      </w:hyperlink>
      <w:r w:rsidRPr="0026027D">
        <w:t xml:space="preserve"> </w:t>
      </w:r>
      <w:r>
        <w:t xml:space="preserve">de Condiciones de Vida 2011 del INE, publicada hace apenas 6 semanas. Hemos analizado cuáles son los factores que explican que los mayores de 65 años se encuentren dentro del </w:t>
      </w:r>
      <w:r w:rsidRPr="00655600">
        <w:rPr>
          <w:u w:val="single"/>
        </w:rPr>
        <w:t>umbral de riesgo de pobreza</w:t>
      </w:r>
      <w:r>
        <w:t xml:space="preserve">, hogares que en 2011 contaban con una renta inferior a 7.533 € por persona (el 60% de la </w:t>
      </w:r>
      <w:r w:rsidRPr="00286B12">
        <w:rPr>
          <w:bCs/>
        </w:rPr>
        <w:t>renta mediana</w:t>
      </w:r>
      <w:r>
        <w:t xml:space="preserve"> nacional); a pesar de la paulatina reducción ocurrida desde 2004, </w:t>
      </w:r>
      <w:r w:rsidRPr="00655600">
        <w:rPr>
          <w:u w:val="single"/>
        </w:rPr>
        <w:t>en 2011 en España casi el 21% de los mayores de 65 años se encontraban dentro de esa situación de riesgo.</w:t>
      </w:r>
    </w:p>
    <w:p w:rsidR="009B619B" w:rsidRDefault="009B619B" w:rsidP="00550638">
      <w:pPr>
        <w:pStyle w:val="NormalWeb"/>
        <w:jc w:val="both"/>
      </w:pPr>
      <w:r>
        <w:rPr>
          <w:noProof/>
        </w:rPr>
        <w:lastRenderedPageBreak/>
        <w:drawing>
          <wp:inline distT="0" distB="0" distL="0" distR="0" wp14:anchorId="3BFAC57F" wp14:editId="1E776C3C">
            <wp:extent cx="5362041" cy="3130906"/>
            <wp:effectExtent l="0" t="0" r="0" b="0"/>
            <wp:docPr id="162" name="Imagen 162" descr="2012120485zafra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2012120485zafra3"/>
                    <pic:cNvPicPr>
                      <a:picLocks noChangeAspect="1" noChangeArrowheads="1"/>
                    </pic:cNvPicPr>
                  </pic:nvPicPr>
                  <pic:blipFill>
                    <a:blip r:embed="rId564">
                      <a:extLst>
                        <a:ext uri="{28A0092B-C50C-407E-A947-70E740481C1C}">
                          <a14:useLocalDpi xmlns:a14="http://schemas.microsoft.com/office/drawing/2010/main" val="0"/>
                        </a:ext>
                      </a:extLst>
                    </a:blip>
                    <a:srcRect/>
                    <a:stretch>
                      <a:fillRect/>
                    </a:stretch>
                  </pic:blipFill>
                  <pic:spPr bwMode="auto">
                    <a:xfrm>
                      <a:off x="0" y="0"/>
                      <a:ext cx="5362519" cy="3131185"/>
                    </a:xfrm>
                    <a:prstGeom prst="rect">
                      <a:avLst/>
                    </a:prstGeom>
                    <a:noFill/>
                    <a:ln>
                      <a:noFill/>
                    </a:ln>
                  </pic:spPr>
                </pic:pic>
              </a:graphicData>
            </a:graphic>
          </wp:inline>
        </w:drawing>
      </w:r>
    </w:p>
    <w:p w:rsidR="009B619B" w:rsidRDefault="009B619B" w:rsidP="00550638">
      <w:pPr>
        <w:pStyle w:val="NormalWeb"/>
        <w:jc w:val="both"/>
      </w:pPr>
      <w:r>
        <w:t>Evolución de la tasa de riesgo de pobreza (%) para los mayores de 65 años desde 2004. Elaboración propia a partir de INE.</w:t>
      </w:r>
    </w:p>
    <w:p w:rsidR="009B619B" w:rsidRPr="00655600" w:rsidRDefault="009B619B" w:rsidP="00550638">
      <w:pPr>
        <w:pStyle w:val="NormalWeb"/>
        <w:jc w:val="both"/>
        <w:rPr>
          <w:u w:val="single"/>
        </w:rPr>
      </w:pPr>
      <w:r w:rsidRPr="00655600">
        <w:rPr>
          <w:u w:val="single"/>
        </w:rPr>
        <w:t xml:space="preserve">Hemos analizado hasta un total 10 variables que potencialmente explicarían la situación. Lo que demostramos es que el factor más importante en la explicación del riesgo de pobreza entre los mayores es la </w:t>
      </w:r>
      <w:r w:rsidRPr="00286B12">
        <w:rPr>
          <w:bCs/>
          <w:u w:val="single"/>
        </w:rPr>
        <w:t>educación</w:t>
      </w:r>
      <w:r>
        <w:t xml:space="preserve">. </w:t>
      </w:r>
      <w:r w:rsidRPr="00655600">
        <w:rPr>
          <w:u w:val="single"/>
        </w:rPr>
        <w:t>Así, el mero hecho de tener estudios superiores provoca que sólo uno de cada quince se encuentre en riesgo (izquierda en el gráfico), frente a tres de cada quince en el colectivo general (centro). Por otro lado, en las parejas sin estudios y sin menores a cargo que viven en zona rural se incrementa el riesgo hasta la mitad del colectivo, como se presenta en la parte derecha.</w:t>
      </w:r>
    </w:p>
    <w:p w:rsidR="009B619B" w:rsidRDefault="009B619B" w:rsidP="00550638">
      <w:pPr>
        <w:pStyle w:val="NormalWeb"/>
        <w:jc w:val="both"/>
      </w:pPr>
      <w:r>
        <w:rPr>
          <w:noProof/>
        </w:rPr>
        <w:drawing>
          <wp:inline distT="0" distB="0" distL="0" distR="0" wp14:anchorId="667FFE21" wp14:editId="57452B01">
            <wp:extent cx="5186476" cy="1448409"/>
            <wp:effectExtent l="0" t="0" r="0" b="0"/>
            <wp:docPr id="161" name="Imagen 161" descr="2012120437zafr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2012120437zafra4"/>
                    <pic:cNvPicPr>
                      <a:picLocks noChangeAspect="1" noChangeArrowheads="1"/>
                    </pic:cNvPicPr>
                  </pic:nvPicPr>
                  <pic:blipFill>
                    <a:blip r:embed="rId565">
                      <a:extLst>
                        <a:ext uri="{28A0092B-C50C-407E-A947-70E740481C1C}">
                          <a14:useLocalDpi xmlns:a14="http://schemas.microsoft.com/office/drawing/2010/main" val="0"/>
                        </a:ext>
                      </a:extLst>
                    </a:blip>
                    <a:srcRect/>
                    <a:stretch>
                      <a:fillRect/>
                    </a:stretch>
                  </pic:blipFill>
                  <pic:spPr bwMode="auto">
                    <a:xfrm>
                      <a:off x="0" y="0"/>
                      <a:ext cx="5186680" cy="1448466"/>
                    </a:xfrm>
                    <a:prstGeom prst="rect">
                      <a:avLst/>
                    </a:prstGeom>
                    <a:noFill/>
                    <a:ln>
                      <a:noFill/>
                    </a:ln>
                  </pic:spPr>
                </pic:pic>
              </a:graphicData>
            </a:graphic>
          </wp:inline>
        </w:drawing>
      </w:r>
    </w:p>
    <w:p w:rsidR="009B619B" w:rsidRPr="00BF31FE" w:rsidRDefault="009B619B" w:rsidP="00550638">
      <w:pPr>
        <w:pStyle w:val="NormalWeb"/>
        <w:jc w:val="both"/>
        <w:rPr>
          <w:lang w:val="en-US"/>
        </w:rPr>
      </w:pPr>
      <w:r>
        <w:t xml:space="preserve">Prevalencia del riesgo de pobreza según factores. </w:t>
      </w:r>
      <w:r w:rsidRPr="00BF31FE">
        <w:rPr>
          <w:lang w:val="en-US"/>
        </w:rPr>
        <w:t>“</w:t>
      </w:r>
      <w:r w:rsidRPr="00BF31FE">
        <w:rPr>
          <w:iCs/>
          <w:lang w:val="en-US"/>
        </w:rPr>
        <w:t>Analysis of poverty risk of older people in Spain</w:t>
      </w:r>
      <w:r w:rsidRPr="00BF31FE">
        <w:rPr>
          <w:lang w:val="en-US"/>
        </w:rPr>
        <w:t>”, ICSD 2012.</w:t>
      </w:r>
    </w:p>
    <w:p w:rsidR="009B619B" w:rsidRDefault="009B619B" w:rsidP="00550638">
      <w:pPr>
        <w:pStyle w:val="NormalWeb"/>
        <w:jc w:val="both"/>
      </w:pPr>
      <w:r w:rsidRPr="00655600">
        <w:rPr>
          <w:u w:val="single"/>
        </w:rPr>
        <w:t>Si consideramos que una sociedad progresa cuando todos sus miembros lo hacen, no debemos descuidar la situación de nuestros mayores</w:t>
      </w:r>
      <w:r>
        <w:t>. La combinación de políticas asistenciales en los casos en los que sean necesarias con la posibilidad real para el individuo de seguir cotizando y colaborando activamente permitirá corregir las deficiencias que aún existen sin cargar innecesariamente la factura total en el contribuyente. Deben ponerse hoy las bases para ello.</w:t>
      </w:r>
    </w:p>
    <w:p w:rsidR="00286B12" w:rsidRDefault="00286B12" w:rsidP="00550638">
      <w:pPr>
        <w:pStyle w:val="NormalWeb"/>
        <w:jc w:val="both"/>
      </w:pPr>
    </w:p>
    <w:p w:rsidR="00D57441" w:rsidRPr="00D57441" w:rsidRDefault="00D57441" w:rsidP="00550638">
      <w:pPr>
        <w:pStyle w:val="NormalWeb"/>
        <w:jc w:val="both"/>
        <w:rPr>
          <w:u w:val="single"/>
        </w:rPr>
      </w:pPr>
      <w:r w:rsidRPr="00D57441">
        <w:rPr>
          <w:u w:val="single"/>
        </w:rPr>
        <w:lastRenderedPageBreak/>
        <w:t>El ajuste de las pensiones a la inflación</w:t>
      </w:r>
      <w:r>
        <w:rPr>
          <w:u w:val="single"/>
        </w:rPr>
        <w:t xml:space="preserve"> (larga me la </w:t>
      </w:r>
      <w:r w:rsidR="00494A8D">
        <w:rPr>
          <w:u w:val="single"/>
        </w:rPr>
        <w:t>fiais</w:t>
      </w:r>
      <w:r>
        <w:rPr>
          <w:u w:val="single"/>
        </w:rPr>
        <w:t>)</w:t>
      </w:r>
    </w:p>
    <w:p w:rsidR="00D57441" w:rsidRPr="00CE1A39" w:rsidRDefault="00D57441"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00D446F8" w:rsidRPr="00D57441">
        <w:rPr>
          <w:rFonts w:ascii="Times New Roman" w:eastAsia="Times New Roman" w:hAnsi="Times New Roman"/>
          <w:i/>
          <w:sz w:val="24"/>
          <w:szCs w:val="24"/>
          <w:lang w:eastAsia="es-ES"/>
        </w:rPr>
        <w:t>Varios países europeos (Reino Unido, Francia, Italia, Austria o Bélgica) vinculan la evolución de las pensiones a la inflación, circunstancia que también sucedía en España hasta que este año de forma excepcional el Gobierno ha desechado esta posibilidad para cumplir con el déficit previsto</w:t>
      </w:r>
      <w:r>
        <w:rPr>
          <w:rFonts w:ascii="Times New Roman" w:eastAsia="Times New Roman" w:hAnsi="Times New Roman"/>
          <w:i/>
          <w:sz w:val="24"/>
          <w:szCs w:val="24"/>
          <w:lang w:eastAsia="es-ES"/>
        </w:rPr>
        <w:t>”..</w:t>
      </w:r>
      <w:r w:rsidR="00D446F8" w:rsidRPr="00D57441">
        <w:rPr>
          <w:rFonts w:ascii="Times New Roman" w:eastAsia="Times New Roman" w:hAnsi="Times New Roman"/>
          <w:i/>
          <w:sz w:val="24"/>
          <w:szCs w:val="24"/>
          <w:lang w:eastAsia="es-ES"/>
        </w:rPr>
        <w:t>.</w:t>
      </w:r>
      <w:r>
        <w:rPr>
          <w:rFonts w:ascii="Times New Roman" w:eastAsia="Times New Roman" w:hAnsi="Times New Roman"/>
          <w:i/>
          <w:sz w:val="24"/>
          <w:szCs w:val="24"/>
          <w:lang w:eastAsia="es-ES"/>
        </w:rPr>
        <w:t xml:space="preserve"> </w:t>
      </w:r>
      <w:r w:rsidRPr="00E81474">
        <w:rPr>
          <w:rFonts w:ascii="Times New Roman" w:eastAsia="Times New Roman" w:hAnsi="Times New Roman"/>
          <w:sz w:val="24"/>
          <w:szCs w:val="24"/>
          <w:u w:val="single"/>
          <w:lang w:eastAsia="es-ES"/>
        </w:rPr>
        <w:t>Reino Unido y Francia, entre los países que vinculan las pensiones a la inflación</w:t>
      </w:r>
      <w:r>
        <w:rPr>
          <w:rFonts w:ascii="Times New Roman" w:eastAsia="Times New Roman" w:hAnsi="Times New Roman"/>
          <w:sz w:val="24"/>
          <w:szCs w:val="24"/>
          <w:lang w:eastAsia="es-ES"/>
        </w:rPr>
        <w:t xml:space="preserve"> (Negocios.com - </w:t>
      </w:r>
      <w:r w:rsidRPr="00E81474">
        <w:rPr>
          <w:rFonts w:ascii="Times New Roman" w:eastAsia="Times New Roman" w:hAnsi="Times New Roman"/>
          <w:b/>
          <w:sz w:val="24"/>
          <w:szCs w:val="24"/>
          <w:lang w:eastAsia="es-ES"/>
        </w:rPr>
        <w:t>6/12/12</w:t>
      </w:r>
      <w:r>
        <w:rPr>
          <w:rFonts w:ascii="Times New Roman" w:eastAsia="Times New Roman" w:hAnsi="Times New Roman"/>
          <w:sz w:val="24"/>
          <w:szCs w:val="24"/>
          <w:lang w:eastAsia="es-ES"/>
        </w:rPr>
        <w:t>)</w:t>
      </w:r>
    </w:p>
    <w:p w:rsidR="00D446F8" w:rsidRPr="00D57441" w:rsidRDefault="00D446F8" w:rsidP="00550638">
      <w:pPr>
        <w:spacing w:after="0" w:line="240" w:lineRule="auto"/>
        <w:jc w:val="both"/>
        <w:rPr>
          <w:rFonts w:ascii="Times New Roman" w:eastAsia="Times New Roman" w:hAnsi="Times New Roman"/>
          <w:i/>
          <w:sz w:val="24"/>
          <w:szCs w:val="24"/>
          <w:lang w:eastAsia="es-ES"/>
        </w:rPr>
      </w:pP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La Unión Europea deja margen a los países para decidir los ajustes que quieren aplicar a las pensiones y no existe ningún tipo de obligación respecto a compensaciones por el aumento de la inflación.</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57441"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00D446F8" w:rsidRPr="00D57441">
        <w:rPr>
          <w:rFonts w:ascii="Times New Roman" w:eastAsia="Times New Roman" w:hAnsi="Times New Roman"/>
          <w:sz w:val="24"/>
          <w:szCs w:val="24"/>
          <w:lang w:eastAsia="es-ES"/>
        </w:rPr>
        <w:t>Es una cuestión en manos de los Estados miembros</w:t>
      </w:r>
      <w:r>
        <w:rPr>
          <w:rFonts w:ascii="Times New Roman" w:eastAsia="Times New Roman" w:hAnsi="Times New Roman"/>
          <w:sz w:val="24"/>
          <w:szCs w:val="24"/>
          <w:lang w:eastAsia="es-ES"/>
        </w:rPr>
        <w:t>”</w:t>
      </w:r>
      <w:r w:rsidR="00D446F8" w:rsidRPr="00D57441">
        <w:rPr>
          <w:rFonts w:ascii="Times New Roman" w:eastAsia="Times New Roman" w:hAnsi="Times New Roman"/>
          <w:sz w:val="24"/>
          <w:szCs w:val="24"/>
          <w:lang w:eastAsia="es-ES"/>
        </w:rPr>
        <w:t>, señaló a Efe el portavoz comunitario de Empleo y Asuntos Sociales, Jonathan Todd, quien añadió que Bruselas sí ha pedido a los Veintisiete que aseguren la sostenibilidad de las pensiones con medidas como el aumento de la edad de jubilación.</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En Francia las pensiones del régimen de la Seguridad Social (unos 12 millones) están vinculadas a la inflación y la revalorización se aplica cada año el 1 de abril.</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En esa fecha se aplica la previsión del índice de precios al consumo que ha elaborado la Comisión Económica de la Nación y posteriormente se procede a un ajuste por el posible desfase.</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En el Reino Unido el aumento de las pensiones se calcula en base al índice de precios al consumo (IPC), aunque hasta hace dos años se hacía teniendo en cuenta el índice de precios minoristas (RPI), cuyo porcentaje suele ser ligeramente más alto al incluirse el coste de la vivienda y el pago de los intereses de las hipotecas.</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Además, el alza de las pensiones se hace en base al IPC de septiembre para ser aplicado a partir del 1 de abril del año siguiente, cuando comienza del año fiscal.</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En Italia las pensiones aumentan cada año según la inflación, pero son los Gobiernos los que pueden tomar decisiones extraordinarias al respecto.</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El Gobierno de Mario Monti con su último plan de ajuste aprobado en diciembre del año pasado congeló está subida vinculada al coste de la vida durante el bienio 2012-2013 para las pensiones que fueran tres veces superiores a la mínima (1.441,59 euros brutos).</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En Austria la ley establece un aumento de las pensiones que compense la inflación, una norma que ha sido modificada por el Parlamento dentro del plan de ahorro del Gobierno y para 2013 las pensiones subirán un 1,8 por ciento, un punto por debajo de la inflación.</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Sólo los jubilados con pensiones más bajas, por debajo de 837 euros, y sin otros ingresos, verán aumentadas sus pagas conforme al dato de inflación.</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En Bélgica las pensiones se ajustan al aumento de los precios al consumo de manera que aumenta automáticamente en función de un índice de referencia fijado para un año concreto.</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lastRenderedPageBreak/>
        <w:t>En Holanda el sistema de pensiones tiene tres pilares: percepción estatal básica, suplementaria de carácter colectivo y procedente de los fondos de pensiones privados.</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El 90% de los trabajadores se beneficia de los dos primeros pilares, que llevan aparejado un sistema de indexación relacionado con la inflación, que en 2011 fue del 2,9%, el mismo porcentaje del acumulado en lo que va de año.</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En cambio, las subidas de las pensiones en Alemania se deciden en base a la situación financiera de las cajas aseguradoras, que actualmente disponen de unas reservas superiores a los 29.000 millones de euros y no necesariamente tienen en cuenta los incrementos del IPC.</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Las pensiones subirán en Alemania hasta un 11% en los próximos cuatro años, según se desprende del informe del Gobierno federal que aprobó el gabinete ministerial germano el pasado día 28 de noviembre.</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En Grecia las pensiones hace tres años que no sólo no suben, sino que han sido recortadas en varias ocasiones.</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Antes de la crisis, el aumento de las pensiones era el mismo que el del salario mínimo interprofesional que se negociaba entre sindicatos y patronal.</w:t>
      </w:r>
    </w:p>
    <w:p w:rsidR="00D446F8" w:rsidRPr="00D57441"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 </w:t>
      </w:r>
    </w:p>
    <w:p w:rsidR="004D3C66" w:rsidRDefault="00D446F8" w:rsidP="00550638">
      <w:pPr>
        <w:spacing w:after="0"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En Portugal, las pensiones han sufrido cortes y congelaciones desde 2011 debido a la obligación de reducir su gasto público para cumplir con las exigencias de su rescate financiero, por lo que también se repetirán el próximo ejercicio, aunque todavía no han sido divulgados los detalles.</w:t>
      </w:r>
    </w:p>
    <w:p w:rsidR="00D57441" w:rsidRDefault="00D57441" w:rsidP="00550638">
      <w:pPr>
        <w:spacing w:after="0" w:line="240" w:lineRule="auto"/>
        <w:jc w:val="both"/>
        <w:rPr>
          <w:rFonts w:ascii="Times New Roman" w:eastAsia="Times New Roman" w:hAnsi="Times New Roman"/>
          <w:sz w:val="24"/>
          <w:szCs w:val="24"/>
          <w:lang w:eastAsia="es-ES"/>
        </w:rPr>
      </w:pPr>
    </w:p>
    <w:p w:rsidR="00D57441" w:rsidRPr="00D57441" w:rsidRDefault="00D57441" w:rsidP="00550638">
      <w:pPr>
        <w:spacing w:after="0" w:line="240" w:lineRule="auto"/>
        <w:jc w:val="both"/>
        <w:rPr>
          <w:rFonts w:ascii="Times New Roman" w:eastAsia="Times New Roman" w:hAnsi="Times New Roman"/>
          <w:sz w:val="24"/>
          <w:szCs w:val="24"/>
          <w:u w:val="single"/>
          <w:lang w:eastAsia="es-ES"/>
        </w:rPr>
      </w:pPr>
      <w:r w:rsidRPr="00D57441">
        <w:rPr>
          <w:rFonts w:ascii="Times New Roman" w:eastAsia="Times New Roman" w:hAnsi="Times New Roman"/>
          <w:sz w:val="24"/>
          <w:szCs w:val="24"/>
          <w:u w:val="single"/>
          <w:lang w:eastAsia="es-ES"/>
        </w:rPr>
        <w:t>Arreando la manada: atrayendo a los trabaja</w:t>
      </w:r>
      <w:r w:rsidR="004D3C66">
        <w:rPr>
          <w:rFonts w:ascii="Times New Roman" w:eastAsia="Times New Roman" w:hAnsi="Times New Roman"/>
          <w:sz w:val="24"/>
          <w:szCs w:val="24"/>
          <w:u w:val="single"/>
          <w:lang w:eastAsia="es-ES"/>
        </w:rPr>
        <w:t>dores jóvenes a la pensión privada</w:t>
      </w:r>
    </w:p>
    <w:p w:rsidR="00D446F8" w:rsidRPr="004D3C66" w:rsidRDefault="004D3C66" w:rsidP="00550638">
      <w:pPr>
        <w:pStyle w:val="NormalWeb"/>
        <w:jc w:val="both"/>
      </w:pPr>
      <w:r>
        <w:rPr>
          <w:i/>
        </w:rPr>
        <w:t>“</w:t>
      </w:r>
      <w:r w:rsidR="00D446F8" w:rsidRPr="004D3C66">
        <w:rPr>
          <w:i/>
        </w:rPr>
        <w:t>La mejor edad para comenzar a ahorrar para complementar la pensión de jubilación son los 35</w:t>
      </w:r>
      <w:r w:rsidRPr="004D3C66">
        <w:rPr>
          <w:i/>
        </w:rPr>
        <w:t xml:space="preserve"> años, momento en que se tiene “cierta capacidad de ahorro”</w:t>
      </w:r>
      <w:r w:rsidR="00D446F8" w:rsidRPr="004D3C66">
        <w:rPr>
          <w:i/>
        </w:rPr>
        <w:t>, explican los expertos de la Asociación Europea de Asesores Financieros (EFPA)</w:t>
      </w:r>
      <w:r>
        <w:rPr>
          <w:i/>
        </w:rPr>
        <w:t>”..</w:t>
      </w:r>
      <w:r w:rsidR="00D446F8" w:rsidRPr="004D3C66">
        <w:rPr>
          <w:i/>
        </w:rPr>
        <w:t>.</w:t>
      </w:r>
      <w:r>
        <w:rPr>
          <w:i/>
        </w:rPr>
        <w:t xml:space="preserve"> </w:t>
      </w:r>
      <w:r w:rsidRPr="00710F37">
        <w:rPr>
          <w:u w:val="single"/>
        </w:rPr>
        <w:t>Los 35 años, edad ideal para empezar a ahorrar para la jubilación</w:t>
      </w:r>
      <w:r>
        <w:t xml:space="preserve"> (Negocios.com - </w:t>
      </w:r>
      <w:r w:rsidRPr="00710F37">
        <w:rPr>
          <w:b/>
        </w:rPr>
        <w:t>12/12/12</w:t>
      </w:r>
      <w:r>
        <w:t>)</w:t>
      </w:r>
    </w:p>
    <w:p w:rsidR="00D446F8" w:rsidRDefault="00D446F8" w:rsidP="00550638">
      <w:pPr>
        <w:pStyle w:val="NormalWeb"/>
        <w:jc w:val="both"/>
      </w:pPr>
      <w:r>
        <w:t xml:space="preserve">En una nota remitida este martes, la EFPA explica que cuanto más joven sea el ahorrador, podrá asumir un riesgo más alto en el reparto de inversiones de su plan de pensiones y orientarlo a renta variable. </w:t>
      </w:r>
    </w:p>
    <w:p w:rsidR="00D446F8" w:rsidRDefault="004D3C66" w:rsidP="00550638">
      <w:pPr>
        <w:pStyle w:val="NormalWeb"/>
        <w:jc w:val="both"/>
      </w:pPr>
      <w:r>
        <w:t>“</w:t>
      </w:r>
      <w:r w:rsidR="00D446F8">
        <w:t>La crisis económica y el cambio demográfico están provocando que mucha gente empiece a ver con preocupación el futuro después de su vida l</w:t>
      </w:r>
      <w:r>
        <w:t>aboral”</w:t>
      </w:r>
      <w:r w:rsidR="00D446F8">
        <w:t>, dicen los expertos de la EFPA.</w:t>
      </w:r>
    </w:p>
    <w:p w:rsidR="00D446F8" w:rsidRPr="00972595" w:rsidRDefault="004D3C66" w:rsidP="00550638">
      <w:pPr>
        <w:pStyle w:val="NormalWeb"/>
        <w:jc w:val="both"/>
        <w:rPr>
          <w:u w:val="single"/>
        </w:rPr>
      </w:pPr>
      <w:r>
        <w:rPr>
          <w:u w:val="single"/>
        </w:rPr>
        <w:t>“</w:t>
      </w:r>
      <w:r w:rsidR="00D446F8" w:rsidRPr="00972595">
        <w:rPr>
          <w:u w:val="single"/>
        </w:rPr>
        <w:t>Las cuentas de la Seguridad Social comienzan a ser deficitarias y la relación entre número de trabajadores por cada jubilado se r</w:t>
      </w:r>
      <w:r>
        <w:rPr>
          <w:u w:val="single"/>
        </w:rPr>
        <w:t>educe día a día, pese a lo que “</w:t>
      </w:r>
      <w:r w:rsidR="00D446F8" w:rsidRPr="00972595">
        <w:rPr>
          <w:u w:val="single"/>
        </w:rPr>
        <w:t>el nivel de vida en la jubilación no tiene por qué empeorar</w:t>
      </w:r>
      <w:r>
        <w:rPr>
          <w:u w:val="single"/>
        </w:rPr>
        <w:t>”</w:t>
      </w:r>
      <w:r w:rsidR="00D446F8" w:rsidRPr="00972595">
        <w:rPr>
          <w:u w:val="single"/>
        </w:rPr>
        <w:t>, pero h</w:t>
      </w:r>
      <w:r>
        <w:rPr>
          <w:u w:val="single"/>
        </w:rPr>
        <w:t>ay que tomar medidas años antes”</w:t>
      </w:r>
      <w:r w:rsidR="00D446F8" w:rsidRPr="00972595">
        <w:rPr>
          <w:u w:val="single"/>
        </w:rPr>
        <w:t>, añaden.</w:t>
      </w:r>
    </w:p>
    <w:p w:rsidR="00286B12" w:rsidRDefault="00D446F8" w:rsidP="00550638">
      <w:pPr>
        <w:pStyle w:val="NormalWeb"/>
        <w:jc w:val="both"/>
      </w:pPr>
      <w:r>
        <w:t xml:space="preserve">Si el ahorrador tiene entre los 35 y 45 años se puede apostar por una mezcla de renta variable (60%) y renta fija (40%), mientras que más tarde, entre los 45 y los 55 conviene decantarse por destinar más porcentaje a renta fija. </w:t>
      </w:r>
    </w:p>
    <w:p w:rsidR="004D3C66" w:rsidRPr="00286B12" w:rsidRDefault="004D3C66" w:rsidP="00550638">
      <w:pPr>
        <w:pStyle w:val="NormalWeb"/>
        <w:jc w:val="both"/>
      </w:pPr>
      <w:r w:rsidRPr="004D3C66">
        <w:rPr>
          <w:u w:val="single"/>
        </w:rPr>
        <w:lastRenderedPageBreak/>
        <w:t>Propuesta de</w:t>
      </w:r>
      <w:r>
        <w:rPr>
          <w:u w:val="single"/>
        </w:rPr>
        <w:t xml:space="preserve"> Fedea: compatibilizar pensión</w:t>
      </w:r>
      <w:r w:rsidRPr="004D3C66">
        <w:rPr>
          <w:u w:val="single"/>
        </w:rPr>
        <w:t xml:space="preserve"> y trabajo para mayores</w:t>
      </w:r>
    </w:p>
    <w:p w:rsidR="00D446F8" w:rsidRPr="00D446F8" w:rsidRDefault="00D446F8" w:rsidP="00550638">
      <w:pPr>
        <w:pStyle w:val="NormalWeb"/>
        <w:jc w:val="both"/>
      </w:pPr>
      <w:r w:rsidRPr="00D446F8">
        <w:t xml:space="preserve">- </w:t>
      </w:r>
      <w:r w:rsidRPr="00D446F8">
        <w:rPr>
          <w:u w:val="single"/>
        </w:rPr>
        <w:t>El test de ingresos</w:t>
      </w:r>
      <w:r w:rsidRPr="00D446F8">
        <w:t xml:space="preserve"> (Fedea - </w:t>
      </w:r>
      <w:r w:rsidRPr="00D446F8">
        <w:rPr>
          <w:b/>
        </w:rPr>
        <w:t>13/12/12</w:t>
      </w:r>
      <w:r w:rsidRPr="00D446F8">
        <w:t>)</w:t>
      </w:r>
      <w:r w:rsidR="004D3C66">
        <w:t xml:space="preserve">                                            Lectura recomendada</w:t>
      </w:r>
    </w:p>
    <w:p w:rsidR="00D446F8" w:rsidRDefault="002A0BAE" w:rsidP="00550638">
      <w:pPr>
        <w:pStyle w:val="NormalWeb"/>
        <w:jc w:val="both"/>
      </w:pPr>
      <w:r>
        <w:t>(Por</w:t>
      </w:r>
      <w:r w:rsidR="00D446F8">
        <w:t xml:space="preserve"> Sergi Jiménez)</w:t>
      </w:r>
    </w:p>
    <w:p w:rsidR="00D446F8" w:rsidRPr="00CB2945" w:rsidRDefault="00D446F8" w:rsidP="00550638">
      <w:pPr>
        <w:pStyle w:val="NormalWeb"/>
        <w:jc w:val="both"/>
        <w:rPr>
          <w:u w:val="single"/>
        </w:rPr>
      </w:pPr>
      <w:r w:rsidRPr="00CB2945">
        <w:rPr>
          <w:u w:val="single"/>
        </w:rPr>
        <w:t>La crisis financiera de la seguridad social española (que se espera que tenga un déficit  por encima de los 10000 millones de euros,  alrededor de un uno por ciento del PIB) y la creciente presión de las autoridades europeas (aquí) están reactivando los tambores de reforma del sistema de pensiones español</w:t>
      </w:r>
      <w:r>
        <w:t xml:space="preserve">. Es probable que el ruido, después de haber impedido la revalorización de las pensiones, acabe derivando en un avance de la entrada en vigor de la Reforma de 2011. En el </w:t>
      </w:r>
      <w:r w:rsidR="00494A8D">
        <w:t>ínterin</w:t>
      </w:r>
      <w:r>
        <w:t xml:space="preserve"> suenan medidas para, por un lado dificultar las prejubilaciones (véase aquí) y, por el otro, permitir la continuación de la vida laboral (más allá de la edad normal de jubilación) en base a facilitar la compatibilización de pensión y trabajo (véase a este respecto mi entrada de 2010). Ello con la esperanza, ciertamente vana, de que ambas puedan contener el gasto en pensiones. Sin embargo, como comentaremos más adelante, es bien conocido que estas medidas,  aunque positivas y necesarias, tienen un impacto limitado sobre la sostenibilidad del sistema a largo plazo.  </w:t>
      </w:r>
      <w:r w:rsidRPr="00CB2945">
        <w:rPr>
          <w:u w:val="single"/>
        </w:rPr>
        <w:t>De hecho, lo único que puede funcionar a medio y largo plazo es una severa contención de la generosidad del sistema de pensiones español.</w:t>
      </w:r>
    </w:p>
    <w:p w:rsidR="00D446F8" w:rsidRPr="00CB2945" w:rsidRDefault="00494A8D" w:rsidP="00550638">
      <w:pPr>
        <w:pStyle w:val="NormalWeb"/>
        <w:jc w:val="both"/>
        <w:rPr>
          <w:u w:val="single"/>
        </w:rPr>
      </w:pPr>
      <w:r w:rsidRPr="00CB2945">
        <w:rPr>
          <w:u w:val="single"/>
        </w:rPr>
        <w:t>Aun</w:t>
      </w:r>
      <w:r w:rsidR="00D446F8" w:rsidRPr="00CB2945">
        <w:rPr>
          <w:u w:val="single"/>
        </w:rPr>
        <w:t xml:space="preserve"> así, en un contexto socioeconómico donde la población en edad trabajar se espera, de no mediar otro doble milagro de crecimiento e inmigración, que mengüe a marchas forzadas (para 2050 se esperan 15.3 millones de mayores y, siendo sumamente optimistas, 17.7 millones de empleados) y donde la fracción que trabaja entre 55-64 en España, aunque está en la media de los países de sur de Europa, es baja comparada con los países del norte (véase la figura 1), es ciertamente interesante modular la regulación sobre pensiones al objeto de motivar a los individuos a permanecer en el mercado de trabajo.</w:t>
      </w:r>
    </w:p>
    <w:p w:rsidR="00D446F8" w:rsidRDefault="00D446F8" w:rsidP="00550638">
      <w:pPr>
        <w:pStyle w:val="NormalWeb"/>
        <w:jc w:val="both"/>
      </w:pPr>
      <w:r>
        <w:t xml:space="preserve">Aunque son numerosas las regulaciones que influyen sobre la participación laboral en edades avanzadas, son particularmente importantes el test de ingresos (earnings test), que es el conjunto de reglas que determinan bajo </w:t>
      </w:r>
      <w:r w:rsidR="004D3C66">
        <w:t>qué</w:t>
      </w:r>
      <w:r>
        <w:t xml:space="preserve"> condiciones se compatibilizan trabajo y pensión, y el premio a la extensión de la c</w:t>
      </w:r>
      <w:r w:rsidR="004D3C66">
        <w:t>arrera contributiva</w:t>
      </w:r>
      <w:r>
        <w:t>. El elemento principal del test de ingresos es el tipo impositivo al que se penaliza la pensión en caso de trabajar. Otros elementos del mismo son el rango de edades sobre el que se aplica y la posibilidad de usar las contribuciones adicionales para reducir la posible penalización por pedir la pensión anticipadamente (véase Benítez-Silva y Heiland para una discusión del caso americano).</w:t>
      </w:r>
    </w:p>
    <w:p w:rsidR="00286B12" w:rsidRDefault="00286B12" w:rsidP="00550638">
      <w:pPr>
        <w:pStyle w:val="NormalWeb"/>
        <w:jc w:val="both"/>
      </w:pPr>
      <w:r>
        <w:t>En España, la incompatibilidad (en general) entre pensión y rentas de trabajo implica un test de ingresos del cien por cien para la gran mayoría de la población. Existen dos excepciones, la jubilación parcial y la jubilación flexible, curiosamente ambas reguladas por un test de ingresos basado en la fracción de la jornada trabajada y no en los ingresos, lo que es relativamente infrecuente. La jubilación parcial, que tuvo un máximo de incidencia en 2008, afectando al 14% de las jubilaciones, no depende únicamente de la voluntad del individuo y es, por tanto, discriminatoria. La misma es muy generosa, ya que una vez alcanzada la edad de jubilación normal, el individuo recupera el 100 por cien de la base reguladora. La jubilación flexible, establecida en 2002, es anecdótica -</w:t>
      </w:r>
      <w:r>
        <w:lastRenderedPageBreak/>
        <w:t>menos del 0,3% de las jubilaciones en 2011. Permite mantener un trabajo a tiempo parcial mientras la pensión se reduce en proporción a la fracción de jornada trabajada.  Finalmente, al llegar a la edad de jubilación obligatoria son pocos los que deciden continuar voluntariamente,  ya que el actual premio (dependiendo del número de años cotizados, entre 2 y 3 por ciento de la base reguladora) a la prolongación de la vida laboral es claramente insuficiente para compensarlos.</w:t>
      </w:r>
    </w:p>
    <w:p w:rsidR="00D446F8" w:rsidRDefault="00D446F8" w:rsidP="00550638">
      <w:pPr>
        <w:pStyle w:val="NormalWeb"/>
        <w:jc w:val="center"/>
      </w:pPr>
      <w:r>
        <w:t>Figura 1. La tasa de empleo 55-64 en Europa en 2010.</w:t>
      </w:r>
    </w:p>
    <w:p w:rsidR="00D446F8" w:rsidRDefault="004D3C66" w:rsidP="00550638">
      <w:pPr>
        <w:pStyle w:val="NormalWeb"/>
      </w:pPr>
      <w:r>
        <w:t xml:space="preserve">       </w:t>
      </w:r>
      <w:r w:rsidR="00D446F8">
        <w:rPr>
          <w:noProof/>
          <w:color w:val="0000FF"/>
        </w:rPr>
        <w:drawing>
          <wp:inline distT="0" distB="0" distL="0" distR="0" wp14:anchorId="138F983D" wp14:editId="06D00B98">
            <wp:extent cx="4952387" cy="2648102"/>
            <wp:effectExtent l="0" t="0" r="635" b="0"/>
            <wp:docPr id="455" name="Imagen 455" descr="pet-figura1">
              <a:hlinkClick xmlns:a="http://schemas.openxmlformats.org/drawingml/2006/main" r:id="rId5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pet-figura1"/>
                    <pic:cNvPicPr>
                      <a:picLocks noChangeAspect="1" noChangeArrowheads="1"/>
                    </pic:cNvPicPr>
                  </pic:nvPicPr>
                  <pic:blipFill>
                    <a:blip r:embed="rId567">
                      <a:extLst>
                        <a:ext uri="{28A0092B-C50C-407E-A947-70E740481C1C}">
                          <a14:useLocalDpi xmlns:a14="http://schemas.microsoft.com/office/drawing/2010/main" val="0"/>
                        </a:ext>
                      </a:extLst>
                    </a:blip>
                    <a:srcRect/>
                    <a:stretch>
                      <a:fillRect/>
                    </a:stretch>
                  </pic:blipFill>
                  <pic:spPr bwMode="auto">
                    <a:xfrm>
                      <a:off x="0" y="0"/>
                      <a:ext cx="4981575" cy="2663709"/>
                    </a:xfrm>
                    <a:prstGeom prst="rect">
                      <a:avLst/>
                    </a:prstGeom>
                    <a:noFill/>
                    <a:ln>
                      <a:noFill/>
                    </a:ln>
                  </pic:spPr>
                </pic:pic>
              </a:graphicData>
            </a:graphic>
          </wp:inline>
        </w:drawing>
      </w:r>
    </w:p>
    <w:p w:rsidR="00D446F8" w:rsidRDefault="00D446F8" w:rsidP="00550638">
      <w:pPr>
        <w:pStyle w:val="NormalWeb"/>
        <w:jc w:val="both"/>
      </w:pPr>
      <w:r>
        <w:t>En el resto de países considerados (principalmente europeos) encontramos una gran variabilidad institucional que va desde la incompatibilidad total hasta la compatibilidad total a todas las edades (véase la Tabla 1 en Disney y Smith, 2002, para una comparación entre países de la OECD a principios de la pasada década). La opción de incompatibilidad total, cada vez más infrecuente, sólo subsiste en Irlanda, Eslovaquia, Letonia, Malta y como ya hemos señalado en España (aunque en un reciente informe se diga que es “algo” compatible). En el resto de casos analizados existe un cierto grado de compatibilidad, que puede estar sujeta a restricciones de edad (por ejemplo en Alemania, Francia, Hungría), de ingresos (por ejemplo Estados Unidos, Bélgica, Países Bajos, Grecia), o a ninguna restricción (Gran Bretaña, Suecia, Italia, Finlandia entre otros países). De hecho, todas las reformas recientes de los sistemas de pensiones, como respuesta a la reducción de la oferta de trabajo a medio y largo plazo, han incluido de una forma u otra la compatibilización de trabajo y pensión, al objeto de favorecer el empleo a edades avanzadas.</w:t>
      </w:r>
    </w:p>
    <w:p w:rsidR="00D446F8" w:rsidRDefault="00D446F8" w:rsidP="00550638">
      <w:pPr>
        <w:pStyle w:val="NormalWeb"/>
        <w:jc w:val="both"/>
      </w:pPr>
      <w:r>
        <w:t xml:space="preserve">La mayoría de los trabajos al respecto en el área (véase por ejemplo Disney y Smith, 2002) muestran que la compatibilización aumenta moderadamente el empleo a edades avanzadas, siendo los casos de UK (Disney y Smith, 2002) y Estados Unidos (Benítez-Silva y Heiland, 2009). Aunque ello no quiere decir que un earning test nulo sea siempre la mejor solución. Por ejemplo, Cremer et al (2005) muestran que un test de ingresos positivo puede ser óptimo si la </w:t>
      </w:r>
      <w:r w:rsidR="004D3C66">
        <w:t>heterogeneidad</w:t>
      </w:r>
      <w:r>
        <w:t xml:space="preserve"> en salud y productividad aumentan después de la edad normal de retiro.</w:t>
      </w:r>
    </w:p>
    <w:p w:rsidR="00D446F8" w:rsidRDefault="00D446F8" w:rsidP="00550638">
      <w:pPr>
        <w:pStyle w:val="NormalWeb"/>
        <w:jc w:val="both"/>
      </w:pPr>
      <w:r>
        <w:t xml:space="preserve">Pero, ¿qué podemos decir para el caso español? La evidencia disponible muestra que eliminar  la restricción de cobrar la pensión y seguir trabajando puede ser beneficioso </w:t>
      </w:r>
      <w:r>
        <w:lastRenderedPageBreak/>
        <w:t>para los individuos, para el balance de la seguridad social y para la actividad económica, producto de la mayor oferta de trabajo.</w:t>
      </w:r>
    </w:p>
    <w:p w:rsidR="00D446F8" w:rsidRPr="004A239A" w:rsidRDefault="00D446F8" w:rsidP="00550638">
      <w:pPr>
        <w:pStyle w:val="NormalWeb"/>
        <w:jc w:val="both"/>
      </w:pPr>
      <w:r>
        <w:t>En un trabajo en progreso Jiménez-Martín y Sánchez-Martín (2009, mimeo) muestran que un test de ingresos nulo o, en todo caso, pequeño es beneficioso tanto para la mayoría de los individuos como para la salud financiera del sistema de Seguridad Social. En la tabla 1, mostramos los resultados de simulación obtenidos en un modelo de ciclo vital caracterizado por un sistema de pensiones no muy diferente al vigente en España. En la misma, consideramos 5 casos, incompatibilidad total y 4 test de ingresos sobre la pensión (0, 0.05, 0.25 y 0.50). La compatibilidad total es la opción preferida por el individuo medio, que adelanta ligeramente la edad media a la que pide la pensión, aunque está predispuesto a trabajar más. Al mismo tiempo la deuda de la seguridad social con los individuos cae en todos los casos en los que la pensión es compatible.</w:t>
      </w:r>
    </w:p>
    <w:p w:rsidR="00D446F8" w:rsidRPr="004A239A" w:rsidRDefault="00D446F8" w:rsidP="00550638">
      <w:pPr>
        <w:spacing w:before="100" w:beforeAutospacing="1" w:after="100" w:afterAutospacing="1" w:line="240" w:lineRule="auto"/>
        <w:jc w:val="center"/>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Tabla 1. Edad optima de retiro y de pensión para el individuo medio.</w:t>
      </w:r>
    </w:p>
    <w:tbl>
      <w:tblPr>
        <w:tblW w:w="0" w:type="auto"/>
        <w:jc w:val="center"/>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90"/>
        <w:gridCol w:w="1305"/>
        <w:gridCol w:w="1335"/>
        <w:gridCol w:w="1335"/>
        <w:gridCol w:w="1680"/>
        <w:gridCol w:w="1500"/>
      </w:tblGrid>
      <w:tr w:rsidR="00D446F8" w:rsidRPr="004A239A" w:rsidTr="00D446F8">
        <w:trPr>
          <w:tblCellSpacing w:w="0" w:type="dxa"/>
          <w:jc w:val="center"/>
        </w:trPr>
        <w:tc>
          <w:tcPr>
            <w:tcW w:w="129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ET</w:t>
            </w:r>
          </w:p>
        </w:tc>
        <w:tc>
          <w:tcPr>
            <w:tcW w:w="130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Edad retiro</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Edad pensión</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utilidad</w:t>
            </w:r>
          </w:p>
        </w:tc>
        <w:tc>
          <w:tcPr>
            <w:tcW w:w="168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Variación equivalente</w:t>
            </w:r>
          </w:p>
        </w:tc>
        <w:tc>
          <w:tcPr>
            <w:tcW w:w="150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Riqueza Seguridad Social</w:t>
            </w:r>
          </w:p>
        </w:tc>
      </w:tr>
      <w:tr w:rsidR="00D446F8" w:rsidRPr="004A239A" w:rsidTr="00D446F8">
        <w:trPr>
          <w:tblCellSpacing w:w="0" w:type="dxa"/>
          <w:jc w:val="center"/>
        </w:trPr>
        <w:tc>
          <w:tcPr>
            <w:tcW w:w="129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Inc</w:t>
            </w:r>
          </w:p>
        </w:tc>
        <w:tc>
          <w:tcPr>
            <w:tcW w:w="130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63.83</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63.83</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-2.97</w:t>
            </w:r>
          </w:p>
        </w:tc>
        <w:tc>
          <w:tcPr>
            <w:tcW w:w="168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0</w:t>
            </w:r>
          </w:p>
        </w:tc>
        <w:tc>
          <w:tcPr>
            <w:tcW w:w="150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210.71</w:t>
            </w:r>
          </w:p>
        </w:tc>
      </w:tr>
      <w:tr w:rsidR="00D446F8" w:rsidRPr="004A239A" w:rsidTr="00D446F8">
        <w:trPr>
          <w:tblCellSpacing w:w="0" w:type="dxa"/>
          <w:jc w:val="center"/>
        </w:trPr>
        <w:tc>
          <w:tcPr>
            <w:tcW w:w="129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0</w:t>
            </w:r>
          </w:p>
        </w:tc>
        <w:tc>
          <w:tcPr>
            <w:tcW w:w="130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70</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63.44</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-2.9388</w:t>
            </w:r>
          </w:p>
        </w:tc>
        <w:tc>
          <w:tcPr>
            <w:tcW w:w="168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-7.84</w:t>
            </w:r>
          </w:p>
        </w:tc>
        <w:tc>
          <w:tcPr>
            <w:tcW w:w="150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202.05</w:t>
            </w:r>
          </w:p>
        </w:tc>
      </w:tr>
      <w:tr w:rsidR="00D446F8" w:rsidRPr="004A239A" w:rsidTr="00D446F8">
        <w:trPr>
          <w:tblCellSpacing w:w="0" w:type="dxa"/>
          <w:jc w:val="center"/>
        </w:trPr>
        <w:tc>
          <w:tcPr>
            <w:tcW w:w="129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0.05</w:t>
            </w:r>
          </w:p>
        </w:tc>
        <w:tc>
          <w:tcPr>
            <w:tcW w:w="130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70</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63.51</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-2.9427</w:t>
            </w:r>
          </w:p>
        </w:tc>
        <w:tc>
          <w:tcPr>
            <w:tcW w:w="168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-6.86</w:t>
            </w:r>
          </w:p>
        </w:tc>
        <w:tc>
          <w:tcPr>
            <w:tcW w:w="150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203.90</w:t>
            </w:r>
          </w:p>
        </w:tc>
      </w:tr>
      <w:tr w:rsidR="00D446F8" w:rsidRPr="004A239A" w:rsidTr="00D446F8">
        <w:trPr>
          <w:tblCellSpacing w:w="0" w:type="dxa"/>
          <w:jc w:val="center"/>
        </w:trPr>
        <w:tc>
          <w:tcPr>
            <w:tcW w:w="129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0.25</w:t>
            </w:r>
          </w:p>
        </w:tc>
        <w:tc>
          <w:tcPr>
            <w:tcW w:w="130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70</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63.67</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-2.9580</w:t>
            </w:r>
          </w:p>
        </w:tc>
        <w:tc>
          <w:tcPr>
            <w:tcW w:w="168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-3.15</w:t>
            </w:r>
          </w:p>
        </w:tc>
        <w:tc>
          <w:tcPr>
            <w:tcW w:w="150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208.90</w:t>
            </w:r>
          </w:p>
        </w:tc>
      </w:tr>
      <w:tr w:rsidR="00D446F8" w:rsidRPr="004A239A" w:rsidTr="00D446F8">
        <w:trPr>
          <w:trHeight w:val="632"/>
          <w:tblCellSpacing w:w="0" w:type="dxa"/>
          <w:jc w:val="center"/>
        </w:trPr>
        <w:tc>
          <w:tcPr>
            <w:tcW w:w="129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0.50</w:t>
            </w:r>
          </w:p>
        </w:tc>
        <w:tc>
          <w:tcPr>
            <w:tcW w:w="130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69.9</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63.49</w:t>
            </w:r>
          </w:p>
        </w:tc>
        <w:tc>
          <w:tcPr>
            <w:tcW w:w="1335"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-2.9864</w:t>
            </w:r>
          </w:p>
        </w:tc>
        <w:tc>
          <w:tcPr>
            <w:tcW w:w="168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-3.54</w:t>
            </w:r>
          </w:p>
        </w:tc>
        <w:tc>
          <w:tcPr>
            <w:tcW w:w="1500" w:type="dxa"/>
            <w:tcBorders>
              <w:top w:val="outset" w:sz="6" w:space="0" w:color="auto"/>
              <w:left w:val="outset" w:sz="6" w:space="0" w:color="auto"/>
              <w:bottom w:val="outset" w:sz="6" w:space="0" w:color="auto"/>
              <w:right w:val="outset" w:sz="6" w:space="0" w:color="auto"/>
            </w:tcBorders>
            <w:hideMark/>
          </w:tcPr>
          <w:p w:rsidR="00D446F8" w:rsidRPr="004A239A" w:rsidRDefault="00D446F8" w:rsidP="00550638">
            <w:pPr>
              <w:spacing w:after="0" w:line="240" w:lineRule="auto"/>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209.61</w:t>
            </w:r>
          </w:p>
        </w:tc>
      </w:tr>
    </w:tbl>
    <w:p w:rsidR="00D446F8" w:rsidRPr="004A239A" w:rsidRDefault="00D446F8" w:rsidP="00550638">
      <w:pPr>
        <w:spacing w:before="100" w:beforeAutospacing="1" w:after="100" w:afterAutospacing="1" w:line="240" w:lineRule="auto"/>
        <w:jc w:val="center"/>
        <w:rPr>
          <w:rFonts w:ascii="Times New Roman" w:eastAsia="Times New Roman" w:hAnsi="Times New Roman"/>
          <w:sz w:val="24"/>
          <w:szCs w:val="24"/>
          <w:lang w:eastAsia="es-ES"/>
        </w:rPr>
      </w:pPr>
      <w:r w:rsidRPr="004A239A">
        <w:rPr>
          <w:rFonts w:ascii="Times New Roman" w:eastAsia="Times New Roman" w:hAnsi="Times New Roman"/>
          <w:sz w:val="24"/>
          <w:szCs w:val="24"/>
          <w:lang w:eastAsia="es-ES"/>
        </w:rPr>
        <w:t>Nota: el test de ingresos se aplica hasta la edad de retiro.</w:t>
      </w:r>
    </w:p>
    <w:p w:rsidR="00D446F8" w:rsidRDefault="00D446F8" w:rsidP="00550638">
      <w:pPr>
        <w:pStyle w:val="NormalWeb"/>
        <w:jc w:val="both"/>
      </w:pPr>
      <w:r>
        <w:t xml:space="preserve">En un segundo ejercicio de simulación de un modelo de ciclo vital con incertidumbre de empleo, resuelto por programación dinámica sobre una muestra de individuos simulados de bajos salarios, Benitez-Silva, García-Pérez y Jiménez-Martín (2012, mimeo) muestran que añadir, sobre una versión simplificada de la reforma de pensiones de 2011, la compatibilidad plena pensión-trabajo junto a un premio actuarial (al menos igual a la penalización por adelantar el cobro de la pensión) a </w:t>
      </w:r>
      <w:r w:rsidR="004D3C66">
        <w:t>posponer</w:t>
      </w:r>
      <w:r>
        <w:t xml:space="preserve"> el cobro de la pensión, consigue  aumentar el empleo en la economía a la vez que se retrasa el cobro de la pensión.</w:t>
      </w:r>
    </w:p>
    <w:p w:rsidR="00D446F8" w:rsidRDefault="00D446F8" w:rsidP="00550638">
      <w:pPr>
        <w:pStyle w:val="NormalWeb"/>
        <w:jc w:val="both"/>
      </w:pPr>
      <w:r>
        <w:t xml:space="preserve">En la figura 2 mostramos los principales resultados de la simulación comparando el sistema vigente (S_2002), una versión simplificada de la reforma de 2011 (RS2011), que no permite jubilación anticipada a los 61 ni jubilación parcial pero que permite la jubilación a la primera edad que ello es posible para todos los individuos, y una extensión de la última que permite compatibilizar plenamente pensión y trabajo (test de ingresos nulo) y aumenta el premio a posponer el cobro de la pensión (RS_TI). Ambas reformas, pero especialmente aquella que hace compatible pensión y trabajo, aumenta el nivel de empleo simulado a partir de los 60 años de edad (entre 2 y 3 por ciento), y la edad media a la que se pide la pensión (que pasa de 62.2 a 65.3 y 66.1 respectivamente). Es importante resalta que aumentar el premio a continuar la carrera contributiva tiene un gran impacto sobre el hazard o tasa de salida a partir de la edad de retiro normal tanto de </w:t>
      </w:r>
      <w:r>
        <w:lastRenderedPageBreak/>
        <w:t>los empleados como los parados. Finalmente, en el caso analizado, la compatibilización puede mejorar las finanzas del sistema de pensiones hasta un 2 por ciento</w:t>
      </w:r>
    </w:p>
    <w:p w:rsidR="00D446F8" w:rsidRDefault="00D446F8" w:rsidP="00550638">
      <w:pPr>
        <w:pStyle w:val="NormalWeb"/>
        <w:jc w:val="center"/>
      </w:pPr>
      <w:r>
        <w:t>Figura 2. La tasa de empleo y salida en tres escenarios simulados</w:t>
      </w:r>
    </w:p>
    <w:p w:rsidR="00D446F8" w:rsidRDefault="00D446F8" w:rsidP="00550638">
      <w:pPr>
        <w:pStyle w:val="NormalWeb"/>
        <w:jc w:val="both"/>
      </w:pPr>
      <w:r>
        <w:rPr>
          <w:noProof/>
          <w:color w:val="0000FF"/>
        </w:rPr>
        <w:drawing>
          <wp:inline distT="0" distB="0" distL="0" distR="0" wp14:anchorId="765978DE" wp14:editId="617ED4C2">
            <wp:extent cx="5478780" cy="4432935"/>
            <wp:effectExtent l="0" t="0" r="7620" b="5715"/>
            <wp:docPr id="186" name="Imagen 186" descr="pet-figure2">
              <a:hlinkClick xmlns:a="http://schemas.openxmlformats.org/drawingml/2006/main" r:id="rId56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pet-figure2"/>
                    <pic:cNvPicPr>
                      <a:picLocks noChangeAspect="1" noChangeArrowheads="1"/>
                    </pic:cNvPicPr>
                  </pic:nvPicPr>
                  <pic:blipFill>
                    <a:blip r:embed="rId569">
                      <a:extLst>
                        <a:ext uri="{28A0092B-C50C-407E-A947-70E740481C1C}">
                          <a14:useLocalDpi xmlns:a14="http://schemas.microsoft.com/office/drawing/2010/main" val="0"/>
                        </a:ext>
                      </a:extLst>
                    </a:blip>
                    <a:srcRect/>
                    <a:stretch>
                      <a:fillRect/>
                    </a:stretch>
                  </pic:blipFill>
                  <pic:spPr bwMode="auto">
                    <a:xfrm>
                      <a:off x="0" y="0"/>
                      <a:ext cx="5478780" cy="4432935"/>
                    </a:xfrm>
                    <a:prstGeom prst="rect">
                      <a:avLst/>
                    </a:prstGeom>
                    <a:noFill/>
                    <a:ln>
                      <a:noFill/>
                    </a:ln>
                  </pic:spPr>
                </pic:pic>
              </a:graphicData>
            </a:graphic>
          </wp:inline>
        </w:drawing>
      </w:r>
    </w:p>
    <w:p w:rsidR="00D446F8" w:rsidRDefault="00D446F8" w:rsidP="00550638">
      <w:pPr>
        <w:pStyle w:val="NormalWeb"/>
        <w:jc w:val="both"/>
      </w:pPr>
      <w:r>
        <w:t xml:space="preserve">En definitiva, el </w:t>
      </w:r>
      <w:r w:rsidR="004D3C66">
        <w:t>rediseño</w:t>
      </w:r>
      <w:r>
        <w:t xml:space="preserve"> de las reglas de compatibilización de pensión y trabajo junto a la mejora de las reglas de extensión de las carreras contributivas (en sustitución del programa de jubilación parcial) consigue que los individuos, voluntariamente y a pesar de tener la opción de salir temprano, trabajen un poco más y pospongan el cobro de la pensión, beneficiando las cuentas de la Seguridad Social y, por ende, la actividad económica. En tal contexto cabe preguntarse ¿A qué esperamos?</w:t>
      </w:r>
    </w:p>
    <w:p w:rsidR="004D3C66" w:rsidRPr="004D3C66" w:rsidRDefault="004D3C66" w:rsidP="00550638">
      <w:pPr>
        <w:pStyle w:val="NormalWeb"/>
        <w:jc w:val="both"/>
        <w:rPr>
          <w:u w:val="single"/>
        </w:rPr>
      </w:pPr>
      <w:r w:rsidRPr="004D3C66">
        <w:rPr>
          <w:u w:val="single"/>
        </w:rPr>
        <w:t>¿Un</w:t>
      </w:r>
      <w:r w:rsidR="00B8619B">
        <w:rPr>
          <w:u w:val="single"/>
        </w:rPr>
        <w:t xml:space="preserve">a nueva realidad? (dos </w:t>
      </w:r>
      <w:r w:rsidRPr="004D3C66">
        <w:rPr>
          <w:u w:val="single"/>
        </w:rPr>
        <w:t>ejemplos</w:t>
      </w:r>
      <w:r w:rsidR="00B8619B">
        <w:rPr>
          <w:u w:val="single"/>
        </w:rPr>
        <w:t xml:space="preserve"> sugerentes</w:t>
      </w:r>
      <w:r w:rsidRPr="004D3C66">
        <w:rPr>
          <w:u w:val="single"/>
        </w:rPr>
        <w:t>)</w:t>
      </w:r>
    </w:p>
    <w:p w:rsidR="00D446F8" w:rsidRPr="00811E46" w:rsidRDefault="00B8619B" w:rsidP="00550638">
      <w:pPr>
        <w:pStyle w:val="NormalWeb"/>
        <w:jc w:val="both"/>
      </w:pPr>
      <w:r>
        <w:rPr>
          <w:i/>
        </w:rPr>
        <w:t>“</w:t>
      </w:r>
      <w:r w:rsidR="00D446F8" w:rsidRPr="00B8619B">
        <w:rPr>
          <w:i/>
        </w:rPr>
        <w:t>La zona euro se encamina hacia su cuarto año de crisis mientras se zambulle de lleno en la recesión económica. A pie de calle, la realidad macroeconómica y las políticas puestas en marcha por Bruselas para tratar de paliarla se traducen en un cambio de mentalidad y de horizontes económicos que afectan, de una forma o de otra, a tod</w:t>
      </w:r>
      <w:r w:rsidRPr="00B8619B">
        <w:rPr>
          <w:i/>
        </w:rPr>
        <w:t xml:space="preserve">os los ciudadanos comunitarios. </w:t>
      </w:r>
      <w:r w:rsidR="00D446F8" w:rsidRPr="00B8619B">
        <w:rPr>
          <w:i/>
        </w:rPr>
        <w:t xml:space="preserve">En 2009, el cofundador y director de inversiones de Pimco, el mayor fondo de bonos privado del mundo, Bill Gross, </w:t>
      </w:r>
      <w:hyperlink r:id="rId570" w:history="1">
        <w:r w:rsidR="00D446F8" w:rsidRPr="00B8619B">
          <w:rPr>
            <w:rStyle w:val="Hipervnculo"/>
            <w:rFonts w:eastAsiaTheme="majorEastAsia"/>
            <w:i/>
            <w:color w:val="auto"/>
            <w:u w:val="none"/>
          </w:rPr>
          <w:t xml:space="preserve">acuñó el término </w:t>
        </w:r>
        <w:r w:rsidR="00D446F8" w:rsidRPr="00B8619B">
          <w:rPr>
            <w:rStyle w:val="Hipervnculo"/>
            <w:rFonts w:eastAsiaTheme="majorEastAsia"/>
            <w:i/>
            <w:iCs/>
            <w:color w:val="auto"/>
            <w:u w:val="none"/>
          </w:rPr>
          <w:t>nueva normalidad</w:t>
        </w:r>
      </w:hyperlink>
      <w:r w:rsidR="00D446F8" w:rsidRPr="00B8619B">
        <w:rPr>
          <w:i/>
        </w:rPr>
        <w:t xml:space="preserve"> para referirse a un nuevo escenario global caracterizado por un bajo crecimiento económico, un desempleo elevado y unos menores rendimientos sobre los activos</w:t>
      </w:r>
      <w:r>
        <w:t xml:space="preserve">”… </w:t>
      </w:r>
      <w:r w:rsidRPr="00811E46">
        <w:rPr>
          <w:u w:val="single"/>
        </w:rPr>
        <w:t>Así es la nueva normalidad en la zona euro: del parado español al jubilado alemán</w:t>
      </w:r>
      <w:r w:rsidRPr="00811E46">
        <w:t xml:space="preserve"> (El Economista - </w:t>
      </w:r>
      <w:r w:rsidRPr="00811E46">
        <w:rPr>
          <w:b/>
        </w:rPr>
        <w:t>14/12/12</w:t>
      </w:r>
      <w:r>
        <w:t>)</w:t>
      </w:r>
    </w:p>
    <w:p w:rsidR="00D446F8" w:rsidRPr="00811E46" w:rsidRDefault="00D446F8" w:rsidP="00550638">
      <w:pPr>
        <w:pStyle w:val="NormalWeb"/>
        <w:jc w:val="both"/>
      </w:pPr>
      <w:r w:rsidRPr="00811E46">
        <w:lastRenderedPageBreak/>
        <w:t xml:space="preserve">Años después, el escenario que dibujó el gurú de la renta fija está de plena vigencia en Europa. Esta nueva normalidad la sufren a diario los millones de europeos que han visto modificadas sus condiciones de vida. Tanto en los llamados periféricos, donde la exigencia de austeridad y la recesión han impactado con más fuerza, como en las naciones más ricas, las reglas del juego han cambiado de forma radical. </w:t>
      </w:r>
    </w:p>
    <w:p w:rsidR="00D446F8" w:rsidRPr="00811E46" w:rsidRDefault="00D446F8" w:rsidP="00550638">
      <w:pPr>
        <w:pStyle w:val="NormalWeb"/>
        <w:jc w:val="both"/>
      </w:pPr>
      <w:r w:rsidRPr="00811E46">
        <w:t>Así lo explica otra de las vacas sagradas de PIMCO, su consejer</w:t>
      </w:r>
      <w:r w:rsidR="00B8619B">
        <w:t>o delegado, Mohammed El-Erian: “</w:t>
      </w:r>
      <w:r w:rsidRPr="00811E46">
        <w:t xml:space="preserve">Después de haber </w:t>
      </w:r>
      <w:r w:rsidR="00B8619B">
        <w:t>ido demasiado lejos durante la “</w:t>
      </w:r>
      <w:r w:rsidRPr="00811E46">
        <w:t xml:space="preserve">gran </w:t>
      </w:r>
      <w:r w:rsidR="00B8619B">
        <w:t>época”</w:t>
      </w:r>
      <w:r w:rsidRPr="00811E46">
        <w:t xml:space="preserve"> del apalancamiento y el crédito, los países occidentales se enfrentan ahora al reto de superar la resistencia conjunta del escaso crecimiento, el paro excesivo y la deuda</w:t>
      </w:r>
      <w:r w:rsidR="00B8619B">
        <w:t xml:space="preserve"> elevada en lugares equivocados”</w:t>
      </w:r>
      <w:r w:rsidRPr="00811E46">
        <w:t xml:space="preserve">. </w:t>
      </w:r>
    </w:p>
    <w:p w:rsidR="00D446F8" w:rsidRPr="00811E46" w:rsidRDefault="00D446F8" w:rsidP="00550638">
      <w:pPr>
        <w:pStyle w:val="NormalWeb"/>
        <w:jc w:val="both"/>
      </w:pPr>
      <w:r w:rsidRPr="00811E46">
        <w:t xml:space="preserve">Para ilustrar la imagen, </w:t>
      </w:r>
      <w:r w:rsidR="006E7720">
        <w:t>“</w:t>
      </w:r>
      <w:r w:rsidRPr="006E7720">
        <w:rPr>
          <w:iCs/>
        </w:rPr>
        <w:t>Bloomberg</w:t>
      </w:r>
      <w:r w:rsidR="006E7720">
        <w:rPr>
          <w:iCs/>
        </w:rPr>
        <w:t>”</w:t>
      </w:r>
      <w:r w:rsidRPr="00811E46">
        <w:t xml:space="preserve"> se fija en dos perfiles completamente opuestos pero con un punto en común: el punto de inflexión que la crisis ha supuesto en sus perspectivas laborales y financieras. </w:t>
      </w:r>
      <w:r w:rsidRPr="00B8619B">
        <w:rPr>
          <w:bCs/>
        </w:rPr>
        <w:t>Jubilados alemanes y parados españoles representan las dos caras de la misma moneda</w:t>
      </w:r>
      <w:r w:rsidRPr="00811E46">
        <w:t xml:space="preserve">, un euro a dos velocidades que trata de encontrar la fórmula </w:t>
      </w:r>
      <w:r w:rsidR="00B8619B">
        <w:t>para la recuperación económica.</w:t>
      </w:r>
    </w:p>
    <w:p w:rsidR="00D446F8" w:rsidRPr="00811E46" w:rsidRDefault="00D446F8" w:rsidP="00550638">
      <w:pPr>
        <w:pStyle w:val="NormalWeb"/>
        <w:jc w:val="both"/>
      </w:pPr>
      <w:r w:rsidRPr="00811E46">
        <w:t xml:space="preserve">Para empezar, recoge el caso de un español de 26 años en paro, divorciado y con una hija. Fran López trabajaba como electricista en Madrid y llegó a cobrar un sueldo mensual de 4.000 euros. El estallido de la burbuja inmobiliaria le dejó sin trabajo y, a día de hoy, </w:t>
      </w:r>
      <w:r w:rsidRPr="00B8619B">
        <w:rPr>
          <w:bCs/>
        </w:rPr>
        <w:t>se ha visto forzado a volver a casa de sus padres y a terminar los estudios básicos</w:t>
      </w:r>
      <w:r w:rsidRPr="00811E46">
        <w:t xml:space="preserve"> para poder acceder de nuevo al mercado laboral. </w:t>
      </w:r>
    </w:p>
    <w:p w:rsidR="00D446F8" w:rsidRPr="00811E46" w:rsidRDefault="00D446F8" w:rsidP="00550638">
      <w:pPr>
        <w:pStyle w:val="NormalWeb"/>
        <w:jc w:val="both"/>
      </w:pPr>
      <w:r w:rsidRPr="00811E46">
        <w:t xml:space="preserve">En paralelo, Daniel Just se encuentra ante un reto laboral que nunca antes había encarado. Es jefe de inversiones del mayor fondo de pensiones público alemán y tiene que hacer frente a la caída sin precedentes de la rentabilidad de los productos que gestiona: las pensiones de los jubilados germanos. Según explica, los fondos de pensiones en Alemania son tradicionalmente conservadores a la hora de invertir. </w:t>
      </w:r>
    </w:p>
    <w:p w:rsidR="00D446F8" w:rsidRPr="00811E46" w:rsidRDefault="00D446F8" w:rsidP="00550638">
      <w:pPr>
        <w:pStyle w:val="NormalWeb"/>
        <w:jc w:val="both"/>
      </w:pPr>
      <w:r w:rsidRPr="00811E46">
        <w:t>A diferencia de los que existen en otros países como Reino Unido o EEUU, en Alemania se invierte una gran parte del dinero en renta fija, ya que la ley alemana establece que deben mover el diner</w:t>
      </w:r>
      <w:r w:rsidR="00B8619B">
        <w:t>o hacia activos que garanticen “la mayor seguridad posible”</w:t>
      </w:r>
      <w:r w:rsidRPr="00811E46">
        <w:t>. Esto implica que normalmente apuesten por la deuda pública alemana que, considerada como refugio frente al riesgo del resto de la zona euro, lleva meses presentando bajos rendimientos que incluso han llegado a s</w:t>
      </w:r>
      <w:r w:rsidR="00B8619B">
        <w:t xml:space="preserve">er negativos en algunos casos. </w:t>
      </w:r>
    </w:p>
    <w:p w:rsidR="00D446F8" w:rsidRPr="00811E46" w:rsidRDefault="00D446F8" w:rsidP="00550638">
      <w:pPr>
        <w:pStyle w:val="NormalWeb"/>
        <w:jc w:val="both"/>
      </w:pPr>
      <w:r w:rsidRPr="00811E46">
        <w:t xml:space="preserve">¿Y en qué se traduce? Para los jubilados alemanes implica asumir que contarán con un retiro menos </w:t>
      </w:r>
      <w:r w:rsidR="00B8619B">
        <w:t>“</w:t>
      </w:r>
      <w:r w:rsidRPr="00B8619B">
        <w:rPr>
          <w:iCs/>
        </w:rPr>
        <w:t>dorado</w:t>
      </w:r>
      <w:r w:rsidR="00B8619B">
        <w:rPr>
          <w:iCs/>
        </w:rPr>
        <w:t>”</w:t>
      </w:r>
      <w:r w:rsidRPr="00811E46">
        <w:t>, ya que las rentas de su trabajo dan menores frutos que antaño. Para el electricista español, supone renunciar a su antigua vida de gastos y completar su formación, una carencia que en su día no le impidió encontrar un trabajo bien remunerado.</w:t>
      </w:r>
    </w:p>
    <w:p w:rsidR="00D446F8" w:rsidRDefault="00D446F8" w:rsidP="00550638">
      <w:pPr>
        <w:pStyle w:val="NormalWeb"/>
        <w:jc w:val="both"/>
      </w:pPr>
      <w:r w:rsidRPr="00811E46">
        <w:t>Es una transformación profunda que durará tiempo</w:t>
      </w:r>
      <w:r w:rsidR="00B8619B">
        <w:rPr>
          <w:b/>
          <w:bCs/>
        </w:rPr>
        <w:t xml:space="preserve">. </w:t>
      </w:r>
      <w:r w:rsidR="00B8619B" w:rsidRPr="00B8619B">
        <w:rPr>
          <w:bCs/>
        </w:rPr>
        <w:t>“</w:t>
      </w:r>
      <w:r w:rsidRPr="00B8619B">
        <w:rPr>
          <w:bCs/>
        </w:rPr>
        <w:t>Si vives un largo período en el que los desequilibrios crecen, luego llega el largo p</w:t>
      </w:r>
      <w:r w:rsidR="00B8619B" w:rsidRPr="00B8619B">
        <w:rPr>
          <w:bCs/>
        </w:rPr>
        <w:t>eriodo durante el que relajarse”</w:t>
      </w:r>
      <w:r w:rsidRPr="00B8619B">
        <w:rPr>
          <w:bCs/>
        </w:rPr>
        <w:t>,</w:t>
      </w:r>
      <w:r w:rsidRPr="00811E46">
        <w:rPr>
          <w:b/>
          <w:bCs/>
        </w:rPr>
        <w:t xml:space="preserve"> </w:t>
      </w:r>
      <w:r w:rsidRPr="00811E46">
        <w:t>apunta el economista jefe para la zona eur</w:t>
      </w:r>
      <w:r w:rsidR="00B8619B">
        <w:t>o de BNP Paribas, Ken Wattret. “</w:t>
      </w:r>
      <w:r w:rsidRPr="00811E46">
        <w:t xml:space="preserve">Primero tienes la fiesta </w:t>
      </w:r>
      <w:r w:rsidR="00B8619B">
        <w:t>y luego la hambruna”</w:t>
      </w:r>
      <w:r w:rsidRPr="00811E46">
        <w:t>, concluye.</w:t>
      </w:r>
    </w:p>
    <w:p w:rsidR="00286B12" w:rsidRDefault="00286B12" w:rsidP="00550638">
      <w:pPr>
        <w:pStyle w:val="NormalWeb"/>
        <w:jc w:val="both"/>
      </w:pPr>
    </w:p>
    <w:p w:rsidR="006E7720" w:rsidRPr="006E7720" w:rsidRDefault="006E7720" w:rsidP="00550638">
      <w:pPr>
        <w:pStyle w:val="NormalWeb"/>
        <w:jc w:val="both"/>
        <w:rPr>
          <w:u w:val="single"/>
        </w:rPr>
      </w:pPr>
      <w:r>
        <w:rPr>
          <w:u w:val="single"/>
        </w:rPr>
        <w:lastRenderedPageBreak/>
        <w:t>Pension Reform</w:t>
      </w:r>
      <w:r w:rsidR="009270C5">
        <w:rPr>
          <w:u w:val="single"/>
        </w:rPr>
        <w:t>: ¡Para comerte mejor!</w:t>
      </w:r>
      <w:r w:rsidRPr="006E7720">
        <w:rPr>
          <w:u w:val="single"/>
        </w:rPr>
        <w:t xml:space="preserve"> (como diría el lobo de C</w:t>
      </w:r>
      <w:r w:rsidR="009270C5">
        <w:rPr>
          <w:u w:val="single"/>
        </w:rPr>
        <w:t>aperucita)</w:t>
      </w:r>
    </w:p>
    <w:p w:rsidR="00D446F8" w:rsidRPr="00A75D91"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A75D91">
        <w:rPr>
          <w:rFonts w:ascii="Times New Roman" w:eastAsia="Times New Roman" w:hAnsi="Times New Roman"/>
          <w:sz w:val="24"/>
          <w:szCs w:val="24"/>
          <w:u w:val="single"/>
          <w:lang w:eastAsia="es-ES"/>
        </w:rPr>
        <w:t>El futuro de las pensiones: el libro de Nicholas Barr y Peter Diamond</w:t>
      </w:r>
      <w:r>
        <w:rPr>
          <w:rFonts w:ascii="Times New Roman" w:eastAsia="Times New Roman" w:hAnsi="Times New Roman"/>
          <w:sz w:val="24"/>
          <w:szCs w:val="24"/>
          <w:lang w:eastAsia="es-ES"/>
        </w:rPr>
        <w:t xml:space="preserve"> (Fedea - </w:t>
      </w:r>
      <w:r w:rsidRPr="00A75D91">
        <w:rPr>
          <w:rFonts w:ascii="Times New Roman" w:eastAsia="Times New Roman" w:hAnsi="Times New Roman"/>
          <w:b/>
          <w:sz w:val="24"/>
          <w:szCs w:val="24"/>
          <w:lang w:eastAsia="es-ES"/>
        </w:rPr>
        <w:t>12/1/13</w:t>
      </w:r>
      <w:r>
        <w:rPr>
          <w:rFonts w:ascii="Times New Roman" w:eastAsia="Times New Roman" w:hAnsi="Times New Roman"/>
          <w:sz w:val="24"/>
          <w:szCs w:val="24"/>
          <w:lang w:eastAsia="es-ES"/>
        </w:rPr>
        <w:t>)</w:t>
      </w:r>
    </w:p>
    <w:p w:rsidR="00D446F8" w:rsidRPr="002137A3" w:rsidRDefault="00494A8D"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(Por</w:t>
      </w:r>
      <w:r w:rsidR="00D446F8" w:rsidRPr="002137A3">
        <w:rPr>
          <w:rFonts w:ascii="Times New Roman" w:eastAsia="Times New Roman" w:hAnsi="Times New Roman"/>
          <w:sz w:val="24"/>
          <w:szCs w:val="24"/>
          <w:lang w:eastAsia="es-ES"/>
        </w:rPr>
        <w:t xml:space="preserve"> Luis Garicano)</w:t>
      </w:r>
      <w:r w:rsidR="009270C5">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                        </w:t>
      </w:r>
      <w:r w:rsidR="009270C5">
        <w:rPr>
          <w:rFonts w:ascii="Times New Roman" w:eastAsia="Times New Roman" w:hAnsi="Times New Roman"/>
          <w:sz w:val="24"/>
          <w:szCs w:val="24"/>
          <w:lang w:eastAsia="es-ES"/>
        </w:rPr>
        <w:t>Lectura recomendada</w:t>
      </w:r>
    </w:p>
    <w:p w:rsidR="00D446F8" w:rsidRPr="002137A3"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A75D91">
        <w:rPr>
          <w:rFonts w:ascii="Times New Roman" w:eastAsia="Times New Roman" w:hAnsi="Times New Roman"/>
          <w:sz w:val="24"/>
          <w:szCs w:val="24"/>
          <w:lang w:eastAsia="es-ES"/>
        </w:rPr>
        <w:t xml:space="preserve">(La mejor guía a la reforma de los sistemas de pensiones existentes, </w:t>
      </w:r>
      <w:r w:rsidRPr="00BF31FE">
        <w:rPr>
          <w:rFonts w:ascii="Times New Roman" w:eastAsia="Times New Roman" w:hAnsi="Times New Roman"/>
          <w:i/>
          <w:sz w:val="24"/>
          <w:szCs w:val="24"/>
          <w:lang w:eastAsia="es-ES"/>
        </w:rPr>
        <w:t>“Pension Reform: A short guide”</w:t>
      </w:r>
      <w:r w:rsidRPr="00A75D91">
        <w:rPr>
          <w:rFonts w:ascii="Times New Roman" w:eastAsia="Times New Roman" w:hAnsi="Times New Roman"/>
          <w:sz w:val="24"/>
          <w:szCs w:val="24"/>
          <w:lang w:eastAsia="es-ES"/>
        </w:rPr>
        <w:t>, de Nicholas Barr y Peter Diamond, ha sido traducida al español por la edit</w:t>
      </w:r>
      <w:r>
        <w:rPr>
          <w:rFonts w:ascii="Times New Roman" w:eastAsia="Times New Roman" w:hAnsi="Times New Roman"/>
          <w:sz w:val="24"/>
          <w:szCs w:val="24"/>
          <w:lang w:eastAsia="es-ES"/>
        </w:rPr>
        <w:t xml:space="preserve">orial El Hombre del Tres como </w:t>
      </w:r>
      <w:r w:rsidRPr="00BF31FE">
        <w:rPr>
          <w:rFonts w:ascii="Times New Roman" w:eastAsia="Times New Roman" w:hAnsi="Times New Roman"/>
          <w:i/>
          <w:sz w:val="24"/>
          <w:szCs w:val="24"/>
          <w:lang w:eastAsia="es-ES"/>
        </w:rPr>
        <w:t>“La reforma necesaria: El futuro de las pensiones”,</w:t>
      </w:r>
      <w:r w:rsidRPr="00A75D91">
        <w:rPr>
          <w:rFonts w:ascii="Times New Roman" w:eastAsia="Times New Roman" w:hAnsi="Times New Roman"/>
          <w:sz w:val="24"/>
          <w:szCs w:val="24"/>
          <w:lang w:eastAsia="es-ES"/>
        </w:rPr>
        <w:t xml:space="preserve"> con prólogo mío (Kindle, papel) Se lo recomiendo encarecidamente a cualquiera que tenga interés en el tema. </w:t>
      </w:r>
      <w:r w:rsidRPr="002137A3">
        <w:rPr>
          <w:rFonts w:ascii="Times New Roman" w:eastAsia="Times New Roman" w:hAnsi="Times New Roman"/>
          <w:sz w:val="24"/>
          <w:szCs w:val="24"/>
          <w:lang w:eastAsia="es-ES"/>
        </w:rPr>
        <w:t>Reproduzco, a modo de reseña, el prólogo.)</w:t>
      </w:r>
    </w:p>
    <w:p w:rsidR="00D446F8" w:rsidRPr="00A75D91"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2137A3">
        <w:rPr>
          <w:rFonts w:ascii="Times New Roman" w:eastAsia="Times New Roman" w:hAnsi="Times New Roman"/>
          <w:sz w:val="24"/>
          <w:szCs w:val="24"/>
          <w:u w:val="single"/>
          <w:lang w:eastAsia="es-ES"/>
        </w:rPr>
        <w:t>Quizás el mayor fallo del mercado concierne al reparto de la población entre retirados, trabajadores, y jóvenes. No hay ningún precio que anime a las personas a tener más hijos o menos y que ordene tales decisiones de acuerdo con una necesidad social</w:t>
      </w:r>
      <w:r w:rsidRPr="00A75D91">
        <w:rPr>
          <w:rFonts w:ascii="Times New Roman" w:eastAsia="Times New Roman" w:hAnsi="Times New Roman"/>
          <w:sz w:val="24"/>
          <w:szCs w:val="24"/>
          <w:lang w:eastAsia="es-ES"/>
        </w:rPr>
        <w:t>. Si la sociedad quiere más coches, suben sus precios, y hay una oportunidad de negocio que los emprendedores pueden aprovechar produciendo más coches. Pero no es así con la demografía, que sucede al margen de las necesidades de la sociedad en su conjunto y responde a decisiones individuales sin coordinación alguna. Así, hay países en desarrollo donde las familias tienen demasiados hijos y no terminan de poder iniciar la transición al crecimiento económico. Por el contrario, en gran parte de los países más desarrollados (y de los menos desarrollados, como muestra el primer capítulo de este libro) hay demasiados pocos (en España, por ejemplo, hemos pasado de 2,9 hijos por mujer en edad fértil en 1970 a solo 1,4 en la actualidad) y se avecina un cambio demográfico sin precedentes que va a poner el reparto de recursos entre trabajadores y retirados en el centro de la discusión política durante muchos años.</w:t>
      </w:r>
    </w:p>
    <w:p w:rsidR="00D446F8" w:rsidRPr="00A75D91"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2137A3">
        <w:rPr>
          <w:rFonts w:ascii="Times New Roman" w:eastAsia="Times New Roman" w:hAnsi="Times New Roman"/>
          <w:sz w:val="24"/>
          <w:szCs w:val="24"/>
          <w:u w:val="single"/>
          <w:lang w:eastAsia="es-ES"/>
        </w:rPr>
        <w:t>Tomemos el ejemplo de España. En 1970 la pirámide demográfica tenía una forma claramente piramidal, con casi 6 personas en edad de trabajar por cada persona en edad de jubilación. En 2011 la pirámide no era tal, sino más bien un cilindro, y había menos de 4 personas en edad de trabajar por cada persona en edad de jubilación</w:t>
      </w:r>
      <w:r w:rsidRPr="00A75D91">
        <w:rPr>
          <w:rFonts w:ascii="Times New Roman" w:eastAsia="Times New Roman" w:hAnsi="Times New Roman"/>
          <w:sz w:val="24"/>
          <w:szCs w:val="24"/>
          <w:lang w:eastAsia="es-ES"/>
        </w:rPr>
        <w:t xml:space="preserve">. </w:t>
      </w:r>
      <w:r w:rsidRPr="002137A3">
        <w:rPr>
          <w:rFonts w:ascii="Times New Roman" w:eastAsia="Times New Roman" w:hAnsi="Times New Roman"/>
          <w:color w:val="FF0000"/>
          <w:sz w:val="24"/>
          <w:szCs w:val="24"/>
          <w:u w:val="single"/>
          <w:lang w:eastAsia="es-ES"/>
        </w:rPr>
        <w:t>Los demógrafos calculan que en el año 2050 habrá 1,3 personas en edad de trabajar por cada persona en edad de jubilación</w:t>
      </w:r>
      <w:r w:rsidRPr="00A75D91">
        <w:rPr>
          <w:rFonts w:ascii="Times New Roman" w:eastAsia="Times New Roman" w:hAnsi="Times New Roman"/>
          <w:sz w:val="24"/>
          <w:szCs w:val="24"/>
          <w:lang w:eastAsia="es-ES"/>
        </w:rPr>
        <w:t xml:space="preserve">. </w:t>
      </w:r>
      <w:r w:rsidRPr="002137A3">
        <w:rPr>
          <w:rFonts w:ascii="Times New Roman" w:eastAsia="Times New Roman" w:hAnsi="Times New Roman"/>
          <w:sz w:val="24"/>
          <w:szCs w:val="24"/>
          <w:u w:val="single"/>
          <w:lang w:eastAsia="es-ES"/>
        </w:rPr>
        <w:t>La pirámide de población de España para 2049 parecerá de nuevo una pirámide, pero invertida, con los grupos de población más reducidos en la base y los más grandes en su techo, fruto del incremento de la esperanza de vida y de la menor fertilidad.</w:t>
      </w:r>
      <w:r w:rsidRPr="00A75D91">
        <w:rPr>
          <w:rFonts w:ascii="Times New Roman" w:eastAsia="Times New Roman" w:hAnsi="Times New Roman"/>
          <w:sz w:val="24"/>
          <w:szCs w:val="24"/>
          <w:lang w:eastAsia="es-ES"/>
        </w:rPr>
        <w:t xml:space="preserve"> España, como otros muchos países desarrollados o en vías de desarrollo, envejece muy deprisa.</w:t>
      </w:r>
    </w:p>
    <w:p w:rsidR="00D446F8" w:rsidRPr="00A75D91"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A75D91">
        <w:rPr>
          <w:rFonts w:ascii="Times New Roman" w:eastAsia="Times New Roman" w:hAnsi="Times New Roman"/>
          <w:sz w:val="24"/>
          <w:szCs w:val="24"/>
          <w:lang w:eastAsia="es-ES"/>
        </w:rPr>
        <w:t xml:space="preserve">Esto, como muy bien insisten los autores de este libro, no es motivo de alarma: el envejecimiento de la población es el resultado de varias muy buenas noticias empezando por la enorme caída de la mortalidad infantil, que ha sido el principal factor detrás de una enorme mejora de la esperanza de vida al nacer. Pero no cabe duda de que el cambio demográfico, y </w:t>
      </w:r>
      <w:r w:rsidRPr="002137A3">
        <w:rPr>
          <w:rFonts w:ascii="Times New Roman" w:eastAsia="Times New Roman" w:hAnsi="Times New Roman"/>
          <w:color w:val="FF0000"/>
          <w:sz w:val="24"/>
          <w:szCs w:val="24"/>
          <w:u w:val="single"/>
          <w:lang w:eastAsia="es-ES"/>
        </w:rPr>
        <w:t>el conflicto intergeneracional que apareja, va a ser uno de los problemas, si no EL problema, que dominará la discusión de política económica del próximo siglo</w:t>
      </w:r>
      <w:r w:rsidRPr="00A75D91">
        <w:rPr>
          <w:rFonts w:ascii="Times New Roman" w:eastAsia="Times New Roman" w:hAnsi="Times New Roman"/>
          <w:sz w:val="24"/>
          <w:szCs w:val="24"/>
          <w:lang w:eastAsia="es-ES"/>
        </w:rPr>
        <w:t>. Y debemos confiar en que los que tomen decisiones durante tal período basen tales decisiones en análisis como el que desarrollan en este libro Nicholas Barr y Peter Diamond.</w:t>
      </w:r>
    </w:p>
    <w:p w:rsidR="00D446F8" w:rsidRPr="00A75D91"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A75D91">
        <w:rPr>
          <w:rFonts w:ascii="Times New Roman" w:eastAsia="Times New Roman" w:hAnsi="Times New Roman"/>
          <w:sz w:val="24"/>
          <w:szCs w:val="24"/>
          <w:lang w:eastAsia="es-ES"/>
        </w:rPr>
        <w:lastRenderedPageBreak/>
        <w:t>Este libro, que combina teoría con discusiones de los sistemas de varios países, constituye una excelente guía para entender los debates que se avecinan. Los autores tratan de analizar, desde un punto de vista objetivo, el por qué y el cómo de los sistemas de pensiones existentes, evaluando también cómo cumplen diferentes sistemas sus distintos objetivos, y cuáles son los costes y beneficios de cada alternativa.</w:t>
      </w:r>
    </w:p>
    <w:p w:rsidR="00D446F8" w:rsidRPr="00A75D91"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A75D91">
        <w:rPr>
          <w:rFonts w:ascii="Times New Roman" w:eastAsia="Times New Roman" w:hAnsi="Times New Roman"/>
          <w:sz w:val="24"/>
          <w:szCs w:val="24"/>
          <w:lang w:eastAsia="es-ES"/>
        </w:rPr>
        <w:t>Aparte de la claridad y amenidad con la que está escrito, quizás lo más notable del libro es la falta de una perspectiva ideológica y de preconcepciones. Los autores tratan de explicar cada sistema y cada reforma y de evaluar sus ventajas e inconvenientes, reconociendo que no existe una solución ideal a los problemas de eficiencia y equidad que estos sistemas plantean. Eso sí</w:t>
      </w:r>
      <w:r w:rsidRPr="002137A3">
        <w:rPr>
          <w:rFonts w:ascii="Times New Roman" w:eastAsia="Times New Roman" w:hAnsi="Times New Roman"/>
          <w:sz w:val="24"/>
          <w:szCs w:val="24"/>
          <w:u w:val="single"/>
          <w:lang w:eastAsia="es-ES"/>
        </w:rPr>
        <w:t>, el sistema ideal no existe, pero sí existen respuestas incorrectas a las preguntas planteadas, como también existen preguntas incorrectas.</w:t>
      </w:r>
      <w:r w:rsidRPr="00A75D91">
        <w:rPr>
          <w:rFonts w:ascii="Times New Roman" w:eastAsia="Times New Roman" w:hAnsi="Times New Roman"/>
          <w:sz w:val="24"/>
          <w:szCs w:val="24"/>
          <w:lang w:eastAsia="es-ES"/>
        </w:rPr>
        <w:t xml:space="preserve"> La sociedad debe entender los costes de las alternativas para las generaciones actuales y futuras y evaluarlas con transparencia y claridad.</w:t>
      </w:r>
    </w:p>
    <w:p w:rsidR="00D446F8" w:rsidRPr="002137A3" w:rsidRDefault="00D446F8"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2137A3">
        <w:rPr>
          <w:rFonts w:ascii="Times New Roman" w:eastAsia="Times New Roman" w:hAnsi="Times New Roman"/>
          <w:sz w:val="24"/>
          <w:szCs w:val="24"/>
          <w:u w:val="single"/>
          <w:lang w:eastAsia="es-ES"/>
        </w:rPr>
        <w:t>Los sistemas de pensiones cumplen dos objetivos principales. Primero, sirven como un sistema de ahorro, permitiendo a los ciudadanos transferir recursos del presente al futuro. Un sistema privado de pensiones con cuentas individuales puede cumplir bien este objetivo. Segundo, en un mundo con incertidumbre, los sistemas de pensiones proveen un seguro contra los riesgos de la vejez (vivir demasiado para los ahorros disponibles o demasiado poco), la invalidez, y la muerte, protegiendo en este caso a los descendientes. Aquí los sistemas privados se enfrentan con fallos del mercado que los autores discuten. Dada esta combinación de objetivos, no es extraño que los sistemas que recomiendan los autores sean combinaciones de sistemas de reparto con cuentas individuales.</w:t>
      </w:r>
    </w:p>
    <w:p w:rsidR="00D446F8" w:rsidRPr="002137A3" w:rsidRDefault="00D446F8"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2137A3">
        <w:rPr>
          <w:rFonts w:ascii="Times New Roman" w:eastAsia="Times New Roman" w:hAnsi="Times New Roman"/>
          <w:sz w:val="24"/>
          <w:szCs w:val="24"/>
          <w:u w:val="single"/>
          <w:lang w:eastAsia="es-ES"/>
        </w:rPr>
        <w:t>Sí, los autores son economistas, y entienden las ventajas de la elección y la competencia en el mercado. Pero son economistas que también entienden las imperfecciones del mercado, no sólo por externalidades, sino también por problemas de comportamiento de los agentes en un mundo en el que las decisiones son complejas y la información difícil de conseguir y procesar. Y entienden que las pensiones privadas requieren un nivel de experiencia y capacidad administrativa y financiera que en muchos casos no está disponible. Por ello el sistema adecuado, como ilustran en el capítulo 11 del libro, combina los elementos básicos de maneras diferentes dependiendo del nivel de desarrollo del país del que se trata.</w:t>
      </w:r>
    </w:p>
    <w:p w:rsidR="00D446F8" w:rsidRPr="002137A3" w:rsidRDefault="00D446F8"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A75D91">
        <w:rPr>
          <w:rFonts w:ascii="Times New Roman" w:eastAsia="Times New Roman" w:hAnsi="Times New Roman"/>
          <w:sz w:val="24"/>
          <w:szCs w:val="24"/>
          <w:lang w:eastAsia="es-ES"/>
        </w:rPr>
        <w:t xml:space="preserve">Desgraciadamente, los retos a los que nos enfrentamos no se limitan a la elaboración de un buen sistema de pensiones, sino que requieren adaptar este sistema a las nuevas realidades demográficas. Las soluciones no son sencillas, y requieren una combinación de medidas. Un sistema de ajuste automático a los cambios en la esperanza de vida es necesario en cualquier caso. Pero también </w:t>
      </w:r>
      <w:r w:rsidRPr="002137A3">
        <w:rPr>
          <w:rFonts w:ascii="Times New Roman" w:eastAsia="Times New Roman" w:hAnsi="Times New Roman"/>
          <w:color w:val="FF0000"/>
          <w:sz w:val="24"/>
          <w:szCs w:val="24"/>
          <w:u w:val="single"/>
          <w:lang w:eastAsia="es-ES"/>
        </w:rPr>
        <w:t>es necesario aceptar que la realidad demográfica impondrá una mezcla de subidas de las contribuciones, bajadas de las pensiones, retraso de la jubilación, e incentivos fiscales al ahorro privado.</w:t>
      </w:r>
    </w:p>
    <w:p w:rsidR="00D446F8"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A75D91">
        <w:rPr>
          <w:rFonts w:ascii="Times New Roman" w:eastAsia="Times New Roman" w:hAnsi="Times New Roman"/>
          <w:sz w:val="24"/>
          <w:szCs w:val="24"/>
          <w:lang w:eastAsia="es-ES"/>
        </w:rPr>
        <w:t xml:space="preserve">Este es un libro importante, escrito para una sociedad imperfecta, con agentes que toman decisiones en situaciones en las que ni entienden lo que hacen, ni tienen la información, o la capacidad, para entenderlo. Es en este mundo real en el que los políticos y técnicos deben tomar sus decisiones, conscientes de los errores que los agentes van a cometer al elegir y de que, sin limitar la capacidad de elección de estos agentes más allá de lo estrictamente necesario, deben tratar de acercar la sociedad lo </w:t>
      </w:r>
      <w:r w:rsidRPr="00A75D91">
        <w:rPr>
          <w:rFonts w:ascii="Times New Roman" w:eastAsia="Times New Roman" w:hAnsi="Times New Roman"/>
          <w:sz w:val="24"/>
          <w:szCs w:val="24"/>
          <w:lang w:eastAsia="es-ES"/>
        </w:rPr>
        <w:lastRenderedPageBreak/>
        <w:t>más posible a una solución imperfecta, pero razonable y razonada, y no perseguir la búsqueda del triunfo ideológico, sino la solución de los complejos problemas que se nos plantean. Cualquiera en búsqueda de una opinión informada, político, técnico, académico o ciudadano curioso sobre este importante debate, encontrará en este libro un recurso imprescindible.</w:t>
      </w:r>
    </w:p>
    <w:p w:rsidR="00A1218B" w:rsidRPr="00A1218B" w:rsidRDefault="002A0BAE"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¿Y si empu</w:t>
      </w:r>
      <w:r w:rsidR="00A1218B">
        <w:rPr>
          <w:rFonts w:ascii="Times New Roman" w:eastAsia="Times New Roman" w:hAnsi="Times New Roman"/>
          <w:sz w:val="24"/>
          <w:szCs w:val="24"/>
          <w:u w:val="single"/>
          <w:lang w:eastAsia="es-ES"/>
        </w:rPr>
        <w:t>jan a los pensionistas al</w:t>
      </w:r>
      <w:r w:rsidR="00A1218B" w:rsidRPr="00A1218B">
        <w:rPr>
          <w:rFonts w:ascii="Times New Roman" w:eastAsia="Times New Roman" w:hAnsi="Times New Roman"/>
          <w:sz w:val="24"/>
          <w:szCs w:val="24"/>
          <w:u w:val="single"/>
          <w:lang w:eastAsia="es-ES"/>
        </w:rPr>
        <w:t xml:space="preserve"> “abismo fiscal”? Una “solución”</w:t>
      </w:r>
      <w:r w:rsidR="00A1218B">
        <w:rPr>
          <w:rFonts w:ascii="Times New Roman" w:eastAsia="Times New Roman" w:hAnsi="Times New Roman"/>
          <w:sz w:val="24"/>
          <w:szCs w:val="24"/>
          <w:u w:val="single"/>
          <w:lang w:eastAsia="es-ES"/>
        </w:rPr>
        <w:t xml:space="preserve"> para</w:t>
      </w:r>
      <w:r w:rsidR="00A1218B" w:rsidRPr="00A1218B">
        <w:rPr>
          <w:rFonts w:ascii="Times New Roman" w:eastAsia="Times New Roman" w:hAnsi="Times New Roman"/>
          <w:sz w:val="24"/>
          <w:szCs w:val="24"/>
          <w:u w:val="single"/>
          <w:lang w:eastAsia="es-ES"/>
        </w:rPr>
        <w:t xml:space="preserve"> dos problemas</w:t>
      </w:r>
    </w:p>
    <w:p w:rsidR="00D446F8"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00090562">
        <w:rPr>
          <w:rFonts w:ascii="Times New Roman" w:eastAsia="Times New Roman" w:hAnsi="Times New Roman"/>
          <w:sz w:val="24"/>
          <w:szCs w:val="24"/>
          <w:u w:val="single"/>
          <w:lang w:eastAsia="es-ES"/>
        </w:rPr>
        <w:t>Cómo EEUU</w:t>
      </w:r>
      <w:r w:rsidRPr="00132146">
        <w:rPr>
          <w:rFonts w:ascii="Times New Roman" w:eastAsia="Times New Roman" w:hAnsi="Times New Roman"/>
          <w:sz w:val="24"/>
          <w:szCs w:val="24"/>
          <w:u w:val="single"/>
          <w:lang w:eastAsia="es-ES"/>
        </w:rPr>
        <w:t xml:space="preserve"> puede arreglar el sistema de Seguro Social</w:t>
      </w:r>
      <w:r w:rsidRPr="00132146">
        <w:rPr>
          <w:rFonts w:ascii="Times New Roman" w:eastAsia="Times New Roman" w:hAnsi="Times New Roman"/>
          <w:sz w:val="24"/>
          <w:szCs w:val="24"/>
          <w:lang w:eastAsia="es-ES"/>
        </w:rPr>
        <w:t xml:space="preserve"> </w:t>
      </w:r>
      <w:r>
        <w:rPr>
          <w:rFonts w:ascii="Times New Roman" w:eastAsia="Times New Roman" w:hAnsi="Times New Roman"/>
          <w:sz w:val="24"/>
          <w:szCs w:val="24"/>
          <w:lang w:eastAsia="es-ES"/>
        </w:rPr>
        <w:t xml:space="preserve">(The Wall Street Journal - </w:t>
      </w:r>
      <w:r w:rsidRPr="00790AC0">
        <w:rPr>
          <w:rFonts w:ascii="Times New Roman" w:eastAsia="Times New Roman" w:hAnsi="Times New Roman"/>
          <w:b/>
          <w:sz w:val="24"/>
          <w:szCs w:val="24"/>
          <w:lang w:eastAsia="es-ES"/>
        </w:rPr>
        <w:t>14/1/13</w:t>
      </w:r>
      <w:r>
        <w:rPr>
          <w:rFonts w:ascii="Times New Roman" w:eastAsia="Times New Roman" w:hAnsi="Times New Roman"/>
          <w:sz w:val="24"/>
          <w:szCs w:val="24"/>
          <w:lang w:eastAsia="es-ES"/>
        </w:rPr>
        <w:t>)</w:t>
      </w:r>
      <w:r w:rsidRPr="00790AC0">
        <w:rPr>
          <w:rFonts w:ascii="Times New Roman" w:eastAsia="Times New Roman" w:hAnsi="Times New Roman"/>
          <w:sz w:val="24"/>
          <w:szCs w:val="24"/>
          <w:lang w:eastAsia="es-ES"/>
        </w:rPr>
        <w:t xml:space="preserve"> </w:t>
      </w:r>
    </w:p>
    <w:p w:rsidR="00D446F8" w:rsidRPr="00132146"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132146">
        <w:rPr>
          <w:rFonts w:ascii="Times New Roman" w:eastAsia="Times New Roman" w:hAnsi="Times New Roman"/>
          <w:sz w:val="24"/>
          <w:szCs w:val="24"/>
          <w:lang w:eastAsia="es-ES"/>
        </w:rPr>
        <w:t>Por A</w:t>
      </w:r>
      <w:r w:rsidR="00A1218B">
        <w:rPr>
          <w:rFonts w:ascii="Times New Roman" w:eastAsia="Times New Roman" w:hAnsi="Times New Roman"/>
          <w:sz w:val="24"/>
          <w:szCs w:val="24"/>
          <w:lang w:eastAsia="es-ES"/>
        </w:rPr>
        <w:t>licia Munnell /</w:t>
      </w:r>
      <w:r w:rsidRPr="00132146">
        <w:rPr>
          <w:rFonts w:ascii="Times New Roman" w:eastAsia="Times New Roman" w:hAnsi="Times New Roman"/>
          <w:sz w:val="24"/>
          <w:szCs w:val="24"/>
          <w:lang w:eastAsia="es-ES"/>
        </w:rPr>
        <w:t xml:space="preserve"> Del blog Encore, de MarketWatch</w:t>
      </w:r>
      <w:r>
        <w:rPr>
          <w:rFonts w:ascii="Times New Roman" w:eastAsia="Times New Roman" w:hAnsi="Times New Roman"/>
          <w:sz w:val="24"/>
          <w:szCs w:val="24"/>
          <w:lang w:eastAsia="es-ES"/>
        </w:rPr>
        <w:t>)</w:t>
      </w:r>
      <w:r w:rsidRPr="00132146">
        <w:rPr>
          <w:rFonts w:ascii="Times New Roman" w:eastAsia="Times New Roman" w:hAnsi="Times New Roman"/>
          <w:sz w:val="24"/>
          <w:szCs w:val="24"/>
          <w:lang w:eastAsia="es-ES"/>
        </w:rPr>
        <w:t xml:space="preserve"> </w:t>
      </w:r>
      <w:r w:rsidR="00A1218B">
        <w:rPr>
          <w:rFonts w:ascii="Times New Roman" w:eastAsia="Times New Roman" w:hAnsi="Times New Roman"/>
          <w:sz w:val="24"/>
          <w:szCs w:val="24"/>
          <w:lang w:eastAsia="es-ES"/>
        </w:rPr>
        <w:t xml:space="preserve">     </w:t>
      </w:r>
      <w:r w:rsidR="00286B12">
        <w:rPr>
          <w:rFonts w:ascii="Times New Roman" w:eastAsia="Times New Roman" w:hAnsi="Times New Roman"/>
          <w:sz w:val="24"/>
          <w:szCs w:val="24"/>
          <w:lang w:eastAsia="es-ES"/>
        </w:rPr>
        <w:t xml:space="preserve">         </w:t>
      </w:r>
      <w:r w:rsidR="00A1218B">
        <w:rPr>
          <w:rFonts w:ascii="Times New Roman" w:eastAsia="Times New Roman" w:hAnsi="Times New Roman"/>
          <w:sz w:val="24"/>
          <w:szCs w:val="24"/>
          <w:lang w:eastAsia="es-ES"/>
        </w:rPr>
        <w:t>Lectura recomendada</w:t>
      </w:r>
    </w:p>
    <w:p w:rsidR="00D446F8" w:rsidRPr="00132146"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2216DE">
        <w:rPr>
          <w:rFonts w:ascii="Times New Roman" w:eastAsia="Times New Roman" w:hAnsi="Times New Roman"/>
          <w:sz w:val="24"/>
          <w:szCs w:val="24"/>
          <w:u w:val="single"/>
          <w:lang w:eastAsia="es-ES"/>
        </w:rPr>
        <w:t>Este es un buen momento para solucionar los problemas de financiamiento del Seguro Social de Estados Unidos. De hecho, la decisión del Congreso, como parte</w:t>
      </w:r>
      <w:r w:rsidR="00A1218B">
        <w:rPr>
          <w:rFonts w:ascii="Times New Roman" w:eastAsia="Times New Roman" w:hAnsi="Times New Roman"/>
          <w:sz w:val="24"/>
          <w:szCs w:val="24"/>
          <w:u w:val="single"/>
          <w:lang w:eastAsia="es-ES"/>
        </w:rPr>
        <w:t xml:space="preserve"> de las negociaciones sobre el “abismo fiscal”</w:t>
      </w:r>
      <w:r w:rsidRPr="002216DE">
        <w:rPr>
          <w:rFonts w:ascii="Times New Roman" w:eastAsia="Times New Roman" w:hAnsi="Times New Roman"/>
          <w:sz w:val="24"/>
          <w:szCs w:val="24"/>
          <w:u w:val="single"/>
          <w:lang w:eastAsia="es-ES"/>
        </w:rPr>
        <w:t>, de permitir que la reducción de dos puntos porcentuales en el impuesto sobre la nómina expirara abre el paso para restaurar la solvencia por completo.</w:t>
      </w:r>
      <w:r w:rsidRPr="00132146">
        <w:rPr>
          <w:rFonts w:ascii="Times New Roman" w:eastAsia="Times New Roman" w:hAnsi="Times New Roman"/>
          <w:sz w:val="24"/>
          <w:szCs w:val="24"/>
          <w:lang w:eastAsia="es-ES"/>
        </w:rPr>
        <w:t xml:space="preserve"> </w:t>
      </w:r>
      <w:r w:rsidRPr="002216DE">
        <w:rPr>
          <w:rFonts w:ascii="Times New Roman" w:eastAsia="Times New Roman" w:hAnsi="Times New Roman"/>
          <w:color w:val="FF0000"/>
          <w:sz w:val="24"/>
          <w:szCs w:val="24"/>
          <w:u w:val="single"/>
          <w:lang w:eastAsia="es-ES"/>
        </w:rPr>
        <w:t>Sin dudas, el sistema de Seguro Social no ha contribuido al déficit en el pasado y técnicamente no lo puede hacer en el futuro, ya que por ley los gastos no pueden exceder los ingresos destinados. Pero las prestaciones prometidas del Seguro Social exceden los impuestos previstos, lo que crea una brecha de financiamiento que debe ser solucionada.</w:t>
      </w:r>
      <w:r w:rsidRPr="00132146">
        <w:rPr>
          <w:rFonts w:ascii="Times New Roman" w:eastAsia="Times New Roman" w:hAnsi="Times New Roman"/>
          <w:sz w:val="24"/>
          <w:szCs w:val="24"/>
          <w:lang w:eastAsia="es-ES"/>
        </w:rPr>
        <w:t xml:space="preserve"> </w:t>
      </w:r>
    </w:p>
    <w:p w:rsidR="00D446F8" w:rsidRPr="00132146"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132146">
        <w:rPr>
          <w:rFonts w:ascii="Times New Roman" w:eastAsia="Times New Roman" w:hAnsi="Times New Roman"/>
          <w:sz w:val="24"/>
          <w:szCs w:val="24"/>
          <w:lang w:eastAsia="es-ES"/>
        </w:rPr>
        <w:t>El clima político en Washington es abrumador para cualquier tipo de proyecto sensato. Pero no puedo pensar en ningún motivo de que el próximo año sea mejor que este. Y estamos por llegar al vigésimo aniversario de la evidencia de un déficit significativo en el programa. Estoy particularmente consciente de la fecha porque en 1994, como la secretaria adjunta de tesorería para política económica, recibí un borrador del informe de los administradores que mostraba un aumento en el déficit a largo plazo, de 1,5% a 2,1% de las nóminas sujetas a impuestos. Como una gran partidaria de este maravilloso programa, me sentí consternada de que el deterioro de las finanzas del sistema</w:t>
      </w:r>
      <w:r>
        <w:rPr>
          <w:rFonts w:ascii="Times New Roman" w:eastAsia="Times New Roman" w:hAnsi="Times New Roman"/>
          <w:sz w:val="24"/>
          <w:szCs w:val="24"/>
          <w:lang w:eastAsia="es-ES"/>
        </w:rPr>
        <w:t xml:space="preserve"> ocurriera bajo mi supervisión.</w:t>
      </w:r>
    </w:p>
    <w:p w:rsidR="00D446F8" w:rsidRPr="00132146"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2216DE">
        <w:rPr>
          <w:rFonts w:ascii="Times New Roman" w:eastAsia="Times New Roman" w:hAnsi="Times New Roman"/>
          <w:sz w:val="24"/>
          <w:szCs w:val="24"/>
          <w:u w:val="single"/>
          <w:lang w:eastAsia="es-ES"/>
        </w:rPr>
        <w:t>Restaurar el equilibrio del Seguro Social es fundamental para el bienestar de todo trabajador, ya que el sistema proporciona la base de los ingresos de jubilación.</w:t>
      </w:r>
      <w:r w:rsidR="00A1218B">
        <w:rPr>
          <w:rFonts w:ascii="Times New Roman" w:eastAsia="Times New Roman" w:hAnsi="Times New Roman"/>
          <w:sz w:val="24"/>
          <w:szCs w:val="24"/>
          <w:u w:val="single"/>
          <w:lang w:eastAsia="es-ES"/>
        </w:rPr>
        <w:t xml:space="preserve"> Los beneficios no son grandes -</w:t>
      </w:r>
      <w:r w:rsidRPr="002216DE">
        <w:rPr>
          <w:rFonts w:ascii="Times New Roman" w:eastAsia="Times New Roman" w:hAnsi="Times New Roman"/>
          <w:sz w:val="24"/>
          <w:szCs w:val="24"/>
          <w:u w:val="single"/>
          <w:lang w:eastAsia="es-ES"/>
        </w:rPr>
        <w:t>alrededor de US$</w:t>
      </w:r>
      <w:r w:rsidR="00A1218B">
        <w:rPr>
          <w:rFonts w:ascii="Times New Roman" w:eastAsia="Times New Roman" w:hAnsi="Times New Roman"/>
          <w:sz w:val="24"/>
          <w:szCs w:val="24"/>
          <w:u w:val="single"/>
          <w:lang w:eastAsia="es-ES"/>
        </w:rPr>
        <w:t xml:space="preserve"> 1.200 al mes en promedio-</w:t>
      </w:r>
      <w:r w:rsidRPr="002216DE">
        <w:rPr>
          <w:rFonts w:ascii="Times New Roman" w:eastAsia="Times New Roman" w:hAnsi="Times New Roman"/>
          <w:sz w:val="24"/>
          <w:szCs w:val="24"/>
          <w:u w:val="single"/>
          <w:lang w:eastAsia="es-ES"/>
        </w:rPr>
        <w:t xml:space="preserve"> pero son indexados a la inflación y continúan conforme la persona siga viviendo.</w:t>
      </w:r>
      <w:r w:rsidRPr="00132146">
        <w:rPr>
          <w:rFonts w:ascii="Times New Roman" w:eastAsia="Times New Roman" w:hAnsi="Times New Roman"/>
          <w:sz w:val="24"/>
          <w:szCs w:val="24"/>
          <w:lang w:eastAsia="es-ES"/>
        </w:rPr>
        <w:t xml:space="preserve"> </w:t>
      </w:r>
      <w:r w:rsidRPr="002216DE">
        <w:rPr>
          <w:rFonts w:ascii="Times New Roman" w:eastAsia="Times New Roman" w:hAnsi="Times New Roman"/>
          <w:sz w:val="24"/>
          <w:szCs w:val="24"/>
          <w:u w:val="single"/>
          <w:lang w:eastAsia="es-ES"/>
        </w:rPr>
        <w:t xml:space="preserve">Los únicos otros ingresos de jubilación para la mayoría de los hogares serán generados por los activos en los </w:t>
      </w:r>
      <w:r w:rsidRPr="002216DE">
        <w:rPr>
          <w:rFonts w:ascii="Times New Roman" w:eastAsia="Times New Roman" w:hAnsi="Times New Roman"/>
          <w:color w:val="FF0000"/>
          <w:sz w:val="24"/>
          <w:szCs w:val="24"/>
          <w:lang w:eastAsia="es-ES"/>
        </w:rPr>
        <w:t>planes 401(k)</w:t>
      </w:r>
      <w:r w:rsidRPr="002216DE">
        <w:rPr>
          <w:rFonts w:ascii="Times New Roman" w:eastAsia="Times New Roman" w:hAnsi="Times New Roman"/>
          <w:sz w:val="24"/>
          <w:szCs w:val="24"/>
          <w:u w:val="single"/>
          <w:lang w:eastAsia="es-ES"/>
        </w:rPr>
        <w:t xml:space="preserve"> u otros planes de jubilación de aportación definida</w:t>
      </w:r>
      <w:r w:rsidRPr="00132146">
        <w:rPr>
          <w:rFonts w:ascii="Times New Roman" w:eastAsia="Times New Roman" w:hAnsi="Times New Roman"/>
          <w:sz w:val="24"/>
          <w:szCs w:val="24"/>
          <w:lang w:eastAsia="es-ES"/>
        </w:rPr>
        <w:t>. La reciente Encuesta sobre las Finanzas del Consumi</w:t>
      </w:r>
      <w:r w:rsidR="00A1218B">
        <w:rPr>
          <w:rFonts w:ascii="Times New Roman" w:eastAsia="Times New Roman" w:hAnsi="Times New Roman"/>
          <w:sz w:val="24"/>
          <w:szCs w:val="24"/>
          <w:lang w:eastAsia="es-ES"/>
        </w:rPr>
        <w:t>dor de la Reserva Federal de EEUU</w:t>
      </w:r>
      <w:r w:rsidRPr="00132146">
        <w:rPr>
          <w:rFonts w:ascii="Times New Roman" w:eastAsia="Times New Roman" w:hAnsi="Times New Roman"/>
          <w:sz w:val="24"/>
          <w:szCs w:val="24"/>
          <w:lang w:eastAsia="es-ES"/>
        </w:rPr>
        <w:t xml:space="preserve"> muestra que estos activos son modestos: US$</w:t>
      </w:r>
      <w:r w:rsidR="003F4CB2">
        <w:rPr>
          <w:rFonts w:ascii="Times New Roman" w:eastAsia="Times New Roman" w:hAnsi="Times New Roman"/>
          <w:sz w:val="24"/>
          <w:szCs w:val="24"/>
          <w:lang w:eastAsia="es-ES"/>
        </w:rPr>
        <w:t xml:space="preserve"> </w:t>
      </w:r>
      <w:r w:rsidRPr="00132146">
        <w:rPr>
          <w:rFonts w:ascii="Times New Roman" w:eastAsia="Times New Roman" w:hAnsi="Times New Roman"/>
          <w:sz w:val="24"/>
          <w:szCs w:val="24"/>
          <w:lang w:eastAsia="es-ES"/>
        </w:rPr>
        <w:t xml:space="preserve">120.000 para familias que se acercan a la jubilación. </w:t>
      </w:r>
      <w:r w:rsidRPr="002216DE">
        <w:rPr>
          <w:rFonts w:ascii="Times New Roman" w:eastAsia="Times New Roman" w:hAnsi="Times New Roman"/>
          <w:color w:val="FF0000"/>
          <w:sz w:val="24"/>
          <w:szCs w:val="24"/>
          <w:u w:val="single"/>
          <w:lang w:eastAsia="es-ES"/>
        </w:rPr>
        <w:t>Si una pareja compra una anualid</w:t>
      </w:r>
      <w:r w:rsidR="00A1218B">
        <w:rPr>
          <w:rFonts w:ascii="Times New Roman" w:eastAsia="Times New Roman" w:hAnsi="Times New Roman"/>
          <w:color w:val="FF0000"/>
          <w:sz w:val="24"/>
          <w:szCs w:val="24"/>
          <w:u w:val="single"/>
          <w:lang w:eastAsia="es-ES"/>
        </w:rPr>
        <w:t>ad conjunta y de sobreviviente -</w:t>
      </w:r>
      <w:r w:rsidRPr="002216DE">
        <w:rPr>
          <w:rFonts w:ascii="Times New Roman" w:eastAsia="Times New Roman" w:hAnsi="Times New Roman"/>
          <w:color w:val="FF0000"/>
          <w:sz w:val="24"/>
          <w:szCs w:val="24"/>
          <w:u w:val="single"/>
          <w:lang w:eastAsia="es-ES"/>
        </w:rPr>
        <w:t>un tipo de pensión que otorga pagos mensuales siempre y cuando al meno</w:t>
      </w:r>
      <w:r w:rsidR="00A1218B">
        <w:rPr>
          <w:rFonts w:ascii="Times New Roman" w:eastAsia="Times New Roman" w:hAnsi="Times New Roman"/>
          <w:color w:val="FF0000"/>
          <w:sz w:val="24"/>
          <w:szCs w:val="24"/>
          <w:u w:val="single"/>
          <w:lang w:eastAsia="es-ES"/>
        </w:rPr>
        <w:t>s uno de los cónyuges siga vivo-</w:t>
      </w:r>
      <w:r w:rsidRPr="002216DE">
        <w:rPr>
          <w:rFonts w:ascii="Times New Roman" w:eastAsia="Times New Roman" w:hAnsi="Times New Roman"/>
          <w:color w:val="FF0000"/>
          <w:sz w:val="24"/>
          <w:szCs w:val="24"/>
          <w:u w:val="single"/>
          <w:lang w:eastAsia="es-ES"/>
        </w:rPr>
        <w:t xml:space="preserve"> con US$</w:t>
      </w:r>
      <w:r w:rsidR="00A1218B">
        <w:rPr>
          <w:rFonts w:ascii="Times New Roman" w:eastAsia="Times New Roman" w:hAnsi="Times New Roman"/>
          <w:color w:val="FF0000"/>
          <w:sz w:val="24"/>
          <w:szCs w:val="24"/>
          <w:u w:val="single"/>
          <w:lang w:eastAsia="es-ES"/>
        </w:rPr>
        <w:t xml:space="preserve"> </w:t>
      </w:r>
      <w:r w:rsidRPr="002216DE">
        <w:rPr>
          <w:rFonts w:ascii="Times New Roman" w:eastAsia="Times New Roman" w:hAnsi="Times New Roman"/>
          <w:color w:val="FF0000"/>
          <w:sz w:val="24"/>
          <w:szCs w:val="24"/>
          <w:u w:val="single"/>
          <w:lang w:eastAsia="es-ES"/>
        </w:rPr>
        <w:t>120.000, recibirán US$</w:t>
      </w:r>
      <w:r w:rsidR="00A1218B">
        <w:rPr>
          <w:rFonts w:ascii="Times New Roman" w:eastAsia="Times New Roman" w:hAnsi="Times New Roman"/>
          <w:color w:val="FF0000"/>
          <w:sz w:val="24"/>
          <w:szCs w:val="24"/>
          <w:u w:val="single"/>
          <w:lang w:eastAsia="es-ES"/>
        </w:rPr>
        <w:t xml:space="preserve"> </w:t>
      </w:r>
      <w:r w:rsidRPr="002216DE">
        <w:rPr>
          <w:rFonts w:ascii="Times New Roman" w:eastAsia="Times New Roman" w:hAnsi="Times New Roman"/>
          <w:color w:val="FF0000"/>
          <w:sz w:val="24"/>
          <w:szCs w:val="24"/>
          <w:u w:val="single"/>
          <w:lang w:eastAsia="es-ES"/>
        </w:rPr>
        <w:t>575 al mes</w:t>
      </w:r>
      <w:r w:rsidRPr="00132146">
        <w:rPr>
          <w:rFonts w:ascii="Times New Roman" w:eastAsia="Times New Roman" w:hAnsi="Times New Roman"/>
          <w:sz w:val="24"/>
          <w:szCs w:val="24"/>
          <w:lang w:eastAsia="es-ES"/>
        </w:rPr>
        <w:t>. Es probable que estos US$</w:t>
      </w:r>
      <w:r w:rsidR="00A1218B">
        <w:rPr>
          <w:rFonts w:ascii="Times New Roman" w:eastAsia="Times New Roman" w:hAnsi="Times New Roman"/>
          <w:sz w:val="24"/>
          <w:szCs w:val="24"/>
          <w:lang w:eastAsia="es-ES"/>
        </w:rPr>
        <w:t xml:space="preserve"> </w:t>
      </w:r>
      <w:r w:rsidRPr="00132146">
        <w:rPr>
          <w:rFonts w:ascii="Times New Roman" w:eastAsia="Times New Roman" w:hAnsi="Times New Roman"/>
          <w:sz w:val="24"/>
          <w:szCs w:val="24"/>
          <w:lang w:eastAsia="es-ES"/>
        </w:rPr>
        <w:t xml:space="preserve">575 sean la única fuente de ingresos adicionales, ya que el hogar típico no posee otros recursos financieros fuera de su plan 401(k). </w:t>
      </w:r>
    </w:p>
    <w:p w:rsidR="00D446F8" w:rsidRPr="002216DE" w:rsidRDefault="00D446F8"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2216DE">
        <w:rPr>
          <w:rFonts w:ascii="Times New Roman" w:eastAsia="Times New Roman" w:hAnsi="Times New Roman"/>
          <w:color w:val="FF0000"/>
          <w:sz w:val="24"/>
          <w:szCs w:val="24"/>
          <w:u w:val="single"/>
          <w:lang w:eastAsia="es-ES"/>
        </w:rPr>
        <w:t>La pregunta clave es qué cantidad de la brecha de financiamiento del Seguro Social debería ser cerrada con recortes de beneficios vs. aumentos de impuestos</w:t>
      </w:r>
      <w:r w:rsidRPr="00132146">
        <w:rPr>
          <w:rFonts w:ascii="Times New Roman" w:eastAsia="Times New Roman" w:hAnsi="Times New Roman"/>
          <w:sz w:val="24"/>
          <w:szCs w:val="24"/>
          <w:lang w:eastAsia="es-ES"/>
        </w:rPr>
        <w:t xml:space="preserve">. Mi perspectiva es que las jubilaciones corren peligro. La necesidad de ingresos de </w:t>
      </w:r>
      <w:r w:rsidRPr="00132146">
        <w:rPr>
          <w:rFonts w:ascii="Times New Roman" w:eastAsia="Times New Roman" w:hAnsi="Times New Roman"/>
          <w:sz w:val="24"/>
          <w:szCs w:val="24"/>
          <w:lang w:eastAsia="es-ES"/>
        </w:rPr>
        <w:lastRenderedPageBreak/>
        <w:t xml:space="preserve">jubilación está creciendo conforme la gente vive más tiempo, los costos médicos aumentan y dos terceras partes necesitarán algún tipo de cuidado a largo plazo. Al mismo tiempo, el sistema de jubilación se está contrayendo. </w:t>
      </w:r>
      <w:r w:rsidRPr="002216DE">
        <w:rPr>
          <w:rFonts w:ascii="Times New Roman" w:eastAsia="Times New Roman" w:hAnsi="Times New Roman"/>
          <w:color w:val="FF0000"/>
          <w:sz w:val="24"/>
          <w:szCs w:val="24"/>
          <w:u w:val="single"/>
          <w:lang w:eastAsia="es-ES"/>
        </w:rPr>
        <w:t>El Índice Nacional de</w:t>
      </w:r>
      <w:r w:rsidR="00A1218B">
        <w:rPr>
          <w:rFonts w:ascii="Times New Roman" w:eastAsia="Times New Roman" w:hAnsi="Times New Roman"/>
          <w:color w:val="FF0000"/>
          <w:sz w:val="24"/>
          <w:szCs w:val="24"/>
          <w:u w:val="single"/>
          <w:lang w:eastAsia="es-ES"/>
        </w:rPr>
        <w:t xml:space="preserve"> Riesgo de Jubilación de EEUU</w:t>
      </w:r>
      <w:r w:rsidRPr="002216DE">
        <w:rPr>
          <w:rFonts w:ascii="Times New Roman" w:eastAsia="Times New Roman" w:hAnsi="Times New Roman"/>
          <w:color w:val="FF0000"/>
          <w:sz w:val="24"/>
          <w:szCs w:val="24"/>
          <w:u w:val="single"/>
          <w:lang w:eastAsia="es-ES"/>
        </w:rPr>
        <w:t xml:space="preserve"> muestra que 53% de los hogares corren riesgo de no poder mantener su calidad de vida previa a la jubilación una vez que dejen de trabajar.</w:t>
      </w:r>
      <w:r w:rsidRPr="00132146">
        <w:rPr>
          <w:rFonts w:ascii="Times New Roman" w:eastAsia="Times New Roman" w:hAnsi="Times New Roman"/>
          <w:sz w:val="24"/>
          <w:szCs w:val="24"/>
          <w:lang w:eastAsia="es-ES"/>
        </w:rPr>
        <w:t xml:space="preserve"> </w:t>
      </w:r>
      <w:r w:rsidRPr="002216DE">
        <w:rPr>
          <w:rFonts w:ascii="Times New Roman" w:eastAsia="Times New Roman" w:hAnsi="Times New Roman"/>
          <w:sz w:val="24"/>
          <w:szCs w:val="24"/>
          <w:u w:val="single"/>
          <w:lang w:eastAsia="es-ES"/>
        </w:rPr>
        <w:t>Debido a esta previsión, aunque cualquier pacto obligará concesiones, deberíamos ser cautelosos sobre hacer recortes fuertes en los beneficios.</w:t>
      </w:r>
    </w:p>
    <w:p w:rsidR="00C052A4"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2216DE">
        <w:rPr>
          <w:rFonts w:ascii="Times New Roman" w:eastAsia="Times New Roman" w:hAnsi="Times New Roman"/>
          <w:sz w:val="24"/>
          <w:szCs w:val="24"/>
          <w:u w:val="single"/>
          <w:lang w:eastAsia="es-ES"/>
        </w:rPr>
        <w:t>Resolver el desafío de financiamiento del Seguro Social requiere una combinación de aumentos de ingresos y reducción en el crecimiento de las prestaciones. En términos de los ingresos, algunas de las propuestas atractivas incluyen incrementar gradualmente la base de aportes y beneficios a un nivel que cubra 90% de los ganancias nacionales totales (alrededor de US$</w:t>
      </w:r>
      <w:r w:rsidR="00A1218B">
        <w:rPr>
          <w:rFonts w:ascii="Times New Roman" w:eastAsia="Times New Roman" w:hAnsi="Times New Roman"/>
          <w:sz w:val="24"/>
          <w:szCs w:val="24"/>
          <w:u w:val="single"/>
          <w:lang w:eastAsia="es-ES"/>
        </w:rPr>
        <w:t xml:space="preserve"> </w:t>
      </w:r>
      <w:r w:rsidRPr="002216DE">
        <w:rPr>
          <w:rFonts w:ascii="Times New Roman" w:eastAsia="Times New Roman" w:hAnsi="Times New Roman"/>
          <w:sz w:val="24"/>
          <w:szCs w:val="24"/>
          <w:u w:val="single"/>
          <w:lang w:eastAsia="es-ES"/>
        </w:rPr>
        <w:t>180.000 a los niveles de ingresos actuales) y eliminar gradualmente la exclusión tributaria para seguros de salud grupales, para que el impuesto sobre la nómina (y sobre los ingresos) cubra las cuotas tanto del empleado como del empleador</w:t>
      </w:r>
      <w:r w:rsidRPr="00132146">
        <w:rPr>
          <w:rFonts w:ascii="Times New Roman" w:eastAsia="Times New Roman" w:hAnsi="Times New Roman"/>
          <w:sz w:val="24"/>
          <w:szCs w:val="24"/>
          <w:lang w:eastAsia="es-ES"/>
        </w:rPr>
        <w:t xml:space="preserve">. </w:t>
      </w:r>
    </w:p>
    <w:p w:rsidR="00D446F8" w:rsidRPr="00AF7E72" w:rsidRDefault="00D446F8" w:rsidP="00550638">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2216DE">
        <w:rPr>
          <w:rFonts w:ascii="Times New Roman" w:eastAsia="Times New Roman" w:hAnsi="Times New Roman"/>
          <w:b/>
          <w:color w:val="FF0000"/>
          <w:sz w:val="24"/>
          <w:szCs w:val="24"/>
          <w:u w:val="single"/>
          <w:lang w:eastAsia="es-ES"/>
        </w:rPr>
        <w:t>Nadie quiere recortes de beneficios, pero dos opciones posibles son elevar la Edad de Jubilación Plena (después de que llegue a 67) para mantenernos al ritmo de los avances en la longevidad y adoptar un í</w:t>
      </w:r>
      <w:r w:rsidR="00A1218B">
        <w:rPr>
          <w:rFonts w:ascii="Times New Roman" w:eastAsia="Times New Roman" w:hAnsi="Times New Roman"/>
          <w:b/>
          <w:color w:val="FF0000"/>
          <w:sz w:val="24"/>
          <w:szCs w:val="24"/>
          <w:u w:val="single"/>
          <w:lang w:eastAsia="es-ES"/>
        </w:rPr>
        <w:t>ndice de precios al consumidor “ponderado”</w:t>
      </w:r>
      <w:r w:rsidRPr="002216DE">
        <w:rPr>
          <w:rFonts w:ascii="Times New Roman" w:eastAsia="Times New Roman" w:hAnsi="Times New Roman"/>
          <w:b/>
          <w:color w:val="FF0000"/>
          <w:sz w:val="24"/>
          <w:szCs w:val="24"/>
          <w:u w:val="single"/>
          <w:lang w:eastAsia="es-ES"/>
        </w:rPr>
        <w:t xml:space="preserve"> al ajuste del costo de vida (COLA, por sus siglas en inglés) del Seguro Social. Los efectos adversos del ajuste de COLA en personas de bajos recursos o en los muy ancianos podrían ser compensados por un incremento en el beneficio mínimo o un ajuste </w:t>
      </w:r>
      <w:r>
        <w:rPr>
          <w:rFonts w:ascii="Times New Roman" w:eastAsia="Times New Roman" w:hAnsi="Times New Roman"/>
          <w:b/>
          <w:color w:val="FF0000"/>
          <w:sz w:val="24"/>
          <w:szCs w:val="24"/>
          <w:u w:val="single"/>
          <w:lang w:eastAsia="es-ES"/>
        </w:rPr>
        <w:t xml:space="preserve">de 5%, digamos, a los 85 años. </w:t>
      </w:r>
    </w:p>
    <w:p w:rsidR="001C4E67" w:rsidRDefault="00D446F8"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2216DE">
        <w:rPr>
          <w:rFonts w:ascii="Times New Roman" w:eastAsia="Times New Roman" w:hAnsi="Times New Roman"/>
          <w:sz w:val="24"/>
          <w:szCs w:val="24"/>
          <w:u w:val="single"/>
          <w:lang w:eastAsia="es-ES"/>
        </w:rPr>
        <w:t>En pocas palabras, toda persona a quien le importe la seguridad en la jubilación debería dar la bienvenida a la restauración de los impuestos sobre la nómina. Este cambio vuelve a situar el déficit en un nivel manejable. Aprovechemos esta oportunidad para eliminar la brecha presupuestaria y realmente excluir el Seguro Social de los debates sobre la política fiscal.</w:t>
      </w:r>
    </w:p>
    <w:p w:rsidR="00A1218B" w:rsidRDefault="00A1218B"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Otra de las caras ocultas del milagro alemán</w:t>
      </w:r>
      <w:r w:rsidR="001C4E67">
        <w:rPr>
          <w:rFonts w:ascii="Times New Roman" w:eastAsia="Times New Roman" w:hAnsi="Times New Roman"/>
          <w:sz w:val="24"/>
          <w:szCs w:val="24"/>
          <w:u w:val="single"/>
          <w:lang w:eastAsia="es-ES"/>
        </w:rPr>
        <w:t xml:space="preserve"> (además de minijobs, o de 8,50 E la hora)</w:t>
      </w:r>
    </w:p>
    <w:p w:rsidR="001C4E67" w:rsidRPr="001C4E67" w:rsidRDefault="001C4E67" w:rsidP="00550638">
      <w:pPr>
        <w:pStyle w:val="NormalWeb"/>
        <w:jc w:val="both"/>
        <w:rPr>
          <w:i/>
        </w:rPr>
      </w:pPr>
      <w:r>
        <w:rPr>
          <w:i/>
        </w:rPr>
        <w:t>“</w:t>
      </w:r>
      <w:r w:rsidR="00D446F8" w:rsidRPr="001C4E67">
        <w:rPr>
          <w:i/>
        </w:rPr>
        <w:t>El poder adquisitivo de los más de veinte millones de jubilados alemanes cayó casi un 10 % en los últimos diez años, informa en su edi</w:t>
      </w:r>
      <w:r w:rsidRPr="001C4E67">
        <w:rPr>
          <w:i/>
        </w:rPr>
        <w:t>ción de hoy el popular diario “</w:t>
      </w:r>
      <w:r w:rsidR="002A0BAE">
        <w:rPr>
          <w:i/>
        </w:rPr>
        <w:t>Bild”</w:t>
      </w:r>
      <w:r w:rsidR="00D446F8" w:rsidRPr="001C4E67">
        <w:rPr>
          <w:i/>
        </w:rPr>
        <w:t>, que se remite a un estudio de la Universidad de Friburgo (sur del país)</w:t>
      </w:r>
      <w:r>
        <w:rPr>
          <w:i/>
        </w:rPr>
        <w:t xml:space="preserve">”… </w:t>
      </w:r>
      <w:r w:rsidRPr="002A3AB5">
        <w:rPr>
          <w:u w:val="single"/>
        </w:rPr>
        <w:t>El poder adquisitivo de los jubilados alemanes cayó 10% en diez años</w:t>
      </w:r>
      <w:r>
        <w:t xml:space="preserve"> (El Economista - </w:t>
      </w:r>
      <w:r w:rsidRPr="002A3AB5">
        <w:rPr>
          <w:b/>
        </w:rPr>
        <w:t>19/1/13</w:t>
      </w:r>
      <w:r>
        <w:t>)</w:t>
      </w:r>
    </w:p>
    <w:p w:rsidR="00D446F8" w:rsidRPr="001C4E67" w:rsidRDefault="00D446F8" w:rsidP="00550638">
      <w:pPr>
        <w:pStyle w:val="NormalWeb"/>
        <w:jc w:val="both"/>
      </w:pPr>
      <w:r w:rsidRPr="001C4E67">
        <w:t xml:space="preserve">De acuerdo con esa información, pese al incremento de las pensiones aprobado en julio de 2012, </w:t>
      </w:r>
      <w:r w:rsidRPr="001C4E67">
        <w:rPr>
          <w:bCs/>
        </w:rPr>
        <w:t xml:space="preserve">el poder adquisitivo real de los 20,5 millones de jubilados alemanes bajó estos años un 0,4 %, en los ciudadanos del oeste, y un 0,3 %, en sus compatriotas del este. </w:t>
      </w:r>
    </w:p>
    <w:p w:rsidR="00D446F8" w:rsidRPr="001C4E67" w:rsidRDefault="00D446F8" w:rsidP="00550638">
      <w:pPr>
        <w:pStyle w:val="NormalWeb"/>
        <w:jc w:val="both"/>
      </w:pPr>
      <w:r w:rsidRPr="001C4E67">
        <w:t xml:space="preserve">El retraso es efecto de la inflación y, teniendo en cuenta las sucesivas congelaciones de las rentas en los años pasados, acumula una caída real del 9,2 % desde 2004. </w:t>
      </w:r>
    </w:p>
    <w:p w:rsidR="00D446F8" w:rsidRPr="001C4E67" w:rsidRDefault="00D446F8" w:rsidP="00550638">
      <w:pPr>
        <w:pStyle w:val="NormalWeb"/>
        <w:jc w:val="both"/>
      </w:pPr>
      <w:r w:rsidRPr="001C4E67">
        <w:t xml:space="preserve">El director del Instituto de Estudios Financieros de Friburgo, Bernd Raffelhüschen, apunta sin embargo a ese rotativo que </w:t>
      </w:r>
      <w:r w:rsidRPr="001C4E67">
        <w:rPr>
          <w:bCs/>
        </w:rPr>
        <w:t xml:space="preserve">tal caída es similar a la sufrida en los ingresos de la población activa. </w:t>
      </w:r>
    </w:p>
    <w:p w:rsidR="00D446F8" w:rsidRPr="001C4E67" w:rsidRDefault="00D446F8" w:rsidP="00550638">
      <w:pPr>
        <w:pStyle w:val="NormalWeb"/>
        <w:jc w:val="both"/>
      </w:pPr>
      <w:r w:rsidRPr="001C4E67">
        <w:lastRenderedPageBreak/>
        <w:t xml:space="preserve">En ese caso, el efecto se deriva de la denominada progresión fría, que hace que los aumentos salariales anuales terminen engullidos por la inflación, sumada a un cambio de tarifa fiscal. </w:t>
      </w:r>
    </w:p>
    <w:p w:rsidR="00D446F8" w:rsidRPr="001C4E67" w:rsidRDefault="00D446F8" w:rsidP="00550638">
      <w:pPr>
        <w:pStyle w:val="NormalWeb"/>
        <w:jc w:val="both"/>
      </w:pPr>
      <w:r w:rsidRPr="001C4E67">
        <w:t xml:space="preserve">El Gobierno de Angela Merkel aprobó en 2012 un incremento de las jubilaciones del 2,26%, en el este, y del 2,18%, en el oeste, después de estar tres años prácticamente congeladas. </w:t>
      </w:r>
    </w:p>
    <w:p w:rsidR="00D446F8" w:rsidRPr="001C4E67" w:rsidRDefault="00D446F8" w:rsidP="00550638">
      <w:pPr>
        <w:pStyle w:val="NormalWeb"/>
        <w:jc w:val="both"/>
      </w:pPr>
      <w:r w:rsidRPr="001C4E67">
        <w:rPr>
          <w:bCs/>
        </w:rPr>
        <w:t xml:space="preserve">Entre 2004 y 2006, las pensiones habían tenido un incremento nulo por razones presupuestarias. </w:t>
      </w:r>
    </w:p>
    <w:p w:rsidR="00D446F8" w:rsidRPr="001C4E67" w:rsidRDefault="00D446F8" w:rsidP="00550638">
      <w:pPr>
        <w:pStyle w:val="NormalWeb"/>
        <w:jc w:val="both"/>
      </w:pPr>
      <w:r w:rsidRPr="001C4E67">
        <w:t xml:space="preserve">Con el desnivel a favor de los jubilados del antiguo territorio germano-oriental se pretende compensar gradualmente el desequilibrio persistente entre las pensiones de una y otra mitad del país. </w:t>
      </w:r>
    </w:p>
    <w:p w:rsidR="00D446F8" w:rsidRPr="001C4E67" w:rsidRDefault="00D446F8" w:rsidP="00550638">
      <w:pPr>
        <w:pStyle w:val="NormalWeb"/>
        <w:jc w:val="both"/>
      </w:pPr>
      <w:r w:rsidRPr="001C4E67">
        <w:t xml:space="preserve">Más de veinte años después de la reunificación (en 1990), las jubilaciones del este del país se sitúan aproximadamente en el 87 % de las que se perciben en el oeste. </w:t>
      </w:r>
    </w:p>
    <w:p w:rsidR="00D446F8" w:rsidRDefault="00D446F8" w:rsidP="00550638">
      <w:pPr>
        <w:pStyle w:val="NormalWeb"/>
        <w:jc w:val="both"/>
      </w:pPr>
      <w:r w:rsidRPr="001C4E67">
        <w:rPr>
          <w:bCs/>
        </w:rPr>
        <w:t>La jubilación media en Alemania es de 1.049 euros en el caso de los hombres, mientras que la de las mujeres se sitúa en 525 euros</w:t>
      </w:r>
      <w:r w:rsidRPr="001C4E67">
        <w:t>, según cifras de 2011.</w:t>
      </w:r>
    </w:p>
    <w:p w:rsidR="00D446F8" w:rsidRPr="00892424" w:rsidRDefault="001C4E67" w:rsidP="00550638">
      <w:pPr>
        <w:pStyle w:val="NormalWeb"/>
        <w:jc w:val="both"/>
        <w:rPr>
          <w:u w:val="single"/>
        </w:rPr>
      </w:pPr>
      <w:r w:rsidRPr="00892424">
        <w:rPr>
          <w:u w:val="single"/>
        </w:rPr>
        <w:t>Hay que “fusilar” a los viejos</w:t>
      </w:r>
      <w:r w:rsidR="00892424">
        <w:rPr>
          <w:u w:val="single"/>
        </w:rPr>
        <w:t xml:space="preserve"> (ya está bien de consumir tantos recursos, tantas medicinas, de tener que cederles el asiento en el autobús, de caerse por cualquier parte)</w:t>
      </w:r>
    </w:p>
    <w:p w:rsidR="00D446F8" w:rsidRPr="00F657F4"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AE5FFF">
        <w:rPr>
          <w:rFonts w:ascii="Times New Roman" w:eastAsia="Times New Roman" w:hAnsi="Times New Roman"/>
          <w:sz w:val="24"/>
          <w:szCs w:val="24"/>
          <w:u w:val="single"/>
          <w:lang w:eastAsia="es-ES"/>
        </w:rPr>
        <w:t>Se acelera el problema de vejez de Europa</w:t>
      </w:r>
      <w:r>
        <w:rPr>
          <w:rFonts w:ascii="Times New Roman" w:eastAsia="Times New Roman" w:hAnsi="Times New Roman"/>
          <w:sz w:val="24"/>
          <w:szCs w:val="24"/>
          <w:lang w:eastAsia="es-ES"/>
        </w:rPr>
        <w:t xml:space="preserve"> (The Wall Street Journal - </w:t>
      </w:r>
      <w:r w:rsidRPr="00AE5FFF">
        <w:rPr>
          <w:rFonts w:ascii="Times New Roman" w:eastAsia="Times New Roman" w:hAnsi="Times New Roman"/>
          <w:b/>
          <w:sz w:val="24"/>
          <w:szCs w:val="24"/>
          <w:lang w:eastAsia="es-ES"/>
        </w:rPr>
        <w:t>21/1/13</w:t>
      </w:r>
      <w:r>
        <w:rPr>
          <w:rFonts w:ascii="Times New Roman" w:eastAsia="Times New Roman" w:hAnsi="Times New Roman"/>
          <w:sz w:val="24"/>
          <w:szCs w:val="24"/>
          <w:lang w:eastAsia="es-ES"/>
        </w:rPr>
        <w:t xml:space="preserve">) </w:t>
      </w:r>
    </w:p>
    <w:p w:rsidR="00D446F8" w:rsidRPr="00F657F4"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F657F4">
        <w:rPr>
          <w:rFonts w:ascii="Times New Roman" w:eastAsia="Times New Roman" w:hAnsi="Times New Roman"/>
          <w:sz w:val="24"/>
          <w:szCs w:val="24"/>
          <w:lang w:eastAsia="es-ES"/>
        </w:rPr>
        <w:t>Por R</w:t>
      </w:r>
      <w:r w:rsidR="00892424">
        <w:rPr>
          <w:rFonts w:ascii="Times New Roman" w:eastAsia="Times New Roman" w:hAnsi="Times New Roman"/>
          <w:sz w:val="24"/>
          <w:szCs w:val="24"/>
          <w:lang w:eastAsia="es-ES"/>
        </w:rPr>
        <w:t>ichard Barley)</w:t>
      </w:r>
      <w:r w:rsidRPr="00F657F4">
        <w:rPr>
          <w:rFonts w:ascii="Times New Roman" w:eastAsia="Times New Roman" w:hAnsi="Times New Roman"/>
          <w:sz w:val="24"/>
          <w:szCs w:val="24"/>
          <w:lang w:eastAsia="es-ES"/>
        </w:rPr>
        <w:t xml:space="preserve"> </w:t>
      </w:r>
      <w:r w:rsidR="00B02E56">
        <w:rPr>
          <w:rFonts w:ascii="Times New Roman" w:eastAsia="Times New Roman" w:hAnsi="Times New Roman"/>
          <w:sz w:val="24"/>
          <w:szCs w:val="24"/>
          <w:lang w:eastAsia="es-ES"/>
        </w:rPr>
        <w:t xml:space="preserve">                                                                        Lectura recomendada</w:t>
      </w:r>
    </w:p>
    <w:p w:rsidR="00D446F8" w:rsidRPr="00450D2E" w:rsidRDefault="00D446F8"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450D2E">
        <w:rPr>
          <w:rFonts w:ascii="Times New Roman" w:eastAsia="Times New Roman" w:hAnsi="Times New Roman"/>
          <w:color w:val="FF0000"/>
          <w:sz w:val="24"/>
          <w:szCs w:val="24"/>
          <w:u w:val="single"/>
          <w:lang w:eastAsia="es-ES"/>
        </w:rPr>
        <w:t xml:space="preserve">El jurado </w:t>
      </w:r>
      <w:r w:rsidR="00892424" w:rsidRPr="00450D2E">
        <w:rPr>
          <w:rFonts w:ascii="Times New Roman" w:eastAsia="Times New Roman" w:hAnsi="Times New Roman"/>
          <w:color w:val="FF0000"/>
          <w:sz w:val="24"/>
          <w:szCs w:val="24"/>
          <w:u w:val="single"/>
          <w:lang w:eastAsia="es-ES"/>
        </w:rPr>
        <w:t>aún</w:t>
      </w:r>
      <w:r w:rsidRPr="00450D2E">
        <w:rPr>
          <w:rFonts w:ascii="Times New Roman" w:eastAsia="Times New Roman" w:hAnsi="Times New Roman"/>
          <w:color w:val="FF0000"/>
          <w:sz w:val="24"/>
          <w:szCs w:val="24"/>
          <w:u w:val="single"/>
          <w:lang w:eastAsia="es-ES"/>
        </w:rPr>
        <w:t xml:space="preserve"> está por decidir si los países han salido más sabios de la crisis financiera global que comenzó en 2008. Pero lo que está claro es que están saliendo más viejos.</w:t>
      </w:r>
      <w:r w:rsidRPr="00F657F4">
        <w:rPr>
          <w:rFonts w:ascii="Times New Roman" w:eastAsia="Times New Roman" w:hAnsi="Times New Roman"/>
          <w:sz w:val="24"/>
          <w:szCs w:val="24"/>
          <w:lang w:eastAsia="es-ES"/>
        </w:rPr>
        <w:t xml:space="preserve"> Los gobiernos en muchos mercados desarrollados han perdido tiempo valioso para abordar una fuerza inexorable: </w:t>
      </w:r>
      <w:r w:rsidRPr="00450D2E">
        <w:rPr>
          <w:rFonts w:ascii="Times New Roman" w:eastAsia="Times New Roman" w:hAnsi="Times New Roman"/>
          <w:color w:val="FF0000"/>
          <w:sz w:val="24"/>
          <w:szCs w:val="24"/>
          <w:u w:val="single"/>
          <w:lang w:eastAsia="es-ES"/>
        </w:rPr>
        <w:t xml:space="preserve">la presión que una población envejecida ejercerá sobre las finanzas públicas. Eso es particularmente cierto en Europa, debido a su intensa crisis fiscal. </w:t>
      </w:r>
    </w:p>
    <w:p w:rsidR="00D446F8" w:rsidRPr="00450D2E" w:rsidRDefault="00D446F8"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450D2E">
        <w:rPr>
          <w:rFonts w:ascii="Times New Roman" w:eastAsia="Times New Roman" w:hAnsi="Times New Roman"/>
          <w:color w:val="FF0000"/>
          <w:sz w:val="24"/>
          <w:szCs w:val="24"/>
          <w:u w:val="single"/>
          <w:lang w:eastAsia="es-ES"/>
        </w:rPr>
        <w:t xml:space="preserve">El futuro de muchos países incluye una reducción de la población en edad productiva que apoya el creciente número de personas de edad avanzada. En promedio, la medida clave de la dependencia de ancianos (el número de habitantes de 65 años o más dividido por el número de personas entre 15 y 64) aumentará a 34% para 2050 frente a 14,2% en 2012 para los países que pertenecen a la Organización para la Cooperación y el Desarrollo Económico (OCDE), según Fitch. Japón sobresale, pues su porcentaje ya llegó a 35,5% en 2010 y tiene pronósticos de que aumentará a 69,6% para 2050. </w:t>
      </w:r>
    </w:p>
    <w:p w:rsidR="00D446F8" w:rsidRPr="005D1B6E" w:rsidRDefault="00D446F8" w:rsidP="00550638">
      <w:pPr>
        <w:spacing w:before="100" w:beforeAutospacing="1" w:after="100" w:afterAutospacing="1" w:line="240" w:lineRule="auto"/>
        <w:jc w:val="both"/>
        <w:rPr>
          <w:rFonts w:ascii="Times New Roman" w:eastAsia="Times New Roman" w:hAnsi="Times New Roman"/>
          <w:b/>
          <w:color w:val="FF0000"/>
          <w:sz w:val="24"/>
          <w:szCs w:val="24"/>
          <w:u w:val="single"/>
          <w:lang w:eastAsia="es-ES"/>
        </w:rPr>
      </w:pPr>
      <w:r w:rsidRPr="005D1B6E">
        <w:rPr>
          <w:rFonts w:ascii="Times New Roman" w:eastAsia="Times New Roman" w:hAnsi="Times New Roman"/>
          <w:b/>
          <w:color w:val="FF0000"/>
          <w:sz w:val="24"/>
          <w:szCs w:val="24"/>
          <w:u w:val="single"/>
          <w:lang w:eastAsia="es-ES"/>
        </w:rPr>
        <w:t xml:space="preserve">Pero la crisis ha causado que el punto de partida financiero sea peor para otros países, particularmente en Europa. En 2009, la Comisión Europea pronosticó que los gastos relacionados a la vejez representarían 25% del Producto Interno Bruto de la Unión Europea para 2033. Sin embargo, ese nivel fue alcanzado en 2010, debido a la profunda recesión. </w:t>
      </w:r>
    </w:p>
    <w:p w:rsidR="00D446F8" w:rsidRPr="00450D2E" w:rsidRDefault="00D446F8"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450D2E">
        <w:rPr>
          <w:rFonts w:ascii="Times New Roman" w:eastAsia="Times New Roman" w:hAnsi="Times New Roman"/>
          <w:sz w:val="24"/>
          <w:szCs w:val="24"/>
          <w:u w:val="single"/>
          <w:lang w:eastAsia="es-ES"/>
        </w:rPr>
        <w:lastRenderedPageBreak/>
        <w:t xml:space="preserve">Las suposiciones más bajas de crecimiento significan que la carga futura está aumentando. Ahora se prevé que los gastos relacionados a la vejez por los gobiernos de la Unión Europea como porcentaje del PIB crecerán en 5,1 puntos porcentuales para 2050, de acuerdo a Fitch, comparado con una proyección de 4,3 puntos en 2006. </w:t>
      </w:r>
    </w:p>
    <w:p w:rsidR="00D446F8" w:rsidRPr="00F657F4"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F657F4">
        <w:rPr>
          <w:rFonts w:ascii="Times New Roman" w:eastAsia="Times New Roman" w:hAnsi="Times New Roman"/>
          <w:sz w:val="24"/>
          <w:szCs w:val="24"/>
          <w:lang w:eastAsia="es-ES"/>
        </w:rPr>
        <w:t>No todas las noticias son malas. La crisis fiscal en Europa está obligando a algunos países a abordar este problema. Portugal, Italia y Grecia han neutralizado efectivamente el impacto a largo plazo del envejecimiento, indica Fitch. En Portugal, la proyección de crecimiento en gastos relacionados a la vejez para 2050 fue de 9,7 puntos porcentuales del PIB cuando fue calculada en 2003; ahora es de</w:t>
      </w:r>
      <w:r>
        <w:rPr>
          <w:rFonts w:ascii="Times New Roman" w:eastAsia="Times New Roman" w:hAnsi="Times New Roman"/>
          <w:sz w:val="24"/>
          <w:szCs w:val="24"/>
          <w:lang w:eastAsia="es-ES"/>
        </w:rPr>
        <w:t xml:space="preserve"> solo 0,2 puntos porcentuales. </w:t>
      </w:r>
    </w:p>
    <w:p w:rsidR="00D446F8" w:rsidRPr="0015206C" w:rsidRDefault="00D446F8"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F657F4">
        <w:rPr>
          <w:rFonts w:ascii="Times New Roman" w:eastAsia="Times New Roman" w:hAnsi="Times New Roman"/>
          <w:sz w:val="24"/>
          <w:szCs w:val="24"/>
          <w:lang w:eastAsia="es-ES"/>
        </w:rPr>
        <w:t xml:space="preserve">Estas proyecciones a largo plazo deben ser tratadas con cuidado. Son enormemente sensibles a pequeños cambios en las suposiciones subyacentes. </w:t>
      </w:r>
      <w:r w:rsidRPr="0015206C">
        <w:rPr>
          <w:rFonts w:ascii="Times New Roman" w:eastAsia="Times New Roman" w:hAnsi="Times New Roman"/>
          <w:color w:val="FF0000"/>
          <w:sz w:val="24"/>
          <w:szCs w:val="24"/>
          <w:u w:val="single"/>
          <w:lang w:eastAsia="es-ES"/>
        </w:rPr>
        <w:t xml:space="preserve">Pero el mensaje es claro: sin cambios en la política, la actual crisis fiscal es solo una precursora a una crisis más larga y profunda en el futuro. </w:t>
      </w:r>
    </w:p>
    <w:p w:rsidR="00D446F8" w:rsidRPr="00C052A4"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C052A4">
        <w:rPr>
          <w:rFonts w:ascii="Times New Roman" w:eastAsia="Times New Roman" w:hAnsi="Times New Roman"/>
          <w:sz w:val="24"/>
          <w:szCs w:val="24"/>
          <w:lang w:eastAsia="es-ES"/>
        </w:rPr>
        <w:t>Los inversionistas necesitan tomar nota de qué gobiernos están adoptando medidas, y cuáles no.</w:t>
      </w:r>
    </w:p>
    <w:p w:rsidR="00892424" w:rsidRPr="0015206C" w:rsidRDefault="00892424"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Pr>
          <w:rFonts w:ascii="Times New Roman" w:eastAsia="Times New Roman" w:hAnsi="Times New Roman"/>
          <w:sz w:val="24"/>
          <w:szCs w:val="24"/>
          <w:u w:val="single"/>
          <w:lang w:eastAsia="es-ES"/>
        </w:rPr>
        <w:t xml:space="preserve">El peligro de la pirámide invertida: </w:t>
      </w:r>
      <w:r w:rsidR="00B02E56">
        <w:rPr>
          <w:rFonts w:ascii="Times New Roman" w:eastAsia="Times New Roman" w:hAnsi="Times New Roman"/>
          <w:sz w:val="24"/>
          <w:szCs w:val="24"/>
          <w:u w:val="single"/>
          <w:lang w:eastAsia="es-ES"/>
        </w:rPr>
        <w:t>solución (</w:t>
      </w:r>
      <w:r>
        <w:rPr>
          <w:rFonts w:ascii="Times New Roman" w:eastAsia="Times New Roman" w:hAnsi="Times New Roman"/>
          <w:sz w:val="24"/>
          <w:szCs w:val="24"/>
          <w:u w:val="single"/>
          <w:lang w:eastAsia="es-ES"/>
        </w:rPr>
        <w:t>lo dicho</w:t>
      </w:r>
      <w:r w:rsidR="00B02E56">
        <w:rPr>
          <w:rFonts w:ascii="Times New Roman" w:eastAsia="Times New Roman" w:hAnsi="Times New Roman"/>
          <w:sz w:val="24"/>
          <w:szCs w:val="24"/>
          <w:u w:val="single"/>
          <w:lang w:eastAsia="es-ES"/>
        </w:rPr>
        <w:t>)</w:t>
      </w:r>
      <w:r>
        <w:rPr>
          <w:rFonts w:ascii="Times New Roman" w:eastAsia="Times New Roman" w:hAnsi="Times New Roman"/>
          <w:sz w:val="24"/>
          <w:szCs w:val="24"/>
          <w:u w:val="single"/>
          <w:lang w:eastAsia="es-ES"/>
        </w:rPr>
        <w:t>, “eutanasia involuntaria pasiva”</w:t>
      </w:r>
    </w:p>
    <w:p w:rsidR="00D446F8" w:rsidRPr="00097979"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 </w:t>
      </w:r>
      <w:r w:rsidRPr="00097979">
        <w:rPr>
          <w:rFonts w:ascii="Times New Roman" w:eastAsia="Times New Roman" w:hAnsi="Times New Roman"/>
          <w:sz w:val="24"/>
          <w:szCs w:val="24"/>
          <w:u w:val="single"/>
          <w:lang w:eastAsia="es-ES"/>
        </w:rPr>
        <w:t xml:space="preserve">¿Qué pasará si la población sigue envejeciendo? Temor a un shock fiscal </w:t>
      </w:r>
      <w:r>
        <w:rPr>
          <w:rFonts w:ascii="Times New Roman" w:eastAsia="Times New Roman" w:hAnsi="Times New Roman"/>
          <w:sz w:val="24"/>
          <w:szCs w:val="24"/>
          <w:lang w:eastAsia="es-ES"/>
        </w:rPr>
        <w:t xml:space="preserve">(Negocios.com - </w:t>
      </w:r>
      <w:r w:rsidRPr="00097979">
        <w:rPr>
          <w:rFonts w:ascii="Times New Roman" w:eastAsia="Times New Roman" w:hAnsi="Times New Roman"/>
          <w:b/>
          <w:sz w:val="24"/>
          <w:szCs w:val="24"/>
          <w:lang w:eastAsia="es-ES"/>
        </w:rPr>
        <w:t>22/1/13</w:t>
      </w:r>
      <w:r>
        <w:rPr>
          <w:rFonts w:ascii="Times New Roman" w:eastAsia="Times New Roman" w:hAnsi="Times New Roman"/>
          <w:sz w:val="24"/>
          <w:szCs w:val="24"/>
          <w:lang w:eastAsia="es-ES"/>
        </w:rPr>
        <w:t>)</w:t>
      </w:r>
      <w:r w:rsidR="00892424">
        <w:rPr>
          <w:rFonts w:ascii="Times New Roman" w:eastAsia="Times New Roman" w:hAnsi="Times New Roman"/>
          <w:sz w:val="24"/>
          <w:szCs w:val="24"/>
          <w:lang w:eastAsia="es-ES"/>
        </w:rPr>
        <w:t xml:space="preserve">                                                                 Lectura recomendada</w:t>
      </w:r>
    </w:p>
    <w:p w:rsidR="00D446F8" w:rsidRPr="0015206C" w:rsidRDefault="00D446F8"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5206C">
        <w:rPr>
          <w:rFonts w:ascii="Times New Roman" w:eastAsia="Times New Roman" w:hAnsi="Times New Roman"/>
          <w:color w:val="FF0000"/>
          <w:sz w:val="24"/>
          <w:szCs w:val="24"/>
          <w:u w:val="single"/>
          <w:lang w:eastAsia="es-ES"/>
        </w:rPr>
        <w:t>La agencia de calificación crediticia Fitch Ratings calcula que el envejecimiento de la población tendrá un impacto en el PIB de España de ocho décimas en 2020 y del 4% de cara a</w:t>
      </w:r>
      <w:r w:rsidR="00892424">
        <w:rPr>
          <w:rFonts w:ascii="Times New Roman" w:eastAsia="Times New Roman" w:hAnsi="Times New Roman"/>
          <w:color w:val="FF0000"/>
          <w:sz w:val="24"/>
          <w:szCs w:val="24"/>
          <w:u w:val="single"/>
          <w:lang w:eastAsia="es-ES"/>
        </w:rPr>
        <w:t xml:space="preserve"> 2050, según recoge el informe “</w:t>
      </w:r>
      <w:r w:rsidRPr="0015206C">
        <w:rPr>
          <w:rFonts w:ascii="Times New Roman" w:eastAsia="Times New Roman" w:hAnsi="Times New Roman"/>
          <w:color w:val="FF0000"/>
          <w:sz w:val="24"/>
          <w:szCs w:val="24"/>
          <w:u w:val="single"/>
          <w:lang w:eastAsia="es-ES"/>
        </w:rPr>
        <w:t>Costes de envejecim</w:t>
      </w:r>
      <w:r w:rsidR="00892424">
        <w:rPr>
          <w:rFonts w:ascii="Times New Roman" w:eastAsia="Times New Roman" w:hAnsi="Times New Roman"/>
          <w:color w:val="FF0000"/>
          <w:sz w:val="24"/>
          <w:szCs w:val="24"/>
          <w:u w:val="single"/>
          <w:lang w:eastAsia="es-ES"/>
        </w:rPr>
        <w:t>iento: la segunda crisis fiscal”</w:t>
      </w:r>
      <w:r w:rsidRPr="0015206C">
        <w:rPr>
          <w:rFonts w:ascii="Times New Roman" w:eastAsia="Times New Roman" w:hAnsi="Times New Roman"/>
          <w:color w:val="FF0000"/>
          <w:sz w:val="24"/>
          <w:szCs w:val="24"/>
          <w:u w:val="single"/>
          <w:lang w:eastAsia="es-ES"/>
        </w:rPr>
        <w:t xml:space="preserve">. </w:t>
      </w:r>
    </w:p>
    <w:p w:rsidR="00D446F8" w:rsidRPr="0015206C" w:rsidRDefault="00D446F8"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097979">
        <w:rPr>
          <w:rFonts w:ascii="Times New Roman" w:eastAsia="Times New Roman" w:hAnsi="Times New Roman"/>
          <w:sz w:val="24"/>
          <w:szCs w:val="24"/>
          <w:lang w:eastAsia="es-ES"/>
        </w:rPr>
        <w:t xml:space="preserve">Fitch señala que, aunque una exitosa resolución de la actual crisis fiscal sigue siendo el factor más importante de los ratings de muchas economías avanzadas, </w:t>
      </w:r>
      <w:r w:rsidRPr="0015206C">
        <w:rPr>
          <w:rFonts w:ascii="Times New Roman" w:eastAsia="Times New Roman" w:hAnsi="Times New Roman"/>
          <w:sz w:val="24"/>
          <w:szCs w:val="24"/>
          <w:u w:val="single"/>
          <w:lang w:eastAsia="es-ES"/>
        </w:rPr>
        <w:t>sin nuevas reformas para hacer frente al impacto a largo plazo del envejecimiento de su población, estos pa</w:t>
      </w:r>
      <w:r w:rsidR="00892424">
        <w:rPr>
          <w:rFonts w:ascii="Times New Roman" w:eastAsia="Times New Roman" w:hAnsi="Times New Roman"/>
          <w:sz w:val="24"/>
          <w:szCs w:val="24"/>
          <w:u w:val="single"/>
          <w:lang w:eastAsia="es-ES"/>
        </w:rPr>
        <w:t>íses se enfrentan a un segundo “shock”</w:t>
      </w:r>
      <w:r w:rsidRPr="0015206C">
        <w:rPr>
          <w:rFonts w:ascii="Times New Roman" w:eastAsia="Times New Roman" w:hAnsi="Times New Roman"/>
          <w:sz w:val="24"/>
          <w:szCs w:val="24"/>
          <w:u w:val="single"/>
          <w:lang w:eastAsia="es-ES"/>
        </w:rPr>
        <w:t xml:space="preserve"> fiscal en el largo plazo. </w:t>
      </w:r>
    </w:p>
    <w:p w:rsidR="00D446F8" w:rsidRPr="0015206C" w:rsidRDefault="00D446F8"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sidRPr="0015206C">
        <w:rPr>
          <w:rFonts w:ascii="Times New Roman" w:eastAsia="Times New Roman" w:hAnsi="Times New Roman"/>
          <w:color w:val="FF0000"/>
          <w:sz w:val="24"/>
          <w:szCs w:val="24"/>
          <w:u w:val="single"/>
          <w:lang w:eastAsia="es-ES"/>
        </w:rPr>
        <w:t>En concreto, calcula que, sin la implementación de reformas mitigadoras, la mediana de los países analizados por la agencia prevé un impacto de seis décimas en el PIB en 2020 y del 4,9% en 2050.</w:t>
      </w:r>
    </w:p>
    <w:p w:rsidR="00D446F8" w:rsidRPr="0015206C" w:rsidRDefault="00D446F8"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15206C">
        <w:rPr>
          <w:rFonts w:ascii="Times New Roman" w:eastAsia="Times New Roman" w:hAnsi="Times New Roman"/>
          <w:sz w:val="24"/>
          <w:szCs w:val="24"/>
          <w:u w:val="single"/>
          <w:lang w:eastAsia="es-ES"/>
        </w:rPr>
        <w:t>Como consecuencia de este fenómeno, muchos de estos países experimentarían un aumento de los ratios de deuda pública respecto al PIB, situando la mediana del incremento en el 6,2% en 2020 y en 126,9% en 2050. En el caso de España, Fitch calcula que aumentará un 6,2% en 2020 y un 39,4% en 2050.</w:t>
      </w:r>
    </w:p>
    <w:p w:rsidR="00D446F8" w:rsidRPr="0015206C" w:rsidRDefault="00B02E56" w:rsidP="00550638">
      <w:pPr>
        <w:spacing w:before="100" w:beforeAutospacing="1" w:after="100" w:afterAutospacing="1" w:line="240" w:lineRule="auto"/>
        <w:jc w:val="both"/>
        <w:rPr>
          <w:rFonts w:ascii="Times New Roman" w:eastAsia="Times New Roman" w:hAnsi="Times New Roman"/>
          <w:color w:val="FF0000"/>
          <w:sz w:val="24"/>
          <w:szCs w:val="24"/>
          <w:u w:val="single"/>
          <w:lang w:eastAsia="es-ES"/>
        </w:rPr>
      </w:pPr>
      <w:r>
        <w:rPr>
          <w:rFonts w:ascii="Times New Roman" w:eastAsia="Times New Roman" w:hAnsi="Times New Roman"/>
          <w:color w:val="FF0000"/>
          <w:sz w:val="24"/>
          <w:szCs w:val="24"/>
          <w:u w:val="single"/>
          <w:lang w:eastAsia="es-ES"/>
        </w:rPr>
        <w:t>“</w:t>
      </w:r>
      <w:r w:rsidR="00D446F8" w:rsidRPr="0015206C">
        <w:rPr>
          <w:rFonts w:ascii="Times New Roman" w:eastAsia="Times New Roman" w:hAnsi="Times New Roman"/>
          <w:color w:val="FF0000"/>
          <w:sz w:val="24"/>
          <w:szCs w:val="24"/>
          <w:u w:val="single"/>
          <w:lang w:eastAsia="es-ES"/>
        </w:rPr>
        <w:t>Sin reformas para impulsar la productividad laboral y/o las tasas de participación en muchas otras economías avanzadas, el envejecimiento de la población llevará al potencial crecimiento del PIB a reducirse en el largo plazo</w:t>
      </w:r>
      <w:r>
        <w:rPr>
          <w:rFonts w:ascii="Times New Roman" w:eastAsia="Times New Roman" w:hAnsi="Times New Roman"/>
          <w:color w:val="FF0000"/>
          <w:sz w:val="24"/>
          <w:szCs w:val="24"/>
          <w:u w:val="single"/>
          <w:lang w:eastAsia="es-ES"/>
        </w:rPr>
        <w:t>, exacerbando el desafío fiscal”</w:t>
      </w:r>
      <w:r w:rsidR="00D446F8" w:rsidRPr="0015206C">
        <w:rPr>
          <w:rFonts w:ascii="Times New Roman" w:eastAsia="Times New Roman" w:hAnsi="Times New Roman"/>
          <w:color w:val="FF0000"/>
          <w:sz w:val="24"/>
          <w:szCs w:val="24"/>
          <w:u w:val="single"/>
          <w:lang w:eastAsia="es-ES"/>
        </w:rPr>
        <w:t xml:space="preserve">, advierte. </w:t>
      </w:r>
    </w:p>
    <w:p w:rsidR="00D446F8" w:rsidRPr="0015206C" w:rsidRDefault="00D446F8"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15206C">
        <w:rPr>
          <w:rFonts w:ascii="Times New Roman" w:eastAsia="Times New Roman" w:hAnsi="Times New Roman"/>
          <w:sz w:val="24"/>
          <w:szCs w:val="24"/>
          <w:u w:val="single"/>
          <w:lang w:eastAsia="es-ES"/>
        </w:rPr>
        <w:t>Pese a ello, reconoce que en el corto plazo pocos países se enfr</w:t>
      </w:r>
      <w:r w:rsidR="00B02E56">
        <w:rPr>
          <w:rFonts w:ascii="Times New Roman" w:eastAsia="Times New Roman" w:hAnsi="Times New Roman"/>
          <w:sz w:val="24"/>
          <w:szCs w:val="24"/>
          <w:u w:val="single"/>
          <w:lang w:eastAsia="es-ES"/>
        </w:rPr>
        <w:t>entan a un problema “inminente”</w:t>
      </w:r>
      <w:r w:rsidRPr="0015206C">
        <w:rPr>
          <w:rFonts w:ascii="Times New Roman" w:eastAsia="Times New Roman" w:hAnsi="Times New Roman"/>
          <w:sz w:val="24"/>
          <w:szCs w:val="24"/>
          <w:u w:val="single"/>
          <w:lang w:eastAsia="es-ES"/>
        </w:rPr>
        <w:t xml:space="preserve">, aunque apunta que, sin una gran reforma de las pensiones, rebajará los </w:t>
      </w:r>
      <w:r w:rsidRPr="0015206C">
        <w:rPr>
          <w:rFonts w:ascii="Times New Roman" w:eastAsia="Times New Roman" w:hAnsi="Times New Roman"/>
          <w:sz w:val="24"/>
          <w:szCs w:val="24"/>
          <w:u w:val="single"/>
          <w:lang w:eastAsia="es-ES"/>
        </w:rPr>
        <w:lastRenderedPageBreak/>
        <w:t>ratings de los países que se enfrentan a mayores previsiones de envejecimiento a lo largo de la próxima década, hasta en cinco escalones de aquí a 2050 en el caso de los que están en peor situación.</w:t>
      </w:r>
    </w:p>
    <w:p w:rsidR="00D446F8" w:rsidRPr="00B02E56"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B02E56">
        <w:rPr>
          <w:rFonts w:ascii="Times New Roman" w:eastAsia="Times New Roman" w:hAnsi="Times New Roman"/>
          <w:sz w:val="24"/>
          <w:szCs w:val="24"/>
          <w:lang w:eastAsia="es-ES"/>
        </w:rPr>
        <w:t>Según, los cálculos de la agencia, Japón, Irlanda y Chipre se enfrentan al mayor aumento de los costes de envejecimiento en la próxima década, mientras que Luxemburgo, Bélgica, Malta y Eslovenia sufrirán el mayor impacto en el muy largo plazo. De hecho, recuerda que la reforma de las pensiones fue uno de los factores por los que rebajó el rating de Eslovenia en 2011.</w:t>
      </w:r>
    </w:p>
    <w:p w:rsidR="00D446F8" w:rsidRPr="00B02E56" w:rsidRDefault="00D446F8" w:rsidP="00550638">
      <w:pPr>
        <w:spacing w:before="100" w:beforeAutospacing="1" w:after="100" w:afterAutospacing="1" w:line="240" w:lineRule="auto"/>
        <w:jc w:val="both"/>
        <w:rPr>
          <w:rFonts w:ascii="Times New Roman" w:eastAsia="Times New Roman" w:hAnsi="Times New Roman"/>
          <w:sz w:val="24"/>
          <w:szCs w:val="24"/>
          <w:lang w:eastAsia="es-ES"/>
        </w:rPr>
      </w:pPr>
      <w:r w:rsidRPr="00B02E56">
        <w:rPr>
          <w:rFonts w:ascii="Times New Roman" w:eastAsia="Times New Roman" w:hAnsi="Times New Roman"/>
          <w:sz w:val="24"/>
          <w:szCs w:val="24"/>
          <w:lang w:eastAsia="es-ES"/>
        </w:rPr>
        <w:t>La agencia hace referencia concreta a la situación de algunos países de la periferia de la eurozona, donde, a pesar del desafío fiscal al que se enfrentan, han demostrado el poder de las reformas en la transformación de las proyecciones a largo plazo.</w:t>
      </w:r>
    </w:p>
    <w:p w:rsidR="00D446F8" w:rsidRPr="00B02E56" w:rsidRDefault="003F4CB2" w:rsidP="00550638">
      <w:pPr>
        <w:spacing w:before="100" w:beforeAutospacing="1" w:after="100" w:afterAutospacing="1" w:line="240" w:lineRule="auto"/>
        <w:jc w:val="both"/>
        <w:rPr>
          <w:rFonts w:ascii="Times New Roman" w:eastAsia="Times New Roman" w:hAnsi="Times New Roman"/>
          <w:sz w:val="24"/>
          <w:szCs w:val="24"/>
          <w:lang w:eastAsia="es-ES"/>
        </w:rPr>
      </w:pPr>
      <w:r w:rsidRPr="00B02E56">
        <w:rPr>
          <w:rFonts w:ascii="Times New Roman" w:eastAsia="Times New Roman" w:hAnsi="Times New Roman"/>
          <w:sz w:val="24"/>
          <w:szCs w:val="24"/>
          <w:lang w:eastAsia="es-ES"/>
        </w:rPr>
        <w:t>“</w:t>
      </w:r>
      <w:r w:rsidR="00D446F8" w:rsidRPr="00B02E56">
        <w:rPr>
          <w:rFonts w:ascii="Times New Roman" w:eastAsia="Times New Roman" w:hAnsi="Times New Roman"/>
          <w:sz w:val="24"/>
          <w:szCs w:val="24"/>
          <w:lang w:eastAsia="es-ES"/>
        </w:rPr>
        <w:t>Las recientes reformas en Portugal, Italia y Grecia han neutralizado de forma eficaz el impacto a largo del envejecimiento de la pob</w:t>
      </w:r>
      <w:r w:rsidRPr="00B02E56">
        <w:rPr>
          <w:rFonts w:ascii="Times New Roman" w:eastAsia="Times New Roman" w:hAnsi="Times New Roman"/>
          <w:sz w:val="24"/>
          <w:szCs w:val="24"/>
          <w:lang w:eastAsia="es-ES"/>
        </w:rPr>
        <w:t>lación en sus finanzas públicas”, asegura.</w:t>
      </w:r>
    </w:p>
    <w:p w:rsidR="00D446F8" w:rsidRPr="00C052A4" w:rsidRDefault="003F4CB2" w:rsidP="00550638">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3E1E09">
        <w:rPr>
          <w:rFonts w:ascii="Times New Roman" w:eastAsia="Times New Roman" w:hAnsi="Times New Roman" w:cs="Times New Roman"/>
          <w:sz w:val="24"/>
          <w:szCs w:val="24"/>
          <w:u w:val="single"/>
          <w:lang w:eastAsia="es-ES"/>
        </w:rPr>
        <w:t>El país germano verá durante los próximos 50 años como su población mengua y envejece, lo que supondr</w:t>
      </w:r>
      <w:r w:rsidR="00C052A4">
        <w:rPr>
          <w:rFonts w:ascii="Times New Roman" w:eastAsia="Times New Roman" w:hAnsi="Times New Roman" w:cs="Times New Roman"/>
          <w:sz w:val="24"/>
          <w:szCs w:val="24"/>
          <w:u w:val="single"/>
          <w:lang w:eastAsia="es-ES"/>
        </w:rPr>
        <w:t>á su mayor problema demográfico (¿al geriátrico de Dachau?)</w:t>
      </w:r>
    </w:p>
    <w:p w:rsidR="00D446F8" w:rsidRPr="00C052A4" w:rsidRDefault="00C052A4"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i/>
          <w:sz w:val="24"/>
          <w:szCs w:val="24"/>
          <w:lang w:eastAsia="es-ES"/>
        </w:rPr>
        <w:t>“</w:t>
      </w:r>
      <w:r w:rsidR="00D446F8" w:rsidRPr="00C052A4">
        <w:rPr>
          <w:rFonts w:ascii="Times New Roman" w:eastAsia="Times New Roman" w:hAnsi="Times New Roman" w:cs="Times New Roman"/>
          <w:i/>
          <w:sz w:val="24"/>
          <w:szCs w:val="24"/>
          <w:lang w:eastAsia="es-ES"/>
        </w:rPr>
        <w:t xml:space="preserve">El envejecimiento y la reducción de la población de Alemania será el reto demográfico principal en las próximas décadas. Alemania tiene los índices de fertilidad más bajos de Europa, con 1,4 niños por mujer, bastante por debajo de los 2,1 niños por mujer considerados necesarios para mantener estables los niveles de población. Al mismo tiempo, la esperanza de vida es de 80 años, una de las más altas del continente según datos aportados por </w:t>
      </w:r>
      <w:r w:rsidR="00494A8D" w:rsidRPr="00C052A4">
        <w:rPr>
          <w:rFonts w:ascii="Times New Roman" w:eastAsia="Times New Roman" w:hAnsi="Times New Roman" w:cs="Times New Roman"/>
          <w:i/>
          <w:sz w:val="24"/>
          <w:szCs w:val="24"/>
          <w:lang w:eastAsia="es-ES"/>
        </w:rPr>
        <w:t>Stratford</w:t>
      </w:r>
      <w:r>
        <w:rPr>
          <w:rFonts w:ascii="Times New Roman" w:eastAsia="Times New Roman" w:hAnsi="Times New Roman" w:cs="Times New Roman"/>
          <w:i/>
          <w:sz w:val="24"/>
          <w:szCs w:val="24"/>
          <w:lang w:eastAsia="es-ES"/>
        </w:rPr>
        <w:t>”..</w:t>
      </w:r>
      <w:r w:rsidR="00D446F8" w:rsidRPr="00C052A4">
        <w:rPr>
          <w:rFonts w:ascii="Times New Roman" w:eastAsia="Times New Roman" w:hAnsi="Times New Roman" w:cs="Times New Roman"/>
          <w:i/>
          <w:sz w:val="24"/>
          <w:szCs w:val="24"/>
          <w:lang w:eastAsia="es-ES"/>
        </w:rPr>
        <w:t xml:space="preserve">. </w:t>
      </w:r>
      <w:r w:rsidRPr="00574E91">
        <w:rPr>
          <w:rFonts w:ascii="Times New Roman" w:eastAsia="Times New Roman" w:hAnsi="Times New Roman" w:cs="Times New Roman"/>
          <w:sz w:val="24"/>
          <w:szCs w:val="24"/>
          <w:u w:val="single"/>
          <w:lang w:eastAsia="es-ES"/>
        </w:rPr>
        <w:t>Alemania se hace vieja</w:t>
      </w:r>
      <w:r>
        <w:rPr>
          <w:rFonts w:ascii="Times New Roman" w:eastAsia="Times New Roman" w:hAnsi="Times New Roman" w:cs="Times New Roman"/>
          <w:sz w:val="24"/>
          <w:szCs w:val="24"/>
          <w:lang w:eastAsia="es-ES"/>
        </w:rPr>
        <w:t xml:space="preserve"> (Negocios.com - </w:t>
      </w:r>
      <w:r w:rsidRPr="00574E91">
        <w:rPr>
          <w:rFonts w:ascii="Times New Roman" w:eastAsia="Times New Roman" w:hAnsi="Times New Roman" w:cs="Times New Roman"/>
          <w:b/>
          <w:sz w:val="24"/>
          <w:szCs w:val="24"/>
          <w:lang w:eastAsia="es-ES"/>
        </w:rPr>
        <w:t>5/2/13</w:t>
      </w:r>
      <w:r>
        <w:rPr>
          <w:rFonts w:ascii="Times New Roman" w:eastAsia="Times New Roman" w:hAnsi="Times New Roman" w:cs="Times New Roman"/>
          <w:sz w:val="24"/>
          <w:szCs w:val="24"/>
          <w:lang w:eastAsia="es-ES"/>
        </w:rPr>
        <w:t>)</w:t>
      </w:r>
    </w:p>
    <w:p w:rsidR="00D446F8" w:rsidRPr="00C052A4" w:rsidRDefault="00D446F8"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052A4">
        <w:rPr>
          <w:rFonts w:ascii="Times New Roman" w:eastAsia="Times New Roman" w:hAnsi="Times New Roman" w:cs="Times New Roman"/>
          <w:sz w:val="24"/>
          <w:szCs w:val="24"/>
          <w:lang w:eastAsia="es-ES"/>
        </w:rPr>
        <w:t xml:space="preserve">Esta combinación de baja fertilidad y alta esperanza de vida tendrá dos consecuencias en Alemania. Primero, la población del país caerá desde los actuales 82 millones a cerca de 65 millones en medio siglo. En segundo lugar, su población envejecerá significativamente, algo que obligará a cambiar la estructura de su mano de obra. </w:t>
      </w:r>
    </w:p>
    <w:p w:rsidR="00D446F8" w:rsidRPr="00C052A4" w:rsidRDefault="00D446F8"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052A4">
        <w:rPr>
          <w:rFonts w:ascii="Times New Roman" w:eastAsia="Times New Roman" w:hAnsi="Times New Roman" w:cs="Times New Roman"/>
          <w:sz w:val="24"/>
          <w:szCs w:val="24"/>
          <w:lang w:eastAsia="es-ES"/>
        </w:rPr>
        <w:t>En 2010, Alemania contaba con unos 50 millones de habitantes entre los 20 y 65 años. Estadísticas oficiales prevén que la población de este grupo de gente descenderá a 36 millones en 2060, cuando más de la mitad de la población alemana sea mayor de 51 años.</w:t>
      </w:r>
    </w:p>
    <w:p w:rsidR="00D446F8" w:rsidRPr="00C052A4" w:rsidRDefault="00D446F8"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052A4">
        <w:rPr>
          <w:rFonts w:ascii="Times New Roman" w:eastAsia="Times New Roman" w:hAnsi="Times New Roman" w:cs="Times New Roman"/>
          <w:sz w:val="24"/>
          <w:szCs w:val="24"/>
          <w:lang w:eastAsia="es-ES"/>
        </w:rPr>
        <w:t>Este proceso de una población que envejece y mengua supone retos sustanciales para el país germano. En primer lugar tendrá que encontrar una manera de continuar con sus altas tasas de productividad con una mano de obra envejecida. El gobierno teutón también necesitará aprobar difíciles cambios que afectarán a la seguridad social y a los sistemas de pensiones. Esos cambios ya están creando controversia en el resto de países europeos, como en España.</w:t>
      </w:r>
    </w:p>
    <w:p w:rsidR="00D446F8" w:rsidRPr="00C052A4" w:rsidRDefault="00D446F8"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052A4">
        <w:rPr>
          <w:rFonts w:ascii="Times New Roman" w:eastAsia="Times New Roman" w:hAnsi="Times New Roman" w:cs="Times New Roman"/>
          <w:sz w:val="24"/>
          <w:szCs w:val="24"/>
          <w:lang w:eastAsia="es-ES"/>
        </w:rPr>
        <w:t xml:space="preserve">Atraer inmigrantes podría mitigar los efectos del envejecimiento de la población, pero la llegada de trabajadores extranjeros no parece eficaz contra el descenso de población. Incluso si Alemania se las arregla para atraer unos 200.000 trabajadores foráneos al año, su población descenderá igualmente durante los próximos 50 años. Además, la llegada masiva de inmigrantes lleva implícito el riesgo de generar malestar social en la población nativa. </w:t>
      </w:r>
    </w:p>
    <w:p w:rsidR="00D446F8" w:rsidRDefault="00D446F8"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C052A4">
        <w:rPr>
          <w:rFonts w:ascii="Times New Roman" w:eastAsia="Times New Roman" w:hAnsi="Times New Roman" w:cs="Times New Roman"/>
          <w:sz w:val="24"/>
          <w:szCs w:val="24"/>
          <w:lang w:eastAsia="es-ES"/>
        </w:rPr>
        <w:lastRenderedPageBreak/>
        <w:t>El cambio demográfico alemán también tendrá efectos económicos. Se prevé que Alemania perderá su superávit comercial en 2030 a causa del descenso de exportaciones a causa de una menor producción y el aumento de importaciones a causa de los jubilados. Sea como sea, el PIB germano crecerá a causa del descenso de la población.</w:t>
      </w:r>
    </w:p>
    <w:p w:rsidR="00300FCB" w:rsidRPr="00300FCB" w:rsidRDefault="00300FCB" w:rsidP="00550638">
      <w:pPr>
        <w:pStyle w:val="NormalWeb"/>
        <w:jc w:val="both"/>
        <w:rPr>
          <w:u w:val="single"/>
        </w:rPr>
      </w:pPr>
      <w:r w:rsidRPr="00300FCB">
        <w:rPr>
          <w:iCs/>
          <w:u w:val="single"/>
        </w:rPr>
        <w:t>Contrarian Business Week</w:t>
      </w:r>
      <w:r>
        <w:rPr>
          <w:iCs/>
          <w:u w:val="single"/>
        </w:rPr>
        <w:t>:</w:t>
      </w:r>
      <w:r w:rsidRPr="00300FCB">
        <w:rPr>
          <w:b/>
          <w:u w:val="single"/>
        </w:rPr>
        <w:t xml:space="preserve"> </w:t>
      </w:r>
      <w:r w:rsidRPr="00300FCB">
        <w:rPr>
          <w:u w:val="single"/>
        </w:rPr>
        <w:t>¿Celebrar el envejecimiento mundial?</w:t>
      </w:r>
      <w:r>
        <w:rPr>
          <w:u w:val="single"/>
        </w:rPr>
        <w:t xml:space="preserve"> </w:t>
      </w:r>
    </w:p>
    <w:p w:rsidR="00FA4301" w:rsidRDefault="00FA4301"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6D7D68">
        <w:rPr>
          <w:rFonts w:ascii="Times New Roman" w:eastAsia="Times New Roman" w:hAnsi="Times New Roman" w:cs="Times New Roman"/>
          <w:sz w:val="24"/>
          <w:szCs w:val="24"/>
          <w:u w:val="single"/>
          <w:lang w:eastAsia="es-ES"/>
        </w:rPr>
        <w:t>El envejecimiento global puede ser exactamente lo que el mundo necesita</w:t>
      </w:r>
      <w:r>
        <w:rPr>
          <w:rFonts w:ascii="Times New Roman" w:eastAsia="Times New Roman" w:hAnsi="Times New Roman" w:cs="Times New Roman"/>
          <w:sz w:val="24"/>
          <w:szCs w:val="24"/>
          <w:lang w:eastAsia="es-ES"/>
        </w:rPr>
        <w:t xml:space="preserve"> (El Economista - </w:t>
      </w:r>
      <w:r>
        <w:rPr>
          <w:rFonts w:ascii="Times New Roman" w:eastAsia="Times New Roman" w:hAnsi="Times New Roman" w:cs="Times New Roman"/>
          <w:b/>
          <w:sz w:val="24"/>
          <w:szCs w:val="24"/>
          <w:lang w:eastAsia="es-ES"/>
        </w:rPr>
        <w:t>11</w:t>
      </w:r>
      <w:r w:rsidRPr="006D7D68">
        <w:rPr>
          <w:rFonts w:ascii="Times New Roman" w:eastAsia="Times New Roman" w:hAnsi="Times New Roman" w:cs="Times New Roman"/>
          <w:b/>
          <w:sz w:val="24"/>
          <w:szCs w:val="24"/>
          <w:lang w:eastAsia="es-ES"/>
        </w:rPr>
        <w:t>/2/13</w:t>
      </w:r>
      <w:r>
        <w:rPr>
          <w:rFonts w:ascii="Times New Roman" w:eastAsia="Times New Roman" w:hAnsi="Times New Roman" w:cs="Times New Roman"/>
          <w:sz w:val="24"/>
          <w:szCs w:val="24"/>
          <w:lang w:eastAsia="es-ES"/>
        </w:rPr>
        <w:t>)</w:t>
      </w:r>
      <w:r w:rsidR="00300FCB">
        <w:rPr>
          <w:rFonts w:ascii="Times New Roman" w:eastAsia="Times New Roman" w:hAnsi="Times New Roman" w:cs="Times New Roman"/>
          <w:sz w:val="24"/>
          <w:szCs w:val="24"/>
          <w:lang w:eastAsia="es-ES"/>
        </w:rPr>
        <w:t xml:space="preserve">                                                                       Lectura recomendada</w:t>
      </w:r>
    </w:p>
    <w:p w:rsidR="00FA4301" w:rsidRPr="008F13A1" w:rsidRDefault="00FA4301" w:rsidP="00550638">
      <w:pPr>
        <w:pStyle w:val="NormalWeb"/>
        <w:jc w:val="both"/>
        <w:rPr>
          <w:color w:val="FF0000"/>
          <w:u w:val="single"/>
        </w:rPr>
      </w:pPr>
      <w:r w:rsidRPr="008F13A1">
        <w:rPr>
          <w:color w:val="FF0000"/>
          <w:u w:val="single"/>
        </w:rPr>
        <w:t xml:space="preserve">El fenómeno del envejecimiento de la población mundial, especialmente en los países desarrollados, casi siempre se ha analizado desde una perspectiva negativa, cuando no maltusiana. Sin embargo, esta </w:t>
      </w:r>
      <w:r w:rsidR="007C79DA">
        <w:rPr>
          <w:color w:val="FF0000"/>
          <w:u w:val="single"/>
        </w:rPr>
        <w:t>“</w:t>
      </w:r>
      <w:r w:rsidRPr="007C79DA">
        <w:rPr>
          <w:iCs/>
          <w:color w:val="FF0000"/>
          <w:u w:val="single"/>
        </w:rPr>
        <w:t>recesión reproductiva</w:t>
      </w:r>
      <w:r w:rsidR="007C79DA">
        <w:rPr>
          <w:iCs/>
          <w:color w:val="FF0000"/>
          <w:u w:val="single"/>
        </w:rPr>
        <w:t>”</w:t>
      </w:r>
      <w:r w:rsidRPr="008F13A1">
        <w:rPr>
          <w:color w:val="FF0000"/>
          <w:u w:val="single"/>
        </w:rPr>
        <w:t xml:space="preserve">, lejos de ser una amenaza, puede ser exactamente lo que el mundo necesita, según recoge la revista </w:t>
      </w:r>
      <w:r w:rsidRPr="008F13A1">
        <w:rPr>
          <w:i/>
          <w:iCs/>
          <w:color w:val="FF0000"/>
          <w:u w:val="single"/>
        </w:rPr>
        <w:t>Business Week</w:t>
      </w:r>
      <w:r w:rsidRPr="008F13A1">
        <w:rPr>
          <w:color w:val="FF0000"/>
          <w:u w:val="single"/>
        </w:rPr>
        <w:t>.</w:t>
      </w:r>
    </w:p>
    <w:p w:rsidR="00FA4301" w:rsidRDefault="00FA4301" w:rsidP="00550638">
      <w:pPr>
        <w:pStyle w:val="NormalWeb"/>
        <w:jc w:val="both"/>
      </w:pPr>
      <w:r>
        <w:t xml:space="preserve">Los datos oficiales son elocuentes. A nivel mundial, en 1970, una mujer tenía de media 4,7 hijos durante su vida, cifra que en 2011 cayó a 2,5. Esta tendencia se ha dado en todo el mundo, y si bien es más clara en Occidente, la región más fértil del planeta, el África subsahariana, también ha visto </w:t>
      </w:r>
      <w:r w:rsidR="00494A8D">
        <w:t>cómo</w:t>
      </w:r>
      <w:r>
        <w:t xml:space="preserve"> se reducía su natalidad: de 6,7 hijos por mujer en 1980 a 4,9 hijos en 2010, según recoge la revista, que destaca además que los nacimientos entre mujeres de menos de 20 años han caído un 20% en lo que llevamos de siglo XXI. </w:t>
      </w:r>
    </w:p>
    <w:p w:rsidR="00FA4301" w:rsidRDefault="00FA4301" w:rsidP="00550638">
      <w:pPr>
        <w:pStyle w:val="NormalWeb"/>
        <w:jc w:val="both"/>
      </w:pPr>
      <w:r>
        <w:t xml:space="preserve">Esta caída de la natalidad, junto a la mayor esperanza de vida global ha hecho asimismo que el mundo vea que su edad media crezca rápidamente. En 1980, esta edad era de 23 años, según la ONU, mientras que en 2050 se espera que sea de 38 años. En 1970, la mitad de la población tenía menos de 20 años, mientras que en 2011 apenas es un tercio. Al mismo tiempo, se espera que el 20% de la población sea mayor de 65 años en 2050. </w:t>
      </w:r>
    </w:p>
    <w:p w:rsidR="00FA4301" w:rsidRPr="008F13A1" w:rsidRDefault="00FA4301" w:rsidP="00550638">
      <w:pPr>
        <w:pStyle w:val="NormalWeb"/>
        <w:jc w:val="both"/>
        <w:rPr>
          <w:u w:val="single"/>
        </w:rPr>
      </w:pPr>
      <w:r w:rsidRPr="008F13A1">
        <w:rPr>
          <w:u w:val="single"/>
        </w:rPr>
        <w:t>A pesar d</w:t>
      </w:r>
      <w:r w:rsidR="00300FCB">
        <w:rPr>
          <w:u w:val="single"/>
        </w:rPr>
        <w:t>e los desafíos, esta situación “también es causa de celebración”</w:t>
      </w:r>
      <w:r w:rsidRPr="008F13A1">
        <w:rPr>
          <w:u w:val="single"/>
        </w:rPr>
        <w:t xml:space="preserve">, defiende Bloomberg. Por una parte, refleja que está creciendo la igualdad entre hombres y mujeres, ya que estas normalmente quieren tener menos hijos que los hombres. Una de las razones es que los hijos, hoy en día, tienen más posibilidades de sobrevivir y prosperar. La mejor educación a todos los niveles también es un factor a tener en cuenta. </w:t>
      </w:r>
    </w:p>
    <w:p w:rsidR="00FA4301" w:rsidRDefault="00FA4301" w:rsidP="00550638">
      <w:pPr>
        <w:pStyle w:val="NormalWeb"/>
        <w:jc w:val="both"/>
      </w:pPr>
      <w:r w:rsidRPr="008F13A1">
        <w:rPr>
          <w:color w:val="FF0000"/>
          <w:u w:val="single"/>
        </w:rPr>
        <w:t>Además, el secreto de la riqueza no es tener más gente joven, sino gente más productiva. Las economías pueden seguir creciendo si se centran en la productividad de aquellos dispuestos y preparados para trabajar</w:t>
      </w:r>
      <w:r>
        <w:t xml:space="preserve">. </w:t>
      </w:r>
      <w:r w:rsidRPr="00300FCB">
        <w:rPr>
          <w:iCs/>
        </w:rPr>
        <w:t>Bloomberg</w:t>
      </w:r>
      <w:r w:rsidRPr="00300FCB">
        <w:t xml:space="preserve"> </w:t>
      </w:r>
      <w:r>
        <w:t xml:space="preserve">asegura que a nivel global todavía hay mucha capacidad en el mercado laboral, y los países en los que todavía sigue creciendo la población pueden inmigrar y llevar el vacío de los países desarrollados en los que no hay suficientes nacimientos. </w:t>
      </w:r>
    </w:p>
    <w:p w:rsidR="00FA4301" w:rsidRDefault="00FA4301" w:rsidP="00550638">
      <w:pPr>
        <w:pStyle w:val="NormalWeb"/>
        <w:jc w:val="both"/>
      </w:pPr>
      <w:r>
        <w:t xml:space="preserve">De hecho, en muchos países como la India el empleo informal ocupa casi al 75% de los trabajadores, donde la productividad es mucho menor. Sin embargo, con trabajadores más cualificados los países pueden generar más riqueza con poblaciones menores. </w:t>
      </w:r>
    </w:p>
    <w:p w:rsidR="00FA4301" w:rsidRPr="008F13A1" w:rsidRDefault="00FA4301" w:rsidP="00550638">
      <w:pPr>
        <w:pStyle w:val="NormalWeb"/>
        <w:jc w:val="both"/>
        <w:rPr>
          <w:color w:val="FF0000"/>
          <w:u w:val="single"/>
        </w:rPr>
      </w:pPr>
      <w:r w:rsidRPr="008F13A1">
        <w:rPr>
          <w:color w:val="FF0000"/>
          <w:u w:val="single"/>
        </w:rPr>
        <w:t xml:space="preserve">Otro aspecto en el que el envejecimiento y el estancamiento de la población </w:t>
      </w:r>
      <w:r w:rsidR="00300FCB" w:rsidRPr="008F13A1">
        <w:rPr>
          <w:color w:val="FF0000"/>
          <w:u w:val="single"/>
        </w:rPr>
        <w:t>pueden</w:t>
      </w:r>
      <w:r w:rsidRPr="008F13A1">
        <w:rPr>
          <w:color w:val="FF0000"/>
          <w:u w:val="single"/>
        </w:rPr>
        <w:t xml:space="preserve"> ser muy </w:t>
      </w:r>
      <w:r w:rsidR="00300FCB" w:rsidRPr="008F13A1">
        <w:rPr>
          <w:color w:val="FF0000"/>
          <w:u w:val="single"/>
        </w:rPr>
        <w:t>positivos</w:t>
      </w:r>
      <w:r w:rsidRPr="008F13A1">
        <w:rPr>
          <w:color w:val="FF0000"/>
          <w:u w:val="single"/>
        </w:rPr>
        <w:t xml:space="preserve"> a nivel global es el cambio climático. El 10% más rico del planeta, que gasta 100 veces más al año que el 10% más pobre, es asimismo responsable de gran </w:t>
      </w:r>
      <w:r w:rsidRPr="008F13A1">
        <w:rPr>
          <w:color w:val="FF0000"/>
          <w:u w:val="single"/>
        </w:rPr>
        <w:lastRenderedPageBreak/>
        <w:t xml:space="preserve">parte de los problemas medioambientales. Actualmente, el mayor problema para combatirlo es dar a todo el mundo unos niveles de bienestar, algo que con una población estable sería más fácil de conseguir. </w:t>
      </w:r>
    </w:p>
    <w:p w:rsidR="00FA4301" w:rsidRPr="008F13A1" w:rsidRDefault="00FA4301" w:rsidP="00550638">
      <w:pPr>
        <w:pStyle w:val="NormalWeb"/>
        <w:jc w:val="both"/>
        <w:rPr>
          <w:color w:val="FF0000"/>
          <w:u w:val="single"/>
        </w:rPr>
      </w:pPr>
      <w:r w:rsidRPr="008F13A1">
        <w:rPr>
          <w:color w:val="FF0000"/>
          <w:u w:val="single"/>
        </w:rPr>
        <w:t xml:space="preserve">Un último aspecto positivo es la mayor paz. Los jóvenes, estadísticamente hablando, tienen una mayor propensión a los crímenes violentos que los mayores. </w:t>
      </w:r>
    </w:p>
    <w:p w:rsidR="00FA4301" w:rsidRDefault="00FA4301" w:rsidP="00550638">
      <w:pPr>
        <w:pStyle w:val="NormalWeb"/>
        <w:jc w:val="both"/>
      </w:pPr>
      <w:r>
        <w:t>Por todo ello, puede resultar positivo, especialmente en temas como la igualdad de la mujer o la salud pública, aunque los desafíos son conocidos, especialmente para las industrias que o bien dan servicios a los jóvenes o bien dan servicios a los adultos. Por ejemplo, colegios, q</w:t>
      </w:r>
      <w:r w:rsidR="00090562">
        <w:t>ue verán reducido el número de “clientes”</w:t>
      </w:r>
      <w:r>
        <w:t xml:space="preserve">. </w:t>
      </w:r>
    </w:p>
    <w:p w:rsidR="00FA4301" w:rsidRDefault="00FA4301" w:rsidP="00550638">
      <w:pPr>
        <w:pStyle w:val="NormalWeb"/>
        <w:jc w:val="both"/>
        <w:rPr>
          <w:color w:val="FF0000"/>
          <w:u w:val="single"/>
        </w:rPr>
      </w:pPr>
      <w:r w:rsidRPr="008F13A1">
        <w:rPr>
          <w:color w:val="FF0000"/>
          <w:u w:val="single"/>
        </w:rPr>
        <w:t>Pero sin duda, el principal es el gasto en personas mayores y pensiones. Una consecuencia que parece inevitable: o se dispara esta partida o los jubilados verán que su nivel de vida cae considerablemente.</w:t>
      </w:r>
    </w:p>
    <w:p w:rsidR="00120553" w:rsidRPr="00120553" w:rsidRDefault="00120553" w:rsidP="00550638">
      <w:pPr>
        <w:pStyle w:val="NormalWeb"/>
        <w:jc w:val="both"/>
        <w:rPr>
          <w:u w:val="single"/>
        </w:rPr>
      </w:pPr>
      <w:r>
        <w:rPr>
          <w:u w:val="single"/>
        </w:rPr>
        <w:t>El modelo sueco: un sistema de pensiones de “cuentas nocionales”</w:t>
      </w:r>
    </w:p>
    <w:p w:rsidR="00FA4301" w:rsidRDefault="00FA4301" w:rsidP="00550638">
      <w:pPr>
        <w:pStyle w:val="NormalWeb"/>
        <w:jc w:val="both"/>
      </w:pPr>
      <w:r>
        <w:t xml:space="preserve">- </w:t>
      </w:r>
      <w:r w:rsidRPr="006158CE">
        <w:rPr>
          <w:u w:val="single"/>
        </w:rPr>
        <w:t>La reforma de las pensiones de la que no se habla</w:t>
      </w:r>
      <w:r>
        <w:t xml:space="preserve"> (Libertad Digital - </w:t>
      </w:r>
      <w:r w:rsidRPr="006158CE">
        <w:rPr>
          <w:b/>
        </w:rPr>
        <w:t>25/4/13</w:t>
      </w:r>
      <w:r>
        <w:t>)</w:t>
      </w:r>
    </w:p>
    <w:p w:rsidR="00FA4301" w:rsidRDefault="00FA4301" w:rsidP="00550638">
      <w:pPr>
        <w:pStyle w:val="NormalWeb"/>
        <w:jc w:val="both"/>
      </w:pPr>
      <w:r>
        <w:t>Este modelo mantiene el reparto intergeneracional, pero incluye mecanismos de ajustes y busca equilibrar cotizaciones y derechos adquiridos.</w:t>
      </w:r>
    </w:p>
    <w:p w:rsidR="00FA4301" w:rsidRDefault="00FA4301" w:rsidP="00550638">
      <w:pPr>
        <w:pStyle w:val="NormalWeb"/>
        <w:jc w:val="both"/>
      </w:pPr>
      <w:r>
        <w:t>(Por D.</w:t>
      </w:r>
      <w:r w:rsidR="00494A8D">
        <w:t xml:space="preserve"> </w:t>
      </w:r>
      <w:r>
        <w:t>Soriano)</w:t>
      </w:r>
      <w:r w:rsidR="00120553">
        <w:t xml:space="preserve">                                                 </w:t>
      </w:r>
      <w:r w:rsidR="00494A8D">
        <w:t xml:space="preserve">                               </w:t>
      </w:r>
      <w:r w:rsidR="00120553">
        <w:t>Lectura recomendada</w:t>
      </w:r>
    </w:p>
    <w:p w:rsidR="00FA4301" w:rsidRPr="00623239" w:rsidRDefault="00120553" w:rsidP="00550638">
      <w:pPr>
        <w:pStyle w:val="NormalWeb"/>
        <w:jc w:val="both"/>
        <w:rPr>
          <w:u w:val="single"/>
        </w:rPr>
      </w:pPr>
      <w:r w:rsidRPr="00E066B7">
        <w:t>Un sistema de pensiones de “cuentas nocionales”.</w:t>
      </w:r>
      <w:r w:rsidR="00FA4301" w:rsidRPr="006158CE">
        <w:t xml:space="preserve"> Puede que a la mayoría de los españoles este nombre les suene a chino, pero a partir de ahora quizás empiecen a escucharlo mucho más a menudo. </w:t>
      </w:r>
      <w:r w:rsidR="00FA4301" w:rsidRPr="00623239">
        <w:rPr>
          <w:u w:val="single"/>
        </w:rPr>
        <w:t xml:space="preserve">Numerosos expertos creen que es la única salida para salvar el actual modelo de reparto. En </w:t>
      </w:r>
      <w:r w:rsidR="00FA4301" w:rsidRPr="00E066B7">
        <w:rPr>
          <w:rStyle w:val="Textoennegrita"/>
          <w:b w:val="0"/>
          <w:u w:val="single"/>
        </w:rPr>
        <w:t>Suecia, ya se puso en marcha hace más de una década</w:t>
      </w:r>
      <w:r w:rsidR="00FA4301" w:rsidRPr="00E066B7">
        <w:rPr>
          <w:b/>
          <w:u w:val="single"/>
        </w:rPr>
        <w:t>,</w:t>
      </w:r>
      <w:r w:rsidR="00FA4301" w:rsidRPr="00623239">
        <w:rPr>
          <w:u w:val="single"/>
        </w:rPr>
        <w:t xml:space="preserve"> y otros países europeos están caminando en esa dirección. En España, los políticos han esquivado el tema, pero cada día será más complicado no hacerle frente.</w:t>
      </w:r>
    </w:p>
    <w:p w:rsidR="00FA4301" w:rsidRPr="00120553" w:rsidRDefault="00FA4301" w:rsidP="00550638">
      <w:pPr>
        <w:pStyle w:val="NormalWeb"/>
        <w:jc w:val="both"/>
      </w:pPr>
      <w:r w:rsidRPr="006158CE">
        <w:t xml:space="preserve">Este viernes, el Consejo de Ministros tiene por delante una de sus reuniones más esperadas. El Gobierno presentará su </w:t>
      </w:r>
      <w:hyperlink r:id="rId571" w:history="1">
        <w:r w:rsidRPr="00120553">
          <w:rPr>
            <w:rStyle w:val="Hipervnculo"/>
            <w:rFonts w:eastAsiaTheme="majorEastAsia"/>
            <w:color w:val="auto"/>
          </w:rPr>
          <w:t>segundo plan de reformas</w:t>
        </w:r>
      </w:hyperlink>
      <w:r w:rsidRPr="00120553">
        <w:t>, con las medidas que ha pactado en Bruselas para, teóricamente,</w:t>
      </w:r>
      <w:r w:rsidR="00120553">
        <w:rPr>
          <w:rStyle w:val="Textoennegrita"/>
        </w:rPr>
        <w:t xml:space="preserve"> </w:t>
      </w:r>
      <w:r w:rsidR="00120553" w:rsidRPr="00E066B7">
        <w:rPr>
          <w:rStyle w:val="Textoennegrita"/>
          <w:b w:val="0"/>
        </w:rPr>
        <w:t>impulsar el “</w:t>
      </w:r>
      <w:r w:rsidRPr="00E066B7">
        <w:rPr>
          <w:rStyle w:val="Textoennegrita"/>
          <w:b w:val="0"/>
        </w:rPr>
        <w:t>crecimiento económico y la creación de empleo</w:t>
      </w:r>
      <w:r w:rsidR="00120553" w:rsidRPr="00E066B7">
        <w:rPr>
          <w:b/>
        </w:rPr>
        <w:t>”</w:t>
      </w:r>
      <w:r w:rsidRPr="00120553">
        <w:t xml:space="preserve">. Y de entre todos los anuncios, quizás el que más expectación ha levantado ha sido el de la posible </w:t>
      </w:r>
      <w:hyperlink r:id="rId572" w:history="1">
        <w:r w:rsidRPr="00120553">
          <w:rPr>
            <w:rStyle w:val="Hipervnculo"/>
            <w:rFonts w:eastAsiaTheme="majorEastAsia"/>
            <w:color w:val="auto"/>
          </w:rPr>
          <w:t>reforma de las pensiones</w:t>
        </w:r>
      </w:hyperlink>
      <w:r w:rsidRPr="00120553">
        <w:t>. En principio, no debería haber novedades sobre las prestaciones actuales; más bien, lo que se planteará es un esquema a medio plazo, para modificar el sistema de pensiones actual y hacerlo "sostenible", quizás el adjetivo más utilizado por los políticos cuando hablan de esta cuestión.</w:t>
      </w:r>
    </w:p>
    <w:p w:rsidR="00FA4301" w:rsidRPr="00120553" w:rsidRDefault="00FA4301" w:rsidP="00550638">
      <w:pPr>
        <w:pStyle w:val="NormalWeb"/>
        <w:jc w:val="both"/>
        <w:rPr>
          <w:u w:val="single"/>
        </w:rPr>
      </w:pPr>
      <w:r w:rsidRPr="00120553">
        <w:rPr>
          <w:u w:val="single"/>
        </w:rPr>
        <w:t xml:space="preserve">Hasta ahora, todo lo que se ha hecho son retoques sobre un modelo que casi todos los expertos advierten que está </w:t>
      </w:r>
      <w:hyperlink r:id="rId573" w:history="1">
        <w:r w:rsidRPr="00120553">
          <w:rPr>
            <w:rStyle w:val="Hipervnculo"/>
            <w:rFonts w:eastAsiaTheme="majorEastAsia"/>
            <w:color w:val="auto"/>
          </w:rPr>
          <w:t>al borde de su capacidad de aguante</w:t>
        </w:r>
      </w:hyperlink>
      <w:r w:rsidRPr="00120553">
        <w:rPr>
          <w:u w:val="single"/>
        </w:rPr>
        <w:t xml:space="preserve">, quizás no ahora, pero sí a medio plazo (y los cambios en pensiones hay que hacerlos a una década vista). De esta manera, </w:t>
      </w:r>
      <w:r w:rsidRPr="00E066B7">
        <w:rPr>
          <w:rStyle w:val="Textoennegrita"/>
          <w:b w:val="0"/>
          <w:u w:val="single"/>
        </w:rPr>
        <w:t>subir a los 67 años la edad de jubilación o cambiar las reglas</w:t>
      </w:r>
      <w:r w:rsidRPr="00120553">
        <w:rPr>
          <w:u w:val="single"/>
        </w:rPr>
        <w:t xml:space="preserve"> para el período de cálculo son sólo un parc</w:t>
      </w:r>
      <w:r w:rsidR="00120553">
        <w:rPr>
          <w:u w:val="single"/>
        </w:rPr>
        <w:t>he, lo que los expertos llaman “cambios paramétricos”</w:t>
      </w:r>
      <w:r w:rsidRPr="00120553">
        <w:rPr>
          <w:u w:val="single"/>
        </w:rPr>
        <w:t>.</w:t>
      </w:r>
    </w:p>
    <w:p w:rsidR="00FA4301" w:rsidRPr="00120553" w:rsidRDefault="00FA4301" w:rsidP="00550638">
      <w:pPr>
        <w:pStyle w:val="NormalWeb"/>
        <w:jc w:val="both"/>
      </w:pPr>
      <w:r w:rsidRPr="00120553">
        <w:lastRenderedPageBreak/>
        <w:t xml:space="preserve">Hace unas semanas, la patronal de las aseguradoras, </w:t>
      </w:r>
      <w:hyperlink r:id="rId574" w:history="1">
        <w:r w:rsidRPr="00120553">
          <w:rPr>
            <w:rStyle w:val="Hipervnculo"/>
            <w:rFonts w:eastAsiaTheme="majorEastAsia"/>
            <w:color w:val="auto"/>
          </w:rPr>
          <w:t>Unespa</w:t>
        </w:r>
      </w:hyperlink>
      <w:r w:rsidRPr="00120553">
        <w:t xml:space="preserve">, presentó </w:t>
      </w:r>
      <w:hyperlink r:id="rId575" w:history="1">
        <w:r w:rsidRPr="00120553">
          <w:rPr>
            <w:rStyle w:val="Hipervnculo"/>
            <w:rFonts w:eastAsiaTheme="majorEastAsia"/>
            <w:color w:val="auto"/>
          </w:rPr>
          <w:t>un documento</w:t>
        </w:r>
      </w:hyperlink>
      <w:r w:rsidRPr="00120553">
        <w:t xml:space="preserve"> que podría muy bien servir de base para esa reforma en profundidad del sistema: </w:t>
      </w:r>
      <w:r w:rsidRPr="00120553">
        <w:rPr>
          <w:rStyle w:val="nfasis"/>
        </w:rPr>
        <w:t>Un sistema de cuentas nocionales para España. Por un sistema de pensiones solidario, sostenible y transparente</w:t>
      </w:r>
      <w:r w:rsidRPr="00120553">
        <w:t xml:space="preserve"> y está realizado por un grupo consultivo encabezado por el exministro socialista Juan Manuel Eguiagaray, y que se completa con Rafael Doménech, José María Fidalgo, José Luis Leal Maldonado, Víctor Pérez Díaz y Felipe Serrano. De hecho, la presencia de estas personalidades es especialmente significativa. No sólo son algunos de los expertos más reconocidos en la materia, sino que </w:t>
      </w:r>
      <w:r w:rsidRPr="00E066B7">
        <w:rPr>
          <w:rStyle w:val="Textoennegrita"/>
          <w:b w:val="0"/>
        </w:rPr>
        <w:t xml:space="preserve">varios de ellos forman parte del </w:t>
      </w:r>
      <w:hyperlink r:id="rId576" w:history="1">
        <w:r w:rsidRPr="00253E1A">
          <w:rPr>
            <w:rStyle w:val="Hipervnculo"/>
            <w:rFonts w:eastAsiaTheme="majorEastAsia"/>
            <w:color w:val="auto"/>
          </w:rPr>
          <w:t>Comité</w:t>
        </w:r>
      </w:hyperlink>
      <w:r w:rsidRPr="00253E1A">
        <w:rPr>
          <w:rStyle w:val="Textoennegrita"/>
        </w:rPr>
        <w:t xml:space="preserve"> </w:t>
      </w:r>
      <w:r w:rsidRPr="00E066B7">
        <w:rPr>
          <w:rStyle w:val="Textoennegrita"/>
          <w:b w:val="0"/>
        </w:rPr>
        <w:t>sobre el factor de sostenibilidad</w:t>
      </w:r>
      <w:r w:rsidRPr="00120553">
        <w:t xml:space="preserve"> de las pensiones que presentó el Gobierno hace dos semanas.</w:t>
      </w:r>
    </w:p>
    <w:p w:rsidR="00FA4301" w:rsidRPr="00120553" w:rsidRDefault="00FA4301" w:rsidP="00550638">
      <w:pPr>
        <w:pStyle w:val="Ttulo2"/>
        <w:spacing w:line="240" w:lineRule="auto"/>
        <w:jc w:val="both"/>
        <w:rPr>
          <w:rFonts w:ascii="Times New Roman" w:hAnsi="Times New Roman" w:cs="Times New Roman"/>
          <w:color w:val="auto"/>
          <w:sz w:val="24"/>
          <w:szCs w:val="24"/>
        </w:rPr>
      </w:pPr>
      <w:r w:rsidRPr="00120553">
        <w:rPr>
          <w:rStyle w:val="Textoennegrita"/>
          <w:rFonts w:ascii="Times New Roman" w:hAnsi="Times New Roman" w:cs="Times New Roman"/>
          <w:color w:val="auto"/>
          <w:sz w:val="24"/>
          <w:szCs w:val="24"/>
        </w:rPr>
        <w:t>Reparto, pero menos</w:t>
      </w:r>
    </w:p>
    <w:p w:rsidR="00FA4301" w:rsidRPr="00623239" w:rsidRDefault="00FA4301" w:rsidP="00550638">
      <w:pPr>
        <w:pStyle w:val="NormalWeb"/>
        <w:jc w:val="both"/>
        <w:rPr>
          <w:color w:val="FF0000"/>
          <w:u w:val="single"/>
        </w:rPr>
      </w:pPr>
      <w:r w:rsidRPr="00623239">
        <w:rPr>
          <w:color w:val="FF0000"/>
          <w:u w:val="single"/>
        </w:rPr>
        <w:t xml:space="preserve">Lo primero que hay que decir es que el sistema de cuentas nocionales sigue siendo </w:t>
      </w:r>
      <w:hyperlink r:id="rId577" w:history="1">
        <w:r w:rsidRPr="00623239">
          <w:rPr>
            <w:rStyle w:val="Hipervnculo"/>
            <w:rFonts w:eastAsiaTheme="majorEastAsia"/>
            <w:color w:val="FF0000"/>
          </w:rPr>
          <w:t>un modelo de reparto</w:t>
        </w:r>
      </w:hyperlink>
      <w:r w:rsidRPr="00623239">
        <w:rPr>
          <w:color w:val="FF0000"/>
          <w:u w:val="single"/>
        </w:rPr>
        <w:t>, con todo lo que esto implica. Esto quiere d</w:t>
      </w:r>
      <w:r w:rsidR="00120553">
        <w:rPr>
          <w:color w:val="FF0000"/>
          <w:u w:val="single"/>
        </w:rPr>
        <w:t>ecir que se basa en la llamada “solidaridad intergeneracional”</w:t>
      </w:r>
      <w:r w:rsidRPr="00623239">
        <w:rPr>
          <w:color w:val="FF0000"/>
          <w:u w:val="single"/>
        </w:rPr>
        <w:t xml:space="preserve">: los </w:t>
      </w:r>
      <w:r w:rsidRPr="00E066B7">
        <w:rPr>
          <w:rStyle w:val="Textoennegrita"/>
          <w:b w:val="0"/>
          <w:color w:val="FF0000"/>
          <w:u w:val="single"/>
        </w:rPr>
        <w:t>trabajadores del presente le pagan la jubilación a los pensionistas</w:t>
      </w:r>
      <w:r w:rsidRPr="00623239">
        <w:rPr>
          <w:color w:val="FF0000"/>
          <w:u w:val="single"/>
        </w:rPr>
        <w:t xml:space="preserve"> con sus cotizaciones. Por lo tanto, no hay un ahorro real detrás de las pensiones como ocurriría en un modelo de </w:t>
      </w:r>
      <w:hyperlink r:id="rId578" w:history="1">
        <w:r w:rsidRPr="00623239">
          <w:rPr>
            <w:rStyle w:val="Hipervnculo"/>
            <w:rFonts w:eastAsiaTheme="majorEastAsia"/>
            <w:color w:val="FF0000"/>
          </w:rPr>
          <w:t>capitalización</w:t>
        </w:r>
      </w:hyperlink>
      <w:r w:rsidRPr="00623239">
        <w:rPr>
          <w:color w:val="FF0000"/>
          <w:u w:val="single"/>
        </w:rPr>
        <w:t>.</w:t>
      </w:r>
    </w:p>
    <w:p w:rsidR="00FA4301" w:rsidRPr="00A263D8" w:rsidRDefault="00FA4301" w:rsidP="00550638">
      <w:pPr>
        <w:pStyle w:val="NormalWeb"/>
        <w:jc w:val="both"/>
        <w:rPr>
          <w:color w:val="FF0000"/>
          <w:u w:val="single"/>
        </w:rPr>
      </w:pPr>
      <w:r w:rsidRPr="00A263D8">
        <w:rPr>
          <w:color w:val="FF0000"/>
          <w:u w:val="single"/>
        </w:rPr>
        <w:t xml:space="preserve">Sin embargo, el sistema nocional tiene algunas novedades muy importantes que lo diferencian del actualmente vigente. El principal cambio es que pasa de un modelo </w:t>
      </w:r>
      <w:r w:rsidR="00120553">
        <w:rPr>
          <w:rStyle w:val="Textoennegrita"/>
          <w:color w:val="FF0000"/>
          <w:u w:val="single"/>
        </w:rPr>
        <w:t xml:space="preserve">de </w:t>
      </w:r>
      <w:r w:rsidR="00120553" w:rsidRPr="00E066B7">
        <w:rPr>
          <w:rStyle w:val="Textoennegrita"/>
          <w:b w:val="0"/>
          <w:color w:val="FF0000"/>
          <w:u w:val="single"/>
        </w:rPr>
        <w:t>“</w:t>
      </w:r>
      <w:r w:rsidRPr="00E066B7">
        <w:rPr>
          <w:rStyle w:val="Textoennegrita"/>
          <w:b w:val="0"/>
          <w:color w:val="FF0000"/>
          <w:u w:val="single"/>
        </w:rPr>
        <w:t>prestación definida</w:t>
      </w:r>
      <w:r w:rsidR="00120553" w:rsidRPr="00E066B7">
        <w:rPr>
          <w:rStyle w:val="Textoennegrita"/>
          <w:b w:val="0"/>
          <w:color w:val="FF0000"/>
          <w:u w:val="single"/>
        </w:rPr>
        <w:t>” a uno de “aportación definida”</w:t>
      </w:r>
      <w:r w:rsidRPr="00E066B7">
        <w:rPr>
          <w:b/>
          <w:color w:val="FF0000"/>
          <w:u w:val="single"/>
        </w:rPr>
        <w:t>.</w:t>
      </w:r>
      <w:r w:rsidRPr="00A263D8">
        <w:rPr>
          <w:color w:val="FF0000"/>
          <w:u w:val="single"/>
        </w:rPr>
        <w:t xml:space="preserve"> De esta manera, a cada trabajador, cuando comienza su c</w:t>
      </w:r>
      <w:r w:rsidR="00120553">
        <w:rPr>
          <w:color w:val="FF0000"/>
          <w:u w:val="single"/>
        </w:rPr>
        <w:t>arrera laboral, se le abre una “cuenta virtual”</w:t>
      </w:r>
      <w:r w:rsidRPr="00A263D8">
        <w:rPr>
          <w:color w:val="FF0000"/>
          <w:u w:val="single"/>
        </w:rPr>
        <w:t xml:space="preserve"> en la que se van </w:t>
      </w:r>
      <w:r w:rsidRPr="00A263D8">
        <w:rPr>
          <w:rStyle w:val="nfasis"/>
          <w:color w:val="FF0000"/>
          <w:u w:val="single"/>
        </w:rPr>
        <w:t>acumulando</w:t>
      </w:r>
      <w:r w:rsidRPr="00A263D8">
        <w:rPr>
          <w:color w:val="FF0000"/>
          <w:u w:val="single"/>
        </w:rPr>
        <w:t xml:space="preserve"> las cotizaciones que realice. Cuando llegue el momento de la jubilación, la Seguridad Social le informará de cuánto ha logrado </w:t>
      </w:r>
      <w:r w:rsidR="006B60FC">
        <w:rPr>
          <w:color w:val="FF0000"/>
          <w:u w:val="single"/>
        </w:rPr>
        <w:t>“</w:t>
      </w:r>
      <w:r w:rsidRPr="006B60FC">
        <w:rPr>
          <w:rStyle w:val="nfasis"/>
          <w:i w:val="0"/>
          <w:color w:val="FF0000"/>
          <w:u w:val="single"/>
        </w:rPr>
        <w:t>atesorar</w:t>
      </w:r>
      <w:r w:rsidR="006B60FC">
        <w:rPr>
          <w:rStyle w:val="nfasis"/>
          <w:i w:val="0"/>
          <w:color w:val="FF0000"/>
          <w:u w:val="single"/>
        </w:rPr>
        <w:t>”</w:t>
      </w:r>
      <w:r w:rsidRPr="00A263D8">
        <w:rPr>
          <w:color w:val="FF0000"/>
          <w:u w:val="single"/>
        </w:rPr>
        <w:t xml:space="preserve"> y esa cantidad se convertirá en un derecho que se irá devengando durante el resto de su vida.</w:t>
      </w:r>
    </w:p>
    <w:p w:rsidR="00FA4301" w:rsidRPr="00A263D8" w:rsidRDefault="00FA4301" w:rsidP="00550638">
      <w:pPr>
        <w:numPr>
          <w:ilvl w:val="0"/>
          <w:numId w:val="26"/>
        </w:numPr>
        <w:spacing w:before="100" w:beforeAutospacing="1" w:after="100" w:afterAutospacing="1" w:line="240" w:lineRule="auto"/>
        <w:jc w:val="both"/>
        <w:rPr>
          <w:rFonts w:ascii="Times New Roman" w:hAnsi="Times New Roman" w:cs="Times New Roman"/>
          <w:sz w:val="24"/>
          <w:szCs w:val="24"/>
          <w:u w:val="single"/>
        </w:rPr>
      </w:pPr>
      <w:r w:rsidRPr="00E066B7">
        <w:rPr>
          <w:rStyle w:val="Textoennegrita"/>
          <w:rFonts w:ascii="Times New Roman" w:hAnsi="Times New Roman" w:cs="Times New Roman"/>
          <w:b w:val="0"/>
          <w:sz w:val="24"/>
          <w:szCs w:val="24"/>
        </w:rPr>
        <w:t xml:space="preserve">Ejemplo: </w:t>
      </w:r>
      <w:r w:rsidRPr="006158CE">
        <w:rPr>
          <w:rFonts w:ascii="Times New Roman" w:hAnsi="Times New Roman" w:cs="Times New Roman"/>
          <w:sz w:val="24"/>
          <w:szCs w:val="24"/>
        </w:rPr>
        <w:t xml:space="preserve">un trabajador de 65 años tiene 300.000 euros en su cuenta virtual, que corresponden a la suma de las cotizaciones durante toda su vida laboral, ajustadas por un factor de revalorización. </w:t>
      </w:r>
      <w:r w:rsidRPr="00A263D8">
        <w:rPr>
          <w:rFonts w:ascii="Times New Roman" w:hAnsi="Times New Roman" w:cs="Times New Roman"/>
          <w:sz w:val="24"/>
          <w:szCs w:val="24"/>
          <w:u w:val="single"/>
        </w:rPr>
        <w:t xml:space="preserve">La Seguridad </w:t>
      </w:r>
      <w:r w:rsidR="00120553">
        <w:rPr>
          <w:rFonts w:ascii="Times New Roman" w:hAnsi="Times New Roman" w:cs="Times New Roman"/>
          <w:sz w:val="24"/>
          <w:szCs w:val="24"/>
          <w:u w:val="single"/>
        </w:rPr>
        <w:t>Social le informa de que tiene “derecho”</w:t>
      </w:r>
      <w:r w:rsidRPr="00A263D8">
        <w:rPr>
          <w:rFonts w:ascii="Times New Roman" w:hAnsi="Times New Roman" w:cs="Times New Roman"/>
          <w:sz w:val="24"/>
          <w:szCs w:val="24"/>
          <w:u w:val="single"/>
        </w:rPr>
        <w:t xml:space="preserve"> a recibir ese dinero en prestaciones a lo largo de los años. Y la cantidad que cobrará mensualmente dependerá de la esperanza de vida que tenga por delante en el momento de la jubilación.</w:t>
      </w:r>
    </w:p>
    <w:p w:rsidR="00FA4301" w:rsidRPr="006158CE" w:rsidRDefault="00FA4301" w:rsidP="00550638">
      <w:pPr>
        <w:pStyle w:val="NormalWeb"/>
        <w:jc w:val="both"/>
      </w:pPr>
      <w:r w:rsidRPr="00A263D8">
        <w:rPr>
          <w:u w:val="single"/>
        </w:rPr>
        <w:t>¿Cuáles son las ventajas de este sistema?</w:t>
      </w:r>
      <w:r w:rsidR="00494A8D">
        <w:t xml:space="preserve"> Para José Manuel Eg</w:t>
      </w:r>
      <w:r w:rsidRPr="006158CE">
        <w:t xml:space="preserve">uiagaray, presidente del Grupo Consultivo de Unespa, la </w:t>
      </w:r>
      <w:r w:rsidR="00120553" w:rsidRPr="00E066B7">
        <w:rPr>
          <w:rStyle w:val="Textoennegrita"/>
          <w:b w:val="0"/>
        </w:rPr>
        <w:t>clave está en que es “claro y diáfano”</w:t>
      </w:r>
      <w:r w:rsidRPr="00E066B7">
        <w:rPr>
          <w:b/>
        </w:rPr>
        <w:t>.</w:t>
      </w:r>
      <w:r w:rsidRPr="006158CE">
        <w:t xml:space="preserve"> </w:t>
      </w:r>
      <w:r w:rsidRPr="00A263D8">
        <w:rPr>
          <w:u w:val="single"/>
        </w:rPr>
        <w:t>De esta manera, los trabajadores s</w:t>
      </w:r>
      <w:r w:rsidR="00120553">
        <w:rPr>
          <w:u w:val="single"/>
        </w:rPr>
        <w:t>abrán “</w:t>
      </w:r>
      <w:r w:rsidRPr="00A263D8">
        <w:rPr>
          <w:u w:val="single"/>
        </w:rPr>
        <w:t>cuánto han ap</w:t>
      </w:r>
      <w:r w:rsidR="00120553">
        <w:rPr>
          <w:u w:val="single"/>
        </w:rPr>
        <w:t>ortado y tomarán sus decisiones”</w:t>
      </w:r>
      <w:r w:rsidRPr="00A263D8">
        <w:rPr>
          <w:u w:val="single"/>
        </w:rPr>
        <w:t>, sobre su vida laboral y sobre cuándo jubilarse. Y todo esto redundará en que las pensiones saldrán del debate político, porque la prestación ya no dependerá de la decisión del Gobierno de turno, sino del ajuste de los parámetros del sistema.</w:t>
      </w:r>
      <w:r w:rsidRPr="006158CE">
        <w:t xml:space="preserve"> En estos momentos, la mayoría de los ciudadanos reconoce que </w:t>
      </w:r>
      <w:hyperlink r:id="rId579" w:history="1">
        <w:r w:rsidRPr="00120553">
          <w:rPr>
            <w:rStyle w:val="Hipervnculo"/>
            <w:rFonts w:eastAsiaTheme="majorEastAsia"/>
            <w:color w:val="auto"/>
          </w:rPr>
          <w:t>no sabe cuánto cobrará cuando se jubile</w:t>
        </w:r>
      </w:hyperlink>
      <w:r w:rsidRPr="006158CE">
        <w:t>. De hecho, en general, se tiende a sobreestimar la paga que se recibirá en ese momento.</w:t>
      </w:r>
    </w:p>
    <w:p w:rsidR="00FA4301" w:rsidRPr="00A263D8" w:rsidRDefault="00FA4301" w:rsidP="00550638">
      <w:pPr>
        <w:pStyle w:val="NormalWeb"/>
        <w:jc w:val="both"/>
        <w:rPr>
          <w:u w:val="single"/>
        </w:rPr>
      </w:pPr>
      <w:r w:rsidRPr="00A263D8">
        <w:rPr>
          <w:u w:val="single"/>
        </w:rPr>
        <w:t>En cuanto a su sosteni</w:t>
      </w:r>
      <w:r w:rsidR="00B47D35">
        <w:rPr>
          <w:u w:val="single"/>
        </w:rPr>
        <w:t>bilidad, el informe admite que “el</w:t>
      </w:r>
      <w:r w:rsidRPr="00A263D8">
        <w:rPr>
          <w:u w:val="single"/>
        </w:rPr>
        <w:t xml:space="preserve"> sistema de cuentas nocionales </w:t>
      </w:r>
      <w:r w:rsidRPr="00E066B7">
        <w:rPr>
          <w:rStyle w:val="Textoennegrita"/>
          <w:b w:val="0"/>
          <w:u w:val="single"/>
        </w:rPr>
        <w:t>no es exactamente sostenible per se</w:t>
      </w:r>
      <w:r w:rsidRPr="00E066B7">
        <w:rPr>
          <w:b/>
          <w:u w:val="single"/>
        </w:rPr>
        <w:t>.</w:t>
      </w:r>
      <w:r w:rsidRPr="00A263D8">
        <w:rPr>
          <w:u w:val="single"/>
        </w:rPr>
        <w:t xml:space="preserve"> También está sometido al peligro de encontrarse en un punto en el que</w:t>
      </w:r>
      <w:r w:rsidR="00B47D35">
        <w:rPr>
          <w:u w:val="single"/>
        </w:rPr>
        <w:t xml:space="preserve"> hay más compromisos que dinero”</w:t>
      </w:r>
      <w:r w:rsidRPr="00A263D8">
        <w:rPr>
          <w:u w:val="single"/>
        </w:rPr>
        <w:t>. Sin emb</w:t>
      </w:r>
      <w:r w:rsidR="00B47D35">
        <w:rPr>
          <w:u w:val="single"/>
        </w:rPr>
        <w:t>argo, la novedad radica en que “</w:t>
      </w:r>
      <w:r w:rsidRPr="00A263D8">
        <w:rPr>
          <w:u w:val="single"/>
        </w:rPr>
        <w:t xml:space="preserve">al ser muy transparente, los problemas de sostenibilidad pueden localizarse con inmediatez, y corregirse de forma menos traumática. Más aún, si está bien diseñado y las reglas de reequilibrio están decididas previamente, el sistema </w:t>
      </w:r>
      <w:r w:rsidR="006B60FC">
        <w:rPr>
          <w:u w:val="single"/>
        </w:rPr>
        <w:t>“</w:t>
      </w:r>
      <w:r w:rsidRPr="006B60FC">
        <w:rPr>
          <w:rStyle w:val="nfasis"/>
          <w:i w:val="0"/>
          <w:u w:val="single"/>
        </w:rPr>
        <w:t>conoce siempre</w:t>
      </w:r>
      <w:r w:rsidR="006B60FC">
        <w:rPr>
          <w:rStyle w:val="nfasis"/>
          <w:i w:val="0"/>
          <w:u w:val="single"/>
        </w:rPr>
        <w:t>”</w:t>
      </w:r>
      <w:r w:rsidRPr="00A263D8">
        <w:rPr>
          <w:u w:val="single"/>
        </w:rPr>
        <w:t xml:space="preserve"> lo que debe h</w:t>
      </w:r>
      <w:r w:rsidR="00B47D35">
        <w:rPr>
          <w:u w:val="single"/>
        </w:rPr>
        <w:t>acer para garantizar su balance”</w:t>
      </w:r>
      <w:r w:rsidRPr="00A263D8">
        <w:rPr>
          <w:u w:val="single"/>
        </w:rPr>
        <w:t>.</w:t>
      </w:r>
    </w:p>
    <w:p w:rsidR="00FA4301" w:rsidRPr="006158CE" w:rsidRDefault="00FA4301" w:rsidP="00550638">
      <w:pPr>
        <w:pStyle w:val="NormalWeb"/>
        <w:jc w:val="both"/>
      </w:pPr>
      <w:r w:rsidRPr="00A263D8">
        <w:rPr>
          <w:color w:val="FF0000"/>
          <w:u w:val="single"/>
        </w:rPr>
        <w:lastRenderedPageBreak/>
        <w:t xml:space="preserve">Además, el modelo nocional tiene otra ventaja: </w:t>
      </w:r>
      <w:r w:rsidRPr="00E066B7">
        <w:rPr>
          <w:rStyle w:val="Textoennegrita"/>
          <w:b w:val="0"/>
          <w:color w:val="FF0000"/>
          <w:u w:val="single"/>
        </w:rPr>
        <w:t xml:space="preserve">premia a aquellos que han contribuido por sus aportaciones </w:t>
      </w:r>
      <w:r w:rsidRPr="00A263D8">
        <w:rPr>
          <w:color w:val="FF0000"/>
          <w:u w:val="single"/>
        </w:rPr>
        <w:t>durante toda su vida activa. En este sentido, se asemeja al sistema de capitalización. Ya no habrá períodos de cálculo de las pensiones que beneficien a unos u otros.</w:t>
      </w:r>
      <w:r w:rsidRPr="006158CE">
        <w:t xml:space="preserve"> </w:t>
      </w:r>
      <w:r w:rsidRPr="00E066B7">
        <w:rPr>
          <w:color w:val="FF0000"/>
          <w:u w:val="single"/>
        </w:rPr>
        <w:t>Cada uno tendrá lo que ha</w:t>
      </w:r>
      <w:r w:rsidR="00B47D35" w:rsidRPr="00E066B7">
        <w:rPr>
          <w:color w:val="FF0000"/>
          <w:u w:val="single"/>
        </w:rPr>
        <w:t xml:space="preserve"> puesto, lo que incentivará la “responsabilidad”</w:t>
      </w:r>
      <w:r w:rsidRPr="00E066B7">
        <w:rPr>
          <w:color w:val="FF0000"/>
          <w:u w:val="single"/>
        </w:rPr>
        <w:t xml:space="preserve"> de cada trabajador</w:t>
      </w:r>
      <w:r w:rsidRPr="00E066B7">
        <w:t>.</w:t>
      </w:r>
      <w:r w:rsidRPr="006158CE">
        <w:t xml:space="preserve"> Hace unas semanas, alertábamos de </w:t>
      </w:r>
      <w:hyperlink r:id="rId580" w:history="1">
        <w:r w:rsidR="00B47D35" w:rsidRPr="00B47D35">
          <w:rPr>
            <w:rStyle w:val="Hipervnculo"/>
            <w:rFonts w:eastAsiaTheme="majorEastAsia"/>
            <w:color w:val="auto"/>
          </w:rPr>
          <w:t>“la reforma oculta”</w:t>
        </w:r>
        <w:r w:rsidRPr="00B47D35">
          <w:rPr>
            <w:rStyle w:val="Hipervnculo"/>
            <w:rFonts w:eastAsiaTheme="majorEastAsia"/>
            <w:color w:val="auto"/>
          </w:rPr>
          <w:t xml:space="preserve"> de las pensiones</w:t>
        </w:r>
      </w:hyperlink>
      <w:r w:rsidRPr="00B47D35">
        <w:rPr>
          <w:u w:val="single"/>
        </w:rPr>
        <w:t xml:space="preserve">, </w:t>
      </w:r>
      <w:r w:rsidRPr="006158CE">
        <w:t>esa tendencia a estrechar la diferencia entre máximas y mínimas que se está produciendo desde hace años y que amenaza con dinamitar el carácter contributivo sobre el que se fundó el modelo.</w:t>
      </w:r>
    </w:p>
    <w:p w:rsidR="00FA4301" w:rsidRPr="00B47D35" w:rsidRDefault="00FA4301" w:rsidP="00550638">
      <w:pPr>
        <w:pStyle w:val="Ttulo2"/>
        <w:spacing w:line="240" w:lineRule="auto"/>
        <w:jc w:val="both"/>
        <w:rPr>
          <w:rFonts w:ascii="Times New Roman" w:hAnsi="Times New Roman" w:cs="Times New Roman"/>
          <w:color w:val="auto"/>
          <w:sz w:val="24"/>
          <w:szCs w:val="24"/>
        </w:rPr>
      </w:pPr>
      <w:r w:rsidRPr="00B47D35">
        <w:rPr>
          <w:rStyle w:val="Textoennegrita"/>
          <w:rFonts w:ascii="Times New Roman" w:hAnsi="Times New Roman" w:cs="Times New Roman"/>
          <w:color w:val="auto"/>
          <w:sz w:val="24"/>
          <w:szCs w:val="24"/>
        </w:rPr>
        <w:t>Los problemas</w:t>
      </w:r>
    </w:p>
    <w:p w:rsidR="00FA4301" w:rsidRPr="006158CE" w:rsidRDefault="00FA4301" w:rsidP="00550638">
      <w:pPr>
        <w:pStyle w:val="NormalWeb"/>
        <w:jc w:val="both"/>
      </w:pPr>
      <w:r w:rsidRPr="00A263D8">
        <w:rPr>
          <w:u w:val="single"/>
        </w:rPr>
        <w:t xml:space="preserve">Como apuntamos, hay que tener muy en cuenta que la </w:t>
      </w:r>
      <w:r w:rsidR="006B60FC">
        <w:rPr>
          <w:u w:val="single"/>
        </w:rPr>
        <w:t>“</w:t>
      </w:r>
      <w:r w:rsidRPr="006B60FC">
        <w:rPr>
          <w:rStyle w:val="nfasis"/>
          <w:i w:val="0"/>
          <w:u w:val="single"/>
        </w:rPr>
        <w:t>bolsa</w:t>
      </w:r>
      <w:r w:rsidR="006B60FC">
        <w:rPr>
          <w:rStyle w:val="nfasis"/>
          <w:i w:val="0"/>
          <w:u w:val="single"/>
        </w:rPr>
        <w:t>”</w:t>
      </w:r>
      <w:r w:rsidRPr="00A263D8">
        <w:rPr>
          <w:u w:val="single"/>
        </w:rPr>
        <w:t xml:space="preserve"> que cada trabajador acumularía es completamente virtual. Para pagarle la </w:t>
      </w:r>
      <w:r w:rsidRPr="00E066B7">
        <w:rPr>
          <w:rStyle w:val="Textoennegrita"/>
          <w:b w:val="0"/>
          <w:u w:val="single"/>
        </w:rPr>
        <w:t>pensión seguirá dependiendo de la cotización de otro</w:t>
      </w:r>
      <w:r w:rsidRPr="00E066B7">
        <w:rPr>
          <w:b/>
          <w:u w:val="single"/>
        </w:rPr>
        <w:t>.</w:t>
      </w:r>
      <w:r w:rsidRPr="00A263D8">
        <w:rPr>
          <w:u w:val="single"/>
        </w:rPr>
        <w:t xml:space="preserve"> Por lo tanto, los problemas demográficos que prevemos para el futuro también le afectan</w:t>
      </w:r>
      <w:r w:rsidRPr="006158CE">
        <w:t xml:space="preserve">. </w:t>
      </w:r>
      <w:r w:rsidRPr="00A263D8">
        <w:rPr>
          <w:color w:val="FF0000"/>
          <w:u w:val="single"/>
        </w:rPr>
        <w:t>Es decir, en el cálculo de la pensión también habrá que introducir la sostenibilidad de todo el sistema a medio plazo</w:t>
      </w:r>
      <w:r w:rsidRPr="006158CE">
        <w:t xml:space="preserve">. Siguiendo con nuestro ejemplo, no es lo mismo que ese trabajador que ha acumulado 300.000 euros se jubile cuando hay 20 millones de cotizantes y una perspectiva demográfica positiva, con millones de jóvenes a punto de entrar en el mercado laboral; que le toque con 10 millones de trabajadores y sin </w:t>
      </w:r>
      <w:r w:rsidRPr="006158CE">
        <w:rPr>
          <w:rStyle w:val="nfasis"/>
        </w:rPr>
        <w:t>relevo</w:t>
      </w:r>
      <w:r w:rsidRPr="006158CE">
        <w:t xml:space="preserve"> a la vista. En uno y otro caso, la prestación podría cambiar sensiblemente.</w:t>
      </w:r>
    </w:p>
    <w:p w:rsidR="00FA4301" w:rsidRPr="00A263D8" w:rsidRDefault="00FA4301" w:rsidP="00550638">
      <w:pPr>
        <w:pStyle w:val="NormalWeb"/>
        <w:jc w:val="both"/>
        <w:rPr>
          <w:u w:val="single"/>
        </w:rPr>
      </w:pPr>
      <w:r w:rsidRPr="006158CE">
        <w:t xml:space="preserve">Eso sí, este ajuste será menor que el que nos esperaría sin cambios porque el modelo vigente es, directamente, insostenible a unas décadas vista. De hecho, Eguiagaray confía en que, </w:t>
      </w:r>
      <w:r w:rsidR="00B47D35">
        <w:rPr>
          <w:u w:val="single"/>
        </w:rPr>
        <w:t>“</w:t>
      </w:r>
      <w:r w:rsidRPr="00A263D8">
        <w:rPr>
          <w:u w:val="single"/>
        </w:rPr>
        <w:t>si crece</w:t>
      </w:r>
      <w:r w:rsidR="00B47D35">
        <w:rPr>
          <w:u w:val="single"/>
        </w:rPr>
        <w:t xml:space="preserve"> la economía y la productividad”</w:t>
      </w:r>
      <w:r w:rsidRPr="00A263D8">
        <w:rPr>
          <w:u w:val="single"/>
        </w:rPr>
        <w:t xml:space="preserve">, los ajustes serán menores y, en cualquier caso, </w:t>
      </w:r>
      <w:r w:rsidR="00B47D35" w:rsidRPr="00E066B7">
        <w:rPr>
          <w:rStyle w:val="Textoennegrita"/>
          <w:b w:val="0"/>
          <w:u w:val="single"/>
        </w:rPr>
        <w:t>serán “transparentes y previsibles”</w:t>
      </w:r>
      <w:r w:rsidRPr="00E066B7">
        <w:rPr>
          <w:b/>
          <w:u w:val="single"/>
        </w:rPr>
        <w:t>.</w:t>
      </w:r>
    </w:p>
    <w:p w:rsidR="00FA4301" w:rsidRPr="00A263D8" w:rsidRDefault="00FA4301" w:rsidP="00550638">
      <w:pPr>
        <w:pStyle w:val="NormalWeb"/>
        <w:jc w:val="both"/>
        <w:rPr>
          <w:color w:val="FF0000"/>
          <w:u w:val="single"/>
        </w:rPr>
      </w:pPr>
      <w:r w:rsidRPr="006158CE">
        <w:t xml:space="preserve">El segundo problema del modelo nocional es más político y, quizás por eso, más complicado de solventar. </w:t>
      </w:r>
      <w:r w:rsidRPr="00A263D8">
        <w:rPr>
          <w:color w:val="FF0000"/>
          <w:u w:val="single"/>
        </w:rPr>
        <w:t>En general, desde que se creó el sistema de la Se</w:t>
      </w:r>
      <w:r w:rsidR="00B47D35">
        <w:rPr>
          <w:color w:val="FF0000"/>
          <w:u w:val="single"/>
        </w:rPr>
        <w:t>guridad Social se han otorgado “derechos”</w:t>
      </w:r>
      <w:r w:rsidRPr="00A263D8">
        <w:rPr>
          <w:color w:val="FF0000"/>
          <w:u w:val="single"/>
        </w:rPr>
        <w:t xml:space="preserve"> en forma de pensiones que son superiores a las cotizaciones realizadas a lo largo de la vida laboral.</w:t>
      </w:r>
    </w:p>
    <w:p w:rsidR="00FA4301" w:rsidRPr="00A263D8" w:rsidRDefault="00FA4301" w:rsidP="00550638">
      <w:pPr>
        <w:pStyle w:val="NormalWeb"/>
        <w:jc w:val="both"/>
        <w:rPr>
          <w:u w:val="single"/>
        </w:rPr>
      </w:pPr>
      <w:r w:rsidRPr="00A263D8">
        <w:rPr>
          <w:color w:val="FF0000"/>
          <w:u w:val="single"/>
        </w:rPr>
        <w:t xml:space="preserve">Por lo tanto, si igualamos pagos e ingresos, lo que ocurrirá </w:t>
      </w:r>
      <w:r w:rsidRPr="006B60FC">
        <w:rPr>
          <w:rStyle w:val="Textoennegrita"/>
          <w:b w:val="0"/>
          <w:color w:val="FF0000"/>
          <w:u w:val="single"/>
        </w:rPr>
        <w:t>en la práctica</w:t>
      </w:r>
      <w:r w:rsidRPr="00A263D8">
        <w:rPr>
          <w:rStyle w:val="Textoennegrita"/>
          <w:color w:val="FF0000"/>
          <w:u w:val="single"/>
        </w:rPr>
        <w:t xml:space="preserve"> es </w:t>
      </w:r>
      <w:r w:rsidRPr="00E066B7">
        <w:rPr>
          <w:rStyle w:val="Textoennegrita"/>
          <w:b w:val="0"/>
          <w:color w:val="FF0000"/>
          <w:u w:val="single"/>
        </w:rPr>
        <w:t>que habrá un descenso en las pensiones medias</w:t>
      </w:r>
      <w:r w:rsidRPr="00E066B7">
        <w:rPr>
          <w:b/>
        </w:rPr>
        <w:t>.</w:t>
      </w:r>
      <w:r w:rsidRPr="006158CE">
        <w:t xml:space="preserve"> Eguiagaray lo admite pero recuerda que </w:t>
      </w:r>
      <w:r w:rsidR="00B47D35">
        <w:rPr>
          <w:u w:val="single"/>
        </w:rPr>
        <w:t>“</w:t>
      </w:r>
      <w:r w:rsidRPr="00A263D8">
        <w:rPr>
          <w:u w:val="single"/>
        </w:rPr>
        <w:t>todas las reformas conducen a una rebaja de la pensión media, no hay que hacerse trampas al solitario. Todas tienden a reducir la tasa de sustitución, pero ahora no se hace de forma tan clara. De hecho, seguir con reformas como hasta ahora tiene sus límites. La variable más eficaz es retrasar la edad de jubilación pero, ¿hasta cuándo pode</w:t>
      </w:r>
      <w:r w:rsidR="00B47D35">
        <w:rPr>
          <w:u w:val="single"/>
        </w:rPr>
        <w:t>mos alargarlo?”</w:t>
      </w:r>
      <w:r w:rsidRPr="00A263D8">
        <w:rPr>
          <w:u w:val="single"/>
        </w:rPr>
        <w:t>.</w:t>
      </w:r>
    </w:p>
    <w:p w:rsidR="00FA4301" w:rsidRPr="00A263D8" w:rsidRDefault="00FA4301" w:rsidP="00550638">
      <w:pPr>
        <w:pStyle w:val="NormalWeb"/>
        <w:jc w:val="both"/>
        <w:rPr>
          <w:u w:val="single"/>
        </w:rPr>
      </w:pPr>
      <w:r w:rsidRPr="00A263D8">
        <w:rPr>
          <w:u w:val="single"/>
        </w:rPr>
        <w:t xml:space="preserve">En este sentido, los autores del informe apuntan a que será </w:t>
      </w:r>
      <w:r w:rsidR="00B47D35" w:rsidRPr="00E066B7">
        <w:rPr>
          <w:rStyle w:val="Textoennegrita"/>
          <w:b w:val="0"/>
          <w:u w:val="single"/>
        </w:rPr>
        <w:t>imprescindible un “período de transición”</w:t>
      </w:r>
      <w:r w:rsidRPr="00A263D8">
        <w:rPr>
          <w:rStyle w:val="Textoennegrita"/>
          <w:u w:val="single"/>
        </w:rPr>
        <w:t xml:space="preserve"> </w:t>
      </w:r>
      <w:r w:rsidR="00B47D35">
        <w:rPr>
          <w:u w:val="single"/>
        </w:rPr>
        <w:t>que podría suponer “</w:t>
      </w:r>
      <w:r w:rsidRPr="00A263D8">
        <w:rPr>
          <w:u w:val="single"/>
        </w:rPr>
        <w:t>un esfuerzo de transferencia de recursos que equilibrasen en alguna medida esos problemas; recursos que sólo pueden proceder del caudal de ingresos impositivos</w:t>
      </w:r>
      <w:r w:rsidRPr="006158CE">
        <w:t>. La transición puede tener un coste para las finanzas públicas o puede demandar la instrumentación de figuras tributaria</w:t>
      </w:r>
      <w:r w:rsidR="00B47D35">
        <w:t>s específicas hoy no existentes”</w:t>
      </w:r>
      <w:r w:rsidRPr="006158CE">
        <w:t xml:space="preserve">. En este sentido, surge </w:t>
      </w:r>
      <w:r w:rsidR="00B47D35">
        <w:rPr>
          <w:u w:val="single"/>
        </w:rPr>
        <w:t>la cuestión de dónde poner “</w:t>
      </w:r>
      <w:r w:rsidRPr="00A263D8">
        <w:rPr>
          <w:u w:val="single"/>
        </w:rPr>
        <w:t xml:space="preserve">la edad </w:t>
      </w:r>
      <w:r w:rsidR="00B47D35">
        <w:rPr>
          <w:u w:val="single"/>
        </w:rPr>
        <w:t>de corte para la reforma”</w:t>
      </w:r>
      <w:r w:rsidRPr="00A263D8">
        <w:rPr>
          <w:u w:val="single"/>
        </w:rPr>
        <w:t>, es decir, quién se mantendría en el sistema antiguo y quién en el nuevo.</w:t>
      </w:r>
    </w:p>
    <w:p w:rsidR="00FA4301" w:rsidRPr="00A263D8" w:rsidRDefault="00FA4301" w:rsidP="00550638">
      <w:pPr>
        <w:pStyle w:val="NormalWeb"/>
        <w:jc w:val="both"/>
        <w:rPr>
          <w:u w:val="single"/>
        </w:rPr>
      </w:pPr>
      <w:r w:rsidRPr="00A263D8">
        <w:rPr>
          <w:u w:val="single"/>
        </w:rPr>
        <w:t>Por último, está el tema</w:t>
      </w:r>
      <w:r w:rsidRPr="00A263D8">
        <w:rPr>
          <w:rStyle w:val="Textoennegrita"/>
          <w:u w:val="single"/>
        </w:rPr>
        <w:t> </w:t>
      </w:r>
      <w:r w:rsidRPr="00E066B7">
        <w:rPr>
          <w:rStyle w:val="Textoennegrita"/>
          <w:b w:val="0"/>
          <w:u w:val="single"/>
        </w:rPr>
        <w:t>de las pensiones no contributivas</w:t>
      </w:r>
      <w:r w:rsidRPr="00A263D8">
        <w:rPr>
          <w:u w:val="single"/>
        </w:rPr>
        <w:t xml:space="preserve">. Hasta ahora, buena parte de estas prestaciones se pagaban con cargo a la Seguridad Social. De hecho, el año pasado ya hubo que </w:t>
      </w:r>
      <w:hyperlink r:id="rId581" w:history="1">
        <w:r w:rsidRPr="00B47D35">
          <w:rPr>
            <w:rStyle w:val="Hipervnculo"/>
            <w:rFonts w:eastAsiaTheme="majorEastAsia"/>
            <w:color w:val="auto"/>
          </w:rPr>
          <w:t>sacar del sistema a algunos beneficiarios</w:t>
        </w:r>
      </w:hyperlink>
      <w:r w:rsidRPr="00A263D8">
        <w:rPr>
          <w:u w:val="single"/>
        </w:rPr>
        <w:t xml:space="preserve">, puesto que no había suficiente </w:t>
      </w:r>
      <w:r w:rsidRPr="00A263D8">
        <w:rPr>
          <w:u w:val="single"/>
        </w:rPr>
        <w:lastRenderedPageBreak/>
        <w:t>con el dinero de las contribuciones. Lo que ocurre es que entonces habrá que pagarlas con fondos provenientes de los impuestos.</w:t>
      </w:r>
    </w:p>
    <w:p w:rsidR="00FA4301" w:rsidRPr="00B47D35" w:rsidRDefault="00FA4301" w:rsidP="00550638">
      <w:pPr>
        <w:pStyle w:val="Ttulo2"/>
        <w:spacing w:line="240" w:lineRule="auto"/>
        <w:jc w:val="both"/>
        <w:rPr>
          <w:rFonts w:ascii="Times New Roman" w:hAnsi="Times New Roman" w:cs="Times New Roman"/>
          <w:color w:val="auto"/>
          <w:sz w:val="24"/>
          <w:szCs w:val="24"/>
        </w:rPr>
      </w:pPr>
      <w:r w:rsidRPr="00B47D35">
        <w:rPr>
          <w:rStyle w:val="Textoennegrita"/>
          <w:rFonts w:ascii="Times New Roman" w:hAnsi="Times New Roman" w:cs="Times New Roman"/>
          <w:color w:val="auto"/>
          <w:sz w:val="24"/>
          <w:szCs w:val="24"/>
        </w:rPr>
        <w:t>El modelo sueco</w:t>
      </w:r>
    </w:p>
    <w:p w:rsidR="00FA4301" w:rsidRPr="00A263D8" w:rsidRDefault="00FA4301" w:rsidP="00550638">
      <w:pPr>
        <w:pStyle w:val="NormalWeb"/>
        <w:jc w:val="both"/>
        <w:rPr>
          <w:color w:val="FF0000"/>
          <w:u w:val="single"/>
        </w:rPr>
      </w:pPr>
      <w:r w:rsidRPr="00A263D8">
        <w:rPr>
          <w:color w:val="FF0000"/>
          <w:u w:val="single"/>
        </w:rPr>
        <w:t xml:space="preserve">En cualquier caso, lo que parece evidente es que el sistema de financiación de las pensiones tal y como está planteado actualmente </w:t>
      </w:r>
      <w:hyperlink r:id="rId582" w:history="1">
        <w:r w:rsidRPr="00A263D8">
          <w:rPr>
            <w:rStyle w:val="Hipervnculo"/>
            <w:rFonts w:eastAsiaTheme="majorEastAsia"/>
            <w:color w:val="FF0000"/>
          </w:rPr>
          <w:t>no es sostenible</w:t>
        </w:r>
      </w:hyperlink>
      <w:r w:rsidRPr="00A263D8">
        <w:rPr>
          <w:rStyle w:val="Textoennegrita"/>
          <w:color w:val="FF0000"/>
          <w:u w:val="single"/>
        </w:rPr>
        <w:t xml:space="preserve"> </w:t>
      </w:r>
      <w:r w:rsidRPr="006B60FC">
        <w:rPr>
          <w:rStyle w:val="Textoennegrita"/>
          <w:b w:val="0"/>
          <w:color w:val="FF0000"/>
          <w:u w:val="single"/>
        </w:rPr>
        <w:t>a medio-largo plazo</w:t>
      </w:r>
      <w:r w:rsidRPr="00A263D8">
        <w:rPr>
          <w:color w:val="FF0000"/>
          <w:u w:val="single"/>
        </w:rPr>
        <w:t>. Los treintañeros que se incorporaron hace una década al mercado laboral saben que no cobrarán pensiones públicas como las que disfrutan sus padres. Pero España no es el primer país que se enfrenta a esta situación.</w:t>
      </w:r>
    </w:p>
    <w:p w:rsidR="00FA4301" w:rsidRDefault="00FA4301" w:rsidP="00550638">
      <w:pPr>
        <w:pStyle w:val="NormalWeb"/>
        <w:jc w:val="both"/>
      </w:pPr>
      <w:r w:rsidRPr="006158CE">
        <w:t xml:space="preserve">En Suecia, por ejemplo, en la década de los noventa, se vieron ante la misma problemática. En 1998, gracias al </w:t>
      </w:r>
      <w:r w:rsidRPr="00E066B7">
        <w:rPr>
          <w:rStyle w:val="Textoennegrita"/>
          <w:b w:val="0"/>
        </w:rPr>
        <w:t>acuerdo entre los grandes partidos suecos</w:t>
      </w:r>
      <w:r w:rsidRPr="006158CE">
        <w:t>, se aprobó un cambio de un sistema de reparto puro a uno mixto, en el que empresarios y trabajadores aportan un 19,5% del sueldo en forma de cotizaciones, de las que un 17% cubre un sistema nocional parecido al descrito en este artículo y un 2,5% se destina a un fondo de capitalización obligatorio y personal para cada trabajador (este último punto está fuera del análisis de Unespa). Por ahora, nada indica que algo así vaya a ser aprobado en nuestro país. Pero los expertos ya avisan de que algo habrá que hacer y no será suficiente con pequeños parches.</w:t>
      </w:r>
    </w:p>
    <w:p w:rsidR="00965B57" w:rsidRPr="00965B57" w:rsidRDefault="00965B57" w:rsidP="00550638">
      <w:pPr>
        <w:pStyle w:val="NormalWeb"/>
        <w:jc w:val="both"/>
        <w:rPr>
          <w:u w:val="single"/>
        </w:rPr>
      </w:pPr>
      <w:r w:rsidRPr="00965B57">
        <w:rPr>
          <w:u w:val="single"/>
        </w:rPr>
        <w:t>El futuro de las pensiones y el ahorro de cara</w:t>
      </w:r>
      <w:r>
        <w:rPr>
          <w:u w:val="single"/>
        </w:rPr>
        <w:t xml:space="preserve"> al futuro (a verlas venir…</w:t>
      </w:r>
      <w:r w:rsidRPr="00965B57">
        <w:rPr>
          <w:u w:val="single"/>
        </w:rPr>
        <w:t>)</w:t>
      </w:r>
    </w:p>
    <w:p w:rsidR="00FA4301" w:rsidRDefault="00FA4301"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95565">
        <w:rPr>
          <w:rFonts w:ascii="Times New Roman" w:hAnsi="Times New Roman" w:cs="Times New Roman"/>
          <w:sz w:val="24"/>
          <w:szCs w:val="24"/>
          <w:u w:val="single"/>
        </w:rPr>
        <w:t>Una doble amenaza se cierne sobre los futuros pensionistas españoles</w:t>
      </w:r>
      <w:r>
        <w:rPr>
          <w:rFonts w:ascii="Times New Roman" w:hAnsi="Times New Roman" w:cs="Times New Roman"/>
          <w:sz w:val="24"/>
          <w:szCs w:val="24"/>
        </w:rPr>
        <w:t xml:space="preserve"> (Libertad Digital - </w:t>
      </w:r>
      <w:r w:rsidRPr="00E95565">
        <w:rPr>
          <w:rFonts w:ascii="Times New Roman" w:hAnsi="Times New Roman" w:cs="Times New Roman"/>
          <w:b/>
          <w:sz w:val="24"/>
          <w:szCs w:val="24"/>
        </w:rPr>
        <w:t>2/5/13</w:t>
      </w:r>
      <w:r>
        <w:rPr>
          <w:rFonts w:ascii="Times New Roman" w:hAnsi="Times New Roman" w:cs="Times New Roman"/>
          <w:sz w:val="24"/>
          <w:szCs w:val="24"/>
        </w:rPr>
        <w:t>)</w:t>
      </w:r>
    </w:p>
    <w:p w:rsidR="00FA4301" w:rsidRDefault="00965B57"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FA4301">
        <w:rPr>
          <w:rFonts w:ascii="Times New Roman" w:hAnsi="Times New Roman" w:cs="Times New Roman"/>
          <w:sz w:val="24"/>
          <w:szCs w:val="24"/>
        </w:rPr>
        <w:t>(Por Domingo Soriano)</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Lectura recomendada</w:t>
      </w:r>
    </w:p>
    <w:p w:rsidR="00FA4301" w:rsidRPr="00E95565" w:rsidRDefault="00FA4301" w:rsidP="00550638">
      <w:pPr>
        <w:pStyle w:val="NormalWeb"/>
        <w:jc w:val="both"/>
      </w:pPr>
      <w:r w:rsidRPr="00E95565">
        <w:t xml:space="preserve">En lo que hace referencia a sus pensiones, probablemente los españoles estén bastante desconcertados. Por un lado, es raro el día en que no sale un responsable público a la palestra a asegurarles que no tienen nada que temer, que sus prestaciones de jubilación están completamente garantizadas. Por otro, son casi igual de habituales las noticias sobre cambios en el modelo. Y por último, también </w:t>
      </w:r>
      <w:r w:rsidRPr="00F0090B">
        <w:rPr>
          <w:u w:val="single"/>
        </w:rPr>
        <w:t xml:space="preserve">es muy común que esos mismos políticos que les dicen lo fantástica que es la Seguridad Social, </w:t>
      </w:r>
      <w:r w:rsidRPr="00E066B7">
        <w:rPr>
          <w:rStyle w:val="Textoennegrita"/>
          <w:b w:val="0"/>
          <w:u w:val="single"/>
        </w:rPr>
        <w:t>les recomienden hacerse un plan privado</w:t>
      </w:r>
      <w:r w:rsidRPr="00E066B7">
        <w:rPr>
          <w:b/>
          <w:u w:val="single"/>
        </w:rPr>
        <w:t>.</w:t>
      </w:r>
      <w:r w:rsidRPr="00E066B7">
        <w:rPr>
          <w:b/>
        </w:rPr>
        <w:t xml:space="preserve"> </w:t>
      </w:r>
      <w:r w:rsidRPr="00E95565">
        <w:t>Así, parece lógico que muchos ciudadanos se pregunten: si el sistema público es tan seguro como afirman sus responsables, ¿por qué hay que estar constantemente reformándolo?</w:t>
      </w:r>
    </w:p>
    <w:p w:rsidR="00E066B7" w:rsidRDefault="00FA4301" w:rsidP="00E066B7">
      <w:pPr>
        <w:pStyle w:val="NormalWeb"/>
        <w:jc w:val="both"/>
        <w:rPr>
          <w:color w:val="FF0000"/>
          <w:u w:val="single"/>
        </w:rPr>
      </w:pPr>
      <w:r w:rsidRPr="00E95565">
        <w:t xml:space="preserve">Lo cierto es que hay muchos </w:t>
      </w:r>
      <w:hyperlink r:id="rId583" w:history="1">
        <w:r w:rsidRPr="00965B57">
          <w:rPr>
            <w:rStyle w:val="Hipervnculo"/>
            <w:rFonts w:eastAsiaTheme="majorEastAsia"/>
            <w:color w:val="auto"/>
          </w:rPr>
          <w:t>datos preocupantes</w:t>
        </w:r>
      </w:hyperlink>
      <w:r w:rsidRPr="00965B57">
        <w:t xml:space="preserve"> en lo que tiene que ver con la </w:t>
      </w:r>
      <w:hyperlink r:id="rId584" w:history="1">
        <w:r w:rsidRPr="00965B57">
          <w:rPr>
            <w:rStyle w:val="Hipervnculo"/>
            <w:rFonts w:eastAsiaTheme="majorEastAsia"/>
            <w:color w:val="auto"/>
          </w:rPr>
          <w:t>capacidad de la Seguridad Social</w:t>
        </w:r>
      </w:hyperlink>
      <w:r w:rsidRPr="00965B57">
        <w:t xml:space="preserve"> de hacer frente a sus obligaciones. En </w:t>
      </w:r>
      <w:r w:rsidRPr="005A39C3">
        <w:rPr>
          <w:rStyle w:val="Textoennegrita"/>
          <w:b w:val="0"/>
          <w:i/>
        </w:rPr>
        <w:t>Libre Mercado</w:t>
      </w:r>
      <w:r w:rsidRPr="00965B57">
        <w:t xml:space="preserve"> le hemos dedicado </w:t>
      </w:r>
      <w:hyperlink r:id="rId585" w:history="1">
        <w:r w:rsidRPr="00965B57">
          <w:rPr>
            <w:rStyle w:val="Hipervnculo"/>
            <w:rFonts w:eastAsiaTheme="majorEastAsia"/>
            <w:color w:val="auto"/>
          </w:rPr>
          <w:t>numerosos artículos</w:t>
        </w:r>
      </w:hyperlink>
      <w:r w:rsidRPr="00E95565">
        <w:t xml:space="preserve"> a la cuestión. Sin embargo, hay otra cara del problema a la que normalmente no se presta tanta atención. Porque </w:t>
      </w:r>
      <w:r w:rsidRPr="007038E5">
        <w:rPr>
          <w:color w:val="FF0000"/>
          <w:u w:val="single"/>
        </w:rPr>
        <w:t>lo normal es que, puesto que existe una creencia (casi certeza) de que las pensiones del futuro serán más bajas que las actuales, España fuera también uno de los países en los que más peso tiene el ahorro individual para hacer frente a esta situación. Y no es así.</w:t>
      </w:r>
      <w:r w:rsidRPr="007038E5">
        <w:rPr>
          <w:rStyle w:val="Textoennegrita"/>
          <w:color w:val="FF0000"/>
          <w:u w:val="single"/>
        </w:rPr>
        <w:t xml:space="preserve"> </w:t>
      </w:r>
      <w:r w:rsidRPr="00E066B7">
        <w:rPr>
          <w:rStyle w:val="Textoennegrita"/>
          <w:b w:val="0"/>
          <w:color w:val="FF0000"/>
          <w:u w:val="single"/>
        </w:rPr>
        <w:t>Ni por el lado público ni por el privado</w:t>
      </w:r>
      <w:r w:rsidRPr="007038E5">
        <w:rPr>
          <w:rStyle w:val="Textoennegrita"/>
          <w:color w:val="FF0000"/>
          <w:u w:val="single"/>
        </w:rPr>
        <w:t xml:space="preserve"> </w:t>
      </w:r>
      <w:r w:rsidRPr="007038E5">
        <w:rPr>
          <w:color w:val="FF0000"/>
          <w:u w:val="single"/>
        </w:rPr>
        <w:t>hay una respuesta clara: los pensionistas españoles del futuro se enfrentan a una doble amenaza.</w:t>
      </w:r>
    </w:p>
    <w:p w:rsidR="00E066B7" w:rsidRDefault="00E066B7" w:rsidP="00E066B7">
      <w:pPr>
        <w:pStyle w:val="NormalWeb"/>
        <w:jc w:val="both"/>
        <w:rPr>
          <w:color w:val="FF0000"/>
          <w:u w:val="single"/>
        </w:rPr>
      </w:pPr>
    </w:p>
    <w:p w:rsidR="00FA4301" w:rsidRPr="00E066B7" w:rsidRDefault="00FA4301" w:rsidP="00E066B7">
      <w:pPr>
        <w:pStyle w:val="NormalWeb"/>
        <w:jc w:val="both"/>
        <w:rPr>
          <w:b/>
          <w:color w:val="FF0000"/>
          <w:u w:val="single"/>
        </w:rPr>
      </w:pPr>
      <w:r w:rsidRPr="00E066B7">
        <w:rPr>
          <w:rStyle w:val="Textoennegrita"/>
          <w:b w:val="0"/>
        </w:rPr>
        <w:lastRenderedPageBreak/>
        <w:t>La tasa de sustitución</w:t>
      </w:r>
    </w:p>
    <w:p w:rsidR="00FA4301" w:rsidRPr="00E95565" w:rsidRDefault="00FA4301" w:rsidP="00550638">
      <w:pPr>
        <w:pStyle w:val="NormalWeb"/>
        <w:jc w:val="both"/>
      </w:pPr>
      <w:r w:rsidRPr="007038E5">
        <w:rPr>
          <w:u w:val="single"/>
        </w:rPr>
        <w:t xml:space="preserve">En cuanto a las pensiones públicas, uno de los principales problemas de los españoles reside en su desconocimiento. Como explicamos hace unos meses, </w:t>
      </w:r>
      <w:hyperlink r:id="rId586" w:history="1">
        <w:r w:rsidRPr="00965B57">
          <w:rPr>
            <w:rStyle w:val="Hipervnculo"/>
            <w:rFonts w:eastAsiaTheme="majorEastAsia"/>
            <w:color w:val="auto"/>
          </w:rPr>
          <w:t>no saben ni cuánto cobrarán</w:t>
        </w:r>
      </w:hyperlink>
      <w:r w:rsidRPr="00965B57">
        <w:rPr>
          <w:u w:val="single"/>
        </w:rPr>
        <w:t>, ni los cambios legales que ha habido en los últimos años ni las reformas ya anunciadas</w:t>
      </w:r>
      <w:r w:rsidRPr="00965B57">
        <w:t>. Sí, es posible que escuchen a veces noticias sobre el problema que se ciernes sobre ellos, pero probablemente no son conscientes de su mag</w:t>
      </w:r>
      <w:r w:rsidRPr="00E95565">
        <w:t>nitud.</w:t>
      </w:r>
    </w:p>
    <w:p w:rsidR="00FA4301" w:rsidRPr="007038E5" w:rsidRDefault="00FA4301" w:rsidP="00550638">
      <w:pPr>
        <w:pStyle w:val="NormalWeb"/>
        <w:jc w:val="both"/>
        <w:rPr>
          <w:u w:val="single"/>
        </w:rPr>
      </w:pPr>
      <w:r w:rsidRPr="007038E5">
        <w:rPr>
          <w:u w:val="single"/>
        </w:rPr>
        <w:t>Por ejemplo, en comparación con los países de nuestro entorno,</w:t>
      </w:r>
      <w:r w:rsidRPr="007038E5">
        <w:rPr>
          <w:rStyle w:val="Textoennegrita"/>
          <w:u w:val="single"/>
        </w:rPr>
        <w:t xml:space="preserve"> </w:t>
      </w:r>
      <w:r w:rsidRPr="00E066B7">
        <w:rPr>
          <w:rStyle w:val="Textoennegrita"/>
          <w:b w:val="0"/>
          <w:u w:val="single"/>
        </w:rPr>
        <w:t>España tenía en 2007 una tasa de sustitución del 81%</w:t>
      </w:r>
      <w:r w:rsidRPr="00E066B7">
        <w:rPr>
          <w:b/>
          <w:u w:val="single"/>
        </w:rPr>
        <w:t>,</w:t>
      </w:r>
      <w:r w:rsidRPr="007038E5">
        <w:rPr>
          <w:u w:val="single"/>
        </w:rPr>
        <w:t xml:space="preserve"> frente al 34% de Japón o al 40% de Alemania. Tras la reforma, este dato habrá caído un poco pero, en cualquier caso, no será posible garantizar un nivel que implica que la diferencia entre pensión y último sueldo sea de apenas un 20%.</w:t>
      </w:r>
    </w:p>
    <w:p w:rsidR="00FA4301" w:rsidRPr="007038E5" w:rsidRDefault="00FA4301" w:rsidP="00550638">
      <w:pPr>
        <w:pStyle w:val="NormalWeb"/>
        <w:jc w:val="both"/>
        <w:rPr>
          <w:color w:val="FF0000"/>
          <w:u w:val="single"/>
        </w:rPr>
      </w:pPr>
      <w:r w:rsidRPr="00E95565">
        <w:t xml:space="preserve">Aunque se hace mucho hincapié en los temas demográficos y en el envejecimiento previsto (y acelerado) de la población española en los próximos años, este dato es una buena piedra de toque de cómo </w:t>
      </w:r>
      <w:r w:rsidRPr="007038E5">
        <w:rPr>
          <w:u w:val="single"/>
        </w:rPr>
        <w:t xml:space="preserve">el </w:t>
      </w:r>
      <w:r w:rsidRPr="00E066B7">
        <w:rPr>
          <w:rStyle w:val="Textoennegrita"/>
          <w:b w:val="0"/>
          <w:u w:val="single"/>
        </w:rPr>
        <w:t>sistema público está por encima de sus posibilidades</w:t>
      </w:r>
      <w:r w:rsidRPr="007038E5">
        <w:rPr>
          <w:u w:val="single"/>
        </w:rPr>
        <w:t>.</w:t>
      </w:r>
      <w:r w:rsidRPr="00E95565">
        <w:t xml:space="preserve"> </w:t>
      </w:r>
      <w:r w:rsidRPr="007038E5">
        <w:rPr>
          <w:color w:val="FF0000"/>
          <w:u w:val="single"/>
        </w:rPr>
        <w:t>Sólo con llevar esa tasa de sustitución a los niveles habituales en la OCDE, los futuros pensionistas hispanos ya pueden ir haciéndose una idea del camino que recorrerán sus pagas.</w:t>
      </w:r>
    </w:p>
    <w:p w:rsidR="00FA4301" w:rsidRPr="00965B57" w:rsidRDefault="00FA4301" w:rsidP="00550638">
      <w:pPr>
        <w:pStyle w:val="Ttulo2"/>
        <w:spacing w:line="240" w:lineRule="auto"/>
        <w:jc w:val="both"/>
        <w:rPr>
          <w:rFonts w:ascii="Times New Roman" w:hAnsi="Times New Roman" w:cs="Times New Roman"/>
          <w:color w:val="auto"/>
          <w:sz w:val="24"/>
          <w:szCs w:val="24"/>
        </w:rPr>
      </w:pPr>
      <w:r w:rsidRPr="00965B57">
        <w:rPr>
          <w:rStyle w:val="Textoennegrita"/>
          <w:rFonts w:ascii="Times New Roman" w:hAnsi="Times New Roman" w:cs="Times New Roman"/>
          <w:color w:val="auto"/>
          <w:sz w:val="24"/>
          <w:szCs w:val="24"/>
        </w:rPr>
        <w:t>¿Ahorro?</w:t>
      </w:r>
    </w:p>
    <w:p w:rsidR="00FA4301" w:rsidRPr="007038E5" w:rsidRDefault="00FA4301" w:rsidP="00550638">
      <w:pPr>
        <w:pStyle w:val="NormalWeb"/>
        <w:jc w:val="both"/>
        <w:rPr>
          <w:color w:val="FF0000"/>
          <w:u w:val="single"/>
        </w:rPr>
      </w:pPr>
      <w:r w:rsidRPr="007038E5">
        <w:rPr>
          <w:color w:val="FF0000"/>
          <w:u w:val="single"/>
        </w:rPr>
        <w:t xml:space="preserve">En este sentido, desde la perspectiva española, una de las primeras preguntas que surgen es cómo pueden vivir los jubilados franceses o alemanes con prestaciones que apenas llegan a la mitad de su último sueldo. Y aquí aparece la segunda amenaza que se cierne sobre los pensionistas patrios: </w:t>
      </w:r>
      <w:r w:rsidRPr="00E066B7">
        <w:rPr>
          <w:rStyle w:val="Textoennegrita"/>
          <w:b w:val="0"/>
          <w:color w:val="FF0000"/>
          <w:u w:val="single"/>
        </w:rPr>
        <w:t>su tasa de ahorro es mucho menor que la de sus vecinos</w:t>
      </w:r>
      <w:r w:rsidRPr="007038E5">
        <w:rPr>
          <w:color w:val="FF0000"/>
          <w:u w:val="single"/>
        </w:rPr>
        <w:t>. Es decir, que cuando desaparezca parte de la paga pública a la que creían que tenían derecho, se podrían encontrar sin el colchón del ahorro privado.</w:t>
      </w:r>
    </w:p>
    <w:p w:rsidR="00FA4301" w:rsidRPr="007038E5" w:rsidRDefault="00FA4301" w:rsidP="00550638">
      <w:pPr>
        <w:pStyle w:val="NormalWeb"/>
        <w:jc w:val="both"/>
        <w:rPr>
          <w:color w:val="FF0000"/>
          <w:u w:val="single"/>
        </w:rPr>
      </w:pPr>
      <w:r w:rsidRPr="007038E5">
        <w:rPr>
          <w:color w:val="FF0000"/>
          <w:u w:val="single"/>
        </w:rPr>
        <w:t>Por ejemplo, si tomamos como referencia los planes de pensiones, en Holanda los fondos acumulados por sus ciudadanos</w:t>
      </w:r>
      <w:r w:rsidRPr="007038E5">
        <w:rPr>
          <w:rStyle w:val="Textoennegrita"/>
          <w:color w:val="FF0000"/>
          <w:u w:val="single"/>
        </w:rPr>
        <w:t xml:space="preserve"> </w:t>
      </w:r>
      <w:r w:rsidRPr="00E066B7">
        <w:rPr>
          <w:rStyle w:val="Textoennegrita"/>
          <w:b w:val="0"/>
          <w:color w:val="FF0000"/>
          <w:u w:val="single"/>
        </w:rPr>
        <w:t>llegan al 138% del PIB</w:t>
      </w:r>
      <w:r w:rsidRPr="007038E5">
        <w:rPr>
          <w:color w:val="FF0000"/>
          <w:u w:val="single"/>
        </w:rPr>
        <w:t xml:space="preserve">, en Reino Unido al 88% y en Dinamarca al 49,7%. Mientras, en España apenas alcanzan el 7,8%. Y como apuntaba el informe del BCE conocido hace unas semanas sobre el patrimonio de los europeos, "sólo el 5,6% de los españoles tiene fondos de inversión, frente a un 17% de los alemanes u holandeses". De acuerdo a un estudio de la CNMV, sólo el 27% de los españoles tiene </w:t>
      </w:r>
      <w:hyperlink r:id="rId587" w:history="1">
        <w:r w:rsidRPr="007038E5">
          <w:rPr>
            <w:rStyle w:val="Hipervnculo"/>
            <w:rFonts w:eastAsiaTheme="majorEastAsia"/>
            <w:color w:val="FF0000"/>
          </w:rPr>
          <w:t>plan de pensiones</w:t>
        </w:r>
      </w:hyperlink>
      <w:r w:rsidRPr="007038E5">
        <w:rPr>
          <w:color w:val="FF0000"/>
          <w:u w:val="single"/>
        </w:rPr>
        <w:t>, frente a un 49% de los americanos y lo mismo puede decirse para fondos de inversión o acciones.</w:t>
      </w:r>
    </w:p>
    <w:p w:rsidR="00FA4301" w:rsidRDefault="00FA4301" w:rsidP="00550638">
      <w:pPr>
        <w:pStyle w:val="NormalWeb"/>
        <w:jc w:val="both"/>
      </w:pPr>
      <w:r w:rsidRPr="00E95565">
        <w:t xml:space="preserve"> </w:t>
      </w:r>
      <w:r w:rsidRPr="00E95565">
        <w:rPr>
          <w:noProof/>
          <w:color w:val="0000FF"/>
        </w:rPr>
        <w:drawing>
          <wp:inline distT="0" distB="0" distL="0" distR="0" wp14:anchorId="59B4F6E8" wp14:editId="0E7119B8">
            <wp:extent cx="5413247" cy="1806854"/>
            <wp:effectExtent l="0" t="0" r="0" b="3175"/>
            <wp:docPr id="71" name="Imagen 5" descr="http://s.libertaddigital.com/fotos/noticias/planes_pensiones_rentabilidades.jpg">
              <a:hlinkClick xmlns:a="http://schemas.openxmlformats.org/drawingml/2006/main" r:id="rId58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ibertaddigital.com/fotos/noticias/planes_pensiones_rentabilidades.jpg">
                      <a:hlinkClick r:id="rId588"/>
                    </pic:cNvPr>
                    <pic:cNvPicPr>
                      <a:picLocks noChangeAspect="1" noChangeArrowheads="1"/>
                    </pic:cNvPicPr>
                  </pic:nvPicPr>
                  <pic:blipFill>
                    <a:blip r:embed="rId589" cstate="print"/>
                    <a:srcRect/>
                    <a:stretch>
                      <a:fillRect/>
                    </a:stretch>
                  </pic:blipFill>
                  <pic:spPr bwMode="auto">
                    <a:xfrm>
                      <a:off x="0" y="0"/>
                      <a:ext cx="5414761" cy="1807359"/>
                    </a:xfrm>
                    <a:prstGeom prst="rect">
                      <a:avLst/>
                    </a:prstGeom>
                    <a:noFill/>
                    <a:ln w="9525">
                      <a:noFill/>
                      <a:miter lim="800000"/>
                      <a:headEnd/>
                      <a:tailEnd/>
                    </a:ln>
                  </pic:spPr>
                </pic:pic>
              </a:graphicData>
            </a:graphic>
          </wp:inline>
        </w:drawing>
      </w:r>
    </w:p>
    <w:p w:rsidR="00FA4301" w:rsidRPr="00965B57" w:rsidRDefault="00FA4301" w:rsidP="00550638">
      <w:pPr>
        <w:pStyle w:val="NormalWeb"/>
        <w:jc w:val="both"/>
      </w:pPr>
      <w:r w:rsidRPr="00E95565">
        <w:lastRenderedPageBreak/>
        <w:t xml:space="preserve">¿Y por qué se da esta situación? Puede haber </w:t>
      </w:r>
      <w:r w:rsidRPr="00E066B7">
        <w:rPr>
          <w:rStyle w:val="Textoennegrita"/>
          <w:b w:val="0"/>
        </w:rPr>
        <w:t>muchas explicaciones, desde sociológicas a legales</w:t>
      </w:r>
      <w:r w:rsidRPr="00E066B7">
        <w:rPr>
          <w:b/>
        </w:rPr>
        <w:t>,</w:t>
      </w:r>
      <w:r w:rsidRPr="00E95565">
        <w:t xml:space="preserve"> pasando por las pocas ventajas fiscales que puede tener el ahorro en España respecto a otros países. Pero no hay duda de que los fondos españoles tienen también </w:t>
      </w:r>
      <w:hyperlink r:id="rId590" w:history="1">
        <w:r w:rsidRPr="00965B57">
          <w:rPr>
            <w:rStyle w:val="Hipervnculo"/>
            <w:rFonts w:eastAsiaTheme="majorEastAsia"/>
            <w:color w:val="auto"/>
          </w:rPr>
          <w:t>un problema de rentabilidad</w:t>
        </w:r>
      </w:hyperlink>
      <w:r w:rsidRPr="00965B57">
        <w:t xml:space="preserve">. Por alguna razón, los beneficios de estos productos han estado, en general, </w:t>
      </w:r>
      <w:hyperlink r:id="rId591" w:history="1">
        <w:r w:rsidRPr="00965B57">
          <w:rPr>
            <w:rStyle w:val="Hipervnculo"/>
            <w:rFonts w:eastAsiaTheme="majorEastAsia"/>
            <w:color w:val="auto"/>
          </w:rPr>
          <w:t>por debajo de lo habitual</w:t>
        </w:r>
      </w:hyperlink>
      <w:r w:rsidRPr="00965B57">
        <w:t xml:space="preserve"> en la UE. Así, según los datos del </w:t>
      </w:r>
      <w:hyperlink r:id="rId592" w:history="1">
        <w:r w:rsidRPr="00965B57">
          <w:rPr>
            <w:rStyle w:val="Hipervnculo"/>
            <w:rFonts w:eastAsiaTheme="majorEastAsia"/>
            <w:color w:val="auto"/>
          </w:rPr>
          <w:t>último informe de Inverco</w:t>
        </w:r>
      </w:hyperlink>
      <w:r w:rsidRPr="00965B57">
        <w:t xml:space="preserve"> (la patronal del sector) la rentabilidad media de los planes de pensiones españoles a cinco años apenas llega al 1,85%; a diez años sube hasta el 3,09% (ver rentabilidad en el gráfico superior).</w:t>
      </w:r>
    </w:p>
    <w:p w:rsidR="00FA4301" w:rsidRPr="00965B57" w:rsidRDefault="00FA4301" w:rsidP="00550638">
      <w:pPr>
        <w:pStyle w:val="NormalWeb"/>
        <w:jc w:val="both"/>
      </w:pPr>
      <w:r w:rsidRPr="00965B57">
        <w:t xml:space="preserve">Evidentemente, estos datos son una media. Hay </w:t>
      </w:r>
      <w:hyperlink r:id="rId593" w:history="1">
        <w:r w:rsidRPr="00965B57">
          <w:rPr>
            <w:rStyle w:val="Hipervnculo"/>
            <w:rFonts w:eastAsiaTheme="majorEastAsia"/>
            <w:color w:val="auto"/>
          </w:rPr>
          <w:t>gestores que han conseguido importantes rendimientos</w:t>
        </w:r>
      </w:hyperlink>
      <w:r w:rsidRPr="00965B57">
        <w:t xml:space="preserve">, pero no han sido la norma. Por un lado, hay que apuntar que muchas entidades financieras </w:t>
      </w:r>
      <w:r w:rsidRPr="00E066B7">
        <w:rPr>
          <w:rStyle w:val="Textoennegrita"/>
          <w:b w:val="0"/>
        </w:rPr>
        <w:t>ofrecen estos productos como forma de fidelización</w:t>
      </w:r>
      <w:r w:rsidRPr="00E066B7">
        <w:rPr>
          <w:b/>
        </w:rPr>
        <w:t>,</w:t>
      </w:r>
      <w:r w:rsidRPr="00965B57">
        <w:t xml:space="preserve"> con regalos y otros ganchos similares, más que como una forma de inversión en sí misma. Muchos contribuyentes, además, utilizan estos planes como forma de optimización fiscal.</w:t>
      </w:r>
    </w:p>
    <w:p w:rsidR="00FA4301" w:rsidRPr="00965B57" w:rsidRDefault="00FA4301" w:rsidP="00550638">
      <w:pPr>
        <w:pStyle w:val="Ttulo2"/>
        <w:spacing w:line="240" w:lineRule="auto"/>
        <w:jc w:val="both"/>
        <w:rPr>
          <w:rFonts w:ascii="Times New Roman" w:hAnsi="Times New Roman" w:cs="Times New Roman"/>
          <w:color w:val="auto"/>
          <w:sz w:val="24"/>
          <w:szCs w:val="24"/>
        </w:rPr>
      </w:pPr>
      <w:r w:rsidRPr="00965B57">
        <w:rPr>
          <w:rStyle w:val="Textoennegrita"/>
          <w:rFonts w:ascii="Times New Roman" w:hAnsi="Times New Roman" w:cs="Times New Roman"/>
          <w:color w:val="auto"/>
          <w:sz w:val="24"/>
          <w:szCs w:val="24"/>
        </w:rPr>
        <w:t>La opinión de los expertos</w:t>
      </w:r>
    </w:p>
    <w:p w:rsidR="00FA4301" w:rsidRPr="00E95565" w:rsidRDefault="00FA4301" w:rsidP="00550638">
      <w:pPr>
        <w:pStyle w:val="NormalWeb"/>
        <w:jc w:val="both"/>
      </w:pPr>
      <w:r w:rsidRPr="00E95565">
        <w:t xml:space="preserve">Isca Noguera, responsable del Departamento de Auditoría Financiera y Maite Lázaro, consultora de Ahorro-Previsión de </w:t>
      </w:r>
      <w:hyperlink r:id="rId594" w:history="1">
        <w:r w:rsidRPr="00965B57">
          <w:rPr>
            <w:rStyle w:val="Hipervnculo"/>
            <w:rFonts w:eastAsiaTheme="majorEastAsia"/>
            <w:color w:val="auto"/>
          </w:rPr>
          <w:t>Optima Financial Planners</w:t>
        </w:r>
      </w:hyperlink>
      <w:r w:rsidRPr="00E95565">
        <w:t>, apuntan algunas ideas interesantes para aquellos que estén pensando en ahorrar de cara a su jubilación:</w:t>
      </w:r>
    </w:p>
    <w:p w:rsidR="00FA4301" w:rsidRPr="00E95565" w:rsidRDefault="00FA4301" w:rsidP="00550638">
      <w:pPr>
        <w:numPr>
          <w:ilvl w:val="0"/>
          <w:numId w:val="27"/>
        </w:numPr>
        <w:spacing w:before="100" w:beforeAutospacing="1" w:after="100" w:afterAutospacing="1" w:line="240" w:lineRule="auto"/>
        <w:jc w:val="both"/>
        <w:rPr>
          <w:rFonts w:ascii="Times New Roman" w:hAnsi="Times New Roman" w:cs="Times New Roman"/>
          <w:sz w:val="24"/>
          <w:szCs w:val="24"/>
        </w:rPr>
      </w:pPr>
      <w:r w:rsidRPr="00E95565">
        <w:rPr>
          <w:rStyle w:val="Textoennegrita"/>
          <w:rFonts w:ascii="Times New Roman" w:hAnsi="Times New Roman" w:cs="Times New Roman"/>
          <w:sz w:val="24"/>
          <w:szCs w:val="24"/>
        </w:rPr>
        <w:t>¿Qué contratar?:</w:t>
      </w:r>
      <w:r w:rsidR="00965B57">
        <w:rPr>
          <w:rFonts w:ascii="Times New Roman" w:hAnsi="Times New Roman" w:cs="Times New Roman"/>
          <w:sz w:val="24"/>
          <w:szCs w:val="24"/>
        </w:rPr>
        <w:t xml:space="preserve"> “</w:t>
      </w:r>
      <w:r w:rsidRPr="00E95565">
        <w:rPr>
          <w:rFonts w:ascii="Times New Roman" w:hAnsi="Times New Roman" w:cs="Times New Roman"/>
          <w:sz w:val="24"/>
          <w:szCs w:val="24"/>
        </w:rPr>
        <w:t>Los planes de perfil más arriesgado sí que dan rentabilidades más elevadas, sobre todo a medio plazo. Cuando una persona se acerca a la edad de jubilación, se le aconseja pasar uno con capital asegurado. A los jóvenes, se les aconseja</w:t>
      </w:r>
      <w:r w:rsidR="00965B57">
        <w:rPr>
          <w:rFonts w:ascii="Times New Roman" w:hAnsi="Times New Roman" w:cs="Times New Roman"/>
          <w:sz w:val="24"/>
          <w:szCs w:val="24"/>
        </w:rPr>
        <w:t xml:space="preserve"> planes de perfil de más riesgo”</w:t>
      </w:r>
      <w:r w:rsidRPr="00E95565">
        <w:rPr>
          <w:rFonts w:ascii="Times New Roman" w:hAnsi="Times New Roman" w:cs="Times New Roman"/>
          <w:sz w:val="24"/>
          <w:szCs w:val="24"/>
        </w:rPr>
        <w:t>.</w:t>
      </w:r>
    </w:p>
    <w:p w:rsidR="00FA4301" w:rsidRPr="00E95565" w:rsidRDefault="00965B57" w:rsidP="00550638">
      <w:pPr>
        <w:numPr>
          <w:ilvl w:val="0"/>
          <w:numId w:val="27"/>
        </w:numPr>
        <w:spacing w:before="100" w:beforeAutospacing="1" w:after="100" w:afterAutospacing="1" w:line="240" w:lineRule="auto"/>
        <w:jc w:val="both"/>
        <w:rPr>
          <w:rFonts w:ascii="Times New Roman" w:hAnsi="Times New Roman" w:cs="Times New Roman"/>
          <w:sz w:val="24"/>
          <w:szCs w:val="24"/>
        </w:rPr>
      </w:pPr>
      <w:r>
        <w:rPr>
          <w:rStyle w:val="Textoennegrita"/>
          <w:rFonts w:ascii="Times New Roman" w:hAnsi="Times New Roman" w:cs="Times New Roman"/>
          <w:sz w:val="24"/>
          <w:szCs w:val="24"/>
        </w:rPr>
        <w:t>¿Rentabilidad o “ganchos”</w:t>
      </w:r>
      <w:r w:rsidR="00FA4301" w:rsidRPr="00E95565">
        <w:rPr>
          <w:rStyle w:val="Textoennegrita"/>
          <w:rFonts w:ascii="Times New Roman" w:hAnsi="Times New Roman" w:cs="Times New Roman"/>
          <w:sz w:val="24"/>
          <w:szCs w:val="24"/>
        </w:rPr>
        <w:t>?:</w:t>
      </w:r>
      <w:r>
        <w:rPr>
          <w:rFonts w:ascii="Times New Roman" w:hAnsi="Times New Roman" w:cs="Times New Roman"/>
          <w:sz w:val="24"/>
          <w:szCs w:val="24"/>
        </w:rPr>
        <w:t xml:space="preserve"> “</w:t>
      </w:r>
      <w:r w:rsidR="00FA4301" w:rsidRPr="00E95565">
        <w:rPr>
          <w:rFonts w:ascii="Times New Roman" w:hAnsi="Times New Roman" w:cs="Times New Roman"/>
          <w:sz w:val="24"/>
          <w:szCs w:val="24"/>
        </w:rPr>
        <w:t>Está claro que los regalos son muy bonitos, pero normalmente se dan a cambio de una penalización por retirar el plan en un tiempo determinado, para tener atado a los clientes. La gente debería tener en cuenta esto, lo importante no es lo que te pueden regalar, sino la rentabilidad del p</w:t>
      </w:r>
      <w:r>
        <w:rPr>
          <w:rFonts w:ascii="Times New Roman" w:hAnsi="Times New Roman" w:cs="Times New Roman"/>
          <w:sz w:val="24"/>
          <w:szCs w:val="24"/>
        </w:rPr>
        <w:t>lan”</w:t>
      </w:r>
      <w:r w:rsidR="00FA4301" w:rsidRPr="00E95565">
        <w:rPr>
          <w:rFonts w:ascii="Times New Roman" w:hAnsi="Times New Roman" w:cs="Times New Roman"/>
          <w:sz w:val="24"/>
          <w:szCs w:val="24"/>
        </w:rPr>
        <w:t>.</w:t>
      </w:r>
    </w:p>
    <w:p w:rsidR="00FA4301" w:rsidRPr="00E95565" w:rsidRDefault="00FA4301" w:rsidP="00550638">
      <w:pPr>
        <w:numPr>
          <w:ilvl w:val="0"/>
          <w:numId w:val="27"/>
        </w:numPr>
        <w:spacing w:before="100" w:beforeAutospacing="1" w:after="100" w:afterAutospacing="1" w:line="240" w:lineRule="auto"/>
        <w:jc w:val="both"/>
        <w:rPr>
          <w:rFonts w:ascii="Times New Roman" w:hAnsi="Times New Roman" w:cs="Times New Roman"/>
          <w:sz w:val="24"/>
          <w:szCs w:val="24"/>
        </w:rPr>
      </w:pPr>
      <w:r w:rsidRPr="00E95565">
        <w:rPr>
          <w:rStyle w:val="Textoennegrita"/>
          <w:rFonts w:ascii="Times New Roman" w:hAnsi="Times New Roman" w:cs="Times New Roman"/>
          <w:sz w:val="24"/>
          <w:szCs w:val="24"/>
        </w:rPr>
        <w:t>¿Nos fijamos demasiado en la fiscalidad?</w:t>
      </w:r>
      <w:r w:rsidR="00965B57">
        <w:rPr>
          <w:rFonts w:ascii="Times New Roman" w:hAnsi="Times New Roman" w:cs="Times New Roman"/>
          <w:sz w:val="24"/>
          <w:szCs w:val="24"/>
        </w:rPr>
        <w:t>: “</w:t>
      </w:r>
      <w:r w:rsidRPr="00E95565">
        <w:rPr>
          <w:rFonts w:ascii="Times New Roman" w:hAnsi="Times New Roman" w:cs="Times New Roman"/>
          <w:sz w:val="24"/>
          <w:szCs w:val="24"/>
        </w:rPr>
        <w:t>En la medida en que la fiscalidad es ventajosa, mucha gente contrata sólo para ahorrarse el IRPF. La rentabilidad no se tiene tan en cuenta. La gente no lo contempla c</w:t>
      </w:r>
      <w:r w:rsidR="00965B57">
        <w:rPr>
          <w:rFonts w:ascii="Times New Roman" w:hAnsi="Times New Roman" w:cs="Times New Roman"/>
          <w:sz w:val="24"/>
          <w:szCs w:val="24"/>
        </w:rPr>
        <w:t>omo un producto de rentabilidad”</w:t>
      </w:r>
      <w:r w:rsidRPr="00E95565">
        <w:rPr>
          <w:rFonts w:ascii="Times New Roman" w:hAnsi="Times New Roman" w:cs="Times New Roman"/>
          <w:sz w:val="24"/>
          <w:szCs w:val="24"/>
        </w:rPr>
        <w:t>.</w:t>
      </w:r>
    </w:p>
    <w:p w:rsidR="00FA4301" w:rsidRPr="00E95565" w:rsidRDefault="00FA4301" w:rsidP="00550638">
      <w:pPr>
        <w:numPr>
          <w:ilvl w:val="0"/>
          <w:numId w:val="27"/>
        </w:numPr>
        <w:spacing w:before="100" w:beforeAutospacing="1" w:after="100" w:afterAutospacing="1" w:line="240" w:lineRule="auto"/>
        <w:jc w:val="both"/>
        <w:rPr>
          <w:rFonts w:ascii="Times New Roman" w:hAnsi="Times New Roman" w:cs="Times New Roman"/>
          <w:sz w:val="24"/>
          <w:szCs w:val="24"/>
        </w:rPr>
      </w:pPr>
      <w:r w:rsidRPr="00E95565">
        <w:rPr>
          <w:rStyle w:val="Textoennegrita"/>
          <w:rFonts w:ascii="Times New Roman" w:hAnsi="Times New Roman" w:cs="Times New Roman"/>
          <w:sz w:val="24"/>
          <w:szCs w:val="24"/>
        </w:rPr>
        <w:t xml:space="preserve">¿Qué pasa </w:t>
      </w:r>
      <w:r w:rsidR="001C1B05" w:rsidRPr="00E95565">
        <w:rPr>
          <w:rStyle w:val="Textoennegrita"/>
          <w:rFonts w:ascii="Times New Roman" w:hAnsi="Times New Roman" w:cs="Times New Roman"/>
          <w:sz w:val="24"/>
          <w:szCs w:val="24"/>
        </w:rPr>
        <w:t>cuando</w:t>
      </w:r>
      <w:r w:rsidRPr="00E95565">
        <w:rPr>
          <w:rStyle w:val="Textoennegrita"/>
          <w:rFonts w:ascii="Times New Roman" w:hAnsi="Times New Roman" w:cs="Times New Roman"/>
          <w:sz w:val="24"/>
          <w:szCs w:val="24"/>
        </w:rPr>
        <w:t xml:space="preserve"> me llega el momento de cobrarlo?</w:t>
      </w:r>
      <w:r w:rsidR="001C1B05">
        <w:rPr>
          <w:rFonts w:ascii="Times New Roman" w:hAnsi="Times New Roman" w:cs="Times New Roman"/>
          <w:sz w:val="24"/>
          <w:szCs w:val="24"/>
        </w:rPr>
        <w:t>: “</w:t>
      </w:r>
      <w:r w:rsidRPr="00E95565">
        <w:rPr>
          <w:rFonts w:ascii="Times New Roman" w:hAnsi="Times New Roman" w:cs="Times New Roman"/>
          <w:sz w:val="24"/>
          <w:szCs w:val="24"/>
        </w:rPr>
        <w:t xml:space="preserve">Es lo más importante. Lo primero que hay que ver es si las aportaciones son hasta 31 de diciembre de 2007; en ese caso normalmente interesa bastante cobrar en forma de capital, porque tiene una deducción del 40%, como una renta irregular. Las aportaciones posteriores, en general, interesa </w:t>
      </w:r>
      <w:r w:rsidR="001C1B05">
        <w:rPr>
          <w:rFonts w:ascii="Times New Roman" w:hAnsi="Times New Roman" w:cs="Times New Roman"/>
          <w:sz w:val="24"/>
          <w:szCs w:val="24"/>
        </w:rPr>
        <w:t>más cobrarlas en forma de renta”</w:t>
      </w:r>
      <w:r w:rsidRPr="00E95565">
        <w:rPr>
          <w:rFonts w:ascii="Times New Roman" w:hAnsi="Times New Roman" w:cs="Times New Roman"/>
          <w:sz w:val="24"/>
          <w:szCs w:val="24"/>
        </w:rPr>
        <w:t>.</w:t>
      </w:r>
    </w:p>
    <w:p w:rsidR="00FA4301" w:rsidRPr="00E95565" w:rsidRDefault="00FA4301" w:rsidP="00550638">
      <w:pPr>
        <w:numPr>
          <w:ilvl w:val="0"/>
          <w:numId w:val="27"/>
        </w:numPr>
        <w:spacing w:before="100" w:beforeAutospacing="1" w:after="100" w:afterAutospacing="1" w:line="240" w:lineRule="auto"/>
        <w:jc w:val="both"/>
        <w:rPr>
          <w:rFonts w:ascii="Times New Roman" w:hAnsi="Times New Roman" w:cs="Times New Roman"/>
          <w:sz w:val="24"/>
          <w:szCs w:val="24"/>
        </w:rPr>
      </w:pPr>
      <w:r w:rsidRPr="00E95565">
        <w:rPr>
          <w:rStyle w:val="Textoennegrita"/>
          <w:rFonts w:ascii="Times New Roman" w:hAnsi="Times New Roman" w:cs="Times New Roman"/>
          <w:sz w:val="24"/>
          <w:szCs w:val="24"/>
        </w:rPr>
        <w:t>¿Cómo podría ayudar el Gobierno a relanzar estos productos?</w:t>
      </w:r>
      <w:r w:rsidR="001C1B05">
        <w:rPr>
          <w:rFonts w:ascii="Times New Roman" w:hAnsi="Times New Roman" w:cs="Times New Roman"/>
          <w:sz w:val="24"/>
          <w:szCs w:val="24"/>
        </w:rPr>
        <w:t>: “</w:t>
      </w:r>
      <w:r w:rsidRPr="00E95565">
        <w:rPr>
          <w:rFonts w:ascii="Times New Roman" w:hAnsi="Times New Roman" w:cs="Times New Roman"/>
          <w:sz w:val="24"/>
          <w:szCs w:val="24"/>
        </w:rPr>
        <w:t>Pues podría volver a aprobar esa reducción, para que te beneficies no sólo cuando aport</w:t>
      </w:r>
      <w:r w:rsidR="001C1B05">
        <w:rPr>
          <w:rFonts w:ascii="Times New Roman" w:hAnsi="Times New Roman" w:cs="Times New Roman"/>
          <w:sz w:val="24"/>
          <w:szCs w:val="24"/>
        </w:rPr>
        <w:t>as sino también cuando rescatas”</w:t>
      </w:r>
      <w:r w:rsidRPr="00E95565">
        <w:rPr>
          <w:rFonts w:ascii="Times New Roman" w:hAnsi="Times New Roman" w:cs="Times New Roman"/>
          <w:sz w:val="24"/>
          <w:szCs w:val="24"/>
        </w:rPr>
        <w:t>.</w:t>
      </w:r>
    </w:p>
    <w:p w:rsidR="00FA4301" w:rsidRDefault="00FA4301" w:rsidP="00550638">
      <w:pPr>
        <w:numPr>
          <w:ilvl w:val="0"/>
          <w:numId w:val="27"/>
        </w:numPr>
        <w:spacing w:before="100" w:beforeAutospacing="1" w:after="100" w:afterAutospacing="1" w:line="240" w:lineRule="auto"/>
        <w:jc w:val="both"/>
        <w:rPr>
          <w:rFonts w:ascii="Times New Roman" w:hAnsi="Times New Roman" w:cs="Times New Roman"/>
          <w:sz w:val="24"/>
          <w:szCs w:val="24"/>
        </w:rPr>
      </w:pPr>
      <w:r w:rsidRPr="00E95565">
        <w:rPr>
          <w:rStyle w:val="Textoennegrita"/>
          <w:rFonts w:ascii="Times New Roman" w:hAnsi="Times New Roman" w:cs="Times New Roman"/>
          <w:sz w:val="24"/>
          <w:szCs w:val="24"/>
        </w:rPr>
        <w:t>¿Se puede rescatar el plan mientras estás trabajando si tienes más de 65 años?</w:t>
      </w:r>
      <w:r w:rsidR="001C1B05">
        <w:rPr>
          <w:rFonts w:ascii="Times New Roman" w:hAnsi="Times New Roman" w:cs="Times New Roman"/>
          <w:sz w:val="24"/>
          <w:szCs w:val="24"/>
        </w:rPr>
        <w:t>: “</w:t>
      </w:r>
      <w:r w:rsidRPr="00E95565">
        <w:rPr>
          <w:rFonts w:ascii="Times New Roman" w:hAnsi="Times New Roman" w:cs="Times New Roman"/>
          <w:sz w:val="24"/>
          <w:szCs w:val="24"/>
        </w:rPr>
        <w:t>Entiendo que no. Si sigues generando rentas no puedes cobrarlo. Tienes que tener certificado legal de que eres jubilado (total o parcial). El rescate sólo se permite por jubilación, invalide</w:t>
      </w:r>
      <w:r w:rsidR="001C1B05">
        <w:rPr>
          <w:rFonts w:ascii="Times New Roman" w:hAnsi="Times New Roman" w:cs="Times New Roman"/>
          <w:sz w:val="24"/>
          <w:szCs w:val="24"/>
        </w:rPr>
        <w:t>z, desempleo o enfermedad grave”</w:t>
      </w:r>
      <w:r w:rsidRPr="00E95565">
        <w:rPr>
          <w:rFonts w:ascii="Times New Roman" w:hAnsi="Times New Roman" w:cs="Times New Roman"/>
          <w:sz w:val="24"/>
          <w:szCs w:val="24"/>
        </w:rPr>
        <w:t>.</w:t>
      </w:r>
    </w:p>
    <w:p w:rsidR="00E066B7" w:rsidRDefault="00E066B7" w:rsidP="00E066B7">
      <w:pPr>
        <w:spacing w:before="100" w:beforeAutospacing="1" w:after="100" w:afterAutospacing="1" w:line="240" w:lineRule="auto"/>
        <w:jc w:val="both"/>
        <w:rPr>
          <w:rFonts w:ascii="Times New Roman" w:hAnsi="Times New Roman" w:cs="Times New Roman"/>
          <w:sz w:val="24"/>
          <w:szCs w:val="24"/>
        </w:rPr>
      </w:pPr>
    </w:p>
    <w:p w:rsidR="001C1B05" w:rsidRPr="001C1B05" w:rsidRDefault="001C1B05" w:rsidP="00550638">
      <w:pPr>
        <w:spacing w:before="100" w:beforeAutospacing="1" w:after="100" w:afterAutospacing="1" w:line="240" w:lineRule="auto"/>
        <w:jc w:val="both"/>
        <w:rPr>
          <w:rFonts w:ascii="Times New Roman" w:hAnsi="Times New Roman" w:cs="Times New Roman"/>
          <w:sz w:val="24"/>
          <w:szCs w:val="24"/>
          <w:u w:val="single"/>
        </w:rPr>
      </w:pPr>
      <w:r>
        <w:rPr>
          <w:rStyle w:val="Textoennegrita"/>
          <w:rFonts w:ascii="Times New Roman" w:hAnsi="Times New Roman" w:cs="Times New Roman"/>
          <w:b w:val="0"/>
          <w:sz w:val="24"/>
          <w:szCs w:val="24"/>
          <w:u w:val="single"/>
        </w:rPr>
        <w:lastRenderedPageBreak/>
        <w:t>Con tanto ‘meneo’</w:t>
      </w:r>
      <w:r w:rsidR="00463095">
        <w:rPr>
          <w:rStyle w:val="Textoennegrita"/>
          <w:rFonts w:ascii="Times New Roman" w:hAnsi="Times New Roman" w:cs="Times New Roman"/>
          <w:b w:val="0"/>
          <w:sz w:val="24"/>
          <w:szCs w:val="24"/>
          <w:u w:val="single"/>
        </w:rPr>
        <w:t xml:space="preserve"> en Europa, es importante</w:t>
      </w:r>
      <w:r w:rsidRPr="001C1B05">
        <w:rPr>
          <w:rStyle w:val="Textoennegrita"/>
          <w:rFonts w:ascii="Times New Roman" w:hAnsi="Times New Roman" w:cs="Times New Roman"/>
          <w:b w:val="0"/>
          <w:sz w:val="24"/>
          <w:szCs w:val="24"/>
          <w:u w:val="single"/>
        </w:rPr>
        <w:t xml:space="preserve"> ver cómo funciona (¡o no!) el sistema USA</w:t>
      </w:r>
    </w:p>
    <w:p w:rsidR="00FA4301" w:rsidRDefault="00FA4301" w:rsidP="00550638">
      <w:pPr>
        <w:spacing w:before="100" w:beforeAutospacing="1" w:after="100" w:afterAutospacing="1" w:line="240" w:lineRule="auto"/>
        <w:jc w:val="both"/>
        <w:rPr>
          <w:rFonts w:ascii="Times New Roman" w:hAnsi="Times New Roman" w:cs="Times New Roman"/>
          <w:sz w:val="24"/>
          <w:szCs w:val="24"/>
        </w:rPr>
      </w:pPr>
      <w:r w:rsidRPr="00851805">
        <w:rPr>
          <w:rFonts w:ascii="Times New Roman" w:hAnsi="Times New Roman" w:cs="Times New Roman"/>
          <w:sz w:val="24"/>
          <w:szCs w:val="24"/>
        </w:rPr>
        <w:t xml:space="preserve">- </w:t>
      </w:r>
      <w:r w:rsidRPr="00851805">
        <w:rPr>
          <w:rFonts w:ascii="Times New Roman" w:hAnsi="Times New Roman" w:cs="Times New Roman"/>
          <w:sz w:val="24"/>
          <w:szCs w:val="24"/>
          <w:u w:val="single"/>
        </w:rPr>
        <w:t>El futuro del sistema previsional estadounidense</w:t>
      </w:r>
      <w:r>
        <w:rPr>
          <w:rFonts w:ascii="Times New Roman" w:hAnsi="Times New Roman" w:cs="Times New Roman"/>
          <w:sz w:val="24"/>
          <w:szCs w:val="24"/>
        </w:rPr>
        <w:t xml:space="preserve"> (Project Syndicate - </w:t>
      </w:r>
      <w:r w:rsidRPr="00851805">
        <w:rPr>
          <w:rFonts w:ascii="Times New Roman" w:hAnsi="Times New Roman" w:cs="Times New Roman"/>
          <w:b/>
          <w:sz w:val="24"/>
          <w:szCs w:val="24"/>
        </w:rPr>
        <w:t>28/5/13</w:t>
      </w:r>
      <w:r>
        <w:rPr>
          <w:rFonts w:ascii="Times New Roman" w:hAnsi="Times New Roman" w:cs="Times New Roman"/>
          <w:sz w:val="24"/>
          <w:szCs w:val="24"/>
        </w:rPr>
        <w:t>)</w:t>
      </w:r>
      <w:r w:rsidRPr="00851805">
        <w:rPr>
          <w:rFonts w:ascii="Times New Roman" w:hAnsi="Times New Roman" w:cs="Times New Roman"/>
          <w:sz w:val="24"/>
          <w:szCs w:val="24"/>
        </w:rPr>
        <w:tab/>
      </w:r>
    </w:p>
    <w:p w:rsidR="00FA4301" w:rsidRDefault="00FA4301" w:rsidP="00550638">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217F9">
        <w:rPr>
          <w:rFonts w:ascii="Times New Roman" w:hAnsi="Times New Roman" w:cs="Times New Roman"/>
          <w:sz w:val="24"/>
          <w:szCs w:val="24"/>
        </w:rPr>
        <w:t>Laura Tyson)</w:t>
      </w:r>
      <w:r w:rsidR="001C1B05">
        <w:rPr>
          <w:rFonts w:ascii="Times New Roman" w:hAnsi="Times New Roman" w:cs="Times New Roman"/>
          <w:sz w:val="24"/>
          <w:szCs w:val="24"/>
        </w:rPr>
        <w:tab/>
      </w:r>
      <w:r w:rsidR="001C1B05">
        <w:rPr>
          <w:rFonts w:ascii="Times New Roman" w:hAnsi="Times New Roman" w:cs="Times New Roman"/>
          <w:sz w:val="24"/>
          <w:szCs w:val="24"/>
        </w:rPr>
        <w:tab/>
      </w:r>
      <w:r w:rsidR="001C1B05">
        <w:rPr>
          <w:rFonts w:ascii="Times New Roman" w:hAnsi="Times New Roman" w:cs="Times New Roman"/>
          <w:sz w:val="24"/>
          <w:szCs w:val="24"/>
        </w:rPr>
        <w:tab/>
      </w:r>
      <w:r w:rsidR="001C1B05">
        <w:rPr>
          <w:rFonts w:ascii="Times New Roman" w:hAnsi="Times New Roman" w:cs="Times New Roman"/>
          <w:sz w:val="24"/>
          <w:szCs w:val="24"/>
        </w:rPr>
        <w:tab/>
        <w:t xml:space="preserve">                                    Lectura recomendada</w:t>
      </w:r>
    </w:p>
    <w:p w:rsidR="00FA4301" w:rsidRPr="0074164B" w:rsidRDefault="001C1B05" w:rsidP="00550638">
      <w:pPr>
        <w:spacing w:before="100" w:beforeAutospacing="1" w:after="100" w:afterAutospacing="1"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Berkeley.-</w:t>
      </w:r>
      <w:r w:rsidR="00FA4301" w:rsidRPr="00851805">
        <w:rPr>
          <w:rFonts w:ascii="Times New Roman" w:hAnsi="Times New Roman" w:cs="Times New Roman"/>
          <w:sz w:val="24"/>
          <w:szCs w:val="24"/>
        </w:rPr>
        <w:t xml:space="preserve"> </w:t>
      </w:r>
      <w:r w:rsidR="00FA4301" w:rsidRPr="0074164B">
        <w:rPr>
          <w:rFonts w:ascii="Times New Roman" w:hAnsi="Times New Roman" w:cs="Times New Roman"/>
          <w:color w:val="FF0000"/>
          <w:sz w:val="24"/>
          <w:szCs w:val="24"/>
          <w:u w:val="single"/>
        </w:rPr>
        <w:t>La primera ola de baby boomers estadounidenses está llegando a la edad de jubilarse, y el sistema de pensiones del país comienza a revelar sus fallas. Más de la mitad del total de los trabajadores (y más del 60% de los trabajadores de bajos ingresos) están en riesgo de carecer de ahorros suficientes para mantener su nivel de vida cuando dejen de trabajar. En un reciente estudio comparativo internacional, el sistema de pensiones estadounidense obtuvo la calificación “C” (aprobado), pero para un número importante y cada vez mayor de estadounidenses, no está funcionando bien.</w:t>
      </w:r>
    </w:p>
    <w:p w:rsidR="00FA4301" w:rsidRPr="0074164B" w:rsidRDefault="00FA4301" w:rsidP="00550638">
      <w:pPr>
        <w:spacing w:before="100" w:beforeAutospacing="1" w:after="100" w:afterAutospacing="1" w:line="240" w:lineRule="auto"/>
        <w:jc w:val="both"/>
        <w:rPr>
          <w:rFonts w:ascii="Times New Roman" w:hAnsi="Times New Roman" w:cs="Times New Roman"/>
          <w:sz w:val="24"/>
          <w:szCs w:val="24"/>
          <w:u w:val="single"/>
        </w:rPr>
      </w:pPr>
      <w:r w:rsidRPr="0074164B">
        <w:rPr>
          <w:rFonts w:ascii="Times New Roman" w:hAnsi="Times New Roman" w:cs="Times New Roman"/>
          <w:sz w:val="24"/>
          <w:szCs w:val="24"/>
          <w:u w:val="single"/>
        </w:rPr>
        <w:t>La lentitud de la recuperación de la economía después de la Gran Recesión ha agravado este problema. Llegado el momento de jubilarse, las viviendas son el activo más importante para la mayoría de los estadounidenses; pero a pesar de una subida reciente, los precios de las propiedades siguen un 28% por debajo del pico alcanzado en 2006, mientras que el 28% del total de los propietarios deben más por sus hipotecas que lo que valen sus propiedades.</w:t>
      </w:r>
    </w:p>
    <w:p w:rsidR="00FA4301" w:rsidRPr="00851805" w:rsidRDefault="00FA4301" w:rsidP="00550638">
      <w:pPr>
        <w:spacing w:before="100" w:beforeAutospacing="1" w:after="100" w:afterAutospacing="1" w:line="240" w:lineRule="auto"/>
        <w:jc w:val="both"/>
        <w:rPr>
          <w:rFonts w:ascii="Times New Roman" w:hAnsi="Times New Roman" w:cs="Times New Roman"/>
          <w:sz w:val="24"/>
          <w:szCs w:val="24"/>
        </w:rPr>
      </w:pPr>
      <w:r w:rsidRPr="0045057C">
        <w:rPr>
          <w:rFonts w:ascii="Times New Roman" w:hAnsi="Times New Roman" w:cs="Times New Roman"/>
          <w:sz w:val="24"/>
          <w:szCs w:val="24"/>
          <w:u w:val="single"/>
        </w:rPr>
        <w:t>Uno de los pilares fundamentales sobre los que se apoya el modelo previsional estadounidense es el sistema de planes de retiro empresariales con participación voluntaria. Pero cerca de 16 millones de estadounidenses están desempleados o ya no forman parte de la fuerza laboral; al mismo tiempo, más de la mitad de los empleos creados durante la recuperación son puestos de bajos salarios, que por lo general no cuentan con planes de retiro</w:t>
      </w:r>
      <w:r w:rsidRPr="00851805">
        <w:rPr>
          <w:rFonts w:ascii="Times New Roman" w:hAnsi="Times New Roman" w:cs="Times New Roman"/>
          <w:sz w:val="24"/>
          <w:szCs w:val="24"/>
        </w:rPr>
        <w:t>. En cambio, la mayoría de los 625.000 empleos del sector público que se perdieron durante la recuperació</w:t>
      </w:r>
      <w:r>
        <w:rPr>
          <w:rFonts w:ascii="Times New Roman" w:hAnsi="Times New Roman" w:cs="Times New Roman"/>
          <w:sz w:val="24"/>
          <w:szCs w:val="24"/>
        </w:rPr>
        <w:t>n ofrecían generosas pensiones.</w:t>
      </w:r>
    </w:p>
    <w:p w:rsidR="00FA4301" w:rsidRPr="0045057C" w:rsidRDefault="00FA4301" w:rsidP="00550638">
      <w:pPr>
        <w:spacing w:before="100" w:beforeAutospacing="1" w:after="100" w:afterAutospacing="1" w:line="240" w:lineRule="auto"/>
        <w:jc w:val="both"/>
        <w:rPr>
          <w:rFonts w:ascii="Times New Roman" w:hAnsi="Times New Roman" w:cs="Times New Roman"/>
          <w:color w:val="FF0000"/>
          <w:sz w:val="24"/>
          <w:szCs w:val="24"/>
          <w:u w:val="single"/>
        </w:rPr>
      </w:pPr>
      <w:r w:rsidRPr="0045057C">
        <w:rPr>
          <w:rFonts w:ascii="Times New Roman" w:hAnsi="Times New Roman" w:cs="Times New Roman"/>
          <w:color w:val="FF0000"/>
          <w:sz w:val="24"/>
          <w:szCs w:val="24"/>
          <w:u w:val="single"/>
        </w:rPr>
        <w:t>Casi el 60% de los trabajadores con empleo en el sector privado y edades comprendidas entre los 25 y los 64 años no están cubiertos por planes de retiro empresariales; además, las tasas de cobertura varían según los ingresos: en el cuartil superior de ingresos la cobertura alcanza al 73% de los trabajadores, mientras que en el cuartil inferior esa cifra se reduce al 38%. También la participación en los planes varía según los ingresos: la participación de trabajadores de bajos ingresos es mucho menor que la de trabajadores de altos ingresos. La falta de cobertura universal implica además que los trabajadores entran y salen de los planes según cambian de empleo; el resultado es que más de un tercio de todas las familias termina sin ninguna cobertura de pensión empresarial. En cambio, en otros países donde los empleadores y los empleados están obligados a participar en planes de retiro empresariales de nivel nacional, la cobertura es casi universal.</w:t>
      </w:r>
    </w:p>
    <w:p w:rsidR="00FA4301" w:rsidRPr="0045057C" w:rsidRDefault="00FA4301" w:rsidP="00550638">
      <w:pPr>
        <w:spacing w:before="100" w:beforeAutospacing="1" w:after="100" w:afterAutospacing="1" w:line="240" w:lineRule="auto"/>
        <w:jc w:val="both"/>
        <w:rPr>
          <w:rFonts w:ascii="Times New Roman" w:hAnsi="Times New Roman" w:cs="Times New Roman"/>
          <w:color w:val="FF0000"/>
          <w:sz w:val="24"/>
          <w:szCs w:val="24"/>
          <w:u w:val="single"/>
        </w:rPr>
      </w:pPr>
      <w:r w:rsidRPr="0045057C">
        <w:rPr>
          <w:rFonts w:ascii="Times New Roman" w:hAnsi="Times New Roman" w:cs="Times New Roman"/>
          <w:color w:val="FF0000"/>
          <w:sz w:val="24"/>
          <w:szCs w:val="24"/>
          <w:u w:val="single"/>
        </w:rPr>
        <w:t>El ahorro personal es otro pilar del sistema previsional estadounidense, pero para la mayoría de las familias resulta muy insuficiente, debido en parte a las dificultades para ahorrar provocadas por décadas de estancamiento de la franja media de salarios. Según un estudio reciente, la tercera parte de los estadounidenses de entre 45 y 54 años de edad no tienen ahorros específicamente destinados a la jubilación. En tanto, tres cuartos de las personas próximas a retirarse (aquellas con edades entre los 50 y los 64 años) cuentan con ingresos anuales inferiores a 52.201 dólares y, en promedio, tienen menos de 27.000 dólares ahorrados para el retiro.</w:t>
      </w:r>
    </w:p>
    <w:p w:rsidR="00FA4301" w:rsidRPr="00851805" w:rsidRDefault="00FA4301" w:rsidP="00550638">
      <w:pPr>
        <w:spacing w:before="100" w:beforeAutospacing="1" w:after="100" w:afterAutospacing="1" w:line="240" w:lineRule="auto"/>
        <w:jc w:val="both"/>
        <w:rPr>
          <w:rFonts w:ascii="Times New Roman" w:hAnsi="Times New Roman" w:cs="Times New Roman"/>
          <w:sz w:val="24"/>
          <w:szCs w:val="24"/>
        </w:rPr>
      </w:pPr>
      <w:r w:rsidRPr="0045057C">
        <w:rPr>
          <w:rFonts w:ascii="Times New Roman" w:hAnsi="Times New Roman" w:cs="Times New Roman"/>
          <w:sz w:val="24"/>
          <w:szCs w:val="24"/>
          <w:u w:val="single"/>
        </w:rPr>
        <w:lastRenderedPageBreak/>
        <w:t>En Estados Unidos, los ahorros jubilatorios gozan de generosas exenciones impositivas, pero estas benefician a los destinatarios equivocados y sus resultados son limitados. Más del 80% del valor de las exenciones va a parar al 20% superior de los contribuyentes que ganan más de 100.000 dólares por año. Además, el sistema le cuesta al fisco estadounidense casi cien mil millones de dólares al año, pero tiene poco efecto sobre el nivel de ahorro; en cambio, induce a los contribuyentes de altos ingresos a pasar sus ahorros a activos exentos de impuestos</w:t>
      </w:r>
      <w:r w:rsidRPr="00851805">
        <w:rPr>
          <w:rFonts w:ascii="Times New Roman" w:hAnsi="Times New Roman" w:cs="Times New Roman"/>
          <w:sz w:val="24"/>
          <w:szCs w:val="24"/>
        </w:rPr>
        <w:t xml:space="preserve">. Esta es una de las razones principales por las que el presidente Barack Obama </w:t>
      </w:r>
      <w:r>
        <w:rPr>
          <w:rFonts w:ascii="Times New Roman" w:hAnsi="Times New Roman" w:cs="Times New Roman"/>
          <w:sz w:val="24"/>
          <w:szCs w:val="24"/>
        </w:rPr>
        <w:t>propone limitar las exenciones.</w:t>
      </w:r>
    </w:p>
    <w:p w:rsidR="00FA4301" w:rsidRPr="00851805" w:rsidRDefault="00FA4301" w:rsidP="00550638">
      <w:pPr>
        <w:spacing w:before="100" w:beforeAutospacing="1" w:after="100" w:afterAutospacing="1" w:line="240" w:lineRule="auto"/>
        <w:jc w:val="both"/>
        <w:rPr>
          <w:rFonts w:ascii="Times New Roman" w:hAnsi="Times New Roman" w:cs="Times New Roman"/>
          <w:sz w:val="24"/>
          <w:szCs w:val="24"/>
        </w:rPr>
      </w:pPr>
      <w:r w:rsidRPr="00851805">
        <w:rPr>
          <w:rFonts w:ascii="Times New Roman" w:hAnsi="Times New Roman" w:cs="Times New Roman"/>
          <w:sz w:val="24"/>
          <w:szCs w:val="24"/>
        </w:rPr>
        <w:t xml:space="preserve">Hay una propuesta más radical según la cual se </w:t>
      </w:r>
      <w:r w:rsidR="002A0BAE" w:rsidRPr="00851805">
        <w:rPr>
          <w:rFonts w:ascii="Times New Roman" w:hAnsi="Times New Roman" w:cs="Times New Roman"/>
          <w:sz w:val="24"/>
          <w:szCs w:val="24"/>
        </w:rPr>
        <w:t>eliminaría</w:t>
      </w:r>
      <w:r w:rsidRPr="00851805">
        <w:rPr>
          <w:rFonts w:ascii="Times New Roman" w:hAnsi="Times New Roman" w:cs="Times New Roman"/>
          <w:sz w:val="24"/>
          <w:szCs w:val="24"/>
        </w:rPr>
        <w:t xml:space="preserve"> las exenciones impositivas para reemplazarlas con un crédito fiscal reembolsable, condicionado a los medios del contribuyente, que se depositaría directamente en su cuenta individual de retiro (cuenta “IRA”, por sus siglas en inglés) a modo de aporte complementario del Estado. Está visto que los contribuyentes responden mejor a incentivos basados en aportes complementarios que a exenciones impositivas, porque los primeros son más fáciles de </w:t>
      </w:r>
      <w:r>
        <w:rPr>
          <w:rFonts w:ascii="Times New Roman" w:hAnsi="Times New Roman" w:cs="Times New Roman"/>
          <w:sz w:val="24"/>
          <w:szCs w:val="24"/>
        </w:rPr>
        <w:t>comprender y más transparentes.</w:t>
      </w:r>
    </w:p>
    <w:p w:rsidR="00FA4301" w:rsidRPr="0045057C" w:rsidRDefault="00FA4301" w:rsidP="00550638">
      <w:pPr>
        <w:spacing w:before="100" w:beforeAutospacing="1" w:after="100" w:afterAutospacing="1" w:line="240" w:lineRule="auto"/>
        <w:jc w:val="both"/>
        <w:rPr>
          <w:rFonts w:ascii="Times New Roman" w:hAnsi="Times New Roman" w:cs="Times New Roman"/>
          <w:color w:val="FF0000"/>
          <w:sz w:val="24"/>
          <w:szCs w:val="24"/>
          <w:u w:val="single"/>
        </w:rPr>
      </w:pPr>
      <w:r w:rsidRPr="0045057C">
        <w:rPr>
          <w:rFonts w:ascii="Times New Roman" w:hAnsi="Times New Roman" w:cs="Times New Roman"/>
          <w:color w:val="FF0000"/>
          <w:sz w:val="24"/>
          <w:szCs w:val="24"/>
          <w:u w:val="single"/>
        </w:rPr>
        <w:t>La falta de inclusión en planes empresariales y la insuficiencia de los ahorros personales provocan que más de la tercera parte de las familias estadounidenses (y más del 75% de las familias de bajos ingresos) dependan totalmente de la Seguridad Social como fuente de ingresos después del retiro. Y como esto compensa solamente alrededor del 40% de los ingresos previos al retiro en el caso de los trabajadores de bajos ingresos y menos de la tercera parte en el caso de los trabajadores de ingresos medios, la dependencia exclusiva de la Seguridad Social equivale a vivir en la línea de pobreza o por debajo de ella. (En otros países desarrollados, el porcentaje de sustitución de ingresos se sitúa en torno del 70%, mientras que el valor de referencia que recomiendan los expertos en asuntos previsionales es 80%.)</w:t>
      </w:r>
    </w:p>
    <w:p w:rsidR="00FA4301" w:rsidRPr="00851805" w:rsidRDefault="00FA4301" w:rsidP="00550638">
      <w:pPr>
        <w:spacing w:before="100" w:beforeAutospacing="1" w:after="100" w:afterAutospacing="1" w:line="240" w:lineRule="auto"/>
        <w:jc w:val="both"/>
        <w:rPr>
          <w:rFonts w:ascii="Times New Roman" w:hAnsi="Times New Roman" w:cs="Times New Roman"/>
          <w:sz w:val="24"/>
          <w:szCs w:val="24"/>
        </w:rPr>
      </w:pPr>
      <w:r w:rsidRPr="0045057C">
        <w:rPr>
          <w:rFonts w:ascii="Times New Roman" w:hAnsi="Times New Roman" w:cs="Times New Roman"/>
          <w:sz w:val="24"/>
          <w:szCs w:val="24"/>
          <w:u w:val="single"/>
        </w:rPr>
        <w:t>Para hacer frente a la crisis jubilatoria que se cierne sobre Estados Unidos, es necesario aumentar la inclusión de los trabajadores en los planes de retiro empresariales.</w:t>
      </w:r>
      <w:r w:rsidRPr="00851805">
        <w:rPr>
          <w:rFonts w:ascii="Times New Roman" w:hAnsi="Times New Roman" w:cs="Times New Roman"/>
          <w:sz w:val="24"/>
          <w:szCs w:val="24"/>
        </w:rPr>
        <w:t xml:space="preserve"> Una medida eficaz sería inscribir automáticamente a quienes no manifiesten explícitamente su decisión en contrario; cuando se aplica este sistema, la participación de los empleados salta por encima del 90%. De hecho, en una investigación reciente se descubrió que la inscripción automática es mucho más eficaz que las exenciones impositivas como modo de incentiva</w:t>
      </w:r>
      <w:r>
        <w:rPr>
          <w:rFonts w:ascii="Times New Roman" w:hAnsi="Times New Roman" w:cs="Times New Roman"/>
          <w:sz w:val="24"/>
          <w:szCs w:val="24"/>
        </w:rPr>
        <w:t>r el ahorro para la jubilación.</w:t>
      </w:r>
    </w:p>
    <w:p w:rsidR="00FA4301" w:rsidRPr="00851805" w:rsidRDefault="00FA4301" w:rsidP="00550638">
      <w:pPr>
        <w:spacing w:before="100" w:beforeAutospacing="1" w:after="100" w:afterAutospacing="1" w:line="240" w:lineRule="auto"/>
        <w:jc w:val="both"/>
        <w:rPr>
          <w:rFonts w:ascii="Times New Roman" w:hAnsi="Times New Roman" w:cs="Times New Roman"/>
          <w:sz w:val="24"/>
          <w:szCs w:val="24"/>
        </w:rPr>
      </w:pPr>
      <w:r w:rsidRPr="0045057C">
        <w:rPr>
          <w:rFonts w:ascii="Times New Roman" w:hAnsi="Times New Roman" w:cs="Times New Roman"/>
          <w:sz w:val="24"/>
          <w:szCs w:val="24"/>
          <w:u w:val="single"/>
        </w:rPr>
        <w:t>Sin embargo, aunque casi todos los trabajadores estadounidenses pueden tener cuentas IRA con beneficios impositivos, muchos empleadores no ofrecen los correspondientes planes de retiro</w:t>
      </w:r>
      <w:r w:rsidRPr="00851805">
        <w:rPr>
          <w:rFonts w:ascii="Times New Roman" w:hAnsi="Times New Roman" w:cs="Times New Roman"/>
          <w:sz w:val="24"/>
          <w:szCs w:val="24"/>
        </w:rPr>
        <w:t>. Según la propuesta de Obama, estos empleadores estarían obligados a ofrecer a sus trabajadores la realización automática de aportes a sus cuentas IRA por medio de una retención periódica del sueldo. Para alentar la participación de los trabajadores de bajos ingresos, se deberían ofrecer aportes complementarios del Estado en la forma de créditos fiscales, como sustituto o como añadido al sis</w:t>
      </w:r>
      <w:r>
        <w:rPr>
          <w:rFonts w:ascii="Times New Roman" w:hAnsi="Times New Roman" w:cs="Times New Roman"/>
          <w:sz w:val="24"/>
          <w:szCs w:val="24"/>
        </w:rPr>
        <w:t>tema de exenciones impositivas.</w:t>
      </w:r>
    </w:p>
    <w:p w:rsidR="00FA4301" w:rsidRPr="00851805" w:rsidRDefault="00FA4301" w:rsidP="00550638">
      <w:pPr>
        <w:spacing w:before="100" w:beforeAutospacing="1" w:after="100" w:afterAutospacing="1" w:line="240" w:lineRule="auto"/>
        <w:jc w:val="both"/>
        <w:rPr>
          <w:rFonts w:ascii="Times New Roman" w:hAnsi="Times New Roman" w:cs="Times New Roman"/>
          <w:sz w:val="24"/>
          <w:szCs w:val="24"/>
        </w:rPr>
      </w:pPr>
      <w:r w:rsidRPr="0045057C">
        <w:rPr>
          <w:rFonts w:ascii="Times New Roman" w:hAnsi="Times New Roman" w:cs="Times New Roman"/>
          <w:sz w:val="24"/>
          <w:szCs w:val="24"/>
          <w:u w:val="single"/>
        </w:rPr>
        <w:t>En California y algunos otros estados también se está evaluando la creación de nuevos planes de ahorro, administrados por los estados, que beneficiarían a los trabajadores del sector privado que no tengan acceso a planes de retiro empresariales</w:t>
      </w:r>
      <w:r w:rsidRPr="00851805">
        <w:rPr>
          <w:rFonts w:ascii="Times New Roman" w:hAnsi="Times New Roman" w:cs="Times New Roman"/>
          <w:sz w:val="24"/>
          <w:szCs w:val="24"/>
        </w:rPr>
        <w:t xml:space="preserve">. El plan de California (que se basa en una propuesta de Teresa Ghilarducci y sus colegas) supone la inscripción automática de aquellos trabajadores del sector privado que trabajen en </w:t>
      </w:r>
      <w:r w:rsidRPr="00851805">
        <w:rPr>
          <w:rFonts w:ascii="Times New Roman" w:hAnsi="Times New Roman" w:cs="Times New Roman"/>
          <w:sz w:val="24"/>
          <w:szCs w:val="24"/>
        </w:rPr>
        <w:lastRenderedPageBreak/>
        <w:t xml:space="preserve">empresas con cinco o más empleados en las que no se ofrezcan planes de retiro. Para los aportes, los empleadores retendrían automáticamente el 3% del salario bruto, que sería el porcentaje estándar; los empleados podrían ajustar esa cifra o pedir </w:t>
      </w:r>
      <w:r>
        <w:rPr>
          <w:rFonts w:ascii="Times New Roman" w:hAnsi="Times New Roman" w:cs="Times New Roman"/>
          <w:sz w:val="24"/>
          <w:szCs w:val="24"/>
        </w:rPr>
        <w:t>que se los excluya del sistema.</w:t>
      </w:r>
    </w:p>
    <w:p w:rsidR="00FA4301" w:rsidRPr="00851805" w:rsidRDefault="00FA4301" w:rsidP="00550638">
      <w:pPr>
        <w:spacing w:before="100" w:beforeAutospacing="1" w:after="100" w:afterAutospacing="1" w:line="240" w:lineRule="auto"/>
        <w:jc w:val="both"/>
        <w:rPr>
          <w:rFonts w:ascii="Times New Roman" w:hAnsi="Times New Roman" w:cs="Times New Roman"/>
          <w:sz w:val="24"/>
          <w:szCs w:val="24"/>
        </w:rPr>
      </w:pPr>
      <w:r w:rsidRPr="0045057C">
        <w:rPr>
          <w:rFonts w:ascii="Times New Roman" w:hAnsi="Times New Roman" w:cs="Times New Roman"/>
          <w:sz w:val="24"/>
          <w:szCs w:val="24"/>
          <w:u w:val="single"/>
        </w:rPr>
        <w:t>Según este esquema, cada trabajador tendría una cuenta individual (que a los efectos impositivos se consideraría equivalente a una cuenta IRA), pero los activos de los que dependerían las prestaciones del plan se colocarían en un fondo fiduciario común, con rentabilidad real garantizada por un seguro privado y que se distribuiría en forma de anualidad tras la jubilación. Cada cuenta estaría vinculada con el trabajador, no con los empleadores, lo que garantizaría la portabilidad entre empleos</w:t>
      </w:r>
      <w:r w:rsidRPr="00851805">
        <w:rPr>
          <w:rFonts w:ascii="Times New Roman" w:hAnsi="Times New Roman" w:cs="Times New Roman"/>
          <w:sz w:val="24"/>
          <w:szCs w:val="24"/>
        </w:rPr>
        <w:t xml:space="preserve">. </w:t>
      </w:r>
      <w:r w:rsidRPr="0045057C">
        <w:rPr>
          <w:rFonts w:ascii="Times New Roman" w:hAnsi="Times New Roman" w:cs="Times New Roman"/>
          <w:color w:val="FF0000"/>
          <w:sz w:val="24"/>
          <w:szCs w:val="24"/>
          <w:u w:val="single"/>
        </w:rPr>
        <w:t>(La falta de portabilidad y de anualidades es un importante defecto de la mayoría de los planes de retiro empresariales.)</w:t>
      </w:r>
      <w:r w:rsidRPr="00851805">
        <w:rPr>
          <w:rFonts w:ascii="Times New Roman" w:hAnsi="Times New Roman" w:cs="Times New Roman"/>
          <w:sz w:val="24"/>
          <w:szCs w:val="24"/>
        </w:rPr>
        <w:t xml:space="preserve"> Una junta independiente se encargaría de supervisar la administración del plan del estado, y los administradores de los fondos de inversión se elegirían</w:t>
      </w:r>
      <w:r>
        <w:rPr>
          <w:rFonts w:ascii="Times New Roman" w:hAnsi="Times New Roman" w:cs="Times New Roman"/>
          <w:sz w:val="24"/>
          <w:szCs w:val="24"/>
        </w:rPr>
        <w:t xml:space="preserve"> mediante llamado a licitación.</w:t>
      </w:r>
    </w:p>
    <w:p w:rsidR="00FA4301" w:rsidRPr="0045057C" w:rsidRDefault="00FA4301" w:rsidP="00550638">
      <w:pPr>
        <w:spacing w:before="100" w:beforeAutospacing="1" w:after="100" w:afterAutospacing="1" w:line="240" w:lineRule="auto"/>
        <w:jc w:val="both"/>
        <w:rPr>
          <w:rFonts w:ascii="Times New Roman" w:hAnsi="Times New Roman" w:cs="Times New Roman"/>
          <w:color w:val="FF0000"/>
          <w:sz w:val="24"/>
          <w:szCs w:val="24"/>
          <w:u w:val="single"/>
        </w:rPr>
      </w:pPr>
      <w:r w:rsidRPr="00851805">
        <w:rPr>
          <w:rFonts w:ascii="Times New Roman" w:hAnsi="Times New Roman" w:cs="Times New Roman"/>
          <w:sz w:val="24"/>
          <w:szCs w:val="24"/>
        </w:rPr>
        <w:t xml:space="preserve">Hace poco, el senador Tom Harkin propuso un plan nacional con características similares para todos los trabajadores cuyos planes de retiro empresariales no cumplan ciertos requisitos mínimos. </w:t>
      </w:r>
      <w:r w:rsidRPr="0045057C">
        <w:rPr>
          <w:rFonts w:ascii="Times New Roman" w:hAnsi="Times New Roman" w:cs="Times New Roman"/>
          <w:color w:val="FF0000"/>
          <w:sz w:val="24"/>
          <w:szCs w:val="24"/>
          <w:u w:val="single"/>
        </w:rPr>
        <w:t>En los estudios comparativos internacionales, los países cuyos planes de retiro aventajan a los de Estados Unidos en cuanto a cobertura, nivel de prestaciones y sostenibilidad a largo plazo son los que, además de sus programas básicos de seguridad social, tienen planes nacionales de pensiones. En algunos casos la participación es obligatoria, en otros hay inscripción automática y en otros la participación se incentiva mediante aportes complementarios del Estado.</w:t>
      </w:r>
    </w:p>
    <w:p w:rsidR="00FA4301" w:rsidRDefault="00FA4301" w:rsidP="00550638">
      <w:pPr>
        <w:spacing w:before="100" w:beforeAutospacing="1" w:after="100" w:afterAutospacing="1" w:line="240" w:lineRule="auto"/>
        <w:jc w:val="both"/>
        <w:rPr>
          <w:rFonts w:ascii="Times New Roman" w:hAnsi="Times New Roman" w:cs="Times New Roman"/>
          <w:sz w:val="24"/>
          <w:szCs w:val="24"/>
        </w:rPr>
      </w:pPr>
      <w:r w:rsidRPr="0045057C">
        <w:rPr>
          <w:rFonts w:ascii="Times New Roman" w:hAnsi="Times New Roman" w:cs="Times New Roman"/>
          <w:color w:val="FF0000"/>
          <w:sz w:val="24"/>
          <w:szCs w:val="24"/>
          <w:u w:val="single"/>
        </w:rPr>
        <w:t>Si Estados Unidos facilitara el ahorro y lo hiciera financieramente más atractivo, mediante un mejor diseño de las exenciones impositivas, aportes complementarios del Estado, cuentas IRA de inscripción automática y planes de retiro administrados por los estados, lograría un importante incremento del ahorro previsional, especialmente en familias de ingresos bajos y medios</w:t>
      </w:r>
      <w:r w:rsidRPr="00851805">
        <w:rPr>
          <w:rFonts w:ascii="Times New Roman" w:hAnsi="Times New Roman" w:cs="Times New Roman"/>
          <w:sz w:val="24"/>
          <w:szCs w:val="24"/>
        </w:rPr>
        <w:t>. También sería útil mejorar el nivel de conocimientos financieros de la población. La presente obsesión por el déficit fiscal y las restricciones presupuestarias no debe hacernos olvidar la necesidad de implementar reformas para hacer frente a la crisis jubilatoria que se cierne sobre muchos estadounidenses.</w:t>
      </w:r>
    </w:p>
    <w:p w:rsidR="00FA4301" w:rsidRDefault="00FA4301" w:rsidP="00550638">
      <w:pPr>
        <w:spacing w:before="100" w:beforeAutospacing="1" w:after="100" w:afterAutospacing="1"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w:t>
      </w:r>
      <w:r w:rsidRPr="00851805">
        <w:rPr>
          <w:rFonts w:ascii="Times New Roman" w:hAnsi="Times New Roman" w:cs="Times New Roman"/>
          <w:sz w:val="24"/>
          <w:szCs w:val="24"/>
          <w:lang w:val="en-US"/>
        </w:rPr>
        <w:t>Laura Tyson, a former chair of the US President's Council of Economic Advisers, is a professor at the Haas School of Business at the Uni</w:t>
      </w:r>
      <w:r>
        <w:rPr>
          <w:rFonts w:ascii="Times New Roman" w:hAnsi="Times New Roman" w:cs="Times New Roman"/>
          <w:sz w:val="24"/>
          <w:szCs w:val="24"/>
          <w:lang w:val="en-US"/>
        </w:rPr>
        <w:t>versity of California, Berkeley)</w:t>
      </w:r>
    </w:p>
    <w:p w:rsidR="003B1A4F" w:rsidRPr="003B1A4F" w:rsidRDefault="003B1A4F" w:rsidP="00550638">
      <w:pPr>
        <w:spacing w:before="100" w:beforeAutospacing="1" w:after="100" w:afterAutospacing="1" w:line="240" w:lineRule="auto"/>
        <w:jc w:val="both"/>
        <w:rPr>
          <w:rFonts w:ascii="Times New Roman" w:hAnsi="Times New Roman" w:cs="Times New Roman"/>
          <w:sz w:val="24"/>
          <w:szCs w:val="24"/>
          <w:u w:val="single"/>
        </w:rPr>
      </w:pPr>
      <w:r w:rsidRPr="003B1A4F">
        <w:rPr>
          <w:rFonts w:ascii="Times New Roman" w:hAnsi="Times New Roman" w:cs="Times New Roman"/>
          <w:sz w:val="24"/>
          <w:szCs w:val="24"/>
          <w:u w:val="single"/>
        </w:rPr>
        <w:t xml:space="preserve">El </w:t>
      </w:r>
      <w:r w:rsidR="002A0BAE">
        <w:rPr>
          <w:rFonts w:ascii="Times New Roman" w:hAnsi="Times New Roman" w:cs="Times New Roman"/>
          <w:sz w:val="24"/>
          <w:szCs w:val="24"/>
          <w:u w:val="single"/>
        </w:rPr>
        <w:t>“</w:t>
      </w:r>
      <w:r w:rsidRPr="003B1A4F">
        <w:rPr>
          <w:rFonts w:ascii="Times New Roman" w:hAnsi="Times New Roman" w:cs="Times New Roman"/>
          <w:sz w:val="24"/>
          <w:szCs w:val="24"/>
          <w:u w:val="single"/>
        </w:rPr>
        <w:t>factor de sostenibilidad</w:t>
      </w:r>
      <w:r w:rsidR="002A0BAE">
        <w:rPr>
          <w:rFonts w:ascii="Times New Roman" w:hAnsi="Times New Roman" w:cs="Times New Roman"/>
          <w:sz w:val="24"/>
          <w:szCs w:val="24"/>
          <w:u w:val="single"/>
        </w:rPr>
        <w:t>”</w:t>
      </w:r>
      <w:r w:rsidRPr="003B1A4F">
        <w:rPr>
          <w:rFonts w:ascii="Times New Roman" w:hAnsi="Times New Roman" w:cs="Times New Roman"/>
          <w:sz w:val="24"/>
          <w:szCs w:val="24"/>
          <w:u w:val="single"/>
        </w:rPr>
        <w:t xml:space="preserve"> en Europa</w:t>
      </w:r>
    </w:p>
    <w:p w:rsidR="003B1A4F" w:rsidRPr="003B1A4F" w:rsidRDefault="003B1A4F" w:rsidP="00550638">
      <w:pPr>
        <w:pStyle w:val="NormalWeb"/>
        <w:jc w:val="both"/>
        <w:rPr>
          <w:i/>
        </w:rPr>
      </w:pPr>
      <w:r>
        <w:rPr>
          <w:i/>
        </w:rPr>
        <w:t>“</w:t>
      </w:r>
      <w:r w:rsidR="00FA4301" w:rsidRPr="003B1A4F">
        <w:rPr>
          <w:i/>
        </w:rPr>
        <w:t xml:space="preserve">En Europa ya hay siete países que han introducido esta variable en su sistema y que pueden servir de inspiración para el caso español. El factor de sostenibilidad es un mecanismo de ajuste automático de ciertos parámetros de las pensiones -edad de jubilación, años de </w:t>
      </w:r>
      <w:r w:rsidRPr="003B1A4F">
        <w:rPr>
          <w:i/>
        </w:rPr>
        <w:t>cotización necesaria</w:t>
      </w:r>
      <w:r w:rsidR="00FA4301" w:rsidRPr="003B1A4F">
        <w:rPr>
          <w:i/>
        </w:rPr>
        <w:t>, o importe inicial de la pensión- vinculado a la esperanza de vida de la población y que ya está implantado en varios países europeos. De esta forma, si la esperanza de vida aumenta (o disminuye) en una población, esos parámetros se recalculan de acuerdo con una fórmula proporcional</w:t>
      </w:r>
      <w:r>
        <w:rPr>
          <w:i/>
        </w:rPr>
        <w:t>”..</w:t>
      </w:r>
      <w:r w:rsidR="00FA4301" w:rsidRPr="003B1A4F">
        <w:rPr>
          <w:i/>
        </w:rPr>
        <w:t xml:space="preserve">. </w:t>
      </w:r>
      <w:r w:rsidRPr="008A6DB1">
        <w:rPr>
          <w:u w:val="single"/>
        </w:rPr>
        <w:t>Así se garantiza en el resto Europa la sostenibilidad de las pensiones</w:t>
      </w:r>
      <w:r>
        <w:t xml:space="preserve"> (Expansión - </w:t>
      </w:r>
      <w:r w:rsidRPr="008A6DB1">
        <w:rPr>
          <w:b/>
        </w:rPr>
        <w:t>7/6/13</w:t>
      </w:r>
      <w:r>
        <w:t>)</w:t>
      </w:r>
    </w:p>
    <w:p w:rsidR="00FA4301" w:rsidRDefault="00FA4301" w:rsidP="00550638">
      <w:pPr>
        <w:pStyle w:val="NormalWeb"/>
        <w:jc w:val="both"/>
      </w:pPr>
      <w:r>
        <w:lastRenderedPageBreak/>
        <w:t>El Ejecutivo español quiere que la reforma de las pens</w:t>
      </w:r>
      <w:r w:rsidR="003B1A4F">
        <w:t xml:space="preserve">iones, </w:t>
      </w:r>
      <w:r>
        <w:t xml:space="preserve">se fundamente en esta variable (hay que recordar que en la ley de 2011 ya se introducía este factor, aunque no se detalla su aplicación). Las experiencias de los países de nuestro entorno suponen un buen ejemplo para ver cómo se puede desarrollar este factor de sostenibilidad. Los países que ya han puesto en práctica este sistema son Dinamarca, Finlandia, Francia, Grecia, Italia, Países Bajos y Portugal. Todos utilizan para su cálculo proyecciones demográficas de los institutos estadísticos oficiales. En el caso de España, sería el Instituto Nacional de Estadística. Además, en estos casos la revisión de los parámetros de la pensión se hace de forma periódica (la ley española de 2011 establecía que fuera cada cinco años). </w:t>
      </w:r>
    </w:p>
    <w:p w:rsidR="00FA4301" w:rsidRDefault="00FA4301" w:rsidP="00550638">
      <w:pPr>
        <w:pStyle w:val="NormalWeb"/>
        <w:jc w:val="both"/>
      </w:pPr>
      <w:r>
        <w:t>A continuación</w:t>
      </w:r>
      <w:r w:rsidR="003B1A4F">
        <w:t>, se analiza cómo lo han hecho algunos países europeos</w:t>
      </w:r>
      <w:r>
        <w:t xml:space="preserve">: </w:t>
      </w:r>
    </w:p>
    <w:p w:rsidR="00FA4301" w:rsidRDefault="003B1A4F" w:rsidP="00550638">
      <w:pPr>
        <w:pStyle w:val="NormalWeb"/>
        <w:jc w:val="both"/>
      </w:pPr>
      <w:r w:rsidRPr="007C79DA">
        <w:rPr>
          <w:color w:val="FF0000"/>
        </w:rPr>
        <w:t>Italia</w:t>
      </w:r>
      <w:r>
        <w:t>.-</w:t>
      </w:r>
      <w:r w:rsidR="00FA4301">
        <w:t xml:space="preserve"> Edad de jubilación En Italia, los ajustes de la edad de jubilación se van a realizar cada tres años a partir de 2013, y se basarán en datos medios del último trienio respecto a los del trienio anterior, y a partir de la edad de jubilación actual de 65 años. Años de cotización Italia ha incorporado esta vinculación para el caso de años cotizados mínimos para acceder a la jubilación anticipada a partir de 2013. Y se va a utilizar el mismo mecanismo que el mencionado para la edad de jubilación: cada tres años y basados en datos medios del último trienio respecto a los del trienio anterior. </w:t>
      </w:r>
    </w:p>
    <w:p w:rsidR="00FA4301" w:rsidRDefault="003B1A4F" w:rsidP="00550638">
      <w:pPr>
        <w:pStyle w:val="NormalWeb"/>
        <w:jc w:val="both"/>
      </w:pPr>
      <w:r w:rsidRPr="007C79DA">
        <w:rPr>
          <w:color w:val="FF0000"/>
        </w:rPr>
        <w:t>Francia</w:t>
      </w:r>
      <w:r>
        <w:t>.-</w:t>
      </w:r>
      <w:r w:rsidR="00FA4301">
        <w:t xml:space="preserve"> Años de cotización Francia, desde 2009, incluye un mecanismo de ajuste de los años cotizados al ritmo del aumento de la esperanza de vida a los 61 años, con el objetivo de mantener constante el ratio entre años cotizados y años de cobro de pensión. </w:t>
      </w:r>
    </w:p>
    <w:p w:rsidR="00FA4301" w:rsidRDefault="003B1A4F" w:rsidP="00550638">
      <w:pPr>
        <w:pStyle w:val="NormalWeb"/>
        <w:jc w:val="both"/>
      </w:pPr>
      <w:r w:rsidRPr="007C79DA">
        <w:rPr>
          <w:color w:val="FF0000"/>
        </w:rPr>
        <w:t>Portugal</w:t>
      </w:r>
      <w:r>
        <w:t>.-</w:t>
      </w:r>
      <w:r w:rsidR="00FA4301">
        <w:t xml:space="preserve"> Importe de la pensión En Portugal ajustan directamente el importe de la pensión inicial multiplicándola por un factor de sostenibilidad. La fórmula es el cociente de las esperanzas de vida, la actual y la futura (si la futura es mayor el cociente dará un valor inferior a 1, por el que habrá que multiplicar el importe inicial de la pensión). </w:t>
      </w:r>
    </w:p>
    <w:p w:rsidR="00FA4301" w:rsidRDefault="003B1A4F" w:rsidP="00550638">
      <w:pPr>
        <w:pStyle w:val="NormalWeb"/>
        <w:jc w:val="both"/>
      </w:pPr>
      <w:r w:rsidRPr="007C79DA">
        <w:rPr>
          <w:color w:val="FF0000"/>
        </w:rPr>
        <w:t>Finlandia</w:t>
      </w:r>
      <w:r>
        <w:t>.-</w:t>
      </w:r>
      <w:r w:rsidR="00FA4301">
        <w:t xml:space="preserve"> Importe de la pensión En Finlandia también ajustan directamente el importe de la pensión inicial multiplicándola por un factor de sostenibilidad, aunque con una fórmula diferente a la portuguesa. En Finlandia es un cociente algo más complejo que incorpora valores de renta. </w:t>
      </w:r>
    </w:p>
    <w:p w:rsidR="00FA4301" w:rsidRDefault="003B1A4F" w:rsidP="00550638">
      <w:pPr>
        <w:pStyle w:val="NormalWeb"/>
        <w:jc w:val="both"/>
      </w:pPr>
      <w:r w:rsidRPr="007C79DA">
        <w:rPr>
          <w:color w:val="FF0000"/>
        </w:rPr>
        <w:t>Grecia</w:t>
      </w:r>
      <w:r>
        <w:t>.-</w:t>
      </w:r>
      <w:r w:rsidR="00FA4301">
        <w:t xml:space="preserve"> Edad de jubilación En Grecia, las edades mínima y ordinaria de jubilación (65 años) se ajustarán de forma automática según los cambios en la esperanza de vida a partir de 2021. Pero la forma en cómo se pondrá en práctica está todavía por regular. </w:t>
      </w:r>
    </w:p>
    <w:p w:rsidR="00FA4301" w:rsidRDefault="003B1A4F" w:rsidP="00550638">
      <w:pPr>
        <w:pStyle w:val="NormalWeb"/>
        <w:jc w:val="both"/>
      </w:pPr>
      <w:r w:rsidRPr="007C79DA">
        <w:rPr>
          <w:color w:val="FF0000"/>
        </w:rPr>
        <w:t>Dinamarca</w:t>
      </w:r>
      <w:r>
        <w:t>.-</w:t>
      </w:r>
      <w:r w:rsidR="00FA4301">
        <w:t xml:space="preserve"> Edad de jubilación En Dinamarca la edad de jubilación quedará fijada en los 67 años en 2022. A partir de entonces la edad de jubilación se vinculará a la evolución de la esperanza de vida a los 60 años tomando como base la del año 2020 y con un desfase de 5 años. </w:t>
      </w:r>
    </w:p>
    <w:p w:rsidR="00FA4301" w:rsidRDefault="003B1A4F" w:rsidP="00550638">
      <w:pPr>
        <w:pStyle w:val="NormalWeb"/>
        <w:jc w:val="both"/>
      </w:pPr>
      <w:r w:rsidRPr="007C79DA">
        <w:rPr>
          <w:color w:val="FF0000"/>
        </w:rPr>
        <w:t>Países Bajos</w:t>
      </w:r>
      <w:r>
        <w:t>.-</w:t>
      </w:r>
      <w:r w:rsidR="00FA4301">
        <w:t xml:space="preserve"> Edad de jubilación En Países Bajos está previsto aumentar la edad de jubilación hasta 67 años en 2025 y luego vincularla a la esperanza de vida aunque la propuesta concreta está pendiente. </w:t>
      </w:r>
    </w:p>
    <w:p w:rsidR="00E066B7" w:rsidRDefault="00E066B7" w:rsidP="00550638">
      <w:pPr>
        <w:pStyle w:val="NormalWeb"/>
        <w:jc w:val="both"/>
      </w:pPr>
    </w:p>
    <w:p w:rsidR="008E47FE" w:rsidRPr="00463095" w:rsidRDefault="00463095" w:rsidP="00550638">
      <w:pPr>
        <w:spacing w:before="100" w:beforeAutospacing="1" w:after="100" w:afterAutospacing="1" w:line="240" w:lineRule="auto"/>
        <w:jc w:val="both"/>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lastRenderedPageBreak/>
        <w:t>Como “hacerse</w:t>
      </w:r>
      <w:r w:rsidR="008E47FE" w:rsidRPr="00463095">
        <w:rPr>
          <w:rFonts w:ascii="Times New Roman" w:eastAsia="Times New Roman" w:hAnsi="Times New Roman" w:cs="Times New Roman"/>
          <w:sz w:val="24"/>
          <w:szCs w:val="24"/>
          <w:u w:val="single"/>
        </w:rPr>
        <w:t xml:space="preserve"> el sueco</w:t>
      </w:r>
      <w:r>
        <w:rPr>
          <w:rFonts w:ascii="Times New Roman" w:eastAsia="Times New Roman" w:hAnsi="Times New Roman" w:cs="Times New Roman"/>
          <w:sz w:val="24"/>
          <w:szCs w:val="24"/>
          <w:u w:val="single"/>
        </w:rPr>
        <w:t>”</w:t>
      </w:r>
      <w:r w:rsidR="008E47FE" w:rsidRPr="00463095">
        <w:rPr>
          <w:rFonts w:ascii="Times New Roman" w:eastAsia="Times New Roman" w:hAnsi="Times New Roman" w:cs="Times New Roman"/>
          <w:sz w:val="24"/>
          <w:szCs w:val="24"/>
          <w:u w:val="single"/>
        </w:rPr>
        <w:t xml:space="preserve"> (de verdad):</w:t>
      </w:r>
      <w:r w:rsidR="00FA4301" w:rsidRPr="00463095">
        <w:rPr>
          <w:rFonts w:ascii="Times New Roman" w:eastAsia="Times New Roman" w:hAnsi="Times New Roman" w:cs="Times New Roman"/>
          <w:sz w:val="24"/>
          <w:szCs w:val="24"/>
          <w:u w:val="single"/>
        </w:rPr>
        <w:t xml:space="preserve"> </w:t>
      </w:r>
      <w:r w:rsidR="008E47FE" w:rsidRPr="00463095">
        <w:rPr>
          <w:rFonts w:ascii="Times New Roman" w:eastAsia="Times New Roman" w:hAnsi="Times New Roman" w:cs="Times New Roman"/>
          <w:sz w:val="24"/>
          <w:szCs w:val="24"/>
          <w:u w:val="single"/>
        </w:rPr>
        <w:t>c</w:t>
      </w:r>
      <w:r w:rsidR="00FA4301" w:rsidRPr="00463095">
        <w:rPr>
          <w:rFonts w:ascii="Times New Roman" w:eastAsia="Times New Roman" w:hAnsi="Times New Roman" w:cs="Times New Roman"/>
          <w:sz w:val="24"/>
          <w:szCs w:val="24"/>
          <w:u w:val="single"/>
        </w:rPr>
        <w:t xml:space="preserve">apitalización y un modelo sostenible  </w:t>
      </w:r>
    </w:p>
    <w:p w:rsidR="008E47FE" w:rsidRPr="008E47FE" w:rsidRDefault="008E47FE" w:rsidP="00550638">
      <w:pPr>
        <w:pStyle w:val="NormalWeb"/>
        <w:jc w:val="both"/>
        <w:rPr>
          <w:i/>
        </w:rPr>
      </w:pPr>
      <w:r>
        <w:rPr>
          <w:i/>
        </w:rPr>
        <w:t>“</w:t>
      </w:r>
      <w:r w:rsidR="00FA4301" w:rsidRPr="008E47FE">
        <w:rPr>
          <w:i/>
        </w:rPr>
        <w:t xml:space="preserve">Aunque viendo su actual prosperidad pueda parecer sorprendente, hace dos décadas la situación económica de Suecia no era demasiado envidiable. Las </w:t>
      </w:r>
      <w:r w:rsidR="00FA4301" w:rsidRPr="008E47FE">
        <w:rPr>
          <w:rStyle w:val="Textoennegrita"/>
          <w:b w:val="0"/>
          <w:i/>
        </w:rPr>
        <w:t>finanzas públicas estaban al límite</w:t>
      </w:r>
      <w:r w:rsidR="00FA4301" w:rsidRPr="008E47FE">
        <w:rPr>
          <w:i/>
        </w:rPr>
        <w:t xml:space="preserve"> y aparecía en el horizonte una importante </w:t>
      </w:r>
      <w:r w:rsidR="00FA4301" w:rsidRPr="008E47FE">
        <w:rPr>
          <w:rStyle w:val="nfasis"/>
          <w:i w:val="0"/>
        </w:rPr>
        <w:t>amenaza</w:t>
      </w:r>
      <w:r w:rsidR="00FA4301" w:rsidRPr="008E47FE">
        <w:rPr>
          <w:i/>
        </w:rPr>
        <w:t xml:space="preserve"> demográfica, con la generación del </w:t>
      </w:r>
      <w:r w:rsidR="00FA4301" w:rsidRPr="00120D86">
        <w:rPr>
          <w:rStyle w:val="nfasis"/>
        </w:rPr>
        <w:t>baby-boom</w:t>
      </w:r>
      <w:r w:rsidR="00FA4301" w:rsidRPr="008E47FE">
        <w:rPr>
          <w:i/>
        </w:rPr>
        <w:t>, que veía cómo se acercaba su retiro (en 15-20 años) sin un reemplazo laboral claro</w:t>
      </w:r>
      <w:r>
        <w:rPr>
          <w:i/>
        </w:rPr>
        <w:t>”..</w:t>
      </w:r>
      <w:r w:rsidR="00FA4301" w:rsidRPr="008E47FE">
        <w:rPr>
          <w:i/>
        </w:rPr>
        <w:t>.</w:t>
      </w:r>
      <w:r>
        <w:rPr>
          <w:i/>
        </w:rPr>
        <w:t xml:space="preserve"> </w:t>
      </w:r>
      <w:r w:rsidRPr="00B33C8A">
        <w:rPr>
          <w:u w:val="single"/>
        </w:rPr>
        <w:t>Pensiones en Suecia: la reforma que el PP no se atreve a hacer</w:t>
      </w:r>
      <w:r>
        <w:t xml:space="preserve"> (Libertad Digital - </w:t>
      </w:r>
      <w:r w:rsidRPr="00B33C8A">
        <w:rPr>
          <w:b/>
        </w:rPr>
        <w:t>7/9/13</w:t>
      </w:r>
      <w:r>
        <w:t>)</w:t>
      </w:r>
    </w:p>
    <w:p w:rsidR="00FA4301" w:rsidRPr="008E47FE" w:rsidRDefault="00FA4301" w:rsidP="00550638">
      <w:pPr>
        <w:pStyle w:val="NormalWeb"/>
        <w:jc w:val="both"/>
      </w:pPr>
      <w:r w:rsidRPr="008E47FE">
        <w:t xml:space="preserve">Ante esta perspectiva, los grandes partidos iniciaron crearon una comisión, formada por técnicos más o menos alejados de la política, que hiciese una propuesta de reforma del </w:t>
      </w:r>
      <w:hyperlink r:id="rId595" w:history="1">
        <w:r w:rsidRPr="008E47FE">
          <w:rPr>
            <w:rStyle w:val="Hipervnculo"/>
            <w:rFonts w:eastAsiaTheme="majorEastAsia"/>
            <w:color w:val="auto"/>
            <w:u w:val="none"/>
          </w:rPr>
          <w:t>sistema nacional de pensiones</w:t>
        </w:r>
      </w:hyperlink>
      <w:r w:rsidRPr="008E47FE">
        <w:t xml:space="preserve">. No fue sencillo llegar a un acuerdo. De hecho, los primeros pasos en esta dirección se dieron en 1984 y la reforma se aprobó en el Parlamento en 1994, con los votos a favor de cinco de los siete partidos presentes y una abrumadora mayoría (para más información, Johannes Hagen, de la </w:t>
      </w:r>
      <w:hyperlink r:id="rId596" w:history="1">
        <w:r w:rsidRPr="008E47FE">
          <w:rPr>
            <w:rStyle w:val="Hipervnculo"/>
            <w:rFonts w:eastAsiaTheme="majorEastAsia"/>
            <w:color w:val="auto"/>
            <w:u w:val="none"/>
          </w:rPr>
          <w:t>Universidad de Uppsala</w:t>
        </w:r>
      </w:hyperlink>
      <w:r w:rsidRPr="008E47FE">
        <w:t xml:space="preserve">, ha publicado este mismo año un </w:t>
      </w:r>
      <w:hyperlink r:id="rId597" w:history="1">
        <w:r w:rsidRPr="008E47FE">
          <w:rPr>
            <w:rStyle w:val="Hipervnculo"/>
            <w:rFonts w:eastAsiaTheme="majorEastAsia"/>
            <w:color w:val="auto"/>
            <w:u w:val="none"/>
          </w:rPr>
          <w:t>completísimo relato</w:t>
        </w:r>
      </w:hyperlink>
      <w:r w:rsidRPr="008E47FE">
        <w:t xml:space="preserve"> de todo el proceso).</w:t>
      </w:r>
    </w:p>
    <w:p w:rsidR="00FA4301" w:rsidRPr="008E47FE" w:rsidRDefault="00FA4301" w:rsidP="00550638">
      <w:pPr>
        <w:pStyle w:val="NormalWeb"/>
        <w:jc w:val="both"/>
      </w:pPr>
      <w:r w:rsidRPr="008E47FE">
        <w:t xml:space="preserve">Finalmente, Suecia se convirtió en el primer país europeo que acometía un cambio radical de su sistema de prestaciones de jubilación. ¿Las claves?: </w:t>
      </w:r>
      <w:r w:rsidRPr="008E47FE">
        <w:rPr>
          <w:rStyle w:val="Textoennegrita"/>
          <w:b w:val="0"/>
        </w:rPr>
        <w:t>igualar contribuciones y prestaciones</w:t>
      </w:r>
      <w:r w:rsidRPr="008E47FE">
        <w:t>, asegurar en lo posible el equilibrio financiero del modelo de reparto y, sobre todo, abrir la puerta a un sistema de capitalización individual dentro del sistema público.</w:t>
      </w:r>
    </w:p>
    <w:p w:rsidR="00FA4301" w:rsidRPr="008E47FE" w:rsidRDefault="00FA4301" w:rsidP="00550638">
      <w:pPr>
        <w:pStyle w:val="NormalWeb"/>
        <w:jc w:val="both"/>
      </w:pPr>
      <w:r w:rsidRPr="008E47FE">
        <w:t xml:space="preserve">Mientras, en España, en los últimos años, se han sucedido las reformas. PP y PSOE se refugian en el Pacto de Toledo para aprobar cambios que reducirán la prestación de las futuras pensiones: </w:t>
      </w:r>
      <w:hyperlink r:id="rId598" w:history="1">
        <w:r w:rsidRPr="008E47FE">
          <w:rPr>
            <w:rStyle w:val="Hipervnculo"/>
            <w:rFonts w:eastAsiaTheme="majorEastAsia"/>
            <w:color w:val="auto"/>
            <w:u w:val="none"/>
          </w:rPr>
          <w:t>endurecimiento de las condiciones de acceso</w:t>
        </w:r>
      </w:hyperlink>
      <w:r w:rsidRPr="008E47FE">
        <w:t xml:space="preserve">, </w:t>
      </w:r>
      <w:hyperlink r:id="rId599" w:history="1">
        <w:r w:rsidRPr="008E47FE">
          <w:rPr>
            <w:rStyle w:val="Hipervnculo"/>
            <w:rFonts w:eastAsiaTheme="majorEastAsia"/>
            <w:color w:val="auto"/>
            <w:u w:val="none"/>
          </w:rPr>
          <w:t>nuevos índices para la revalorización</w:t>
        </w:r>
      </w:hyperlink>
      <w:r w:rsidRPr="008E47FE">
        <w:t>,... Todo se hace en nombre de la so</w:t>
      </w:r>
      <w:r w:rsidR="008E47FE">
        <w:t>stenibilidad de un sistema tan “sostenible”</w:t>
      </w:r>
      <w:r w:rsidRPr="008E47FE">
        <w:t xml:space="preserve"> que hay que ajustar cada poco tiempo para que no quiebre.</w:t>
      </w:r>
    </w:p>
    <w:p w:rsidR="00FA4301" w:rsidRPr="008E47FE" w:rsidRDefault="00FA4301" w:rsidP="00550638">
      <w:pPr>
        <w:pStyle w:val="Ttulo3"/>
        <w:spacing w:line="240" w:lineRule="auto"/>
        <w:jc w:val="both"/>
        <w:rPr>
          <w:rFonts w:ascii="Times New Roman" w:hAnsi="Times New Roman" w:cs="Times New Roman"/>
          <w:b w:val="0"/>
          <w:color w:val="auto"/>
          <w:sz w:val="24"/>
          <w:szCs w:val="24"/>
        </w:rPr>
      </w:pPr>
      <w:r w:rsidRPr="008E47FE">
        <w:rPr>
          <w:rStyle w:val="Textoennegrita"/>
          <w:rFonts w:ascii="Times New Roman" w:hAnsi="Times New Roman" w:cs="Times New Roman"/>
          <w:color w:val="auto"/>
          <w:sz w:val="24"/>
          <w:szCs w:val="24"/>
        </w:rPr>
        <w:t>Las claves del modelo</w:t>
      </w:r>
    </w:p>
    <w:p w:rsidR="00FA4301" w:rsidRPr="008E47FE" w:rsidRDefault="00FA4301" w:rsidP="00550638">
      <w:pPr>
        <w:pStyle w:val="NormalWeb"/>
        <w:jc w:val="both"/>
      </w:pPr>
      <w:r w:rsidRPr="008E47FE">
        <w:t>Lo primero que hay que decir es que el modelo sueco no es de capitalización como el chileno. En el país escandinavo, sólo un pequeño porcentaje de cada pensión se gestiona de forma similar a como se hace en este tipo de sistemas. Y ni siquiera para esta parte se cumple con todos los requisitos normalmente asociados a la capitalización.</w:t>
      </w:r>
    </w:p>
    <w:p w:rsidR="00FA4301" w:rsidRPr="008E47FE" w:rsidRDefault="00FA4301" w:rsidP="00550638">
      <w:pPr>
        <w:pStyle w:val="NormalWeb"/>
        <w:jc w:val="both"/>
      </w:pPr>
      <w:r w:rsidRPr="008E47FE">
        <w:rPr>
          <w:rStyle w:val="Textoennegrita"/>
          <w:b w:val="0"/>
        </w:rPr>
        <w:t xml:space="preserve">- </w:t>
      </w:r>
      <w:r w:rsidRPr="00107BA6">
        <w:rPr>
          <w:rStyle w:val="Textoennegrita"/>
          <w:b w:val="0"/>
          <w:u w:val="single"/>
        </w:rPr>
        <w:t>Mínimo garantizado</w:t>
      </w:r>
      <w:r w:rsidRPr="008E47FE">
        <w:rPr>
          <w:rStyle w:val="Textoennegrita"/>
          <w:b w:val="0"/>
        </w:rPr>
        <w:t>:</w:t>
      </w:r>
      <w:r w:rsidRPr="008E47FE">
        <w:t xml:space="preserve"> corresponde a lo que en España son las pensiones no contributivas. El Estado sueco reconoce a todos aquellos que lleguen a la edad de jubilación (y hayan vivido en su territorio durante al menos cuarenta años) unos ingresos mínimos. En 2012, para un soltero o viudo, La prestación mensual </w:t>
      </w:r>
      <w:hyperlink r:id="rId600" w:history="1">
        <w:r w:rsidRPr="008E47FE">
          <w:rPr>
            <w:rStyle w:val="Hipervnculo"/>
            <w:rFonts w:eastAsiaTheme="majorEastAsia"/>
            <w:color w:val="auto"/>
            <w:u w:val="none"/>
          </w:rPr>
          <w:t>sería de unos 870 euros</w:t>
        </w:r>
      </w:hyperlink>
      <w:r w:rsidRPr="008E47FE">
        <w:t>.</w:t>
      </w:r>
    </w:p>
    <w:p w:rsidR="00FA4301" w:rsidRPr="008E47FE" w:rsidRDefault="00FA4301" w:rsidP="00550638">
      <w:pPr>
        <w:pStyle w:val="NormalWeb"/>
        <w:jc w:val="both"/>
      </w:pPr>
      <w:r w:rsidRPr="008E47FE">
        <w:t>Esta cantidad sólo se recibe si no hay otras fuentes de ingresos, pero también hay complementos para aquellos con pensiones muy bajas. Es decir, alguien que tenga derecho a una pensión contributiva de (por ejemplo) 700 euros, tendrá derecho también a un sueldo suplementario, para que al menos llegue a esos 870 euros, aunque normalmente superará ligeramente esa cantidad, con el objetivo de que el que ha sido cotizante tenga algún tipo de beneficio.</w:t>
      </w:r>
    </w:p>
    <w:p w:rsidR="00FA4301" w:rsidRPr="008E47FE" w:rsidRDefault="00FA4301" w:rsidP="00550638">
      <w:pPr>
        <w:pStyle w:val="NormalWeb"/>
        <w:jc w:val="both"/>
      </w:pPr>
      <w:r w:rsidRPr="008E47FE">
        <w:lastRenderedPageBreak/>
        <w:t xml:space="preserve">El límite para tener derecho a alguna paga de este mínimo garantizado era en el último ejercicio de unos 1.250 euros mensuales. Alguien que gane menos con su pensión </w:t>
      </w:r>
      <w:r w:rsidRPr="008E47FE">
        <w:rPr>
          <w:rStyle w:val="nfasis"/>
          <w:i w:val="0"/>
        </w:rPr>
        <w:t>normal</w:t>
      </w:r>
      <w:r w:rsidRPr="008E47FE">
        <w:t>, tendrá un complemento no contributivo. Un aspecto muy importante de esta herramienta es que se financia año a año vía impuestos, lo que quiere decir que está al margen del resto del sistema.</w:t>
      </w:r>
    </w:p>
    <w:p w:rsidR="00FA4301" w:rsidRPr="008E47FE" w:rsidRDefault="00FA4301" w:rsidP="00550638">
      <w:pPr>
        <w:pStyle w:val="NormalWeb"/>
        <w:jc w:val="both"/>
      </w:pPr>
      <w:r w:rsidRPr="008E47FE">
        <w:rPr>
          <w:rStyle w:val="Textoennegrita"/>
          <w:b w:val="0"/>
        </w:rPr>
        <w:t xml:space="preserve">- </w:t>
      </w:r>
      <w:r w:rsidRPr="00107BA6">
        <w:rPr>
          <w:rStyle w:val="Textoennegrita"/>
          <w:b w:val="0"/>
          <w:u w:val="single"/>
        </w:rPr>
        <w:t>Cuentas nocionales</w:t>
      </w:r>
      <w:r w:rsidRPr="008E47FE">
        <w:rPr>
          <w:rStyle w:val="Textoennegrita"/>
          <w:b w:val="0"/>
        </w:rPr>
        <w:t xml:space="preserve">: </w:t>
      </w:r>
      <w:r w:rsidRPr="008E47FE">
        <w:t xml:space="preserve">éste es el corazón del sistema sueco. Las cotizaciones sociales en el país escandinavo se dividen en dos partes: un 16% va al </w:t>
      </w:r>
      <w:r w:rsidR="00107BA6">
        <w:t>“</w:t>
      </w:r>
      <w:r w:rsidRPr="00107BA6">
        <w:rPr>
          <w:rStyle w:val="nfasis"/>
          <w:i w:val="0"/>
        </w:rPr>
        <w:t>inkomstpension</w:t>
      </w:r>
      <w:r w:rsidR="00107BA6">
        <w:rPr>
          <w:rStyle w:val="nfasis"/>
          <w:i w:val="0"/>
        </w:rPr>
        <w:t>”</w:t>
      </w:r>
      <w:r w:rsidRPr="008E47FE">
        <w:t xml:space="preserve"> (cuentas nocionales) y un 2,5% al Premium Pension Scheme (el modelo de capitalización que explicamos en el siguiente epígrafe).</w:t>
      </w:r>
    </w:p>
    <w:p w:rsidR="00FA4301" w:rsidRPr="008E47FE" w:rsidRDefault="00FA4301" w:rsidP="00550638">
      <w:pPr>
        <w:pStyle w:val="NormalWeb"/>
        <w:jc w:val="both"/>
      </w:pPr>
      <w:r w:rsidRPr="008E47FE">
        <w:t>En España, un grupo de expertos convocados por Unespa (la patronal de los seguros) y presidido por el exmi</w:t>
      </w:r>
      <w:r w:rsidR="00494A8D">
        <w:t>nistro socialista José Manuel Eg</w:t>
      </w:r>
      <w:r w:rsidRPr="008E47FE">
        <w:t xml:space="preserve">uiagaray abogó por un cambio </w:t>
      </w:r>
      <w:hyperlink r:id="rId601" w:history="1">
        <w:r w:rsidRPr="008E47FE">
          <w:rPr>
            <w:rStyle w:val="Hipervnculo"/>
            <w:rFonts w:eastAsiaTheme="majorEastAsia"/>
            <w:color w:val="auto"/>
            <w:u w:val="none"/>
          </w:rPr>
          <w:t>en la dirección de las cuentas nocionales</w:t>
        </w:r>
      </w:hyperlink>
      <w:r w:rsidRPr="008E47FE">
        <w:t xml:space="preserve">. La clave reside en que el trabajador tiene </w:t>
      </w:r>
      <w:r w:rsidRPr="008E47FE">
        <w:rPr>
          <w:rStyle w:val="nfasis"/>
        </w:rPr>
        <w:t>derecho</w:t>
      </w:r>
      <w:r w:rsidRPr="008E47FE">
        <w:t xml:space="preserve"> a recibir durante su jubilación el equivalente (más o menos) a lo que ha cotizado. Es decir, se acaba el período de cálculo, los años de cotización para cobrar el máximo y los demás indicadores.</w:t>
      </w:r>
    </w:p>
    <w:p w:rsidR="00FA4301" w:rsidRPr="008E47FE" w:rsidRDefault="00FA4301" w:rsidP="00550638">
      <w:pPr>
        <w:pStyle w:val="NormalWeb"/>
        <w:jc w:val="both"/>
      </w:pPr>
      <w:r w:rsidRPr="008E47FE">
        <w:t>Así, cuando un trabajador alcanza los 65 años y decide retirarse, se calcula cuántos años le quedan de vida. Se suma cuánto ha contribuido al sistema. Y se le calcula su paga en función de ambas variables. Es un modelo totalmente de reparto, pero con dos importantes matices respecto a lo vigente en España. Por un lado, existe una cierta justicia en que todo lo cotizado cuente. No hay efectos frontera por haber trabajado un mes más o menos; ni la mala suerte de quedar en paro en los últimos años de la vida activa acaba con las expectativas del jubilado.</w:t>
      </w:r>
    </w:p>
    <w:p w:rsidR="00FA4301" w:rsidRPr="008E47FE" w:rsidRDefault="00FA4301" w:rsidP="00550638">
      <w:pPr>
        <w:pStyle w:val="NormalWeb"/>
        <w:jc w:val="both"/>
      </w:pPr>
      <w:r w:rsidRPr="008E47FE">
        <w:t>Pero además, el modelo sueco incluye un sistema de revalorización constante. El incremento anual en las pensiones se establece en relación con la subida de los salarios, en una especie de equilibrio intergeneracional: si suben los ingresos de los cotizantes, también lo harán los de aquellos que viven de sus cotizaciones (y a la inversa).</w:t>
      </w:r>
    </w:p>
    <w:p w:rsidR="00FA4301" w:rsidRPr="008E47FE" w:rsidRDefault="00FA4301" w:rsidP="00550638">
      <w:pPr>
        <w:pStyle w:val="NormalWeb"/>
        <w:jc w:val="both"/>
      </w:pPr>
      <w:r w:rsidRPr="008E47FE">
        <w:t xml:space="preserve">Por último, existe un mecanismo de ajuste automático. Se calcula cuánto debe el sistema (valor actualizado de las pensiones) y se compara con sus </w:t>
      </w:r>
      <w:r w:rsidR="00107BA6">
        <w:t>“</w:t>
      </w:r>
      <w:r w:rsidRPr="00107BA6">
        <w:rPr>
          <w:rStyle w:val="nfasis"/>
          <w:i w:val="0"/>
        </w:rPr>
        <w:t>activos</w:t>
      </w:r>
      <w:r w:rsidR="00107BA6">
        <w:rPr>
          <w:rStyle w:val="nfasis"/>
          <w:i w:val="0"/>
        </w:rPr>
        <w:t>”</w:t>
      </w:r>
      <w:r w:rsidRPr="00107BA6">
        <w:rPr>
          <w:i/>
        </w:rPr>
        <w:t xml:space="preserve"> </w:t>
      </w:r>
      <w:r w:rsidRPr="008E47FE">
        <w:t>(cotizaciones más los fondos de salvaguarda que ha acumulado el Estado sueco). En el caso de que la relación sea negativa, se ajustan las pensiones inmediatamente a esta circunstancia, con recortes en las prestaciones. Desde 2001, esta circunstancia sólo se ha producido en dos ocasiones, 2010 y 2011, y en ambos casos el Gobierno aprobó mecanismos extraordinarios de compensación.</w:t>
      </w:r>
    </w:p>
    <w:p w:rsidR="00FA4301" w:rsidRPr="008E47FE" w:rsidRDefault="00FA4301" w:rsidP="00550638">
      <w:pPr>
        <w:pStyle w:val="NormalWeb"/>
        <w:jc w:val="both"/>
      </w:pPr>
      <w:r w:rsidRPr="008E47FE">
        <w:rPr>
          <w:rStyle w:val="Textoennegrita"/>
          <w:b w:val="0"/>
        </w:rPr>
        <w:t xml:space="preserve">- </w:t>
      </w:r>
      <w:r w:rsidRPr="00107BA6">
        <w:rPr>
          <w:rStyle w:val="Textoennegrita"/>
          <w:b w:val="0"/>
          <w:u w:val="single"/>
        </w:rPr>
        <w:t>Cuentas individuales</w:t>
      </w:r>
      <w:r w:rsidRPr="008E47FE">
        <w:rPr>
          <w:rStyle w:val="Textoennegrita"/>
          <w:b w:val="0"/>
        </w:rPr>
        <w:t>:</w:t>
      </w:r>
      <w:r w:rsidRPr="008E47FE">
        <w:t xml:space="preserve"> es la tercera pata del modelo y posiblemente la más novedosa. El 2,5% del salario de los trabajadores suecos va destinado a estas cuentas. Con esa cantidad, pueden invertir en los centenares de fondos (hasta 800) que existen en el país. O, si lo prefieren, en un fondo público, gestionado por el Gobierno y que invierte con criterios más conservadores.</w:t>
      </w:r>
    </w:p>
    <w:p w:rsidR="00FA4301" w:rsidRPr="008E47FE" w:rsidRDefault="00FA4301" w:rsidP="00550638">
      <w:pPr>
        <w:pStyle w:val="NormalWeb"/>
        <w:jc w:val="both"/>
      </w:pPr>
      <w:r w:rsidRPr="008E47FE">
        <w:t>Las posibilidades son infinitas. Cada persona puede distribuir su dinero entre varios fondos y cambiar a lo largo del año. Las compañías tienen la obligación de informar a sus clientes de sus tarifas y comisiones, así como de su filosofía de inversión. Y los fondos están divididos en categorías, en función del riesgo de sus inversiones.</w:t>
      </w:r>
    </w:p>
    <w:p w:rsidR="00FA4301" w:rsidRPr="008E47FE" w:rsidRDefault="00FA4301" w:rsidP="00550638">
      <w:pPr>
        <w:pStyle w:val="NormalWeb"/>
        <w:jc w:val="both"/>
      </w:pPr>
      <w:r w:rsidRPr="008E47FE">
        <w:lastRenderedPageBreak/>
        <w:t>A partir de los 61 años, los suecos pueden empezar a cobrar el dinero acumulado. Y se permite asociar los beneficios a una tercera persona (cónyuge o hijos) o unirlos a los de la pareja para que, en caso de fallecimiento, el otro siga cobrando del dinero ahorrado. En esencia es un modelo capitalización, con algunas restricciones en cuanto a retirada de fondos o beneficiarios.</w:t>
      </w:r>
    </w:p>
    <w:p w:rsidR="00FA4301" w:rsidRPr="008E47FE" w:rsidRDefault="00FA4301" w:rsidP="00550638">
      <w:pPr>
        <w:pStyle w:val="NormalWeb"/>
        <w:jc w:val="both"/>
      </w:pPr>
      <w:r w:rsidRPr="008E47FE">
        <w:rPr>
          <w:rStyle w:val="Textoennegrita"/>
          <w:b w:val="0"/>
        </w:rPr>
        <w:t xml:space="preserve">- </w:t>
      </w:r>
      <w:r w:rsidR="00107BA6" w:rsidRPr="00107BA6">
        <w:rPr>
          <w:rStyle w:val="Textoennegrita"/>
          <w:b w:val="0"/>
          <w:u w:val="single"/>
        </w:rPr>
        <w:t>El “</w:t>
      </w:r>
      <w:r w:rsidRPr="00107BA6">
        <w:rPr>
          <w:rStyle w:val="Textoennegrita"/>
          <w:b w:val="0"/>
          <w:u w:val="single"/>
        </w:rPr>
        <w:t>so</w:t>
      </w:r>
      <w:r w:rsidR="00107BA6" w:rsidRPr="00107BA6">
        <w:rPr>
          <w:rStyle w:val="Textoennegrita"/>
          <w:b w:val="0"/>
          <w:u w:val="single"/>
        </w:rPr>
        <w:t>bre naranja”</w:t>
      </w:r>
      <w:r w:rsidRPr="008E47FE">
        <w:rPr>
          <w:rStyle w:val="Textoennegrita"/>
          <w:b w:val="0"/>
        </w:rPr>
        <w:t>:</w:t>
      </w:r>
      <w:r w:rsidRPr="008E47FE">
        <w:t xml:space="preserve"> es la cuarta </w:t>
      </w:r>
      <w:r w:rsidR="00107BA6">
        <w:t>“</w:t>
      </w:r>
      <w:r w:rsidRPr="00107BA6">
        <w:rPr>
          <w:rStyle w:val="nfasis"/>
          <w:i w:val="0"/>
        </w:rPr>
        <w:t>pata</w:t>
      </w:r>
      <w:r w:rsidR="00107BA6">
        <w:rPr>
          <w:rStyle w:val="nfasis"/>
          <w:i w:val="0"/>
        </w:rPr>
        <w:t>”</w:t>
      </w:r>
      <w:r w:rsidRPr="008E47FE">
        <w:t xml:space="preserve"> del sistema. No implica otro fondo ni nada parecido. El </w:t>
      </w:r>
      <w:r w:rsidRPr="00107BA6">
        <w:rPr>
          <w:rStyle w:val="nfasis"/>
          <w:i w:val="0"/>
        </w:rPr>
        <w:t>sobre naranja</w:t>
      </w:r>
      <w:r w:rsidRPr="008E47FE">
        <w:t xml:space="preserve"> que todos los suecos reciben al comienzo de cada año les informa de cómo van sus fondos. De esta manera, indica por una parte cuánto hay en su cuenta nocional </w:t>
      </w:r>
      <w:r w:rsidRPr="00107BA6">
        <w:rPr>
          <w:rStyle w:val="nfasis"/>
          <w:i w:val="0"/>
        </w:rPr>
        <w:t>ficticia</w:t>
      </w:r>
      <w:r w:rsidRPr="00107BA6">
        <w:rPr>
          <w:i/>
        </w:rPr>
        <w:t xml:space="preserve"> </w:t>
      </w:r>
      <w:r w:rsidRPr="008E47FE">
        <w:t>(puesto que hay que recordar que este dinero lo pagan los actuales cotizantes, con los riesgos que eso implica). Y también les dice cómo va su fondo de ahorro individual.</w:t>
      </w:r>
    </w:p>
    <w:p w:rsidR="00FA4301" w:rsidRPr="008E47FE" w:rsidRDefault="00FA4301" w:rsidP="00550638">
      <w:pPr>
        <w:pStyle w:val="NormalWeb"/>
        <w:jc w:val="both"/>
      </w:pPr>
      <w:r w:rsidRPr="008E47FE">
        <w:t>Con esta información, el trabajador sabe con bastante precisión qué pensión le quedaría, en función también de a qué edad elige retirarse. Porque ésta es otra característica del modelo: al tener información detallada, es el trabajador el que decide, dentro de unos parámetros muy amplios, si prefiere jubilarse antes con una pensión más reducida o ahorrar algo más y retrasar el fin de su vida activa.</w:t>
      </w:r>
    </w:p>
    <w:p w:rsidR="00FA4301" w:rsidRPr="00107BA6" w:rsidRDefault="00FA4301" w:rsidP="00550638">
      <w:pPr>
        <w:pStyle w:val="Ttulo3"/>
        <w:spacing w:line="240" w:lineRule="auto"/>
        <w:jc w:val="both"/>
        <w:rPr>
          <w:rFonts w:ascii="Times New Roman" w:hAnsi="Times New Roman" w:cs="Times New Roman"/>
          <w:b w:val="0"/>
          <w:color w:val="auto"/>
          <w:sz w:val="24"/>
          <w:szCs w:val="24"/>
        </w:rPr>
      </w:pPr>
      <w:r w:rsidRPr="00107BA6">
        <w:rPr>
          <w:rStyle w:val="Textoennegrita"/>
          <w:rFonts w:ascii="Times New Roman" w:hAnsi="Times New Roman" w:cs="Times New Roman"/>
          <w:color w:val="auto"/>
          <w:sz w:val="24"/>
          <w:szCs w:val="24"/>
        </w:rPr>
        <w:t>Los matices</w:t>
      </w:r>
    </w:p>
    <w:p w:rsidR="00FA4301" w:rsidRPr="008E47FE" w:rsidRDefault="00FA4301" w:rsidP="00550638">
      <w:pPr>
        <w:pStyle w:val="NormalWeb"/>
        <w:jc w:val="both"/>
      </w:pPr>
      <w:r w:rsidRPr="008E47FE">
        <w:t xml:space="preserve">Evidentemente, un cambio de esta magnitud es complicado de hacer. Para empezar, un modelo de </w:t>
      </w:r>
      <w:r w:rsidRPr="008E47FE">
        <w:rPr>
          <w:rStyle w:val="Textoennegrita"/>
          <w:b w:val="0"/>
        </w:rPr>
        <w:t>cuentas nocionales implicaría un recorte en las prestaciones</w:t>
      </w:r>
      <w:r w:rsidRPr="008E47FE">
        <w:t xml:space="preserve"> prometidas con los actuales requisitos de acceso al sistema (tras la última reforma, 37 años de cotización requeridos para cobrar el 100% y 25 años período de cálculo).</w:t>
      </w:r>
    </w:p>
    <w:p w:rsidR="00FA4301" w:rsidRPr="008E47FE" w:rsidRDefault="00FA4301" w:rsidP="00550638">
      <w:pPr>
        <w:pStyle w:val="NormalWeb"/>
        <w:jc w:val="both"/>
      </w:pPr>
      <w:r w:rsidRPr="008E47FE">
        <w:t>Por lo tanto, sería imprescindible un período de transición para que aquellos que están cercanos a la edad de jubilación, y no tienen margen de maniobra, no se vean perjudicados.</w:t>
      </w:r>
    </w:p>
    <w:p w:rsidR="00FA4301" w:rsidRPr="008E47FE" w:rsidRDefault="00FA4301" w:rsidP="00550638">
      <w:pPr>
        <w:pStyle w:val="NormalWeb"/>
        <w:jc w:val="both"/>
      </w:pPr>
      <w:r w:rsidRPr="008E47FE">
        <w:t xml:space="preserve">Además, hay que tener en cuenta que la situación del mercado laboral en España dista mucho de la sueca. Con un 27% de paro, el número de trabajadores que sustenta con su cotización a los pensionistas es muy reducido. Eso sí, al menos hay mucho margen de mejora, para sostener el sistema durante el período de transición. Y está la famosa </w:t>
      </w:r>
      <w:r w:rsidR="00107BA6">
        <w:t>“</w:t>
      </w:r>
      <w:r w:rsidRPr="00107BA6">
        <w:rPr>
          <w:rStyle w:val="nfasis"/>
          <w:i w:val="0"/>
        </w:rPr>
        <w:t>hucha</w:t>
      </w:r>
      <w:r w:rsidR="00107BA6">
        <w:rPr>
          <w:rStyle w:val="nfasis"/>
          <w:i w:val="0"/>
        </w:rPr>
        <w:t>”</w:t>
      </w:r>
      <w:r w:rsidRPr="008E47FE">
        <w:t xml:space="preserve"> de las pensiones, que se podría utilizar como colchón de seguridad. El </w:t>
      </w:r>
      <w:r w:rsidR="00107BA6">
        <w:t>“</w:t>
      </w:r>
      <w:r w:rsidRPr="00107BA6">
        <w:rPr>
          <w:rStyle w:val="nfasis"/>
          <w:i w:val="0"/>
        </w:rPr>
        <w:t>baby-boom</w:t>
      </w:r>
      <w:r w:rsidR="00107BA6">
        <w:rPr>
          <w:rStyle w:val="nfasis"/>
          <w:i w:val="0"/>
        </w:rPr>
        <w:t>”</w:t>
      </w:r>
      <w:r w:rsidRPr="008E47FE">
        <w:t xml:space="preserve"> en España fue algo más tardío que en otros países, al igual que la incorporación de la mujer al mercado laboral, por lo que hay cierto margen hasta 2025-2030 para ir preparando el sistema (hasta ese momento seguirá creciendo, en teoría, la fuerza laboral). </w:t>
      </w:r>
    </w:p>
    <w:p w:rsidR="00FA4301" w:rsidRPr="008E47FE" w:rsidRDefault="00FA4301" w:rsidP="00550638">
      <w:pPr>
        <w:pStyle w:val="NormalWeb"/>
        <w:jc w:val="both"/>
      </w:pPr>
      <w:r w:rsidRPr="008E47FE">
        <w:t xml:space="preserve">En cualquier caso, no parece que éste vaya a ser el camino seguido por los políticos españoles. En 1996, durante la primera legislatura de Aznar, se habló mucho de que el Gobierno tenía un informe sobre la mesa </w:t>
      </w:r>
      <w:r w:rsidRPr="008E47FE">
        <w:rPr>
          <w:rStyle w:val="Textoennegrita"/>
          <w:b w:val="0"/>
        </w:rPr>
        <w:t>para pasar al modelo chileno de pensiones</w:t>
      </w:r>
      <w:r w:rsidRPr="008E47FE">
        <w:t>. Ahora, 17 años después, durante los que se podía haber avanzado mucho, eso se da políticamente por imposible (aunque son muchos los expertos que creen que sería una solución factible). El ejemplo de Suecia es un paso intermedio, con un modelo de reparto más sostenible y algo de capitalización. Además, en el país escandinavo, las pensiones de la gran mayoría de los trabajadores se complementan con planes empleado-empresa, un camino que en España está por recorrer.</w:t>
      </w:r>
    </w:p>
    <w:p w:rsidR="00FA4301" w:rsidRDefault="00FA4301" w:rsidP="00550638">
      <w:pPr>
        <w:pStyle w:val="NormalWeb"/>
        <w:jc w:val="both"/>
      </w:pPr>
      <w:r w:rsidRPr="008E47FE">
        <w:lastRenderedPageBreak/>
        <w:t>Nada de esto parece que vaya a impulsarse en nuestro país. El Gobierno ya ha dicho que su reforma de pensiones es la que está sobre la mesa. Y los fundamentos no cambian, por falta de ambición o de convicción. El factor de sostenibilidad introduce un cierto componente de equilibrio financiero, pero le faltan algunos elementos clave del sistema de cuentas nocionales. Los jubilados españoles, presentes y futuros, ya saben a qué atenerse.</w:t>
      </w:r>
    </w:p>
    <w:p w:rsidR="00107BA6" w:rsidRPr="00107BA6" w:rsidRDefault="00107BA6" w:rsidP="00550638">
      <w:pPr>
        <w:pStyle w:val="NormalWeb"/>
        <w:jc w:val="both"/>
        <w:rPr>
          <w:u w:val="single"/>
        </w:rPr>
      </w:pPr>
      <w:r w:rsidRPr="00107BA6">
        <w:rPr>
          <w:u w:val="single"/>
        </w:rPr>
        <w:t>El Gobierno polaco se “argentiniza” (el último tango en Varsovia o un ensayo europeo)</w:t>
      </w:r>
    </w:p>
    <w:p w:rsidR="00F41CBE" w:rsidRPr="00107BA6" w:rsidRDefault="00107BA6" w:rsidP="00550638">
      <w:pPr>
        <w:pStyle w:val="NormalWeb"/>
        <w:jc w:val="both"/>
      </w:pPr>
      <w:r>
        <w:rPr>
          <w:i/>
        </w:rPr>
        <w:t>“</w:t>
      </w:r>
      <w:r w:rsidR="00F41CBE" w:rsidRPr="00107BA6">
        <w:rPr>
          <w:i/>
        </w:rPr>
        <w:t>El Gobierno polaco ha anunciado esta semana que transferirá más de la mitad de los activos de los fondos de pensiones privados al estado. Hoy un miembro del banco central po</w:t>
      </w:r>
      <w:r>
        <w:rPr>
          <w:i/>
        </w:rPr>
        <w:t xml:space="preserve">laco ha defendido esta decisión”… </w:t>
      </w:r>
      <w:r w:rsidRPr="00515A1F">
        <w:rPr>
          <w:u w:val="single"/>
        </w:rPr>
        <w:t>El Gobierno polaco confisca los fondos de pensiones privados</w:t>
      </w:r>
      <w:r>
        <w:t xml:space="preserve"> (Expansión - </w:t>
      </w:r>
      <w:r w:rsidRPr="00515A1F">
        <w:rPr>
          <w:b/>
        </w:rPr>
        <w:t>7/9/13</w:t>
      </w:r>
      <w:r>
        <w:t>)</w:t>
      </w:r>
      <w:r w:rsidRPr="00515A1F">
        <w:t xml:space="preserve"> </w:t>
      </w:r>
    </w:p>
    <w:p w:rsidR="007B2FC8" w:rsidRDefault="00107BA6" w:rsidP="00550638">
      <w:pPr>
        <w:pStyle w:val="NormalWeb"/>
        <w:jc w:val="both"/>
      </w:pPr>
      <w:r w:rsidRPr="007B2FC8">
        <w:t>Polonia anunció el 4 de septiembre (2013)</w:t>
      </w:r>
      <w:r w:rsidR="00F41CBE" w:rsidRPr="007B2FC8">
        <w:t xml:space="preserve"> que transferirá al estado muchos de los activos de los fondos de pensiones privados para recortar la deuda pública del país. Los analistas consideran que estaría poniendo en peligro el futuro de miles de millones en inversiones nacionales y extranjeras. </w:t>
      </w:r>
    </w:p>
    <w:p w:rsidR="007B2FC8" w:rsidRDefault="00F41CBE" w:rsidP="00550638">
      <w:pPr>
        <w:pStyle w:val="NormalWeb"/>
        <w:jc w:val="both"/>
      </w:pPr>
      <w:r w:rsidRPr="007B2FC8">
        <w:t xml:space="preserve">Aunque se esperaba una reforma de calado, el anuncio del Gobierno fue más lejos de lo que esperaban los mercados y está sacrificando su tradicional defensa del libre comercio para calmar a una población golpeada por la crisis económica. La organización de fondos de pensiones de Polonia ha señalado que esta decisión podría ser inconstitucional. Al fin y al cabo, señalan, se estarían confiscando activos privados sin ofrecer una compensación. </w:t>
      </w:r>
    </w:p>
    <w:p w:rsidR="00F41CBE" w:rsidRDefault="00F41CBE" w:rsidP="00550638">
      <w:pPr>
        <w:pStyle w:val="NormalWeb"/>
        <w:jc w:val="both"/>
      </w:pPr>
      <w:r w:rsidRPr="007B2FC8">
        <w:t>El primer ministro polaco se</w:t>
      </w:r>
      <w:r w:rsidR="007B2FC8">
        <w:t xml:space="preserve"> apresuró a aclarar </w:t>
      </w:r>
      <w:r w:rsidRPr="007B2FC8">
        <w:t>que aunque los fondos privados que se encuentren dentro del marco de aquellos que garantiza el estado se transferirían a un vehículo financiero público, se conservarían las posiciones de los inversores. Anna Zielinska-Glebocka aseg</w:t>
      </w:r>
      <w:r w:rsidR="007B2FC8">
        <w:t xml:space="preserve">uró </w:t>
      </w:r>
      <w:r w:rsidRPr="007B2FC8">
        <w:t>que Polonia no alcanzará un crecimiento potencial del 3 al 4 por ciento (un 0,8% más que ahora) sin un estímulo de las inversiones que sirva para reforzar la demanda doméstica y para reducir el peso de las exportaciones de las que el país depende en estos momentos. Zielinska-Glebocka señaló que “los cambios en el sistema de pensiones son positivos” para impulsar “las inversiones” y que el impacto de las nuevas medidas se sentirá más en 2015 que en 2014.</w:t>
      </w:r>
    </w:p>
    <w:p w:rsidR="00463095" w:rsidRPr="00463095" w:rsidRDefault="00463095" w:rsidP="00550638">
      <w:pPr>
        <w:pStyle w:val="NormalWeb"/>
        <w:jc w:val="both"/>
        <w:rPr>
          <w:u w:val="single"/>
        </w:rPr>
      </w:pPr>
      <w:r w:rsidRPr="00463095">
        <w:rPr>
          <w:u w:val="single"/>
        </w:rPr>
        <w:t xml:space="preserve">La solución </w:t>
      </w:r>
      <w:r w:rsidR="00166AF9">
        <w:rPr>
          <w:u w:val="single"/>
        </w:rPr>
        <w:t>para el “crecimiento”</w:t>
      </w:r>
      <w:r w:rsidRPr="00463095">
        <w:rPr>
          <w:u w:val="single"/>
        </w:rPr>
        <w:t xml:space="preserve"> europeo está en la</w:t>
      </w:r>
      <w:r w:rsidR="00166AF9">
        <w:rPr>
          <w:u w:val="single"/>
        </w:rPr>
        <w:t xml:space="preserve"> “</w:t>
      </w:r>
      <w:r w:rsidRPr="00463095">
        <w:rPr>
          <w:u w:val="single"/>
        </w:rPr>
        <w:t>exportación</w:t>
      </w:r>
      <w:r w:rsidR="00166AF9">
        <w:rPr>
          <w:u w:val="single"/>
        </w:rPr>
        <w:t>”</w:t>
      </w:r>
      <w:r w:rsidRPr="00463095">
        <w:rPr>
          <w:u w:val="single"/>
        </w:rPr>
        <w:t>… ¿de abuelas?</w:t>
      </w:r>
    </w:p>
    <w:p w:rsidR="00F41CBE" w:rsidRPr="00166AF9" w:rsidRDefault="00166AF9" w:rsidP="00550638">
      <w:pPr>
        <w:spacing w:line="240" w:lineRule="auto"/>
        <w:jc w:val="both"/>
        <w:rPr>
          <w:rFonts w:ascii="Times New Roman" w:hAnsi="Times New Roman" w:cs="Times New Roman"/>
          <w:i/>
          <w:sz w:val="24"/>
          <w:szCs w:val="24"/>
        </w:rPr>
      </w:pPr>
      <w:r>
        <w:rPr>
          <w:rFonts w:ascii="Times New Roman" w:hAnsi="Times New Roman" w:cs="Times New Roman"/>
          <w:i/>
          <w:sz w:val="24"/>
          <w:szCs w:val="24"/>
        </w:rPr>
        <w:t>“</w:t>
      </w:r>
      <w:r w:rsidR="00F41CBE" w:rsidRPr="00166AF9">
        <w:rPr>
          <w:rFonts w:ascii="Times New Roman" w:hAnsi="Times New Roman" w:cs="Times New Roman"/>
          <w:i/>
          <w:sz w:val="24"/>
          <w:szCs w:val="24"/>
        </w:rPr>
        <w:t>Hacerse mayor en Alemania está empezando a ser prohibitivo. Tanto para las familias de los ancianos como para los propios jubilados se hace cada vez más difícil asumir el coste de una residencia o de un cuidador a domicilio. ¿La s</w:t>
      </w:r>
      <w:r w:rsidRPr="00166AF9">
        <w:rPr>
          <w:rFonts w:ascii="Times New Roman" w:hAnsi="Times New Roman" w:cs="Times New Roman"/>
          <w:i/>
          <w:sz w:val="24"/>
          <w:szCs w:val="24"/>
        </w:rPr>
        <w:t>olución? Salir de Alemania. La “exportación de abuelas”</w:t>
      </w:r>
      <w:r w:rsidR="00F41CBE" w:rsidRPr="00166AF9">
        <w:rPr>
          <w:rFonts w:ascii="Times New Roman" w:hAnsi="Times New Roman" w:cs="Times New Roman"/>
          <w:i/>
          <w:sz w:val="24"/>
          <w:szCs w:val="24"/>
        </w:rPr>
        <w:t>, como han acuñado el fenómeno en los medios germanos, está la orden del día</w:t>
      </w:r>
      <w:r w:rsidRPr="00166AF9">
        <w:rPr>
          <w:rFonts w:ascii="Times New Roman" w:hAnsi="Times New Roman" w:cs="Times New Roman"/>
          <w:i/>
          <w:sz w:val="24"/>
          <w:szCs w:val="24"/>
        </w:rPr>
        <w:t>”..</w:t>
      </w:r>
      <w:r w:rsidR="00F41CBE" w:rsidRPr="00166AF9">
        <w:rPr>
          <w:rFonts w:ascii="Times New Roman" w:hAnsi="Times New Roman" w:cs="Times New Roman"/>
          <w:i/>
          <w:sz w:val="24"/>
          <w:szCs w:val="24"/>
        </w:rPr>
        <w:t>.</w:t>
      </w:r>
      <w:r w:rsidRPr="00166AF9">
        <w:rPr>
          <w:rFonts w:ascii="Times New Roman" w:hAnsi="Times New Roman" w:cs="Times New Roman"/>
          <w:i/>
          <w:sz w:val="24"/>
          <w:szCs w:val="24"/>
        </w:rPr>
        <w:t xml:space="preserve"> </w:t>
      </w:r>
      <w:r>
        <w:rPr>
          <w:rStyle w:val="contenido-apoyo"/>
          <w:rFonts w:ascii="Times New Roman" w:hAnsi="Times New Roman" w:cs="Times New Roman"/>
          <w:sz w:val="24"/>
          <w:szCs w:val="24"/>
          <w:u w:val="single"/>
        </w:rPr>
        <w:t>La “exportación de abuelas”</w:t>
      </w:r>
      <w:r w:rsidRPr="001C36DE">
        <w:rPr>
          <w:rStyle w:val="contenido-apoyo"/>
          <w:rFonts w:ascii="Times New Roman" w:hAnsi="Times New Roman" w:cs="Times New Roman"/>
          <w:sz w:val="24"/>
          <w:szCs w:val="24"/>
          <w:u w:val="single"/>
        </w:rPr>
        <w:t>: un fenómeno creciente entre los jubilados de Alemania</w:t>
      </w:r>
      <w:r>
        <w:rPr>
          <w:rStyle w:val="contenido-apoyo"/>
          <w:rFonts w:ascii="Times New Roman" w:hAnsi="Times New Roman" w:cs="Times New Roman"/>
          <w:sz w:val="24"/>
          <w:szCs w:val="24"/>
        </w:rPr>
        <w:t xml:space="preserve"> (El Economista - </w:t>
      </w:r>
      <w:r w:rsidRPr="001C36DE">
        <w:rPr>
          <w:rStyle w:val="contenido-apoyo"/>
          <w:rFonts w:ascii="Times New Roman" w:hAnsi="Times New Roman" w:cs="Times New Roman"/>
          <w:b/>
          <w:sz w:val="24"/>
          <w:szCs w:val="24"/>
        </w:rPr>
        <w:t>16/9/13</w:t>
      </w:r>
      <w:r>
        <w:rPr>
          <w:rStyle w:val="contenido-apoyo"/>
          <w:rFonts w:ascii="Times New Roman" w:hAnsi="Times New Roman" w:cs="Times New Roman"/>
          <w:sz w:val="24"/>
          <w:szCs w:val="24"/>
        </w:rPr>
        <w:t>)</w:t>
      </w:r>
    </w:p>
    <w:p w:rsidR="00F41CBE" w:rsidRPr="00166AF9" w:rsidRDefault="00F41CBE" w:rsidP="00550638">
      <w:pPr>
        <w:pStyle w:val="NormalWeb"/>
        <w:jc w:val="both"/>
      </w:pPr>
      <w:r w:rsidRPr="00166AF9">
        <w:t xml:space="preserve">Con un precio medio de 3.250 euros al mes, la tarifa de las residencias de ancianos en Alemania se presenta difícil de cubrir incluso para aquellos abuelos que cuentan con ahorros además de con una pensión estatal. Según una encuesta elaborada el pasado mes de marzo por TNS Emni, uno de cada cinco germanos están ahora dispuestos a considerar la opción de salir del país para su retiro. </w:t>
      </w:r>
    </w:p>
    <w:p w:rsidR="00F41CBE" w:rsidRPr="00166AF9" w:rsidRDefault="00F41CBE" w:rsidP="00550638">
      <w:pPr>
        <w:pStyle w:val="NormalWeb"/>
        <w:jc w:val="both"/>
      </w:pPr>
      <w:r w:rsidRPr="00166AF9">
        <w:rPr>
          <w:bCs/>
        </w:rPr>
        <w:lastRenderedPageBreak/>
        <w:t xml:space="preserve">Y el destino predilecto es, por el momento, la vecina Polonia. </w:t>
      </w:r>
      <w:r w:rsidRPr="00166AF9">
        <w:t xml:space="preserve">De acuerdo con los datos recopilados por </w:t>
      </w:r>
      <w:r w:rsidR="00166AF9">
        <w:t>“</w:t>
      </w:r>
      <w:r w:rsidRPr="00166AF9">
        <w:rPr>
          <w:iCs/>
        </w:rPr>
        <w:t>Bloomberg</w:t>
      </w:r>
      <w:r w:rsidR="00166AF9">
        <w:rPr>
          <w:iCs/>
        </w:rPr>
        <w:t>”</w:t>
      </w:r>
      <w:r w:rsidRPr="00166AF9">
        <w:t xml:space="preserve">, allí hay residencias cuyo precio medio ronda los 1.200 euros mensuales. </w:t>
      </w:r>
    </w:p>
    <w:p w:rsidR="00F41CBE" w:rsidRPr="00166AF9" w:rsidRDefault="00F41CBE" w:rsidP="00550638">
      <w:pPr>
        <w:pStyle w:val="NormalWeb"/>
        <w:jc w:val="both"/>
      </w:pPr>
      <w:r w:rsidRPr="00166AF9">
        <w:t xml:space="preserve">Pero los ciudadanos alemanes no solo evalúan el precio. Los servicios y cuidados ofrecidos por los establecimientos polacos son en muchos casos mejores de los que proporcionan sus homólogos alemanes. </w:t>
      </w:r>
    </w:p>
    <w:p w:rsidR="00F41CBE" w:rsidRPr="00166AF9" w:rsidRDefault="00166AF9" w:rsidP="00550638">
      <w:pPr>
        <w:pStyle w:val="NormalWeb"/>
        <w:jc w:val="both"/>
      </w:pPr>
      <w:r>
        <w:t>“</w:t>
      </w:r>
      <w:r w:rsidR="00F41CBE" w:rsidRPr="00166AF9">
        <w:t>Por casi un tercio de lo que pagaba en Alemania, Sonja vive en una centenaria villa de lujo restaurada donde disfruta de buenas comidas, atención las 24 horas del</w:t>
      </w:r>
      <w:r>
        <w:t xml:space="preserve"> día y terapia física intensiva”</w:t>
      </w:r>
      <w:r w:rsidR="00F41CBE" w:rsidRPr="00166AF9">
        <w:t xml:space="preserve">, cuenta la agencia de noticias financieras. Se trata del caso de Sonja Miskulin, una alemana de 94 años afectada de demencia senil a quien su hija ha decidido trasladar a una residencia de Polonia recientemente. </w:t>
      </w:r>
    </w:p>
    <w:p w:rsidR="00F41CBE" w:rsidRPr="00166AF9" w:rsidRDefault="00F41CBE" w:rsidP="00550638">
      <w:pPr>
        <w:pStyle w:val="NormalWeb"/>
        <w:jc w:val="both"/>
      </w:pPr>
      <w:r w:rsidRPr="00166AF9">
        <w:t>Las ayudas que concede el Gobierno alemán descienden cuando el cuidado del anciano se realiza fuera del país a unos 700 euros, menos de la mitad del máximo que se puede percibir dentro de Alemania, pero una cantidad más que suficiente para para cubrir los gastos de la residencia polaca junto con la pens</w:t>
      </w:r>
      <w:r w:rsidR="00166AF9">
        <w:t xml:space="preserve">ión y los posibles ahorros. </w:t>
      </w:r>
    </w:p>
    <w:p w:rsidR="00F41CBE" w:rsidRPr="00166AF9" w:rsidRDefault="00166AF9" w:rsidP="00550638">
      <w:pPr>
        <w:pStyle w:val="NormalWeb"/>
        <w:jc w:val="both"/>
      </w:pPr>
      <w:r>
        <w:t>“</w:t>
      </w:r>
      <w:r w:rsidR="00F41CBE" w:rsidRPr="00166AF9">
        <w:t>He trabajado m</w:t>
      </w:r>
      <w:r>
        <w:t>uy duro para tener lo que tengo”</w:t>
      </w:r>
      <w:r w:rsidR="00F41CBE" w:rsidRPr="00166AF9">
        <w:t>, explica Ingrid Fetz, una jubilada de 74 años dispuesta a march</w:t>
      </w:r>
      <w:r>
        <w:t>arse después de hacer cuentas. “</w:t>
      </w:r>
      <w:r w:rsidR="00F41CBE" w:rsidRPr="00166AF9">
        <w:t xml:space="preserve">Me rompería el corazón tener que entregar mi casa a una residencia, así que pensé, ¿por qué </w:t>
      </w:r>
      <w:r>
        <w:t>tengo que quedarme en Alemania?”</w:t>
      </w:r>
      <w:r w:rsidR="00F41CBE" w:rsidRPr="00166AF9">
        <w:t xml:space="preserve">, añade. </w:t>
      </w:r>
    </w:p>
    <w:p w:rsidR="00F41CBE" w:rsidRPr="00166AF9" w:rsidRDefault="00166AF9" w:rsidP="00550638">
      <w:pPr>
        <w:pStyle w:val="NormalWeb"/>
        <w:jc w:val="both"/>
      </w:pPr>
      <w:r>
        <w:t>“</w:t>
      </w:r>
      <w:r w:rsidR="00F41CBE" w:rsidRPr="00166AF9">
        <w:t>Solo puedo decir, hijos, cuando vuestros padres se hag</w:t>
      </w:r>
      <w:r>
        <w:t>an mayores, llevadlos a Polonia”</w:t>
      </w:r>
      <w:r w:rsidR="00F41CBE" w:rsidRPr="00166AF9">
        <w:t>, declara la hija de Sonja Miskulin, que atendió a su madre en casa hasta que su enfermedad lo hizo imposible y que ahora debe conducir nueve horas para verla.</w:t>
      </w:r>
    </w:p>
    <w:p w:rsidR="00F41CBE" w:rsidRPr="00166AF9" w:rsidRDefault="00F41CBE" w:rsidP="00550638">
      <w:pPr>
        <w:pStyle w:val="NormalWeb"/>
        <w:jc w:val="both"/>
      </w:pPr>
      <w:r w:rsidRPr="00166AF9">
        <w:t>Este convencimiento, expresado a través de estos casos concretos, es creciente. El número de familias que afirma que el traslado es la única opción para dar un retiro barato y de calidad a sus parientes está empezando a ser tan generalizado que los medios germanos ya se hacen eco de la tendenc</w:t>
      </w:r>
      <w:r w:rsidR="00166AF9">
        <w:t>ia, a la que han denominado la “exportación de abuelas”</w:t>
      </w:r>
      <w:r w:rsidRPr="00166AF9">
        <w:t>.  A la vez, el princ</w:t>
      </w:r>
      <w:r w:rsidR="00166AF9">
        <w:t xml:space="preserve">ipal diario de </w:t>
      </w:r>
      <w:r w:rsidR="00494A8D">
        <w:t>Múnich</w:t>
      </w:r>
      <w:r w:rsidR="00166AF9">
        <w:t xml:space="preserve"> habla de “colonialismo gerontológico”</w:t>
      </w:r>
      <w:r w:rsidRPr="00166AF9">
        <w:t xml:space="preserve">. </w:t>
      </w:r>
    </w:p>
    <w:p w:rsidR="00F41CBE" w:rsidRDefault="00F41CBE" w:rsidP="00550638">
      <w:pPr>
        <w:pStyle w:val="NormalWeb"/>
        <w:jc w:val="both"/>
      </w:pPr>
      <w:r w:rsidRPr="00166AF9">
        <w:t>Mientras, en Polonia acogen de buen grado a los nuevos inquilinos. Residencias como la que acoge a la señora Miskulin aseguran que pronto la mitad de sus clientes serán de Alemania y crece el número de establecimientos donde se habla alemán e incluso se ofrecen en el menú comidas típicas alemanas.</w:t>
      </w:r>
    </w:p>
    <w:p w:rsidR="002A0BAE" w:rsidRPr="002A0BAE" w:rsidRDefault="002A0BAE" w:rsidP="00550638">
      <w:pPr>
        <w:spacing w:before="100" w:beforeAutospacing="1" w:after="100" w:afterAutospacing="1" w:line="240" w:lineRule="auto"/>
        <w:jc w:val="both"/>
        <w:rPr>
          <w:rFonts w:ascii="Times New Roman" w:hAnsi="Times New Roman" w:cs="Times New Roman"/>
          <w:sz w:val="24"/>
          <w:szCs w:val="24"/>
          <w:u w:val="single"/>
        </w:rPr>
      </w:pPr>
      <w:r w:rsidRPr="002A0BAE">
        <w:rPr>
          <w:rFonts w:ascii="Times New Roman" w:hAnsi="Times New Roman" w:cs="Times New Roman"/>
          <w:sz w:val="24"/>
          <w:szCs w:val="24"/>
          <w:u w:val="single"/>
        </w:rPr>
        <w:t>UE: una veintena de países ha cambiado su sistema desde 2008, la mayoría sin acuerdo</w:t>
      </w:r>
    </w:p>
    <w:p w:rsidR="002A0BAE" w:rsidRPr="0057118B" w:rsidRDefault="0057118B" w:rsidP="00550638">
      <w:pPr>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i/>
          <w:sz w:val="24"/>
          <w:szCs w:val="24"/>
        </w:rPr>
        <w:t>“</w:t>
      </w:r>
      <w:r w:rsidR="002A0BAE" w:rsidRPr="002A0BAE">
        <w:rPr>
          <w:rFonts w:ascii="Times New Roman" w:hAnsi="Times New Roman" w:cs="Times New Roman"/>
          <w:i/>
          <w:sz w:val="24"/>
          <w:szCs w:val="24"/>
        </w:rPr>
        <w:t>El Gobierno no tiene fácil lograr un pacto para reformar las pensiones. Lo pudo comprobar la semana pasada, cuando el Consejo Económico y Social rechazó su propuesta y le pidió que empezara de cero. Y lo ha certificado esta semana, cuando se dio de frente con todos los grupos de la oposición. Pero si no tiene éxito, desde luego, no será una excepción en Europa. Desde 2008 hasta ahora 22 países han reformado sus sistemas de pensiones, y en la mayor parte de ocasiones, el pacto entre Gobierno y agentes sociales ha sido imposible</w:t>
      </w:r>
      <w:r w:rsidR="002A0BAE">
        <w:rPr>
          <w:rFonts w:ascii="Times New Roman" w:hAnsi="Times New Roman" w:cs="Times New Roman"/>
          <w:i/>
          <w:sz w:val="24"/>
          <w:szCs w:val="24"/>
        </w:rPr>
        <w:t>”..</w:t>
      </w:r>
      <w:r w:rsidR="002A0BAE" w:rsidRPr="002A0BAE">
        <w:rPr>
          <w:rFonts w:ascii="Times New Roman" w:hAnsi="Times New Roman" w:cs="Times New Roman"/>
          <w:i/>
          <w:sz w:val="24"/>
          <w:szCs w:val="24"/>
        </w:rPr>
        <w:t>.</w:t>
      </w:r>
      <w:r w:rsidR="002A0BAE">
        <w:rPr>
          <w:rFonts w:ascii="Times New Roman" w:hAnsi="Times New Roman" w:cs="Times New Roman"/>
          <w:i/>
          <w:sz w:val="24"/>
          <w:szCs w:val="24"/>
        </w:rPr>
        <w:t xml:space="preserve"> </w:t>
      </w:r>
      <w:r w:rsidR="002A0BAE" w:rsidRPr="004534D3">
        <w:rPr>
          <w:rFonts w:ascii="Times New Roman" w:hAnsi="Times New Roman" w:cs="Times New Roman"/>
          <w:sz w:val="24"/>
          <w:szCs w:val="24"/>
          <w:u w:val="single"/>
        </w:rPr>
        <w:t>A Europa se le atragantan los pactos para las reformas de pensiones</w:t>
      </w:r>
      <w:r w:rsidR="002A0BAE">
        <w:rPr>
          <w:rFonts w:ascii="Times New Roman" w:hAnsi="Times New Roman" w:cs="Times New Roman"/>
          <w:sz w:val="24"/>
          <w:szCs w:val="24"/>
        </w:rPr>
        <w:t xml:space="preserve"> (El País - </w:t>
      </w:r>
      <w:r w:rsidR="002A0BAE" w:rsidRPr="004534D3">
        <w:rPr>
          <w:rFonts w:ascii="Times New Roman" w:hAnsi="Times New Roman" w:cs="Times New Roman"/>
          <w:b/>
          <w:sz w:val="24"/>
          <w:szCs w:val="24"/>
        </w:rPr>
        <w:t>6/10/13</w:t>
      </w:r>
      <w:r w:rsidR="002A0BAE">
        <w:rPr>
          <w:rFonts w:ascii="Times New Roman" w:hAnsi="Times New Roman" w:cs="Times New Roman"/>
          <w:sz w:val="24"/>
          <w:szCs w:val="24"/>
        </w:rPr>
        <w:t>)</w:t>
      </w:r>
    </w:p>
    <w:p w:rsidR="002A0BAE" w:rsidRPr="0057118B" w:rsidRDefault="002A0BAE" w:rsidP="00550638">
      <w:pPr>
        <w:spacing w:before="100" w:beforeAutospacing="1" w:after="100" w:afterAutospacing="1" w:line="240" w:lineRule="auto"/>
        <w:jc w:val="both"/>
        <w:rPr>
          <w:rFonts w:ascii="Times New Roman" w:hAnsi="Times New Roman" w:cs="Times New Roman"/>
          <w:sz w:val="24"/>
          <w:szCs w:val="24"/>
        </w:rPr>
      </w:pPr>
      <w:r w:rsidRPr="0057118B">
        <w:rPr>
          <w:rFonts w:ascii="Times New Roman" w:hAnsi="Times New Roman" w:cs="Times New Roman"/>
          <w:sz w:val="24"/>
          <w:szCs w:val="24"/>
        </w:rPr>
        <w:lastRenderedPageBreak/>
        <w:t>“La fuerte presión para hacer reformas, debido a la crisis económica y la necesidad de reducir el gasto público, ha limitado la posibilidad de que los sindicatos lleguen a influir y, en muchos países, ha acabado con el fracaso de las negociaciones y la ruptura del diálogo social”, analiza un informe de Eurofound, una fundación de la Unión Europea integrada por sindicatos, empresarios y la propia UE, que está en consonancia con imágenes como la de hace un par de semanas en Polonia, donde el Gobierno de Donald Tusk se encontró manifestaciones multitudinarias encabezadas por Solidaridad por su plan de reforma. Y el rechazo no solo se da en los representantes de los trabajadores, antes de la CEOE, ya en 2009 los empresarios suecos se disgustaron por varios ajustes que hizo el Gobierno del país escandinavo.</w:t>
      </w:r>
    </w:p>
    <w:p w:rsidR="002A0BAE" w:rsidRPr="0057118B" w:rsidRDefault="002A0BAE" w:rsidP="00550638">
      <w:pPr>
        <w:spacing w:before="100" w:beforeAutospacing="1" w:after="100" w:afterAutospacing="1" w:line="240" w:lineRule="auto"/>
        <w:jc w:val="both"/>
        <w:rPr>
          <w:rFonts w:ascii="Times New Roman" w:hAnsi="Times New Roman" w:cs="Times New Roman"/>
          <w:sz w:val="24"/>
          <w:szCs w:val="24"/>
        </w:rPr>
      </w:pPr>
      <w:r w:rsidRPr="0057118B">
        <w:rPr>
          <w:rFonts w:ascii="Times New Roman" w:hAnsi="Times New Roman" w:cs="Times New Roman"/>
          <w:sz w:val="24"/>
          <w:szCs w:val="24"/>
        </w:rPr>
        <w:t>“Es la orientación general”, explica José María Zufiaur, del Consejo Económico y Social europeo (CES), “los Gobiernos siguen las orientaciones de Bruselas en temas que no son de su competencia. Da lugar a reformas impuestas sin consenso social”. Los mayores desencuentros se han dado en países rescatados, excepto en Portugal, donde la reforma hecha cuatro años antes d</w:t>
      </w:r>
      <w:r w:rsidR="0057118B">
        <w:rPr>
          <w:rFonts w:ascii="Times New Roman" w:hAnsi="Times New Roman" w:cs="Times New Roman"/>
          <w:sz w:val="24"/>
          <w:szCs w:val="24"/>
        </w:rPr>
        <w:t>el rescate evitó que la troika -el FMI, el BCE y la UE-</w:t>
      </w:r>
      <w:r w:rsidRPr="0057118B">
        <w:rPr>
          <w:rFonts w:ascii="Times New Roman" w:hAnsi="Times New Roman" w:cs="Times New Roman"/>
          <w:sz w:val="24"/>
          <w:szCs w:val="24"/>
        </w:rPr>
        <w:t xml:space="preserve"> impusiera una nueva, aunque eso no le evitó una congelación de pensiones de 2011 a 2013. Entonces se retrasó la edad de jubilación hasta los 65 años y se creó un factor de sostenibilidad ligado a la esperanza de vida.</w:t>
      </w:r>
    </w:p>
    <w:p w:rsidR="002A0BAE" w:rsidRPr="0057118B" w:rsidRDefault="002A0BAE" w:rsidP="00550638">
      <w:pPr>
        <w:spacing w:before="100" w:beforeAutospacing="1" w:after="100" w:afterAutospacing="1" w:line="240" w:lineRule="auto"/>
        <w:jc w:val="both"/>
        <w:rPr>
          <w:rFonts w:ascii="Times New Roman" w:hAnsi="Times New Roman" w:cs="Times New Roman"/>
          <w:sz w:val="24"/>
          <w:szCs w:val="24"/>
        </w:rPr>
      </w:pPr>
      <w:r w:rsidRPr="0057118B">
        <w:rPr>
          <w:rFonts w:ascii="Times New Roman" w:hAnsi="Times New Roman" w:cs="Times New Roman"/>
          <w:color w:val="FF0000"/>
          <w:sz w:val="24"/>
          <w:szCs w:val="24"/>
        </w:rPr>
        <w:t>Portugal</w:t>
      </w:r>
      <w:r w:rsidRPr="0057118B">
        <w:rPr>
          <w:rFonts w:ascii="Times New Roman" w:hAnsi="Times New Roman" w:cs="Times New Roman"/>
          <w:sz w:val="24"/>
          <w:szCs w:val="24"/>
        </w:rPr>
        <w:t xml:space="preserve"> se adelantó en cinco años al Libro Blanco de la Comisión Europea. En este informe, como en el Ageing Report 2012 también de la Comisión, se apunta el problema demográfico al que Europa enfrentará en las próximas décadas por su envejecimiento que puede elevar el gasto medio en pensiones en la UE para 2060 hasta el 12,5% del PIB (Italia se sitúa ya en torno al 15%). Para contener ese gasto, el Libro Blanco aconseja reformas que “vinculen la edad de jubilación a los aumentos de la esperanza de vida”, “restrinjan el acceso a la jubilación anticipada”, “iguale la edad de jubilación de hombres y mujeres” o se “fomente la constitución de planes de ahorro privado”. La crítica que hace Zufiaur, del CES europeo, a este planteamiento es que “se está aprovechando la crisis” para hacer reformas que él considera “ideológicas”.</w:t>
      </w:r>
    </w:p>
    <w:p w:rsidR="002A0BAE" w:rsidRPr="0057118B" w:rsidRDefault="002A0BAE" w:rsidP="00550638">
      <w:pPr>
        <w:spacing w:before="100" w:beforeAutospacing="1" w:after="100" w:afterAutospacing="1" w:line="240" w:lineRule="auto"/>
        <w:jc w:val="both"/>
        <w:rPr>
          <w:rFonts w:ascii="Times New Roman" w:hAnsi="Times New Roman" w:cs="Times New Roman"/>
          <w:sz w:val="24"/>
          <w:szCs w:val="24"/>
        </w:rPr>
      </w:pPr>
      <w:r w:rsidRPr="0057118B">
        <w:rPr>
          <w:rFonts w:ascii="Times New Roman" w:hAnsi="Times New Roman" w:cs="Times New Roman"/>
          <w:sz w:val="24"/>
          <w:szCs w:val="24"/>
        </w:rPr>
        <w:t xml:space="preserve">Esos consejos se siguieron en </w:t>
      </w:r>
      <w:r w:rsidRPr="0057118B">
        <w:rPr>
          <w:rFonts w:ascii="Times New Roman" w:hAnsi="Times New Roman" w:cs="Times New Roman"/>
          <w:color w:val="FF0000"/>
          <w:sz w:val="24"/>
          <w:szCs w:val="24"/>
        </w:rPr>
        <w:t>Grecia</w:t>
      </w:r>
      <w:r w:rsidRPr="0057118B">
        <w:rPr>
          <w:rFonts w:ascii="Times New Roman" w:hAnsi="Times New Roman" w:cs="Times New Roman"/>
          <w:sz w:val="24"/>
          <w:szCs w:val="24"/>
        </w:rPr>
        <w:t>, donde hasta el rescate existía uno de los sistemas más generosos del continente. A pesar del rechazo social, entre 2010 y 2012, los diferentes Gobiernos helenos han ido implementando las condiciones de la troika que suponen elevar de 60 a 65 años o aumentar las carreras de cotización para cobrar el 100% de la pensión hasta los 40 años.</w:t>
      </w:r>
    </w:p>
    <w:p w:rsidR="002A0BAE" w:rsidRPr="0057118B" w:rsidRDefault="002A0BAE" w:rsidP="00550638">
      <w:pPr>
        <w:spacing w:before="100" w:beforeAutospacing="1" w:after="100" w:afterAutospacing="1" w:line="240" w:lineRule="auto"/>
        <w:jc w:val="both"/>
        <w:rPr>
          <w:rFonts w:ascii="Times New Roman" w:hAnsi="Times New Roman" w:cs="Times New Roman"/>
          <w:sz w:val="24"/>
          <w:szCs w:val="24"/>
        </w:rPr>
      </w:pPr>
      <w:r w:rsidRPr="0057118B">
        <w:rPr>
          <w:rFonts w:ascii="Times New Roman" w:hAnsi="Times New Roman" w:cs="Times New Roman"/>
          <w:sz w:val="24"/>
          <w:szCs w:val="24"/>
        </w:rPr>
        <w:t xml:space="preserve">Tampoco fue posible el pacto en </w:t>
      </w:r>
      <w:r w:rsidRPr="0057118B">
        <w:rPr>
          <w:rFonts w:ascii="Times New Roman" w:hAnsi="Times New Roman" w:cs="Times New Roman"/>
          <w:color w:val="FF0000"/>
          <w:sz w:val="24"/>
          <w:szCs w:val="24"/>
        </w:rPr>
        <w:t>Irlanda</w:t>
      </w:r>
      <w:r w:rsidRPr="0057118B">
        <w:rPr>
          <w:rFonts w:ascii="Times New Roman" w:hAnsi="Times New Roman" w:cs="Times New Roman"/>
          <w:sz w:val="24"/>
          <w:szCs w:val="24"/>
        </w:rPr>
        <w:t>, donde el año que viene la edad de jubilación se elevará a 66 años, en 2021 subirá hasta los 67 y en 2028 se llegará a los 68 años. “En Irlanda, la consulta tripartita ha sido un instrumento fuerte en el pasado, pero la crisis económica ha traído la ruptura del vínculo de acuerdos de nivel nacional en políticas clave”, expone Eurofound.</w:t>
      </w:r>
    </w:p>
    <w:p w:rsidR="002A0BAE" w:rsidRPr="0057118B" w:rsidRDefault="002A0BAE" w:rsidP="00550638">
      <w:pPr>
        <w:spacing w:before="100" w:beforeAutospacing="1" w:after="100" w:afterAutospacing="1" w:line="240" w:lineRule="auto"/>
        <w:jc w:val="both"/>
        <w:rPr>
          <w:rFonts w:ascii="Times New Roman" w:hAnsi="Times New Roman" w:cs="Times New Roman"/>
          <w:sz w:val="24"/>
          <w:szCs w:val="24"/>
        </w:rPr>
      </w:pPr>
      <w:r w:rsidRPr="0057118B">
        <w:rPr>
          <w:rFonts w:ascii="Times New Roman" w:hAnsi="Times New Roman" w:cs="Times New Roman"/>
          <w:sz w:val="24"/>
          <w:szCs w:val="24"/>
        </w:rPr>
        <w:t>Pero el choque entre Gobiernos y agentes sociales por las reformas de pensiones no se han quedado solo en los países rescatados. También en los grandes países de l</w:t>
      </w:r>
      <w:r w:rsidR="0057118B">
        <w:rPr>
          <w:rFonts w:ascii="Times New Roman" w:hAnsi="Times New Roman" w:cs="Times New Roman"/>
          <w:sz w:val="24"/>
          <w:szCs w:val="24"/>
        </w:rPr>
        <w:t>a Unión con reformas recientes -</w:t>
      </w:r>
      <w:r w:rsidRPr="0057118B">
        <w:rPr>
          <w:rFonts w:ascii="Times New Roman" w:hAnsi="Times New Roman" w:cs="Times New Roman"/>
          <w:sz w:val="24"/>
          <w:szCs w:val="24"/>
        </w:rPr>
        <w:t>algunas de ellas abortadas en parte, como la de 2010 en Franc</w:t>
      </w:r>
      <w:r w:rsidR="0057118B">
        <w:rPr>
          <w:rFonts w:ascii="Times New Roman" w:hAnsi="Times New Roman" w:cs="Times New Roman"/>
          <w:sz w:val="24"/>
          <w:szCs w:val="24"/>
        </w:rPr>
        <w:t>ia-</w:t>
      </w:r>
      <w:r w:rsidRPr="0057118B">
        <w:rPr>
          <w:rFonts w:ascii="Times New Roman" w:hAnsi="Times New Roman" w:cs="Times New Roman"/>
          <w:sz w:val="24"/>
          <w:szCs w:val="24"/>
        </w:rPr>
        <w:t xml:space="preserve"> ha sido posible llegar a una entente. En Italia, como en Suecia o Bélgica, lo que hizo imposible el acuerdo social fueron las prisas. “La adopción de medidas ha tenido un ritmo muy rápido y los agentes sociales no han tenido suficiente tiempo para expresar su opinión”, lamenta Eurofound.</w:t>
      </w:r>
    </w:p>
    <w:p w:rsidR="002A0BAE" w:rsidRPr="0057118B" w:rsidRDefault="002A0BAE" w:rsidP="00550638">
      <w:pPr>
        <w:spacing w:before="100" w:beforeAutospacing="1" w:after="100" w:afterAutospacing="1" w:line="240" w:lineRule="auto"/>
        <w:jc w:val="both"/>
        <w:rPr>
          <w:rFonts w:ascii="Times New Roman" w:hAnsi="Times New Roman" w:cs="Times New Roman"/>
          <w:sz w:val="24"/>
          <w:szCs w:val="24"/>
        </w:rPr>
      </w:pPr>
      <w:r w:rsidRPr="0057118B">
        <w:rPr>
          <w:rFonts w:ascii="Times New Roman" w:hAnsi="Times New Roman" w:cs="Times New Roman"/>
          <w:sz w:val="24"/>
          <w:szCs w:val="24"/>
        </w:rPr>
        <w:lastRenderedPageBreak/>
        <w:t xml:space="preserve">Una de las reformas de mayor calado del Gobierno de Mario Monti fue la de pensiones, en línea con muchas de las peticiones de su patronal, Confindustria, pero lejos de los sindicatos. </w:t>
      </w:r>
      <w:r w:rsidRPr="0057118B">
        <w:rPr>
          <w:rFonts w:ascii="Times New Roman" w:hAnsi="Times New Roman" w:cs="Times New Roman"/>
          <w:color w:val="FF0000"/>
          <w:sz w:val="24"/>
          <w:szCs w:val="24"/>
        </w:rPr>
        <w:t>Italia</w:t>
      </w:r>
      <w:r w:rsidRPr="0057118B">
        <w:rPr>
          <w:rFonts w:ascii="Times New Roman" w:hAnsi="Times New Roman" w:cs="Times New Roman"/>
          <w:sz w:val="24"/>
          <w:szCs w:val="24"/>
        </w:rPr>
        <w:t xml:space="preserve"> es uno de los países en los que la edad de jubilación de hombre y mujer es distinta ahora y donde se prevé igualarla, concretamente en 2018, donde ambos sexos se retirarán los 66 años. Además, siguiendo el modelo sueco, se cambió sustancialmente la naturaleza del sistema al adoptar las cuentas nocionales: un modelo en el que el trabajador tiene una cuenta personal en la que se anotan sus aportaciones al sistema, a través de las cotizaciones, y se le aplica un coeficiente de rentabilidad. Llegado el momento de jubilarse, la pensión se calcula según lo acumulado en esa cuenta.</w:t>
      </w:r>
    </w:p>
    <w:p w:rsidR="002A0BAE" w:rsidRPr="0057118B" w:rsidRDefault="002A0BAE" w:rsidP="00550638">
      <w:pPr>
        <w:spacing w:before="100" w:beforeAutospacing="1" w:after="100" w:afterAutospacing="1" w:line="240" w:lineRule="auto"/>
        <w:jc w:val="both"/>
        <w:rPr>
          <w:rFonts w:ascii="Times New Roman" w:hAnsi="Times New Roman" w:cs="Times New Roman"/>
          <w:sz w:val="24"/>
          <w:szCs w:val="24"/>
        </w:rPr>
      </w:pPr>
      <w:r w:rsidRPr="0057118B">
        <w:rPr>
          <w:rFonts w:ascii="Times New Roman" w:hAnsi="Times New Roman" w:cs="Times New Roman"/>
          <w:sz w:val="24"/>
          <w:szCs w:val="24"/>
        </w:rPr>
        <w:t xml:space="preserve">La contestación social en </w:t>
      </w:r>
      <w:r w:rsidRPr="0057118B">
        <w:rPr>
          <w:rFonts w:ascii="Times New Roman" w:hAnsi="Times New Roman" w:cs="Times New Roman"/>
          <w:color w:val="FF0000"/>
          <w:sz w:val="24"/>
          <w:szCs w:val="24"/>
        </w:rPr>
        <w:t>Francia</w:t>
      </w:r>
      <w:r w:rsidRPr="0057118B">
        <w:rPr>
          <w:rFonts w:ascii="Times New Roman" w:hAnsi="Times New Roman" w:cs="Times New Roman"/>
          <w:sz w:val="24"/>
          <w:szCs w:val="24"/>
        </w:rPr>
        <w:t>, probablemente el país de Europa donde hay ahora un sistema más generoso, contra los cambios en las pensiones se agotó en 2010, cuando Sarkozy sacó adelante el retraso gradual de la edad de jubilación de 60 a 62 años en 2018. François Hollande llegó al poder prometiendo una derogación de esta reforma, pero solo lo hizo en parte. Ahora el presidente francés, siguiendo el dictado de la UE, está tramitando un aumento del periodo de cotización exigido que está encontrando un débil rechazo en la calle.</w:t>
      </w:r>
    </w:p>
    <w:p w:rsidR="00166AF9" w:rsidRPr="00DC5B95" w:rsidRDefault="002A0BAE" w:rsidP="00DC5B95">
      <w:pPr>
        <w:spacing w:before="100" w:beforeAutospacing="1" w:after="100" w:afterAutospacing="1" w:line="240" w:lineRule="auto"/>
        <w:jc w:val="both"/>
        <w:rPr>
          <w:rFonts w:ascii="Times New Roman" w:hAnsi="Times New Roman" w:cs="Times New Roman"/>
          <w:sz w:val="24"/>
          <w:szCs w:val="24"/>
        </w:rPr>
      </w:pPr>
      <w:r w:rsidRPr="0057118B">
        <w:rPr>
          <w:rFonts w:ascii="Times New Roman" w:hAnsi="Times New Roman" w:cs="Times New Roman"/>
          <w:sz w:val="24"/>
          <w:szCs w:val="24"/>
        </w:rPr>
        <w:t xml:space="preserve">Las opciones de acuerdo o choque en Europa no acabarán cuando se acabe la tramitación de la reforma que en España ha comenzado su andadura en el Congreso u Hollande saque adelante la suya. El envejecimiento de la población en Europa va para largo y, como recuerda Eurofound, “las reformas de pensiones se mantendrán </w:t>
      </w:r>
      <w:r w:rsidR="00DC5B95">
        <w:rPr>
          <w:rFonts w:ascii="Times New Roman" w:hAnsi="Times New Roman" w:cs="Times New Roman"/>
          <w:sz w:val="24"/>
          <w:szCs w:val="24"/>
        </w:rPr>
        <w:t>en la agenda de muchos países”.</w:t>
      </w:r>
    </w:p>
    <w:p w:rsidR="00F829AC" w:rsidRPr="00DD6955" w:rsidRDefault="00C97076" w:rsidP="00550638">
      <w:pPr>
        <w:spacing w:before="100" w:beforeAutospacing="1" w:after="100" w:afterAutospacing="1" w:line="240" w:lineRule="auto"/>
        <w:jc w:val="both"/>
        <w:rPr>
          <w:rFonts w:ascii="Times New Roman" w:eastAsia="Times New Roman" w:hAnsi="Times New Roman"/>
          <w:b/>
          <w:sz w:val="24"/>
          <w:szCs w:val="24"/>
          <w:lang w:eastAsia="es-ES"/>
        </w:rPr>
      </w:pPr>
      <w:r>
        <w:rPr>
          <w:rFonts w:ascii="Times New Roman" w:eastAsia="Times New Roman" w:hAnsi="Times New Roman"/>
          <w:b/>
          <w:sz w:val="24"/>
          <w:szCs w:val="24"/>
          <w:lang w:eastAsia="es-ES"/>
        </w:rPr>
        <w:t>Informe especial</w:t>
      </w:r>
      <w:r w:rsidR="00F829AC" w:rsidRPr="00DD6955">
        <w:rPr>
          <w:rFonts w:ascii="Times New Roman" w:eastAsia="Times New Roman" w:hAnsi="Times New Roman"/>
          <w:b/>
          <w:sz w:val="24"/>
          <w:szCs w:val="24"/>
          <w:lang w:eastAsia="es-ES"/>
        </w:rPr>
        <w:t xml:space="preserve"> - El caso español</w:t>
      </w:r>
      <w:r w:rsidR="00F829AC">
        <w:rPr>
          <w:rFonts w:ascii="Times New Roman" w:eastAsia="Times New Roman" w:hAnsi="Times New Roman"/>
          <w:b/>
          <w:sz w:val="24"/>
          <w:szCs w:val="24"/>
          <w:lang w:eastAsia="es-ES"/>
        </w:rPr>
        <w:t xml:space="preserve">: la “solución final” para lograr la “sostenibilidad” del sistema público de pensiones, “hay que matar a los viejos” (además se ahorra en sanidad). Dos beneficios fiscales por el precio de uno (si total, se iban a morir igual)  </w:t>
      </w:r>
    </w:p>
    <w:p w:rsidR="00F829AC" w:rsidRPr="005C2409" w:rsidRDefault="00F829AC" w:rsidP="00550638">
      <w:pPr>
        <w:spacing w:before="100" w:beforeAutospacing="1" w:after="100" w:afterAutospacing="1" w:line="240" w:lineRule="auto"/>
        <w:jc w:val="both"/>
        <w:rPr>
          <w:rFonts w:ascii="Times New Roman" w:eastAsia="Times New Roman" w:hAnsi="Times New Roman"/>
          <w:sz w:val="24"/>
          <w:szCs w:val="24"/>
          <w:lang w:eastAsia="es-ES"/>
        </w:rPr>
      </w:pPr>
      <w:r w:rsidRPr="005C2409">
        <w:rPr>
          <w:rFonts w:ascii="Times New Roman" w:eastAsia="Times New Roman" w:hAnsi="Times New Roman"/>
          <w:sz w:val="24"/>
          <w:szCs w:val="24"/>
          <w:u w:val="single"/>
          <w:lang w:eastAsia="es-ES"/>
        </w:rPr>
        <w:t xml:space="preserve">Cada vez menos afiliados sostienen a un número </w:t>
      </w:r>
      <w:r>
        <w:rPr>
          <w:rFonts w:ascii="Times New Roman" w:eastAsia="Times New Roman" w:hAnsi="Times New Roman"/>
          <w:sz w:val="24"/>
          <w:szCs w:val="24"/>
          <w:u w:val="single"/>
          <w:lang w:eastAsia="es-ES"/>
        </w:rPr>
        <w:t>mayor de pensionistas y parados</w:t>
      </w:r>
    </w:p>
    <w:p w:rsidR="00F829AC" w:rsidRPr="005C2409" w:rsidRDefault="00F829AC" w:rsidP="00550638">
      <w:pPr>
        <w:spacing w:line="240" w:lineRule="auto"/>
        <w:jc w:val="both"/>
        <w:rPr>
          <w:rFonts w:ascii="Times New Roman" w:eastAsia="Times New Roman" w:hAnsi="Times New Roman"/>
          <w:sz w:val="24"/>
          <w:szCs w:val="24"/>
          <w:lang w:eastAsia="es-ES"/>
        </w:rPr>
      </w:pPr>
      <w:r>
        <w:rPr>
          <w:rFonts w:ascii="Times New Roman" w:eastAsia="Times New Roman" w:hAnsi="Times New Roman"/>
          <w:i/>
          <w:sz w:val="24"/>
          <w:szCs w:val="24"/>
          <w:lang w:eastAsia="es-ES"/>
        </w:rPr>
        <w:t>“</w:t>
      </w:r>
      <w:r w:rsidRPr="005C2409">
        <w:rPr>
          <w:rFonts w:ascii="Times New Roman" w:eastAsia="Times New Roman" w:hAnsi="Times New Roman"/>
          <w:i/>
          <w:sz w:val="24"/>
          <w:szCs w:val="24"/>
          <w:lang w:eastAsia="es-ES"/>
        </w:rPr>
        <w:t>El Estado del Bienestar se basa, según sus defensores, en la solidaridad entre generaciones, clases y regiones. De esta manera, los supuestos privilegiados de una sociedad ayudarían a aquellos que lo son menos con una transferencia de rentas que se llevaría a cabo con la ayuda del Gobierno. El problema es que hay un límite a partir del cual este planteamiento comienza a complicarse. Si no hay cotizantes, puede que no haya pensiones, subsidios del paro o impuestos suficientes para pagar todo este esquema. Y es posible que en España estemos cerca de rebasar ese límite</w:t>
      </w:r>
      <w:r>
        <w:rPr>
          <w:rFonts w:ascii="Times New Roman" w:eastAsia="Times New Roman" w:hAnsi="Times New Roman"/>
          <w:i/>
          <w:sz w:val="24"/>
          <w:szCs w:val="24"/>
          <w:lang w:eastAsia="es-ES"/>
        </w:rPr>
        <w:t>”..</w:t>
      </w:r>
      <w:r w:rsidRPr="005C2409">
        <w:rPr>
          <w:rFonts w:ascii="Times New Roman" w:eastAsia="Times New Roman" w:hAnsi="Times New Roman"/>
          <w:i/>
          <w:sz w:val="24"/>
          <w:szCs w:val="24"/>
          <w:lang w:eastAsia="es-ES"/>
        </w:rPr>
        <w:t xml:space="preserve">. </w:t>
      </w:r>
      <w:r w:rsidRPr="008F2195">
        <w:rPr>
          <w:rFonts w:ascii="Times New Roman" w:eastAsia="Times New Roman" w:hAnsi="Times New Roman"/>
          <w:sz w:val="24"/>
          <w:szCs w:val="24"/>
          <w:u w:val="single"/>
          <w:lang w:eastAsia="es-ES"/>
        </w:rPr>
        <w:t>El Estado del Bienestar, al límite de su capacidad</w:t>
      </w:r>
      <w:r>
        <w:rPr>
          <w:rFonts w:ascii="Times New Roman" w:eastAsia="Times New Roman" w:hAnsi="Times New Roman"/>
          <w:sz w:val="24"/>
          <w:szCs w:val="24"/>
          <w:lang w:eastAsia="es-ES"/>
        </w:rPr>
        <w:t xml:space="preserve"> (Libertad Digital - </w:t>
      </w:r>
      <w:r w:rsidRPr="008F2195">
        <w:rPr>
          <w:rFonts w:ascii="Times New Roman" w:eastAsia="Times New Roman" w:hAnsi="Times New Roman"/>
          <w:b/>
          <w:sz w:val="24"/>
          <w:szCs w:val="24"/>
          <w:lang w:eastAsia="es-ES"/>
        </w:rPr>
        <w:t>14/6/11</w:t>
      </w:r>
      <w:r>
        <w:rPr>
          <w:rFonts w:ascii="Times New Roman" w:eastAsia="Times New Roman" w:hAnsi="Times New Roman"/>
          <w:sz w:val="24"/>
          <w:szCs w:val="24"/>
          <w:lang w:eastAsia="es-ES"/>
        </w:rPr>
        <w:t>)</w:t>
      </w:r>
    </w:p>
    <w:p w:rsidR="00F829AC" w:rsidRPr="00504596" w:rsidRDefault="00F829AC" w:rsidP="00550638">
      <w:pPr>
        <w:spacing w:line="240" w:lineRule="auto"/>
        <w:jc w:val="both"/>
        <w:rPr>
          <w:rFonts w:ascii="Times New Roman" w:eastAsia="Times New Roman" w:hAnsi="Times New Roman"/>
          <w:sz w:val="24"/>
          <w:szCs w:val="24"/>
          <w:lang w:eastAsia="es-ES"/>
        </w:rPr>
      </w:pPr>
      <w:r w:rsidRPr="005C2409">
        <w:rPr>
          <w:rFonts w:ascii="Times New Roman" w:eastAsia="Times New Roman" w:hAnsi="Times New Roman"/>
          <w:sz w:val="24"/>
          <w:szCs w:val="24"/>
          <w:lang w:eastAsia="es-ES"/>
        </w:rPr>
        <w:t xml:space="preserve">Según el último estudio de Agett (Asociación de Grandes Empresas de Trabajo Temporal), la tasa de soporte se ha reducido en España desde el 1,88 de 2007 al 1,44 del primer trimestre de 2011. </w:t>
      </w:r>
      <w:r w:rsidRPr="00504596">
        <w:rPr>
          <w:rFonts w:ascii="Times New Roman" w:eastAsia="Times New Roman" w:hAnsi="Times New Roman"/>
          <w:sz w:val="24"/>
          <w:szCs w:val="24"/>
          <w:lang w:eastAsia="es-ES"/>
        </w:rPr>
        <w:t>Este ratio mide la proporción entre afiliados y parados y pensionistas. Es decir, contabiliza algo así como el número de cotizantes que sostienen a cada perceptor de un subsidio estatal. Y en España, este número ha estado cayendo de forma co</w:t>
      </w:r>
      <w:r>
        <w:rPr>
          <w:rFonts w:ascii="Times New Roman" w:eastAsia="Times New Roman" w:hAnsi="Times New Roman"/>
          <w:sz w:val="24"/>
          <w:szCs w:val="24"/>
          <w:lang w:eastAsia="es-ES"/>
        </w:rPr>
        <w:t>nstante desde hace cuatro años.</w:t>
      </w:r>
      <w:r w:rsidRPr="00504596">
        <w:rPr>
          <w:rFonts w:ascii="Times New Roman" w:eastAsia="Times New Roman" w:hAnsi="Times New Roman"/>
          <w:sz w:val="24"/>
          <w:szCs w:val="24"/>
          <w:lang w:eastAsia="es-ES"/>
        </w:rPr>
        <w:t xml:space="preserve"> </w:t>
      </w:r>
    </w:p>
    <w:p w:rsidR="00F829AC" w:rsidRDefault="00F829AC" w:rsidP="00550638">
      <w:pPr>
        <w:spacing w:line="240" w:lineRule="auto"/>
        <w:jc w:val="both"/>
        <w:rPr>
          <w:rFonts w:ascii="Times New Roman" w:eastAsia="Times New Roman" w:hAnsi="Times New Roman"/>
          <w:sz w:val="24"/>
          <w:szCs w:val="24"/>
          <w:lang w:eastAsia="es-ES"/>
        </w:rPr>
      </w:pPr>
      <w:r w:rsidRPr="00504596">
        <w:rPr>
          <w:rFonts w:ascii="Times New Roman" w:eastAsia="Times New Roman" w:hAnsi="Times New Roman"/>
          <w:sz w:val="24"/>
          <w:szCs w:val="24"/>
          <w:lang w:eastAsia="es-ES"/>
        </w:rPr>
        <w:t>La causa fundamental es la caída del empleo, que por una parte ha tirado la cifra de afiliados a la Seguridad Social y por otro ha disparado el número de perceptores del subsidio de desempleo. Pero también la trampa demográfica en la que está España, con cada vez más personas mayores y menos jóvenes</w:t>
      </w:r>
      <w:r>
        <w:rPr>
          <w:rFonts w:ascii="Times New Roman" w:eastAsia="Times New Roman" w:hAnsi="Times New Roman"/>
          <w:sz w:val="24"/>
          <w:szCs w:val="24"/>
          <w:lang w:eastAsia="es-ES"/>
        </w:rPr>
        <w:t>,</w:t>
      </w:r>
      <w:r w:rsidRPr="00504596">
        <w:rPr>
          <w:rFonts w:ascii="Times New Roman" w:eastAsia="Times New Roman" w:hAnsi="Times New Roman"/>
          <w:sz w:val="24"/>
          <w:szCs w:val="24"/>
          <w:lang w:eastAsia="es-ES"/>
        </w:rPr>
        <w:t xml:space="preserve"> ha contribuido.</w:t>
      </w:r>
    </w:p>
    <w:p w:rsidR="00F829AC" w:rsidRDefault="00F829AC" w:rsidP="00550638">
      <w:pPr>
        <w:spacing w:line="240" w:lineRule="auto"/>
        <w:jc w:val="both"/>
        <w:rPr>
          <w:rFonts w:ascii="Times New Roman" w:eastAsia="Times New Roman" w:hAnsi="Times New Roman"/>
          <w:sz w:val="24"/>
          <w:szCs w:val="24"/>
          <w:lang w:eastAsia="es-ES"/>
        </w:rPr>
      </w:pPr>
      <w:r>
        <w:rPr>
          <w:noProof/>
          <w:lang w:eastAsia="es-ES"/>
        </w:rPr>
        <w:lastRenderedPageBreak/>
        <w:drawing>
          <wp:inline distT="0" distB="0" distL="0" distR="0" wp14:anchorId="23F46FDA" wp14:editId="7373C706">
            <wp:extent cx="5478935" cy="2816352"/>
            <wp:effectExtent l="0" t="0" r="7620" b="3175"/>
            <wp:docPr id="104" name="Imagen 104" descr="tasa_soport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tasa_soporte_1"/>
                    <pic:cNvPicPr>
                      <a:picLocks noChangeAspect="1" noChangeArrowheads="1"/>
                    </pic:cNvPicPr>
                  </pic:nvPicPr>
                  <pic:blipFill>
                    <a:blip r:embed="rId602">
                      <a:extLst>
                        <a:ext uri="{28A0092B-C50C-407E-A947-70E740481C1C}">
                          <a14:useLocalDpi xmlns:a14="http://schemas.microsoft.com/office/drawing/2010/main" val="0"/>
                        </a:ext>
                      </a:extLst>
                    </a:blip>
                    <a:srcRect/>
                    <a:stretch>
                      <a:fillRect/>
                    </a:stretch>
                  </pic:blipFill>
                  <pic:spPr bwMode="auto">
                    <a:xfrm>
                      <a:off x="0" y="0"/>
                      <a:ext cx="5478780" cy="2816272"/>
                    </a:xfrm>
                    <a:prstGeom prst="rect">
                      <a:avLst/>
                    </a:prstGeom>
                    <a:noFill/>
                    <a:ln>
                      <a:noFill/>
                    </a:ln>
                  </pic:spPr>
                </pic:pic>
              </a:graphicData>
            </a:graphic>
          </wp:inline>
        </w:drawing>
      </w:r>
    </w:p>
    <w:p w:rsidR="00F829AC" w:rsidRPr="00166AF9" w:rsidRDefault="00F829AC" w:rsidP="00550638">
      <w:pPr>
        <w:spacing w:line="240" w:lineRule="auto"/>
        <w:jc w:val="both"/>
        <w:rPr>
          <w:rFonts w:ascii="Times New Roman" w:eastAsia="Times New Roman" w:hAnsi="Times New Roman"/>
          <w:sz w:val="24"/>
          <w:szCs w:val="24"/>
          <w:lang w:eastAsia="es-ES"/>
        </w:rPr>
      </w:pPr>
      <w:r w:rsidRPr="00166AF9">
        <w:rPr>
          <w:rFonts w:ascii="Times New Roman" w:eastAsia="Times New Roman" w:hAnsi="Times New Roman"/>
          <w:sz w:val="24"/>
          <w:szCs w:val="24"/>
          <w:lang w:eastAsia="es-ES"/>
        </w:rPr>
        <w:t xml:space="preserve">Además, no en todas las regiones la situación es homogénea. De esta manera, en Madrid la tasa de soporte es de 2,13, una cifra modesta en comparación con la de otros países pero suficiente para asegurar las prestaciones. Al mismo tiempo, en Navarra con 1,72 y Valencia con 1,59 se mantienen ratios razonables. </w:t>
      </w:r>
    </w:p>
    <w:p w:rsidR="00F829AC" w:rsidRPr="00166AF9" w:rsidRDefault="00F829AC" w:rsidP="00550638">
      <w:pPr>
        <w:spacing w:line="240" w:lineRule="auto"/>
        <w:jc w:val="both"/>
        <w:rPr>
          <w:rFonts w:ascii="Times New Roman" w:eastAsia="Times New Roman" w:hAnsi="Times New Roman"/>
          <w:sz w:val="24"/>
          <w:szCs w:val="24"/>
          <w:lang w:eastAsia="es-ES"/>
        </w:rPr>
      </w:pPr>
      <w:r w:rsidRPr="00166AF9">
        <w:rPr>
          <w:rFonts w:ascii="Times New Roman" w:eastAsia="Times New Roman" w:hAnsi="Times New Roman"/>
          <w:sz w:val="24"/>
          <w:szCs w:val="24"/>
          <w:lang w:eastAsia="es-ES"/>
        </w:rPr>
        <w:t>Sin embargo, hay cinco regiones que tienen tasas de soporte inferiores al 1,3, considerado como el mínimo que hace sostenible un sistema como el español. Así, Andalucía presenta un 1,29, Cantabria un 1,27 y Extremadura un 1,18. Y a la cola de la clasificación Galicia tiene una tasa de soporte de 1,09 y Asturias de 1,05. Es decir, que en estas dos regiones cada trabajador tiene que pagar la prestación de un pensionista o parado.</w:t>
      </w:r>
    </w:p>
    <w:p w:rsidR="00F829AC" w:rsidRPr="00166AF9" w:rsidRDefault="00F829AC" w:rsidP="00550638">
      <w:pPr>
        <w:spacing w:line="240" w:lineRule="auto"/>
        <w:jc w:val="both"/>
        <w:rPr>
          <w:rFonts w:ascii="Times New Roman" w:eastAsia="Times New Roman" w:hAnsi="Times New Roman"/>
          <w:sz w:val="24"/>
          <w:szCs w:val="24"/>
          <w:lang w:eastAsia="es-ES"/>
        </w:rPr>
      </w:pPr>
      <w:r w:rsidRPr="00166AF9">
        <w:rPr>
          <w:rFonts w:ascii="Times New Roman" w:eastAsia="Times New Roman" w:hAnsi="Times New Roman"/>
          <w:sz w:val="24"/>
          <w:szCs w:val="24"/>
          <w:lang w:eastAsia="es-ES"/>
        </w:rPr>
        <w:t>Evidentemente, tanto parados como pensionistas han cotizado para cobrar sus prestaciones. El problema no es que ellos exijan lo que la ley les otorga, sino en un sistema que no genera suficientes puestos de trabajo como para facilitar que dejen de ser perceptores de un subsidio y pasen a ser afiliados y cotizantes.</w:t>
      </w:r>
    </w:p>
    <w:p w:rsidR="00F829AC" w:rsidRPr="00166AF9" w:rsidRDefault="00F829AC" w:rsidP="00550638">
      <w:pPr>
        <w:spacing w:line="240" w:lineRule="auto"/>
        <w:jc w:val="both"/>
        <w:rPr>
          <w:rFonts w:ascii="Times New Roman" w:eastAsia="Times New Roman" w:hAnsi="Times New Roman"/>
          <w:sz w:val="24"/>
          <w:szCs w:val="24"/>
          <w:lang w:eastAsia="es-ES"/>
        </w:rPr>
      </w:pPr>
      <w:r w:rsidRPr="00166AF9">
        <w:rPr>
          <w:rFonts w:ascii="Times New Roman" w:eastAsia="Times New Roman" w:hAnsi="Times New Roman"/>
          <w:sz w:val="24"/>
          <w:szCs w:val="24"/>
          <w:lang w:eastAsia="es-ES"/>
        </w:rPr>
        <w:t>Más parados y menos contributivas</w:t>
      </w:r>
    </w:p>
    <w:p w:rsidR="00F829AC" w:rsidRPr="00166AF9" w:rsidRDefault="00F829AC" w:rsidP="00550638">
      <w:pPr>
        <w:spacing w:line="240" w:lineRule="auto"/>
        <w:jc w:val="both"/>
        <w:rPr>
          <w:rFonts w:ascii="Times New Roman" w:eastAsia="Times New Roman" w:hAnsi="Times New Roman"/>
          <w:sz w:val="24"/>
          <w:szCs w:val="24"/>
          <w:lang w:eastAsia="es-ES"/>
        </w:rPr>
      </w:pPr>
      <w:r w:rsidRPr="00166AF9">
        <w:rPr>
          <w:rFonts w:ascii="Times New Roman" w:eastAsia="Times New Roman" w:hAnsi="Times New Roman"/>
          <w:sz w:val="24"/>
          <w:szCs w:val="24"/>
          <w:lang w:eastAsia="es-ES"/>
        </w:rPr>
        <w:t xml:space="preserve">Además, el informe muestra dos hechos preocupantes. Por un lado, la mayoría de los nuevos perceptores de un subsidio son parados: un 77% frente a un 23% de pensionistas. Esto podría ser positivo si el mercado laboral español fuera más flexible y tuviera la posibilidad de crear empleo en el corto-medio plazo. Pero con una situación de atonía como la actual, y con la perspectiva de que cambiará poco en la próxima década, será difícil cambiar la tendencia. Además, la trampa demográfica todavía no ha mostrado sus peores efectos. Los niños del babyboom (nacidos entre 1965 y 1975) están comenzando a jubilarse. Cuando todos estos trabajadores se conviertan en pensionistas y no tengan recambio, puesto que no hay tantos jóvenes para incorporarse al mercado laboral, este problema podría recrudecerse. </w:t>
      </w:r>
    </w:p>
    <w:p w:rsidR="00F829AC" w:rsidRPr="00166AF9" w:rsidRDefault="00F829AC" w:rsidP="00550638">
      <w:pPr>
        <w:spacing w:line="240" w:lineRule="auto"/>
        <w:jc w:val="both"/>
        <w:rPr>
          <w:rFonts w:ascii="Times New Roman" w:eastAsia="Times New Roman" w:hAnsi="Times New Roman"/>
          <w:sz w:val="24"/>
          <w:szCs w:val="24"/>
          <w:lang w:eastAsia="es-ES"/>
        </w:rPr>
      </w:pPr>
      <w:r w:rsidRPr="00166AF9">
        <w:rPr>
          <w:rFonts w:ascii="Times New Roman" w:eastAsia="Times New Roman" w:hAnsi="Times New Roman"/>
          <w:sz w:val="24"/>
          <w:szCs w:val="24"/>
          <w:lang w:eastAsia="es-ES"/>
        </w:rPr>
        <w:t xml:space="preserve">Por último, hay que resaltar que también está reduciéndose el porcentaje de parados que cobran prestaciones contributivas. En 2009, el 65% de los desempleados cobraban un subsidio derivado de sus cotizaciones previas; el resto, recibían una prestación de carácter asistencial (salvo unos pocos que recibían una prestación activa de inserción </w:t>
      </w:r>
      <w:r w:rsidRPr="00166AF9">
        <w:rPr>
          <w:rFonts w:ascii="Times New Roman" w:eastAsia="Times New Roman" w:hAnsi="Times New Roman"/>
          <w:sz w:val="24"/>
          <w:szCs w:val="24"/>
          <w:lang w:eastAsia="es-ES"/>
        </w:rPr>
        <w:lastRenderedPageBreak/>
        <w:t>para facilitar su entrada en el mercado). Ahora, ese porcentaje ha caído hasta el 45,5, mientras crecía el número de prestaciones no contributivas.</w:t>
      </w:r>
    </w:p>
    <w:p w:rsidR="00F829AC" w:rsidRPr="00166AF9" w:rsidRDefault="00F829AC" w:rsidP="00550638">
      <w:pPr>
        <w:spacing w:line="240" w:lineRule="auto"/>
        <w:jc w:val="both"/>
        <w:rPr>
          <w:rFonts w:ascii="Times New Roman" w:eastAsia="Times New Roman" w:hAnsi="Times New Roman"/>
          <w:sz w:val="24"/>
          <w:szCs w:val="24"/>
          <w:lang w:eastAsia="es-ES"/>
        </w:rPr>
      </w:pPr>
    </w:p>
    <w:p w:rsidR="00F829AC" w:rsidRDefault="00F829AC" w:rsidP="00550638">
      <w:pPr>
        <w:pStyle w:val="NormalWeb"/>
        <w:jc w:val="center"/>
      </w:pPr>
      <w:r>
        <w:rPr>
          <w:noProof/>
        </w:rPr>
        <w:drawing>
          <wp:inline distT="0" distB="0" distL="0" distR="0" wp14:anchorId="3BA7204D" wp14:editId="158EEBD6">
            <wp:extent cx="5237101" cy="3489350"/>
            <wp:effectExtent l="0" t="0" r="1905" b="0"/>
            <wp:docPr id="103" name="Imagen 103" descr="tasa_soporte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tasa_soporte_2"/>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5237480" cy="3489603"/>
                    </a:xfrm>
                    <a:prstGeom prst="rect">
                      <a:avLst/>
                    </a:prstGeom>
                    <a:noFill/>
                    <a:ln>
                      <a:noFill/>
                    </a:ln>
                  </pic:spPr>
                </pic:pic>
              </a:graphicData>
            </a:graphic>
          </wp:inline>
        </w:drawing>
      </w:r>
    </w:p>
    <w:p w:rsidR="00F829AC" w:rsidRPr="00674BC4" w:rsidRDefault="00F829AC" w:rsidP="00550638">
      <w:pPr>
        <w:spacing w:line="240" w:lineRule="auto"/>
        <w:jc w:val="both"/>
        <w:rPr>
          <w:rFonts w:ascii="Times New Roman" w:hAnsi="Times New Roman"/>
          <w:sz w:val="24"/>
          <w:szCs w:val="24"/>
          <w:u w:val="single"/>
        </w:rPr>
      </w:pPr>
      <w:r w:rsidRPr="00674BC4">
        <w:rPr>
          <w:rFonts w:ascii="Times New Roman" w:hAnsi="Times New Roman"/>
          <w:sz w:val="24"/>
          <w:szCs w:val="24"/>
          <w:u w:val="single"/>
        </w:rPr>
        <w:t>La</w:t>
      </w:r>
      <w:r>
        <w:rPr>
          <w:rFonts w:ascii="Times New Roman" w:hAnsi="Times New Roman"/>
          <w:sz w:val="24"/>
          <w:szCs w:val="24"/>
          <w:u w:val="single"/>
        </w:rPr>
        <w:t xml:space="preserve"> “solución final” (que los cínicos ansían, pero no confiesan</w:t>
      </w:r>
      <w:r w:rsidRPr="00674BC4">
        <w:rPr>
          <w:rFonts w:ascii="Times New Roman" w:hAnsi="Times New Roman"/>
          <w:sz w:val="24"/>
          <w:szCs w:val="24"/>
          <w:u w:val="single"/>
        </w:rPr>
        <w:t>): “</w:t>
      </w:r>
      <w:r>
        <w:rPr>
          <w:rFonts w:ascii="Times New Roman" w:hAnsi="Times New Roman"/>
          <w:sz w:val="24"/>
          <w:szCs w:val="24"/>
          <w:u w:val="single"/>
        </w:rPr>
        <w:t>el cianuro piadoso</w:t>
      </w:r>
      <w:r w:rsidRPr="00674BC4">
        <w:rPr>
          <w:rFonts w:ascii="Times New Roman" w:hAnsi="Times New Roman"/>
          <w:sz w:val="24"/>
          <w:szCs w:val="24"/>
          <w:u w:val="single"/>
        </w:rPr>
        <w:t>”</w:t>
      </w:r>
    </w:p>
    <w:p w:rsidR="00F829AC" w:rsidRPr="005A214A" w:rsidRDefault="00F829AC"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5A214A">
        <w:rPr>
          <w:rFonts w:ascii="Times New Roman" w:hAnsi="Times New Roman"/>
          <w:sz w:val="24"/>
          <w:szCs w:val="24"/>
          <w:u w:val="single"/>
        </w:rPr>
        <w:t>Matemos a los jubilados para mantener a los políticos</w:t>
      </w:r>
      <w:r>
        <w:rPr>
          <w:rFonts w:ascii="Times New Roman" w:hAnsi="Times New Roman"/>
          <w:sz w:val="24"/>
          <w:szCs w:val="24"/>
        </w:rPr>
        <w:t xml:space="preserve"> (Expansión - </w:t>
      </w:r>
      <w:r w:rsidRPr="005A214A">
        <w:rPr>
          <w:rFonts w:ascii="Times New Roman" w:hAnsi="Times New Roman"/>
          <w:b/>
          <w:sz w:val="24"/>
          <w:szCs w:val="24"/>
        </w:rPr>
        <w:t>12/4/12</w:t>
      </w:r>
      <w:r>
        <w:rPr>
          <w:rFonts w:ascii="Times New Roman" w:hAnsi="Times New Roman"/>
          <w:sz w:val="24"/>
          <w:szCs w:val="24"/>
        </w:rPr>
        <w:t>)</w:t>
      </w:r>
    </w:p>
    <w:p w:rsidR="00F829AC" w:rsidRPr="005A214A" w:rsidRDefault="00F829AC" w:rsidP="00550638">
      <w:pPr>
        <w:spacing w:line="240" w:lineRule="auto"/>
        <w:jc w:val="both"/>
        <w:rPr>
          <w:rFonts w:ascii="Times New Roman" w:hAnsi="Times New Roman"/>
          <w:sz w:val="24"/>
          <w:szCs w:val="24"/>
        </w:rPr>
      </w:pPr>
      <w:r>
        <w:rPr>
          <w:rFonts w:ascii="Times New Roman" w:hAnsi="Times New Roman"/>
          <w:sz w:val="24"/>
          <w:szCs w:val="24"/>
        </w:rPr>
        <w:t>(Por Manuel del Pozo)</w:t>
      </w:r>
      <w:r w:rsidRPr="005A214A">
        <w:rPr>
          <w:rFonts w:ascii="Times New Roman" w:hAnsi="Times New Roman"/>
          <w:sz w:val="24"/>
          <w:szCs w:val="24"/>
        </w:rPr>
        <w:t xml:space="preserve"> </w:t>
      </w:r>
      <w:r>
        <w:rPr>
          <w:rFonts w:ascii="Times New Roman" w:hAnsi="Times New Roman"/>
          <w:sz w:val="24"/>
          <w:szCs w:val="24"/>
        </w:rPr>
        <w:t xml:space="preserve">                                                                     Lectura recomendada</w:t>
      </w:r>
    </w:p>
    <w:p w:rsidR="00F829AC" w:rsidRPr="00182239" w:rsidRDefault="00F829AC" w:rsidP="00550638">
      <w:pPr>
        <w:spacing w:line="240" w:lineRule="auto"/>
        <w:jc w:val="both"/>
        <w:rPr>
          <w:rFonts w:ascii="Times New Roman" w:hAnsi="Times New Roman"/>
          <w:color w:val="FF0000"/>
          <w:sz w:val="24"/>
          <w:szCs w:val="24"/>
          <w:u w:val="single"/>
        </w:rPr>
      </w:pPr>
      <w:r w:rsidRPr="00182239">
        <w:rPr>
          <w:rFonts w:ascii="Times New Roman" w:hAnsi="Times New Roman"/>
          <w:color w:val="FF0000"/>
          <w:sz w:val="24"/>
          <w:szCs w:val="24"/>
          <w:u w:val="single"/>
        </w:rPr>
        <w:t xml:space="preserve">Unas gotitas de cianuro </w:t>
      </w:r>
      <w:r>
        <w:rPr>
          <w:rFonts w:ascii="Times New Roman" w:hAnsi="Times New Roman"/>
          <w:color w:val="FF0000"/>
          <w:sz w:val="24"/>
          <w:szCs w:val="24"/>
          <w:u w:val="single"/>
        </w:rPr>
        <w:t>en el vasito de leche matutino -</w:t>
      </w:r>
      <w:r w:rsidRPr="00182239">
        <w:rPr>
          <w:rFonts w:ascii="Times New Roman" w:hAnsi="Times New Roman"/>
          <w:color w:val="FF0000"/>
          <w:sz w:val="24"/>
          <w:szCs w:val="24"/>
          <w:u w:val="single"/>
        </w:rPr>
        <w:t>con todas las pastillas que tienen que tomar ni</w:t>
      </w:r>
      <w:r>
        <w:rPr>
          <w:rFonts w:ascii="Times New Roman" w:hAnsi="Times New Roman"/>
          <w:color w:val="FF0000"/>
          <w:sz w:val="24"/>
          <w:szCs w:val="24"/>
          <w:u w:val="single"/>
        </w:rPr>
        <w:t xml:space="preserve"> se van a dar cuenta-</w:t>
      </w:r>
      <w:r w:rsidRPr="00182239">
        <w:rPr>
          <w:rFonts w:ascii="Times New Roman" w:hAnsi="Times New Roman"/>
          <w:color w:val="FF0000"/>
          <w:sz w:val="24"/>
          <w:szCs w:val="24"/>
          <w:u w:val="single"/>
        </w:rPr>
        <w:t xml:space="preserve"> y zas, nos cargamos a los 8 millones de pensionistas y recortamos de golpe 115.000 millones de euros de gasto en pensiones, además de conseguir un considerable ahorro en fármacos.</w:t>
      </w:r>
    </w:p>
    <w:p w:rsidR="00F829AC" w:rsidRPr="00182239" w:rsidRDefault="00F829AC" w:rsidP="00550638">
      <w:pPr>
        <w:spacing w:line="240" w:lineRule="auto"/>
        <w:jc w:val="both"/>
        <w:rPr>
          <w:rFonts w:ascii="Times New Roman" w:hAnsi="Times New Roman"/>
          <w:color w:val="FF0000"/>
          <w:sz w:val="24"/>
          <w:szCs w:val="24"/>
          <w:u w:val="single"/>
        </w:rPr>
      </w:pPr>
      <w:r w:rsidRPr="00182239">
        <w:rPr>
          <w:rFonts w:ascii="Times New Roman" w:hAnsi="Times New Roman"/>
          <w:color w:val="FF0000"/>
          <w:sz w:val="24"/>
          <w:szCs w:val="24"/>
          <w:u w:val="single"/>
        </w:rPr>
        <w:t>¿Estarían satisfechos con este genocidio los especuladores financieros o también tendríamos que dejar morir de hambre a los 5 millones de parados?</w:t>
      </w:r>
    </w:p>
    <w:p w:rsidR="00F829AC" w:rsidRPr="005A214A" w:rsidRDefault="00F829AC" w:rsidP="00550638">
      <w:pPr>
        <w:spacing w:line="240" w:lineRule="auto"/>
        <w:jc w:val="both"/>
        <w:rPr>
          <w:rFonts w:ascii="Times New Roman" w:hAnsi="Times New Roman"/>
          <w:sz w:val="24"/>
          <w:szCs w:val="24"/>
        </w:rPr>
      </w:pPr>
      <w:r w:rsidRPr="005A214A">
        <w:rPr>
          <w:rFonts w:ascii="Times New Roman" w:hAnsi="Times New Roman"/>
          <w:sz w:val="24"/>
          <w:szCs w:val="24"/>
        </w:rPr>
        <w:t xml:space="preserve"> A este paso podemos llegar a eso porque Rajoy ha sacado la guadaña y se h</w:t>
      </w:r>
      <w:r>
        <w:rPr>
          <w:rFonts w:ascii="Times New Roman" w:hAnsi="Times New Roman"/>
          <w:sz w:val="24"/>
          <w:szCs w:val="24"/>
        </w:rPr>
        <w:t>a puesto a improvisar recortes -ayer anunció otros 16-</w:t>
      </w:r>
      <w:r w:rsidRPr="005A214A">
        <w:rPr>
          <w:rFonts w:ascii="Times New Roman" w:hAnsi="Times New Roman"/>
          <w:sz w:val="24"/>
          <w:szCs w:val="24"/>
        </w:rPr>
        <w:t xml:space="preserve"> a golpe de prima de riesgo para calmar a unos mercados an</w:t>
      </w:r>
      <w:r>
        <w:rPr>
          <w:rFonts w:ascii="Times New Roman" w:hAnsi="Times New Roman"/>
          <w:sz w:val="24"/>
          <w:szCs w:val="24"/>
        </w:rPr>
        <w:t>siosos que han olido la sangre.</w:t>
      </w:r>
      <w:r w:rsidRPr="005A214A">
        <w:rPr>
          <w:rFonts w:ascii="Times New Roman" w:hAnsi="Times New Roman"/>
          <w:sz w:val="24"/>
          <w:szCs w:val="24"/>
        </w:rPr>
        <w:t xml:space="preserve"> </w:t>
      </w:r>
    </w:p>
    <w:p w:rsidR="00F829AC" w:rsidRPr="005A214A" w:rsidRDefault="00F829AC" w:rsidP="00550638">
      <w:pPr>
        <w:spacing w:line="240" w:lineRule="auto"/>
        <w:jc w:val="both"/>
        <w:rPr>
          <w:rFonts w:ascii="Times New Roman" w:hAnsi="Times New Roman"/>
          <w:sz w:val="24"/>
          <w:szCs w:val="24"/>
        </w:rPr>
      </w:pPr>
      <w:r w:rsidRPr="005A214A">
        <w:rPr>
          <w:rFonts w:ascii="Times New Roman" w:hAnsi="Times New Roman"/>
          <w:sz w:val="24"/>
          <w:szCs w:val="24"/>
        </w:rPr>
        <w:t>Subidas de impuestos a granel, recortes en temas tan sensibles como sanidad y educación, rebajas en I+D, poda en las ayudas a las exportaciones, fuerte reducción en la inversión pública en infraestructuras, menos apoyo a la formación... Una serie de salvajadas que castigan directamente al ciudadano y frenan aún más el crecimiento de las empresas, que son las únicas que pueden sacarnos del agujero. Con estas medidas, el país está abocado a una larga recesión.</w:t>
      </w:r>
    </w:p>
    <w:p w:rsidR="00F829AC" w:rsidRPr="00771B7D" w:rsidRDefault="00F829AC" w:rsidP="00550638">
      <w:pPr>
        <w:spacing w:line="240" w:lineRule="auto"/>
        <w:jc w:val="both"/>
        <w:rPr>
          <w:rFonts w:ascii="Times New Roman" w:hAnsi="Times New Roman"/>
          <w:sz w:val="24"/>
          <w:szCs w:val="24"/>
          <w:u w:val="single"/>
        </w:rPr>
      </w:pPr>
      <w:r w:rsidRPr="005A214A">
        <w:rPr>
          <w:rFonts w:ascii="Times New Roman" w:hAnsi="Times New Roman"/>
          <w:sz w:val="24"/>
          <w:szCs w:val="24"/>
        </w:rPr>
        <w:t xml:space="preserve">Todos estamos de acuerdo en que hay que purgar los excesos del pasado y que hay que reducir un déficit público que nos asfixia. Es una situación de emergencia que requiere </w:t>
      </w:r>
      <w:r w:rsidRPr="005A214A">
        <w:rPr>
          <w:rFonts w:ascii="Times New Roman" w:hAnsi="Times New Roman"/>
          <w:sz w:val="24"/>
          <w:szCs w:val="24"/>
        </w:rPr>
        <w:lastRenderedPageBreak/>
        <w:t xml:space="preserve">eliminar todo lo accesorio para centrar los esfuerzos en lo imprescindible. </w:t>
      </w:r>
      <w:r w:rsidRPr="00771B7D">
        <w:rPr>
          <w:rFonts w:ascii="Times New Roman" w:hAnsi="Times New Roman"/>
          <w:sz w:val="24"/>
          <w:szCs w:val="24"/>
          <w:u w:val="single"/>
        </w:rPr>
        <w:t>Pero antes de recortar los pilares del Estado del Bienestar y los apoyos al crecimiento empresarial (inversión, I+D, formación...) es necesario adelgazar el Estado y revisar a fondo el modelo autonómico. La economía no se puede permitir ya mantener a los 100.000 cargos políticos que hay en España y resulta imposible costear la nómina de más de tres millones de funcionarios.</w:t>
      </w:r>
    </w:p>
    <w:p w:rsidR="00F829AC" w:rsidRPr="00771B7D" w:rsidRDefault="00F829AC" w:rsidP="00550638">
      <w:pPr>
        <w:spacing w:line="240" w:lineRule="auto"/>
        <w:jc w:val="both"/>
        <w:rPr>
          <w:rFonts w:ascii="Times New Roman" w:hAnsi="Times New Roman"/>
          <w:sz w:val="24"/>
          <w:szCs w:val="24"/>
          <w:u w:val="single"/>
        </w:rPr>
      </w:pPr>
      <w:r w:rsidRPr="00771B7D">
        <w:rPr>
          <w:rFonts w:ascii="Times New Roman" w:hAnsi="Times New Roman"/>
          <w:color w:val="FF0000"/>
          <w:sz w:val="24"/>
          <w:szCs w:val="24"/>
          <w:u w:val="single"/>
        </w:rPr>
        <w:t>Ya sé que es políticamente incorrecto y que muchos me tildarán de facha y de centralista, pero creo que la solución más favorable para el ciudadano es acabar con el Estado de las Autonomías, dada su inviabilidad económica y la imagen que tiene de chiringuito particular del partido de turno.</w:t>
      </w:r>
      <w:r w:rsidRPr="005A214A">
        <w:rPr>
          <w:rFonts w:ascii="Times New Roman" w:hAnsi="Times New Roman"/>
          <w:sz w:val="24"/>
          <w:szCs w:val="24"/>
        </w:rPr>
        <w:t xml:space="preserve"> Al final hay que elegir entre sacrificar a los ciudadanos o sacrificar un modelo autonómico que es económicamente inviable. </w:t>
      </w:r>
      <w:r w:rsidRPr="00771B7D">
        <w:rPr>
          <w:rFonts w:ascii="Times New Roman" w:hAnsi="Times New Roman"/>
          <w:sz w:val="24"/>
          <w:szCs w:val="24"/>
          <w:u w:val="single"/>
        </w:rPr>
        <w:t>Si ahora partiésemos de cero, a nadie se le ocurriría crear 17 Parlamentos con miles de políticos que pagan los ciudadanos con sus impuestos.</w:t>
      </w:r>
    </w:p>
    <w:p w:rsidR="00F829AC" w:rsidRPr="00771B7D" w:rsidRDefault="00F829AC" w:rsidP="00550638">
      <w:pPr>
        <w:spacing w:line="240" w:lineRule="auto"/>
        <w:jc w:val="both"/>
        <w:rPr>
          <w:rFonts w:ascii="Times New Roman" w:hAnsi="Times New Roman"/>
          <w:sz w:val="24"/>
          <w:szCs w:val="24"/>
          <w:u w:val="single"/>
        </w:rPr>
      </w:pPr>
      <w:r w:rsidRPr="00771B7D">
        <w:rPr>
          <w:rFonts w:ascii="Times New Roman" w:hAnsi="Times New Roman"/>
          <w:sz w:val="24"/>
          <w:szCs w:val="24"/>
          <w:u w:val="single"/>
        </w:rPr>
        <w:t>El Estado autonómico ha sido muy positivo para consolidar la convivencia entre los ciudadanos y para impulsar zonas del territorio poco desarrolladas, pero con el tiempo se ha convertido en un enorme agujero negro, en un monstruo mal gestionado, y que ha servido para el dispendio, el gasto suntuario, los lujos, las inversiones megalómanas, el enriquecimiento de caciques regionales y el nacimiento de nuevas oligarquías vinculadas a los poderes políticos.</w:t>
      </w:r>
    </w:p>
    <w:p w:rsidR="00F829AC" w:rsidRPr="005A214A" w:rsidRDefault="00F829AC" w:rsidP="00550638">
      <w:pPr>
        <w:spacing w:line="240" w:lineRule="auto"/>
        <w:jc w:val="both"/>
        <w:rPr>
          <w:rFonts w:ascii="Times New Roman" w:hAnsi="Times New Roman"/>
          <w:sz w:val="24"/>
          <w:szCs w:val="24"/>
        </w:rPr>
      </w:pPr>
      <w:r w:rsidRPr="00771B7D">
        <w:rPr>
          <w:rFonts w:ascii="Times New Roman" w:hAnsi="Times New Roman"/>
          <w:sz w:val="24"/>
          <w:szCs w:val="24"/>
          <w:u w:val="single"/>
        </w:rPr>
        <w:t>Sólo evitando duplicidades y redundancias entre el Estado central y los autonómicos (defensores del pueblo, sindicaturas de cuentas, consejos consultivos, institutos de estadística, embajadas autonómicas, institutos de Meteorología, observatorios variados...) podrían ahorrarse 50.000 millones de euros, el triple de lo que el Gobierno pretende recortar en sanidad y educación.</w:t>
      </w:r>
      <w:r w:rsidRPr="005A214A">
        <w:rPr>
          <w:rFonts w:ascii="Times New Roman" w:hAnsi="Times New Roman"/>
          <w:sz w:val="24"/>
          <w:szCs w:val="24"/>
        </w:rPr>
        <w:t xml:space="preserve"> La presidenta madrileña, Esperanza Aguirre, propuso el martes a Rajoy la revisión del modelo autonómico, pero rápidamente</w:t>
      </w:r>
      <w:r>
        <w:rPr>
          <w:rFonts w:ascii="Times New Roman" w:hAnsi="Times New Roman"/>
          <w:sz w:val="24"/>
          <w:szCs w:val="24"/>
        </w:rPr>
        <w:t xml:space="preserve"> el presidente desechó la idea.</w:t>
      </w:r>
      <w:r w:rsidRPr="005A214A">
        <w:rPr>
          <w:rFonts w:ascii="Times New Roman" w:hAnsi="Times New Roman"/>
          <w:sz w:val="24"/>
          <w:szCs w:val="24"/>
        </w:rPr>
        <w:t xml:space="preserve"> </w:t>
      </w:r>
    </w:p>
    <w:p w:rsidR="00F829AC" w:rsidRPr="00771B7D" w:rsidRDefault="00F829AC" w:rsidP="00550638">
      <w:pPr>
        <w:spacing w:line="240" w:lineRule="auto"/>
        <w:jc w:val="both"/>
        <w:rPr>
          <w:rFonts w:ascii="Times New Roman" w:hAnsi="Times New Roman"/>
          <w:color w:val="FF0000"/>
          <w:sz w:val="24"/>
          <w:szCs w:val="24"/>
          <w:u w:val="single"/>
        </w:rPr>
      </w:pPr>
      <w:r w:rsidRPr="00771B7D">
        <w:rPr>
          <w:rFonts w:ascii="Times New Roman" w:hAnsi="Times New Roman"/>
          <w:color w:val="FF0000"/>
          <w:sz w:val="24"/>
          <w:szCs w:val="24"/>
          <w:u w:val="single"/>
        </w:rPr>
        <w:t>Ni PP ni PSOE están dispuestos a poner fin al Estado de las Autonomías porque forma parte de su estructura de poder, porque es la base de un sistema político clientelar, un modelo que ambos partidos consideran fundamental para su propia supervivencia.</w:t>
      </w:r>
    </w:p>
    <w:p w:rsidR="00F829AC" w:rsidRDefault="00F829AC" w:rsidP="00550638">
      <w:pPr>
        <w:spacing w:line="240" w:lineRule="auto"/>
        <w:jc w:val="both"/>
        <w:rPr>
          <w:rFonts w:ascii="Times New Roman" w:hAnsi="Times New Roman"/>
          <w:color w:val="FF0000"/>
          <w:sz w:val="24"/>
          <w:szCs w:val="24"/>
          <w:u w:val="single"/>
        </w:rPr>
      </w:pPr>
      <w:r w:rsidRPr="00771B7D">
        <w:rPr>
          <w:rFonts w:ascii="Times New Roman" w:hAnsi="Times New Roman"/>
          <w:color w:val="FF0000"/>
          <w:sz w:val="24"/>
          <w:szCs w:val="24"/>
          <w:u w:val="single"/>
        </w:rPr>
        <w:t>Populares y socialistas están más pendientes de sus propios intereses que de los de los ciudadanos, de tal manera que están dispuestos a mantener una estructura mastodóntica e ineficiente donde colocar a sus correligionarios, aún a costa de que los ciudadanos tengan peor sanidad y educación. Espero que no lleguen a matar a los jubilados.</w:t>
      </w:r>
    </w:p>
    <w:p w:rsidR="00F829AC" w:rsidRPr="00FB297B" w:rsidRDefault="00F829AC" w:rsidP="00550638">
      <w:pPr>
        <w:spacing w:line="240" w:lineRule="auto"/>
        <w:jc w:val="both"/>
        <w:rPr>
          <w:rFonts w:ascii="Times New Roman" w:hAnsi="Times New Roman"/>
          <w:sz w:val="24"/>
          <w:szCs w:val="24"/>
          <w:u w:val="single"/>
        </w:rPr>
      </w:pPr>
      <w:r w:rsidRPr="00FB297B">
        <w:rPr>
          <w:rFonts w:ascii="Times New Roman" w:hAnsi="Times New Roman"/>
          <w:sz w:val="24"/>
          <w:szCs w:val="24"/>
          <w:u w:val="single"/>
        </w:rPr>
        <w:t>Los analistas alertan del impacto negativo</w:t>
      </w:r>
      <w:r>
        <w:rPr>
          <w:rFonts w:ascii="Times New Roman" w:hAnsi="Times New Roman"/>
          <w:sz w:val="24"/>
          <w:szCs w:val="24"/>
          <w:u w:val="single"/>
        </w:rPr>
        <w:t xml:space="preserve"> del envejecimiento y la crisis</w:t>
      </w:r>
    </w:p>
    <w:p w:rsidR="00F829AC" w:rsidRPr="00EA4B9D" w:rsidRDefault="00F829AC"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EA4B9D">
        <w:rPr>
          <w:rFonts w:ascii="Times New Roman" w:hAnsi="Times New Roman"/>
          <w:sz w:val="24"/>
          <w:szCs w:val="24"/>
          <w:u w:val="single"/>
        </w:rPr>
        <w:t>Hacia una revisión continua del sistema de pensiones</w:t>
      </w:r>
      <w:r>
        <w:rPr>
          <w:rFonts w:ascii="Times New Roman" w:hAnsi="Times New Roman"/>
          <w:sz w:val="24"/>
          <w:szCs w:val="24"/>
        </w:rPr>
        <w:t xml:space="preserve"> (Cinco Días - </w:t>
      </w:r>
      <w:r>
        <w:rPr>
          <w:rFonts w:ascii="Times New Roman" w:hAnsi="Times New Roman"/>
          <w:b/>
          <w:sz w:val="24"/>
          <w:szCs w:val="24"/>
        </w:rPr>
        <w:t>16</w:t>
      </w:r>
      <w:r w:rsidRPr="00EA4B9D">
        <w:rPr>
          <w:rFonts w:ascii="Times New Roman" w:hAnsi="Times New Roman"/>
          <w:b/>
          <w:sz w:val="24"/>
          <w:szCs w:val="24"/>
        </w:rPr>
        <w:t>/4/12</w:t>
      </w:r>
      <w:r>
        <w:rPr>
          <w:rFonts w:ascii="Times New Roman" w:hAnsi="Times New Roman"/>
          <w:sz w:val="24"/>
          <w:szCs w:val="24"/>
        </w:rPr>
        <w:t>)</w:t>
      </w:r>
    </w:p>
    <w:p w:rsidR="00F829AC" w:rsidRPr="00EA4B9D" w:rsidRDefault="00F829AC" w:rsidP="00550638">
      <w:pPr>
        <w:spacing w:line="240" w:lineRule="auto"/>
        <w:jc w:val="both"/>
        <w:rPr>
          <w:rFonts w:ascii="Times New Roman" w:hAnsi="Times New Roman"/>
          <w:sz w:val="24"/>
          <w:szCs w:val="24"/>
        </w:rPr>
      </w:pPr>
      <w:r>
        <w:rPr>
          <w:rFonts w:ascii="Times New Roman" w:hAnsi="Times New Roman"/>
          <w:sz w:val="24"/>
          <w:szCs w:val="24"/>
        </w:rPr>
        <w:t xml:space="preserve">(Por </w:t>
      </w:r>
      <w:r w:rsidRPr="00EA4B9D">
        <w:rPr>
          <w:rFonts w:ascii="Times New Roman" w:hAnsi="Times New Roman"/>
          <w:sz w:val="24"/>
          <w:szCs w:val="24"/>
        </w:rPr>
        <w:t>L. Ansore</w:t>
      </w:r>
      <w:r>
        <w:rPr>
          <w:rFonts w:ascii="Times New Roman" w:hAnsi="Times New Roman"/>
          <w:sz w:val="24"/>
          <w:szCs w:val="24"/>
        </w:rPr>
        <w:t>na)                                                                              Lectura recomendada</w:t>
      </w:r>
    </w:p>
    <w:p w:rsidR="00F829AC" w:rsidRPr="00CD09C1" w:rsidRDefault="00F829AC" w:rsidP="00550638">
      <w:pPr>
        <w:spacing w:line="240" w:lineRule="auto"/>
        <w:jc w:val="both"/>
        <w:rPr>
          <w:rFonts w:ascii="Times New Roman" w:hAnsi="Times New Roman"/>
          <w:b/>
          <w:color w:val="FF0000"/>
          <w:sz w:val="24"/>
          <w:szCs w:val="24"/>
          <w:u w:val="single"/>
        </w:rPr>
      </w:pPr>
      <w:r>
        <w:rPr>
          <w:rFonts w:ascii="Times New Roman" w:hAnsi="Times New Roman"/>
          <w:b/>
          <w:color w:val="FF0000"/>
          <w:sz w:val="24"/>
          <w:szCs w:val="24"/>
          <w:u w:val="single"/>
        </w:rPr>
        <w:t>Titular de 1994: “</w:t>
      </w:r>
      <w:r w:rsidRPr="00CD09C1">
        <w:rPr>
          <w:rFonts w:ascii="Times New Roman" w:hAnsi="Times New Roman"/>
          <w:b/>
          <w:color w:val="FF0000"/>
          <w:sz w:val="24"/>
          <w:szCs w:val="24"/>
          <w:u w:val="single"/>
        </w:rPr>
        <w:t>Expertos del Fondo Monetario Internacional afirman que el sistema de pe</w:t>
      </w:r>
      <w:r>
        <w:rPr>
          <w:rFonts w:ascii="Times New Roman" w:hAnsi="Times New Roman"/>
          <w:b/>
          <w:color w:val="FF0000"/>
          <w:sz w:val="24"/>
          <w:szCs w:val="24"/>
          <w:u w:val="single"/>
        </w:rPr>
        <w:t>nsiones español es insostenible”. Titular del jueves pasado: “</w:t>
      </w:r>
      <w:r w:rsidRPr="00CD09C1">
        <w:rPr>
          <w:rFonts w:ascii="Times New Roman" w:hAnsi="Times New Roman"/>
          <w:b/>
          <w:color w:val="FF0000"/>
          <w:sz w:val="24"/>
          <w:szCs w:val="24"/>
          <w:u w:val="single"/>
        </w:rPr>
        <w:t>El FMI p</w:t>
      </w:r>
      <w:r>
        <w:rPr>
          <w:rFonts w:ascii="Times New Roman" w:hAnsi="Times New Roman"/>
          <w:b/>
          <w:color w:val="FF0000"/>
          <w:sz w:val="24"/>
          <w:szCs w:val="24"/>
          <w:u w:val="single"/>
        </w:rPr>
        <w:t>ide bajar las pensiones por el ‘</w:t>
      </w:r>
      <w:r w:rsidRPr="00CD09C1">
        <w:rPr>
          <w:rFonts w:ascii="Times New Roman" w:hAnsi="Times New Roman"/>
          <w:b/>
          <w:color w:val="FF0000"/>
          <w:sz w:val="24"/>
          <w:szCs w:val="24"/>
          <w:u w:val="single"/>
        </w:rPr>
        <w:t>riesgo que l</w:t>
      </w:r>
      <w:r>
        <w:rPr>
          <w:rFonts w:ascii="Times New Roman" w:hAnsi="Times New Roman"/>
          <w:b/>
          <w:color w:val="FF0000"/>
          <w:sz w:val="24"/>
          <w:szCs w:val="24"/>
          <w:u w:val="single"/>
        </w:rPr>
        <w:t>a gente viva más de lo esperado’”</w:t>
      </w:r>
      <w:r w:rsidRPr="00CD09C1">
        <w:rPr>
          <w:rFonts w:ascii="Times New Roman" w:hAnsi="Times New Roman"/>
          <w:b/>
          <w:color w:val="FF0000"/>
          <w:sz w:val="24"/>
          <w:szCs w:val="24"/>
          <w:u w:val="single"/>
        </w:rPr>
        <w:t>. Dos tesis calcadas, 18 años de diferencia. ¿Se equivocaba en los noventa el organismo? ¿Está en lo cierto ahora?</w:t>
      </w:r>
    </w:p>
    <w:p w:rsidR="00F829AC" w:rsidRPr="00CD09C1" w:rsidRDefault="00F829AC" w:rsidP="00550638">
      <w:pPr>
        <w:spacing w:line="240" w:lineRule="auto"/>
        <w:jc w:val="both"/>
        <w:rPr>
          <w:rFonts w:ascii="Times New Roman" w:hAnsi="Times New Roman"/>
          <w:color w:val="FF0000"/>
          <w:sz w:val="24"/>
          <w:szCs w:val="24"/>
          <w:u w:val="single"/>
        </w:rPr>
      </w:pPr>
      <w:r w:rsidRPr="00CD09C1">
        <w:rPr>
          <w:rFonts w:ascii="Times New Roman" w:hAnsi="Times New Roman"/>
          <w:sz w:val="24"/>
          <w:szCs w:val="24"/>
          <w:u w:val="single"/>
        </w:rPr>
        <w:t xml:space="preserve">Los seis expertos consultados para este reportaje no se ponen de acuerdo. Lo único en lo que coincide la mayoría es que el envejecimiento de la población, la crisis y el </w:t>
      </w:r>
      <w:r w:rsidRPr="00CD09C1">
        <w:rPr>
          <w:rFonts w:ascii="Times New Roman" w:hAnsi="Times New Roman"/>
          <w:sz w:val="24"/>
          <w:szCs w:val="24"/>
          <w:u w:val="single"/>
        </w:rPr>
        <w:lastRenderedPageBreak/>
        <w:t>desempleo obligan a actualizar una y otra vez el sistema de pensiones que ya se reformó en 2011</w:t>
      </w:r>
      <w:r w:rsidRPr="00EA4B9D">
        <w:rPr>
          <w:rFonts w:ascii="Times New Roman" w:hAnsi="Times New Roman"/>
          <w:sz w:val="24"/>
          <w:szCs w:val="24"/>
        </w:rPr>
        <w:t xml:space="preserve"> -el Gobierno de José Luis Rodríguez Zapatero amplió la edad de jubilación de 65 a 67 años a partir de 2027-. </w:t>
      </w:r>
      <w:r w:rsidRPr="00CD09C1">
        <w:rPr>
          <w:rFonts w:ascii="Times New Roman" w:hAnsi="Times New Roman"/>
          <w:color w:val="FF0000"/>
          <w:sz w:val="24"/>
          <w:szCs w:val="24"/>
          <w:u w:val="single"/>
        </w:rPr>
        <w:t xml:space="preserve">José Antonio Herce, socio de Analistas Financieros Internacionales, calcula que a este ritmo los fondos de reserva de la Seguridad Social se agotarán en 15 años. </w:t>
      </w:r>
    </w:p>
    <w:p w:rsidR="00F829AC" w:rsidRPr="00EA4B9D" w:rsidRDefault="00F829AC" w:rsidP="00550638">
      <w:pPr>
        <w:spacing w:line="240" w:lineRule="auto"/>
        <w:jc w:val="both"/>
        <w:rPr>
          <w:rFonts w:ascii="Times New Roman" w:hAnsi="Times New Roman"/>
          <w:sz w:val="24"/>
          <w:szCs w:val="24"/>
        </w:rPr>
      </w:pPr>
      <w:r w:rsidRPr="00CD09C1">
        <w:rPr>
          <w:rFonts w:ascii="Times New Roman" w:hAnsi="Times New Roman"/>
          <w:color w:val="FF0000"/>
          <w:sz w:val="24"/>
          <w:szCs w:val="24"/>
          <w:u w:val="single"/>
        </w:rPr>
        <w:t>Rafael Pampillón, director de Análisis Económico del IE Business School, compara al sistema de pension</w:t>
      </w:r>
      <w:r>
        <w:rPr>
          <w:rFonts w:ascii="Times New Roman" w:hAnsi="Times New Roman"/>
          <w:color w:val="FF0000"/>
          <w:sz w:val="24"/>
          <w:szCs w:val="24"/>
          <w:u w:val="single"/>
        </w:rPr>
        <w:t>es con una bomba de relojería. “</w:t>
      </w:r>
      <w:r w:rsidRPr="00CD09C1">
        <w:rPr>
          <w:rFonts w:ascii="Times New Roman" w:hAnsi="Times New Roman"/>
          <w:color w:val="FF0000"/>
          <w:sz w:val="24"/>
          <w:szCs w:val="24"/>
          <w:u w:val="single"/>
        </w:rPr>
        <w:t>Es insostenible. Explotará. Quien no se lo crea, qu</w:t>
      </w:r>
      <w:r>
        <w:rPr>
          <w:rFonts w:ascii="Times New Roman" w:hAnsi="Times New Roman"/>
          <w:color w:val="FF0000"/>
          <w:sz w:val="24"/>
          <w:szCs w:val="24"/>
          <w:u w:val="single"/>
        </w:rPr>
        <w:t>e mire la pirámide de población”</w:t>
      </w:r>
      <w:r w:rsidRPr="00CD09C1">
        <w:rPr>
          <w:rFonts w:ascii="Times New Roman" w:hAnsi="Times New Roman"/>
          <w:color w:val="FF0000"/>
          <w:sz w:val="24"/>
          <w:szCs w:val="24"/>
          <w:u w:val="single"/>
        </w:rPr>
        <w:t>.</w:t>
      </w:r>
      <w:r w:rsidRPr="00EA4B9D">
        <w:rPr>
          <w:rFonts w:ascii="Times New Roman" w:hAnsi="Times New Roman"/>
          <w:sz w:val="24"/>
          <w:szCs w:val="24"/>
        </w:rPr>
        <w:t xml:space="preserve"> Las previsiones demográficas del Instituto Nacional de Estadística adelantan que de 2020 a 2040 el grupo de personas en edad de trabajar se reducirá en más de tres millones mientras que el colectivo de más de 65 años aumentará en casi cinco millones. La esperanza de vida en España se eleva a 86 años y el número de jubilados ha pasado de unos cuatro millones de 1975 a algo más de ocho.</w:t>
      </w:r>
    </w:p>
    <w:p w:rsidR="00F829AC" w:rsidRPr="00EA4B9D" w:rsidRDefault="00F829AC" w:rsidP="00550638">
      <w:pPr>
        <w:spacing w:line="240" w:lineRule="auto"/>
        <w:jc w:val="both"/>
        <w:rPr>
          <w:rFonts w:ascii="Times New Roman" w:hAnsi="Times New Roman"/>
          <w:sz w:val="24"/>
          <w:szCs w:val="24"/>
        </w:rPr>
      </w:pPr>
      <w:r w:rsidRPr="00CD09C1">
        <w:rPr>
          <w:rFonts w:ascii="Times New Roman" w:hAnsi="Times New Roman"/>
          <w:color w:val="FF0000"/>
          <w:sz w:val="24"/>
          <w:szCs w:val="24"/>
          <w:u w:val="single"/>
        </w:rPr>
        <w:t>José Carlos Díez, economista jefe de la sociedad de valores Intermoney, rebaja el pesimis</w:t>
      </w:r>
      <w:r>
        <w:rPr>
          <w:rFonts w:ascii="Times New Roman" w:hAnsi="Times New Roman"/>
          <w:color w:val="FF0000"/>
          <w:sz w:val="24"/>
          <w:szCs w:val="24"/>
          <w:u w:val="single"/>
        </w:rPr>
        <w:t>mo. “</w:t>
      </w:r>
      <w:r w:rsidRPr="00CD09C1">
        <w:rPr>
          <w:rFonts w:ascii="Times New Roman" w:hAnsi="Times New Roman"/>
          <w:color w:val="FF0000"/>
          <w:sz w:val="24"/>
          <w:szCs w:val="24"/>
          <w:u w:val="single"/>
        </w:rPr>
        <w:t xml:space="preserve">Las recomendaciones del FMI prueban una vez más la incapacidad de los expertos para hacer previsiones a largo plazo. Ni yo mismo me </w:t>
      </w:r>
      <w:r>
        <w:rPr>
          <w:rFonts w:ascii="Times New Roman" w:hAnsi="Times New Roman"/>
          <w:color w:val="FF0000"/>
          <w:sz w:val="24"/>
          <w:szCs w:val="24"/>
          <w:u w:val="single"/>
        </w:rPr>
        <w:t>creo mis estimaciones para 2014”</w:t>
      </w:r>
      <w:r w:rsidRPr="00CD09C1">
        <w:rPr>
          <w:rFonts w:ascii="Times New Roman" w:hAnsi="Times New Roman"/>
          <w:color w:val="FF0000"/>
          <w:sz w:val="24"/>
          <w:szCs w:val="24"/>
          <w:u w:val="single"/>
        </w:rPr>
        <w:t>,</w:t>
      </w:r>
      <w:r w:rsidRPr="00EA4B9D">
        <w:rPr>
          <w:rFonts w:ascii="Times New Roman" w:hAnsi="Times New Roman"/>
          <w:sz w:val="24"/>
          <w:szCs w:val="24"/>
        </w:rPr>
        <w:t xml:space="preserve"> admite en una conversación telefónica mientras el AV</w:t>
      </w:r>
      <w:r>
        <w:rPr>
          <w:rFonts w:ascii="Times New Roman" w:hAnsi="Times New Roman"/>
          <w:sz w:val="24"/>
          <w:szCs w:val="24"/>
        </w:rPr>
        <w:t>E le lleva de Málaga a Madrid. “</w:t>
      </w:r>
      <w:r w:rsidRPr="00EA4B9D">
        <w:rPr>
          <w:rFonts w:ascii="Times New Roman" w:hAnsi="Times New Roman"/>
          <w:sz w:val="24"/>
          <w:szCs w:val="24"/>
        </w:rPr>
        <w:t>Como decía Platón, nunca te bañarás en el mismo agua. La economía será otra en unas décadas. Imagínese que China se pone a consumir a lo loco en los próximos años. El panorama mundial cambiaría radicalmente. No</w:t>
      </w:r>
      <w:r>
        <w:rPr>
          <w:rFonts w:ascii="Times New Roman" w:hAnsi="Times New Roman"/>
          <w:sz w:val="24"/>
          <w:szCs w:val="24"/>
        </w:rPr>
        <w:t xml:space="preserve"> tenemos que ser tan fatalistas”</w:t>
      </w:r>
      <w:r w:rsidRPr="00EA4B9D">
        <w:rPr>
          <w:rFonts w:ascii="Times New Roman" w:hAnsi="Times New Roman"/>
          <w:sz w:val="24"/>
          <w:szCs w:val="24"/>
        </w:rPr>
        <w:t>, recalca.</w:t>
      </w:r>
    </w:p>
    <w:p w:rsidR="00F829AC" w:rsidRPr="00EA4B9D" w:rsidRDefault="00F829AC" w:rsidP="00550638">
      <w:pPr>
        <w:spacing w:line="240" w:lineRule="auto"/>
        <w:jc w:val="both"/>
        <w:rPr>
          <w:rFonts w:ascii="Times New Roman" w:hAnsi="Times New Roman"/>
          <w:sz w:val="24"/>
          <w:szCs w:val="24"/>
        </w:rPr>
      </w:pPr>
      <w:r w:rsidRPr="00EA4B9D">
        <w:rPr>
          <w:rFonts w:ascii="Times New Roman" w:hAnsi="Times New Roman"/>
          <w:sz w:val="24"/>
          <w:szCs w:val="24"/>
        </w:rPr>
        <w:t>La Seguridad Social cerró 2011 con déficit por primera vez en 15 años. El colchón de 66.184 millones de euros que suma el fondo de reserva de las pensiones garantiza el pago de las pensiones durante los próximos años por muy mal que vayan las cosas.</w:t>
      </w:r>
    </w:p>
    <w:p w:rsidR="00F829AC" w:rsidRPr="00EA4B9D" w:rsidRDefault="00F829AC" w:rsidP="00550638">
      <w:pPr>
        <w:spacing w:line="240" w:lineRule="auto"/>
        <w:jc w:val="both"/>
        <w:rPr>
          <w:rFonts w:ascii="Times New Roman" w:hAnsi="Times New Roman"/>
          <w:sz w:val="24"/>
          <w:szCs w:val="24"/>
        </w:rPr>
      </w:pPr>
      <w:r>
        <w:rPr>
          <w:rFonts w:ascii="Times New Roman" w:hAnsi="Times New Roman"/>
          <w:color w:val="FF0000"/>
          <w:sz w:val="24"/>
          <w:szCs w:val="24"/>
          <w:u w:val="single"/>
        </w:rPr>
        <w:t>“</w:t>
      </w:r>
      <w:r w:rsidRPr="00CD09C1">
        <w:rPr>
          <w:rFonts w:ascii="Times New Roman" w:hAnsi="Times New Roman"/>
          <w:color w:val="FF0000"/>
          <w:sz w:val="24"/>
          <w:szCs w:val="24"/>
          <w:u w:val="single"/>
        </w:rPr>
        <w:t>El proble</w:t>
      </w:r>
      <w:r>
        <w:rPr>
          <w:rFonts w:ascii="Times New Roman" w:hAnsi="Times New Roman"/>
          <w:color w:val="FF0000"/>
          <w:sz w:val="24"/>
          <w:szCs w:val="24"/>
          <w:u w:val="single"/>
        </w:rPr>
        <w:t>ma, sin embargo, sigue ahí”</w:t>
      </w:r>
      <w:r w:rsidRPr="00CD09C1">
        <w:rPr>
          <w:rFonts w:ascii="Times New Roman" w:hAnsi="Times New Roman"/>
          <w:color w:val="FF0000"/>
          <w:sz w:val="24"/>
          <w:szCs w:val="24"/>
          <w:u w:val="single"/>
        </w:rPr>
        <w:t>, asegura Sergi Jiménez-Martín, catedrático de la Universidad Pompeu Fabra de Barcelona e investigador de Fedea, observatorio financiado por las grandes empresas. El profesor recuerda en una conversación telefónica que el ratio actual, de 2,1 afili</w:t>
      </w:r>
      <w:r>
        <w:rPr>
          <w:rFonts w:ascii="Times New Roman" w:hAnsi="Times New Roman"/>
          <w:color w:val="FF0000"/>
          <w:sz w:val="24"/>
          <w:szCs w:val="24"/>
          <w:u w:val="single"/>
        </w:rPr>
        <w:t>ados ocupados por pensionista, “es muy bajo”</w:t>
      </w:r>
      <w:r w:rsidRPr="00CD09C1">
        <w:rPr>
          <w:rFonts w:ascii="Times New Roman" w:hAnsi="Times New Roman"/>
          <w:color w:val="FF0000"/>
          <w:sz w:val="24"/>
          <w:szCs w:val="24"/>
          <w:u w:val="single"/>
        </w:rPr>
        <w:t xml:space="preserve"> y roza los mínimos históricos de la anterior crisis de principios de los noventa (1,8). El econom</w:t>
      </w:r>
      <w:r>
        <w:rPr>
          <w:rFonts w:ascii="Times New Roman" w:hAnsi="Times New Roman"/>
          <w:color w:val="FF0000"/>
          <w:sz w:val="24"/>
          <w:szCs w:val="24"/>
          <w:u w:val="single"/>
        </w:rPr>
        <w:t>ista aboga por una reforma que “adecue”</w:t>
      </w:r>
      <w:r w:rsidRPr="00CD09C1">
        <w:rPr>
          <w:rFonts w:ascii="Times New Roman" w:hAnsi="Times New Roman"/>
          <w:color w:val="FF0000"/>
          <w:sz w:val="24"/>
          <w:szCs w:val="24"/>
          <w:u w:val="single"/>
        </w:rPr>
        <w:t xml:space="preserve"> la cuantía de las retribuciones a la realidad.</w:t>
      </w:r>
      <w:r>
        <w:rPr>
          <w:rFonts w:ascii="Times New Roman" w:hAnsi="Times New Roman"/>
          <w:sz w:val="24"/>
          <w:szCs w:val="24"/>
        </w:rPr>
        <w:t xml:space="preserve"> “</w:t>
      </w:r>
      <w:r w:rsidRPr="00EA4B9D">
        <w:rPr>
          <w:rFonts w:ascii="Times New Roman" w:hAnsi="Times New Roman"/>
          <w:sz w:val="24"/>
          <w:szCs w:val="24"/>
        </w:rPr>
        <w:t>La alternativa es subir los impuestos. Tenemos un sistema relativamente generoso porque da unas prestaciones muy altas en c</w:t>
      </w:r>
      <w:r>
        <w:rPr>
          <w:rFonts w:ascii="Times New Roman" w:hAnsi="Times New Roman"/>
          <w:sz w:val="24"/>
          <w:szCs w:val="24"/>
        </w:rPr>
        <w:t>omparación con las cotizaciones”</w:t>
      </w:r>
      <w:r w:rsidRPr="00EA4B9D">
        <w:rPr>
          <w:rFonts w:ascii="Times New Roman" w:hAnsi="Times New Roman"/>
          <w:sz w:val="24"/>
          <w:szCs w:val="24"/>
        </w:rPr>
        <w:t>, opina.</w:t>
      </w:r>
    </w:p>
    <w:p w:rsidR="00F829AC" w:rsidRPr="00EA4B9D" w:rsidRDefault="00F829AC" w:rsidP="00550638">
      <w:pPr>
        <w:spacing w:line="240" w:lineRule="auto"/>
        <w:jc w:val="both"/>
        <w:rPr>
          <w:rFonts w:ascii="Times New Roman" w:hAnsi="Times New Roman"/>
          <w:sz w:val="24"/>
          <w:szCs w:val="24"/>
        </w:rPr>
      </w:pPr>
      <w:r>
        <w:rPr>
          <w:rFonts w:ascii="Times New Roman" w:hAnsi="Times New Roman"/>
          <w:sz w:val="24"/>
          <w:szCs w:val="24"/>
        </w:rPr>
        <w:t>¿Generosidad?</w:t>
      </w:r>
      <w:r w:rsidRPr="00EA4B9D">
        <w:rPr>
          <w:rFonts w:ascii="Times New Roman" w:hAnsi="Times New Roman"/>
          <w:sz w:val="24"/>
          <w:szCs w:val="24"/>
        </w:rPr>
        <w:t xml:space="preserve"> </w:t>
      </w:r>
    </w:p>
    <w:p w:rsidR="00F829AC" w:rsidRPr="00EA4B9D" w:rsidRDefault="00F829AC" w:rsidP="00550638">
      <w:pPr>
        <w:spacing w:line="240" w:lineRule="auto"/>
        <w:jc w:val="both"/>
        <w:rPr>
          <w:rFonts w:ascii="Times New Roman" w:hAnsi="Times New Roman"/>
          <w:sz w:val="24"/>
          <w:szCs w:val="24"/>
        </w:rPr>
      </w:pPr>
      <w:r>
        <w:rPr>
          <w:rFonts w:ascii="Times New Roman" w:hAnsi="Times New Roman"/>
          <w:color w:val="FF0000"/>
          <w:sz w:val="24"/>
          <w:szCs w:val="24"/>
          <w:u w:val="single"/>
        </w:rPr>
        <w:t>“</w:t>
      </w:r>
      <w:r w:rsidRPr="00CD09C1">
        <w:rPr>
          <w:rFonts w:ascii="Times New Roman" w:hAnsi="Times New Roman"/>
          <w:color w:val="FF0000"/>
          <w:sz w:val="24"/>
          <w:szCs w:val="24"/>
          <w:u w:val="single"/>
        </w:rPr>
        <w:t xml:space="preserve">¿Cómo que generoso? Si son </w:t>
      </w:r>
      <w:r>
        <w:rPr>
          <w:rFonts w:ascii="Times New Roman" w:hAnsi="Times New Roman"/>
          <w:color w:val="FF0000"/>
          <w:sz w:val="24"/>
          <w:szCs w:val="24"/>
          <w:u w:val="single"/>
        </w:rPr>
        <w:t>las pagas más bajas del entorno”</w:t>
      </w:r>
      <w:r w:rsidRPr="00CD09C1">
        <w:rPr>
          <w:rFonts w:ascii="Times New Roman" w:hAnsi="Times New Roman"/>
          <w:color w:val="FF0000"/>
          <w:sz w:val="24"/>
          <w:szCs w:val="24"/>
          <w:u w:val="single"/>
        </w:rPr>
        <w:t>, replica Juan Torres López, catedrático de Economía Aplicada de la Universidad de Sevilla -la media es de alrededor de 800 euros-.</w:t>
      </w:r>
      <w:r w:rsidRPr="00EA4B9D">
        <w:rPr>
          <w:rFonts w:ascii="Times New Roman" w:hAnsi="Times New Roman"/>
          <w:sz w:val="24"/>
          <w:szCs w:val="24"/>
        </w:rPr>
        <w:t xml:space="preserve"> </w:t>
      </w:r>
      <w:r w:rsidRPr="00495B2D">
        <w:rPr>
          <w:rFonts w:ascii="Times New Roman" w:hAnsi="Times New Roman"/>
          <w:sz w:val="24"/>
          <w:szCs w:val="24"/>
          <w:u w:val="single"/>
        </w:rPr>
        <w:t>Coautor del libro ¿Están en peligro las pensiones públicas?,</w:t>
      </w:r>
      <w:r>
        <w:rPr>
          <w:rFonts w:ascii="Times New Roman" w:hAnsi="Times New Roman"/>
          <w:sz w:val="24"/>
          <w:szCs w:val="24"/>
          <w:u w:val="single"/>
        </w:rPr>
        <w:t xml:space="preserve"> el profesor recomienda al FMI “que se deje de alertas”</w:t>
      </w:r>
      <w:r w:rsidRPr="00495B2D">
        <w:rPr>
          <w:rFonts w:ascii="Times New Roman" w:hAnsi="Times New Roman"/>
          <w:sz w:val="24"/>
          <w:szCs w:val="24"/>
          <w:u w:val="single"/>
        </w:rPr>
        <w:t xml:space="preserve"> y se dedique a promover un reparto</w:t>
      </w:r>
      <w:r>
        <w:rPr>
          <w:rFonts w:ascii="Times New Roman" w:hAnsi="Times New Roman"/>
          <w:sz w:val="24"/>
          <w:szCs w:val="24"/>
          <w:u w:val="single"/>
        </w:rPr>
        <w:t xml:space="preserve"> más equitativo de la riqueza. “</w:t>
      </w:r>
      <w:r w:rsidRPr="00495B2D">
        <w:rPr>
          <w:rFonts w:ascii="Times New Roman" w:hAnsi="Times New Roman"/>
          <w:sz w:val="24"/>
          <w:szCs w:val="24"/>
          <w:u w:val="single"/>
        </w:rPr>
        <w:t xml:space="preserve">Se utiliza la crisis como excusa para </w:t>
      </w:r>
      <w:r>
        <w:rPr>
          <w:rFonts w:ascii="Times New Roman" w:hAnsi="Times New Roman"/>
          <w:sz w:val="24"/>
          <w:szCs w:val="24"/>
          <w:u w:val="single"/>
        </w:rPr>
        <w:t>poner el sector público en duda”</w:t>
      </w:r>
      <w:r w:rsidRPr="00495B2D">
        <w:rPr>
          <w:rFonts w:ascii="Times New Roman" w:hAnsi="Times New Roman"/>
          <w:sz w:val="24"/>
          <w:szCs w:val="24"/>
          <w:u w:val="single"/>
        </w:rPr>
        <w:t>, se lamenta</w:t>
      </w:r>
      <w:r w:rsidRPr="00EA4B9D">
        <w:rPr>
          <w:rFonts w:ascii="Times New Roman" w:hAnsi="Times New Roman"/>
          <w:sz w:val="24"/>
          <w:szCs w:val="24"/>
        </w:rPr>
        <w:t>. El docente defiende que el sistema de pensiones se sostendría sin apuros con una política económica distinta, que promoviera el empleo y la productividad, dirigiera los recursos públicos y permitiera, entre otras medi</w:t>
      </w:r>
      <w:r>
        <w:rPr>
          <w:rFonts w:ascii="Times New Roman" w:hAnsi="Times New Roman"/>
          <w:sz w:val="24"/>
          <w:szCs w:val="24"/>
        </w:rPr>
        <w:t>das, la jubilación voluntaria. “</w:t>
      </w:r>
      <w:r w:rsidRPr="00EA4B9D">
        <w:rPr>
          <w:rFonts w:ascii="Times New Roman" w:hAnsi="Times New Roman"/>
          <w:sz w:val="24"/>
          <w:szCs w:val="24"/>
        </w:rPr>
        <w:t>¿Por qué se debe retirar un catedrático c</w:t>
      </w:r>
      <w:r>
        <w:rPr>
          <w:rFonts w:ascii="Times New Roman" w:hAnsi="Times New Roman"/>
          <w:sz w:val="24"/>
          <w:szCs w:val="24"/>
        </w:rPr>
        <w:t>on la misma edad que un minero?”</w:t>
      </w:r>
      <w:r w:rsidRPr="00EA4B9D">
        <w:rPr>
          <w:rFonts w:ascii="Times New Roman" w:hAnsi="Times New Roman"/>
          <w:sz w:val="24"/>
          <w:szCs w:val="24"/>
        </w:rPr>
        <w:t>, se pregunta.</w:t>
      </w:r>
    </w:p>
    <w:p w:rsidR="00F829AC" w:rsidRPr="00EA4B9D" w:rsidRDefault="00F829AC" w:rsidP="00550638">
      <w:pPr>
        <w:spacing w:line="240" w:lineRule="auto"/>
        <w:jc w:val="both"/>
        <w:rPr>
          <w:rFonts w:ascii="Times New Roman" w:hAnsi="Times New Roman"/>
          <w:sz w:val="24"/>
          <w:szCs w:val="24"/>
        </w:rPr>
      </w:pPr>
      <w:r w:rsidRPr="00495B2D">
        <w:rPr>
          <w:rFonts w:ascii="Times New Roman" w:hAnsi="Times New Roman"/>
          <w:color w:val="FF0000"/>
          <w:sz w:val="24"/>
          <w:szCs w:val="24"/>
          <w:u w:val="single"/>
        </w:rPr>
        <w:lastRenderedPageBreak/>
        <w:t xml:space="preserve">Octavio Granado, secretario de Estado de la Seguridad Social entre 2004 y 2011, añade que se pueden impulsar otras medidas antes que bajar las pensiones: fomentar la conciliación familiar para que aumente la tasa de natalidad, incentivar el acceso de los jóvenes al mercado de trabajo, combatir la bajada de salarios para evitar la caída de las cotizaciones... </w:t>
      </w:r>
      <w:r>
        <w:rPr>
          <w:rFonts w:ascii="Times New Roman" w:hAnsi="Times New Roman"/>
          <w:sz w:val="24"/>
          <w:szCs w:val="24"/>
        </w:rPr>
        <w:t>Y concluye: “</w:t>
      </w:r>
      <w:r w:rsidRPr="00EA4B9D">
        <w:rPr>
          <w:rFonts w:ascii="Times New Roman" w:hAnsi="Times New Roman"/>
          <w:sz w:val="24"/>
          <w:szCs w:val="24"/>
        </w:rPr>
        <w:t>Parece que vivir mucho es un problema cuando justament</w:t>
      </w:r>
      <w:r>
        <w:rPr>
          <w:rFonts w:ascii="Times New Roman" w:hAnsi="Times New Roman"/>
          <w:sz w:val="24"/>
          <w:szCs w:val="24"/>
        </w:rPr>
        <w:t xml:space="preserve">e es lo contrario. Si vivimos </w:t>
      </w:r>
      <w:r w:rsidRPr="00EA4B9D">
        <w:rPr>
          <w:rFonts w:ascii="Times New Roman" w:hAnsi="Times New Roman"/>
          <w:sz w:val="24"/>
          <w:szCs w:val="24"/>
        </w:rPr>
        <w:t>100 años, genial. Lo que cambiará es que en vez de hasta los 65 años tend</w:t>
      </w:r>
      <w:r>
        <w:rPr>
          <w:rFonts w:ascii="Times New Roman" w:hAnsi="Times New Roman"/>
          <w:sz w:val="24"/>
          <w:szCs w:val="24"/>
        </w:rPr>
        <w:t>remos que trabajar hasta los 80”</w:t>
      </w:r>
      <w:r w:rsidRPr="00EA4B9D">
        <w:rPr>
          <w:rFonts w:ascii="Times New Roman" w:hAnsi="Times New Roman"/>
          <w:sz w:val="24"/>
          <w:szCs w:val="24"/>
        </w:rPr>
        <w:t>.</w:t>
      </w:r>
    </w:p>
    <w:p w:rsidR="00F829AC" w:rsidRPr="00EA4B9D" w:rsidRDefault="00F829AC" w:rsidP="00550638">
      <w:pPr>
        <w:spacing w:line="240" w:lineRule="auto"/>
        <w:jc w:val="both"/>
        <w:rPr>
          <w:rFonts w:ascii="Times New Roman" w:hAnsi="Times New Roman"/>
          <w:sz w:val="24"/>
          <w:szCs w:val="24"/>
        </w:rPr>
      </w:pPr>
      <w:r w:rsidRPr="00EA4B9D">
        <w:rPr>
          <w:rFonts w:ascii="Times New Roman" w:hAnsi="Times New Roman"/>
          <w:sz w:val="24"/>
          <w:szCs w:val="24"/>
        </w:rPr>
        <w:t>Las cifras</w:t>
      </w:r>
    </w:p>
    <w:p w:rsidR="00F829AC" w:rsidRPr="00EA4B9D" w:rsidRDefault="00F829AC" w:rsidP="00550638">
      <w:pPr>
        <w:spacing w:line="240" w:lineRule="auto"/>
        <w:jc w:val="both"/>
        <w:rPr>
          <w:rFonts w:ascii="Times New Roman" w:hAnsi="Times New Roman"/>
          <w:sz w:val="24"/>
          <w:szCs w:val="24"/>
        </w:rPr>
      </w:pPr>
      <w:r w:rsidRPr="00EA4B9D">
        <w:rPr>
          <w:rFonts w:ascii="Times New Roman" w:hAnsi="Times New Roman"/>
          <w:sz w:val="24"/>
          <w:szCs w:val="24"/>
        </w:rPr>
        <w:t>66.184 mil</w:t>
      </w:r>
      <w:r>
        <w:rPr>
          <w:rFonts w:ascii="Times New Roman" w:hAnsi="Times New Roman"/>
          <w:sz w:val="24"/>
          <w:szCs w:val="24"/>
        </w:rPr>
        <w:t>lones es la suma que guarda la “hucha de las pensiones”</w:t>
      </w:r>
      <w:r w:rsidRPr="00EA4B9D">
        <w:rPr>
          <w:rFonts w:ascii="Times New Roman" w:hAnsi="Times New Roman"/>
          <w:sz w:val="24"/>
          <w:szCs w:val="24"/>
        </w:rPr>
        <w:t>, destinada a asegurar las retr</w:t>
      </w:r>
      <w:r>
        <w:rPr>
          <w:rFonts w:ascii="Times New Roman" w:hAnsi="Times New Roman"/>
          <w:sz w:val="24"/>
          <w:szCs w:val="24"/>
        </w:rPr>
        <w:t>ibuciones en tiempos de crisis.</w:t>
      </w:r>
    </w:p>
    <w:p w:rsidR="00F829AC" w:rsidRDefault="00F829AC" w:rsidP="00550638">
      <w:pPr>
        <w:spacing w:line="240" w:lineRule="auto"/>
        <w:jc w:val="both"/>
        <w:rPr>
          <w:rFonts w:ascii="Times New Roman" w:hAnsi="Times New Roman"/>
          <w:sz w:val="24"/>
          <w:szCs w:val="24"/>
        </w:rPr>
      </w:pPr>
      <w:r w:rsidRPr="00EA4B9D">
        <w:rPr>
          <w:rFonts w:ascii="Times New Roman" w:hAnsi="Times New Roman"/>
          <w:sz w:val="24"/>
          <w:szCs w:val="24"/>
        </w:rPr>
        <w:t>8,1 millones de personas cobran una pensión en España, el doble que hace 35 años. La esperanza de vida, una de las más altas en la Unión Europea, alcanza los 86 años.</w:t>
      </w:r>
    </w:p>
    <w:p w:rsidR="00F829AC" w:rsidRPr="00555C2C" w:rsidRDefault="00F829AC" w:rsidP="00550638">
      <w:pPr>
        <w:spacing w:line="240" w:lineRule="auto"/>
        <w:jc w:val="both"/>
        <w:rPr>
          <w:rFonts w:ascii="Times New Roman" w:hAnsi="Times New Roman"/>
          <w:sz w:val="24"/>
          <w:szCs w:val="24"/>
          <w:u w:val="single"/>
        </w:rPr>
      </w:pPr>
      <w:r w:rsidRPr="00555C2C">
        <w:rPr>
          <w:rFonts w:ascii="Times New Roman" w:hAnsi="Times New Roman" w:cs="Times New Roman"/>
          <w:sz w:val="24"/>
          <w:szCs w:val="24"/>
          <w:u w:val="single"/>
        </w:rPr>
        <w:t xml:space="preserve">Fedea propone adelantar la puesta en marcha del </w:t>
      </w:r>
      <w:r w:rsidR="008406EA">
        <w:rPr>
          <w:rFonts w:ascii="Times New Roman" w:hAnsi="Times New Roman" w:cs="Times New Roman"/>
          <w:sz w:val="24"/>
          <w:szCs w:val="24"/>
          <w:u w:val="single"/>
        </w:rPr>
        <w:t>“</w:t>
      </w:r>
      <w:r w:rsidRPr="00555C2C">
        <w:rPr>
          <w:rFonts w:ascii="Times New Roman" w:hAnsi="Times New Roman" w:cs="Times New Roman"/>
          <w:sz w:val="24"/>
          <w:szCs w:val="24"/>
          <w:u w:val="single"/>
        </w:rPr>
        <w:t>factor de sostenibilidad</w:t>
      </w:r>
      <w:r w:rsidR="008406EA">
        <w:rPr>
          <w:rFonts w:ascii="Times New Roman" w:hAnsi="Times New Roman" w:cs="Times New Roman"/>
          <w:sz w:val="24"/>
          <w:szCs w:val="24"/>
          <w:u w:val="single"/>
        </w:rPr>
        <w:t>”</w:t>
      </w:r>
      <w:r w:rsidRPr="00555C2C">
        <w:rPr>
          <w:rFonts w:ascii="Times New Roman" w:hAnsi="Times New Roman" w:cs="Times New Roman"/>
          <w:sz w:val="24"/>
          <w:szCs w:val="24"/>
          <w:u w:val="single"/>
        </w:rPr>
        <w:t xml:space="preserve"> </w:t>
      </w:r>
    </w:p>
    <w:p w:rsidR="00F829AC" w:rsidRPr="00495DC9" w:rsidRDefault="00F829AC" w:rsidP="00550638">
      <w:pPr>
        <w:pStyle w:val="Ttulo1"/>
        <w:spacing w:line="240" w:lineRule="auto"/>
        <w:jc w:val="both"/>
        <w:rPr>
          <w:rFonts w:ascii="Times New Roman" w:hAnsi="Times New Roman"/>
          <w:b w:val="0"/>
          <w:color w:val="auto"/>
          <w:sz w:val="24"/>
          <w:szCs w:val="24"/>
        </w:rPr>
      </w:pPr>
      <w:r w:rsidRPr="00495DC9">
        <w:rPr>
          <w:rFonts w:ascii="Times New Roman" w:eastAsia="Calibri" w:hAnsi="Times New Roman"/>
          <w:b w:val="0"/>
          <w:bCs w:val="0"/>
          <w:color w:val="auto"/>
          <w:sz w:val="24"/>
          <w:szCs w:val="24"/>
        </w:rPr>
        <w:t xml:space="preserve">- </w:t>
      </w:r>
      <w:r w:rsidRPr="00495DC9">
        <w:rPr>
          <w:rFonts w:ascii="Times New Roman" w:hAnsi="Times New Roman"/>
          <w:b w:val="0"/>
          <w:color w:val="auto"/>
          <w:sz w:val="24"/>
          <w:szCs w:val="24"/>
          <w:u w:val="single"/>
        </w:rPr>
        <w:t>Lecciones del pasado: una (in)sostenibilidad anunciada</w:t>
      </w:r>
      <w:r w:rsidRPr="00495DC9">
        <w:rPr>
          <w:rFonts w:ascii="Times New Roman" w:hAnsi="Times New Roman"/>
          <w:b w:val="0"/>
          <w:color w:val="auto"/>
          <w:sz w:val="24"/>
          <w:szCs w:val="24"/>
        </w:rPr>
        <w:t xml:space="preserve"> (Fedea - </w:t>
      </w:r>
      <w:r w:rsidRPr="00495DC9">
        <w:rPr>
          <w:rFonts w:ascii="Times New Roman" w:hAnsi="Times New Roman"/>
          <w:color w:val="auto"/>
          <w:sz w:val="24"/>
          <w:szCs w:val="24"/>
        </w:rPr>
        <w:t>27/4/12</w:t>
      </w:r>
      <w:r w:rsidRPr="00495DC9">
        <w:rPr>
          <w:rFonts w:ascii="Times New Roman" w:hAnsi="Times New Roman"/>
          <w:b w:val="0"/>
          <w:color w:val="auto"/>
          <w:sz w:val="24"/>
          <w:szCs w:val="24"/>
        </w:rPr>
        <w:t>)</w:t>
      </w:r>
    </w:p>
    <w:p w:rsidR="00F829AC" w:rsidRPr="00C20932" w:rsidRDefault="00F829AC" w:rsidP="00550638">
      <w:pPr>
        <w:pStyle w:val="headlinemeta"/>
        <w:jc w:val="both"/>
      </w:pPr>
      <w:r>
        <w:t>(Por</w:t>
      </w:r>
      <w:r w:rsidRPr="00C20932">
        <w:rPr>
          <w:rStyle w:val="Textoennegrita"/>
          <w:rFonts w:eastAsiaTheme="majorEastAsia"/>
          <w:b w:val="0"/>
        </w:rPr>
        <w:t xml:space="preserve"> J. Ignacio Conde-Ruiz y Sergi Jiménez</w:t>
      </w:r>
      <w:r>
        <w:rPr>
          <w:rStyle w:val="Textoennegrita"/>
          <w:rFonts w:eastAsiaTheme="majorEastAsia"/>
          <w:b w:val="0"/>
        </w:rPr>
        <w:t>)</w:t>
      </w:r>
    </w:p>
    <w:p w:rsidR="00F829AC" w:rsidRPr="00AF77F3" w:rsidRDefault="00F829AC" w:rsidP="00550638">
      <w:pPr>
        <w:pStyle w:val="NormalWeb"/>
        <w:jc w:val="both"/>
        <w:rPr>
          <w:u w:val="single"/>
        </w:rPr>
      </w:pPr>
      <w:r w:rsidRPr="00C20932">
        <w:t xml:space="preserve">En un post previo J. Ignacio Conde-Ruiz y Clara González destacaban la aparición de un déficit en el sistema de pensiones de 0.24% en 2011. La noticia no es sorprendente ya que en 2010 el balance entre cotizaciones y pensiones (sin incluir los rendimientos del fondo de reserva) ya había sido negativo. </w:t>
      </w:r>
      <w:r w:rsidRPr="00AF77F3">
        <w:rPr>
          <w:u w:val="single"/>
        </w:rPr>
        <w:t>De hecho la relación entre cotizantes al sistema (excluyendo los cotizantes desempleados) y el número de pensionistas se ha ido reduciendo desde el máximo alcanzado en el año 2007 con 2,5. En diciembre de 2011 este cociente se situó en 2,1.</w:t>
      </w:r>
    </w:p>
    <w:p w:rsidR="00F829AC" w:rsidRPr="00AF77F3" w:rsidRDefault="00F829AC" w:rsidP="00550638">
      <w:pPr>
        <w:pStyle w:val="NormalWeb"/>
        <w:jc w:val="both"/>
        <w:rPr>
          <w:u w:val="single"/>
        </w:rPr>
      </w:pPr>
      <w:r w:rsidRPr="00AF77F3">
        <w:rPr>
          <w:u w:val="single"/>
        </w:rPr>
        <w:t>En el presente post, mostramos que las raíces del problema vienen de lejos y que el sistema, aunque ha generado grandes superávits (que será tema de una próxima entrada), ha tenido históricamente un problema de “excesiva” generosidad dadas las condiciones laborales presentes y la evolución demográfica que tenía por delante. Para ilustrarlo mostraremos evidencia de la evolución histórica de la tasa de dependencia, de la relación prestación media vs. cotización media y del crecimiento en términos reales de cotizaciones y pensiones.</w:t>
      </w:r>
    </w:p>
    <w:p w:rsidR="00F829AC" w:rsidRPr="006455B9" w:rsidRDefault="00F829AC" w:rsidP="00550638">
      <w:pPr>
        <w:pStyle w:val="NormalWeb"/>
        <w:jc w:val="both"/>
        <w:rPr>
          <w:i/>
        </w:rPr>
      </w:pPr>
      <w:r w:rsidRPr="006455B9">
        <w:rPr>
          <w:rStyle w:val="nfasis"/>
          <w:bCs/>
          <w:i w:val="0"/>
        </w:rPr>
        <w:t>La tasa de dependencia</w:t>
      </w:r>
    </w:p>
    <w:p w:rsidR="00F829AC" w:rsidRDefault="00F829AC" w:rsidP="00550638">
      <w:pPr>
        <w:pStyle w:val="NormalWeb"/>
        <w:jc w:val="both"/>
      </w:pPr>
      <w:r w:rsidRPr="00C20932">
        <w:t>La figura 1 presenta la evolución histórica de tres conceptos: la tasa de dependencia neta (cotizantes/pensionistas), la tasa de dependencia empleados (empleados EPA/ mayores 65), y la tasa de dependencia máxima, la que correspondería (respecto al número de mayores de 65 años) a un mercado de trabajo a la sueca, es decir, si tasa de empleo EPA hubiera sido siempre del 70 por ciento.</w:t>
      </w:r>
    </w:p>
    <w:p w:rsidR="00DC5B95" w:rsidRDefault="00DC5B95" w:rsidP="00550638">
      <w:pPr>
        <w:pStyle w:val="NormalWeb"/>
        <w:jc w:val="both"/>
      </w:pPr>
    </w:p>
    <w:p w:rsidR="00DC5B95" w:rsidRPr="00C20932" w:rsidRDefault="00DC5B95" w:rsidP="00550638">
      <w:pPr>
        <w:pStyle w:val="NormalWeb"/>
        <w:jc w:val="both"/>
      </w:pPr>
    </w:p>
    <w:p w:rsidR="00F829AC" w:rsidRPr="00C20932" w:rsidRDefault="00F829AC" w:rsidP="00550638">
      <w:pPr>
        <w:pStyle w:val="NormalWeb"/>
        <w:jc w:val="both"/>
      </w:pPr>
      <w:r w:rsidRPr="00C20932">
        <w:rPr>
          <w:rStyle w:val="Textoennegrita"/>
          <w:rFonts w:eastAsiaTheme="majorEastAsia"/>
        </w:rPr>
        <w:lastRenderedPageBreak/>
        <w:t>Figura 1. Evolución de diversos indicadores de la tasa de dependencia.</w:t>
      </w:r>
    </w:p>
    <w:p w:rsidR="00F829AC" w:rsidRPr="00C20932" w:rsidRDefault="00F829AC" w:rsidP="00550638">
      <w:pPr>
        <w:pStyle w:val="NormalWeb"/>
        <w:jc w:val="both"/>
      </w:pPr>
      <w:r>
        <w:rPr>
          <w:noProof/>
          <w:color w:val="0000FF"/>
        </w:rPr>
        <w:drawing>
          <wp:inline distT="0" distB="0" distL="0" distR="0" wp14:anchorId="26FA3D9F" wp14:editId="691ABE2C">
            <wp:extent cx="5003180" cy="1989735"/>
            <wp:effectExtent l="0" t="0" r="6985" b="0"/>
            <wp:docPr id="18" name="Imagen 18" descr="g1">
              <a:hlinkClick xmlns:a="http://schemas.openxmlformats.org/drawingml/2006/main" r:id="rId60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g1"/>
                    <pic:cNvPicPr>
                      <a:picLocks noChangeAspect="1" noChangeArrowheads="1"/>
                    </pic:cNvPicPr>
                  </pic:nvPicPr>
                  <pic:blipFill>
                    <a:blip r:embed="rId605">
                      <a:extLst>
                        <a:ext uri="{28A0092B-C50C-407E-A947-70E740481C1C}">
                          <a14:useLocalDpi xmlns:a14="http://schemas.microsoft.com/office/drawing/2010/main" val="0"/>
                        </a:ext>
                      </a:extLst>
                    </a:blip>
                    <a:srcRect/>
                    <a:stretch>
                      <a:fillRect/>
                    </a:stretch>
                  </pic:blipFill>
                  <pic:spPr bwMode="auto">
                    <a:xfrm>
                      <a:off x="0" y="0"/>
                      <a:ext cx="5003800" cy="1989982"/>
                    </a:xfrm>
                    <a:prstGeom prst="rect">
                      <a:avLst/>
                    </a:prstGeom>
                    <a:noFill/>
                    <a:ln>
                      <a:noFill/>
                    </a:ln>
                  </pic:spPr>
                </pic:pic>
              </a:graphicData>
            </a:graphic>
          </wp:inline>
        </w:drawing>
      </w:r>
    </w:p>
    <w:p w:rsidR="00F829AC" w:rsidRPr="00AF77F3" w:rsidRDefault="00F829AC" w:rsidP="00550638">
      <w:pPr>
        <w:pStyle w:val="NormalWeb"/>
        <w:jc w:val="both"/>
        <w:rPr>
          <w:u w:val="single"/>
        </w:rPr>
      </w:pPr>
      <w:r w:rsidRPr="00C20932">
        <w:t>A principios de los 80, la relación cotizantes/pensionistas era relativamente alta, reflejo de un sistema de pensiones y una población relativamente jóvenes, y de una tasa de empleo baja (especialmente en el caso de las mujeres). La crisis de los 90 agudiza las tensiones financieras del sistema que se reflejan en el mínimo de la relación de cotizantes/pensionistas que se alcanza a mediados de la década de los 90. A partir de ese momento, la tasa de dependencia comenzó a mejorar impulsada por dos factores: el imparable incremento de la participación y el empleo femenino y el shock, h</w:t>
      </w:r>
      <w:r>
        <w:t>istórico, de inmigración</w:t>
      </w:r>
      <w:r w:rsidRPr="00C20932">
        <w:t xml:space="preserve">. El aumento de la participación de las mujeres era esperado (véase el capítulo 2 de </w:t>
      </w:r>
      <w:hyperlink r:id="rId606" w:history="1">
        <w:r w:rsidRPr="00555C2C">
          <w:rPr>
            <w:rStyle w:val="Hipervnculo"/>
            <w:rFonts w:eastAsiaTheme="majorEastAsia"/>
            <w:color w:val="auto"/>
          </w:rPr>
          <w:t>Boldrin et al (1999)</w:t>
        </w:r>
      </w:hyperlink>
      <w:r w:rsidRPr="00C20932">
        <w:t xml:space="preserve">). El boom inmigratorio alentado por la burbuja inmobiliaria permitió situar la tasa de dependencia en su nivel máximo (y acercándose a la tasa de dependencia máxima). Pero </w:t>
      </w:r>
      <w:r w:rsidRPr="00AF77F3">
        <w:rPr>
          <w:u w:val="single"/>
        </w:rPr>
        <w:t xml:space="preserve">con el pinchazo de la burbuja inmobiliaria agudizada por la peor crisis de los últimos 80 años en un momento en que empiezan a notarse los efectos del envejecimiento nos </w:t>
      </w:r>
      <w:r w:rsidR="00494A8D" w:rsidRPr="00AF77F3">
        <w:rPr>
          <w:u w:val="single"/>
        </w:rPr>
        <w:t>han</w:t>
      </w:r>
      <w:r w:rsidRPr="00AF77F3">
        <w:rPr>
          <w:u w:val="single"/>
        </w:rPr>
        <w:t xml:space="preserve"> dejado una seguridad social con uno de los peores problemas financieros de su historia.</w:t>
      </w:r>
    </w:p>
    <w:p w:rsidR="00F829AC" w:rsidRPr="00AF77F3" w:rsidRDefault="00F829AC" w:rsidP="00550638">
      <w:pPr>
        <w:pStyle w:val="NormalWeb"/>
        <w:jc w:val="both"/>
        <w:rPr>
          <w:u w:val="single"/>
        </w:rPr>
      </w:pPr>
      <w:r w:rsidRPr="00C20932">
        <w:t xml:space="preserve">Finalmente, la evolución de la tasa de dependencia máxima, nos muestra lo que hubiéramos observado si España hubiera utilizado, desde finales de los 70, todo su potencial laboral (al nivel de la tasa de empleo de Suecia). Es decir lo que pudo ser y no fue. En tal caso la tasa de dependencia seria, aunque preocupante, mucho menos preocupante. Por otra parte, la evolución reciente de la tasa de dependencia máxima muestra claramente el impacto del shock de inmigración, ya que el impacto de la participación femenina ya está incorporado en la definición de la serie. </w:t>
      </w:r>
      <w:r w:rsidRPr="00AF77F3">
        <w:rPr>
          <w:u w:val="single"/>
        </w:rPr>
        <w:t>Observamos que aunque la inmigración ha elevado la tasa de dependencia (o tasa de sostenibilidad) máxima en casi medio punto, ésta ya está volviendo a su senda de largo plazo. Al ritmo actual de envejecimiento, sin inmigración, fácilmente caerá por debajo de 2 en unos 10 o 15 años.</w:t>
      </w:r>
    </w:p>
    <w:p w:rsidR="00F829AC" w:rsidRPr="00AF77F3" w:rsidRDefault="00F829AC" w:rsidP="00550638">
      <w:pPr>
        <w:pStyle w:val="NormalWeb"/>
        <w:jc w:val="both"/>
        <w:rPr>
          <w:u w:val="single"/>
        </w:rPr>
      </w:pPr>
      <w:r w:rsidRPr="00AF77F3">
        <w:rPr>
          <w:u w:val="single"/>
        </w:rPr>
        <w:t>En suma, aunque mañana, al amanecer, el país se convierta en Wonderland y el empleo empiece a crecer a buen ritmo, digamos 2% anual, no se llegaría a revertir nunca el impacto del envejecimiento sobre la tasa de dependencia.</w:t>
      </w:r>
    </w:p>
    <w:p w:rsidR="00F829AC" w:rsidRPr="006455B9" w:rsidRDefault="00F829AC" w:rsidP="00550638">
      <w:pPr>
        <w:pStyle w:val="NormalWeb"/>
        <w:jc w:val="both"/>
        <w:rPr>
          <w:i/>
        </w:rPr>
      </w:pPr>
      <w:r w:rsidRPr="006455B9">
        <w:rPr>
          <w:rStyle w:val="nfasis"/>
          <w:bCs/>
          <w:i w:val="0"/>
        </w:rPr>
        <w:t>La pensión media sobre la cotización media</w:t>
      </w:r>
    </w:p>
    <w:p w:rsidR="00F829AC" w:rsidRDefault="00F829AC" w:rsidP="00550638">
      <w:pPr>
        <w:pStyle w:val="NormalWeb"/>
        <w:jc w:val="both"/>
      </w:pPr>
      <w:r w:rsidRPr="00C20932">
        <w:t xml:space="preserve">La Figura 2 nos ilustra sobre cómo han evolucionado tres indicadores de la prestación media respecto a la cotización media en el sistema en los últimos 30 años. Dada la inmadurez del sistema, a principios de los 80 bastaba con 1.5 cotizantes para sostener </w:t>
      </w:r>
      <w:r w:rsidRPr="00C20932">
        <w:lastRenderedPageBreak/>
        <w:t>las pensiones del sistema. Desde entonces, la tendencia es claramente creciente con la única excepción de principio de la década de los 90. De hecho, desde mediados de los 90, el número de cotizantes necesario para mantener el sistema de seguridad social en equilibrio corriente, producto de dos factores: los trabajadores llegan a la pensión con carreras más largas y completas y, probablemente, los nuevos puestos de trabajo creados en la reciente década son de “peor” calidad (productividad) que los creados previamente. Ambos efectos van en dirección opuesta si analizamos las pensiones futuras: por un lado tenemos carreras más largas que dan derecho a pensiones más altas y por otro salarios más bajos que dan lugar a pensiones más bajas.</w:t>
      </w:r>
    </w:p>
    <w:p w:rsidR="00F829AC" w:rsidRPr="00C20932" w:rsidRDefault="00F829AC" w:rsidP="00550638">
      <w:pPr>
        <w:pStyle w:val="NormalWeb"/>
        <w:jc w:val="both"/>
      </w:pPr>
      <w:r w:rsidRPr="00C20932">
        <w:rPr>
          <w:rStyle w:val="Textoennegrita"/>
          <w:rFonts w:eastAsiaTheme="majorEastAsia"/>
        </w:rPr>
        <w:t>Figura 2. Cotización media y diversos indicadores de pensiones medias.</w:t>
      </w:r>
    </w:p>
    <w:p w:rsidR="00F829AC" w:rsidRPr="00C20932" w:rsidRDefault="00F829AC" w:rsidP="00550638">
      <w:pPr>
        <w:pStyle w:val="NormalWeb"/>
        <w:jc w:val="both"/>
      </w:pPr>
      <w:r>
        <w:rPr>
          <w:noProof/>
          <w:color w:val="0000FF"/>
        </w:rPr>
        <w:drawing>
          <wp:inline distT="0" distB="0" distL="0" distR="0" wp14:anchorId="41FE8DC7" wp14:editId="5D91E56E">
            <wp:extent cx="4959704" cy="2099463"/>
            <wp:effectExtent l="0" t="0" r="0" b="0"/>
            <wp:docPr id="40" name="Imagen 40" descr="g3">
              <a:hlinkClick xmlns:a="http://schemas.openxmlformats.org/drawingml/2006/main" r:id="rId6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g3"/>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4959985" cy="2099582"/>
                    </a:xfrm>
                    <a:prstGeom prst="rect">
                      <a:avLst/>
                    </a:prstGeom>
                    <a:noFill/>
                    <a:ln>
                      <a:noFill/>
                    </a:ln>
                  </pic:spPr>
                </pic:pic>
              </a:graphicData>
            </a:graphic>
          </wp:inline>
        </w:drawing>
      </w:r>
    </w:p>
    <w:p w:rsidR="00F829AC" w:rsidRPr="006455B9" w:rsidRDefault="00F829AC" w:rsidP="00550638">
      <w:pPr>
        <w:pStyle w:val="NormalWeb"/>
        <w:jc w:val="both"/>
        <w:rPr>
          <w:i/>
        </w:rPr>
      </w:pPr>
      <w:r w:rsidRPr="006455B9">
        <w:rPr>
          <w:rStyle w:val="nfasis"/>
          <w:bCs/>
          <w:i w:val="0"/>
        </w:rPr>
        <w:t>La tasa de crecimiento de las prestaciones y de las cotizaciones</w:t>
      </w:r>
    </w:p>
    <w:p w:rsidR="00F829AC" w:rsidRPr="00C20932" w:rsidRDefault="00F829AC" w:rsidP="00550638">
      <w:pPr>
        <w:pStyle w:val="NormalWeb"/>
        <w:jc w:val="both"/>
      </w:pPr>
      <w:r w:rsidRPr="00C20932">
        <w:t>La figura 3 presenta la evolución en los últimos 30 años de la tasa de crecimiento de las cotizaciones y de las prestaciones. Ambas han sido suavizadas en -5 y +5 años, al objeto de mostrar nítidamente las tendencias de medio y largo plazo. Varias son las observaciones que podemos hacer sobre ambas series.</w:t>
      </w:r>
    </w:p>
    <w:p w:rsidR="00F829AC" w:rsidRDefault="00F829AC" w:rsidP="00550638">
      <w:pPr>
        <w:pStyle w:val="NormalWeb"/>
        <w:jc w:val="both"/>
      </w:pPr>
      <w:r w:rsidRPr="00C20932">
        <w:t>• Los crecimientos reales de las prestaciones por encima del 5 por ciento observados hasta 1990 son producto de un sistema de pensiones muy generoso en sus primeras décadas.</w:t>
      </w:r>
    </w:p>
    <w:p w:rsidR="00F829AC" w:rsidRDefault="00F829AC" w:rsidP="00550638">
      <w:pPr>
        <w:pStyle w:val="NormalWeb"/>
        <w:jc w:val="both"/>
      </w:pPr>
      <w:r w:rsidRPr="00C20932">
        <w:t>• A partir de 1995 el crecimiento del gasto en pensiones se estabiliza en el 4 por ciento real (entre 6-7 nominal en estos años).</w:t>
      </w:r>
    </w:p>
    <w:p w:rsidR="00F829AC" w:rsidRDefault="00F829AC" w:rsidP="00550638">
      <w:pPr>
        <w:pStyle w:val="NormalWeb"/>
        <w:jc w:val="both"/>
      </w:pPr>
      <w:r w:rsidRPr="00C20932">
        <w:t>• El crecimiento de las cuotas es de tendencia creciente hasta mediados de los 90, cuando se estabiliza. A partir de 2002, el crecimiento de las cuotas tiene pendiente negativa (producto del muy bajo crecimiento de la productividad de la economía española), hundiéndose en los últimos años (a causa, fundamentalmente, de la crisis económica).</w:t>
      </w:r>
    </w:p>
    <w:p w:rsidR="00F829AC" w:rsidRDefault="00F829AC" w:rsidP="00550638">
      <w:pPr>
        <w:pStyle w:val="NormalWeb"/>
        <w:jc w:val="both"/>
      </w:pPr>
      <w:r w:rsidRPr="00C20932">
        <w:t>• Excepto en lo más álgido del shock de inmigración y participación femenina, el crecimiento de las cuotas (2.6% en 1980-2010, 3.3% hasta 2008) siempre ha sido inferior al crecimiento de las prestaciones (5.2%), anunciando problemas de insostenibilidad a medio y largo plazo del sistema de pensiones.</w:t>
      </w:r>
    </w:p>
    <w:p w:rsidR="00F829AC" w:rsidRPr="00C20932" w:rsidRDefault="00F829AC" w:rsidP="00550638">
      <w:pPr>
        <w:pStyle w:val="NormalWeb"/>
        <w:jc w:val="both"/>
      </w:pPr>
      <w:r w:rsidRPr="00C20932">
        <w:rPr>
          <w:rStyle w:val="Textoennegrita"/>
          <w:rFonts w:eastAsiaTheme="majorEastAsia"/>
        </w:rPr>
        <w:lastRenderedPageBreak/>
        <w:t>Figura 3. La tasa de crecimiento de las pensiones contributivas y las cotizaciones.</w:t>
      </w:r>
    </w:p>
    <w:p w:rsidR="00F829AC" w:rsidRPr="00C20932" w:rsidRDefault="00F829AC" w:rsidP="00550638">
      <w:pPr>
        <w:pStyle w:val="NormalWeb"/>
        <w:jc w:val="both"/>
      </w:pPr>
      <w:r>
        <w:rPr>
          <w:noProof/>
          <w:color w:val="0000FF"/>
        </w:rPr>
        <w:drawing>
          <wp:inline distT="0" distB="0" distL="0" distR="0" wp14:anchorId="411B9A82" wp14:editId="5B033621">
            <wp:extent cx="4681513" cy="1960474"/>
            <wp:effectExtent l="0" t="0" r="5080" b="1905"/>
            <wp:docPr id="39" name="Imagen 39" descr="g5">
              <a:hlinkClick xmlns:a="http://schemas.openxmlformats.org/drawingml/2006/main" r:id="rId60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g5"/>
                    <pic:cNvPicPr>
                      <a:picLocks noChangeAspect="1" noChangeArrowheads="1"/>
                    </pic:cNvPicPr>
                  </pic:nvPicPr>
                  <pic:blipFill>
                    <a:blip r:embed="rId610">
                      <a:extLst>
                        <a:ext uri="{28A0092B-C50C-407E-A947-70E740481C1C}">
                          <a14:useLocalDpi xmlns:a14="http://schemas.microsoft.com/office/drawing/2010/main" val="0"/>
                        </a:ext>
                      </a:extLst>
                    </a:blip>
                    <a:srcRect/>
                    <a:stretch>
                      <a:fillRect/>
                    </a:stretch>
                  </pic:blipFill>
                  <pic:spPr bwMode="auto">
                    <a:xfrm>
                      <a:off x="0" y="0"/>
                      <a:ext cx="4681855" cy="1960617"/>
                    </a:xfrm>
                    <a:prstGeom prst="rect">
                      <a:avLst/>
                    </a:prstGeom>
                    <a:noFill/>
                    <a:ln>
                      <a:noFill/>
                    </a:ln>
                  </pic:spPr>
                </pic:pic>
              </a:graphicData>
            </a:graphic>
          </wp:inline>
        </w:drawing>
      </w:r>
    </w:p>
    <w:p w:rsidR="00F829AC" w:rsidRPr="006455B9" w:rsidRDefault="00F829AC" w:rsidP="00550638">
      <w:pPr>
        <w:pStyle w:val="NormalWeb"/>
        <w:jc w:val="both"/>
        <w:rPr>
          <w:b/>
        </w:rPr>
      </w:pPr>
      <w:r w:rsidRPr="006455B9">
        <w:rPr>
          <w:rStyle w:val="Textoennegrita"/>
          <w:rFonts w:eastAsiaTheme="majorEastAsia"/>
          <w:b w:val="0"/>
        </w:rPr>
        <w:t>Reflexiones Finales</w:t>
      </w:r>
    </w:p>
    <w:p w:rsidR="00F829AC" w:rsidRDefault="00F829AC" w:rsidP="00550638">
      <w:pPr>
        <w:spacing w:line="240" w:lineRule="auto"/>
        <w:jc w:val="both"/>
        <w:rPr>
          <w:rStyle w:val="Hipervnculo"/>
          <w:rFonts w:ascii="Times New Roman" w:hAnsi="Times New Roman" w:cs="Times New Roman"/>
          <w:color w:val="auto"/>
          <w:sz w:val="24"/>
          <w:szCs w:val="24"/>
        </w:rPr>
      </w:pPr>
      <w:r w:rsidRPr="00555C2C">
        <w:rPr>
          <w:rFonts w:ascii="Times New Roman" w:hAnsi="Times New Roman" w:cs="Times New Roman"/>
          <w:sz w:val="24"/>
          <w:szCs w:val="24"/>
          <w:u w:val="single"/>
        </w:rPr>
        <w:t>La generosidad del sistema español de pensiones tiene problemas para mantener el equilibrio en el corto plazo y debido a los problemas de envejecimiento estos se agudizarán en el futuro. Las prestaciones crecen de forma sostenida a mayor ritmo que los recursos necesarios para sostenerlas</w:t>
      </w:r>
      <w:r w:rsidRPr="00555C2C">
        <w:rPr>
          <w:rFonts w:ascii="Times New Roman" w:hAnsi="Times New Roman" w:cs="Times New Roman"/>
          <w:sz w:val="24"/>
          <w:szCs w:val="24"/>
        </w:rPr>
        <w:t>. Aunque la Reforma 2011 pueda a medio plazo moderar el ritmo de crecimi</w:t>
      </w:r>
      <w:r>
        <w:rPr>
          <w:rFonts w:ascii="Times New Roman" w:hAnsi="Times New Roman" w:cs="Times New Roman"/>
          <w:sz w:val="24"/>
          <w:szCs w:val="24"/>
        </w:rPr>
        <w:t>ento de las prestaciones</w:t>
      </w:r>
      <w:r w:rsidRPr="00555C2C">
        <w:rPr>
          <w:rFonts w:ascii="Times New Roman" w:hAnsi="Times New Roman" w:cs="Times New Roman"/>
          <w:sz w:val="24"/>
          <w:szCs w:val="24"/>
        </w:rPr>
        <w:t xml:space="preserve">, no parece que sea suficiente para contener el creciente deterioro del sistema de pensiones. De hecho solo será capaz de solucionar un tercio de los problemas de sostenibilidad. Además como sus efectos solo se notarán a diez o más años vista, puede que lleguen demasiado tarde. Es decir, </w:t>
      </w:r>
      <w:r w:rsidRPr="00555C2C">
        <w:rPr>
          <w:rFonts w:ascii="Times New Roman" w:hAnsi="Times New Roman" w:cs="Times New Roman"/>
          <w:sz w:val="24"/>
          <w:szCs w:val="24"/>
          <w:u w:val="single"/>
        </w:rPr>
        <w:t xml:space="preserve">en el </w:t>
      </w:r>
      <w:r w:rsidR="00494A8D" w:rsidRPr="00555C2C">
        <w:rPr>
          <w:rFonts w:ascii="Times New Roman" w:hAnsi="Times New Roman" w:cs="Times New Roman"/>
          <w:sz w:val="24"/>
          <w:szCs w:val="24"/>
          <w:u w:val="single"/>
        </w:rPr>
        <w:t>ínterin</w:t>
      </w:r>
      <w:r w:rsidRPr="00555C2C">
        <w:rPr>
          <w:rFonts w:ascii="Times New Roman" w:hAnsi="Times New Roman" w:cs="Times New Roman"/>
          <w:sz w:val="24"/>
          <w:szCs w:val="24"/>
          <w:u w:val="single"/>
        </w:rPr>
        <w:t>, necesitamos desesperadamente un shock de empleo (y cotizaciones) o una reforma que garantice la sostenibilidad o, probablemente, ambas cosas</w:t>
      </w:r>
      <w:r w:rsidRPr="00555C2C">
        <w:rPr>
          <w:rFonts w:ascii="Times New Roman" w:hAnsi="Times New Roman" w:cs="Times New Roman"/>
          <w:sz w:val="24"/>
          <w:szCs w:val="24"/>
        </w:rPr>
        <w:t xml:space="preserve">. En este sentido la senda marcada por otros países (Suecia, Italia, Alemania, Portugal) y recogida en la propuesta que </w:t>
      </w:r>
      <w:hyperlink r:id="rId611" w:history="1">
        <w:r>
          <w:rPr>
            <w:rStyle w:val="Hipervnculo"/>
            <w:rFonts w:ascii="Times New Roman" w:hAnsi="Times New Roman" w:cs="Times New Roman"/>
            <w:color w:val="auto"/>
            <w:sz w:val="24"/>
            <w:szCs w:val="24"/>
          </w:rPr>
          <w:t>presentamos en F</w:t>
        </w:r>
        <w:r w:rsidRPr="00555C2C">
          <w:rPr>
            <w:rStyle w:val="Hipervnculo"/>
            <w:rFonts w:ascii="Times New Roman" w:eastAsiaTheme="majorEastAsia" w:hAnsi="Times New Roman" w:cs="Times New Roman"/>
            <w:color w:val="auto"/>
            <w:sz w:val="24"/>
            <w:szCs w:val="24"/>
          </w:rPr>
          <w:t>edea</w:t>
        </w:r>
      </w:hyperlink>
      <w:r w:rsidRPr="00555C2C">
        <w:rPr>
          <w:rFonts w:ascii="Times New Roman" w:hAnsi="Times New Roman" w:cs="Times New Roman"/>
          <w:sz w:val="24"/>
          <w:szCs w:val="24"/>
        </w:rPr>
        <w:t xml:space="preserve"> parece el camino a seguir. Es decir movernos hacia un sistema de pensiones público, de reparto, de contribución definida con cuentas nocionales. Mientras se plantea la reforma definitiva seguramente será necesario adelantar la puesta en marcha del factor de sostenibilidad anunciado en la </w:t>
      </w:r>
      <w:hyperlink r:id="rId612" w:history="1">
        <w:r w:rsidRPr="00555C2C">
          <w:rPr>
            <w:rStyle w:val="Hipervnculo"/>
            <w:rFonts w:ascii="Times New Roman" w:eastAsiaTheme="majorEastAsia" w:hAnsi="Times New Roman" w:cs="Times New Roman"/>
            <w:color w:val="auto"/>
            <w:sz w:val="24"/>
            <w:szCs w:val="24"/>
          </w:rPr>
          <w:t>Reforma 2011</w:t>
        </w:r>
      </w:hyperlink>
      <w:r>
        <w:rPr>
          <w:rStyle w:val="Hipervnculo"/>
          <w:rFonts w:ascii="Times New Roman" w:hAnsi="Times New Roman" w:cs="Times New Roman"/>
          <w:color w:val="auto"/>
          <w:sz w:val="24"/>
          <w:szCs w:val="24"/>
        </w:rPr>
        <w:t>.</w:t>
      </w:r>
    </w:p>
    <w:p w:rsidR="004B09EE" w:rsidRPr="004B09EE" w:rsidRDefault="004B09EE" w:rsidP="00550638">
      <w:pPr>
        <w:spacing w:line="240" w:lineRule="auto"/>
        <w:jc w:val="both"/>
        <w:rPr>
          <w:rFonts w:ascii="Times New Roman" w:hAnsi="Times New Roman"/>
          <w:sz w:val="24"/>
          <w:szCs w:val="24"/>
          <w:u w:val="single"/>
        </w:rPr>
      </w:pPr>
      <w:r w:rsidRPr="004B09EE">
        <w:rPr>
          <w:rFonts w:ascii="Times New Roman" w:hAnsi="Times New Roman"/>
          <w:sz w:val="24"/>
          <w:szCs w:val="24"/>
          <w:u w:val="single"/>
        </w:rPr>
        <w:t>Con una cuarta parte de la población cercana a la edad de jubilación, la estructura del sistema se acerca a la de una “estafa”</w:t>
      </w:r>
      <w:r>
        <w:rPr>
          <w:rFonts w:ascii="Times New Roman" w:hAnsi="Times New Roman"/>
          <w:sz w:val="24"/>
          <w:szCs w:val="24"/>
          <w:u w:val="single"/>
        </w:rPr>
        <w:t xml:space="preserve"> piramidal</w:t>
      </w:r>
      <w:r w:rsidR="008406EA">
        <w:rPr>
          <w:rFonts w:ascii="Times New Roman" w:hAnsi="Times New Roman"/>
          <w:sz w:val="24"/>
          <w:szCs w:val="24"/>
          <w:u w:val="single"/>
        </w:rPr>
        <w:t xml:space="preserve"> (s</w:t>
      </w:r>
      <w:r w:rsidR="008406EA" w:rsidRPr="008406EA">
        <w:rPr>
          <w:rFonts w:ascii="Times New Roman" w:hAnsi="Times New Roman"/>
          <w:sz w:val="24"/>
          <w:szCs w:val="24"/>
          <w:u w:val="single"/>
        </w:rPr>
        <w:t>ic transit gloria mundi</w:t>
      </w:r>
      <w:r w:rsidR="008406EA">
        <w:rPr>
          <w:rFonts w:ascii="Times New Roman" w:hAnsi="Times New Roman"/>
          <w:sz w:val="24"/>
          <w:szCs w:val="24"/>
          <w:u w:val="single"/>
        </w:rPr>
        <w:t>)</w:t>
      </w:r>
    </w:p>
    <w:p w:rsidR="004B09EE" w:rsidRPr="00AC264C" w:rsidRDefault="004B09EE" w:rsidP="00550638">
      <w:pPr>
        <w:spacing w:line="240" w:lineRule="auto"/>
        <w:jc w:val="both"/>
        <w:rPr>
          <w:rFonts w:ascii="Times New Roman" w:hAnsi="Times New Roman"/>
          <w:sz w:val="24"/>
          <w:szCs w:val="24"/>
        </w:rPr>
      </w:pPr>
      <w:r>
        <w:rPr>
          <w:rFonts w:ascii="Times New Roman" w:hAnsi="Times New Roman"/>
          <w:sz w:val="24"/>
          <w:szCs w:val="24"/>
        </w:rPr>
        <w:t xml:space="preserve">- </w:t>
      </w:r>
      <w:r w:rsidRPr="00CD407B">
        <w:rPr>
          <w:rFonts w:ascii="Times New Roman" w:hAnsi="Times New Roman"/>
          <w:sz w:val="24"/>
          <w:szCs w:val="24"/>
          <w:u w:val="single"/>
        </w:rPr>
        <w:t>El envejecimiento hunde las pensiones</w:t>
      </w:r>
      <w:r>
        <w:rPr>
          <w:rFonts w:ascii="Times New Roman" w:hAnsi="Times New Roman"/>
          <w:sz w:val="24"/>
          <w:szCs w:val="24"/>
        </w:rPr>
        <w:t xml:space="preserve"> (Gaceta.es - </w:t>
      </w:r>
      <w:r w:rsidRPr="00AC264C">
        <w:rPr>
          <w:rFonts w:ascii="Times New Roman" w:hAnsi="Times New Roman"/>
          <w:b/>
          <w:sz w:val="24"/>
          <w:szCs w:val="24"/>
        </w:rPr>
        <w:t>29/7/12</w:t>
      </w:r>
      <w:r>
        <w:rPr>
          <w:rFonts w:ascii="Times New Roman" w:hAnsi="Times New Roman"/>
          <w:sz w:val="24"/>
          <w:szCs w:val="24"/>
        </w:rPr>
        <w:t>)       Lectura recomendada</w:t>
      </w:r>
    </w:p>
    <w:p w:rsidR="004B09EE" w:rsidRPr="00CD407B" w:rsidRDefault="004B09EE" w:rsidP="00550638">
      <w:pPr>
        <w:spacing w:line="240" w:lineRule="auto"/>
        <w:jc w:val="both"/>
        <w:rPr>
          <w:rFonts w:ascii="Times New Roman" w:hAnsi="Times New Roman"/>
          <w:sz w:val="24"/>
          <w:szCs w:val="24"/>
          <w:u w:val="single"/>
        </w:rPr>
      </w:pPr>
      <w:r w:rsidRPr="00AC264C">
        <w:rPr>
          <w:rFonts w:ascii="Times New Roman" w:hAnsi="Times New Roman"/>
          <w:sz w:val="24"/>
          <w:szCs w:val="24"/>
        </w:rPr>
        <w:t xml:space="preserve">Los datos del último informe del Instituto Nacional de Estadística, relativos al censo de 2011, revelan que una cuarta parte de la población española se acerca a la edad de jubilación. </w:t>
      </w:r>
      <w:r w:rsidRPr="00CD407B">
        <w:rPr>
          <w:rFonts w:ascii="Times New Roman" w:hAnsi="Times New Roman"/>
          <w:sz w:val="24"/>
          <w:szCs w:val="24"/>
          <w:u w:val="single"/>
        </w:rPr>
        <w:t>Al envejecimiento se suma desde hace tres años el descenso de la natalidad, que hace el sistema de pensiones cada vez más parecido a una estafa piramidal.</w:t>
      </w:r>
    </w:p>
    <w:p w:rsidR="004B09EE" w:rsidRPr="00AC264C" w:rsidRDefault="004B09EE" w:rsidP="00550638">
      <w:pPr>
        <w:spacing w:line="240" w:lineRule="auto"/>
        <w:jc w:val="both"/>
        <w:rPr>
          <w:rFonts w:ascii="Times New Roman" w:hAnsi="Times New Roman"/>
          <w:sz w:val="24"/>
          <w:szCs w:val="24"/>
        </w:rPr>
      </w:pPr>
      <w:r w:rsidRPr="00CD407B">
        <w:rPr>
          <w:rFonts w:ascii="Times New Roman" w:hAnsi="Times New Roman"/>
          <w:sz w:val="24"/>
          <w:szCs w:val="24"/>
          <w:u w:val="single"/>
        </w:rPr>
        <w:t>La Seguridad Social, en quiebra fáctica por su escasa rentabilidad, comienza a poner trabas para el cobro de las pensiones.</w:t>
      </w:r>
      <w:r w:rsidRPr="00AC264C">
        <w:rPr>
          <w:rFonts w:ascii="Times New Roman" w:hAnsi="Times New Roman"/>
          <w:sz w:val="24"/>
          <w:szCs w:val="24"/>
        </w:rPr>
        <w:t xml:space="preserve"> El aumento de la esperanza de vida y el consiguiente incremento de las jubilaciones constituyen un auténtico reto para la sostenibilidad de la Seguridad Social, cuyo fondo de reserva dispone de 68.000 millones de euros, la denominada hucha de las pensiones, a la que sólo se recurrirá en casos de necesidad.</w:t>
      </w:r>
    </w:p>
    <w:p w:rsidR="004B09EE" w:rsidRPr="00AC264C" w:rsidRDefault="004B09EE" w:rsidP="00550638">
      <w:pPr>
        <w:spacing w:line="240" w:lineRule="auto"/>
        <w:jc w:val="both"/>
        <w:rPr>
          <w:rFonts w:ascii="Times New Roman" w:hAnsi="Times New Roman"/>
          <w:sz w:val="24"/>
          <w:szCs w:val="24"/>
        </w:rPr>
      </w:pPr>
      <w:r w:rsidRPr="00CD407B">
        <w:rPr>
          <w:rFonts w:ascii="Times New Roman" w:hAnsi="Times New Roman"/>
          <w:sz w:val="24"/>
          <w:szCs w:val="24"/>
          <w:u w:val="single"/>
        </w:rPr>
        <w:lastRenderedPageBreak/>
        <w:t>Con el objetivo de garantizar su viabilidad, el Gobierno de José Luis Rodríguez Zapatero amplió la edad de jubilación en dos años</w:t>
      </w:r>
      <w:r w:rsidRPr="00AC264C">
        <w:rPr>
          <w:rFonts w:ascii="Times New Roman" w:hAnsi="Times New Roman"/>
          <w:sz w:val="24"/>
          <w:szCs w:val="24"/>
        </w:rPr>
        <w:t>. A partir del próximo año, se aumentará de forma progresiva hasta situarla en los 67 en 2027.</w:t>
      </w:r>
    </w:p>
    <w:p w:rsidR="004B09EE" w:rsidRPr="00CD407B" w:rsidRDefault="004B09EE" w:rsidP="00550638">
      <w:pPr>
        <w:spacing w:line="240" w:lineRule="auto"/>
        <w:jc w:val="both"/>
        <w:rPr>
          <w:rFonts w:ascii="Times New Roman" w:hAnsi="Times New Roman"/>
          <w:sz w:val="24"/>
          <w:szCs w:val="24"/>
          <w:u w:val="single"/>
        </w:rPr>
      </w:pPr>
      <w:r w:rsidRPr="00CD407B">
        <w:rPr>
          <w:rFonts w:ascii="Times New Roman" w:hAnsi="Times New Roman"/>
          <w:sz w:val="24"/>
          <w:szCs w:val="24"/>
          <w:u w:val="single"/>
        </w:rPr>
        <w:t xml:space="preserve">La actual ministra de Empleo y Seguridad Social, Fátima Báñez, pretende impulsar la prolongación de la vida laboral a través de incentivos en el puesto de trabajo. Se trata de que, de manera voluntaria, el trabajador pueda trabajar y cobrar una pensión al mismo tiempo. </w:t>
      </w:r>
    </w:p>
    <w:p w:rsidR="004B09EE" w:rsidRPr="00CD407B" w:rsidRDefault="004B09EE" w:rsidP="00550638">
      <w:pPr>
        <w:spacing w:line="240" w:lineRule="auto"/>
        <w:jc w:val="both"/>
        <w:rPr>
          <w:rFonts w:ascii="Times New Roman" w:hAnsi="Times New Roman"/>
          <w:color w:val="FF0000"/>
          <w:sz w:val="24"/>
          <w:szCs w:val="24"/>
          <w:u w:val="single"/>
        </w:rPr>
      </w:pPr>
      <w:r w:rsidRPr="00CD407B">
        <w:rPr>
          <w:rFonts w:ascii="Times New Roman" w:hAnsi="Times New Roman"/>
          <w:color w:val="FF0000"/>
          <w:sz w:val="24"/>
          <w:szCs w:val="24"/>
          <w:u w:val="single"/>
        </w:rPr>
        <w:t>Estas y otras formas de hacer pagar dos veces a quien debería recibir son simples parches que a duras penas ocultan la realidad de que la única garantía de continuidad en las pensiones, que nazcan suficientes niños como para garantizar que los trabajadores del futuro sostengan a los jubilados, es un objetivo del que cada vez nos alejamos más.</w:t>
      </w:r>
    </w:p>
    <w:p w:rsidR="004B09EE" w:rsidRPr="00AC264C" w:rsidRDefault="004B09EE" w:rsidP="00550638">
      <w:pPr>
        <w:spacing w:line="240" w:lineRule="auto"/>
        <w:jc w:val="both"/>
        <w:rPr>
          <w:rFonts w:ascii="Times New Roman" w:hAnsi="Times New Roman"/>
          <w:sz w:val="24"/>
          <w:szCs w:val="24"/>
        </w:rPr>
      </w:pPr>
      <w:r w:rsidRPr="00AC264C">
        <w:rPr>
          <w:rFonts w:ascii="Times New Roman" w:hAnsi="Times New Roman"/>
          <w:sz w:val="24"/>
          <w:szCs w:val="24"/>
        </w:rPr>
        <w:t xml:space="preserve">Natalidad </w:t>
      </w:r>
    </w:p>
    <w:p w:rsidR="004B09EE" w:rsidRPr="00AC264C" w:rsidRDefault="004B09EE" w:rsidP="00550638">
      <w:pPr>
        <w:spacing w:line="240" w:lineRule="auto"/>
        <w:jc w:val="both"/>
        <w:rPr>
          <w:rFonts w:ascii="Times New Roman" w:hAnsi="Times New Roman"/>
          <w:sz w:val="24"/>
          <w:szCs w:val="24"/>
        </w:rPr>
      </w:pPr>
      <w:r w:rsidRPr="00AC264C">
        <w:rPr>
          <w:rFonts w:ascii="Times New Roman" w:hAnsi="Times New Roman"/>
          <w:sz w:val="24"/>
          <w:szCs w:val="24"/>
        </w:rPr>
        <w:t xml:space="preserve">En 2011 se registraron 468.430 nacimientos, un 3,5% menos que en 2010. Estos datos confirman </w:t>
      </w:r>
      <w:r w:rsidRPr="00CD407B">
        <w:rPr>
          <w:rFonts w:ascii="Times New Roman" w:hAnsi="Times New Roman"/>
          <w:color w:val="FF0000"/>
          <w:sz w:val="24"/>
          <w:szCs w:val="24"/>
        </w:rPr>
        <w:t>la situación de invierno demográfico que vive España</w:t>
      </w:r>
      <w:r w:rsidRPr="00AC264C">
        <w:rPr>
          <w:rFonts w:ascii="Times New Roman" w:hAnsi="Times New Roman"/>
          <w:sz w:val="24"/>
          <w:szCs w:val="24"/>
        </w:rPr>
        <w:t xml:space="preserve">, donde el número de hijos por mujer ha descendido hasta 1,35 (el año pasado se situaba en 1,38), muy por debajo de la tasa de sustitución generacional de 2,1. La edad media de la maternidad se ha elevado hasta los 31,4 años. </w:t>
      </w:r>
    </w:p>
    <w:p w:rsidR="004B09EE" w:rsidRPr="00AC264C" w:rsidRDefault="004B09EE" w:rsidP="00550638">
      <w:pPr>
        <w:spacing w:line="240" w:lineRule="auto"/>
        <w:jc w:val="both"/>
        <w:rPr>
          <w:rFonts w:ascii="Times New Roman" w:hAnsi="Times New Roman"/>
          <w:sz w:val="24"/>
          <w:szCs w:val="24"/>
        </w:rPr>
      </w:pPr>
      <w:r w:rsidRPr="00AC264C">
        <w:rPr>
          <w:rFonts w:ascii="Times New Roman" w:hAnsi="Times New Roman"/>
          <w:sz w:val="24"/>
          <w:szCs w:val="24"/>
        </w:rPr>
        <w:t xml:space="preserve">De todos los nacimientos registrados en 2011, 90.390 corresponden a mujeres extranjeras residentes en España, lo que supone un 19,3% del total de alumbramientos, menos que el 20,4% que registró 2010. Quizá por el retorno de los inmigrantes hacia sus países de origen que ha provocado la situación de dificultad económica y precariedad laboral. </w:t>
      </w:r>
    </w:p>
    <w:p w:rsidR="004B09EE" w:rsidRDefault="004B09EE" w:rsidP="00550638">
      <w:pPr>
        <w:spacing w:line="240" w:lineRule="auto"/>
        <w:jc w:val="both"/>
        <w:rPr>
          <w:rFonts w:ascii="Times New Roman" w:hAnsi="Times New Roman"/>
          <w:sz w:val="24"/>
          <w:szCs w:val="24"/>
        </w:rPr>
      </w:pPr>
      <w:r w:rsidRPr="00AC264C">
        <w:rPr>
          <w:rFonts w:ascii="Times New Roman" w:hAnsi="Times New Roman"/>
          <w:sz w:val="24"/>
          <w:szCs w:val="24"/>
        </w:rPr>
        <w:t xml:space="preserve">La nupcialidad sigue la misma tendencia a la baja. En 2011 se celebraron en España 161.345 matrimonios, un 4,4% menos que el año anterior, lo que deja una tasa bruta de nupcialidad de 3,5 matrimonios por cada 1.000 habitantes. </w:t>
      </w:r>
    </w:p>
    <w:p w:rsidR="004B09EE" w:rsidRDefault="004B09EE" w:rsidP="00550638">
      <w:pPr>
        <w:spacing w:line="240" w:lineRule="auto"/>
        <w:jc w:val="both"/>
        <w:rPr>
          <w:rFonts w:ascii="Times New Roman" w:hAnsi="Times New Roman"/>
          <w:sz w:val="24"/>
          <w:szCs w:val="24"/>
          <w:u w:val="single"/>
        </w:rPr>
      </w:pPr>
      <w:r w:rsidRPr="002F689E">
        <w:rPr>
          <w:rFonts w:ascii="Times New Roman" w:hAnsi="Times New Roman"/>
          <w:sz w:val="24"/>
          <w:szCs w:val="24"/>
          <w:u w:val="single"/>
        </w:rPr>
        <w:t>El 40% de los mayores ayuda económicamente a sus familiares</w:t>
      </w:r>
      <w:r w:rsidR="008406EA">
        <w:rPr>
          <w:rFonts w:ascii="Times New Roman" w:hAnsi="Times New Roman"/>
          <w:sz w:val="24"/>
          <w:szCs w:val="24"/>
          <w:u w:val="single"/>
        </w:rPr>
        <w:t xml:space="preserve"> (el “auténtico” factor de sostenibilidad)</w:t>
      </w:r>
      <w:r w:rsidRPr="002F689E">
        <w:rPr>
          <w:rFonts w:ascii="Times New Roman" w:hAnsi="Times New Roman"/>
          <w:sz w:val="24"/>
          <w:szCs w:val="24"/>
          <w:u w:val="single"/>
        </w:rPr>
        <w:t xml:space="preserve"> </w:t>
      </w:r>
    </w:p>
    <w:p w:rsidR="004B09EE" w:rsidRPr="002F689E" w:rsidRDefault="004B09EE" w:rsidP="00550638">
      <w:pPr>
        <w:spacing w:line="240" w:lineRule="auto"/>
        <w:jc w:val="both"/>
        <w:rPr>
          <w:rFonts w:ascii="Times New Roman" w:hAnsi="Times New Roman"/>
          <w:sz w:val="24"/>
          <w:szCs w:val="24"/>
        </w:rPr>
      </w:pPr>
      <w:r>
        <w:rPr>
          <w:rFonts w:ascii="Times New Roman" w:hAnsi="Times New Roman"/>
          <w:i/>
          <w:sz w:val="24"/>
          <w:szCs w:val="24"/>
        </w:rPr>
        <w:t>“</w:t>
      </w:r>
      <w:r w:rsidRPr="004B09EE">
        <w:rPr>
          <w:rFonts w:ascii="Times New Roman" w:hAnsi="Times New Roman"/>
          <w:i/>
          <w:sz w:val="24"/>
          <w:szCs w:val="24"/>
        </w:rPr>
        <w:t>Últimamente, los ancianos y los jóvenes regresan al hogar familiar tras pasar años en residencias o viviendo emancipados, respectivamente. Los primeros, vuelven porque deben mantener a toda la familia con sus pensiones; los segundos, porque no encuentran un trabajo</w:t>
      </w:r>
      <w:r>
        <w:rPr>
          <w:rFonts w:ascii="Times New Roman" w:hAnsi="Times New Roman"/>
          <w:i/>
          <w:sz w:val="24"/>
          <w:szCs w:val="24"/>
        </w:rPr>
        <w:t xml:space="preserve">”...  </w:t>
      </w:r>
      <w:r>
        <w:rPr>
          <w:rFonts w:ascii="Times New Roman" w:hAnsi="Times New Roman"/>
          <w:sz w:val="24"/>
          <w:szCs w:val="24"/>
          <w:u w:val="single"/>
        </w:rPr>
        <w:t>La crisis invierte el término “dependencia”</w:t>
      </w:r>
      <w:r w:rsidRPr="002F689E">
        <w:rPr>
          <w:rFonts w:ascii="Times New Roman" w:hAnsi="Times New Roman"/>
          <w:sz w:val="24"/>
          <w:szCs w:val="24"/>
          <w:u w:val="single"/>
        </w:rPr>
        <w:t>: los ancianos pasan a ser sostén de los jóvenes</w:t>
      </w:r>
      <w:r>
        <w:rPr>
          <w:rFonts w:ascii="Times New Roman" w:hAnsi="Times New Roman"/>
          <w:sz w:val="24"/>
          <w:szCs w:val="24"/>
        </w:rPr>
        <w:t xml:space="preserve"> (Vozpópuli - </w:t>
      </w:r>
      <w:r w:rsidRPr="002F689E">
        <w:rPr>
          <w:rFonts w:ascii="Times New Roman" w:hAnsi="Times New Roman"/>
          <w:b/>
          <w:sz w:val="24"/>
          <w:szCs w:val="24"/>
        </w:rPr>
        <w:t>18/8/12</w:t>
      </w:r>
      <w:r>
        <w:rPr>
          <w:rFonts w:ascii="Times New Roman" w:hAnsi="Times New Roman"/>
          <w:sz w:val="24"/>
          <w:szCs w:val="24"/>
        </w:rPr>
        <w:t>)</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El núcleo familiar se ha convertido en la última red de seguridad para muchos desempleados, que apelan a la solidaridad de sus progenitores para poder salir adelante en tiempos de crisis.</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Si hace unos años era difícil encontrar plaza en residencias de ancianos, ahora mismo la situación es la contraria. La demanda baja y cada día se producen nuevas vacantes, ya que las familias optan por sacar a sus mayores de estos centros, para que sus pensiones contribuyan al sustento familiar. Un fenómeno que se repite más en el caso de las pensiones altas o de dependencia.</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De esta forma, si en el año 2010 las personas mayores</w:t>
      </w:r>
      <w:r>
        <w:rPr>
          <w:rFonts w:ascii="Times New Roman" w:hAnsi="Times New Roman"/>
          <w:sz w:val="24"/>
          <w:szCs w:val="24"/>
        </w:rPr>
        <w:t>,</w:t>
      </w:r>
      <w:r w:rsidRPr="004B09EE">
        <w:rPr>
          <w:rFonts w:ascii="Times New Roman" w:hAnsi="Times New Roman"/>
          <w:sz w:val="24"/>
          <w:szCs w:val="24"/>
        </w:rPr>
        <w:t xml:space="preserve"> que ayudaban económicamente a sus familiares</w:t>
      </w:r>
      <w:r>
        <w:rPr>
          <w:rFonts w:ascii="Times New Roman" w:hAnsi="Times New Roman"/>
          <w:sz w:val="24"/>
          <w:szCs w:val="24"/>
        </w:rPr>
        <w:t>,</w:t>
      </w:r>
      <w:r w:rsidRPr="004B09EE">
        <w:rPr>
          <w:rFonts w:ascii="Times New Roman" w:hAnsi="Times New Roman"/>
          <w:sz w:val="24"/>
          <w:szCs w:val="24"/>
        </w:rPr>
        <w:t xml:space="preserve"> representaban un 15%, actualmente este porcentaje se ha disparado hasta </w:t>
      </w:r>
      <w:r w:rsidRPr="004B09EE">
        <w:rPr>
          <w:rFonts w:ascii="Times New Roman" w:hAnsi="Times New Roman"/>
          <w:sz w:val="24"/>
          <w:szCs w:val="24"/>
        </w:rPr>
        <w:lastRenderedPageBreak/>
        <w:t>el 40%, según un estudio presentado por la Unión Democrática de Pensionistas y Jubilados de España (UDP).</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Asimismo, el porcentaje de mayores que reciben alguna ayuda económica de sus familiares ha descendido desde el 12,5% del año 2010 hasta el 7,5% de 2012, y es que, la estabilidad laboral y salarial de hoy en día deja mucho que desear frente a la que ofrecen las pensiones de jubilación.</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Los abuelos españoles se han volcado en la familia dejando de lado sus propias necesidades debido a la crisis económica, según explicaba a E</w:t>
      </w:r>
      <w:r>
        <w:rPr>
          <w:rFonts w:ascii="Times New Roman" w:hAnsi="Times New Roman"/>
          <w:sz w:val="24"/>
          <w:szCs w:val="24"/>
        </w:rPr>
        <w:t>uropa Press el coordinador del “Proyecto Madurez Vital”</w:t>
      </w:r>
      <w:r w:rsidRPr="004B09EE">
        <w:rPr>
          <w:rFonts w:ascii="Times New Roman" w:hAnsi="Times New Roman"/>
          <w:sz w:val="24"/>
          <w:szCs w:val="24"/>
        </w:rPr>
        <w:t xml:space="preserve"> de la Confederación Española de Organizaciones de Mayores (CEOMA), José de las Heras Gayo, con motivo del Día de los Abuelos (26 de julio).</w:t>
      </w:r>
    </w:p>
    <w:p w:rsidR="004B09EE" w:rsidRPr="004B09EE" w:rsidRDefault="004B09EE" w:rsidP="00550638">
      <w:pPr>
        <w:spacing w:line="240" w:lineRule="auto"/>
        <w:jc w:val="both"/>
        <w:rPr>
          <w:rFonts w:ascii="Times New Roman" w:hAnsi="Times New Roman"/>
          <w:sz w:val="24"/>
          <w:szCs w:val="24"/>
        </w:rPr>
      </w:pPr>
      <w:r>
        <w:rPr>
          <w:rFonts w:ascii="Times New Roman" w:hAnsi="Times New Roman"/>
          <w:sz w:val="24"/>
          <w:szCs w:val="24"/>
        </w:rPr>
        <w:t>“</w:t>
      </w:r>
      <w:r w:rsidRPr="004B09EE">
        <w:rPr>
          <w:rFonts w:ascii="Times New Roman" w:hAnsi="Times New Roman"/>
          <w:sz w:val="24"/>
          <w:szCs w:val="24"/>
        </w:rPr>
        <w:t xml:space="preserve">Hoy en día el abuelo ya no es algo amable sino una necesidad para mantener el nivel </w:t>
      </w:r>
      <w:r w:rsidR="00494A8D" w:rsidRPr="004B09EE">
        <w:rPr>
          <w:rFonts w:ascii="Times New Roman" w:hAnsi="Times New Roman"/>
          <w:sz w:val="24"/>
          <w:szCs w:val="24"/>
        </w:rPr>
        <w:t>socioeconómico</w:t>
      </w:r>
      <w:r w:rsidRPr="004B09EE">
        <w:rPr>
          <w:rFonts w:ascii="Times New Roman" w:hAnsi="Times New Roman"/>
          <w:sz w:val="24"/>
          <w:szCs w:val="24"/>
        </w:rPr>
        <w:t xml:space="preserve"> de la familia, sobre todo, entre las clases</w:t>
      </w:r>
      <w:r>
        <w:rPr>
          <w:rFonts w:ascii="Times New Roman" w:hAnsi="Times New Roman"/>
          <w:sz w:val="24"/>
          <w:szCs w:val="24"/>
        </w:rPr>
        <w:t xml:space="preserve"> medias”, afirmaba. “</w:t>
      </w:r>
      <w:r w:rsidRPr="004B09EE">
        <w:rPr>
          <w:rFonts w:ascii="Times New Roman" w:hAnsi="Times New Roman"/>
          <w:sz w:val="24"/>
          <w:szCs w:val="24"/>
        </w:rPr>
        <w:t xml:space="preserve">El más débil ayuda al más fuerte </w:t>
      </w:r>
      <w:r>
        <w:rPr>
          <w:rFonts w:ascii="Times New Roman" w:hAnsi="Times New Roman"/>
          <w:sz w:val="24"/>
          <w:szCs w:val="24"/>
        </w:rPr>
        <w:t>cuando tendría que ser al revés”</w:t>
      </w:r>
      <w:r w:rsidRPr="004B09EE">
        <w:rPr>
          <w:rFonts w:ascii="Times New Roman" w:hAnsi="Times New Roman"/>
          <w:sz w:val="24"/>
          <w:szCs w:val="24"/>
        </w:rPr>
        <w:t>, concluye.</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Los jóvenes emancipados también regresan a casa de sus padres</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La pauta de emancipación de los jóvenes españoles siempre ha discurrido alejada a la del resto de países europeos, y con la crisis esta tendencia se ha distanciado aún más, segú</w:t>
      </w:r>
      <w:r>
        <w:rPr>
          <w:rFonts w:ascii="Times New Roman" w:hAnsi="Times New Roman"/>
          <w:sz w:val="24"/>
          <w:szCs w:val="24"/>
        </w:rPr>
        <w:t>n un estudio de la Obra Social “La Caixa” sobre “</w:t>
      </w:r>
      <w:r w:rsidRPr="004B09EE">
        <w:rPr>
          <w:rFonts w:ascii="Times New Roman" w:hAnsi="Times New Roman"/>
          <w:sz w:val="24"/>
          <w:szCs w:val="24"/>
        </w:rPr>
        <w:t xml:space="preserve">La transición </w:t>
      </w:r>
      <w:r>
        <w:rPr>
          <w:rFonts w:ascii="Times New Roman" w:hAnsi="Times New Roman"/>
          <w:sz w:val="24"/>
          <w:szCs w:val="24"/>
        </w:rPr>
        <w:t>de los jóvenes a la edad adulta”</w:t>
      </w:r>
      <w:r w:rsidRPr="004B09EE">
        <w:rPr>
          <w:rFonts w:ascii="Times New Roman" w:hAnsi="Times New Roman"/>
          <w:sz w:val="24"/>
          <w:szCs w:val="24"/>
        </w:rPr>
        <w:t xml:space="preserve">. </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 xml:space="preserve">La edad media para salir del hogar familiar se sitúa en España en los 29 años, frente a otros países como Finlandia, donde la media es de 23 años. Los motivos para que se produzca también son distintos, ya que los españoles suelen asociar este cambio con la vida en pareja o la llegada de hijos. </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 xml:space="preserve">Este estudio también confirma el papel protagonista de las familias a la hora de evitar la exclusión social de sus miembros más jóvenes: cuando por causas como el desempleo o la precariedad laboral no pueden hacer frente al pago de hipotecas, se ven obligados a volver con los padres. </w:t>
      </w:r>
    </w:p>
    <w:p w:rsidR="004B09EE" w:rsidRP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 xml:space="preserve">Las cifras lo confirman. Si en 2007 el 44,8% de los jóvenes españoles entre 16 y 34 años </w:t>
      </w:r>
      <w:r>
        <w:rPr>
          <w:rFonts w:ascii="Times New Roman" w:hAnsi="Times New Roman"/>
          <w:sz w:val="24"/>
          <w:szCs w:val="24"/>
        </w:rPr>
        <w:t>vivían emancipados, en 2011 esta</w:t>
      </w:r>
      <w:r w:rsidRPr="004B09EE">
        <w:rPr>
          <w:rFonts w:ascii="Times New Roman" w:hAnsi="Times New Roman"/>
          <w:sz w:val="24"/>
          <w:szCs w:val="24"/>
        </w:rPr>
        <w:t xml:space="preserve"> cifra bajó al 44,1%. Asimismo, los hogares encabezados por jóvenes han pasado del 16,4% en el año 2008 al 14,5% en 2011. </w:t>
      </w:r>
    </w:p>
    <w:p w:rsidR="004B09EE" w:rsidRDefault="004B09EE" w:rsidP="00550638">
      <w:pPr>
        <w:spacing w:line="240" w:lineRule="auto"/>
        <w:jc w:val="both"/>
        <w:rPr>
          <w:rFonts w:ascii="Times New Roman" w:hAnsi="Times New Roman"/>
          <w:sz w:val="24"/>
          <w:szCs w:val="24"/>
        </w:rPr>
      </w:pPr>
      <w:r w:rsidRPr="004B09EE">
        <w:rPr>
          <w:rFonts w:ascii="Times New Roman" w:hAnsi="Times New Roman"/>
          <w:sz w:val="24"/>
          <w:szCs w:val="24"/>
        </w:rPr>
        <w:t>Tanto en el caso de los ancianos como en el de los jóvenes, la crisis económica parece poner a prueba la solidez y armonía de los lazos familiares en muchos hogares españoles, que tras años de bonanza en los que han llevado vidas separadas, deben volver a convivir bajo un mismo techo.</w:t>
      </w:r>
    </w:p>
    <w:p w:rsidR="005C4368" w:rsidRPr="005C4368" w:rsidRDefault="005C4368" w:rsidP="00550638">
      <w:pPr>
        <w:spacing w:line="240" w:lineRule="auto"/>
        <w:jc w:val="both"/>
        <w:rPr>
          <w:rFonts w:ascii="Times New Roman" w:hAnsi="Times New Roman"/>
          <w:sz w:val="24"/>
          <w:szCs w:val="24"/>
        </w:rPr>
      </w:pPr>
      <w:r w:rsidRPr="005C4368">
        <w:rPr>
          <w:rFonts w:ascii="Times New Roman" w:hAnsi="Times New Roman"/>
          <w:bCs/>
          <w:sz w:val="24"/>
          <w:szCs w:val="24"/>
          <w:u w:val="single"/>
        </w:rPr>
        <w:t>El ratio de afiliados a la Seguridad Social por cada pensionista está en 2,42 (el nivel más bajo desde 2002)</w:t>
      </w:r>
    </w:p>
    <w:p w:rsidR="004B09EE" w:rsidRPr="00194393" w:rsidRDefault="005C4368" w:rsidP="00550638">
      <w:pPr>
        <w:shd w:val="clear" w:color="auto" w:fill="FFFFFF"/>
        <w:spacing w:line="240" w:lineRule="auto"/>
        <w:jc w:val="both"/>
        <w:rPr>
          <w:rFonts w:ascii="Times New Roman" w:hAnsi="Times New Roman"/>
          <w:bCs/>
          <w:sz w:val="24"/>
          <w:szCs w:val="24"/>
        </w:rPr>
      </w:pPr>
      <w:r>
        <w:rPr>
          <w:rFonts w:ascii="Times New Roman" w:hAnsi="Times New Roman"/>
          <w:bCs/>
          <w:i/>
          <w:sz w:val="24"/>
          <w:szCs w:val="24"/>
        </w:rPr>
        <w:t>“</w:t>
      </w:r>
      <w:r w:rsidR="004B09EE" w:rsidRPr="005C4368">
        <w:rPr>
          <w:rFonts w:ascii="Times New Roman" w:hAnsi="Times New Roman"/>
          <w:bCs/>
          <w:i/>
          <w:sz w:val="24"/>
          <w:szCs w:val="24"/>
        </w:rPr>
        <w:t>Uno de los principales indicadores de la sostenibilidad del sistema de pensiones es su tasa de dependencia (afiliados a la Seguridad Social por cada pensionista). Esa ratio está en 2,42, el nivel más bajo desde 2002. Pero un cálculo estricto que relacione solo los cotizantes ocupados con el número de pensiones, en lugar de pensionistas, desploma la tasa al 1,9, lo que hace saltar todas las alarmas de los expertos</w:t>
      </w:r>
      <w:r>
        <w:rPr>
          <w:rFonts w:ascii="Times New Roman" w:hAnsi="Times New Roman"/>
          <w:bCs/>
          <w:i/>
          <w:sz w:val="24"/>
          <w:szCs w:val="24"/>
        </w:rPr>
        <w:t>”..</w:t>
      </w:r>
      <w:r w:rsidR="004B09EE" w:rsidRPr="005C4368">
        <w:rPr>
          <w:rFonts w:ascii="Times New Roman" w:hAnsi="Times New Roman"/>
          <w:bCs/>
          <w:i/>
          <w:sz w:val="24"/>
          <w:szCs w:val="24"/>
        </w:rPr>
        <w:t>.</w:t>
      </w:r>
      <w:r>
        <w:rPr>
          <w:rFonts w:ascii="Times New Roman" w:hAnsi="Times New Roman"/>
          <w:bCs/>
          <w:i/>
          <w:sz w:val="24"/>
          <w:szCs w:val="24"/>
        </w:rPr>
        <w:t xml:space="preserve"> </w:t>
      </w:r>
      <w:r w:rsidRPr="00194393">
        <w:rPr>
          <w:rFonts w:ascii="Times New Roman" w:hAnsi="Times New Roman"/>
          <w:bCs/>
          <w:sz w:val="24"/>
          <w:szCs w:val="24"/>
          <w:u w:val="single"/>
        </w:rPr>
        <w:t>España ya cuenta con menos de dos ocupados para pagar cada pensión</w:t>
      </w:r>
      <w:r>
        <w:rPr>
          <w:rFonts w:ascii="Times New Roman" w:hAnsi="Times New Roman"/>
          <w:bCs/>
          <w:sz w:val="24"/>
          <w:szCs w:val="24"/>
        </w:rPr>
        <w:t xml:space="preserve"> (Cinco Días - </w:t>
      </w:r>
      <w:r w:rsidRPr="00194393">
        <w:rPr>
          <w:rFonts w:ascii="Times New Roman" w:hAnsi="Times New Roman"/>
          <w:b/>
          <w:bCs/>
          <w:sz w:val="24"/>
          <w:szCs w:val="24"/>
        </w:rPr>
        <w:t>20/8/12</w:t>
      </w:r>
      <w:r>
        <w:rPr>
          <w:rFonts w:ascii="Times New Roman" w:hAnsi="Times New Roman"/>
          <w:bCs/>
          <w:sz w:val="24"/>
          <w:szCs w:val="24"/>
        </w:rPr>
        <w:t xml:space="preserve">) </w:t>
      </w:r>
    </w:p>
    <w:p w:rsidR="004B09EE" w:rsidRPr="005C4368" w:rsidRDefault="004B09EE" w:rsidP="00550638">
      <w:pPr>
        <w:shd w:val="clear" w:color="auto" w:fill="FFFFFF"/>
        <w:spacing w:line="240" w:lineRule="auto"/>
        <w:jc w:val="both"/>
        <w:rPr>
          <w:rFonts w:ascii="Times New Roman" w:hAnsi="Times New Roman"/>
          <w:bCs/>
          <w:sz w:val="24"/>
          <w:szCs w:val="24"/>
        </w:rPr>
      </w:pPr>
      <w:r w:rsidRPr="005C4368">
        <w:rPr>
          <w:rFonts w:ascii="Times New Roman" w:hAnsi="Times New Roman"/>
          <w:bCs/>
          <w:sz w:val="24"/>
          <w:szCs w:val="24"/>
        </w:rPr>
        <w:lastRenderedPageBreak/>
        <w:t>Cada día que pasa hay menos cotizantes para financiar las pensiones y más número de pensionistas y de prestaciones que pagar. Y esto es un grave problema. De hecho es la situación más preocupante a la que se puede enfrentar cualquier sistema de Seguridad Social de reparto -como es el español- en el que los ciudadanos en activo costean las prestaciones de los trabajadores que se jubilan y el resto de pensiones contributivas (incapacidad, viudedad y orfandad).</w:t>
      </w:r>
    </w:p>
    <w:p w:rsidR="004B09EE" w:rsidRPr="005C4368" w:rsidRDefault="004B09EE" w:rsidP="00550638">
      <w:pPr>
        <w:shd w:val="clear" w:color="auto" w:fill="FFFFFF"/>
        <w:spacing w:line="240" w:lineRule="auto"/>
        <w:jc w:val="both"/>
        <w:rPr>
          <w:rFonts w:ascii="Times New Roman" w:hAnsi="Times New Roman"/>
          <w:bCs/>
          <w:sz w:val="24"/>
          <w:szCs w:val="24"/>
        </w:rPr>
      </w:pPr>
      <w:r w:rsidRPr="005C4368">
        <w:rPr>
          <w:rFonts w:ascii="Times New Roman" w:hAnsi="Times New Roman"/>
          <w:bCs/>
          <w:sz w:val="24"/>
          <w:szCs w:val="24"/>
        </w:rPr>
        <w:t>Según la mayoría de los expertos un sistema de reparto está saneado financieramente y es sostenible en el tiempo cuando la tasa de dependencia arroja una cifra en el entorno de 2,5 cotizantes por cada pensionista; y se habla de condiciones óptimas de viabilidad financiera a partir de una tasa de 3. España llegó a tener 2,7 en 2007.</w:t>
      </w:r>
    </w:p>
    <w:p w:rsidR="004B09EE" w:rsidRPr="005C4368" w:rsidRDefault="004B09EE" w:rsidP="00550638">
      <w:pPr>
        <w:shd w:val="clear" w:color="auto" w:fill="FFFFFF"/>
        <w:spacing w:line="240" w:lineRule="auto"/>
        <w:jc w:val="both"/>
        <w:rPr>
          <w:rFonts w:ascii="Times New Roman" w:hAnsi="Times New Roman"/>
          <w:bCs/>
          <w:sz w:val="24"/>
          <w:szCs w:val="24"/>
        </w:rPr>
      </w:pPr>
      <w:r w:rsidRPr="005C4368">
        <w:rPr>
          <w:rFonts w:ascii="Times New Roman" w:hAnsi="Times New Roman"/>
          <w:bCs/>
          <w:sz w:val="24"/>
          <w:szCs w:val="24"/>
        </w:rPr>
        <w:t>En España, la cifra oficial que baraja el Ministerio de Empleo está en el 2,4. Si bien en esta ratio se contabilizan como cotizantes los 2,7 millones de desempleados por los que el Estado cotiza durante el tiempo que cobran prestación. Sin ellos, la tasa del sistema español caería al 2, rozando el límite de sostenibilidad.</w:t>
      </w:r>
    </w:p>
    <w:p w:rsidR="004B09EE" w:rsidRPr="005C4368" w:rsidRDefault="004B09EE" w:rsidP="00550638">
      <w:pPr>
        <w:shd w:val="clear" w:color="auto" w:fill="FFFFFF"/>
        <w:spacing w:line="240" w:lineRule="auto"/>
        <w:jc w:val="both"/>
        <w:rPr>
          <w:rFonts w:ascii="Times New Roman" w:hAnsi="Times New Roman"/>
          <w:bCs/>
          <w:sz w:val="24"/>
          <w:szCs w:val="24"/>
        </w:rPr>
      </w:pPr>
      <w:r w:rsidRPr="005C4368">
        <w:rPr>
          <w:rFonts w:ascii="Times New Roman" w:hAnsi="Times New Roman"/>
          <w:bCs/>
          <w:sz w:val="24"/>
          <w:szCs w:val="24"/>
        </w:rPr>
        <w:t>Es más, si esta tasa se elabora poniendo en relación el número de cotizantes con el número de pensiones que se abonan (no de pensionistas) la situación es aún más preocupante, porque cerca de un millón de beneficiarios cobran más de una pensión. En julio había 17.031.738 afiliados cotizando y se abonaron 8.918.804 pensiones. Así, España ya cuenta con menos de dos cotizantes (1,9) para pagar cada pensión existente.</w:t>
      </w:r>
    </w:p>
    <w:p w:rsidR="004B09EE" w:rsidRPr="005C4368" w:rsidRDefault="004B09EE" w:rsidP="00550638">
      <w:pPr>
        <w:shd w:val="clear" w:color="auto" w:fill="FFFFFF"/>
        <w:spacing w:line="240" w:lineRule="auto"/>
        <w:jc w:val="both"/>
        <w:rPr>
          <w:rFonts w:ascii="Times New Roman" w:hAnsi="Times New Roman"/>
          <w:bCs/>
          <w:sz w:val="24"/>
          <w:szCs w:val="24"/>
        </w:rPr>
      </w:pPr>
      <w:r w:rsidRPr="005C4368">
        <w:rPr>
          <w:rFonts w:ascii="Times New Roman" w:hAnsi="Times New Roman"/>
          <w:bCs/>
          <w:sz w:val="24"/>
          <w:szCs w:val="24"/>
        </w:rPr>
        <w:t xml:space="preserve">Pero el hecho de que el sistema español de Seguridad Social cuente con lo que se denomina caja única (el Estado recauda las cotizaciones y paga las pensiones por igual independientemente de donde se resida), hace que las diferencias territoriales de esta tasa de dependencia sean solo indicativas y no afecten a la financiación del sistema. </w:t>
      </w:r>
    </w:p>
    <w:p w:rsidR="004B09EE" w:rsidRPr="005C4368" w:rsidRDefault="004B09EE" w:rsidP="00550638">
      <w:pPr>
        <w:shd w:val="clear" w:color="auto" w:fill="FFFFFF"/>
        <w:spacing w:line="240" w:lineRule="auto"/>
        <w:jc w:val="both"/>
        <w:rPr>
          <w:rFonts w:ascii="Times New Roman" w:hAnsi="Times New Roman"/>
          <w:bCs/>
          <w:sz w:val="24"/>
          <w:szCs w:val="24"/>
        </w:rPr>
      </w:pPr>
      <w:r w:rsidRPr="005C4368">
        <w:rPr>
          <w:rFonts w:ascii="Times New Roman" w:hAnsi="Times New Roman"/>
          <w:bCs/>
          <w:sz w:val="24"/>
          <w:szCs w:val="24"/>
        </w:rPr>
        <w:t>De no existir la caja única, la financiación de las pensiones en algunas comunidades como Asturias o Galicia, con tasas de dependencia cercanas al 1, sería ya inviable. Incluso, la provincia de Orense atravesaría una situación de absoluta quiebra técnica porque abona más pensiones que los cotizantes que tiene (con una tasa de dependencia del 0,93).</w:t>
      </w:r>
    </w:p>
    <w:p w:rsidR="004B09EE" w:rsidRDefault="004B09EE" w:rsidP="00550638">
      <w:pPr>
        <w:shd w:val="clear" w:color="auto" w:fill="FFFFFF"/>
        <w:spacing w:line="240" w:lineRule="auto"/>
        <w:jc w:val="both"/>
        <w:rPr>
          <w:rFonts w:ascii="Times New Roman" w:hAnsi="Times New Roman"/>
          <w:bCs/>
          <w:sz w:val="24"/>
          <w:szCs w:val="24"/>
        </w:rPr>
      </w:pPr>
      <w:r w:rsidRPr="005C4368">
        <w:rPr>
          <w:rFonts w:ascii="Times New Roman" w:hAnsi="Times New Roman"/>
          <w:bCs/>
          <w:sz w:val="24"/>
          <w:szCs w:val="24"/>
        </w:rPr>
        <w:t>Esta situación de desigualdad tiene una explicación que, por otra parte, es insalvable: muchos trabajadores que en activo viven en comunidades más dinámicas económicamente como Cataluña o Madrid, cuando se jubilan vuelven a sus provincias de origen en otras comunidades donde figuran como pensionistas. De ahí la importancia de mantener la caja única.</w:t>
      </w:r>
    </w:p>
    <w:p w:rsidR="0022080F" w:rsidRPr="0022080F" w:rsidRDefault="0022080F" w:rsidP="00550638">
      <w:pPr>
        <w:shd w:val="clear" w:color="auto" w:fill="FFFFFF"/>
        <w:spacing w:line="240" w:lineRule="auto"/>
        <w:jc w:val="both"/>
        <w:rPr>
          <w:rFonts w:ascii="Times New Roman" w:hAnsi="Times New Roman"/>
          <w:bCs/>
          <w:sz w:val="24"/>
          <w:szCs w:val="24"/>
          <w:u w:val="single"/>
        </w:rPr>
      </w:pPr>
      <w:r w:rsidRPr="0022080F">
        <w:rPr>
          <w:rFonts w:ascii="Times New Roman" w:hAnsi="Times New Roman"/>
          <w:bCs/>
          <w:sz w:val="24"/>
          <w:szCs w:val="24"/>
          <w:u w:val="single"/>
        </w:rPr>
        <w:t>Pérdida de confianza en el sistema de pensiones</w:t>
      </w:r>
      <w:r>
        <w:rPr>
          <w:rFonts w:ascii="Times New Roman" w:hAnsi="Times New Roman"/>
          <w:bCs/>
          <w:sz w:val="24"/>
          <w:szCs w:val="24"/>
          <w:u w:val="single"/>
        </w:rPr>
        <w:t xml:space="preserve"> (entre la inviabilidad y la quiebra)</w:t>
      </w:r>
    </w:p>
    <w:p w:rsidR="0022080F" w:rsidRPr="0022080F" w:rsidRDefault="0022080F" w:rsidP="00550638">
      <w:pPr>
        <w:spacing w:line="240" w:lineRule="auto"/>
        <w:jc w:val="both"/>
        <w:rPr>
          <w:rFonts w:ascii="Times New Roman" w:hAnsi="Times New Roman"/>
          <w:i/>
          <w:sz w:val="24"/>
          <w:szCs w:val="24"/>
        </w:rPr>
      </w:pPr>
      <w:r>
        <w:rPr>
          <w:rFonts w:ascii="Times New Roman" w:hAnsi="Times New Roman"/>
          <w:i/>
          <w:sz w:val="24"/>
          <w:szCs w:val="24"/>
        </w:rPr>
        <w:t>“</w:t>
      </w:r>
      <w:r w:rsidRPr="0022080F">
        <w:rPr>
          <w:rFonts w:ascii="Times New Roman" w:hAnsi="Times New Roman"/>
          <w:i/>
          <w:sz w:val="24"/>
          <w:szCs w:val="24"/>
        </w:rPr>
        <w:t>Sólo el 38% de los españoles cree en la viabilidad del sistema de pensiones, mientras que el resto se muestra pesimista, hasta el extremo de que un 6,6% cree que las probabilidades de que la Seguridad Social</w:t>
      </w:r>
      <w:r>
        <w:rPr>
          <w:rFonts w:ascii="Times New Roman" w:hAnsi="Times New Roman"/>
          <w:i/>
          <w:sz w:val="24"/>
          <w:szCs w:val="24"/>
        </w:rPr>
        <w:t xml:space="preserve"> quiebre</w:t>
      </w:r>
      <w:r w:rsidRPr="0022080F">
        <w:rPr>
          <w:rFonts w:ascii="Times New Roman" w:hAnsi="Times New Roman"/>
          <w:i/>
          <w:sz w:val="24"/>
          <w:szCs w:val="24"/>
        </w:rPr>
        <w:t xml:space="preserve"> son altas</w:t>
      </w:r>
      <w:r>
        <w:rPr>
          <w:rFonts w:ascii="Times New Roman" w:hAnsi="Times New Roman"/>
          <w:i/>
          <w:sz w:val="24"/>
          <w:szCs w:val="24"/>
        </w:rPr>
        <w:t>”..</w:t>
      </w:r>
      <w:r w:rsidRPr="0022080F">
        <w:rPr>
          <w:rFonts w:ascii="Times New Roman" w:hAnsi="Times New Roman"/>
          <w:i/>
          <w:sz w:val="24"/>
          <w:szCs w:val="24"/>
        </w:rPr>
        <w:t>.</w:t>
      </w:r>
      <w:r>
        <w:rPr>
          <w:rFonts w:ascii="Times New Roman" w:hAnsi="Times New Roman"/>
          <w:i/>
          <w:sz w:val="24"/>
          <w:szCs w:val="24"/>
        </w:rPr>
        <w:t xml:space="preserve"> </w:t>
      </w:r>
      <w:r w:rsidRPr="00434E0D">
        <w:rPr>
          <w:rFonts w:ascii="Times New Roman" w:hAnsi="Times New Roman"/>
          <w:sz w:val="24"/>
          <w:szCs w:val="24"/>
          <w:u w:val="single"/>
        </w:rPr>
        <w:t>Sólo el 38% de los españoles cree en el sistema de pensiones</w:t>
      </w:r>
      <w:r>
        <w:rPr>
          <w:rFonts w:ascii="Times New Roman" w:hAnsi="Times New Roman"/>
          <w:sz w:val="24"/>
          <w:szCs w:val="24"/>
        </w:rPr>
        <w:t xml:space="preserve"> (Negocios.com - </w:t>
      </w:r>
      <w:r w:rsidRPr="00434E0D">
        <w:rPr>
          <w:rFonts w:ascii="Times New Roman" w:hAnsi="Times New Roman"/>
          <w:b/>
          <w:sz w:val="24"/>
          <w:szCs w:val="24"/>
        </w:rPr>
        <w:t>3/12/12</w:t>
      </w:r>
      <w:r>
        <w:rPr>
          <w:rFonts w:ascii="Times New Roman" w:hAnsi="Times New Roman"/>
          <w:sz w:val="24"/>
          <w:szCs w:val="24"/>
        </w:rPr>
        <w:t>)</w:t>
      </w:r>
    </w:p>
    <w:p w:rsidR="0022080F" w:rsidRPr="00434E0D" w:rsidRDefault="0022080F" w:rsidP="00550638">
      <w:pPr>
        <w:spacing w:line="240" w:lineRule="auto"/>
        <w:jc w:val="both"/>
        <w:rPr>
          <w:rFonts w:ascii="Times New Roman" w:hAnsi="Times New Roman"/>
          <w:sz w:val="24"/>
          <w:szCs w:val="24"/>
        </w:rPr>
      </w:pPr>
      <w:r w:rsidRPr="00434E0D">
        <w:rPr>
          <w:rFonts w:ascii="Times New Roman" w:hAnsi="Times New Roman"/>
          <w:sz w:val="24"/>
          <w:szCs w:val="24"/>
        </w:rPr>
        <w:t>Así se refleja en el Observatorio Caser correspondiente a 2012, en el que se señala que, si bien sólo el 39% de los españoles sabe lo que es el Fondo de Reserva de la Seguridad Social, los que sí lo conocen muestran su preocupación ante su uso. En concreto, el 42% de los que lo conocen califican como grave esta opción, para el 54% es preo</w:t>
      </w:r>
      <w:r>
        <w:rPr>
          <w:rFonts w:ascii="Times New Roman" w:hAnsi="Times New Roman"/>
          <w:sz w:val="24"/>
          <w:szCs w:val="24"/>
        </w:rPr>
        <w:t>cupante y para el 4% es normal.</w:t>
      </w:r>
      <w:r w:rsidRPr="00434E0D">
        <w:rPr>
          <w:rFonts w:ascii="Times New Roman" w:hAnsi="Times New Roman"/>
          <w:sz w:val="24"/>
          <w:szCs w:val="24"/>
        </w:rPr>
        <w:t xml:space="preserve"> </w:t>
      </w:r>
    </w:p>
    <w:p w:rsidR="0022080F" w:rsidRPr="00434E0D" w:rsidRDefault="0022080F" w:rsidP="00550638">
      <w:pPr>
        <w:spacing w:line="240" w:lineRule="auto"/>
        <w:jc w:val="both"/>
        <w:rPr>
          <w:rFonts w:ascii="Times New Roman" w:hAnsi="Times New Roman"/>
          <w:sz w:val="24"/>
          <w:szCs w:val="24"/>
        </w:rPr>
      </w:pPr>
      <w:r w:rsidRPr="00434E0D">
        <w:rPr>
          <w:rFonts w:ascii="Times New Roman" w:hAnsi="Times New Roman"/>
          <w:sz w:val="24"/>
          <w:szCs w:val="24"/>
        </w:rPr>
        <w:lastRenderedPageBreak/>
        <w:t>En este contexto, la aseguradora indica que la mayoría de los encuestados, el 57%, cree que la Seguridad Social reducirá las pensiones pero no desaparecerá, cosa que sí estima un 17%, valor similar al de 2011 y dos puntos más que en 2010. Además, el 47%, un porcentaje superior al del año pasado que fue del 43%, piensa que las pensiones son escasas</w:t>
      </w:r>
      <w:r>
        <w:rPr>
          <w:rFonts w:ascii="Times New Roman" w:hAnsi="Times New Roman"/>
          <w:sz w:val="24"/>
          <w:szCs w:val="24"/>
        </w:rPr>
        <w:t xml:space="preserve"> y con ellas pasaría necesidad.</w:t>
      </w:r>
      <w:r w:rsidRPr="00434E0D">
        <w:rPr>
          <w:rFonts w:ascii="Times New Roman" w:hAnsi="Times New Roman"/>
          <w:sz w:val="24"/>
          <w:szCs w:val="24"/>
        </w:rPr>
        <w:t xml:space="preserve"> </w:t>
      </w:r>
    </w:p>
    <w:p w:rsidR="0022080F" w:rsidRPr="0022080F" w:rsidRDefault="0022080F" w:rsidP="00550638">
      <w:pPr>
        <w:spacing w:line="240" w:lineRule="auto"/>
        <w:jc w:val="both"/>
        <w:rPr>
          <w:rFonts w:ascii="Times New Roman" w:hAnsi="Times New Roman"/>
          <w:sz w:val="24"/>
          <w:szCs w:val="24"/>
        </w:rPr>
      </w:pPr>
      <w:r w:rsidRPr="0022080F">
        <w:rPr>
          <w:rFonts w:ascii="Times New Roman" w:hAnsi="Times New Roman"/>
          <w:sz w:val="24"/>
          <w:szCs w:val="24"/>
        </w:rPr>
        <w:t>Por otro lado, el Observatorio explica que el ahorro privado de los españoles para su jubilación ha caído este año dos puntos respecto a 2011 y cinco desde 2008, coincidiendo con el inicio de la crisis, de tal forma que ahora el porcentaje de españoles que no dedica parte de su ahorro a una pensión futura alcanza el 66%, frente al 61% que no lo hacía en 2008.</w:t>
      </w:r>
    </w:p>
    <w:p w:rsidR="0022080F" w:rsidRPr="0022080F" w:rsidRDefault="0022080F" w:rsidP="00550638">
      <w:pPr>
        <w:spacing w:line="240" w:lineRule="auto"/>
        <w:jc w:val="both"/>
        <w:rPr>
          <w:rFonts w:ascii="Times New Roman" w:hAnsi="Times New Roman"/>
          <w:sz w:val="24"/>
          <w:szCs w:val="24"/>
        </w:rPr>
      </w:pPr>
      <w:r w:rsidRPr="0022080F">
        <w:rPr>
          <w:rFonts w:ascii="Times New Roman" w:hAnsi="Times New Roman"/>
          <w:sz w:val="24"/>
          <w:szCs w:val="24"/>
        </w:rPr>
        <w:t xml:space="preserve">El estudio pone de manifiesto que la agudización de la crisis en 2011 y los pronósticos que auguran un estancamiento de la economía, al menos hasta 2014, han repercutido otra vez en este tipo de ahorro, y el porcentaje de españoles que no ahorra ha seguido aumentando. No obstante, del 66% de españoles que declaran que no están ahorrando para su jubilación, el 32% reconoce que sí lo hizo en el pasado. Además, la mitad de ellos asegura no haber gastado ese ahorro. </w:t>
      </w:r>
    </w:p>
    <w:p w:rsidR="0022080F" w:rsidRPr="0022080F" w:rsidRDefault="0022080F" w:rsidP="00550638">
      <w:pPr>
        <w:spacing w:line="240" w:lineRule="auto"/>
        <w:jc w:val="both"/>
        <w:rPr>
          <w:rFonts w:ascii="Times New Roman" w:hAnsi="Times New Roman"/>
          <w:sz w:val="24"/>
          <w:szCs w:val="24"/>
        </w:rPr>
      </w:pPr>
      <w:r w:rsidRPr="0022080F">
        <w:rPr>
          <w:rFonts w:ascii="Times New Roman" w:hAnsi="Times New Roman"/>
          <w:sz w:val="24"/>
          <w:szCs w:val="24"/>
        </w:rPr>
        <w:t>Así, el estudio de Caser llega a la conclusión de que el dinero destinado a la jubilación no es uno de los primeros que se reduce cuando una familia entra en dificultades. En cuanto a las causas aludidas por los españoles para no ahorrar, está como novedad este año el retraso de la edad de jubilación a los 67 años, que ha tenido un doble efecto.</w:t>
      </w:r>
    </w:p>
    <w:p w:rsidR="0022080F" w:rsidRPr="0022080F" w:rsidRDefault="0022080F" w:rsidP="00550638">
      <w:pPr>
        <w:spacing w:line="240" w:lineRule="auto"/>
        <w:jc w:val="both"/>
        <w:rPr>
          <w:rFonts w:ascii="Times New Roman" w:hAnsi="Times New Roman"/>
          <w:sz w:val="24"/>
          <w:szCs w:val="24"/>
        </w:rPr>
      </w:pPr>
      <w:r w:rsidRPr="0022080F">
        <w:rPr>
          <w:rFonts w:ascii="Times New Roman" w:hAnsi="Times New Roman"/>
          <w:sz w:val="24"/>
          <w:szCs w:val="24"/>
        </w:rPr>
        <w:t>Por una parte, de 2010 a 2012 se ha incrementado en diez puntos el número de españoles que se consideran demasiado jóvenes para ahorrar, pasando del 36% al 46%, pero a su vez ha disminuido el porcentaje de personas que pensaban que eran demasiado mayores para empezar a ahorrar, que ha bajado del 23% al 14%.</w:t>
      </w:r>
    </w:p>
    <w:p w:rsidR="0022080F" w:rsidRPr="0022080F" w:rsidRDefault="0022080F" w:rsidP="00550638">
      <w:pPr>
        <w:spacing w:line="240" w:lineRule="auto"/>
        <w:jc w:val="both"/>
        <w:rPr>
          <w:rFonts w:ascii="Times New Roman" w:hAnsi="Times New Roman"/>
          <w:sz w:val="24"/>
          <w:szCs w:val="24"/>
        </w:rPr>
      </w:pPr>
      <w:r w:rsidRPr="0022080F">
        <w:rPr>
          <w:rFonts w:ascii="Times New Roman" w:hAnsi="Times New Roman"/>
          <w:sz w:val="24"/>
          <w:szCs w:val="24"/>
        </w:rPr>
        <w:t>Los 65, edad idónea para jubilarse</w:t>
      </w:r>
    </w:p>
    <w:p w:rsidR="0022080F" w:rsidRPr="0022080F" w:rsidRDefault="0022080F" w:rsidP="00550638">
      <w:pPr>
        <w:spacing w:line="240" w:lineRule="auto"/>
        <w:jc w:val="both"/>
        <w:rPr>
          <w:rFonts w:ascii="Times New Roman" w:hAnsi="Times New Roman"/>
          <w:sz w:val="24"/>
          <w:szCs w:val="24"/>
        </w:rPr>
      </w:pPr>
      <w:r w:rsidRPr="0022080F">
        <w:rPr>
          <w:rFonts w:ascii="Times New Roman" w:hAnsi="Times New Roman"/>
          <w:sz w:val="24"/>
          <w:szCs w:val="24"/>
        </w:rPr>
        <w:t xml:space="preserve">Paralelamente, el Observatorio de Caser ha comenzado a percibir cómo los españoles van admitiendo como idónea la edad legal de jubilación a los 67 años. En cualquier caso, todavía más de la mitad de la población, el 52%, sigue pensando que la edad idónea para establecer la edad legal de jubilación se sitúa en los 65 años y un representativo 19% la fijaría en los 60, especialmente en el caso de profesiones duras. </w:t>
      </w:r>
    </w:p>
    <w:p w:rsidR="0022080F" w:rsidRPr="0022080F" w:rsidRDefault="0022080F" w:rsidP="00550638">
      <w:pPr>
        <w:spacing w:line="240" w:lineRule="auto"/>
        <w:jc w:val="both"/>
        <w:rPr>
          <w:rFonts w:ascii="Times New Roman" w:hAnsi="Times New Roman"/>
          <w:sz w:val="24"/>
          <w:szCs w:val="24"/>
        </w:rPr>
      </w:pPr>
      <w:r w:rsidRPr="0022080F">
        <w:rPr>
          <w:rFonts w:ascii="Times New Roman" w:hAnsi="Times New Roman"/>
          <w:sz w:val="24"/>
          <w:szCs w:val="24"/>
        </w:rPr>
        <w:t>Entre las razones que hacen imposible el ahorro, las de índole laboral vuelven a aumentar pasando del 55% al 70%, coincidiendo con el aumento de la tasa de paro, que alcanza ya al 25% de la población activa.</w:t>
      </w:r>
    </w:p>
    <w:p w:rsidR="0022080F" w:rsidRPr="0022080F" w:rsidRDefault="0022080F" w:rsidP="00550638">
      <w:pPr>
        <w:spacing w:line="240" w:lineRule="auto"/>
        <w:jc w:val="both"/>
        <w:rPr>
          <w:rFonts w:ascii="Times New Roman" w:hAnsi="Times New Roman"/>
          <w:sz w:val="24"/>
          <w:szCs w:val="24"/>
        </w:rPr>
      </w:pPr>
      <w:r w:rsidRPr="0022080F">
        <w:rPr>
          <w:rFonts w:ascii="Times New Roman" w:hAnsi="Times New Roman"/>
          <w:sz w:val="24"/>
          <w:szCs w:val="24"/>
        </w:rPr>
        <w:t xml:space="preserve">En cuanto a las previsiones que tienen los españoles de ahorrar para la jubilación en el futuro, el 79% manifiesta que querría hacerlo, en línea con el dato de 2011, pero sólo el 58% considera que le será posible. La edad media prevista para hacerlo se sitúa en 44,5 años y la cuantía media anual estimada asciende a 2.451 euros. </w:t>
      </w:r>
    </w:p>
    <w:p w:rsidR="0022080F" w:rsidRDefault="0022080F" w:rsidP="00550638">
      <w:pPr>
        <w:spacing w:line="240" w:lineRule="auto"/>
        <w:jc w:val="both"/>
        <w:rPr>
          <w:rFonts w:ascii="Times New Roman" w:hAnsi="Times New Roman"/>
          <w:sz w:val="24"/>
          <w:szCs w:val="24"/>
        </w:rPr>
      </w:pPr>
      <w:r w:rsidRPr="0022080F">
        <w:rPr>
          <w:rFonts w:ascii="Times New Roman" w:hAnsi="Times New Roman"/>
          <w:sz w:val="24"/>
          <w:szCs w:val="24"/>
        </w:rPr>
        <w:t>Sin embargo, el 33% de los ahorradores considera que dicho ahorro será insuficiente para cubrir las necesidades que tenga cuando se jubile. El 31% lo ve equilibrado, un 24% lo califica de suficiente, y sólo un 7% lo ve muy insuficiente.</w:t>
      </w:r>
    </w:p>
    <w:p w:rsidR="0026027D" w:rsidRDefault="0026027D" w:rsidP="00550638">
      <w:pPr>
        <w:spacing w:after="0" w:line="240" w:lineRule="auto"/>
        <w:jc w:val="both"/>
        <w:rPr>
          <w:rFonts w:ascii="Times New Roman" w:eastAsia="Times New Roman" w:hAnsi="Times New Roman"/>
          <w:sz w:val="24"/>
          <w:szCs w:val="24"/>
          <w:u w:val="single"/>
          <w:lang w:eastAsia="es-ES"/>
        </w:rPr>
      </w:pPr>
      <w:r w:rsidRPr="0026027D">
        <w:rPr>
          <w:rFonts w:ascii="Times New Roman" w:eastAsia="Times New Roman" w:hAnsi="Times New Roman"/>
          <w:sz w:val="24"/>
          <w:szCs w:val="24"/>
          <w:u w:val="single"/>
          <w:lang w:eastAsia="es-ES"/>
        </w:rPr>
        <w:t>El Estado gasta todos los meses más de 10.100 millones de euros en pagar las pensiones y el paro, que crecen al mismo ritmo que caen los afiliados a l</w:t>
      </w:r>
      <w:r>
        <w:rPr>
          <w:rFonts w:ascii="Times New Roman" w:eastAsia="Times New Roman" w:hAnsi="Times New Roman"/>
          <w:sz w:val="24"/>
          <w:szCs w:val="24"/>
          <w:u w:val="single"/>
          <w:lang w:eastAsia="es-ES"/>
        </w:rPr>
        <w:t>a Seguridad Social</w:t>
      </w:r>
    </w:p>
    <w:p w:rsidR="0026027D" w:rsidRPr="0026027D" w:rsidRDefault="0026027D" w:rsidP="00550638">
      <w:pPr>
        <w:spacing w:after="0" w:line="240" w:lineRule="auto"/>
        <w:jc w:val="both"/>
        <w:rPr>
          <w:rFonts w:ascii="Times New Roman" w:eastAsia="Times New Roman" w:hAnsi="Times New Roman"/>
          <w:sz w:val="24"/>
          <w:szCs w:val="24"/>
          <w:u w:val="single"/>
          <w:lang w:eastAsia="es-ES"/>
        </w:rPr>
      </w:pPr>
    </w:p>
    <w:p w:rsidR="0026027D" w:rsidRDefault="0026027D"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 </w:t>
      </w:r>
      <w:r w:rsidRPr="00880174">
        <w:rPr>
          <w:rFonts w:ascii="Times New Roman" w:eastAsia="Times New Roman" w:hAnsi="Times New Roman"/>
          <w:sz w:val="24"/>
          <w:szCs w:val="24"/>
          <w:u w:val="single"/>
          <w:lang w:eastAsia="es-ES"/>
        </w:rPr>
        <w:t>El sistema, al borde del colapso - Sólo hay 16,5 millones de cotizantes para 13,79 de parados y pensionistas</w:t>
      </w:r>
      <w:r>
        <w:rPr>
          <w:rFonts w:ascii="Times New Roman" w:eastAsia="Times New Roman" w:hAnsi="Times New Roman"/>
          <w:sz w:val="24"/>
          <w:szCs w:val="24"/>
          <w:lang w:eastAsia="es-ES"/>
        </w:rPr>
        <w:t xml:space="preserve"> (Negocios.com - </w:t>
      </w:r>
      <w:r w:rsidRPr="00880174">
        <w:rPr>
          <w:rFonts w:ascii="Times New Roman" w:eastAsia="Times New Roman" w:hAnsi="Times New Roman"/>
          <w:b/>
          <w:sz w:val="24"/>
          <w:szCs w:val="24"/>
          <w:lang w:eastAsia="es-ES"/>
        </w:rPr>
        <w:t>5/12/12</w:t>
      </w:r>
      <w:r>
        <w:rPr>
          <w:rFonts w:ascii="Times New Roman" w:eastAsia="Times New Roman" w:hAnsi="Times New Roman"/>
          <w:sz w:val="24"/>
          <w:szCs w:val="24"/>
          <w:lang w:eastAsia="es-ES"/>
        </w:rPr>
        <w:t>)</w:t>
      </w:r>
    </w:p>
    <w:p w:rsidR="0026027D" w:rsidRDefault="0026027D" w:rsidP="00550638">
      <w:pPr>
        <w:spacing w:after="0" w:line="240" w:lineRule="auto"/>
        <w:jc w:val="both"/>
        <w:rPr>
          <w:rFonts w:ascii="Times New Roman" w:eastAsia="Times New Roman" w:hAnsi="Times New Roman"/>
          <w:sz w:val="24"/>
          <w:szCs w:val="24"/>
          <w:lang w:eastAsia="es-ES"/>
        </w:rPr>
      </w:pPr>
    </w:p>
    <w:p w:rsidR="0026027D" w:rsidRDefault="0026027D"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 xml:space="preserve">(Por </w:t>
      </w:r>
      <w:r w:rsidRPr="00880174">
        <w:rPr>
          <w:rFonts w:ascii="Times New Roman" w:eastAsia="Times New Roman" w:hAnsi="Times New Roman"/>
          <w:sz w:val="24"/>
          <w:szCs w:val="24"/>
          <w:lang w:eastAsia="es-ES"/>
        </w:rPr>
        <w:t>F</w:t>
      </w:r>
      <w:r>
        <w:rPr>
          <w:rFonts w:ascii="Times New Roman" w:eastAsia="Times New Roman" w:hAnsi="Times New Roman"/>
          <w:sz w:val="24"/>
          <w:szCs w:val="24"/>
          <w:lang w:eastAsia="es-ES"/>
        </w:rPr>
        <w:t>rancisco Perarnau)                                                                   Lectura recomendada</w:t>
      </w:r>
    </w:p>
    <w:p w:rsidR="0026027D" w:rsidRPr="00880174" w:rsidRDefault="0026027D" w:rsidP="00550638">
      <w:pPr>
        <w:spacing w:after="0" w:line="240" w:lineRule="auto"/>
        <w:jc w:val="both"/>
        <w:rPr>
          <w:rFonts w:ascii="Times New Roman" w:eastAsia="Times New Roman" w:hAnsi="Times New Roman"/>
          <w:sz w:val="24"/>
          <w:szCs w:val="24"/>
          <w:lang w:eastAsia="es-ES"/>
        </w:rPr>
      </w:pPr>
    </w:p>
    <w:p w:rsidR="0026027D" w:rsidRPr="001A6FD0" w:rsidRDefault="0026027D" w:rsidP="00550638">
      <w:pPr>
        <w:spacing w:after="0" w:line="240" w:lineRule="auto"/>
        <w:jc w:val="both"/>
        <w:rPr>
          <w:rFonts w:ascii="Times New Roman" w:eastAsia="Times New Roman" w:hAnsi="Times New Roman"/>
          <w:sz w:val="24"/>
          <w:szCs w:val="24"/>
          <w:u w:val="single"/>
          <w:lang w:eastAsia="es-ES"/>
        </w:rPr>
      </w:pPr>
      <w:r w:rsidRPr="00880174">
        <w:rPr>
          <w:rFonts w:ascii="Times New Roman" w:eastAsia="Times New Roman" w:hAnsi="Times New Roman"/>
          <w:sz w:val="24"/>
          <w:szCs w:val="24"/>
          <w:lang w:eastAsia="es-ES"/>
        </w:rPr>
        <w:t>La economía española dibuja un escenario muy negro. La recesión económica está en su peor momento, tal y como ha reconocido el ministro De Guindo</w:t>
      </w:r>
      <w:r>
        <w:rPr>
          <w:rFonts w:ascii="Times New Roman" w:eastAsia="Times New Roman" w:hAnsi="Times New Roman"/>
          <w:sz w:val="24"/>
          <w:szCs w:val="24"/>
          <w:lang w:eastAsia="es-ES"/>
        </w:rPr>
        <w:t>s, y los organismos tantos naci</w:t>
      </w:r>
      <w:r w:rsidRPr="00880174">
        <w:rPr>
          <w:rFonts w:ascii="Times New Roman" w:eastAsia="Times New Roman" w:hAnsi="Times New Roman"/>
          <w:sz w:val="24"/>
          <w:szCs w:val="24"/>
          <w:lang w:eastAsia="es-ES"/>
        </w:rPr>
        <w:t xml:space="preserve">onales como internacionales, privados o públicos, coinciden en señalar que </w:t>
      </w:r>
      <w:r w:rsidRPr="001A6FD0">
        <w:rPr>
          <w:rFonts w:ascii="Times New Roman" w:eastAsia="Times New Roman" w:hAnsi="Times New Roman"/>
          <w:sz w:val="24"/>
          <w:szCs w:val="24"/>
          <w:u w:val="single"/>
          <w:lang w:eastAsia="es-ES"/>
        </w:rPr>
        <w:t>la economías española no saldrá de la recesión hasta 2014, pero que ni siquiera ese año se recuperará el empleo, que, según algunos expertos tardará hasta 17 años en volver a niveles de antes de la crisis</w:t>
      </w:r>
      <w:r w:rsidRPr="00880174">
        <w:rPr>
          <w:rFonts w:ascii="Times New Roman" w:eastAsia="Times New Roman" w:hAnsi="Times New Roman"/>
          <w:sz w:val="24"/>
          <w:szCs w:val="24"/>
          <w:lang w:eastAsia="es-ES"/>
        </w:rPr>
        <w:t xml:space="preserve">, como ha asegurado un reciente informe </w:t>
      </w:r>
      <w:r w:rsidRPr="0059055C">
        <w:rPr>
          <w:rFonts w:ascii="Times New Roman" w:eastAsia="Times New Roman" w:hAnsi="Times New Roman"/>
          <w:sz w:val="24"/>
          <w:szCs w:val="24"/>
          <w:u w:val="single"/>
          <w:lang w:eastAsia="es-ES"/>
        </w:rPr>
        <w:t xml:space="preserve">ManpowerGroup </w:t>
      </w:r>
      <w:r>
        <w:rPr>
          <w:rFonts w:ascii="Times New Roman" w:eastAsia="Times New Roman" w:hAnsi="Times New Roman"/>
          <w:sz w:val="24"/>
          <w:szCs w:val="24"/>
          <w:lang w:eastAsia="es-ES"/>
        </w:rPr>
        <w:t xml:space="preserve">titulado </w:t>
      </w:r>
      <w:r w:rsidRPr="005A39C3">
        <w:rPr>
          <w:rFonts w:ascii="Times New Roman" w:eastAsia="Times New Roman" w:hAnsi="Times New Roman"/>
          <w:i/>
          <w:sz w:val="24"/>
          <w:szCs w:val="24"/>
          <w:lang w:eastAsia="es-ES"/>
        </w:rPr>
        <w:t>“El mercado de trabajo abril-septiembre 2012 y la vulnerabilidad de los hogares españoles”</w:t>
      </w:r>
      <w:r w:rsidRPr="00880174">
        <w:rPr>
          <w:rFonts w:ascii="Times New Roman" w:eastAsia="Times New Roman" w:hAnsi="Times New Roman"/>
          <w:sz w:val="24"/>
          <w:szCs w:val="24"/>
          <w:lang w:eastAsia="es-ES"/>
        </w:rPr>
        <w:t xml:space="preserve">, en el que </w:t>
      </w:r>
      <w:r>
        <w:rPr>
          <w:rFonts w:ascii="Times New Roman" w:eastAsia="Times New Roman" w:hAnsi="Times New Roman"/>
          <w:sz w:val="24"/>
          <w:szCs w:val="24"/>
          <w:u w:val="single"/>
          <w:lang w:eastAsia="es-ES"/>
        </w:rPr>
        <w:t>ha señalado que “firmaría”</w:t>
      </w:r>
      <w:r w:rsidRPr="001A6FD0">
        <w:rPr>
          <w:rFonts w:ascii="Times New Roman" w:eastAsia="Times New Roman" w:hAnsi="Times New Roman"/>
          <w:sz w:val="24"/>
          <w:szCs w:val="24"/>
          <w:u w:val="single"/>
          <w:lang w:eastAsia="es-ES"/>
        </w:rPr>
        <w:t xml:space="preserve"> para que la ocupación regresase en 2022 a los niveles de 2007.</w:t>
      </w:r>
    </w:p>
    <w:p w:rsidR="0026027D" w:rsidRPr="00880174" w:rsidRDefault="0026027D" w:rsidP="00550638">
      <w:pPr>
        <w:spacing w:after="0" w:line="240" w:lineRule="auto"/>
        <w:jc w:val="both"/>
        <w:rPr>
          <w:rFonts w:ascii="Times New Roman" w:eastAsia="Times New Roman" w:hAnsi="Times New Roman"/>
          <w:sz w:val="24"/>
          <w:szCs w:val="24"/>
          <w:lang w:eastAsia="es-ES"/>
        </w:rPr>
      </w:pPr>
      <w:r w:rsidRPr="00880174">
        <w:rPr>
          <w:rFonts w:ascii="Times New Roman" w:eastAsia="Times New Roman" w:hAnsi="Times New Roman"/>
          <w:sz w:val="24"/>
          <w:szCs w:val="24"/>
          <w:lang w:eastAsia="es-ES"/>
        </w:rPr>
        <w:t xml:space="preserve"> </w:t>
      </w:r>
    </w:p>
    <w:p w:rsidR="0026027D" w:rsidRPr="001A6FD0" w:rsidRDefault="0026027D" w:rsidP="00550638">
      <w:pPr>
        <w:spacing w:after="0" w:line="240" w:lineRule="auto"/>
        <w:jc w:val="both"/>
        <w:rPr>
          <w:rFonts w:ascii="Times New Roman" w:eastAsia="Times New Roman" w:hAnsi="Times New Roman"/>
          <w:sz w:val="24"/>
          <w:szCs w:val="24"/>
          <w:u w:val="single"/>
          <w:lang w:eastAsia="es-ES"/>
        </w:rPr>
      </w:pPr>
      <w:r w:rsidRPr="001A6FD0">
        <w:rPr>
          <w:rFonts w:ascii="Times New Roman" w:eastAsia="Times New Roman" w:hAnsi="Times New Roman"/>
          <w:sz w:val="24"/>
          <w:szCs w:val="24"/>
          <w:u w:val="single"/>
          <w:lang w:eastAsia="es-ES"/>
        </w:rPr>
        <w:t>Para el año que viene la situación no es mucho mejor, las previsiones apuntan a un paro que superará sin duda el 26% de la población y que puede acercarse a los seis millones de personas, con una caída de la economía del más del 1,4%.</w:t>
      </w:r>
    </w:p>
    <w:p w:rsidR="0026027D" w:rsidRPr="001A6FD0" w:rsidRDefault="0026027D" w:rsidP="00550638">
      <w:pPr>
        <w:spacing w:after="0" w:line="240" w:lineRule="auto"/>
        <w:jc w:val="both"/>
        <w:rPr>
          <w:rFonts w:ascii="Times New Roman" w:eastAsia="Times New Roman" w:hAnsi="Times New Roman"/>
          <w:sz w:val="24"/>
          <w:szCs w:val="24"/>
          <w:u w:val="single"/>
          <w:lang w:eastAsia="es-ES"/>
        </w:rPr>
      </w:pPr>
      <w:r w:rsidRPr="001A6FD0">
        <w:rPr>
          <w:rFonts w:ascii="Times New Roman" w:eastAsia="Times New Roman" w:hAnsi="Times New Roman"/>
          <w:sz w:val="24"/>
          <w:szCs w:val="24"/>
          <w:u w:val="single"/>
          <w:lang w:eastAsia="es-ES"/>
        </w:rPr>
        <w:t xml:space="preserve"> </w:t>
      </w:r>
    </w:p>
    <w:p w:rsidR="0026027D" w:rsidRPr="001A6FD0" w:rsidRDefault="0026027D" w:rsidP="00550638">
      <w:pPr>
        <w:spacing w:after="0" w:line="240" w:lineRule="auto"/>
        <w:jc w:val="both"/>
        <w:rPr>
          <w:rFonts w:ascii="Times New Roman" w:eastAsia="Times New Roman" w:hAnsi="Times New Roman"/>
          <w:color w:val="FF0000"/>
          <w:sz w:val="24"/>
          <w:szCs w:val="24"/>
          <w:u w:val="single"/>
          <w:lang w:eastAsia="es-ES"/>
        </w:rPr>
      </w:pPr>
      <w:r w:rsidRPr="001A6FD0">
        <w:rPr>
          <w:rFonts w:ascii="Times New Roman" w:eastAsia="Times New Roman" w:hAnsi="Times New Roman"/>
          <w:color w:val="FF0000"/>
          <w:sz w:val="24"/>
          <w:szCs w:val="24"/>
          <w:u w:val="single"/>
          <w:lang w:eastAsia="es-ES"/>
        </w:rPr>
        <w:t>Los últimos datos económicos hablan de la insostenibilidad del actual sistema de pensiones y paro y piden una reforma urgente por el deterioro progresivo de la economía española.</w:t>
      </w:r>
    </w:p>
    <w:p w:rsidR="0026027D" w:rsidRPr="00880174" w:rsidRDefault="0026027D" w:rsidP="00550638">
      <w:pPr>
        <w:spacing w:after="0" w:line="240" w:lineRule="auto"/>
        <w:jc w:val="both"/>
        <w:rPr>
          <w:rFonts w:ascii="Times New Roman" w:eastAsia="Times New Roman" w:hAnsi="Times New Roman"/>
          <w:sz w:val="24"/>
          <w:szCs w:val="24"/>
          <w:lang w:eastAsia="es-ES"/>
        </w:rPr>
      </w:pPr>
      <w:r w:rsidRPr="00880174">
        <w:rPr>
          <w:rFonts w:ascii="Times New Roman" w:eastAsia="Times New Roman" w:hAnsi="Times New Roman"/>
          <w:sz w:val="24"/>
          <w:szCs w:val="24"/>
          <w:lang w:eastAsia="es-ES"/>
        </w:rPr>
        <w:t xml:space="preserve"> </w:t>
      </w:r>
    </w:p>
    <w:p w:rsidR="0026027D" w:rsidRPr="003F4CB2" w:rsidRDefault="0026027D" w:rsidP="00550638">
      <w:pPr>
        <w:spacing w:after="0" w:line="240" w:lineRule="auto"/>
        <w:jc w:val="both"/>
        <w:rPr>
          <w:rFonts w:ascii="Times New Roman" w:eastAsia="Times New Roman" w:hAnsi="Times New Roman"/>
          <w:sz w:val="24"/>
          <w:szCs w:val="24"/>
          <w:lang w:eastAsia="es-ES"/>
        </w:rPr>
      </w:pPr>
      <w:r w:rsidRPr="00880174">
        <w:rPr>
          <w:rFonts w:ascii="Times New Roman" w:eastAsia="Times New Roman" w:hAnsi="Times New Roman"/>
          <w:sz w:val="24"/>
          <w:szCs w:val="24"/>
          <w:lang w:eastAsia="es-ES"/>
        </w:rPr>
        <w:t>Tras la última caída de más de 200.000 cotizantes en noviembre los afiliados al sistema, es decir, los que pagab</w:t>
      </w:r>
      <w:r>
        <w:rPr>
          <w:rFonts w:ascii="Times New Roman" w:eastAsia="Times New Roman" w:hAnsi="Times New Roman"/>
          <w:sz w:val="24"/>
          <w:szCs w:val="24"/>
          <w:lang w:eastAsia="es-ES"/>
        </w:rPr>
        <w:t>a</w:t>
      </w:r>
      <w:r w:rsidRPr="00880174">
        <w:rPr>
          <w:rFonts w:ascii="Times New Roman" w:eastAsia="Times New Roman" w:hAnsi="Times New Roman"/>
          <w:sz w:val="24"/>
          <w:szCs w:val="24"/>
          <w:lang w:eastAsia="es-ES"/>
        </w:rPr>
        <w:t xml:space="preserve">n para su funcionamiento, han caído a 16.531.048. Esta baja cifra de la clase activa choca con el alto número de la clase pasiva. </w:t>
      </w:r>
      <w:r w:rsidRPr="003F4CB2">
        <w:rPr>
          <w:rFonts w:ascii="Times New Roman" w:eastAsia="Times New Roman" w:hAnsi="Times New Roman"/>
          <w:sz w:val="24"/>
          <w:szCs w:val="24"/>
          <w:lang w:eastAsia="es-ES"/>
        </w:rPr>
        <w:t>España, actualmente, tiene que hacer frente al pago de 8.890.993 entre las distintas clases de pensiones -jubilación, viudedad, orfandad, incapacidad permanente o a favor de familiares- lo que supone todos los meses 7.500 millones de euros. Parados, tras la última subida de noviembre, hay 4.907.817 parados. Pagar esas prestaciones supone 2.642 millones de euros todos los meses. El gasto del Estado en esas dos partidas es de 10.142 millones de euros todos los meses. Pensiones y paro se comen el 60% del presupuesto, es decir 6 de cada 10 euros.</w:t>
      </w:r>
    </w:p>
    <w:p w:rsidR="0026027D" w:rsidRPr="003F4CB2" w:rsidRDefault="0026027D" w:rsidP="00550638">
      <w:pPr>
        <w:spacing w:after="0" w:line="240" w:lineRule="auto"/>
        <w:jc w:val="both"/>
        <w:rPr>
          <w:rFonts w:ascii="Times New Roman" w:eastAsia="Times New Roman" w:hAnsi="Times New Roman"/>
          <w:sz w:val="24"/>
          <w:szCs w:val="24"/>
          <w:lang w:eastAsia="es-ES"/>
        </w:rPr>
      </w:pPr>
      <w:r w:rsidRPr="003F4CB2">
        <w:rPr>
          <w:rFonts w:ascii="Times New Roman" w:eastAsia="Times New Roman" w:hAnsi="Times New Roman"/>
          <w:sz w:val="24"/>
          <w:szCs w:val="24"/>
          <w:lang w:eastAsia="es-ES"/>
        </w:rPr>
        <w:t xml:space="preserve"> </w:t>
      </w:r>
    </w:p>
    <w:p w:rsidR="0026027D" w:rsidRPr="003F4CB2" w:rsidRDefault="0026027D" w:rsidP="00550638">
      <w:pPr>
        <w:spacing w:after="0" w:line="240" w:lineRule="auto"/>
        <w:jc w:val="both"/>
        <w:rPr>
          <w:rFonts w:ascii="Times New Roman" w:eastAsia="Times New Roman" w:hAnsi="Times New Roman"/>
          <w:sz w:val="24"/>
          <w:szCs w:val="24"/>
          <w:lang w:eastAsia="es-ES"/>
        </w:rPr>
      </w:pPr>
      <w:r w:rsidRPr="003F4CB2">
        <w:rPr>
          <w:rFonts w:ascii="Times New Roman" w:eastAsia="Times New Roman" w:hAnsi="Times New Roman"/>
          <w:sz w:val="24"/>
          <w:szCs w:val="24"/>
          <w:lang w:eastAsia="es-ES"/>
        </w:rPr>
        <w:t>La relación es de 1,13 trabajadores en activo por cada ciudadano pasivo. Los expertos consideran inviable un sistema que no mantenga ese ratio en 2 a 1, es decir, un trabajador por cada pensionista o parado.</w:t>
      </w:r>
    </w:p>
    <w:p w:rsidR="00D57441" w:rsidRPr="003F4CB2" w:rsidRDefault="00D57441" w:rsidP="00550638">
      <w:pPr>
        <w:spacing w:after="0" w:line="240" w:lineRule="auto"/>
        <w:jc w:val="both"/>
        <w:rPr>
          <w:rFonts w:ascii="Times New Roman" w:eastAsia="Times New Roman" w:hAnsi="Times New Roman"/>
          <w:sz w:val="24"/>
          <w:szCs w:val="24"/>
          <w:lang w:eastAsia="es-ES"/>
        </w:rPr>
      </w:pPr>
    </w:p>
    <w:p w:rsidR="00D57441" w:rsidRPr="00D57441" w:rsidRDefault="00D57441" w:rsidP="00550638">
      <w:pPr>
        <w:spacing w:after="0" w:line="240" w:lineRule="auto"/>
        <w:jc w:val="both"/>
        <w:rPr>
          <w:rFonts w:ascii="Times New Roman" w:eastAsia="Times New Roman" w:hAnsi="Times New Roman"/>
          <w:sz w:val="24"/>
          <w:szCs w:val="24"/>
          <w:u w:val="single"/>
          <w:lang w:eastAsia="es-ES"/>
        </w:rPr>
      </w:pPr>
      <w:r w:rsidRPr="00D57441">
        <w:rPr>
          <w:rFonts w:ascii="Times New Roman" w:eastAsia="Times New Roman" w:hAnsi="Times New Roman"/>
          <w:sz w:val="24"/>
          <w:szCs w:val="24"/>
          <w:u w:val="single"/>
          <w:lang w:eastAsia="es-ES"/>
        </w:rPr>
        <w:t>El recorte de las pensiones lo sentirán los hogares porque cada vez más españoles dependen de las pensiones de sus abuelos</w:t>
      </w:r>
    </w:p>
    <w:p w:rsidR="0026027D" w:rsidRDefault="0026027D" w:rsidP="00550638">
      <w:pPr>
        <w:spacing w:after="0" w:line="240" w:lineRule="auto"/>
        <w:jc w:val="both"/>
        <w:rPr>
          <w:rFonts w:ascii="Times New Roman" w:eastAsia="Times New Roman" w:hAnsi="Times New Roman"/>
          <w:sz w:val="24"/>
          <w:szCs w:val="24"/>
          <w:lang w:eastAsia="es-ES"/>
        </w:rPr>
      </w:pPr>
    </w:p>
    <w:p w:rsidR="00D57441" w:rsidRPr="00D57441" w:rsidRDefault="00D57441" w:rsidP="00550638">
      <w:pPr>
        <w:spacing w:after="0"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t>“</w:t>
      </w:r>
      <w:r w:rsidRPr="00D57441">
        <w:rPr>
          <w:rFonts w:ascii="Times New Roman" w:eastAsia="Times New Roman" w:hAnsi="Times New Roman"/>
          <w:i/>
          <w:sz w:val="24"/>
          <w:szCs w:val="24"/>
          <w:lang w:eastAsia="es-ES"/>
        </w:rPr>
        <w:t>El recorte de las pensiones no será un golpe sólo a las clases pasivas. Las activas lo notarán también porque cada vez más familias dependen de una pensión, según reflejan los datos del INE. Uno de cada cuatro hogares españoles tiene como único ingreso el de los jubilados que viven en ellos</w:t>
      </w:r>
      <w:r>
        <w:rPr>
          <w:rFonts w:ascii="Times New Roman" w:eastAsia="Times New Roman" w:hAnsi="Times New Roman"/>
          <w:i/>
          <w:sz w:val="24"/>
          <w:szCs w:val="24"/>
          <w:lang w:eastAsia="es-ES"/>
        </w:rPr>
        <w:t>”..</w:t>
      </w:r>
      <w:r w:rsidRPr="00D57441">
        <w:rPr>
          <w:rFonts w:ascii="Times New Roman" w:eastAsia="Times New Roman" w:hAnsi="Times New Roman"/>
          <w:i/>
          <w:sz w:val="24"/>
          <w:szCs w:val="24"/>
          <w:lang w:eastAsia="es-ES"/>
        </w:rPr>
        <w:t xml:space="preserve">. </w:t>
      </w:r>
      <w:r w:rsidRPr="00F13353">
        <w:rPr>
          <w:rFonts w:ascii="Times New Roman" w:eastAsia="Times New Roman" w:hAnsi="Times New Roman"/>
          <w:sz w:val="24"/>
          <w:szCs w:val="24"/>
          <w:u w:val="single"/>
          <w:lang w:eastAsia="es-ES"/>
        </w:rPr>
        <w:t>El 28% de los hogares españoles depende de la pensión de un jubilado</w:t>
      </w:r>
      <w:r>
        <w:rPr>
          <w:rFonts w:ascii="Times New Roman" w:eastAsia="Times New Roman" w:hAnsi="Times New Roman"/>
          <w:sz w:val="24"/>
          <w:szCs w:val="24"/>
          <w:lang w:eastAsia="es-ES"/>
        </w:rPr>
        <w:t xml:space="preserve"> (Vozpópuli - </w:t>
      </w:r>
      <w:r w:rsidRPr="00F13353">
        <w:rPr>
          <w:rFonts w:ascii="Times New Roman" w:eastAsia="Times New Roman" w:hAnsi="Times New Roman"/>
          <w:b/>
          <w:sz w:val="24"/>
          <w:szCs w:val="24"/>
          <w:lang w:eastAsia="es-ES"/>
        </w:rPr>
        <w:t>5/12/12</w:t>
      </w:r>
      <w:r>
        <w:rPr>
          <w:rFonts w:ascii="Times New Roman" w:eastAsia="Times New Roman" w:hAnsi="Times New Roman"/>
          <w:sz w:val="24"/>
          <w:szCs w:val="24"/>
          <w:lang w:eastAsia="es-ES"/>
        </w:rPr>
        <w:t>)</w:t>
      </w:r>
    </w:p>
    <w:p w:rsidR="00D57441" w:rsidRPr="00F13353" w:rsidRDefault="00D57441" w:rsidP="00550638">
      <w:pPr>
        <w:spacing w:before="100" w:beforeAutospacing="1" w:after="100" w:afterAutospacing="1" w:line="240" w:lineRule="auto"/>
        <w:jc w:val="both"/>
        <w:rPr>
          <w:rFonts w:ascii="Times New Roman" w:eastAsia="Times New Roman" w:hAnsi="Times New Roman"/>
          <w:sz w:val="24"/>
          <w:szCs w:val="24"/>
          <w:lang w:eastAsia="es-ES"/>
        </w:rPr>
      </w:pPr>
      <w:r>
        <w:rPr>
          <w:rFonts w:ascii="Times New Roman" w:eastAsia="Times New Roman" w:hAnsi="Times New Roman"/>
          <w:sz w:val="24"/>
          <w:szCs w:val="24"/>
          <w:lang w:eastAsia="es-ES"/>
        </w:rPr>
        <w:lastRenderedPageBreak/>
        <w:t xml:space="preserve">                               </w:t>
      </w:r>
      <w:r>
        <w:rPr>
          <w:rFonts w:ascii="Times New Roman" w:eastAsia="Times New Roman" w:hAnsi="Times New Roman"/>
          <w:noProof/>
          <w:sz w:val="24"/>
          <w:szCs w:val="24"/>
          <w:lang w:eastAsia="es-ES"/>
        </w:rPr>
        <w:drawing>
          <wp:inline distT="0" distB="0" distL="0" distR="0" wp14:anchorId="25408614" wp14:editId="37646AEF">
            <wp:extent cx="2860040" cy="1901825"/>
            <wp:effectExtent l="0" t="0" r="0" b="3175"/>
            <wp:docPr id="12" name="Imagen 12" descr="hog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ogares"/>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860040" cy="1901825"/>
                    </a:xfrm>
                    <a:prstGeom prst="rect">
                      <a:avLst/>
                    </a:prstGeom>
                    <a:noFill/>
                    <a:ln>
                      <a:noFill/>
                    </a:ln>
                  </pic:spPr>
                </pic:pic>
              </a:graphicData>
            </a:graphic>
          </wp:inline>
        </w:drawing>
      </w:r>
    </w:p>
    <w:p w:rsidR="00D57441" w:rsidRDefault="00D57441" w:rsidP="00550638">
      <w:pPr>
        <w:spacing w:before="100" w:beforeAutospacing="1" w:after="100" w:afterAutospacing="1" w:line="240" w:lineRule="auto"/>
        <w:jc w:val="both"/>
        <w:rPr>
          <w:rFonts w:ascii="Times New Roman" w:eastAsia="Times New Roman" w:hAnsi="Times New Roman"/>
          <w:sz w:val="24"/>
          <w:szCs w:val="24"/>
          <w:lang w:eastAsia="es-ES"/>
        </w:rPr>
      </w:pPr>
    </w:p>
    <w:p w:rsidR="00D57441" w:rsidRPr="00D57441" w:rsidRDefault="00D57441" w:rsidP="00550638">
      <w:pPr>
        <w:spacing w:before="100" w:beforeAutospacing="1" w:after="100" w:afterAutospacing="1"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La llamada solidaridad intergeneracional explica que el 27,9% de los hogares dependan ya de sus abuelos: un 16,9% de los hogares está sustentado por hombres de más de 65 años y un 10,4% por las pensiones de mujeres de más de esa edad, según revela l</w:t>
      </w:r>
      <w:hyperlink r:id="rId614" w:history="1">
        <w:r w:rsidRPr="00D57441">
          <w:rPr>
            <w:rFonts w:ascii="Times New Roman" w:eastAsia="Times New Roman" w:hAnsi="Times New Roman"/>
            <w:sz w:val="24"/>
            <w:szCs w:val="24"/>
            <w:lang w:eastAsia="es-ES"/>
          </w:rPr>
          <w:t xml:space="preserve">a última encuesta de condiciones de vida. </w:t>
        </w:r>
      </w:hyperlink>
    </w:p>
    <w:p w:rsidR="00D57441" w:rsidRPr="00D57441" w:rsidRDefault="00D57441" w:rsidP="00550638">
      <w:pPr>
        <w:spacing w:before="100" w:beforeAutospacing="1" w:after="100" w:afterAutospacing="1"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El INE disponía de ese dato desde hace meses y el Gobierno lo conocía antes de tomar su decisión sobre las pensiones, lo que anula, en opinión de los diputados que comparecieron en el Congreso para pedir la dimisión de la ministra Fátima Báñez, el argumento del Ejecutivo de que “se protege a los hogares más necesitados”. De hecho, los diputados de la oposición descartan también el argumento de la herencia recibida porque no han aflorado nuevos datos desde que el Gobierno prometió revalorizar las pensiones hasta que rectificó su compromiso.</w:t>
      </w:r>
    </w:p>
    <w:p w:rsidR="00D57441" w:rsidRPr="00D57441" w:rsidRDefault="00D57441" w:rsidP="00550638">
      <w:pPr>
        <w:spacing w:before="100" w:beforeAutospacing="1" w:after="100" w:afterAutospacing="1" w:line="240" w:lineRule="auto"/>
        <w:jc w:val="both"/>
        <w:rPr>
          <w:rFonts w:ascii="Times New Roman" w:eastAsia="Times New Roman" w:hAnsi="Times New Roman"/>
          <w:sz w:val="24"/>
          <w:szCs w:val="24"/>
          <w:lang w:eastAsia="es-ES"/>
        </w:rPr>
      </w:pPr>
      <w:r w:rsidRPr="00D57441">
        <w:rPr>
          <w:rFonts w:ascii="Times New Roman" w:eastAsia="Times New Roman" w:hAnsi="Times New Roman"/>
          <w:bCs/>
          <w:sz w:val="24"/>
          <w:szCs w:val="24"/>
          <w:lang w:eastAsia="es-ES"/>
        </w:rPr>
        <w:t>Un problema para el consumo privado</w:t>
      </w:r>
    </w:p>
    <w:p w:rsidR="00D57441" w:rsidRPr="0057118B" w:rsidRDefault="00D57441" w:rsidP="00550638">
      <w:pPr>
        <w:spacing w:before="100" w:beforeAutospacing="1" w:after="100" w:afterAutospacing="1" w:line="240" w:lineRule="auto"/>
        <w:jc w:val="both"/>
        <w:rPr>
          <w:rFonts w:ascii="Times New Roman" w:eastAsia="Times New Roman" w:hAnsi="Times New Roman"/>
          <w:sz w:val="24"/>
          <w:szCs w:val="24"/>
          <w:lang w:eastAsia="es-ES"/>
        </w:rPr>
      </w:pPr>
      <w:r w:rsidRPr="0057118B">
        <w:rPr>
          <w:rFonts w:ascii="Times New Roman" w:eastAsia="Times New Roman" w:hAnsi="Times New Roman"/>
          <w:sz w:val="24"/>
          <w:szCs w:val="24"/>
          <w:lang w:eastAsia="es-ES"/>
        </w:rPr>
        <w:t>El principal motor del consumo, el consumo privado, se había desplomado en España. Sólo un sector ha seguido gastando como antes de la crisis e incluso ha ampliado sus gastos: el de los mayores de 65 años que ha incrementado su consumo un 3,2% con respecto a las cifras de 2008.</w:t>
      </w:r>
    </w:p>
    <w:p w:rsidR="00D57441" w:rsidRPr="00D57441" w:rsidRDefault="00D57441" w:rsidP="00550638">
      <w:pPr>
        <w:spacing w:before="100" w:beforeAutospacing="1" w:after="100" w:afterAutospacing="1" w:line="240" w:lineRule="auto"/>
        <w:jc w:val="both"/>
        <w:rPr>
          <w:rFonts w:ascii="Times New Roman" w:eastAsia="Times New Roman" w:hAnsi="Times New Roman"/>
          <w:sz w:val="24"/>
          <w:szCs w:val="24"/>
          <w:lang w:eastAsia="es-ES"/>
        </w:rPr>
      </w:pPr>
      <w:r w:rsidRPr="00D57441">
        <w:rPr>
          <w:rFonts w:ascii="Times New Roman" w:eastAsia="Times New Roman" w:hAnsi="Times New Roman"/>
          <w:noProof/>
          <w:sz w:val="24"/>
          <w:szCs w:val="24"/>
          <w:lang w:eastAsia="es-ES"/>
        </w:rPr>
        <w:drawing>
          <wp:inline distT="0" distB="0" distL="0" distR="0" wp14:anchorId="2267191C" wp14:editId="683B092E">
            <wp:extent cx="5713171" cy="2340864"/>
            <wp:effectExtent l="0" t="0" r="1905" b="2540"/>
            <wp:docPr id="449" name="Imagen 449" descr="consumo-x-edad">
              <a:hlinkClick xmlns:a="http://schemas.openxmlformats.org/drawingml/2006/main" r:id="rId6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consumo-x-edad"/>
                    <pic:cNvPicPr>
                      <a:picLocks noChangeAspect="1" noChangeArrowheads="1"/>
                    </pic:cNvPicPr>
                  </pic:nvPicPr>
                  <pic:blipFill>
                    <a:blip r:embed="rId616">
                      <a:extLst>
                        <a:ext uri="{28A0092B-C50C-407E-A947-70E740481C1C}">
                          <a14:useLocalDpi xmlns:a14="http://schemas.microsoft.com/office/drawing/2010/main" val="0"/>
                        </a:ext>
                      </a:extLst>
                    </a:blip>
                    <a:srcRect/>
                    <a:stretch>
                      <a:fillRect/>
                    </a:stretch>
                  </pic:blipFill>
                  <pic:spPr bwMode="auto">
                    <a:xfrm>
                      <a:off x="0" y="0"/>
                      <a:ext cx="5713095" cy="2340833"/>
                    </a:xfrm>
                    <a:prstGeom prst="rect">
                      <a:avLst/>
                    </a:prstGeom>
                    <a:noFill/>
                    <a:ln>
                      <a:noFill/>
                    </a:ln>
                  </pic:spPr>
                </pic:pic>
              </a:graphicData>
            </a:graphic>
          </wp:inline>
        </w:drawing>
      </w:r>
    </w:p>
    <w:p w:rsidR="00D57441" w:rsidRDefault="00D57441" w:rsidP="00550638">
      <w:pPr>
        <w:spacing w:before="100" w:beforeAutospacing="1" w:after="100" w:afterAutospacing="1" w:line="240" w:lineRule="auto"/>
        <w:jc w:val="both"/>
        <w:rPr>
          <w:rFonts w:ascii="Times New Roman" w:eastAsia="Times New Roman" w:hAnsi="Times New Roman"/>
          <w:sz w:val="24"/>
          <w:szCs w:val="24"/>
          <w:lang w:eastAsia="es-ES"/>
        </w:rPr>
      </w:pPr>
      <w:r w:rsidRPr="00D57441">
        <w:rPr>
          <w:rFonts w:ascii="Times New Roman" w:eastAsia="Times New Roman" w:hAnsi="Times New Roman"/>
          <w:sz w:val="24"/>
          <w:szCs w:val="24"/>
          <w:lang w:eastAsia="es-ES"/>
        </w:rPr>
        <w:t xml:space="preserve">Sin embargo, las medidas de copago y de recorte de pensiones amenazan ahora con frenar el único segmento del consumo que se sostenía y que representa casi una cuarta </w:t>
      </w:r>
      <w:r w:rsidRPr="00D57441">
        <w:rPr>
          <w:rFonts w:ascii="Times New Roman" w:eastAsia="Times New Roman" w:hAnsi="Times New Roman"/>
          <w:sz w:val="24"/>
          <w:szCs w:val="24"/>
          <w:lang w:eastAsia="es-ES"/>
        </w:rPr>
        <w:lastRenderedPageBreak/>
        <w:t xml:space="preserve">parte del gasto total de todos los tramos de edad. En términos macroeconómicos, eso puede significar que la caída del consumo del 1,1% puede pasar ahora a ralentizarse todavía más, hasta el -1,2%. </w:t>
      </w:r>
    </w:p>
    <w:p w:rsidR="003F4CB2" w:rsidRPr="003F4CB2" w:rsidRDefault="003F4CB2" w:rsidP="00550638">
      <w:pPr>
        <w:spacing w:before="100" w:beforeAutospacing="1" w:after="100" w:afterAutospacing="1" w:line="240" w:lineRule="auto"/>
        <w:jc w:val="both"/>
        <w:rPr>
          <w:rFonts w:ascii="Times New Roman" w:eastAsia="Times New Roman" w:hAnsi="Times New Roman"/>
          <w:sz w:val="24"/>
          <w:szCs w:val="24"/>
          <w:u w:val="single"/>
          <w:lang w:eastAsia="es-ES"/>
        </w:rPr>
      </w:pPr>
      <w:r w:rsidRPr="003F4CB2">
        <w:rPr>
          <w:rFonts w:ascii="Times New Roman" w:eastAsia="Times New Roman" w:hAnsi="Times New Roman"/>
          <w:sz w:val="24"/>
          <w:szCs w:val="24"/>
          <w:u w:val="single"/>
          <w:lang w:eastAsia="es-ES"/>
        </w:rPr>
        <w:t>La segunda crisis fiscal (sin haber salido</w:t>
      </w:r>
      <w:r>
        <w:rPr>
          <w:rFonts w:ascii="Times New Roman" w:eastAsia="Times New Roman" w:hAnsi="Times New Roman"/>
          <w:sz w:val="24"/>
          <w:szCs w:val="24"/>
          <w:u w:val="single"/>
          <w:lang w:eastAsia="es-ES"/>
        </w:rPr>
        <w:t xml:space="preserve"> -aun-</w:t>
      </w:r>
      <w:r w:rsidRPr="003F4CB2">
        <w:rPr>
          <w:rFonts w:ascii="Times New Roman" w:eastAsia="Times New Roman" w:hAnsi="Times New Roman"/>
          <w:sz w:val="24"/>
          <w:szCs w:val="24"/>
          <w:u w:val="single"/>
          <w:lang w:eastAsia="es-ES"/>
        </w:rPr>
        <w:t xml:space="preserve"> de la primera…)</w:t>
      </w:r>
    </w:p>
    <w:p w:rsidR="003F4CB2" w:rsidRDefault="003F4CB2" w:rsidP="00550638">
      <w:pPr>
        <w:pStyle w:val="Ttulo1"/>
        <w:spacing w:line="240" w:lineRule="auto"/>
        <w:jc w:val="both"/>
        <w:rPr>
          <w:rFonts w:ascii="Times New Roman" w:hAnsi="Times New Roman"/>
          <w:b w:val="0"/>
          <w:color w:val="auto"/>
          <w:sz w:val="24"/>
          <w:szCs w:val="24"/>
        </w:rPr>
      </w:pPr>
      <w:r w:rsidRPr="003F4CB2">
        <w:rPr>
          <w:rFonts w:ascii="Times New Roman" w:hAnsi="Times New Roman"/>
          <w:b w:val="0"/>
          <w:color w:val="auto"/>
          <w:sz w:val="24"/>
          <w:szCs w:val="24"/>
        </w:rPr>
        <w:t xml:space="preserve">- </w:t>
      </w:r>
      <w:r w:rsidRPr="003F4CB2">
        <w:rPr>
          <w:rFonts w:ascii="Times New Roman" w:hAnsi="Times New Roman"/>
          <w:b w:val="0"/>
          <w:color w:val="auto"/>
          <w:sz w:val="24"/>
          <w:szCs w:val="24"/>
          <w:u w:val="single"/>
        </w:rPr>
        <w:t>El gasto mensual en pensiones se dispara casi un 80% en una década</w:t>
      </w:r>
      <w:r w:rsidRPr="003F4CB2">
        <w:rPr>
          <w:rFonts w:ascii="Times New Roman" w:hAnsi="Times New Roman"/>
          <w:b w:val="0"/>
          <w:color w:val="auto"/>
          <w:sz w:val="24"/>
          <w:szCs w:val="24"/>
        </w:rPr>
        <w:t xml:space="preserve"> (Expansión - 29/1/13)</w:t>
      </w:r>
    </w:p>
    <w:p w:rsidR="003F4CB2" w:rsidRPr="0016201D" w:rsidRDefault="003F4CB2" w:rsidP="00550638">
      <w:pPr>
        <w:spacing w:line="240" w:lineRule="auto"/>
        <w:rPr>
          <w:rFonts w:ascii="Times New Roman" w:hAnsi="Times New Roman"/>
          <w:sz w:val="24"/>
          <w:szCs w:val="24"/>
        </w:rPr>
      </w:pPr>
      <w:r w:rsidRPr="0016201D">
        <w:rPr>
          <w:rFonts w:ascii="Times New Roman" w:hAnsi="Times New Roman"/>
          <w:sz w:val="24"/>
          <w:szCs w:val="24"/>
        </w:rPr>
        <w:t>(Por J. Díaz)</w:t>
      </w:r>
      <w:r>
        <w:rPr>
          <w:rFonts w:ascii="Times New Roman" w:hAnsi="Times New Roman"/>
          <w:sz w:val="24"/>
          <w:szCs w:val="24"/>
        </w:rPr>
        <w:t xml:space="preserve">                                                                                      Lectura recomendada</w:t>
      </w:r>
    </w:p>
    <w:p w:rsidR="003F4CB2" w:rsidRPr="00BC0D60" w:rsidRDefault="003F4CB2" w:rsidP="00550638">
      <w:pPr>
        <w:pStyle w:val="entradilla1"/>
        <w:spacing w:line="240" w:lineRule="auto"/>
        <w:jc w:val="both"/>
        <w:rPr>
          <w:rFonts w:ascii="Times New Roman" w:hAnsi="Times New Roman" w:cs="Times New Roman"/>
          <w:b w:val="0"/>
          <w:color w:val="FF0000"/>
          <w:sz w:val="24"/>
          <w:szCs w:val="24"/>
          <w:u w:val="single"/>
        </w:rPr>
      </w:pPr>
      <w:r w:rsidRPr="00BC0D60">
        <w:rPr>
          <w:rFonts w:ascii="Times New Roman" w:hAnsi="Times New Roman" w:cs="Times New Roman"/>
          <w:b w:val="0"/>
          <w:color w:val="FF0000"/>
          <w:sz w:val="24"/>
          <w:szCs w:val="24"/>
          <w:u w:val="single"/>
        </w:rPr>
        <w:t>Inquietante radiografía del sistema público de pensiones en España. Entre finales de 2003 y el recién estrenado 2013, el número de pensiones contributivas de la Seguridad Social ha aumentado en más de 1,15 millones, hasta superar la cifra histórica de 9 millones; el gasto mensual se ha disparado un 77% durante la década y la pensión media mensual ha crecido un 54%. Demasiado peso para la economía de un país envejecido, desangrado por el paro e inmerso en una honda recesión.</w:t>
      </w:r>
    </w:p>
    <w:p w:rsidR="003F4CB2" w:rsidRPr="0016201D" w:rsidRDefault="003F4CB2" w:rsidP="00550638">
      <w:pPr>
        <w:spacing w:line="240" w:lineRule="auto"/>
        <w:jc w:val="both"/>
        <w:rPr>
          <w:rFonts w:ascii="Times New Roman" w:hAnsi="Times New Roman"/>
          <w:sz w:val="24"/>
          <w:szCs w:val="24"/>
        </w:rPr>
      </w:pPr>
      <w:r>
        <w:rPr>
          <w:rFonts w:ascii="Times New Roman" w:hAnsi="Times New Roman"/>
          <w:noProof/>
          <w:sz w:val="24"/>
          <w:szCs w:val="24"/>
          <w:lang w:eastAsia="es-ES"/>
        </w:rPr>
        <w:drawing>
          <wp:inline distT="0" distB="0" distL="0" distR="0" wp14:anchorId="3BDC2AE3" wp14:editId="08662601">
            <wp:extent cx="5479084" cy="2779776"/>
            <wp:effectExtent l="0" t="0" r="7620" b="1905"/>
            <wp:docPr id="450" name="Imagen 450" descr="[foto de la noti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oto de la noticia]"/>
                    <pic:cNvPicPr>
                      <a:picLocks noChangeAspect="1" noChangeArrowheads="1"/>
                    </pic:cNvPicPr>
                  </pic:nvPicPr>
                  <pic:blipFill>
                    <a:blip r:embed="rId617">
                      <a:extLst>
                        <a:ext uri="{28A0092B-C50C-407E-A947-70E740481C1C}">
                          <a14:useLocalDpi xmlns:a14="http://schemas.microsoft.com/office/drawing/2010/main" val="0"/>
                        </a:ext>
                      </a:extLst>
                    </a:blip>
                    <a:srcRect/>
                    <a:stretch>
                      <a:fillRect/>
                    </a:stretch>
                  </pic:blipFill>
                  <pic:spPr bwMode="auto">
                    <a:xfrm>
                      <a:off x="0" y="0"/>
                      <a:ext cx="5479155" cy="2779812"/>
                    </a:xfrm>
                    <a:prstGeom prst="rect">
                      <a:avLst/>
                    </a:prstGeom>
                    <a:noFill/>
                    <a:ln>
                      <a:noFill/>
                    </a:ln>
                  </pic:spPr>
                </pic:pic>
              </a:graphicData>
            </a:graphic>
          </wp:inline>
        </w:drawing>
      </w:r>
    </w:p>
    <w:p w:rsidR="003F4CB2" w:rsidRPr="0016201D" w:rsidRDefault="003F4CB2" w:rsidP="00550638">
      <w:pPr>
        <w:spacing w:before="100" w:beforeAutospacing="1" w:after="100" w:afterAutospacing="1" w:line="240" w:lineRule="auto"/>
        <w:jc w:val="both"/>
        <w:rPr>
          <w:rFonts w:ascii="Times New Roman" w:hAnsi="Times New Roman"/>
          <w:sz w:val="24"/>
          <w:szCs w:val="24"/>
        </w:rPr>
      </w:pPr>
      <w:r w:rsidRPr="00BC0D60">
        <w:rPr>
          <w:rFonts w:ascii="Times New Roman" w:hAnsi="Times New Roman"/>
          <w:color w:val="FF0000"/>
          <w:sz w:val="24"/>
          <w:szCs w:val="24"/>
          <w:u w:val="single"/>
        </w:rPr>
        <w:t>El problema de la sostenibilidad del sistema público de pensiones hace tiempo que dejó de ser una amenaza difusa para convertirse en una certidumbre que no admite demora en la búsqueda de soluciones,</w:t>
      </w:r>
      <w:r w:rsidRPr="0016201D">
        <w:rPr>
          <w:rFonts w:ascii="Times New Roman" w:hAnsi="Times New Roman"/>
          <w:sz w:val="24"/>
          <w:szCs w:val="24"/>
        </w:rPr>
        <w:t xml:space="preserve"> máxime cuando el propio ministro de Hacienda, Cristóbal Montoro, ha confirmado que la Seguridad Social registró un déficit del 1% del PIB en 2012 (más de 10.000 millones de euros).</w:t>
      </w:r>
    </w:p>
    <w:p w:rsidR="003F4CB2" w:rsidRPr="00BC0D60" w:rsidRDefault="003F4CB2" w:rsidP="00550638">
      <w:pPr>
        <w:spacing w:before="100" w:beforeAutospacing="1" w:after="100" w:afterAutospacing="1" w:line="240" w:lineRule="auto"/>
        <w:jc w:val="both"/>
        <w:rPr>
          <w:rFonts w:ascii="Times New Roman" w:hAnsi="Times New Roman"/>
          <w:color w:val="FF0000"/>
          <w:sz w:val="24"/>
          <w:szCs w:val="24"/>
          <w:u w:val="single"/>
        </w:rPr>
      </w:pPr>
      <w:r w:rsidRPr="00BC0D60">
        <w:rPr>
          <w:rFonts w:ascii="Times New Roman" w:hAnsi="Times New Roman"/>
          <w:color w:val="FF0000"/>
          <w:sz w:val="24"/>
          <w:szCs w:val="24"/>
          <w:u w:val="single"/>
        </w:rPr>
        <w:t>La culpa es del gradual envejecimiento de la población, un mal que afecta a otros países europeos, como Francia o Reino Unido, pero también de la intensa y prolongada crisis que sacude a Europa, en general, y a España, en particular, desde hace más de cinco años. Ambos factores se han conjugado para minar los cimientos del sistema y poner en riesgo su futuro si no se adoptan medidas correctoras.</w:t>
      </w:r>
    </w:p>
    <w:p w:rsidR="003F4CB2" w:rsidRPr="003F4CB2" w:rsidRDefault="003F4CB2" w:rsidP="00550638">
      <w:pPr>
        <w:spacing w:before="100" w:beforeAutospacing="1" w:after="100" w:afterAutospacing="1" w:line="240" w:lineRule="auto"/>
        <w:jc w:val="both"/>
        <w:rPr>
          <w:rStyle w:val="Textoennegrita"/>
          <w:rFonts w:ascii="Times New Roman" w:hAnsi="Times New Roman"/>
          <w:b w:val="0"/>
          <w:sz w:val="24"/>
          <w:szCs w:val="24"/>
        </w:rPr>
      </w:pPr>
      <w:r w:rsidRPr="003F4CB2">
        <w:rPr>
          <w:rStyle w:val="Textoennegrita"/>
          <w:rFonts w:ascii="Times New Roman" w:hAnsi="Times New Roman"/>
          <w:b w:val="0"/>
          <w:sz w:val="24"/>
          <w:szCs w:val="24"/>
        </w:rPr>
        <w:t>Un sistema cada vez más oneroso...</w:t>
      </w:r>
    </w:p>
    <w:p w:rsidR="003F4CB2" w:rsidRPr="00BC0D60" w:rsidRDefault="003F4CB2" w:rsidP="00550638">
      <w:pPr>
        <w:spacing w:before="100" w:beforeAutospacing="1" w:after="100" w:afterAutospacing="1" w:line="240" w:lineRule="auto"/>
        <w:jc w:val="both"/>
        <w:rPr>
          <w:rFonts w:ascii="Times New Roman" w:hAnsi="Times New Roman"/>
          <w:bCs/>
          <w:sz w:val="24"/>
          <w:szCs w:val="24"/>
          <w:u w:val="single"/>
        </w:rPr>
      </w:pPr>
      <w:r w:rsidRPr="0016201D">
        <w:rPr>
          <w:rFonts w:ascii="Times New Roman" w:hAnsi="Times New Roman"/>
          <w:sz w:val="24"/>
          <w:szCs w:val="24"/>
        </w:rPr>
        <w:t xml:space="preserve">La evolución de las cifras en España ilustra el desafío al que se enfrenta nuestro país para garantizar la viabilidad de sus pensiones. Y es que en la última década el sistema </w:t>
      </w:r>
      <w:r w:rsidRPr="0016201D">
        <w:rPr>
          <w:rFonts w:ascii="Times New Roman" w:hAnsi="Times New Roman"/>
          <w:sz w:val="24"/>
          <w:szCs w:val="24"/>
        </w:rPr>
        <w:lastRenderedPageBreak/>
        <w:t xml:space="preserve">de previsión público se ha ido haciendo cada vez más oneroso. </w:t>
      </w:r>
      <w:r w:rsidRPr="00BC0D60">
        <w:rPr>
          <w:rFonts w:ascii="Times New Roman" w:hAnsi="Times New Roman"/>
          <w:sz w:val="24"/>
          <w:szCs w:val="24"/>
          <w:u w:val="single"/>
        </w:rPr>
        <w:t>Entre finales de 2003 y enero de 2013, el número total de pensiones en España (jubilación, viudedad, incapacidad, orfandad...) ha pasado de 7,85 a más de 9 millones (el número de pensionistas es menor, ya que algunos cobran más de una prestación), 1,15 millones más, disparando así los costes.</w:t>
      </w:r>
    </w:p>
    <w:p w:rsidR="003F4CB2" w:rsidRPr="00BC0D60" w:rsidRDefault="003F4CB2" w:rsidP="00550638">
      <w:pPr>
        <w:spacing w:before="100" w:beforeAutospacing="1" w:after="100" w:afterAutospacing="1" w:line="240" w:lineRule="auto"/>
        <w:jc w:val="both"/>
        <w:rPr>
          <w:rFonts w:ascii="Times New Roman" w:hAnsi="Times New Roman"/>
          <w:sz w:val="24"/>
          <w:szCs w:val="24"/>
          <w:u w:val="single"/>
        </w:rPr>
      </w:pPr>
      <w:r w:rsidRPr="00BC0D60">
        <w:rPr>
          <w:rFonts w:ascii="Times New Roman" w:hAnsi="Times New Roman"/>
          <w:sz w:val="24"/>
          <w:szCs w:val="24"/>
          <w:u w:val="single"/>
        </w:rPr>
        <w:t>Mientras que en 2003 el desembolso medio mensual para hacer frente al pago de las pensiones era de 4.318 millones de euros, esta cifra rebasa en la actualidad los 7.653 millones, un 77% más, una tendencia que ni la congelación decidida en 2011 por el Gobierno de Zapatero ni la decisión del Ejecutivo de Rajoy de no compensar la desviación del IPC en 2012 han conseguido alterar.</w:t>
      </w:r>
    </w:p>
    <w:p w:rsidR="003F4CB2" w:rsidRPr="00BC0D60" w:rsidRDefault="003F4CB2" w:rsidP="00550638">
      <w:pPr>
        <w:spacing w:before="100" w:beforeAutospacing="1" w:after="100" w:afterAutospacing="1" w:line="240" w:lineRule="auto"/>
        <w:jc w:val="both"/>
        <w:rPr>
          <w:rFonts w:ascii="Times New Roman" w:hAnsi="Times New Roman"/>
          <w:sz w:val="24"/>
          <w:szCs w:val="24"/>
          <w:u w:val="single"/>
        </w:rPr>
      </w:pPr>
      <w:r w:rsidRPr="00BC0D60">
        <w:rPr>
          <w:rFonts w:ascii="Times New Roman" w:hAnsi="Times New Roman"/>
          <w:sz w:val="24"/>
          <w:szCs w:val="24"/>
          <w:u w:val="single"/>
        </w:rPr>
        <w:t>El incremento del número de pensiones, especialmente de jubilación, que han aumentado en más de 784.000 en la última década, explica buena parte del encarecimiento, pero no todo. Y es que el aumento del número de pensiones se ha visto acompañado del incremento de las cuantías percibidas. Según los datos de la Seguridad Social, el importe medio mensual de las pensiones ha pasado de 549,84 euros en 2003 a 849,60 en la actualidad; es decir, un 54,5% más.</w:t>
      </w:r>
    </w:p>
    <w:p w:rsidR="003F4CB2" w:rsidRPr="00BC0D60" w:rsidRDefault="003F4CB2" w:rsidP="00550638">
      <w:pPr>
        <w:spacing w:before="100" w:beforeAutospacing="1" w:after="100" w:afterAutospacing="1" w:line="240" w:lineRule="auto"/>
        <w:jc w:val="both"/>
        <w:rPr>
          <w:rFonts w:ascii="Times New Roman" w:hAnsi="Times New Roman"/>
          <w:sz w:val="24"/>
          <w:szCs w:val="24"/>
          <w:u w:val="single"/>
        </w:rPr>
      </w:pPr>
      <w:r w:rsidRPr="00BC0D60">
        <w:rPr>
          <w:rFonts w:ascii="Times New Roman" w:hAnsi="Times New Roman"/>
          <w:sz w:val="24"/>
          <w:szCs w:val="24"/>
          <w:u w:val="single"/>
        </w:rPr>
        <w:t>El número medio de afiliados a la Seguridad Social, que ha perdido 2,37 millones de cotizantes desde 2007, ha retornado a niveles próximos a 2003.</w:t>
      </w:r>
    </w:p>
    <w:p w:rsidR="003F4CB2" w:rsidRPr="003F4CB2" w:rsidRDefault="0057118B" w:rsidP="00550638">
      <w:pPr>
        <w:spacing w:before="100" w:beforeAutospacing="1" w:after="100" w:afterAutospacing="1" w:line="240" w:lineRule="auto"/>
        <w:jc w:val="both"/>
        <w:rPr>
          <w:rStyle w:val="Textoennegrita"/>
          <w:rFonts w:ascii="Times New Roman" w:hAnsi="Times New Roman"/>
          <w:b w:val="0"/>
          <w:sz w:val="24"/>
          <w:szCs w:val="24"/>
        </w:rPr>
      </w:pPr>
      <w:r>
        <w:rPr>
          <w:rStyle w:val="Textoennegrita"/>
          <w:rFonts w:ascii="Times New Roman" w:hAnsi="Times New Roman"/>
          <w:b w:val="0"/>
          <w:sz w:val="24"/>
          <w:szCs w:val="24"/>
        </w:rPr>
        <w:t>...q</w:t>
      </w:r>
      <w:r w:rsidR="00C052A4">
        <w:rPr>
          <w:rStyle w:val="Textoennegrita"/>
          <w:rFonts w:ascii="Times New Roman" w:hAnsi="Times New Roman"/>
          <w:b w:val="0"/>
          <w:sz w:val="24"/>
          <w:szCs w:val="24"/>
        </w:rPr>
        <w:t>ue “financian”</w:t>
      </w:r>
      <w:r w:rsidR="003F4CB2" w:rsidRPr="003F4CB2">
        <w:rPr>
          <w:rStyle w:val="Textoennegrita"/>
          <w:rFonts w:ascii="Times New Roman" w:hAnsi="Times New Roman"/>
          <w:b w:val="0"/>
          <w:sz w:val="24"/>
          <w:szCs w:val="24"/>
        </w:rPr>
        <w:t xml:space="preserve"> cada vez menos</w:t>
      </w:r>
    </w:p>
    <w:p w:rsidR="003F4CB2" w:rsidRPr="00BC0D60" w:rsidRDefault="003F4CB2" w:rsidP="00550638">
      <w:pPr>
        <w:spacing w:before="100" w:beforeAutospacing="1" w:after="100" w:afterAutospacing="1" w:line="240" w:lineRule="auto"/>
        <w:jc w:val="both"/>
        <w:rPr>
          <w:rFonts w:ascii="Times New Roman" w:hAnsi="Times New Roman"/>
          <w:sz w:val="24"/>
          <w:szCs w:val="24"/>
          <w:u w:val="single"/>
        </w:rPr>
      </w:pPr>
      <w:r w:rsidRPr="00BC0D60">
        <w:rPr>
          <w:rFonts w:ascii="Times New Roman" w:hAnsi="Times New Roman"/>
          <w:sz w:val="24"/>
          <w:szCs w:val="24"/>
          <w:u w:val="single"/>
        </w:rPr>
        <w:t>Estos datos resultan especialmente inquietantes a la luz de cómo ha evolucionado en ese tiempo el número de cotizantes a la Seguridad Social, que son quienes, con sus aportaciones, sostienen el sistema. Las cifras son reveladoras: pese al fuerte incremento de los gastos (que harán que 43 de cada 100 euros de gasto del Estado vayan a parar este año a las pensiones), el número medio de afiliados a la Seguridad Social, que ha perdido 2,37 millones de cotizantes desde 2007, ha retornado a niveles próximos a 2003 (16,85 millones hoy versus 16,68 millones entonces).</w:t>
      </w:r>
    </w:p>
    <w:p w:rsidR="003F4CB2" w:rsidRPr="00BC0D60" w:rsidRDefault="00494A8D" w:rsidP="00550638">
      <w:pPr>
        <w:spacing w:before="100" w:beforeAutospacing="1" w:after="100" w:afterAutospacing="1" w:line="240" w:lineRule="auto"/>
        <w:jc w:val="both"/>
        <w:rPr>
          <w:rFonts w:ascii="Times New Roman" w:hAnsi="Times New Roman"/>
          <w:color w:val="FF0000"/>
          <w:sz w:val="24"/>
          <w:szCs w:val="24"/>
          <w:u w:val="single"/>
        </w:rPr>
      </w:pPr>
      <w:r>
        <w:rPr>
          <w:rFonts w:ascii="Times New Roman" w:hAnsi="Times New Roman"/>
          <w:color w:val="FF0000"/>
          <w:sz w:val="24"/>
          <w:szCs w:val="24"/>
          <w:u w:val="single"/>
        </w:rPr>
        <w:t xml:space="preserve">El resultado es que cada </w:t>
      </w:r>
      <w:r w:rsidR="003F4CB2" w:rsidRPr="00BC0D60">
        <w:rPr>
          <w:rFonts w:ascii="Times New Roman" w:hAnsi="Times New Roman"/>
          <w:color w:val="FF0000"/>
          <w:sz w:val="24"/>
          <w:szCs w:val="24"/>
          <w:u w:val="single"/>
        </w:rPr>
        <w:t>vez son menos quienes soportan sobre sus espaldas la carga de las pensiones, poniendo en claro riesgo la sostenibilidad del sistema a medio y largo plazo en un escenario en el que, más allá de la crisis económica, la tendencia apunta a una paulatina disminución de la población activa.</w:t>
      </w:r>
    </w:p>
    <w:p w:rsidR="003F4CB2" w:rsidRPr="0016201D" w:rsidRDefault="003F4CB2" w:rsidP="00550638">
      <w:pPr>
        <w:spacing w:before="100" w:beforeAutospacing="1" w:after="100" w:afterAutospacing="1" w:line="240" w:lineRule="auto"/>
        <w:jc w:val="both"/>
        <w:rPr>
          <w:rFonts w:ascii="Times New Roman" w:hAnsi="Times New Roman"/>
          <w:sz w:val="24"/>
          <w:szCs w:val="24"/>
        </w:rPr>
      </w:pPr>
      <w:r w:rsidRPr="0016201D">
        <w:rPr>
          <w:rFonts w:ascii="Times New Roman" w:hAnsi="Times New Roman"/>
          <w:sz w:val="24"/>
          <w:szCs w:val="24"/>
        </w:rPr>
        <w:t>Bruselas ha urgido a España a vincular la edad de jubilación a la esperanza de vida.</w:t>
      </w:r>
    </w:p>
    <w:p w:rsidR="003F4CB2" w:rsidRPr="003F4CB2" w:rsidRDefault="003F4CB2" w:rsidP="00550638">
      <w:pPr>
        <w:spacing w:before="100" w:beforeAutospacing="1" w:after="100" w:afterAutospacing="1" w:line="240" w:lineRule="auto"/>
        <w:jc w:val="both"/>
        <w:rPr>
          <w:rStyle w:val="Textoennegrita"/>
          <w:rFonts w:ascii="Times New Roman" w:hAnsi="Times New Roman"/>
          <w:b w:val="0"/>
          <w:sz w:val="24"/>
          <w:szCs w:val="24"/>
        </w:rPr>
      </w:pPr>
      <w:r w:rsidRPr="003F4CB2">
        <w:rPr>
          <w:rStyle w:val="Textoennegrita"/>
          <w:rFonts w:ascii="Times New Roman" w:hAnsi="Times New Roman"/>
          <w:b w:val="0"/>
          <w:sz w:val="24"/>
          <w:szCs w:val="24"/>
        </w:rPr>
        <w:t>¿Medidas suficientes?</w:t>
      </w:r>
    </w:p>
    <w:p w:rsidR="003F4CB2" w:rsidRPr="00BC0D60" w:rsidRDefault="003F4CB2" w:rsidP="00550638">
      <w:pPr>
        <w:spacing w:before="100" w:beforeAutospacing="1" w:after="100" w:afterAutospacing="1" w:line="240" w:lineRule="auto"/>
        <w:jc w:val="both"/>
        <w:rPr>
          <w:rFonts w:ascii="Times New Roman" w:hAnsi="Times New Roman"/>
          <w:bCs/>
          <w:sz w:val="24"/>
          <w:szCs w:val="24"/>
          <w:u w:val="single"/>
        </w:rPr>
      </w:pPr>
      <w:r w:rsidRPr="0016201D">
        <w:rPr>
          <w:rFonts w:ascii="Times New Roman" w:hAnsi="Times New Roman"/>
          <w:sz w:val="24"/>
          <w:szCs w:val="24"/>
        </w:rPr>
        <w:t xml:space="preserve">Consciente de la gravedad del escenario, el Gobierno de Rajoy ha profundizado en las medidas que ya comenzó a adoptar la Administración socialista. </w:t>
      </w:r>
      <w:r w:rsidRPr="00BC0D60">
        <w:rPr>
          <w:rFonts w:ascii="Times New Roman" w:hAnsi="Times New Roman"/>
          <w:sz w:val="24"/>
          <w:szCs w:val="24"/>
          <w:u w:val="single"/>
        </w:rPr>
        <w:t>El pasado 1 de enero entró en vigor la nueva Ley de Actualización, Adecuación y Modernización del Sistema de Seguridad Social (más de un año después de ser aprobada por el Congreso), que retrasa la edad de jubilación de los 65 a los 67 años, eleva el periodo de cotización exigido de 35 a 37 años y amplía de 15 a 25 años el periodo de referencia para calcular la cuantía de la pensión.</w:t>
      </w:r>
    </w:p>
    <w:p w:rsidR="003F4CB2" w:rsidRPr="00BC0D60" w:rsidRDefault="003F4CB2" w:rsidP="00550638">
      <w:pPr>
        <w:spacing w:before="100" w:beforeAutospacing="1" w:after="100" w:afterAutospacing="1" w:line="240" w:lineRule="auto"/>
        <w:jc w:val="both"/>
        <w:rPr>
          <w:rFonts w:ascii="Times New Roman" w:hAnsi="Times New Roman"/>
          <w:sz w:val="24"/>
          <w:szCs w:val="24"/>
          <w:u w:val="single"/>
        </w:rPr>
      </w:pPr>
      <w:r w:rsidRPr="00BC0D60">
        <w:rPr>
          <w:rFonts w:ascii="Times New Roman" w:hAnsi="Times New Roman"/>
          <w:sz w:val="24"/>
          <w:szCs w:val="24"/>
          <w:u w:val="single"/>
        </w:rPr>
        <w:lastRenderedPageBreak/>
        <w:t>Según los expertos, son medidas necesarias pero insuficientes para evitar el colapso del sistema a largo plazo. Es por ello que el Ejecutivo ha planteado ya a la oposición, en el marco del Pacto de Toledo, una reforma de la jubilación anticipada para que la edad real de retiro se ciña a la legal, así como el retraso de la jubilación parcial a la misma edad que la ordinaria, tanteando por el camino medidas adicionales como la desvinculación de la revalorización de las pensiones del IPC.</w:t>
      </w:r>
    </w:p>
    <w:p w:rsidR="003F4CB2" w:rsidRPr="00BC0D60" w:rsidRDefault="003F4CB2" w:rsidP="00550638">
      <w:pPr>
        <w:spacing w:before="100" w:beforeAutospacing="1" w:after="100" w:afterAutospacing="1" w:line="240" w:lineRule="auto"/>
        <w:jc w:val="both"/>
        <w:rPr>
          <w:rFonts w:ascii="Times New Roman" w:hAnsi="Times New Roman"/>
          <w:sz w:val="24"/>
          <w:szCs w:val="24"/>
          <w:u w:val="single"/>
        </w:rPr>
      </w:pPr>
      <w:r w:rsidRPr="00BC0D60">
        <w:rPr>
          <w:rFonts w:ascii="Times New Roman" w:hAnsi="Times New Roman"/>
          <w:sz w:val="24"/>
          <w:szCs w:val="24"/>
          <w:u w:val="single"/>
        </w:rPr>
        <w:t xml:space="preserve">Son propuestas que, de acuerdo con los agentes económicos, abundan en la dirección correcta, pero que aun </w:t>
      </w:r>
      <w:r w:rsidR="00C052A4" w:rsidRPr="00BC0D60">
        <w:rPr>
          <w:rFonts w:ascii="Times New Roman" w:hAnsi="Times New Roman"/>
          <w:sz w:val="24"/>
          <w:szCs w:val="24"/>
          <w:u w:val="single"/>
        </w:rPr>
        <w:t>así</w:t>
      </w:r>
      <w:r w:rsidRPr="00BC0D60">
        <w:rPr>
          <w:rFonts w:ascii="Times New Roman" w:hAnsi="Times New Roman"/>
          <w:sz w:val="24"/>
          <w:szCs w:val="24"/>
          <w:u w:val="single"/>
        </w:rPr>
        <w:t xml:space="preserve"> se antojan insuficientes para algunos, entre ellos la Comisión Europea, que recientemente urgió al Gobierno español a vincular la edad de jubilación a la esperanza de vida, lo que en la práctica no sólo significaría acelerar la implantación del retiro a los 67 años, sino retrasar aún más esa edad.</w:t>
      </w:r>
    </w:p>
    <w:p w:rsidR="003F4CB2" w:rsidRPr="0016201D" w:rsidRDefault="003F4CB2" w:rsidP="00550638">
      <w:pPr>
        <w:spacing w:before="100" w:beforeAutospacing="1" w:after="100" w:afterAutospacing="1" w:line="240" w:lineRule="auto"/>
        <w:jc w:val="both"/>
        <w:rPr>
          <w:rFonts w:ascii="Times New Roman" w:hAnsi="Times New Roman"/>
          <w:sz w:val="24"/>
          <w:szCs w:val="24"/>
        </w:rPr>
      </w:pPr>
      <w:r w:rsidRPr="0016201D">
        <w:rPr>
          <w:rFonts w:ascii="Times New Roman" w:hAnsi="Times New Roman"/>
          <w:sz w:val="24"/>
          <w:szCs w:val="24"/>
        </w:rPr>
        <w:t>El importe medio mensual de las pensiones ha pasado de 549,84 euros en 2003 a 849,60 en la actualidad.</w:t>
      </w:r>
    </w:p>
    <w:p w:rsidR="003F4CB2" w:rsidRPr="0016201D" w:rsidRDefault="003F4CB2" w:rsidP="00550638">
      <w:pPr>
        <w:spacing w:before="100" w:beforeAutospacing="1" w:after="100" w:afterAutospacing="1" w:line="240" w:lineRule="auto"/>
        <w:jc w:val="both"/>
        <w:rPr>
          <w:rFonts w:ascii="Times New Roman" w:hAnsi="Times New Roman"/>
          <w:sz w:val="24"/>
          <w:szCs w:val="24"/>
        </w:rPr>
      </w:pPr>
      <w:r w:rsidRPr="0016201D">
        <w:rPr>
          <w:rFonts w:ascii="Times New Roman" w:hAnsi="Times New Roman"/>
          <w:sz w:val="24"/>
          <w:szCs w:val="24"/>
        </w:rPr>
        <w:t>La evolución de las pensiones públicas en los últimos años, que queda patente en las cifras, y las proyecciones de futuro, con una población activa en declive y un colectivo de pensionistas cada vez mayor, hacen inevitables cambios de calado para evitar el derrumbe del sistema, pero también debe concienciarse a los ciudadanos de la necesidad de recurrir a los planes privados complementarios para compensar la previsible merma de la pensión pública en el futuro, una fórmula que, a diferencia de otros países de nuestro entorno, está muy poco desarrollada en España.</w:t>
      </w:r>
    </w:p>
    <w:p w:rsidR="00C052A4" w:rsidRDefault="003F4CB2" w:rsidP="00550638">
      <w:pPr>
        <w:spacing w:before="100" w:beforeAutospacing="1" w:after="100" w:afterAutospacing="1" w:line="240" w:lineRule="auto"/>
        <w:jc w:val="both"/>
        <w:rPr>
          <w:rFonts w:ascii="Times New Roman" w:hAnsi="Times New Roman"/>
          <w:sz w:val="24"/>
          <w:szCs w:val="24"/>
          <w:u w:val="single"/>
        </w:rPr>
      </w:pPr>
      <w:r w:rsidRPr="0016201D">
        <w:rPr>
          <w:rFonts w:ascii="Times New Roman" w:hAnsi="Times New Roman"/>
          <w:sz w:val="24"/>
          <w:szCs w:val="24"/>
        </w:rPr>
        <w:t xml:space="preserve">Y es que se calcula que </w:t>
      </w:r>
      <w:r w:rsidRPr="00BC0D60">
        <w:rPr>
          <w:rFonts w:ascii="Times New Roman" w:hAnsi="Times New Roman"/>
          <w:sz w:val="24"/>
          <w:szCs w:val="24"/>
          <w:u w:val="single"/>
        </w:rPr>
        <w:t>apenas el 15% de los trabajadores españoles cuenta con una pensión complementaria a la jubilación, poniendo de relieve que la preocupación de los ciudadanos por el futuro de su pensión no se ve correspondida con una actitud igualmente previsora.</w:t>
      </w:r>
    </w:p>
    <w:p w:rsidR="00C052A4" w:rsidRPr="00C052A4" w:rsidRDefault="00C052A4" w:rsidP="00550638">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sidRPr="00C052A4">
        <w:rPr>
          <w:rFonts w:ascii="Times New Roman" w:eastAsia="Times New Roman" w:hAnsi="Times New Roman" w:cs="Times New Roman"/>
          <w:sz w:val="24"/>
          <w:szCs w:val="24"/>
          <w:u w:val="single"/>
          <w:lang w:eastAsia="es-ES"/>
        </w:rPr>
        <w:t>El sistema se tambalea con menos de 1,8 cotizantes por pensionista en un país con una tasa de paro del 26%</w:t>
      </w:r>
    </w:p>
    <w:p w:rsidR="00C052A4" w:rsidRDefault="00C052A4"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sidRPr="00574E91">
        <w:rPr>
          <w:rFonts w:ascii="Times New Roman" w:eastAsia="Times New Roman" w:hAnsi="Times New Roman" w:cs="Times New Roman"/>
          <w:sz w:val="24"/>
          <w:szCs w:val="24"/>
          <w:u w:val="single"/>
          <w:lang w:eastAsia="es-ES"/>
        </w:rPr>
        <w:t>Uno de cada tres españoles es pensionista o está en el paro</w:t>
      </w:r>
      <w:r>
        <w:rPr>
          <w:rFonts w:ascii="Times New Roman" w:eastAsia="Times New Roman" w:hAnsi="Times New Roman" w:cs="Times New Roman"/>
          <w:sz w:val="24"/>
          <w:szCs w:val="24"/>
          <w:lang w:eastAsia="es-ES"/>
        </w:rPr>
        <w:t xml:space="preserve"> (Negocios.com - </w:t>
      </w:r>
      <w:r w:rsidRPr="00574E91">
        <w:rPr>
          <w:rFonts w:ascii="Times New Roman" w:eastAsia="Times New Roman" w:hAnsi="Times New Roman" w:cs="Times New Roman"/>
          <w:b/>
          <w:sz w:val="24"/>
          <w:szCs w:val="24"/>
          <w:lang w:eastAsia="es-ES"/>
        </w:rPr>
        <w:t>5/2/13</w:t>
      </w:r>
      <w:r>
        <w:rPr>
          <w:rFonts w:ascii="Times New Roman" w:eastAsia="Times New Roman" w:hAnsi="Times New Roman" w:cs="Times New Roman"/>
          <w:sz w:val="24"/>
          <w:szCs w:val="24"/>
          <w:lang w:eastAsia="es-ES"/>
        </w:rPr>
        <w:t>)</w:t>
      </w:r>
    </w:p>
    <w:p w:rsidR="00C052A4" w:rsidRPr="00574E91" w:rsidRDefault="00C052A4"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574E91">
        <w:rPr>
          <w:rFonts w:ascii="Times New Roman" w:eastAsia="Times New Roman" w:hAnsi="Times New Roman" w:cs="Times New Roman"/>
          <w:sz w:val="24"/>
          <w:szCs w:val="24"/>
          <w:lang w:eastAsia="es-ES"/>
        </w:rPr>
        <w:t>F</w:t>
      </w:r>
      <w:r>
        <w:rPr>
          <w:rFonts w:ascii="Times New Roman" w:eastAsia="Times New Roman" w:hAnsi="Times New Roman" w:cs="Times New Roman"/>
          <w:sz w:val="24"/>
          <w:szCs w:val="24"/>
          <w:lang w:eastAsia="es-ES"/>
        </w:rPr>
        <w:t>rancisco Perarnau)</w:t>
      </w:r>
      <w:r>
        <w:rPr>
          <w:rFonts w:ascii="Times New Roman" w:eastAsia="Times New Roman" w:hAnsi="Times New Roman" w:cs="Times New Roman"/>
          <w:sz w:val="24"/>
          <w:szCs w:val="24"/>
          <w:lang w:eastAsia="es-ES"/>
        </w:rPr>
        <w:tab/>
      </w:r>
      <w:r>
        <w:rPr>
          <w:rFonts w:ascii="Times New Roman" w:eastAsia="Times New Roman" w:hAnsi="Times New Roman" w:cs="Times New Roman"/>
          <w:sz w:val="24"/>
          <w:szCs w:val="24"/>
          <w:lang w:eastAsia="es-ES"/>
        </w:rPr>
        <w:tab/>
      </w:r>
      <w:r>
        <w:rPr>
          <w:rFonts w:ascii="Times New Roman" w:eastAsia="Times New Roman" w:hAnsi="Times New Roman" w:cs="Times New Roman"/>
          <w:sz w:val="24"/>
          <w:szCs w:val="24"/>
          <w:lang w:eastAsia="es-ES"/>
        </w:rPr>
        <w:tab/>
      </w:r>
      <w:r>
        <w:rPr>
          <w:rFonts w:ascii="Times New Roman" w:eastAsia="Times New Roman" w:hAnsi="Times New Roman" w:cs="Times New Roman"/>
          <w:sz w:val="24"/>
          <w:szCs w:val="24"/>
          <w:lang w:eastAsia="es-ES"/>
        </w:rPr>
        <w:tab/>
        <w:t xml:space="preserve">                        Lectura recomendada</w:t>
      </w:r>
    </w:p>
    <w:p w:rsidR="00C052A4" w:rsidRPr="00574E91" w:rsidRDefault="00C052A4"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E0C19">
        <w:rPr>
          <w:rFonts w:ascii="Times New Roman" w:eastAsia="Times New Roman" w:hAnsi="Times New Roman" w:cs="Times New Roman"/>
          <w:sz w:val="24"/>
          <w:szCs w:val="24"/>
          <w:u w:val="single"/>
          <w:lang w:eastAsia="es-ES"/>
        </w:rPr>
        <w:t>El sistema de pensiones en España urge de un pacto nacional porque camina hacia una situación de quiebra ante el incesante crecimiento de pensionistas y parados</w:t>
      </w:r>
      <w:r w:rsidRPr="00574E91">
        <w:rPr>
          <w:rFonts w:ascii="Times New Roman" w:eastAsia="Times New Roman" w:hAnsi="Times New Roman" w:cs="Times New Roman"/>
          <w:sz w:val="24"/>
          <w:szCs w:val="24"/>
          <w:lang w:eastAsia="es-ES"/>
        </w:rPr>
        <w:t>. La Seguridad Social lleva seis meses perdiendo de forma continuada cotizantes. Con los datos de enero, la caída en el último año ha sido del 4,59%, con una pérdida de cotizantes de 778.829 trabajadores en un año, que ha dejado el número de personas afiliadas en 16.179.438. Sólo en enero se han perdido 263.243 cotizantes y nada hace pr</w:t>
      </w:r>
      <w:r w:rsidR="00494A8D">
        <w:rPr>
          <w:rFonts w:ascii="Times New Roman" w:eastAsia="Times New Roman" w:hAnsi="Times New Roman" w:cs="Times New Roman"/>
          <w:sz w:val="24"/>
          <w:szCs w:val="24"/>
          <w:lang w:eastAsia="es-ES"/>
        </w:rPr>
        <w:t>esagiar que la tendencia vaya a</w:t>
      </w:r>
      <w:r>
        <w:rPr>
          <w:rFonts w:ascii="Times New Roman" w:eastAsia="Times New Roman" w:hAnsi="Times New Roman" w:cs="Times New Roman"/>
          <w:sz w:val="24"/>
          <w:szCs w:val="24"/>
          <w:lang w:eastAsia="es-ES"/>
        </w:rPr>
        <w:t xml:space="preserve"> cambiar en los próximo meses.</w:t>
      </w:r>
    </w:p>
    <w:p w:rsidR="00C052A4" w:rsidRPr="00574E91" w:rsidRDefault="00C052A4"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574E91">
        <w:rPr>
          <w:rFonts w:ascii="Times New Roman" w:eastAsia="Times New Roman" w:hAnsi="Times New Roman" w:cs="Times New Roman"/>
          <w:sz w:val="24"/>
          <w:szCs w:val="24"/>
          <w:lang w:eastAsia="es-ES"/>
        </w:rPr>
        <w:t>Por el contrario, los pensionistas no hacen nada más que crecer. El número de pensiones contributivas de la Seguridad Social alcanzó la cifra de 9.008.348 en enero, el 1,5% respecto al mismo mes de 2012. De esas pensiones, 5.402.863 pensiones fueron de jubilación, un 2% más; 2.331.812 pensiones de viudedad (+0,5%); 940.843 de incapacidad permanente (-0,1%); 295.221 de orfandad (+7,3%); y 37.609, a favor de familiares (-1,3%).</w:t>
      </w:r>
    </w:p>
    <w:p w:rsidR="00C052A4" w:rsidRPr="00574E91" w:rsidRDefault="00C052A4"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lastRenderedPageBreak/>
        <w:t>Caída de la natalidad</w:t>
      </w:r>
      <w:r w:rsidRPr="00574E91">
        <w:rPr>
          <w:rFonts w:ascii="Times New Roman" w:eastAsia="Times New Roman" w:hAnsi="Times New Roman" w:cs="Times New Roman"/>
          <w:sz w:val="24"/>
          <w:szCs w:val="24"/>
          <w:lang w:eastAsia="es-ES"/>
        </w:rPr>
        <w:t xml:space="preserve"> </w:t>
      </w:r>
    </w:p>
    <w:p w:rsidR="00C052A4" w:rsidRPr="00574E91" w:rsidRDefault="00C052A4" w:rsidP="00550638">
      <w:pPr>
        <w:spacing w:before="100" w:beforeAutospacing="1" w:after="100" w:afterAutospacing="1" w:line="240" w:lineRule="auto"/>
        <w:jc w:val="both"/>
        <w:rPr>
          <w:rFonts w:ascii="Times New Roman" w:eastAsia="Times New Roman" w:hAnsi="Times New Roman" w:cs="Times New Roman"/>
          <w:sz w:val="24"/>
          <w:szCs w:val="24"/>
          <w:lang w:eastAsia="es-ES"/>
        </w:rPr>
      </w:pPr>
      <w:r w:rsidRPr="008E0C19">
        <w:rPr>
          <w:rFonts w:ascii="Times New Roman" w:eastAsia="Times New Roman" w:hAnsi="Times New Roman" w:cs="Times New Roman"/>
          <w:color w:val="FF0000"/>
          <w:sz w:val="24"/>
          <w:szCs w:val="24"/>
          <w:u w:val="single"/>
          <w:lang w:eastAsia="es-ES"/>
        </w:rPr>
        <w:t>La relación de cotizantes (16.179.438) respecto a pensionistas (9.008.348) es de 1,796, es decir, muy alejada de una ratio de 3 por uno que será lo ideal del sistema. Pero la pirámide de población en España está invertida. La esperanza de vida crece y las escasa ayudas y apoyo del Estado a las familias hace que la natalidad caiga en picado</w:t>
      </w:r>
      <w:r w:rsidRPr="00574E91">
        <w:rPr>
          <w:rFonts w:ascii="Times New Roman" w:eastAsia="Times New Roman" w:hAnsi="Times New Roman" w:cs="Times New Roman"/>
          <w:sz w:val="24"/>
          <w:szCs w:val="24"/>
          <w:lang w:eastAsia="es-ES"/>
        </w:rPr>
        <w:t>. A</w:t>
      </w:r>
      <w:r>
        <w:rPr>
          <w:rFonts w:ascii="Times New Roman" w:eastAsia="Times New Roman" w:hAnsi="Times New Roman" w:cs="Times New Roman"/>
          <w:sz w:val="24"/>
          <w:szCs w:val="24"/>
          <w:lang w:eastAsia="es-ES"/>
        </w:rPr>
        <w:t>sí, desde 2008 hasta 2011 ha caí</w:t>
      </w:r>
      <w:r w:rsidRPr="00574E91">
        <w:rPr>
          <w:rFonts w:ascii="Times New Roman" w:eastAsia="Times New Roman" w:hAnsi="Times New Roman" w:cs="Times New Roman"/>
          <w:sz w:val="24"/>
          <w:szCs w:val="24"/>
          <w:lang w:eastAsia="es-ES"/>
        </w:rPr>
        <w:t>do de 1,46 hijos por mujer a 1,35, mientras la edad media de las madres se ha situado en los 32 años y las de las bodas supera los 30 años, algo lógico si se considera que el 55% de los j</w:t>
      </w:r>
      <w:r>
        <w:rPr>
          <w:rFonts w:ascii="Times New Roman" w:eastAsia="Times New Roman" w:hAnsi="Times New Roman" w:cs="Times New Roman"/>
          <w:sz w:val="24"/>
          <w:szCs w:val="24"/>
          <w:lang w:eastAsia="es-ES"/>
        </w:rPr>
        <w:t>óvenes españoles están en paro.</w:t>
      </w:r>
      <w:r w:rsidRPr="00574E91">
        <w:rPr>
          <w:rFonts w:ascii="Times New Roman" w:eastAsia="Times New Roman" w:hAnsi="Times New Roman" w:cs="Times New Roman"/>
          <w:sz w:val="24"/>
          <w:szCs w:val="24"/>
          <w:lang w:eastAsia="es-ES"/>
        </w:rPr>
        <w:t xml:space="preserve"> </w:t>
      </w:r>
    </w:p>
    <w:p w:rsidR="00C052A4" w:rsidRDefault="00C052A4" w:rsidP="00550638">
      <w:pPr>
        <w:spacing w:before="100" w:beforeAutospacing="1" w:after="100" w:afterAutospacing="1" w:line="240" w:lineRule="auto"/>
        <w:jc w:val="both"/>
        <w:rPr>
          <w:rFonts w:ascii="Times New Roman" w:eastAsia="Times New Roman" w:hAnsi="Times New Roman" w:cs="Times New Roman"/>
          <w:color w:val="FF0000"/>
          <w:sz w:val="24"/>
          <w:szCs w:val="24"/>
          <w:u w:val="single"/>
          <w:lang w:eastAsia="es-ES"/>
        </w:rPr>
      </w:pPr>
      <w:r w:rsidRPr="00574E91">
        <w:rPr>
          <w:rFonts w:ascii="Times New Roman" w:eastAsia="Times New Roman" w:hAnsi="Times New Roman" w:cs="Times New Roman"/>
          <w:sz w:val="24"/>
          <w:szCs w:val="24"/>
          <w:lang w:eastAsia="es-ES"/>
        </w:rPr>
        <w:t>A pesar de estos negativos datos, el secretario de Estado de la Seguridad Soc</w:t>
      </w:r>
      <w:r>
        <w:rPr>
          <w:rFonts w:ascii="Times New Roman" w:eastAsia="Times New Roman" w:hAnsi="Times New Roman" w:cs="Times New Roman"/>
          <w:sz w:val="24"/>
          <w:szCs w:val="24"/>
          <w:lang w:eastAsia="es-ES"/>
        </w:rPr>
        <w:t>ial, Tomás Burgos, asegura que “</w:t>
      </w:r>
      <w:r w:rsidRPr="00574E91">
        <w:rPr>
          <w:rFonts w:ascii="Times New Roman" w:eastAsia="Times New Roman" w:hAnsi="Times New Roman" w:cs="Times New Roman"/>
          <w:sz w:val="24"/>
          <w:szCs w:val="24"/>
          <w:lang w:eastAsia="es-ES"/>
        </w:rPr>
        <w:t>este comportamie</w:t>
      </w:r>
      <w:r>
        <w:rPr>
          <w:rFonts w:ascii="Times New Roman" w:eastAsia="Times New Roman" w:hAnsi="Times New Roman" w:cs="Times New Roman"/>
          <w:sz w:val="24"/>
          <w:szCs w:val="24"/>
          <w:lang w:eastAsia="es-ES"/>
        </w:rPr>
        <w:t>nto atiende a una foto habitual”, porque en  enero “</w:t>
      </w:r>
      <w:r w:rsidRPr="00574E91">
        <w:rPr>
          <w:rFonts w:ascii="Times New Roman" w:eastAsia="Times New Roman" w:hAnsi="Times New Roman" w:cs="Times New Roman"/>
          <w:sz w:val="24"/>
          <w:szCs w:val="24"/>
          <w:lang w:eastAsia="es-ES"/>
        </w:rPr>
        <w:t>siempre ha</w:t>
      </w:r>
      <w:r>
        <w:rPr>
          <w:rFonts w:ascii="Times New Roman" w:eastAsia="Times New Roman" w:hAnsi="Times New Roman" w:cs="Times New Roman"/>
          <w:sz w:val="24"/>
          <w:szCs w:val="24"/>
          <w:lang w:eastAsia="es-ES"/>
        </w:rPr>
        <w:t xml:space="preserve"> sido un mal mes para el empleo”</w:t>
      </w:r>
      <w:r w:rsidRPr="00574E91">
        <w:rPr>
          <w:rFonts w:ascii="Times New Roman" w:eastAsia="Times New Roman" w:hAnsi="Times New Roman" w:cs="Times New Roman"/>
          <w:sz w:val="24"/>
          <w:szCs w:val="24"/>
          <w:lang w:eastAsia="es-ES"/>
        </w:rPr>
        <w:t xml:space="preserve"> por el fin de la campaña navideñas. </w:t>
      </w:r>
      <w:r w:rsidRPr="008E0C19">
        <w:rPr>
          <w:rFonts w:ascii="Times New Roman" w:eastAsia="Times New Roman" w:hAnsi="Times New Roman" w:cs="Times New Roman"/>
          <w:color w:val="FF0000"/>
          <w:sz w:val="24"/>
          <w:szCs w:val="24"/>
          <w:u w:val="single"/>
          <w:lang w:eastAsia="es-ES"/>
        </w:rPr>
        <w:t>Lo que no parece tan habitual es que casi 15 millones de españoles o son pensionistas o están en el paro -la EPA revela que hay seis millones de desempleados- de una población total de 46,8 millones de ciudadanos, lo que supone que el 32%.de los españoles o es pensionista o está en paro.</w:t>
      </w:r>
    </w:p>
    <w:p w:rsidR="006455B9" w:rsidRPr="006455B9" w:rsidRDefault="006455B9" w:rsidP="00550638">
      <w:pPr>
        <w:spacing w:before="100" w:beforeAutospacing="1"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Fedea en desacuerdo</w:t>
      </w:r>
      <w:r w:rsidRPr="006455B9">
        <w:rPr>
          <w:rFonts w:ascii="Times New Roman" w:eastAsia="Times New Roman" w:hAnsi="Times New Roman" w:cs="Times New Roman"/>
          <w:sz w:val="24"/>
          <w:szCs w:val="24"/>
          <w:u w:val="single"/>
          <w:lang w:eastAsia="es-ES"/>
        </w:rPr>
        <w:t xml:space="preserve"> con la fórmula de la “reforma silenciosa”</w:t>
      </w:r>
      <w:r>
        <w:rPr>
          <w:rFonts w:ascii="Times New Roman" w:eastAsia="Times New Roman" w:hAnsi="Times New Roman" w:cs="Times New Roman"/>
          <w:sz w:val="24"/>
          <w:szCs w:val="24"/>
          <w:u w:val="single"/>
          <w:lang w:eastAsia="es-ES"/>
        </w:rPr>
        <w:t xml:space="preserve"> del sistema de pensiones</w:t>
      </w:r>
    </w:p>
    <w:p w:rsidR="00300FCB" w:rsidRPr="00E51E16" w:rsidRDefault="00300FCB"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51E16">
        <w:rPr>
          <w:rFonts w:ascii="Times New Roman" w:hAnsi="Times New Roman" w:cs="Times New Roman"/>
          <w:sz w:val="24"/>
          <w:szCs w:val="24"/>
          <w:u w:val="single"/>
        </w:rPr>
        <w:t>No Reformemos las Pensiones por la puerta de atrás</w:t>
      </w:r>
      <w:r w:rsidRPr="00E51E16">
        <w:rPr>
          <w:rFonts w:ascii="Times New Roman" w:hAnsi="Times New Roman" w:cs="Times New Roman"/>
          <w:sz w:val="24"/>
          <w:szCs w:val="24"/>
        </w:rPr>
        <w:t>…</w:t>
      </w:r>
      <w:r>
        <w:rPr>
          <w:rFonts w:ascii="Times New Roman" w:hAnsi="Times New Roman" w:cs="Times New Roman"/>
          <w:sz w:val="24"/>
          <w:szCs w:val="24"/>
        </w:rPr>
        <w:t xml:space="preserve"> (Fedea - </w:t>
      </w:r>
      <w:r w:rsidRPr="00E51E16">
        <w:rPr>
          <w:rFonts w:ascii="Times New Roman" w:hAnsi="Times New Roman" w:cs="Times New Roman"/>
          <w:b/>
          <w:sz w:val="24"/>
          <w:szCs w:val="24"/>
        </w:rPr>
        <w:t>25/2/13</w:t>
      </w:r>
      <w:r>
        <w:rPr>
          <w:rFonts w:ascii="Times New Roman" w:hAnsi="Times New Roman" w:cs="Times New Roman"/>
          <w:sz w:val="24"/>
          <w:szCs w:val="24"/>
        </w:rPr>
        <w:t>)</w:t>
      </w:r>
    </w:p>
    <w:p w:rsidR="00300FCB" w:rsidRPr="00E51E16" w:rsidRDefault="00300FCB"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E51E16">
        <w:rPr>
          <w:rFonts w:ascii="Times New Roman" w:hAnsi="Times New Roman" w:cs="Times New Roman"/>
          <w:sz w:val="24"/>
          <w:szCs w:val="24"/>
        </w:rPr>
        <w:t xml:space="preserve">Por J. </w:t>
      </w:r>
      <w:r>
        <w:rPr>
          <w:rFonts w:ascii="Times New Roman" w:hAnsi="Times New Roman" w:cs="Times New Roman"/>
          <w:sz w:val="24"/>
          <w:szCs w:val="24"/>
        </w:rPr>
        <w:t>Ignacio Conde-Ruiz)</w:t>
      </w:r>
      <w:r w:rsidR="006455B9">
        <w:rPr>
          <w:rFonts w:ascii="Times New Roman" w:hAnsi="Times New Roman" w:cs="Times New Roman"/>
          <w:sz w:val="24"/>
          <w:szCs w:val="24"/>
        </w:rPr>
        <w:t xml:space="preserve">                                                              Lectura recomendada</w:t>
      </w:r>
    </w:p>
    <w:p w:rsidR="00300FCB" w:rsidRPr="00345908" w:rsidRDefault="00300FCB" w:rsidP="00550638">
      <w:pPr>
        <w:spacing w:line="240" w:lineRule="auto"/>
        <w:jc w:val="both"/>
        <w:rPr>
          <w:rFonts w:ascii="Times New Roman" w:hAnsi="Times New Roman" w:cs="Times New Roman"/>
          <w:sz w:val="24"/>
          <w:szCs w:val="24"/>
          <w:u w:val="single"/>
        </w:rPr>
      </w:pPr>
      <w:r w:rsidRPr="00345908">
        <w:rPr>
          <w:rFonts w:ascii="Times New Roman" w:hAnsi="Times New Roman" w:cs="Times New Roman"/>
          <w:sz w:val="24"/>
          <w:szCs w:val="24"/>
          <w:u w:val="single"/>
        </w:rPr>
        <w:t>En estos momentos nadie pone en duda que la sostenibilidad del sistema de pensiones en España está amenazada por el envejecimiento poblacional.</w:t>
      </w:r>
      <w:r w:rsidRPr="00E51E16">
        <w:rPr>
          <w:rFonts w:ascii="Times New Roman" w:hAnsi="Times New Roman" w:cs="Times New Roman"/>
          <w:sz w:val="24"/>
          <w:szCs w:val="24"/>
        </w:rPr>
        <w:t xml:space="preserve"> </w:t>
      </w:r>
      <w:r w:rsidRPr="00345908">
        <w:rPr>
          <w:rFonts w:ascii="Times New Roman" w:hAnsi="Times New Roman" w:cs="Times New Roman"/>
          <w:sz w:val="24"/>
          <w:szCs w:val="24"/>
          <w:u w:val="single"/>
        </w:rPr>
        <w:t xml:space="preserve">La reforma aprobada en el año 2011, tal como analizamos en un artículo (con Clara I. González), si bien ha sido la más importante de las últimas décadas, solo solucionará, en el mejor de los casos, un tercio de los problemas existentes </w:t>
      </w:r>
      <w:r w:rsidRPr="00E51E16">
        <w:rPr>
          <w:rFonts w:ascii="Times New Roman" w:hAnsi="Times New Roman" w:cs="Times New Roman"/>
          <w:sz w:val="24"/>
          <w:szCs w:val="24"/>
        </w:rPr>
        <w:t xml:space="preserve">(aquí coincidimos con otros estudios realizados por el MEH (2011), Banco de España (2011), de la Fuente y Doménech (2010), Díaz-Giménez y Díaz-Saavedra (2011) y </w:t>
      </w:r>
      <w:r w:rsidRPr="00345908">
        <w:rPr>
          <w:rFonts w:ascii="Times New Roman" w:hAnsi="Times New Roman" w:cs="Times New Roman"/>
          <w:sz w:val="24"/>
          <w:szCs w:val="24"/>
          <w:u w:val="single"/>
        </w:rPr>
        <w:t xml:space="preserve">por lo tanto será necesario seguir avanzando con las reformas. </w:t>
      </w:r>
    </w:p>
    <w:p w:rsidR="00300FCB" w:rsidRPr="00E51E16" w:rsidRDefault="00300FCB" w:rsidP="00550638">
      <w:pPr>
        <w:spacing w:line="240" w:lineRule="auto"/>
        <w:jc w:val="both"/>
        <w:rPr>
          <w:rFonts w:ascii="Times New Roman" w:hAnsi="Times New Roman" w:cs="Times New Roman"/>
          <w:sz w:val="24"/>
          <w:szCs w:val="24"/>
        </w:rPr>
      </w:pPr>
      <w:r w:rsidRPr="00E51E16">
        <w:rPr>
          <w:rFonts w:ascii="Times New Roman" w:hAnsi="Times New Roman" w:cs="Times New Roman"/>
          <w:sz w:val="24"/>
          <w:szCs w:val="24"/>
        </w:rPr>
        <w:t xml:space="preserve">La crisis económica ha acentuado los problemas de la crisis demográfica y </w:t>
      </w:r>
      <w:r w:rsidRPr="00345908">
        <w:rPr>
          <w:rFonts w:ascii="Times New Roman" w:hAnsi="Times New Roman" w:cs="Times New Roman"/>
          <w:sz w:val="24"/>
          <w:szCs w:val="24"/>
          <w:u w:val="single"/>
        </w:rPr>
        <w:t>el ratio entre afiliados y pensionistas, como se puede ver en el siguiente gráfico, está por debajo de 2 por primera vez desde 1997.</w:t>
      </w:r>
      <w:r w:rsidRPr="00E51E16">
        <w:rPr>
          <w:rFonts w:ascii="Times New Roman" w:hAnsi="Times New Roman" w:cs="Times New Roman"/>
          <w:sz w:val="24"/>
          <w:szCs w:val="24"/>
        </w:rPr>
        <w:t xml:space="preserve"> </w:t>
      </w:r>
      <w:r w:rsidRPr="00345908">
        <w:rPr>
          <w:rFonts w:ascii="Times New Roman" w:hAnsi="Times New Roman" w:cs="Times New Roman"/>
          <w:color w:val="FF0000"/>
          <w:sz w:val="24"/>
          <w:szCs w:val="24"/>
          <w:u w:val="single"/>
        </w:rPr>
        <w:t>Aunque la economía se recupere, el fuerte proceso de envejecimiento que tenemos por delante hace difícil (por no decir imposible) volver a los ratios de 2,5 cotizantes por cada pensionista que alcanzamos en el año 2007.</w:t>
      </w:r>
      <w:r w:rsidRPr="00345908">
        <w:rPr>
          <w:rFonts w:ascii="Times New Roman" w:hAnsi="Times New Roman" w:cs="Times New Roman"/>
          <w:color w:val="FF0000"/>
          <w:sz w:val="24"/>
          <w:szCs w:val="24"/>
        </w:rPr>
        <w:t xml:space="preserve"> </w:t>
      </w:r>
    </w:p>
    <w:p w:rsidR="00300FCB" w:rsidRPr="00E51E16" w:rsidRDefault="00300FCB" w:rsidP="00550638">
      <w:pPr>
        <w:spacing w:line="240" w:lineRule="auto"/>
        <w:jc w:val="both"/>
        <w:rPr>
          <w:rFonts w:ascii="Times New Roman" w:hAnsi="Times New Roman" w:cs="Times New Roman"/>
          <w:sz w:val="24"/>
          <w:szCs w:val="24"/>
        </w:rPr>
      </w:pPr>
      <w:r w:rsidRPr="00345908">
        <w:rPr>
          <w:rFonts w:ascii="Times New Roman" w:hAnsi="Times New Roman" w:cs="Times New Roman"/>
          <w:sz w:val="24"/>
          <w:szCs w:val="24"/>
          <w:u w:val="single"/>
        </w:rPr>
        <w:t>Es evidente que hay que continuar haciendo reformas, esta es la única vía</w:t>
      </w:r>
      <w:r w:rsidRPr="00E51E16">
        <w:rPr>
          <w:rFonts w:ascii="Times New Roman" w:hAnsi="Times New Roman" w:cs="Times New Roman"/>
          <w:sz w:val="24"/>
          <w:szCs w:val="24"/>
        </w:rPr>
        <w:t xml:space="preserve">. La reforma de 2011 dejó pendiente el desarrollo del </w:t>
      </w:r>
      <w:r w:rsidRPr="00345908">
        <w:rPr>
          <w:rFonts w:ascii="Times New Roman" w:hAnsi="Times New Roman" w:cs="Times New Roman"/>
          <w:color w:val="FF0000"/>
          <w:sz w:val="24"/>
          <w:szCs w:val="24"/>
          <w:u w:val="single"/>
        </w:rPr>
        <w:t>llamado factor de sostenibilidad. Este factor que permite pasar de un sistema de prestación definida como el actual a otro de contribución definida, si está bien diseñado,  tendrá efectos muy importantes sobre la sostenibilidad dado que permitirá adaptar el sistema a la evolución del envejecimiento.</w:t>
      </w:r>
      <w:r w:rsidRPr="00345908">
        <w:rPr>
          <w:rFonts w:ascii="Times New Roman" w:hAnsi="Times New Roman" w:cs="Times New Roman"/>
          <w:color w:val="FF0000"/>
          <w:sz w:val="24"/>
          <w:szCs w:val="24"/>
        </w:rPr>
        <w:t xml:space="preserve"> </w:t>
      </w:r>
      <w:r w:rsidRPr="00E51E16">
        <w:rPr>
          <w:rFonts w:ascii="Times New Roman" w:hAnsi="Times New Roman" w:cs="Times New Roman"/>
          <w:sz w:val="24"/>
          <w:szCs w:val="24"/>
        </w:rPr>
        <w:t>Próximamente Sergi Jiméne</w:t>
      </w:r>
      <w:r>
        <w:rPr>
          <w:rFonts w:ascii="Times New Roman" w:hAnsi="Times New Roman" w:cs="Times New Roman"/>
          <w:sz w:val="24"/>
          <w:szCs w:val="24"/>
        </w:rPr>
        <w:t>z dedicará un post a este tema.</w:t>
      </w:r>
    </w:p>
    <w:p w:rsidR="00300FCB" w:rsidRPr="00345908" w:rsidRDefault="00300FCB" w:rsidP="00550638">
      <w:pPr>
        <w:spacing w:line="240" w:lineRule="auto"/>
        <w:jc w:val="both"/>
        <w:rPr>
          <w:rFonts w:ascii="Times New Roman" w:hAnsi="Times New Roman" w:cs="Times New Roman"/>
          <w:sz w:val="24"/>
          <w:szCs w:val="24"/>
          <w:u w:val="single"/>
        </w:rPr>
      </w:pPr>
      <w:r w:rsidRPr="00E51E16">
        <w:rPr>
          <w:rFonts w:ascii="Times New Roman" w:hAnsi="Times New Roman" w:cs="Times New Roman"/>
          <w:sz w:val="24"/>
          <w:szCs w:val="24"/>
        </w:rPr>
        <w:t xml:space="preserve">Las reformas son imprescindibles pero </w:t>
      </w:r>
      <w:r w:rsidRPr="00345908">
        <w:rPr>
          <w:rFonts w:ascii="Times New Roman" w:hAnsi="Times New Roman" w:cs="Times New Roman"/>
          <w:sz w:val="24"/>
          <w:szCs w:val="24"/>
          <w:u w:val="single"/>
        </w:rPr>
        <w:t>lo que hay que evitar es la tentación de reformar el sistema de pensiones por la puerta de atrás, es decir sin que sea visible para la ciudadanía.</w:t>
      </w:r>
      <w:r w:rsidRPr="00E51E16">
        <w:rPr>
          <w:rFonts w:ascii="Times New Roman" w:hAnsi="Times New Roman" w:cs="Times New Roman"/>
          <w:sz w:val="24"/>
          <w:szCs w:val="24"/>
        </w:rPr>
        <w:t xml:space="preserve"> Por desgracia, en España tenemos un precedente. Es </w:t>
      </w:r>
      <w:r w:rsidRPr="00345908">
        <w:rPr>
          <w:rFonts w:ascii="Times New Roman" w:hAnsi="Times New Roman" w:cs="Times New Roman"/>
          <w:sz w:val="24"/>
          <w:szCs w:val="24"/>
          <w:u w:val="single"/>
        </w:rPr>
        <w:t>lo que los expertos en pensiones llaman desde hace años “la reforma silenciosa”</w:t>
      </w:r>
      <w:r w:rsidRPr="00E51E16">
        <w:rPr>
          <w:rFonts w:ascii="Times New Roman" w:hAnsi="Times New Roman" w:cs="Times New Roman"/>
          <w:sz w:val="24"/>
          <w:szCs w:val="24"/>
        </w:rPr>
        <w:t xml:space="preserve">. Estos sostienen que </w:t>
      </w:r>
      <w:r w:rsidRPr="00345908">
        <w:rPr>
          <w:rFonts w:ascii="Times New Roman" w:hAnsi="Times New Roman" w:cs="Times New Roman"/>
          <w:sz w:val="24"/>
          <w:szCs w:val="24"/>
          <w:u w:val="single"/>
        </w:rPr>
        <w:t>el sistema de Seguridad Social español ha cambiado sustancialmente debido a la evolución dinámica de algunos parámetros clave del sistema, como son las bases de cotización máximas y mínimas y las pensiones máximas y mínimas</w:t>
      </w:r>
      <w:r w:rsidRPr="00E51E16">
        <w:rPr>
          <w:rFonts w:ascii="Times New Roman" w:hAnsi="Times New Roman" w:cs="Times New Roman"/>
          <w:sz w:val="24"/>
          <w:szCs w:val="24"/>
        </w:rPr>
        <w:t xml:space="preserve">. Estos son los topes que, </w:t>
      </w:r>
      <w:r w:rsidRPr="00E51E16">
        <w:rPr>
          <w:rFonts w:ascii="Times New Roman" w:hAnsi="Times New Roman" w:cs="Times New Roman"/>
          <w:sz w:val="24"/>
          <w:szCs w:val="24"/>
        </w:rPr>
        <w:lastRenderedPageBreak/>
        <w:t>respectivamente, se aplican a la base de cotización por la cual se cotiza al Sistema de Seguridad social y a la pensión en el momento en el que nos jubila</w:t>
      </w:r>
      <w:r>
        <w:rPr>
          <w:rFonts w:ascii="Times New Roman" w:hAnsi="Times New Roman" w:cs="Times New Roman"/>
          <w:sz w:val="24"/>
          <w:szCs w:val="24"/>
        </w:rPr>
        <w:t xml:space="preserve">mos. </w:t>
      </w:r>
      <w:r w:rsidRPr="00345908">
        <w:rPr>
          <w:rFonts w:ascii="Times New Roman" w:hAnsi="Times New Roman" w:cs="Times New Roman"/>
          <w:sz w:val="24"/>
          <w:szCs w:val="24"/>
          <w:u w:val="single"/>
        </w:rPr>
        <w:t>La amplitud y evolución del intervalo entre los topes mínimos y máximos es un elemento importante para tanto para los ingresos como para los gastos del sistema.</w:t>
      </w:r>
    </w:p>
    <w:p w:rsidR="00300FCB" w:rsidRPr="00E51E16" w:rsidRDefault="00300FCB" w:rsidP="00550638">
      <w:pPr>
        <w:spacing w:line="240" w:lineRule="auto"/>
        <w:jc w:val="both"/>
        <w:rPr>
          <w:rFonts w:ascii="Times New Roman" w:hAnsi="Times New Roman" w:cs="Times New Roman"/>
          <w:sz w:val="24"/>
          <w:szCs w:val="24"/>
        </w:rPr>
      </w:pPr>
      <w:r w:rsidRPr="00E51E16">
        <w:rPr>
          <w:rFonts w:ascii="Times New Roman" w:hAnsi="Times New Roman" w:cs="Times New Roman"/>
          <w:sz w:val="24"/>
          <w:szCs w:val="24"/>
        </w:rPr>
        <w:t>La variación de estos elementos es fijada cada año por el Gobierno pero no ha contado con demasiada relevancia mediática ni política al percibirse como factores secundarios para la sostenibilidad ﬁnanciera del sistema, y en consecuencia, ha pasado muy inadvertida. Aunque como veremos s</w:t>
      </w:r>
      <w:r>
        <w:rPr>
          <w:rFonts w:ascii="Times New Roman" w:hAnsi="Times New Roman" w:cs="Times New Roman"/>
          <w:sz w:val="24"/>
          <w:szCs w:val="24"/>
        </w:rPr>
        <w:t>us efectos son muy importantes.</w:t>
      </w:r>
    </w:p>
    <w:p w:rsidR="00300FCB" w:rsidRPr="00E51E16" w:rsidRDefault="00300FCB" w:rsidP="00550638">
      <w:pPr>
        <w:spacing w:line="240" w:lineRule="auto"/>
        <w:jc w:val="both"/>
        <w:rPr>
          <w:rFonts w:ascii="Times New Roman" w:hAnsi="Times New Roman" w:cs="Times New Roman"/>
          <w:color w:val="FF0000"/>
          <w:sz w:val="24"/>
          <w:szCs w:val="24"/>
          <w:u w:val="single"/>
        </w:rPr>
      </w:pPr>
      <w:r w:rsidRPr="00345908">
        <w:rPr>
          <w:rFonts w:ascii="Times New Roman" w:hAnsi="Times New Roman" w:cs="Times New Roman"/>
          <w:color w:val="FF0000"/>
          <w:sz w:val="24"/>
          <w:szCs w:val="24"/>
          <w:u w:val="single"/>
        </w:rPr>
        <w:t>La política seguida hasta ahora durante los últimos 15 años, como se ve en el siguiente gráfico, muestra dos tendencias claras: el ratio pensión mínima y base mínima ha aumentado hasta el 1,2 (lo cual quiere decir que si un trabajador cotiza por la base mínima toda su vida laboral la pensión que percibe es un 20% superior dicha base), mientras que el ratio pensión máxima y base máxima descendió para luego estabilizarse en el 0,9 (lo cual quiere decir que si un trabajador cotizase toda su vida por la base máxima la pensión que percibiría será un 10% inferior a la base por la que cotizó).</w:t>
      </w:r>
    </w:p>
    <w:p w:rsidR="00300FCB" w:rsidRPr="00E51E16" w:rsidRDefault="00300FCB"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r>
        <w:rPr>
          <w:rFonts w:ascii="Georgia" w:eastAsia="Times New Roman" w:hAnsi="Georgia" w:cs="Times New Roman"/>
          <w:noProof/>
          <w:color w:val="2361A1"/>
          <w:sz w:val="21"/>
          <w:szCs w:val="21"/>
          <w:lang w:eastAsia="es-ES"/>
        </w:rPr>
        <w:drawing>
          <wp:inline distT="0" distB="0" distL="0" distR="0" wp14:anchorId="51CC982E" wp14:editId="30F6EFCF">
            <wp:extent cx="5493663" cy="2355495"/>
            <wp:effectExtent l="0" t="0" r="0" b="6985"/>
            <wp:docPr id="451" name="Imagen 451" descr="Gráfico 2">
              <a:hlinkClick xmlns:a="http://schemas.openxmlformats.org/drawingml/2006/main" r:id="rId6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Gráfico 2">
                      <a:hlinkClick r:id="rId618"/>
                    </pic:cNvPr>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5502275" cy="2359188"/>
                    </a:xfrm>
                    <a:prstGeom prst="rect">
                      <a:avLst/>
                    </a:prstGeom>
                    <a:noFill/>
                    <a:ln>
                      <a:noFill/>
                    </a:ln>
                  </pic:spPr>
                </pic:pic>
              </a:graphicData>
            </a:graphic>
          </wp:inline>
        </w:drawing>
      </w:r>
    </w:p>
    <w:p w:rsidR="00300FCB" w:rsidRPr="008406EA" w:rsidRDefault="00300FCB" w:rsidP="00550638">
      <w:pPr>
        <w:spacing w:line="240" w:lineRule="auto"/>
        <w:jc w:val="both"/>
        <w:rPr>
          <w:rFonts w:ascii="Times New Roman" w:hAnsi="Times New Roman" w:cs="Times New Roman"/>
          <w:sz w:val="24"/>
          <w:szCs w:val="24"/>
        </w:rPr>
      </w:pPr>
      <w:r w:rsidRPr="008406EA">
        <w:rPr>
          <w:rFonts w:ascii="Times New Roman" w:hAnsi="Times New Roman" w:cs="Times New Roman"/>
          <w:sz w:val="24"/>
          <w:szCs w:val="24"/>
        </w:rPr>
        <w:t>¿En qué consiste el mecanismo de la “reforma silenciosa”?</w:t>
      </w:r>
    </w:p>
    <w:p w:rsidR="00300FCB" w:rsidRPr="00345908" w:rsidRDefault="00300FCB" w:rsidP="00550638">
      <w:pPr>
        <w:spacing w:line="240" w:lineRule="auto"/>
        <w:jc w:val="both"/>
        <w:rPr>
          <w:rFonts w:ascii="Times New Roman" w:hAnsi="Times New Roman" w:cs="Times New Roman"/>
          <w:sz w:val="24"/>
          <w:szCs w:val="24"/>
          <w:u w:val="single"/>
        </w:rPr>
      </w:pPr>
      <w:r w:rsidRPr="00345908">
        <w:rPr>
          <w:rFonts w:ascii="Times New Roman" w:hAnsi="Times New Roman" w:cs="Times New Roman"/>
          <w:sz w:val="24"/>
          <w:szCs w:val="24"/>
          <w:u w:val="single"/>
        </w:rPr>
        <w:t>Consiste básicamente en mantener constante en términos reales la pensión máxima, mientras se aumenta la base máxima de cotización. Es decir, si los salarios (y todas las bases de cotización) crecen de forma continuada al ritmo del crecimiento de la productividad y la pensión máxima a la que tiene derecho un individuo no se actualiza con los salarios ocurren dos cosas: i) aumenta la diferencia entre la pensión máxima y la base de cotización máxima, con lo cual la tasa de sustitución (i.e. ratio pensión / salario) de los trabajadores con derecho a pensión máxima es cada vez menor; y ii) cada vez habrá más individuos con derecho a percibir dicha pensión máxima. Ambos efectos consiguen que la ratio (pensión media /productividad media) para el sistema en su conjunto se reduzca. Es decir, se consigue romper la relación entre la pensión media y la productividad media, logrando reducir el gasto total. Se trata, por lo tanto, de una reforma en toda regla pero hecha por la puerta de atrás.</w:t>
      </w:r>
    </w:p>
    <w:p w:rsidR="00300FCB" w:rsidRPr="00E51E16" w:rsidRDefault="00300FCB" w:rsidP="00550638">
      <w:pPr>
        <w:spacing w:line="240" w:lineRule="auto"/>
        <w:jc w:val="both"/>
        <w:rPr>
          <w:rFonts w:ascii="Times New Roman" w:hAnsi="Times New Roman" w:cs="Times New Roman"/>
          <w:sz w:val="24"/>
          <w:szCs w:val="24"/>
        </w:rPr>
      </w:pPr>
      <w:r w:rsidRPr="00E51E16">
        <w:rPr>
          <w:rFonts w:ascii="Times New Roman" w:hAnsi="Times New Roman" w:cs="Times New Roman"/>
          <w:sz w:val="24"/>
          <w:szCs w:val="24"/>
        </w:rPr>
        <w:t>¿Cuál es el potencia</w:t>
      </w:r>
      <w:r>
        <w:rPr>
          <w:rFonts w:ascii="Times New Roman" w:hAnsi="Times New Roman" w:cs="Times New Roman"/>
          <w:sz w:val="24"/>
          <w:szCs w:val="24"/>
        </w:rPr>
        <w:t>l de esta “reforma silenciosa”?</w:t>
      </w:r>
    </w:p>
    <w:p w:rsidR="00300FCB" w:rsidRPr="00345908" w:rsidRDefault="00300FCB" w:rsidP="00550638">
      <w:pPr>
        <w:spacing w:line="240" w:lineRule="auto"/>
        <w:jc w:val="both"/>
        <w:rPr>
          <w:rFonts w:ascii="Times New Roman" w:hAnsi="Times New Roman" w:cs="Times New Roman"/>
          <w:sz w:val="24"/>
          <w:szCs w:val="24"/>
          <w:u w:val="single"/>
        </w:rPr>
      </w:pPr>
      <w:r w:rsidRPr="00E51E16">
        <w:rPr>
          <w:rFonts w:ascii="Times New Roman" w:hAnsi="Times New Roman" w:cs="Times New Roman"/>
          <w:sz w:val="24"/>
          <w:szCs w:val="24"/>
        </w:rPr>
        <w:t xml:space="preserve">Tras un cierto número de periodos las pensiones de un gran número de individuos alcanzarán el tope máximo, y por lo tanto dejarán de subir a la misma tasa que los </w:t>
      </w:r>
      <w:r w:rsidRPr="00E51E16">
        <w:rPr>
          <w:rFonts w:ascii="Times New Roman" w:hAnsi="Times New Roman" w:cs="Times New Roman"/>
          <w:sz w:val="24"/>
          <w:szCs w:val="24"/>
        </w:rPr>
        <w:lastRenderedPageBreak/>
        <w:t xml:space="preserve">salarios. </w:t>
      </w:r>
      <w:r w:rsidRPr="00345908">
        <w:rPr>
          <w:rFonts w:ascii="Times New Roman" w:hAnsi="Times New Roman" w:cs="Times New Roman"/>
          <w:sz w:val="24"/>
          <w:szCs w:val="24"/>
          <w:u w:val="single"/>
        </w:rPr>
        <w:t xml:space="preserve">De esta forma, periodo a periodo crece el número de individuos que reciben la pensión máxima topada por ley, que al no actualizarse con los salarios genera que sea cada vez una proporción más baja de su base de cotización. Llevado el mecanismo al extremo todos los trabajadores tendrán derecho a recibir la misma pensión máxima. </w:t>
      </w:r>
    </w:p>
    <w:p w:rsidR="00300FCB" w:rsidRPr="00E51E16" w:rsidRDefault="00300FCB" w:rsidP="00550638">
      <w:pPr>
        <w:spacing w:line="240" w:lineRule="auto"/>
        <w:jc w:val="both"/>
        <w:rPr>
          <w:rFonts w:ascii="Times New Roman" w:hAnsi="Times New Roman" w:cs="Times New Roman"/>
          <w:sz w:val="24"/>
          <w:szCs w:val="24"/>
        </w:rPr>
      </w:pPr>
      <w:r w:rsidRPr="00345908">
        <w:rPr>
          <w:rFonts w:ascii="Times New Roman" w:hAnsi="Times New Roman" w:cs="Times New Roman"/>
          <w:sz w:val="24"/>
          <w:szCs w:val="24"/>
          <w:u w:val="single"/>
        </w:rPr>
        <w:t>En un trabajo reciente con Clara I. González hemos demostrado que la reforma tiene un importante efecto de contención del gasto.</w:t>
      </w:r>
      <w:r w:rsidRPr="00E51E16">
        <w:rPr>
          <w:rFonts w:ascii="Times New Roman" w:hAnsi="Times New Roman" w:cs="Times New Roman"/>
          <w:sz w:val="24"/>
          <w:szCs w:val="24"/>
        </w:rPr>
        <w:t xml:space="preserve"> </w:t>
      </w:r>
      <w:r w:rsidRPr="00345908">
        <w:rPr>
          <w:rFonts w:ascii="Times New Roman" w:hAnsi="Times New Roman" w:cs="Times New Roman"/>
          <w:sz w:val="24"/>
          <w:szCs w:val="24"/>
          <w:u w:val="single"/>
        </w:rPr>
        <w:t>En el caso más extremo (donde se congela en términos reales la pensión máxima) puede suponer un ahorro de hasta 3,2 puntos de PIB en 2050 y 6,1 puntos de PIB en 2070.</w:t>
      </w:r>
      <w:r w:rsidRPr="00E51E16">
        <w:rPr>
          <w:rFonts w:ascii="Times New Roman" w:hAnsi="Times New Roman" w:cs="Times New Roman"/>
          <w:sz w:val="24"/>
          <w:szCs w:val="24"/>
        </w:rPr>
        <w:t xml:space="preserve"> Es decir el impacto es superior al de la reforma 2011 que obteníamos en e</w:t>
      </w:r>
      <w:r>
        <w:rPr>
          <w:rFonts w:ascii="Times New Roman" w:hAnsi="Times New Roman" w:cs="Times New Roman"/>
          <w:sz w:val="24"/>
          <w:szCs w:val="24"/>
        </w:rPr>
        <w:t>l trabajo anteriormente citado.</w:t>
      </w:r>
    </w:p>
    <w:p w:rsidR="00300FCB" w:rsidRPr="008406EA" w:rsidRDefault="00300FCB" w:rsidP="00550638">
      <w:pPr>
        <w:spacing w:line="240" w:lineRule="auto"/>
        <w:jc w:val="both"/>
        <w:rPr>
          <w:rFonts w:ascii="Times New Roman" w:hAnsi="Times New Roman" w:cs="Times New Roman"/>
          <w:sz w:val="24"/>
          <w:szCs w:val="24"/>
        </w:rPr>
      </w:pPr>
      <w:r w:rsidRPr="00E51E16">
        <w:rPr>
          <w:rFonts w:ascii="Times New Roman" w:hAnsi="Times New Roman" w:cs="Times New Roman"/>
          <w:sz w:val="24"/>
          <w:szCs w:val="24"/>
        </w:rPr>
        <w:t xml:space="preserve">Si es una reforma tan potente de contención del gasto </w:t>
      </w:r>
      <w:r w:rsidRPr="008406EA">
        <w:rPr>
          <w:rFonts w:ascii="Times New Roman" w:hAnsi="Times New Roman" w:cs="Times New Roman"/>
          <w:sz w:val="24"/>
          <w:szCs w:val="24"/>
        </w:rPr>
        <w:t xml:space="preserve">¿cuál es el problema con implementar la “reforma silenciosa”? </w:t>
      </w:r>
    </w:p>
    <w:p w:rsidR="00300FCB" w:rsidRPr="00AF6DDC" w:rsidRDefault="00300FCB" w:rsidP="00550638">
      <w:pPr>
        <w:spacing w:line="240" w:lineRule="auto"/>
        <w:jc w:val="both"/>
        <w:rPr>
          <w:rFonts w:ascii="Times New Roman" w:hAnsi="Times New Roman" w:cs="Times New Roman"/>
          <w:sz w:val="24"/>
          <w:szCs w:val="24"/>
          <w:u w:val="single"/>
        </w:rPr>
      </w:pPr>
      <w:r w:rsidRPr="00345908">
        <w:rPr>
          <w:rFonts w:ascii="Times New Roman" w:hAnsi="Times New Roman" w:cs="Times New Roman"/>
          <w:sz w:val="24"/>
          <w:szCs w:val="24"/>
          <w:u w:val="single"/>
        </w:rPr>
        <w:t>Pues básicamente porque se está cambiando la naturaleza de nuestro sistema de pensiones sin anunciarlo</w:t>
      </w:r>
      <w:r w:rsidRPr="00E51E16">
        <w:rPr>
          <w:rFonts w:ascii="Times New Roman" w:hAnsi="Times New Roman" w:cs="Times New Roman"/>
          <w:sz w:val="24"/>
          <w:szCs w:val="24"/>
        </w:rPr>
        <w:t>. Existen dos tipos de sistema de pensiones con respecto al grado de redistribución intrageneracional: sistema contributivo (o bismarkiano) y sistema asistencial (o beveridge). El primer sistema de seguridad social fue creado por Bismark en Alemania en el año 1881. Este sistema se caracterizaba porque existían una relación entre las cotizaciones realizadas y las pensiones que se reciben (pensión contributiva). Por otro lado, el informe Beveridge (Beveridge Report), publicado en el Reino unido en el año 1942, abogaba por la introducción de un sistema mínimo como instrumento de lucha contra la pobreza, que otorgara una pensión fija e igual a la mayoría de los trabajadores (pensión asistencial).  Por lo tanto, es fácil ver que en un  sistema tipo Beveridge, las pensiones son iguales para todos los trabajadores, mientras que las  tasas de sustitución (el ratio entre la pensión y el salario)  son una función decreciente del nivel de renta laboral. Al contrario, en un sistema tipo Bismarckiano, las pensiones son un función creciente de la renta laboral, mientras que las tasas de sustitución son iguales para todos los trabajadores. Además es interesante resaltar que empíricamente  los sistemas de seguridad social tipo Bismarkiano (países de la Europa continental),  están asociados con mayores gastos en pensiones públicas, un menor porcentaje de pensiones privadas y una menor desigualdad de la renta en comparación con  los sistemas de pensiones tipo Beveridgean (países anglosajones). Pues bien</w:t>
      </w:r>
      <w:r w:rsidRPr="00AF6DDC">
        <w:rPr>
          <w:rFonts w:ascii="Times New Roman" w:hAnsi="Times New Roman" w:cs="Times New Roman"/>
          <w:sz w:val="24"/>
          <w:szCs w:val="24"/>
          <w:u w:val="single"/>
        </w:rPr>
        <w:t xml:space="preserve">, como podemos ver en el siguiente gráfico la “reforma silenciosa” transforma nuestro sistema de pensiones tipo contributivo (o bismarkiano) hacia otro tipo asistencial (o beveridge). Ver Conde-Ruiz y Profeta (2007) para un análisis de economía política sobre el origen de ambos sistemas de pensiones. </w:t>
      </w:r>
    </w:p>
    <w:p w:rsidR="00300FCB" w:rsidRPr="00AF6DDC" w:rsidRDefault="00300FCB" w:rsidP="00550638">
      <w:pPr>
        <w:spacing w:line="240" w:lineRule="auto"/>
        <w:jc w:val="both"/>
        <w:rPr>
          <w:rFonts w:ascii="Times New Roman" w:hAnsi="Times New Roman" w:cs="Times New Roman"/>
          <w:color w:val="FF0000"/>
          <w:sz w:val="24"/>
          <w:szCs w:val="24"/>
          <w:u w:val="single"/>
        </w:rPr>
      </w:pPr>
      <w:r w:rsidRPr="00AF6DDC">
        <w:rPr>
          <w:rFonts w:ascii="Times New Roman" w:hAnsi="Times New Roman" w:cs="Times New Roman"/>
          <w:color w:val="FF0000"/>
          <w:sz w:val="24"/>
          <w:szCs w:val="24"/>
          <w:u w:val="single"/>
        </w:rPr>
        <w:t>En los resultados del trabajo sobre la Reforma Silenciosa, resumidos en el gráfico 3, apreciamos como la tasa de sustitución cae para todos los trabajadores y con mayor intensidad cuando mayor es el nivel de cualificación. Además, obtenemos también que en el resultado extremo, en el año 2050 el 75% de todas las altas, serán pensiones máximas.</w:t>
      </w:r>
    </w:p>
    <w:p w:rsidR="00300FCB" w:rsidRPr="00E51E16" w:rsidRDefault="00300FCB" w:rsidP="00550638">
      <w:pPr>
        <w:pStyle w:val="NormalWeb"/>
        <w:shd w:val="clear" w:color="auto" w:fill="FFFFFF"/>
        <w:rPr>
          <w:rFonts w:ascii="Georgia" w:hAnsi="Georgia"/>
          <w:color w:val="111111"/>
          <w:sz w:val="21"/>
          <w:szCs w:val="21"/>
        </w:rPr>
      </w:pPr>
      <w:r>
        <w:rPr>
          <w:rFonts w:ascii="Georgia" w:hAnsi="Georgia"/>
          <w:noProof/>
          <w:color w:val="2361A1"/>
          <w:sz w:val="21"/>
          <w:szCs w:val="21"/>
        </w:rPr>
        <w:lastRenderedPageBreak/>
        <w:drawing>
          <wp:inline distT="0" distB="0" distL="0" distR="0" wp14:anchorId="0C5A9C8A" wp14:editId="0B34006D">
            <wp:extent cx="5542280" cy="2417445"/>
            <wp:effectExtent l="0" t="0" r="1270" b="1905"/>
            <wp:docPr id="452" name="Imagen 452" descr="3">
              <a:hlinkClick xmlns:a="http://schemas.openxmlformats.org/drawingml/2006/main" r:id="rId6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3">
                      <a:hlinkClick r:id="rId620"/>
                    </pic:cNvPr>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5542280" cy="2417445"/>
                    </a:xfrm>
                    <a:prstGeom prst="rect">
                      <a:avLst/>
                    </a:prstGeom>
                    <a:noFill/>
                    <a:ln>
                      <a:noFill/>
                    </a:ln>
                  </pic:spPr>
                </pic:pic>
              </a:graphicData>
            </a:graphic>
          </wp:inline>
        </w:drawing>
      </w:r>
      <w:r w:rsidRPr="00E51E16">
        <w:t xml:space="preserve"> </w:t>
      </w:r>
    </w:p>
    <w:p w:rsidR="00300FCB" w:rsidRPr="00E51E16" w:rsidRDefault="00300FCB"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Fuente: Mimeo -</w:t>
      </w:r>
      <w:r w:rsidRPr="00E51E16">
        <w:rPr>
          <w:rFonts w:ascii="Times New Roman" w:hAnsi="Times New Roman" w:cs="Times New Roman"/>
          <w:sz w:val="24"/>
          <w:szCs w:val="24"/>
        </w:rPr>
        <w:t xml:space="preserve"> Conde-Ruiz y González (</w:t>
      </w:r>
      <w:r>
        <w:rPr>
          <w:rFonts w:ascii="Times New Roman" w:hAnsi="Times New Roman" w:cs="Times New Roman"/>
          <w:sz w:val="24"/>
          <w:szCs w:val="24"/>
        </w:rPr>
        <w:t>2012)</w:t>
      </w:r>
    </w:p>
    <w:p w:rsidR="00300FCB" w:rsidRPr="00AF6DDC" w:rsidRDefault="00300FCB" w:rsidP="00550638">
      <w:pPr>
        <w:spacing w:line="240" w:lineRule="auto"/>
        <w:jc w:val="both"/>
        <w:rPr>
          <w:rFonts w:ascii="Times New Roman" w:hAnsi="Times New Roman" w:cs="Times New Roman"/>
          <w:sz w:val="24"/>
          <w:szCs w:val="24"/>
          <w:u w:val="single"/>
        </w:rPr>
      </w:pPr>
      <w:r w:rsidRPr="00AF6DDC">
        <w:rPr>
          <w:rFonts w:ascii="Times New Roman" w:hAnsi="Times New Roman" w:cs="Times New Roman"/>
          <w:sz w:val="24"/>
          <w:szCs w:val="24"/>
          <w:u w:val="single"/>
        </w:rPr>
        <w:t>En definitiva, es importante continuar reformando nuestro sistema de pensiones, pero es incluso más importante hacerlo de forma clara para los trabajadores y con tiempo suficiente para que estos puedan adaptar sus decisiones laborales y de ahorro a dichos cambios. Por este motivo me sorprende (</w:t>
      </w:r>
      <w:r w:rsidR="006455B9">
        <w:rPr>
          <w:rFonts w:ascii="Times New Roman" w:hAnsi="Times New Roman" w:cs="Times New Roman"/>
          <w:sz w:val="24"/>
          <w:szCs w:val="24"/>
          <w:u w:val="single"/>
        </w:rPr>
        <w:t>¡</w:t>
      </w:r>
      <w:r w:rsidRPr="00AF6DDC">
        <w:rPr>
          <w:rFonts w:ascii="Times New Roman" w:hAnsi="Times New Roman" w:cs="Times New Roman"/>
          <w:sz w:val="24"/>
          <w:szCs w:val="24"/>
          <w:u w:val="single"/>
        </w:rPr>
        <w:t>y me preocupa!) que algunos colectivos que se definen como socialdemócratas,  para defender que no hace falta reformar las pensiones basen sus argumentos en que en el futuro los aumentos de la productividad no se trasladen al gasto en pensiones. Es decir, utilizan la misma idea detrás de la “reforma silenciosa” que como sabemos cambia radicalmente la naturaleza del sistema de pensiones: una reforma en toda  regla por la puerta de atrás…</w:t>
      </w:r>
    </w:p>
    <w:p w:rsidR="00300FCB" w:rsidRPr="00E51E16" w:rsidRDefault="00300FCB" w:rsidP="00550638">
      <w:pPr>
        <w:spacing w:line="240" w:lineRule="auto"/>
        <w:jc w:val="both"/>
        <w:rPr>
          <w:rFonts w:ascii="Times New Roman" w:hAnsi="Times New Roman" w:cs="Times New Roman"/>
          <w:sz w:val="24"/>
          <w:szCs w:val="24"/>
        </w:rPr>
      </w:pPr>
      <w:r w:rsidRPr="00E51E16">
        <w:rPr>
          <w:rFonts w:ascii="Times New Roman" w:hAnsi="Times New Roman" w:cs="Times New Roman"/>
          <w:sz w:val="24"/>
          <w:szCs w:val="24"/>
        </w:rPr>
        <w:t>¿Hay constancia de que</w:t>
      </w:r>
      <w:r>
        <w:rPr>
          <w:rFonts w:ascii="Times New Roman" w:hAnsi="Times New Roman" w:cs="Times New Roman"/>
          <w:sz w:val="24"/>
          <w:szCs w:val="24"/>
        </w:rPr>
        <w:t xml:space="preserve"> se esté</w:t>
      </w:r>
      <w:r w:rsidRPr="00E51E16">
        <w:rPr>
          <w:rFonts w:ascii="Times New Roman" w:hAnsi="Times New Roman" w:cs="Times New Roman"/>
          <w:sz w:val="24"/>
          <w:szCs w:val="24"/>
        </w:rPr>
        <w:t xml:space="preserve"> aplicando la Refor</w:t>
      </w:r>
      <w:r>
        <w:rPr>
          <w:rFonts w:ascii="Times New Roman" w:hAnsi="Times New Roman" w:cs="Times New Roman"/>
          <w:sz w:val="24"/>
          <w:szCs w:val="24"/>
        </w:rPr>
        <w:t>ma Silenciosa en la actualidad?</w:t>
      </w:r>
    </w:p>
    <w:p w:rsidR="00300FCB" w:rsidRDefault="00300FCB" w:rsidP="00550638">
      <w:pPr>
        <w:spacing w:line="240" w:lineRule="auto"/>
        <w:jc w:val="both"/>
        <w:rPr>
          <w:rFonts w:ascii="Times New Roman" w:hAnsi="Times New Roman" w:cs="Times New Roman"/>
          <w:sz w:val="24"/>
          <w:szCs w:val="24"/>
        </w:rPr>
      </w:pPr>
      <w:r w:rsidRPr="00E51E16">
        <w:rPr>
          <w:rFonts w:ascii="Times New Roman" w:hAnsi="Times New Roman" w:cs="Times New Roman"/>
          <w:sz w:val="24"/>
          <w:szCs w:val="24"/>
        </w:rPr>
        <w:t>Pues bien, en este sentido lo anunciado en los últimos Presupuestos para la Seguridad Social es muy preocupante: las bases máximas crecen este año 2013 (y el siguiente) un 5% mientras que las pensiones máximas lo hacen en un 1%, por lo tanto el nuevo ratio entre pensión y base máxima se sitúa en el 0,83%. Es decir, la pensión recibida por un trabajador que cotiza toda su vida por la base de cotización máxima es un 17% menor que lo que le correspondería. Esperemos que esta política se quede aquí, pero la tentación de hacer una “reforma silenciosa” es grande.</w:t>
      </w:r>
    </w:p>
    <w:p w:rsidR="006455B9" w:rsidRPr="006455B9" w:rsidRDefault="006455B9" w:rsidP="00550638">
      <w:pPr>
        <w:spacing w:line="240" w:lineRule="auto"/>
        <w:jc w:val="both"/>
        <w:rPr>
          <w:rFonts w:ascii="Times New Roman" w:hAnsi="Times New Roman" w:cs="Times New Roman"/>
          <w:sz w:val="24"/>
          <w:szCs w:val="24"/>
          <w:u w:val="single"/>
        </w:rPr>
      </w:pPr>
      <w:r w:rsidRPr="006455B9">
        <w:rPr>
          <w:rFonts w:ascii="Times New Roman" w:hAnsi="Times New Roman" w:cs="Times New Roman"/>
          <w:sz w:val="24"/>
          <w:szCs w:val="24"/>
          <w:u w:val="single"/>
        </w:rPr>
        <w:t>Con tanto “factor de sostenibilidad” se echa de menos algo de “factor de sensibilidad”</w:t>
      </w:r>
    </w:p>
    <w:p w:rsidR="00300FCB" w:rsidRPr="00E674F4" w:rsidRDefault="00300FCB"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674F4">
        <w:rPr>
          <w:rFonts w:ascii="Times New Roman" w:hAnsi="Times New Roman" w:cs="Times New Roman"/>
          <w:sz w:val="24"/>
          <w:szCs w:val="24"/>
          <w:u w:val="single"/>
        </w:rPr>
        <w:t>La reforma del sistema de pensiones: el factor de sostenibilidad</w:t>
      </w:r>
      <w:r>
        <w:rPr>
          <w:rFonts w:ascii="Times New Roman" w:hAnsi="Times New Roman" w:cs="Times New Roman"/>
          <w:sz w:val="24"/>
          <w:szCs w:val="24"/>
        </w:rPr>
        <w:t xml:space="preserve"> (Fedea - </w:t>
      </w:r>
      <w:r w:rsidRPr="00E674F4">
        <w:rPr>
          <w:rFonts w:ascii="Times New Roman" w:hAnsi="Times New Roman" w:cs="Times New Roman"/>
          <w:b/>
          <w:sz w:val="24"/>
          <w:szCs w:val="24"/>
        </w:rPr>
        <w:t>26/2/13</w:t>
      </w:r>
      <w:r>
        <w:rPr>
          <w:rFonts w:ascii="Times New Roman" w:hAnsi="Times New Roman" w:cs="Times New Roman"/>
          <w:sz w:val="24"/>
          <w:szCs w:val="24"/>
        </w:rPr>
        <w:t>)</w:t>
      </w:r>
    </w:p>
    <w:p w:rsidR="00300FCB" w:rsidRPr="00E674F4" w:rsidRDefault="00300FCB"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(Por Sergi Jiménez)</w:t>
      </w:r>
      <w:r w:rsidR="006455B9">
        <w:rPr>
          <w:rFonts w:ascii="Times New Roman" w:hAnsi="Times New Roman" w:cs="Times New Roman"/>
          <w:sz w:val="24"/>
          <w:szCs w:val="24"/>
        </w:rPr>
        <w:t xml:space="preserve">                                                                           Lectura recomendada</w:t>
      </w:r>
    </w:p>
    <w:p w:rsidR="00300FCB" w:rsidRPr="00B83871" w:rsidRDefault="00300FCB" w:rsidP="00550638">
      <w:pPr>
        <w:spacing w:line="240" w:lineRule="auto"/>
        <w:jc w:val="both"/>
        <w:rPr>
          <w:rFonts w:ascii="Times New Roman" w:hAnsi="Times New Roman" w:cs="Times New Roman"/>
          <w:sz w:val="24"/>
          <w:szCs w:val="24"/>
          <w:u w:val="single"/>
        </w:rPr>
      </w:pPr>
      <w:r w:rsidRPr="00B83871">
        <w:rPr>
          <w:rFonts w:ascii="Times New Roman" w:hAnsi="Times New Roman" w:cs="Times New Roman"/>
          <w:sz w:val="24"/>
          <w:szCs w:val="24"/>
          <w:u w:val="single"/>
        </w:rPr>
        <w:t>Las extraordinarias circunstancias actuales han adelantado el déﬁcit previsto para mediados de la década de los veinte al año 2011 (0.24% del PIB) y 2012 (1% del PIB). Es decir, la crisis ha hecho en dos años lo que la demografía debía haber hecho en quince. Como consecuencia, la relación entre cotizantes al sistema (excluyendo los cotizantes desempleados) y el número de pensionistas se ha ido reduciendo desde el máximo alcanzado en el año 2007 (2,5) a un nivel de 2,1 en diciembre de 2011 y por debajo de 2 a finales de 2012</w:t>
      </w:r>
      <w:r w:rsidRPr="00E674F4">
        <w:rPr>
          <w:rFonts w:ascii="Times New Roman" w:hAnsi="Times New Roman" w:cs="Times New Roman"/>
          <w:sz w:val="24"/>
          <w:szCs w:val="24"/>
        </w:rPr>
        <w:t xml:space="preserve">. Asimismo, </w:t>
      </w:r>
      <w:r w:rsidRPr="00B83871">
        <w:rPr>
          <w:rFonts w:ascii="Times New Roman" w:hAnsi="Times New Roman" w:cs="Times New Roman"/>
          <w:sz w:val="24"/>
          <w:szCs w:val="24"/>
          <w:u w:val="single"/>
        </w:rPr>
        <w:t xml:space="preserve">el deterioro del ratio de cobertura (relación </w:t>
      </w:r>
      <w:r w:rsidRPr="00B83871">
        <w:rPr>
          <w:rFonts w:ascii="Times New Roman" w:hAnsi="Times New Roman" w:cs="Times New Roman"/>
          <w:sz w:val="24"/>
          <w:szCs w:val="24"/>
          <w:u w:val="single"/>
        </w:rPr>
        <w:lastRenderedPageBreak/>
        <w:t>entre cotizaciones y prestaciones sociales) es espectacular: 111.8 en 2007, 85.0 en 2011 y (aprox</w:t>
      </w:r>
      <w:r w:rsidR="00494A8D">
        <w:rPr>
          <w:rFonts w:ascii="Times New Roman" w:hAnsi="Times New Roman" w:cs="Times New Roman"/>
          <w:sz w:val="24"/>
          <w:szCs w:val="24"/>
          <w:u w:val="single"/>
        </w:rPr>
        <w:t>.</w:t>
      </w:r>
      <w:r w:rsidRPr="00B83871">
        <w:rPr>
          <w:rFonts w:ascii="Times New Roman" w:hAnsi="Times New Roman" w:cs="Times New Roman"/>
          <w:sz w:val="24"/>
          <w:szCs w:val="24"/>
          <w:u w:val="single"/>
        </w:rPr>
        <w:t>) 80.0 en 2012.</w:t>
      </w:r>
    </w:p>
    <w:p w:rsidR="00300FCB" w:rsidRPr="00E674F4" w:rsidRDefault="00300FCB"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674F4">
        <w:rPr>
          <w:rFonts w:ascii="Times New Roman" w:hAnsi="Times New Roman" w:cs="Times New Roman"/>
          <w:sz w:val="24"/>
          <w:szCs w:val="24"/>
        </w:rPr>
        <w:t>La solución tomada por el g</w:t>
      </w:r>
      <w:r w:rsidR="008406EA">
        <w:rPr>
          <w:rFonts w:ascii="Times New Roman" w:hAnsi="Times New Roman" w:cs="Times New Roman"/>
          <w:sz w:val="24"/>
          <w:szCs w:val="24"/>
        </w:rPr>
        <w:t xml:space="preserve">obierno ha sido </w:t>
      </w:r>
      <w:r w:rsidRPr="00E674F4">
        <w:rPr>
          <w:rFonts w:ascii="Times New Roman" w:hAnsi="Times New Roman" w:cs="Times New Roman"/>
          <w:sz w:val="24"/>
          <w:szCs w:val="24"/>
        </w:rPr>
        <w:t>la de ﬁnanciar el desfase de 2012 acudiendo a los excedentes de la</w:t>
      </w:r>
      <w:r>
        <w:rPr>
          <w:rFonts w:ascii="Times New Roman" w:hAnsi="Times New Roman" w:cs="Times New Roman"/>
          <w:sz w:val="24"/>
          <w:szCs w:val="24"/>
        </w:rPr>
        <w:t>s</w:t>
      </w:r>
      <w:r w:rsidRPr="00E674F4">
        <w:rPr>
          <w:rFonts w:ascii="Times New Roman" w:hAnsi="Times New Roman" w:cs="Times New Roman"/>
          <w:sz w:val="24"/>
          <w:szCs w:val="24"/>
        </w:rPr>
        <w:t xml:space="preserve"> mutuas (la caja negra del sistema de protección social) y al fondo de reserva. Sin embargo ambas son medidas transitorias que no solucio</w:t>
      </w:r>
      <w:r>
        <w:rPr>
          <w:rFonts w:ascii="Times New Roman" w:hAnsi="Times New Roman" w:cs="Times New Roman"/>
          <w:sz w:val="24"/>
          <w:szCs w:val="24"/>
        </w:rPr>
        <w:t>nan los problemas de fondo deri</w:t>
      </w:r>
      <w:r w:rsidRPr="00E674F4">
        <w:rPr>
          <w:rFonts w:ascii="Times New Roman" w:hAnsi="Times New Roman" w:cs="Times New Roman"/>
          <w:sz w:val="24"/>
          <w:szCs w:val="24"/>
        </w:rPr>
        <w:t>vados de unas perspectivas demográﬁcas y unas condiciones económicas y de déﬁcit muy adversas, que persistirán, al menos, durante 2013. Para atajar el doble problema (de insuﬁciencia ﬁnanciera corriente y de deuda futura) hacen falta medidas más radicales ta</w:t>
      </w:r>
      <w:r>
        <w:rPr>
          <w:rFonts w:ascii="Times New Roman" w:hAnsi="Times New Roman" w:cs="Times New Roman"/>
          <w:sz w:val="24"/>
          <w:szCs w:val="24"/>
        </w:rPr>
        <w:t>nto a corto como a largo plazo.</w:t>
      </w:r>
      <w:r w:rsidRPr="00E674F4">
        <w:rPr>
          <w:rFonts w:ascii="Times New Roman" w:hAnsi="Times New Roman" w:cs="Times New Roman"/>
          <w:sz w:val="24"/>
          <w:szCs w:val="24"/>
        </w:rPr>
        <w:t xml:space="preserve"> </w:t>
      </w:r>
    </w:p>
    <w:p w:rsidR="00300FCB" w:rsidRDefault="00300FCB" w:rsidP="00550638">
      <w:pPr>
        <w:spacing w:line="240" w:lineRule="auto"/>
        <w:jc w:val="both"/>
        <w:rPr>
          <w:rFonts w:ascii="Times New Roman" w:hAnsi="Times New Roman" w:cs="Times New Roman"/>
          <w:b/>
          <w:color w:val="FF0000"/>
          <w:sz w:val="24"/>
          <w:szCs w:val="24"/>
          <w:u w:val="single"/>
        </w:rPr>
      </w:pPr>
      <w:r w:rsidRPr="00B83871">
        <w:rPr>
          <w:rFonts w:ascii="Times New Roman" w:hAnsi="Times New Roman" w:cs="Times New Roman"/>
          <w:color w:val="FF0000"/>
          <w:sz w:val="24"/>
          <w:szCs w:val="24"/>
          <w:u w:val="single"/>
        </w:rPr>
        <w:t>De no mediar una súbita recuperación económica (e incluso mediando) la única opción a corto plazo es, nuevamente, la de congelar la revalorización de las prestaciones. Las opciones a largo plazo pasan necesariamente por una reducción de la generosidad de las pensiones</w:t>
      </w:r>
      <w:r w:rsidRPr="00E674F4">
        <w:rPr>
          <w:rFonts w:ascii="Times New Roman" w:hAnsi="Times New Roman" w:cs="Times New Roman"/>
          <w:sz w:val="24"/>
          <w:szCs w:val="24"/>
        </w:rPr>
        <w:t xml:space="preserve">. </w:t>
      </w:r>
      <w:r w:rsidRPr="00B83871">
        <w:rPr>
          <w:rFonts w:ascii="Times New Roman" w:hAnsi="Times New Roman" w:cs="Times New Roman"/>
          <w:sz w:val="24"/>
          <w:szCs w:val="24"/>
          <w:u w:val="single"/>
        </w:rPr>
        <w:t>La justiﬁcación es bien clara: el rendimiento de las cotizaciones en un sistema de reparto depende de la evolución de la demografía (véase la figura 1) y el mercado de trabajo (figura 2). Cuando ambos fallan, el retorno de las “inversiones” debe ajustarse a las nuevas condiciones</w:t>
      </w:r>
      <w:r w:rsidRPr="00E674F4">
        <w:rPr>
          <w:rFonts w:ascii="Times New Roman" w:hAnsi="Times New Roman" w:cs="Times New Roman"/>
          <w:sz w:val="24"/>
          <w:szCs w:val="24"/>
        </w:rPr>
        <w:t>. La reforma</w:t>
      </w:r>
      <w:r>
        <w:rPr>
          <w:rFonts w:ascii="Times New Roman" w:hAnsi="Times New Roman" w:cs="Times New Roman"/>
          <w:sz w:val="24"/>
          <w:szCs w:val="24"/>
        </w:rPr>
        <w:t xml:space="preserve"> de 2011, reconociendo la insos</w:t>
      </w:r>
      <w:r w:rsidRPr="00E674F4">
        <w:rPr>
          <w:rFonts w:ascii="Times New Roman" w:hAnsi="Times New Roman" w:cs="Times New Roman"/>
          <w:sz w:val="24"/>
          <w:szCs w:val="24"/>
        </w:rPr>
        <w:t xml:space="preserve">tenibilidad del sistema a largo plazo, es un paso en este sentido. </w:t>
      </w:r>
      <w:r w:rsidRPr="00B83871">
        <w:rPr>
          <w:rFonts w:ascii="Times New Roman" w:hAnsi="Times New Roman" w:cs="Times New Roman"/>
          <w:sz w:val="24"/>
          <w:szCs w:val="24"/>
          <w:u w:val="single"/>
        </w:rPr>
        <w:t>Lo único que ahora cabe, dadas las desfavorables condiciones económicas, es acelerar la aplicación  de la reforma,</w:t>
      </w:r>
      <w:r w:rsidRPr="00E674F4">
        <w:rPr>
          <w:rFonts w:ascii="Times New Roman" w:hAnsi="Times New Roman" w:cs="Times New Roman"/>
          <w:sz w:val="24"/>
          <w:szCs w:val="24"/>
        </w:rPr>
        <w:t xml:space="preserve"> quizás aprovechando para simplificarla (tal y como comento aquí y aquí, aunque no parecen estar por la labor), </w:t>
      </w:r>
      <w:r w:rsidRPr="00B83871">
        <w:rPr>
          <w:rFonts w:ascii="Times New Roman" w:hAnsi="Times New Roman" w:cs="Times New Roman"/>
          <w:b/>
          <w:color w:val="FF0000"/>
          <w:sz w:val="24"/>
          <w:szCs w:val="24"/>
          <w:u w:val="single"/>
        </w:rPr>
        <w:t>incorporando un factor de sostenibilidad</w:t>
      </w:r>
      <w:r w:rsidRPr="00B83871">
        <w:rPr>
          <w:rFonts w:ascii="Times New Roman" w:hAnsi="Times New Roman" w:cs="Times New Roman"/>
          <w:color w:val="FF0000"/>
          <w:sz w:val="24"/>
          <w:szCs w:val="24"/>
        </w:rPr>
        <w:t xml:space="preserve"> </w:t>
      </w:r>
      <w:r w:rsidRPr="00E674F4">
        <w:rPr>
          <w:rFonts w:ascii="Times New Roman" w:hAnsi="Times New Roman" w:cs="Times New Roman"/>
          <w:sz w:val="24"/>
          <w:szCs w:val="24"/>
        </w:rPr>
        <w:t xml:space="preserve">(ya previsto en la ley 27/2011), </w:t>
      </w:r>
      <w:r w:rsidRPr="00B83871">
        <w:rPr>
          <w:rFonts w:ascii="Times New Roman" w:hAnsi="Times New Roman" w:cs="Times New Roman"/>
          <w:b/>
          <w:color w:val="FF0000"/>
          <w:sz w:val="24"/>
          <w:szCs w:val="24"/>
          <w:u w:val="single"/>
        </w:rPr>
        <w:t>en función de la esperanza de vida y las condiciones económicas, al cálculo de la pensión a recibir en el momento de la jubilación.</w:t>
      </w:r>
    </w:p>
    <w:p w:rsidR="00DC5B95" w:rsidRPr="00B83871" w:rsidRDefault="00DC5B95" w:rsidP="00550638">
      <w:pPr>
        <w:spacing w:line="240" w:lineRule="auto"/>
        <w:jc w:val="both"/>
        <w:rPr>
          <w:rFonts w:ascii="Times New Roman" w:hAnsi="Times New Roman" w:cs="Times New Roman"/>
          <w:b/>
          <w:color w:val="FF0000"/>
          <w:sz w:val="24"/>
          <w:szCs w:val="24"/>
          <w:u w:val="single"/>
        </w:rPr>
      </w:pPr>
    </w:p>
    <w:p w:rsidR="00300FCB" w:rsidRPr="00E674F4" w:rsidRDefault="00300FCB"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r w:rsidRPr="00E674F4">
        <w:rPr>
          <w:rFonts w:ascii="Georgia" w:eastAsia="Times New Roman" w:hAnsi="Georgia" w:cs="Times New Roman"/>
          <w:color w:val="111111"/>
          <w:sz w:val="21"/>
          <w:szCs w:val="21"/>
          <w:lang w:eastAsia="es-ES"/>
        </w:rPr>
        <w:t>Figura 1. La evolución de la población española: 2012-2052 (no siendo especialmente pesimistas).</w:t>
      </w:r>
    </w:p>
    <w:p w:rsidR="00300FCB" w:rsidRPr="00E674F4" w:rsidRDefault="00300FCB"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r>
        <w:rPr>
          <w:rFonts w:ascii="Georgia" w:eastAsia="Times New Roman" w:hAnsi="Georgia" w:cs="Times New Roman"/>
          <w:noProof/>
          <w:color w:val="2361A1"/>
          <w:sz w:val="21"/>
          <w:szCs w:val="21"/>
          <w:lang w:eastAsia="es-ES"/>
        </w:rPr>
        <w:drawing>
          <wp:inline distT="0" distB="0" distL="0" distR="0" wp14:anchorId="6501021A" wp14:editId="72BA9B99">
            <wp:extent cx="5544176" cy="2260397"/>
            <wp:effectExtent l="0" t="0" r="0" b="6985"/>
            <wp:docPr id="454" name="Imagen 454" descr="poblacion">
              <a:hlinkClick xmlns:a="http://schemas.openxmlformats.org/drawingml/2006/main" r:id="rId6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blacion">
                      <a:hlinkClick r:id="rId622"/>
                    </pic:cNvPr>
                    <pic:cNvPicPr>
                      <a:picLocks noChangeAspect="1" noChangeArrowheads="1"/>
                    </pic:cNvPicPr>
                  </pic:nvPicPr>
                  <pic:blipFill>
                    <a:blip r:embed="rId623">
                      <a:extLst>
                        <a:ext uri="{28A0092B-C50C-407E-A947-70E740481C1C}">
                          <a14:useLocalDpi xmlns:a14="http://schemas.microsoft.com/office/drawing/2010/main" val="0"/>
                        </a:ext>
                      </a:extLst>
                    </a:blip>
                    <a:srcRect/>
                    <a:stretch>
                      <a:fillRect/>
                    </a:stretch>
                  </pic:blipFill>
                  <pic:spPr bwMode="auto">
                    <a:xfrm>
                      <a:off x="0" y="0"/>
                      <a:ext cx="5542280" cy="2259624"/>
                    </a:xfrm>
                    <a:prstGeom prst="rect">
                      <a:avLst/>
                    </a:prstGeom>
                    <a:noFill/>
                    <a:ln>
                      <a:noFill/>
                    </a:ln>
                  </pic:spPr>
                </pic:pic>
              </a:graphicData>
            </a:graphic>
          </wp:inline>
        </w:drawing>
      </w:r>
    </w:p>
    <w:p w:rsidR="00300FCB" w:rsidRDefault="00300FCB"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r w:rsidRPr="00E674F4">
        <w:rPr>
          <w:rFonts w:ascii="Georgia" w:eastAsia="Times New Roman" w:hAnsi="Georgia" w:cs="Times New Roman"/>
          <w:color w:val="111111"/>
          <w:sz w:val="21"/>
          <w:szCs w:val="21"/>
          <w:lang w:eastAsia="es-ES"/>
        </w:rPr>
        <w:t>Fuente: Presentación de Meneu et al (2012) sobre sostenibilidad del sistema de pensiones</w:t>
      </w:r>
    </w:p>
    <w:p w:rsidR="00DC5B95" w:rsidRDefault="00DC5B95"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p>
    <w:p w:rsidR="00DC5B95" w:rsidRDefault="00DC5B95"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p>
    <w:p w:rsidR="00DC5B95" w:rsidRDefault="00DC5B95"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p>
    <w:p w:rsidR="00DC5B95" w:rsidRDefault="00DC5B95"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p>
    <w:p w:rsidR="00300FCB" w:rsidRPr="00E674F4" w:rsidRDefault="00300FCB"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r w:rsidRPr="00E674F4">
        <w:rPr>
          <w:rFonts w:ascii="Georgia" w:eastAsia="Times New Roman" w:hAnsi="Georgia" w:cs="Times New Roman"/>
          <w:color w:val="111111"/>
          <w:sz w:val="21"/>
          <w:szCs w:val="21"/>
          <w:lang w:eastAsia="es-ES"/>
        </w:rPr>
        <w:t>Figura 2. La evolución reciente de la ocupación y el paro.</w:t>
      </w:r>
    </w:p>
    <w:p w:rsidR="00E94221" w:rsidRDefault="00E94221" w:rsidP="00550638">
      <w:pPr>
        <w:shd w:val="clear" w:color="auto" w:fill="FFFFFF"/>
        <w:spacing w:before="100" w:beforeAutospacing="1" w:after="100" w:afterAutospacing="1" w:line="240" w:lineRule="auto"/>
        <w:jc w:val="center"/>
        <w:rPr>
          <w:rFonts w:ascii="Georgia" w:eastAsia="Times New Roman" w:hAnsi="Georgia" w:cs="Times New Roman"/>
          <w:color w:val="111111"/>
          <w:sz w:val="21"/>
          <w:szCs w:val="21"/>
          <w:lang w:eastAsia="es-ES"/>
        </w:rPr>
      </w:pPr>
      <w:r>
        <w:rPr>
          <w:rFonts w:ascii="Georgia" w:eastAsia="Times New Roman" w:hAnsi="Georgia" w:cs="Times New Roman"/>
          <w:color w:val="111111"/>
          <w:sz w:val="21"/>
          <w:szCs w:val="21"/>
          <w:lang w:eastAsia="es-ES"/>
        </w:rPr>
        <w:t xml:space="preserve">          </w:t>
      </w:r>
      <w:r w:rsidR="00300FCB">
        <w:rPr>
          <w:rFonts w:ascii="Georgia" w:eastAsia="Times New Roman" w:hAnsi="Georgia" w:cs="Times New Roman"/>
          <w:noProof/>
          <w:color w:val="2361A1"/>
          <w:sz w:val="21"/>
          <w:szCs w:val="21"/>
          <w:lang w:eastAsia="es-ES"/>
        </w:rPr>
        <w:drawing>
          <wp:inline distT="0" distB="0" distL="0" distR="0" wp14:anchorId="7BF03BF5" wp14:editId="4A391E1D">
            <wp:extent cx="3948849" cy="3174796"/>
            <wp:effectExtent l="0" t="0" r="0" b="6985"/>
            <wp:docPr id="463" name="Imagen 463" descr="empleo">
              <a:hlinkClick xmlns:a="http://schemas.openxmlformats.org/drawingml/2006/main" r:id="rId6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mpleo">
                      <a:hlinkClick r:id="rId624"/>
                    </pic:cNvPr>
                    <pic:cNvPicPr>
                      <a:picLocks noChangeAspect="1" noChangeArrowheads="1"/>
                    </pic:cNvPicPr>
                  </pic:nvPicPr>
                  <pic:blipFill>
                    <a:blip r:embed="rId625">
                      <a:extLst>
                        <a:ext uri="{28A0092B-C50C-407E-A947-70E740481C1C}">
                          <a14:useLocalDpi xmlns:a14="http://schemas.microsoft.com/office/drawing/2010/main" val="0"/>
                        </a:ext>
                      </a:extLst>
                    </a:blip>
                    <a:srcRect/>
                    <a:stretch>
                      <a:fillRect/>
                    </a:stretch>
                  </pic:blipFill>
                  <pic:spPr bwMode="auto">
                    <a:xfrm>
                      <a:off x="0" y="0"/>
                      <a:ext cx="3951605" cy="3177012"/>
                    </a:xfrm>
                    <a:prstGeom prst="rect">
                      <a:avLst/>
                    </a:prstGeom>
                    <a:noFill/>
                    <a:ln>
                      <a:noFill/>
                    </a:ln>
                  </pic:spPr>
                </pic:pic>
              </a:graphicData>
            </a:graphic>
          </wp:inline>
        </w:drawing>
      </w:r>
    </w:p>
    <w:p w:rsidR="00300FCB" w:rsidRPr="00E674F4" w:rsidRDefault="00300FCB"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r w:rsidRPr="00E674F4">
        <w:rPr>
          <w:rFonts w:ascii="Georgia" w:eastAsia="Times New Roman" w:hAnsi="Georgia" w:cs="Times New Roman"/>
          <w:color w:val="111111"/>
          <w:sz w:val="21"/>
          <w:szCs w:val="21"/>
          <w:lang w:eastAsia="es-ES"/>
        </w:rPr>
        <w:t>Fuente: EPA</w:t>
      </w:r>
    </w:p>
    <w:p w:rsidR="00300FCB" w:rsidRPr="00E674F4" w:rsidRDefault="00300FCB" w:rsidP="00550638">
      <w:pPr>
        <w:spacing w:line="240" w:lineRule="auto"/>
        <w:jc w:val="both"/>
        <w:rPr>
          <w:rFonts w:ascii="Times New Roman" w:hAnsi="Times New Roman" w:cs="Times New Roman"/>
          <w:sz w:val="24"/>
          <w:szCs w:val="24"/>
        </w:rPr>
      </w:pPr>
      <w:r>
        <w:rPr>
          <w:rFonts w:ascii="Times New Roman" w:hAnsi="Times New Roman" w:cs="Times New Roman"/>
          <w:sz w:val="24"/>
          <w:szCs w:val="24"/>
        </w:rPr>
        <w:t>El factor de sostenibilidad</w:t>
      </w:r>
      <w:r w:rsidRPr="00E674F4">
        <w:rPr>
          <w:rFonts w:ascii="Times New Roman" w:hAnsi="Times New Roman" w:cs="Times New Roman"/>
          <w:sz w:val="24"/>
          <w:szCs w:val="24"/>
        </w:rPr>
        <w:t xml:space="preserve"> </w:t>
      </w:r>
    </w:p>
    <w:p w:rsidR="00300FCB" w:rsidRPr="00E674F4" w:rsidRDefault="00300FCB" w:rsidP="00550638">
      <w:pPr>
        <w:spacing w:line="240" w:lineRule="auto"/>
        <w:jc w:val="both"/>
        <w:rPr>
          <w:rFonts w:ascii="Times New Roman" w:hAnsi="Times New Roman" w:cs="Times New Roman"/>
          <w:sz w:val="24"/>
          <w:szCs w:val="24"/>
        </w:rPr>
      </w:pPr>
      <w:r w:rsidRPr="00FB0EC3">
        <w:rPr>
          <w:rFonts w:ascii="Times New Roman" w:hAnsi="Times New Roman" w:cs="Times New Roman"/>
          <w:sz w:val="24"/>
          <w:szCs w:val="24"/>
          <w:u w:val="single"/>
        </w:rPr>
        <w:t>El factor de sostenibilidad es un mecanismo de equilibrio financiero que ajusta los parámetros fundamentales del sistema según la evolución de una o un conjunto de variables exógenas (aunque no necesariamente) al sistema de pensiones</w:t>
      </w:r>
      <w:r w:rsidRPr="00E674F4">
        <w:rPr>
          <w:rFonts w:ascii="Times New Roman" w:hAnsi="Times New Roman" w:cs="Times New Roman"/>
          <w:sz w:val="24"/>
          <w:szCs w:val="24"/>
        </w:rPr>
        <w:t>. Para su correcto funcionamiento es crucial que las reglas de activación sean públicas y conocidas (</w:t>
      </w:r>
      <w:r>
        <w:rPr>
          <w:rFonts w:ascii="Times New Roman" w:hAnsi="Times New Roman" w:cs="Times New Roman"/>
          <w:sz w:val="24"/>
          <w:szCs w:val="24"/>
        </w:rPr>
        <w:t>evitando, por tanto, la incertid</w:t>
      </w:r>
      <w:r w:rsidRPr="00E674F4">
        <w:rPr>
          <w:rFonts w:ascii="Times New Roman" w:hAnsi="Times New Roman" w:cs="Times New Roman"/>
          <w:sz w:val="24"/>
          <w:szCs w:val="24"/>
        </w:rPr>
        <w:t>umbre asociada al gobierno por RD), por lo que una correcta información al ciudadano es imprescindible. Un muy buen ejemplo es el orange envelope que cada año recibe cada ciudadano en Suecia describiendo claramente sus opciones e incentivos bajo escenarios diversos (también es interesante el informe sobre el estado del s</w:t>
      </w:r>
      <w:r>
        <w:rPr>
          <w:rFonts w:ascii="Times New Roman" w:hAnsi="Times New Roman" w:cs="Times New Roman"/>
          <w:sz w:val="24"/>
          <w:szCs w:val="24"/>
        </w:rPr>
        <w:t xml:space="preserve">istema: </w:t>
      </w:r>
      <w:r w:rsidRPr="005A39C3">
        <w:rPr>
          <w:rFonts w:ascii="Times New Roman" w:hAnsi="Times New Roman" w:cs="Times New Roman"/>
          <w:i/>
          <w:sz w:val="24"/>
          <w:szCs w:val="24"/>
        </w:rPr>
        <w:t>Swedish Orange report</w:t>
      </w:r>
      <w:r>
        <w:rPr>
          <w:rFonts w:ascii="Times New Roman" w:hAnsi="Times New Roman" w:cs="Times New Roman"/>
          <w:sz w:val="24"/>
          <w:szCs w:val="24"/>
        </w:rPr>
        <w:t>).</w:t>
      </w:r>
      <w:r w:rsidRPr="00E674F4">
        <w:rPr>
          <w:rFonts w:ascii="Times New Roman" w:hAnsi="Times New Roman" w:cs="Times New Roman"/>
          <w:sz w:val="24"/>
          <w:szCs w:val="24"/>
        </w:rPr>
        <w:t xml:space="preserve"> </w:t>
      </w:r>
    </w:p>
    <w:p w:rsidR="00300FCB" w:rsidRPr="00E94221" w:rsidRDefault="00300FCB" w:rsidP="00550638">
      <w:pPr>
        <w:spacing w:line="240" w:lineRule="auto"/>
        <w:jc w:val="both"/>
        <w:rPr>
          <w:rFonts w:ascii="Times New Roman" w:hAnsi="Times New Roman" w:cs="Times New Roman"/>
          <w:sz w:val="24"/>
          <w:szCs w:val="24"/>
          <w:u w:val="single"/>
        </w:rPr>
      </w:pPr>
      <w:r w:rsidRPr="00E674F4">
        <w:rPr>
          <w:rFonts w:ascii="Times New Roman" w:hAnsi="Times New Roman" w:cs="Times New Roman"/>
          <w:sz w:val="24"/>
          <w:szCs w:val="24"/>
        </w:rPr>
        <w:t>Tal y como comentan en un excelente trabajo Meneu et al (2012), miembros del grupo de trabajo en pensiones  de la Universidad de Valencia (http://www.uv.es/pensiones</w:t>
      </w:r>
      <w:r w:rsidR="00494A8D" w:rsidRPr="00E674F4">
        <w:rPr>
          <w:rFonts w:ascii="Times New Roman" w:hAnsi="Times New Roman" w:cs="Times New Roman"/>
          <w:sz w:val="24"/>
          <w:szCs w:val="24"/>
        </w:rPr>
        <w:t>),</w:t>
      </w:r>
      <w:r w:rsidRPr="00E674F4">
        <w:rPr>
          <w:rFonts w:ascii="Times New Roman" w:hAnsi="Times New Roman" w:cs="Times New Roman"/>
          <w:sz w:val="24"/>
          <w:szCs w:val="24"/>
        </w:rPr>
        <w:t xml:space="preserve"> </w:t>
      </w:r>
      <w:r w:rsidRPr="00FB0EC3">
        <w:rPr>
          <w:rFonts w:ascii="Times New Roman" w:hAnsi="Times New Roman" w:cs="Times New Roman"/>
          <w:sz w:val="24"/>
          <w:szCs w:val="24"/>
          <w:u w:val="single"/>
        </w:rPr>
        <w:t xml:space="preserve">según el parámetro que se ajuste el riesgo recae sobre un colectivo u otro. Por ejemplo, el ajuste de los años cotizados o la edad de jubilación </w:t>
      </w:r>
      <w:r w:rsidR="00494A8D" w:rsidRPr="00FB0EC3">
        <w:rPr>
          <w:rFonts w:ascii="Times New Roman" w:hAnsi="Times New Roman" w:cs="Times New Roman"/>
          <w:sz w:val="24"/>
          <w:szCs w:val="24"/>
          <w:u w:val="single"/>
        </w:rPr>
        <w:t>recaen</w:t>
      </w:r>
      <w:r w:rsidRPr="00FB0EC3">
        <w:rPr>
          <w:rFonts w:ascii="Times New Roman" w:hAnsi="Times New Roman" w:cs="Times New Roman"/>
          <w:sz w:val="24"/>
          <w:szCs w:val="24"/>
          <w:u w:val="single"/>
        </w:rPr>
        <w:t xml:space="preserve"> sobre los nuevos pensionistas, el ajuste de revalorización en los ya existentes, y el del tipo de cotización en los cotizantes</w:t>
      </w:r>
      <w:r w:rsidRPr="00E674F4">
        <w:rPr>
          <w:rFonts w:ascii="Times New Roman" w:hAnsi="Times New Roman" w:cs="Times New Roman"/>
          <w:sz w:val="24"/>
          <w:szCs w:val="24"/>
        </w:rPr>
        <w:t xml:space="preserve">. </w:t>
      </w:r>
      <w:r w:rsidRPr="00FB0EC3">
        <w:rPr>
          <w:rFonts w:ascii="Times New Roman" w:hAnsi="Times New Roman" w:cs="Times New Roman"/>
          <w:sz w:val="24"/>
          <w:szCs w:val="24"/>
          <w:u w:val="single"/>
        </w:rPr>
        <w:t>Por otra parte, según la variable a la que se vincula el factor de sostenibilidad se cubre al sistema de un riesgo u otro. Por ejemplo, si se vincula a la esperanza de vida, protege de riesgos derivados de los cambios en la supervivencia; si se vincula a la tasa de dependencia (efectiva o potencial), cubre de riesgos demográficos en general; si se vincula al crecimiento del PIB y/o productividad</w:t>
      </w:r>
      <w:r w:rsidR="00E94221">
        <w:rPr>
          <w:rFonts w:ascii="Times New Roman" w:hAnsi="Times New Roman" w:cs="Times New Roman"/>
          <w:sz w:val="24"/>
          <w:szCs w:val="24"/>
          <w:u w:val="single"/>
        </w:rPr>
        <w:t>, cubre los factores del ciclo.</w:t>
      </w:r>
      <w:r w:rsidRPr="00E674F4">
        <w:rPr>
          <w:rFonts w:ascii="Times New Roman" w:hAnsi="Times New Roman" w:cs="Times New Roman"/>
          <w:sz w:val="24"/>
          <w:szCs w:val="24"/>
        </w:rPr>
        <w:t xml:space="preserve"> </w:t>
      </w:r>
    </w:p>
    <w:p w:rsidR="00E94221" w:rsidRDefault="00300FCB" w:rsidP="00550638">
      <w:pPr>
        <w:spacing w:line="240" w:lineRule="auto"/>
        <w:jc w:val="both"/>
        <w:rPr>
          <w:rFonts w:ascii="Times New Roman" w:hAnsi="Times New Roman" w:cs="Times New Roman"/>
          <w:sz w:val="24"/>
          <w:szCs w:val="24"/>
        </w:rPr>
      </w:pPr>
      <w:r w:rsidRPr="00FB0EC3">
        <w:rPr>
          <w:rFonts w:ascii="Times New Roman" w:hAnsi="Times New Roman" w:cs="Times New Roman"/>
          <w:sz w:val="24"/>
          <w:szCs w:val="24"/>
          <w:u w:val="single"/>
        </w:rPr>
        <w:t xml:space="preserve">Existen múltiples configuraciones posibles del factor de sostenibilidad, sin embargo podemos considerar dos principales: aquellas que tienen en cuenta la esperanza de vida </w:t>
      </w:r>
      <w:r w:rsidRPr="00FB0EC3">
        <w:rPr>
          <w:rFonts w:ascii="Times New Roman" w:hAnsi="Times New Roman" w:cs="Times New Roman"/>
          <w:sz w:val="24"/>
          <w:szCs w:val="24"/>
          <w:u w:val="single"/>
        </w:rPr>
        <w:lastRenderedPageBreak/>
        <w:t>para corregir la edad de jubilación futura; y, aquellas que tienen en cuenta la evolución del número de cotizantes y/o el PIB</w:t>
      </w:r>
      <w:r w:rsidRPr="00E674F4">
        <w:rPr>
          <w:rFonts w:ascii="Times New Roman" w:hAnsi="Times New Roman" w:cs="Times New Roman"/>
          <w:sz w:val="24"/>
          <w:szCs w:val="24"/>
        </w:rPr>
        <w:t>. En la figura 3, nuevamente tomada de Meneu et al (2012) tenemos una descripción del diseño del factor de sostenibilidad en países europeos seleccio</w:t>
      </w:r>
      <w:r w:rsidR="00E94221">
        <w:rPr>
          <w:rFonts w:ascii="Times New Roman" w:hAnsi="Times New Roman" w:cs="Times New Roman"/>
          <w:sz w:val="24"/>
          <w:szCs w:val="24"/>
        </w:rPr>
        <w:t>nados.</w:t>
      </w:r>
    </w:p>
    <w:p w:rsidR="00300FCB" w:rsidRPr="00E94221" w:rsidRDefault="00300FCB" w:rsidP="00550638">
      <w:pPr>
        <w:spacing w:line="240" w:lineRule="auto"/>
        <w:jc w:val="both"/>
        <w:rPr>
          <w:rFonts w:ascii="Times New Roman" w:hAnsi="Times New Roman" w:cs="Times New Roman"/>
          <w:sz w:val="24"/>
          <w:szCs w:val="24"/>
        </w:rPr>
      </w:pPr>
      <w:r w:rsidRPr="00E674F4">
        <w:rPr>
          <w:rFonts w:ascii="Georgia" w:eastAsia="Times New Roman" w:hAnsi="Georgia" w:cs="Times New Roman"/>
          <w:color w:val="111111"/>
          <w:sz w:val="21"/>
          <w:szCs w:val="21"/>
          <w:lang w:eastAsia="es-ES"/>
        </w:rPr>
        <w:t>Figura 3. Diseño del factor de sostenibilidad en algunos países europeos.</w:t>
      </w:r>
    </w:p>
    <w:p w:rsidR="00300FCB" w:rsidRPr="00E674F4" w:rsidRDefault="008406EA" w:rsidP="00550638">
      <w:pPr>
        <w:shd w:val="clear" w:color="auto" w:fill="FFFFFF"/>
        <w:spacing w:before="100" w:beforeAutospacing="1" w:after="100" w:afterAutospacing="1" w:line="240" w:lineRule="auto"/>
        <w:rPr>
          <w:rFonts w:ascii="Georgia" w:eastAsia="Times New Roman" w:hAnsi="Georgia" w:cs="Times New Roman"/>
          <w:color w:val="111111"/>
          <w:sz w:val="21"/>
          <w:szCs w:val="21"/>
          <w:lang w:eastAsia="es-ES"/>
        </w:rPr>
      </w:pPr>
      <w:r>
        <w:rPr>
          <w:rFonts w:ascii="Georgia" w:eastAsia="Times New Roman" w:hAnsi="Georgia" w:cs="Times New Roman"/>
          <w:color w:val="111111"/>
          <w:sz w:val="21"/>
          <w:szCs w:val="21"/>
          <w:lang w:eastAsia="es-ES"/>
        </w:rPr>
        <w:t xml:space="preserve">        </w:t>
      </w:r>
      <w:r w:rsidR="00300FCB">
        <w:rPr>
          <w:rFonts w:ascii="Georgia" w:eastAsia="Times New Roman" w:hAnsi="Georgia" w:cs="Times New Roman"/>
          <w:noProof/>
          <w:color w:val="2361A1"/>
          <w:sz w:val="21"/>
          <w:szCs w:val="21"/>
          <w:lang w:eastAsia="es-ES"/>
        </w:rPr>
        <w:drawing>
          <wp:inline distT="0" distB="0" distL="0" distR="0" wp14:anchorId="0C451EF9" wp14:editId="52C1E12A">
            <wp:extent cx="4856560" cy="2582265"/>
            <wp:effectExtent l="0" t="0" r="1270" b="8890"/>
            <wp:docPr id="465" name="Imagen 465" descr="factorsostenibilidad">
              <a:hlinkClick xmlns:a="http://schemas.openxmlformats.org/drawingml/2006/main" r:id="rId6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actorsostenibilidad">
                      <a:hlinkClick r:id="rId626"/>
                    </pic:cNvPr>
                    <pic:cNvPicPr>
                      <a:picLocks noChangeAspect="1" noChangeArrowheads="1"/>
                    </pic:cNvPicPr>
                  </pic:nvPicPr>
                  <pic:blipFill>
                    <a:blip r:embed="rId627">
                      <a:extLst>
                        <a:ext uri="{28A0092B-C50C-407E-A947-70E740481C1C}">
                          <a14:useLocalDpi xmlns:a14="http://schemas.microsoft.com/office/drawing/2010/main" val="0"/>
                        </a:ext>
                      </a:extLst>
                    </a:blip>
                    <a:srcRect/>
                    <a:stretch>
                      <a:fillRect/>
                    </a:stretch>
                  </pic:blipFill>
                  <pic:spPr bwMode="auto">
                    <a:xfrm>
                      <a:off x="0" y="0"/>
                      <a:ext cx="4858385" cy="2583235"/>
                    </a:xfrm>
                    <a:prstGeom prst="rect">
                      <a:avLst/>
                    </a:prstGeom>
                    <a:noFill/>
                    <a:ln>
                      <a:noFill/>
                    </a:ln>
                  </pic:spPr>
                </pic:pic>
              </a:graphicData>
            </a:graphic>
          </wp:inline>
        </w:drawing>
      </w:r>
    </w:p>
    <w:p w:rsidR="00300FCB" w:rsidRDefault="00300FCB" w:rsidP="00550638">
      <w:pPr>
        <w:spacing w:line="240" w:lineRule="auto"/>
        <w:jc w:val="both"/>
        <w:rPr>
          <w:rFonts w:ascii="Times New Roman" w:hAnsi="Times New Roman" w:cs="Times New Roman"/>
          <w:sz w:val="24"/>
          <w:szCs w:val="24"/>
        </w:rPr>
      </w:pPr>
      <w:r w:rsidRPr="00E674F4">
        <w:rPr>
          <w:rFonts w:ascii="Times New Roman" w:hAnsi="Times New Roman" w:cs="Times New Roman"/>
          <w:sz w:val="24"/>
          <w:szCs w:val="24"/>
        </w:rPr>
        <w:t>Un buen ejemplo del primer caso es el danés, donde la edad de jubilación normal quedará fijada en 67 años en 2022, para posteriormente vincularse a la esperanza de vida a los 60 años tomando como base la del año 2020 y</w:t>
      </w:r>
      <w:r>
        <w:rPr>
          <w:rFonts w:ascii="Times New Roman" w:hAnsi="Times New Roman" w:cs="Times New Roman"/>
          <w:sz w:val="24"/>
          <w:szCs w:val="24"/>
        </w:rPr>
        <w:t xml:space="preserve"> con un desfase de 5 años. Así:</w:t>
      </w:r>
    </w:p>
    <w:p w:rsidR="00300FCB" w:rsidRDefault="00300FCB" w:rsidP="00550638">
      <w:pPr>
        <w:spacing w:line="240" w:lineRule="auto"/>
        <w:jc w:val="both"/>
        <w:rPr>
          <w:rFonts w:ascii="Times New Roman" w:hAnsi="Times New Roman" w:cs="Times New Roman"/>
          <w:sz w:val="24"/>
          <w:szCs w:val="24"/>
        </w:rPr>
      </w:pPr>
    </w:p>
    <w:p w:rsidR="00300FCB" w:rsidRDefault="00300FCB" w:rsidP="00550638">
      <w:pPr>
        <w:spacing w:line="240" w:lineRule="auto"/>
        <w:jc w:val="both"/>
        <w:rPr>
          <w:rFonts w:ascii="Times New Roman" w:hAnsi="Times New Roman" w:cs="Times New Roman"/>
          <w:sz w:val="24"/>
          <w:szCs w:val="24"/>
        </w:rPr>
      </w:pPr>
      <w:r>
        <w:rPr>
          <w:rFonts w:ascii="Georgia" w:hAnsi="Georgia"/>
          <w:noProof/>
          <w:color w:val="111111"/>
          <w:sz w:val="21"/>
          <w:szCs w:val="21"/>
          <w:lang w:eastAsia="es-ES"/>
        </w:rPr>
        <w:drawing>
          <wp:inline distT="0" distB="0" distL="0" distR="0" wp14:anchorId="72E7F6A0" wp14:editId="47ED4752">
            <wp:extent cx="2099310" cy="374015"/>
            <wp:effectExtent l="0" t="0" r="0" b="6985"/>
            <wp:docPr id="466" name="Imagen 466" descr="formul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rmula1"/>
                    <pic:cNvPicPr>
                      <a:picLocks noChangeAspect="1" noChangeArrowheads="1"/>
                    </pic:cNvPicPr>
                  </pic:nvPicPr>
                  <pic:blipFill>
                    <a:blip r:embed="rId628">
                      <a:extLst>
                        <a:ext uri="{28A0092B-C50C-407E-A947-70E740481C1C}">
                          <a14:useLocalDpi xmlns:a14="http://schemas.microsoft.com/office/drawing/2010/main" val="0"/>
                        </a:ext>
                      </a:extLst>
                    </a:blip>
                    <a:srcRect/>
                    <a:stretch>
                      <a:fillRect/>
                    </a:stretch>
                  </pic:blipFill>
                  <pic:spPr bwMode="auto">
                    <a:xfrm>
                      <a:off x="0" y="0"/>
                      <a:ext cx="2099310" cy="374015"/>
                    </a:xfrm>
                    <a:prstGeom prst="rect">
                      <a:avLst/>
                    </a:prstGeom>
                    <a:noFill/>
                    <a:ln>
                      <a:noFill/>
                    </a:ln>
                  </pic:spPr>
                </pic:pic>
              </a:graphicData>
            </a:graphic>
          </wp:inline>
        </w:drawing>
      </w:r>
    </w:p>
    <w:p w:rsidR="00300FCB" w:rsidRPr="00E674F4" w:rsidRDefault="00300FCB" w:rsidP="00550638">
      <w:pPr>
        <w:spacing w:line="240" w:lineRule="auto"/>
        <w:jc w:val="both"/>
        <w:rPr>
          <w:rFonts w:ascii="Times New Roman" w:hAnsi="Times New Roman" w:cs="Times New Roman"/>
          <w:sz w:val="24"/>
          <w:szCs w:val="24"/>
        </w:rPr>
      </w:pPr>
      <w:r w:rsidRPr="00E674F4">
        <w:rPr>
          <w:rFonts w:ascii="Times New Roman" w:hAnsi="Times New Roman" w:cs="Times New Roman"/>
          <w:sz w:val="24"/>
          <w:szCs w:val="24"/>
        </w:rPr>
        <w:t>Donde EJ es la edad de jubilació</w:t>
      </w:r>
      <w:r>
        <w:rPr>
          <w:rFonts w:ascii="Times New Roman" w:hAnsi="Times New Roman" w:cs="Times New Roman"/>
          <w:sz w:val="24"/>
          <w:szCs w:val="24"/>
        </w:rPr>
        <w:t>n y EV es la esperanza de vida.</w:t>
      </w:r>
      <w:r w:rsidRPr="00E674F4">
        <w:rPr>
          <w:rFonts w:ascii="Times New Roman" w:hAnsi="Times New Roman" w:cs="Times New Roman"/>
          <w:sz w:val="24"/>
          <w:szCs w:val="24"/>
        </w:rPr>
        <w:t xml:space="preserve"> </w:t>
      </w:r>
    </w:p>
    <w:p w:rsidR="00300FCB" w:rsidRDefault="00300FCB" w:rsidP="00550638">
      <w:pPr>
        <w:spacing w:line="240" w:lineRule="auto"/>
        <w:jc w:val="both"/>
        <w:rPr>
          <w:rFonts w:ascii="Times New Roman" w:hAnsi="Times New Roman" w:cs="Times New Roman"/>
          <w:sz w:val="24"/>
          <w:szCs w:val="24"/>
          <w:u w:val="single"/>
        </w:rPr>
      </w:pPr>
      <w:r w:rsidRPr="00E674F4">
        <w:rPr>
          <w:rFonts w:ascii="Times New Roman" w:hAnsi="Times New Roman" w:cs="Times New Roman"/>
          <w:sz w:val="24"/>
          <w:szCs w:val="24"/>
        </w:rPr>
        <w:t xml:space="preserve">Sobre el segundo caso son especialmente interesantes Suecia y Alemania. </w:t>
      </w:r>
      <w:r w:rsidRPr="00FB0EC3">
        <w:rPr>
          <w:rFonts w:ascii="Times New Roman" w:hAnsi="Times New Roman" w:cs="Times New Roman"/>
          <w:sz w:val="24"/>
          <w:szCs w:val="24"/>
          <w:u w:val="single"/>
        </w:rPr>
        <w:t>En Suecia, que en 1999 introdujo un sistema de cuentas nocionales, si los pasivos del sistema superan a los activos se pone en marcha un mecanismo automático de estabilidad financiera que reajusta a la baja la indexación o el crecimiento de las cuentas nocionales. Alternativamente, Alemania que tiene un sistema de puntos mediante el cual el importe de la pensión de cada año (no sólo la inicial) depende del valor de cada punto. Aunque dicho valor depende del nivel salarial medio, desde el año 2005 se ajusta por la evolución del tipo de cotización y por un factor de sostenibilidad (véase aquí) que depende del ratio pensionistas-cotizantes, siendo el ratio función tanto de variables demográficas como económicas. A mayor ratio menor revalorización del punto. Veamos un ejemplo de la fórmula:</w:t>
      </w:r>
    </w:p>
    <w:p w:rsidR="00300FCB" w:rsidRPr="00FB0EC3" w:rsidRDefault="00300FCB" w:rsidP="00550638">
      <w:pPr>
        <w:spacing w:line="240" w:lineRule="auto"/>
        <w:jc w:val="both"/>
        <w:rPr>
          <w:rFonts w:ascii="Times New Roman" w:hAnsi="Times New Roman" w:cs="Times New Roman"/>
          <w:sz w:val="24"/>
          <w:szCs w:val="24"/>
          <w:u w:val="single"/>
        </w:rPr>
      </w:pPr>
      <w:r>
        <w:rPr>
          <w:rFonts w:ascii="Georgia" w:hAnsi="Georgia"/>
          <w:noProof/>
          <w:color w:val="111111"/>
          <w:sz w:val="21"/>
          <w:szCs w:val="21"/>
          <w:lang w:eastAsia="es-ES"/>
        </w:rPr>
        <w:drawing>
          <wp:inline distT="0" distB="0" distL="0" distR="0" wp14:anchorId="74D5DD8B" wp14:editId="4BA105A5">
            <wp:extent cx="2027555" cy="461010"/>
            <wp:effectExtent l="0" t="0" r="0" b="0"/>
            <wp:docPr id="467" name="Imagen 467" descr="formul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ormula2"/>
                    <pic:cNvPicPr>
                      <a:picLocks noChangeAspect="1" noChangeArrowheads="1"/>
                    </pic:cNvPicPr>
                  </pic:nvPicPr>
                  <pic:blipFill>
                    <a:blip r:embed="rId629">
                      <a:extLst>
                        <a:ext uri="{28A0092B-C50C-407E-A947-70E740481C1C}">
                          <a14:useLocalDpi xmlns:a14="http://schemas.microsoft.com/office/drawing/2010/main" val="0"/>
                        </a:ext>
                      </a:extLst>
                    </a:blip>
                    <a:srcRect/>
                    <a:stretch>
                      <a:fillRect/>
                    </a:stretch>
                  </pic:blipFill>
                  <pic:spPr bwMode="auto">
                    <a:xfrm>
                      <a:off x="0" y="0"/>
                      <a:ext cx="2027555" cy="461010"/>
                    </a:xfrm>
                    <a:prstGeom prst="rect">
                      <a:avLst/>
                    </a:prstGeom>
                    <a:noFill/>
                    <a:ln>
                      <a:noFill/>
                    </a:ln>
                  </pic:spPr>
                </pic:pic>
              </a:graphicData>
            </a:graphic>
          </wp:inline>
        </w:drawing>
      </w:r>
    </w:p>
    <w:p w:rsidR="00300FCB" w:rsidRPr="00E674F4" w:rsidRDefault="00300FCB" w:rsidP="00550638">
      <w:pPr>
        <w:spacing w:line="240" w:lineRule="auto"/>
        <w:jc w:val="both"/>
        <w:rPr>
          <w:rFonts w:ascii="Times New Roman" w:hAnsi="Times New Roman" w:cs="Times New Roman"/>
          <w:sz w:val="24"/>
          <w:szCs w:val="24"/>
        </w:rPr>
      </w:pPr>
      <w:r w:rsidRPr="00E674F4">
        <w:rPr>
          <w:rFonts w:ascii="Times New Roman" w:hAnsi="Times New Roman" w:cs="Times New Roman"/>
          <w:sz w:val="24"/>
          <w:szCs w:val="24"/>
        </w:rPr>
        <w:t xml:space="preserve">donde P denota la pensión, IN el promedio de ingresos netos de contribuciones sociales y DR es la tasa de dependencia (ratio entre pensionistas y cotizantes más desempleados). El factor α  reparte la carga de los cambios entre pensionistas y </w:t>
      </w:r>
      <w:r w:rsidRPr="00E674F4">
        <w:rPr>
          <w:rFonts w:ascii="Times New Roman" w:hAnsi="Times New Roman" w:cs="Times New Roman"/>
          <w:sz w:val="24"/>
          <w:szCs w:val="24"/>
        </w:rPr>
        <w:lastRenderedPageBreak/>
        <w:t>contribuyentes. Cuando α=0 la fórmula de indiciación es la vigente antes de la introducción del factor de sostenibilidad, lo que implica que la carga financiera por una mayor fracción de pensionistas recae sobre la fuerza laboral. La comisión de reforma alemana fijó inicialmente α=1/4 con el objetivo de mantener las tasas de contribución al sistema en e</w:t>
      </w:r>
      <w:r>
        <w:rPr>
          <w:rFonts w:ascii="Times New Roman" w:hAnsi="Times New Roman" w:cs="Times New Roman"/>
          <w:sz w:val="24"/>
          <w:szCs w:val="24"/>
        </w:rPr>
        <w:t>l entorno del 20-22 por ciento.</w:t>
      </w:r>
    </w:p>
    <w:p w:rsidR="00300FCB" w:rsidRPr="00E674F4" w:rsidRDefault="00300FCB" w:rsidP="00550638">
      <w:pPr>
        <w:spacing w:line="240" w:lineRule="auto"/>
        <w:jc w:val="both"/>
        <w:rPr>
          <w:rFonts w:ascii="Times New Roman" w:hAnsi="Times New Roman" w:cs="Times New Roman"/>
          <w:sz w:val="24"/>
          <w:szCs w:val="24"/>
        </w:rPr>
      </w:pPr>
      <w:r w:rsidRPr="00E674F4">
        <w:rPr>
          <w:rFonts w:ascii="Times New Roman" w:hAnsi="Times New Roman" w:cs="Times New Roman"/>
          <w:sz w:val="24"/>
          <w:szCs w:val="24"/>
        </w:rPr>
        <w:t>Imp</w:t>
      </w:r>
      <w:r>
        <w:rPr>
          <w:rFonts w:ascii="Times New Roman" w:hAnsi="Times New Roman" w:cs="Times New Roman"/>
          <w:sz w:val="24"/>
          <w:szCs w:val="24"/>
        </w:rPr>
        <w:t>licaciones para el caso español</w:t>
      </w:r>
    </w:p>
    <w:p w:rsidR="00300FCB" w:rsidRPr="00E674F4" w:rsidRDefault="00300FCB" w:rsidP="00550638">
      <w:pPr>
        <w:spacing w:line="240" w:lineRule="auto"/>
        <w:jc w:val="both"/>
        <w:rPr>
          <w:rFonts w:ascii="Times New Roman" w:hAnsi="Times New Roman" w:cs="Times New Roman"/>
          <w:sz w:val="24"/>
          <w:szCs w:val="24"/>
        </w:rPr>
      </w:pPr>
      <w:r w:rsidRPr="00E674F4">
        <w:rPr>
          <w:rFonts w:ascii="Times New Roman" w:hAnsi="Times New Roman" w:cs="Times New Roman"/>
          <w:sz w:val="24"/>
          <w:szCs w:val="24"/>
        </w:rPr>
        <w:t>La reforma de pensiones española prevé un factor de sostenibilidad en función de la evolución de la esperanza de vida y las condiciones económicas. En Meneu et al (2012) se calculan las implicaciones de revisar las prestaciones en base a la esperanza de vida  a los 67. El menú de consecuencias acumuladas de mantener un equilibrio financiero en 2045 serían bien un aumento de la edad de jubilación hasta los 70 en 2047, o un incremento de los años cotizados hasta entre 42 y 43 años, o una reducción de la pensi</w:t>
      </w:r>
      <w:r>
        <w:rPr>
          <w:rFonts w:ascii="Times New Roman" w:hAnsi="Times New Roman" w:cs="Times New Roman"/>
          <w:sz w:val="24"/>
          <w:szCs w:val="24"/>
        </w:rPr>
        <w:t>ón inicial del 20 por ciento.</w:t>
      </w:r>
      <w:r w:rsidRPr="00E674F4">
        <w:rPr>
          <w:rFonts w:ascii="Times New Roman" w:hAnsi="Times New Roman" w:cs="Times New Roman"/>
          <w:sz w:val="24"/>
          <w:szCs w:val="24"/>
        </w:rPr>
        <w:t xml:space="preserve"> </w:t>
      </w:r>
    </w:p>
    <w:p w:rsidR="00300FCB" w:rsidRPr="00E674F4" w:rsidRDefault="00300FCB" w:rsidP="00550638">
      <w:pPr>
        <w:spacing w:line="240" w:lineRule="auto"/>
        <w:jc w:val="both"/>
        <w:rPr>
          <w:rFonts w:ascii="Times New Roman" w:hAnsi="Times New Roman" w:cs="Times New Roman"/>
          <w:sz w:val="24"/>
          <w:szCs w:val="24"/>
        </w:rPr>
      </w:pPr>
      <w:r w:rsidRPr="00E674F4">
        <w:rPr>
          <w:rFonts w:ascii="Times New Roman" w:hAnsi="Times New Roman" w:cs="Times New Roman"/>
          <w:sz w:val="24"/>
          <w:szCs w:val="24"/>
        </w:rPr>
        <w:t>En caso de hacer depender el factor de sostenibilidad de las condiciones económicas las consecuencias serían asimismo importantes.  Por ejemplo, ¿Qué hubiera pasado en el caso español si se hubieran revisado las pensiones en base a la evolución del ratio cotizantes vs pensionistas?  Qué en 2012 sólo se  hubieran trasladado a revalorización un 30 por ciento del incremento del IPC. Alternativamente, ¿Qué hubiera pasado de corregir el valor de las nuevas pensiones según el balance entre contribuciones y pensiones? Qué éstas se hubieran reducido alreded</w:t>
      </w:r>
      <w:r>
        <w:rPr>
          <w:rFonts w:ascii="Times New Roman" w:hAnsi="Times New Roman" w:cs="Times New Roman"/>
          <w:sz w:val="24"/>
          <w:szCs w:val="24"/>
        </w:rPr>
        <w:t>or de un 20 por ciento en 2013.</w:t>
      </w:r>
      <w:r w:rsidRPr="00E674F4">
        <w:rPr>
          <w:rFonts w:ascii="Times New Roman" w:hAnsi="Times New Roman" w:cs="Times New Roman"/>
          <w:sz w:val="24"/>
          <w:szCs w:val="24"/>
        </w:rPr>
        <w:t xml:space="preserve"> </w:t>
      </w:r>
    </w:p>
    <w:p w:rsidR="00300FCB" w:rsidRPr="00E94221" w:rsidRDefault="00300FCB" w:rsidP="00550638">
      <w:pPr>
        <w:spacing w:line="240" w:lineRule="auto"/>
        <w:jc w:val="both"/>
        <w:rPr>
          <w:rFonts w:ascii="Times New Roman" w:hAnsi="Times New Roman" w:cs="Times New Roman"/>
          <w:sz w:val="24"/>
          <w:szCs w:val="24"/>
        </w:rPr>
      </w:pPr>
      <w:r w:rsidRPr="00E94221">
        <w:rPr>
          <w:rFonts w:ascii="Times New Roman" w:hAnsi="Times New Roman" w:cs="Times New Roman"/>
          <w:sz w:val="24"/>
          <w:szCs w:val="24"/>
        </w:rPr>
        <w:t xml:space="preserve">En definitiva, la mayoría de países europeos que han visto que  el rendimiento del principal activo al que está ligado la sostenibilidad de sus pensiones ha aumento su incertidumbre  han planteado un tránsito, más o menos explícito desde un sistema de prestación definida a un sistema de contribución definida. En nuestro caso, donde no sólo el principal activo (la demografía), sino también el secundario (el mercado de trabajo) están sujetos a gran incertidumbre, también daremos, probablemente más temprano que tarde, pasos en la misma dirección, y quizás no solo para el sistema de pensiones sino también para otros programas de protección social. </w:t>
      </w:r>
    </w:p>
    <w:p w:rsidR="00E94221" w:rsidRDefault="00E94221" w:rsidP="00550638">
      <w:pPr>
        <w:spacing w:line="240" w:lineRule="auto"/>
        <w:jc w:val="both"/>
        <w:rPr>
          <w:rFonts w:ascii="Times New Roman" w:hAnsi="Times New Roman" w:cs="Times New Roman"/>
          <w:sz w:val="24"/>
          <w:szCs w:val="24"/>
          <w:u w:val="single"/>
        </w:rPr>
      </w:pPr>
      <w:r w:rsidRPr="00E94221">
        <w:rPr>
          <w:rFonts w:ascii="Times New Roman" w:hAnsi="Times New Roman" w:cs="Times New Roman"/>
          <w:sz w:val="24"/>
          <w:szCs w:val="24"/>
          <w:u w:val="single"/>
        </w:rPr>
        <w:t>Standard &amp; Poor's</w:t>
      </w:r>
      <w:r>
        <w:rPr>
          <w:rFonts w:ascii="Times New Roman" w:hAnsi="Times New Roman" w:cs="Times New Roman"/>
          <w:sz w:val="24"/>
          <w:szCs w:val="24"/>
          <w:u w:val="single"/>
        </w:rPr>
        <w:t xml:space="preserve">  “avisa” a España: jubilación basura o bono basura </w:t>
      </w:r>
    </w:p>
    <w:p w:rsidR="00300FCB" w:rsidRPr="00E94221" w:rsidRDefault="00E94221" w:rsidP="00550638">
      <w:pPr>
        <w:pStyle w:val="NormalWeb"/>
        <w:jc w:val="both"/>
      </w:pPr>
      <w:r>
        <w:rPr>
          <w:i/>
        </w:rPr>
        <w:t>“</w:t>
      </w:r>
      <w:r w:rsidR="00300FCB" w:rsidRPr="00E94221">
        <w:rPr>
          <w:i/>
        </w:rPr>
        <w:t>La agencia de calificación crediticia Standard &amp; Poor's (S&amp;P) calcula que si España no adopta medidas para hacer frente al coste que supondrá el envejecimiento de la población, el déficit y la deuda del país alcanzarían cotas insostenibles en 2050, que colocarían el rating del país en la catego</w:t>
      </w:r>
      <w:r w:rsidRPr="00E94221">
        <w:rPr>
          <w:i/>
        </w:rPr>
        <w:t>ría de grado de especulación o “bono basura”</w:t>
      </w:r>
      <w:r>
        <w:rPr>
          <w:i/>
        </w:rPr>
        <w:t xml:space="preserve">… </w:t>
      </w:r>
      <w:r w:rsidR="00300FCB" w:rsidRPr="00E94221">
        <w:rPr>
          <w:i/>
        </w:rPr>
        <w:t xml:space="preserve"> </w:t>
      </w:r>
      <w:r w:rsidRPr="00062364">
        <w:rPr>
          <w:u w:val="single"/>
        </w:rPr>
        <w:t>El envejecimiento de la población puede ser insostenible en España</w:t>
      </w:r>
      <w:r>
        <w:t xml:space="preserve"> (Negocios.com - </w:t>
      </w:r>
      <w:r w:rsidRPr="00062364">
        <w:rPr>
          <w:b/>
        </w:rPr>
        <w:t>25/3/13</w:t>
      </w:r>
      <w:r>
        <w:t>)</w:t>
      </w:r>
    </w:p>
    <w:p w:rsidR="00300FCB" w:rsidRPr="00E94221" w:rsidRDefault="00300FCB" w:rsidP="00550638">
      <w:pPr>
        <w:pStyle w:val="NormalWeb"/>
        <w:jc w:val="both"/>
      </w:pPr>
      <w:r w:rsidRPr="00E94221">
        <w:t xml:space="preserve">En concreto, en ausencia de medidas, un escenario que la agencia no prevé que se materialice, la deuda pública neta de España alcanzaría el 247% del PIB en 2050, lo que supone cinco veces más en comparación con el 51% de 2010, mientras que el déficit se dispararía ese año hasta el 17% del PIB. </w:t>
      </w:r>
    </w:p>
    <w:p w:rsidR="00300FCB" w:rsidRPr="00E94221" w:rsidRDefault="00300FCB" w:rsidP="00550638">
      <w:pPr>
        <w:pStyle w:val="NormalWeb"/>
        <w:jc w:val="both"/>
      </w:pPr>
      <w:r w:rsidRPr="00E94221">
        <w:t>De cumplir estas previsiones, la agencia situaría la nota de España en el grado de especulación, tambié</w:t>
      </w:r>
      <w:r w:rsidR="00E94221">
        <w:t>n conocido como “bono basura”</w:t>
      </w:r>
      <w:r w:rsidRPr="00E94221">
        <w:t>, en 2050, una calificación que tendrían la mayoría de los países calificados por S&amp;P en caso de que no adopten ninguna medida para hacer frente al envejecimiento de la población.</w:t>
      </w:r>
    </w:p>
    <w:p w:rsidR="00300FCB" w:rsidRPr="00E94221" w:rsidRDefault="00E94221" w:rsidP="00550638">
      <w:pPr>
        <w:pStyle w:val="NormalWeb"/>
        <w:jc w:val="both"/>
      </w:pPr>
      <w:r>
        <w:lastRenderedPageBreak/>
        <w:t>“</w:t>
      </w:r>
      <w:r w:rsidR="00300FCB" w:rsidRPr="00E94221">
        <w:t>Para demostrar la magnitud de este desafío, ba</w:t>
      </w:r>
      <w:r>
        <w:t>jo nuestro escenario de “Sin cambio en las políticas”</w:t>
      </w:r>
      <w:r w:rsidR="00300FCB" w:rsidRPr="00E94221">
        <w:t>, en 2050 cerca del 60% de los soberanos analizados en este informe tendrían unos parámetros que Standard and Poor's vincula actualmente con los ratings en grado especulativo, frente al 20% actual. Esto a pesar de que sus finanzas hayan mejor</w:t>
      </w:r>
      <w:r>
        <w:t>ado respecto al informe de 2010”</w:t>
      </w:r>
      <w:r w:rsidR="00300FCB" w:rsidRPr="00E94221">
        <w:t xml:space="preserve">, explica. </w:t>
      </w:r>
    </w:p>
    <w:p w:rsidR="00300FCB" w:rsidRPr="00E94221" w:rsidRDefault="00300FCB" w:rsidP="00550638">
      <w:pPr>
        <w:pStyle w:val="NormalWeb"/>
        <w:jc w:val="both"/>
      </w:pPr>
      <w:r w:rsidRPr="00E94221">
        <w:t>De hecho, señala que los ajustes realizados en los sistemas de pensiones en países como España han mejorado su proyección del gasto respect</w:t>
      </w:r>
      <w:r w:rsidR="00E94221">
        <w:t>o al anterior informe de 2010. “</w:t>
      </w:r>
      <w:r w:rsidRPr="00E94221">
        <w:t xml:space="preserve">En general, nuestro análisis indica mejoras en las proyecciones de hipotéticas tendencias en la sostenibilidad a largo plazo de las finanzas públicas. Esta es particularmente cierto en países como Italia, España, Eslovenia, </w:t>
      </w:r>
      <w:r w:rsidR="00E94221">
        <w:t>Luxemburgo e Irlanda”</w:t>
      </w:r>
      <w:r w:rsidRPr="00E94221">
        <w:t xml:space="preserve">, explica. </w:t>
      </w:r>
    </w:p>
    <w:p w:rsidR="00300FCB" w:rsidRPr="00E94221" w:rsidRDefault="00300FCB" w:rsidP="00550638">
      <w:pPr>
        <w:pStyle w:val="NormalWeb"/>
        <w:jc w:val="both"/>
      </w:pPr>
      <w:r w:rsidRPr="00E94221">
        <w:t>Sin embargo, añade que en un escenario que contempla unas cuentas equilibradas en 2016, la deuda pública neta descenderá hasta el 24% del PIB en 2050, mientras que el déficit será del 1,9%. Con estos datos, el rating de España podría recuperar el rating 'AAA', la máxima calificación posible.</w:t>
      </w:r>
    </w:p>
    <w:p w:rsidR="00300FCB" w:rsidRPr="00E94221" w:rsidRDefault="00300FCB" w:rsidP="00550638">
      <w:pPr>
        <w:pStyle w:val="NormalWeb"/>
        <w:jc w:val="both"/>
      </w:pPr>
      <w:r w:rsidRPr="00E94221">
        <w:t>Para elaborar estas estimaciones, la agencia ha tenido en cuenta que la economía española crecerá de media un 1,4% entre 2010 y 2050, año en el que espera que el PIB crezca un 1,2%. Además, calcula que el gasto público relacionado con el envejecimiento aumentará desde el 19,4% del PIB e</w:t>
      </w:r>
      <w:r w:rsidR="00E94221">
        <w:t xml:space="preserve">n 2010 hasta el 24,6% en 2050. </w:t>
      </w:r>
    </w:p>
    <w:p w:rsidR="00300FCB" w:rsidRPr="00E94221" w:rsidRDefault="00300FCB" w:rsidP="00550638">
      <w:pPr>
        <w:pStyle w:val="NormalWeb"/>
        <w:jc w:val="both"/>
      </w:pPr>
      <w:r w:rsidRPr="00E94221">
        <w:t>El analista del equipo de ratings soberanos de S&amp;P y autor del informe, Marko Mrsnik, subraya que si los países superan sus dificultades económicas y presupuestarias tras de la crisis y adaptan con éxito sus sistemas de seguridad socia</w:t>
      </w:r>
      <w:r w:rsidR="00E94221">
        <w:t>l a los desafíos demográficos, “</w:t>
      </w:r>
      <w:r w:rsidRPr="00E94221">
        <w:t>la presión en las finanzas públicas ejercida por el envejecimiento de la población podría ser gradualmente contenida, una conclusión algo sorprendente en este punto de la ac</w:t>
      </w:r>
      <w:r w:rsidR="00E94221">
        <w:t>tual crisis de deuda soberana”</w:t>
      </w:r>
      <w:r w:rsidRPr="00E94221">
        <w:t xml:space="preserve">. </w:t>
      </w:r>
    </w:p>
    <w:p w:rsidR="00300FCB" w:rsidRPr="00E94221" w:rsidRDefault="00300FCB" w:rsidP="00550638">
      <w:pPr>
        <w:pStyle w:val="NormalWeb"/>
        <w:jc w:val="both"/>
      </w:pPr>
      <w:r w:rsidRPr="00E94221">
        <w:t xml:space="preserve">En concreto, apunta que una serie de países han revisado sus sistemas de pensiones y de atención sanitaria, componentes del gasto público particularmente afectados por presiones demográficas, y están implementando medidas en sanidad y pensiones para hacer frente a los desafíos que presentan tanto una población más envejecida como las dificultades presupuestarias a corto plazo. </w:t>
      </w:r>
    </w:p>
    <w:p w:rsidR="00300FCB" w:rsidRPr="00E94221" w:rsidRDefault="00300FCB" w:rsidP="00550638">
      <w:pPr>
        <w:pStyle w:val="NormalWeb"/>
        <w:jc w:val="both"/>
      </w:pPr>
      <w:r w:rsidRPr="00E94221">
        <w:t>Sin embargo, reconoce que en algunos el impacto de estas medidas se ve mitigado por su debilidad económ</w:t>
      </w:r>
      <w:r w:rsidR="00B02E56">
        <w:t>ica y su bajo nivel de empleo. “</w:t>
      </w:r>
      <w:r w:rsidRPr="00E94221">
        <w:t>Junto con los mayores costes de financiación, dichas tendencias están obstaculizando los esfuerzos para e</w:t>
      </w:r>
      <w:r w:rsidR="00B02E56">
        <w:t>stabilizar la deuda”</w:t>
      </w:r>
      <w:r w:rsidRPr="00E94221">
        <w:t xml:space="preserve">, advierte. </w:t>
      </w:r>
    </w:p>
    <w:p w:rsidR="00300FCB" w:rsidRDefault="00300FCB" w:rsidP="00550638">
      <w:pPr>
        <w:pStyle w:val="NormalWeb"/>
        <w:jc w:val="both"/>
      </w:pPr>
      <w:r w:rsidRPr="00E94221">
        <w:t>Aun así, considera que si continúan los procesos de reformas estructurales y de consolidación presupuestaria, deberían mejorar las perspectivas para mantener unas finanzas públicas sostenibles. Además, sugiere que, aunque los costes relacionados con el envejecimiento de la población son a menudo vistos como un problema al que se enfrentan principalmente los países más desarroll</w:t>
      </w:r>
      <w:r w:rsidR="00B02E56">
        <w:t>ados, las economías emergentes “no son ni mucho menos inmunes”</w:t>
      </w:r>
      <w:r w:rsidRPr="00E94221">
        <w:t>.</w:t>
      </w:r>
    </w:p>
    <w:p w:rsidR="00B02E56" w:rsidRPr="00B02E56" w:rsidRDefault="00B02E56" w:rsidP="00550638">
      <w:pPr>
        <w:pStyle w:val="NormalWeb"/>
        <w:jc w:val="both"/>
        <w:rPr>
          <w:u w:val="single"/>
        </w:rPr>
      </w:pPr>
      <w:r w:rsidRPr="00B02E56">
        <w:rPr>
          <w:u w:val="single"/>
        </w:rPr>
        <w:t xml:space="preserve">De la prejubilación o jubilación anticipada, al jubilado </w:t>
      </w:r>
      <w:r w:rsidR="008E47FE">
        <w:rPr>
          <w:u w:val="single"/>
        </w:rPr>
        <w:t>“</w:t>
      </w:r>
      <w:r w:rsidRPr="00B02E56">
        <w:rPr>
          <w:u w:val="single"/>
        </w:rPr>
        <w:t>trabajador</w:t>
      </w:r>
      <w:r w:rsidR="008E47FE">
        <w:rPr>
          <w:u w:val="single"/>
        </w:rPr>
        <w:t>”</w:t>
      </w:r>
      <w:r w:rsidRPr="00B02E56">
        <w:rPr>
          <w:u w:val="single"/>
        </w:rPr>
        <w:t xml:space="preserve"> (Fedea dixit)</w:t>
      </w:r>
    </w:p>
    <w:p w:rsidR="00300FCB" w:rsidRDefault="00300FCB" w:rsidP="00550638">
      <w:pPr>
        <w:pStyle w:val="NormalWeb"/>
        <w:jc w:val="both"/>
      </w:pPr>
      <w:r>
        <w:t xml:space="preserve">- </w:t>
      </w:r>
      <w:r w:rsidRPr="0055775A">
        <w:rPr>
          <w:u w:val="single"/>
        </w:rPr>
        <w:t>La reforma de la jubilación anticipada: ¿palo o zanahoria?</w:t>
      </w:r>
      <w:r>
        <w:t xml:space="preserve"> (Fedea - </w:t>
      </w:r>
      <w:r w:rsidRPr="0055775A">
        <w:rPr>
          <w:b/>
        </w:rPr>
        <w:t>26/3/13</w:t>
      </w:r>
      <w:r>
        <w:t>)</w:t>
      </w:r>
    </w:p>
    <w:p w:rsidR="00300FCB" w:rsidRDefault="00300FCB" w:rsidP="00550638">
      <w:pPr>
        <w:pStyle w:val="NormalWeb"/>
        <w:jc w:val="both"/>
      </w:pPr>
      <w:r>
        <w:lastRenderedPageBreak/>
        <w:t xml:space="preserve">(Por Sergi Jiménez) </w:t>
      </w:r>
      <w:r w:rsidR="00B02E56">
        <w:t xml:space="preserve"> </w:t>
      </w:r>
      <w:r w:rsidR="00B02E56">
        <w:tab/>
      </w:r>
      <w:r w:rsidR="00B02E56">
        <w:tab/>
      </w:r>
      <w:r w:rsidR="00B02E56">
        <w:tab/>
      </w:r>
      <w:r w:rsidR="00B02E56">
        <w:tab/>
        <w:t xml:space="preserve">                                   Lectura recomendada</w:t>
      </w:r>
    </w:p>
    <w:p w:rsidR="00300FCB" w:rsidRPr="00CA1845" w:rsidRDefault="00300FCB" w:rsidP="00550638">
      <w:pPr>
        <w:pStyle w:val="NormalWeb"/>
        <w:jc w:val="both"/>
        <w:rPr>
          <w:u w:val="single"/>
        </w:rPr>
      </w:pPr>
      <w:r w:rsidRPr="00CA1845">
        <w:rPr>
          <w:u w:val="single"/>
        </w:rPr>
        <w:t>Finalmente el gobierno se ha decidido, vía Real Decreto, a (re)reformar el sistema de pensiones, incidiendo en todo lo que hace referencia a la prejubilación y la jubilación anticipada</w:t>
      </w:r>
      <w:r>
        <w:t xml:space="preserve">. Era de esperar, dada la situación económica y las pésimas perspectivas financieras del sistema de la seguridad social, ya comentadas en anteriores posts. Sin embargo aún se otea otro Real Decreto en el horizonte ya que </w:t>
      </w:r>
      <w:r w:rsidRPr="00CA1845">
        <w:rPr>
          <w:u w:val="single"/>
        </w:rPr>
        <w:t>está pendiente de legislar el factor de sostenibilidad</w:t>
      </w:r>
      <w:r>
        <w:t xml:space="preserve">, </w:t>
      </w:r>
      <w:r w:rsidRPr="00CA1845">
        <w:rPr>
          <w:u w:val="single"/>
        </w:rPr>
        <w:t>la dovela maestra de la reforma del sistema de pensiones, y probablemente queda también acelerar el tránsito a las edades claves del sistema.</w:t>
      </w:r>
    </w:p>
    <w:p w:rsidR="00300FCB" w:rsidRPr="00CA1845" w:rsidRDefault="00300FCB" w:rsidP="00550638">
      <w:pPr>
        <w:pStyle w:val="NormalWeb"/>
        <w:jc w:val="both"/>
        <w:rPr>
          <w:u w:val="single"/>
        </w:rPr>
      </w:pPr>
      <w:r>
        <w:t xml:space="preserve">El Real Decreto-ley 5/2013, de 15 de marzo,  de medidas para favorecer la continuidad de la vida laboral de los trabajadores de mayor edad y promover el envejecimiento activo contiene medidas en diversos frentes, pero </w:t>
      </w:r>
      <w:r w:rsidRPr="00CA1845">
        <w:rPr>
          <w:u w:val="single"/>
        </w:rPr>
        <w:t>destacan dos aspectos: el endurecimiento general de las condiciones de prejubilación y jubilación anticipada (palo), intentando contener el gasto en pensiones, y la compatibilización parcial de pensión y trabajo para individuos que ha superado la edad normal de retiro (zanahoria).</w:t>
      </w:r>
      <w:r>
        <w:t xml:space="preserve"> </w:t>
      </w:r>
      <w:r w:rsidRPr="00CA1845">
        <w:rPr>
          <w:u w:val="single"/>
        </w:rPr>
        <w:t>En el primer frente destacan las siguientes medidas: (a) La fijación de criterios distintos de edad de acceso a la jubilación, en función de si es voluntaria o forzosa; (b) El endurecimiento de la jubilación parcial; (c) el endurecimiento de las condiciones para despedir a mayores de 50 años; (d) la introducción de una prueba de ingresos para acceder al subsidio de mayores de 55 años. En el segundo frente, destacar que se permite la compatibilización  a partir de la edad de retiro normal con un test de ingresos (un impuesto sobre la pensión) del 50 por cierto. Como veremos más adelante esta medida va en la dirección correcta pero equivoca el rango de edades que se aplica. De hecho para los que han superado la edad normal de jubilación el esquema (socialmente) óptimo es muy probable que sea sustancialmente diferente.</w:t>
      </w:r>
    </w:p>
    <w:p w:rsidR="00300FCB" w:rsidRDefault="00300FCB" w:rsidP="00550638">
      <w:pPr>
        <w:pStyle w:val="NormalWeb"/>
        <w:jc w:val="both"/>
      </w:pPr>
      <w:r>
        <w:t>En nuestra valoración incidiremos sobre las luces y sombras de cada una de las medidas, los palos y las zanahorias, en definitiva. Como veremos, guiados por una visión cortoplacista (acuciados por la necesidad de contener el gasto) priman los palos (o restricciones sobre las condiciones de elegibilidad), sobre las zanahorias (o incentivos a permanecer activo, voluntariamente, más tiempo). ¿Es imprescindible reformar con más palos que zanahorias? No necesariamente, tal y como ya hace tiempo ilustramos aquí.</w:t>
      </w:r>
    </w:p>
    <w:p w:rsidR="00300FCB" w:rsidRPr="00CA1845" w:rsidRDefault="00300FCB" w:rsidP="00550638">
      <w:pPr>
        <w:pStyle w:val="NormalWeb"/>
        <w:jc w:val="both"/>
        <w:rPr>
          <w:u w:val="single"/>
        </w:rPr>
      </w:pPr>
      <w:r w:rsidRPr="00CA1845">
        <w:rPr>
          <w:u w:val="single"/>
        </w:rPr>
        <w:t>El endurecimiento de las condiciones de acceso la jubilación parcial es positivo para el conjunto de los trabajadores ya que la misma discriminaba entre los que tenían acceso (trabajadores en grandes empresas) y los que no (el resto).</w:t>
      </w:r>
      <w:r>
        <w:t xml:space="preserve"> </w:t>
      </w:r>
      <w:r w:rsidRPr="00CA1845">
        <w:rPr>
          <w:u w:val="single"/>
        </w:rPr>
        <w:t xml:space="preserve">Particularmente interesante es limitar al 50 por ciento la reducción de jornada asociada a la jubilación parcial, ya que esto impide trasladar gran parte  de los costes de la jubilación parcial al sistema de la seguridad social. Sin embargo, lo óptimo hubiera sido (y probablemente lo será a largo plazo) eliminarla completamente y sustituirla por la posibilidad general de jubilación anticipada a los 63 (zanahoria) combinada con trabajo sujeto a un test de ingresos  del 50 por ciento  o menor (a modo de palo). </w:t>
      </w:r>
    </w:p>
    <w:p w:rsidR="00300FCB" w:rsidRPr="00CA1845" w:rsidRDefault="00300FCB" w:rsidP="00550638">
      <w:pPr>
        <w:pStyle w:val="NormalWeb"/>
        <w:jc w:val="both"/>
        <w:rPr>
          <w:u w:val="single"/>
        </w:rPr>
      </w:pPr>
      <w:r w:rsidRPr="00CA1845">
        <w:rPr>
          <w:u w:val="single"/>
        </w:rPr>
        <w:t xml:space="preserve">El endurecimiento de las condiciones de prejubilación es un palo para las empresas (aunque las más grandes se hayan dado prisa o se estén dando prisa para colar “su ERE” antes de la reforma), que verán aumentar tanto los costes directos como indirectos (de oportunidad) de formular EREs. Alternativamente, se puede ver como zanahoria para </w:t>
      </w:r>
      <w:r w:rsidRPr="00CA1845">
        <w:rPr>
          <w:u w:val="single"/>
        </w:rPr>
        <w:lastRenderedPageBreak/>
        <w:t xml:space="preserve">los trabajadores en edad avanzada ya que dificulta su prejubilación y por tanto aumenta su probabilidad de no ser despedidos. </w:t>
      </w:r>
    </w:p>
    <w:p w:rsidR="00300FCB" w:rsidRPr="00CA1845" w:rsidRDefault="00300FCB" w:rsidP="00550638">
      <w:pPr>
        <w:pStyle w:val="NormalWeb"/>
        <w:jc w:val="both"/>
        <w:rPr>
          <w:u w:val="single"/>
        </w:rPr>
      </w:pPr>
      <w:r w:rsidRPr="00CA1845">
        <w:rPr>
          <w:u w:val="single"/>
        </w:rPr>
        <w:t xml:space="preserve">También ambivalente es  la homologación  de la regulación del subsidio para mayores de 55 años a la de otros subsidios, por lo cual el percibo pasará a ser “means tested”. Indudablemente es un palo sobre la renta disponible de las familias afectadas y un incentivo (zanahoria) a buscar más y mejor un nuevo empleo. </w:t>
      </w:r>
    </w:p>
    <w:p w:rsidR="00300FCB" w:rsidRDefault="00300FCB" w:rsidP="00550638">
      <w:pPr>
        <w:pStyle w:val="NormalWeb"/>
        <w:jc w:val="both"/>
      </w:pPr>
      <w:r>
        <w:t xml:space="preserve">Aunque el retraso de las edades y el aumento del número de años cotizados (que además discrimina a las mujeres) necesarios para la jubilación anticipada son sendos palos (recortes de la riqueza de la seguridad social esperada), sí que creemos acertado pasar de cuatro edades claves (61, 63, 65 y 67) a solo tres (63, 65, 67). </w:t>
      </w:r>
      <w:r w:rsidRPr="00CA1845">
        <w:rPr>
          <w:u w:val="single"/>
        </w:rPr>
        <w:t>De hecho lo racional es que sólo hubiera dos: la edad de jubilación anticipada (63) y normal (67).</w:t>
      </w:r>
      <w:r>
        <w:t xml:space="preserve"> No tiene sentido discriminar parados y desempleados, ya que un simple pacto con el empresario (aunque el decreto parece imponer una condición cuasi-policial para impedirlo) puede disfrazar un empleado en un desempleado voluntario para facilitar una transición a la </w:t>
      </w:r>
      <w:r w:rsidR="00B02E56">
        <w:t>jubilación (¡eso sí</w:t>
      </w:r>
      <w:r>
        <w:t xml:space="preserve">, después de consumir dos años de desempleo!). La mejor manera de evitar las “trampas” es tratar igual a ambos colectivos en relación a la jubilación anticipada. </w:t>
      </w:r>
    </w:p>
    <w:p w:rsidR="00300FCB" w:rsidRPr="00CA1845" w:rsidRDefault="00300FCB" w:rsidP="00550638">
      <w:pPr>
        <w:pStyle w:val="NormalWeb"/>
        <w:jc w:val="both"/>
        <w:rPr>
          <w:u w:val="single"/>
        </w:rPr>
      </w:pPr>
      <w:r w:rsidRPr="00CA1845">
        <w:rPr>
          <w:u w:val="single"/>
        </w:rPr>
        <w:t>Finalmente, la zanahoria más jugosa (probablemente la coartada del decreto),  la compatibilización de pensión y trabajo, tiene, al menos dos problemas: primero, que debería haberse aprovechado, tal y como hemos relatado más arriba, para sustituir la jubilación parcial por compatibilización entre la edad anticipada y la normal; y segundo, que a partir de la edad normal la compatibilización tiene un diseño manifiestamente mejorable. ¿Por qué? Porque aparte de imponer algunos requisitos realmente kafkianos (véase la disposi</w:t>
      </w:r>
      <w:r w:rsidR="00B02E56">
        <w:rPr>
          <w:u w:val="single"/>
        </w:rPr>
        <w:t>ción adicional segunda del R.D.</w:t>
      </w:r>
      <w:r w:rsidRPr="00CA1845">
        <w:rPr>
          <w:u w:val="single"/>
        </w:rPr>
        <w:t xml:space="preserve">) está pensada  para los que tienen salarios más altos, para los que renunciar al 50 por ciento de la pensión a cambio de seguir trabajando, posiblemente a tiempo parcial, no es tan oneroso. Alternativamente, para los trabajadores de bajos ingresos el 50 por ciento de la pensión será muchas veces igual o superior a la remuneración asociada a seguir trabajando, por lo que raramente compatibilizarán pensión y trabajo. La solución es bien sencilla: establecer un mínimo exento del test de ingresos. </w:t>
      </w:r>
    </w:p>
    <w:p w:rsidR="00300FCB" w:rsidRDefault="00300FCB" w:rsidP="00550638">
      <w:pPr>
        <w:pStyle w:val="NormalWeb"/>
        <w:jc w:val="both"/>
      </w:pPr>
      <w:r>
        <w:t>De hecho, el esquema dominante en la mayoría de los países desarrollados es la plena compatibilización (sin requisitos) a partir de la edad normal con un test de ingresos nulo, combinada con un test de ingresos positivo (pero pequeño) en el rango de edades d</w:t>
      </w:r>
      <w:r w:rsidR="00B02E56">
        <w:t>e jubilación anticipada</w:t>
      </w:r>
      <w:r>
        <w:t xml:space="preserve">. </w:t>
      </w:r>
    </w:p>
    <w:p w:rsidR="00300FCB" w:rsidRPr="00240FC0" w:rsidRDefault="00300FCB" w:rsidP="00550638">
      <w:pPr>
        <w:pStyle w:val="NormalWeb"/>
        <w:jc w:val="both"/>
        <w:rPr>
          <w:color w:val="FF0000"/>
          <w:u w:val="single"/>
        </w:rPr>
      </w:pPr>
      <w:r w:rsidRPr="00240FC0">
        <w:rPr>
          <w:u w:val="single"/>
        </w:rPr>
        <w:t>Finalmente, es bueno preguntarse si tanto palo y tan poca zanahoria tiene algún sentido (efecto sobre la  sostenibilidad). La respuesta no está del todo clara, ya que si bien el hecho de dificultar el abandono de la vida laboral tiene algunos efectos (aumenta la fuerza laboral potencial y disminuye el gasto), el impacto sobre el gasto en pensiones es limitado, entre uno y dos por ciento  a lo sumo</w:t>
      </w:r>
      <w:r>
        <w:t xml:space="preserve">. </w:t>
      </w:r>
      <w:r w:rsidRPr="00240FC0">
        <w:rPr>
          <w:color w:val="FF0000"/>
          <w:u w:val="single"/>
        </w:rPr>
        <w:t>De hecho, como ya hemos com</w:t>
      </w:r>
      <w:r w:rsidR="00B02E56">
        <w:rPr>
          <w:color w:val="FF0000"/>
          <w:u w:val="single"/>
        </w:rPr>
        <w:t xml:space="preserve">entado ampliamente </w:t>
      </w:r>
      <w:r w:rsidRPr="00240FC0">
        <w:rPr>
          <w:color w:val="FF0000"/>
          <w:u w:val="single"/>
        </w:rPr>
        <w:t xml:space="preserve">lo único que puede funcionar a medio y largo plazo cara a contener el gasto es una severa contención de la generosidad del sistema de pensiones español, tanto para los que se jubilan anticipadamente (40 por ciento), como los que se jubilan a la edad normal. </w:t>
      </w:r>
    </w:p>
    <w:p w:rsidR="00300FCB" w:rsidRDefault="00300FCB" w:rsidP="00550638">
      <w:pPr>
        <w:pStyle w:val="NormalWeb"/>
        <w:jc w:val="both"/>
      </w:pPr>
      <w:r>
        <w:lastRenderedPageBreak/>
        <w:t>En definitiva, un decreto con luces y sombras, donde priman las restricciones sobre los incentivos, con la vista más puesta en la cercana solana (financiera) que el horizonte, allá donde mar y cielo confluyen.</w:t>
      </w:r>
    </w:p>
    <w:p w:rsidR="001C1B05" w:rsidRPr="001C1B05" w:rsidRDefault="001C1B05" w:rsidP="00550638">
      <w:pPr>
        <w:pStyle w:val="NormalWeb"/>
        <w:jc w:val="both"/>
        <w:rPr>
          <w:u w:val="single"/>
        </w:rPr>
      </w:pPr>
      <w:r w:rsidRPr="001C1B05">
        <w:rPr>
          <w:u w:val="single"/>
        </w:rPr>
        <w:t>Informe encargado por el Gobierno sobre la reforma del Sistema de Pensiones</w:t>
      </w:r>
    </w:p>
    <w:p w:rsidR="001C1B05" w:rsidRPr="002E3FAE" w:rsidRDefault="001C1B05" w:rsidP="00550638">
      <w:pPr>
        <w:shd w:val="clear" w:color="auto" w:fill="FFFFFF"/>
        <w:spacing w:line="240" w:lineRule="auto"/>
        <w:rPr>
          <w:rFonts w:ascii="Times New Roman" w:hAnsi="Times New Roman" w:cs="Times New Roman"/>
          <w:sz w:val="24"/>
          <w:szCs w:val="24"/>
        </w:rPr>
      </w:pPr>
      <w:r>
        <w:rPr>
          <w:rStyle w:val="contenido77"/>
          <w:rFonts w:ascii="Times New Roman" w:hAnsi="Times New Roman" w:cs="Times New Roman"/>
          <w:sz w:val="24"/>
          <w:szCs w:val="24"/>
        </w:rPr>
        <w:t xml:space="preserve">- </w:t>
      </w:r>
      <w:r w:rsidRPr="002E3FAE">
        <w:rPr>
          <w:rFonts w:ascii="Times New Roman" w:hAnsi="Times New Roman" w:cs="Times New Roman"/>
          <w:sz w:val="24"/>
          <w:szCs w:val="24"/>
          <w:u w:val="single"/>
        </w:rPr>
        <w:t>Los expertos se decantan por iniciar el ajuste de pensiones el año próximo</w:t>
      </w:r>
      <w:r>
        <w:rPr>
          <w:rFonts w:ascii="Times New Roman" w:hAnsi="Times New Roman" w:cs="Times New Roman"/>
          <w:sz w:val="24"/>
          <w:szCs w:val="24"/>
        </w:rPr>
        <w:t xml:space="preserve"> (El País - </w:t>
      </w:r>
      <w:r w:rsidRPr="002E3FAE">
        <w:rPr>
          <w:rFonts w:ascii="Times New Roman" w:hAnsi="Times New Roman" w:cs="Times New Roman"/>
          <w:b/>
          <w:sz w:val="24"/>
          <w:szCs w:val="24"/>
        </w:rPr>
        <w:t>26/5/13</w:t>
      </w:r>
      <w:r>
        <w:rPr>
          <w:rFonts w:ascii="Times New Roman" w:hAnsi="Times New Roman" w:cs="Times New Roman"/>
          <w:sz w:val="24"/>
          <w:szCs w:val="24"/>
        </w:rPr>
        <w:t>)</w:t>
      </w:r>
    </w:p>
    <w:p w:rsidR="001C1B05" w:rsidRDefault="001C1B05" w:rsidP="00550638">
      <w:pPr>
        <w:shd w:val="clear" w:color="auto" w:fill="FFFFFF"/>
        <w:spacing w:after="0" w:line="240" w:lineRule="auto"/>
        <w:rPr>
          <w:rFonts w:ascii="Times New Roman" w:hAnsi="Times New Roman" w:cs="Times New Roman"/>
          <w:sz w:val="24"/>
          <w:szCs w:val="24"/>
        </w:rPr>
      </w:pPr>
      <w:r>
        <w:rPr>
          <w:rStyle w:val="autor11"/>
          <w:rFonts w:ascii="Times New Roman" w:hAnsi="Times New Roman" w:cs="Times New Roman"/>
          <w:sz w:val="24"/>
          <w:szCs w:val="24"/>
        </w:rPr>
        <w:t xml:space="preserve"> (Por </w:t>
      </w:r>
      <w:hyperlink r:id="rId630" w:tooltip="Ver todas las noticias de Manuel V. Gómez" w:history="1">
        <w:r w:rsidRPr="001C1B05">
          <w:rPr>
            <w:rStyle w:val="Hipervnculo"/>
            <w:rFonts w:ascii="Times New Roman" w:hAnsi="Times New Roman" w:cs="Times New Roman"/>
            <w:color w:val="auto"/>
            <w:sz w:val="24"/>
            <w:szCs w:val="24"/>
            <w:u w:val="none"/>
          </w:rPr>
          <w:t>Manuel V. Gómez</w:t>
        </w:r>
      </w:hyperlink>
      <w:r>
        <w:rPr>
          <w:rFonts w:ascii="Times New Roman" w:hAnsi="Times New Roman" w:cs="Times New Roman"/>
          <w:sz w:val="24"/>
          <w:szCs w:val="24"/>
        </w:rPr>
        <w:t>)</w:t>
      </w:r>
      <w:r w:rsidR="0057118B">
        <w:rPr>
          <w:rFonts w:ascii="Times New Roman" w:hAnsi="Times New Roman" w:cs="Times New Roman"/>
          <w:sz w:val="24"/>
          <w:szCs w:val="24"/>
        </w:rPr>
        <w:t xml:space="preserve">                                                                   Lectura recomendada</w:t>
      </w:r>
    </w:p>
    <w:p w:rsidR="008406EA" w:rsidRPr="000A25B5" w:rsidRDefault="008406EA" w:rsidP="00550638">
      <w:pPr>
        <w:pStyle w:val="NormalWeb"/>
        <w:shd w:val="clear" w:color="auto" w:fill="FFFFFF"/>
        <w:jc w:val="both"/>
        <w:rPr>
          <w:u w:val="single"/>
        </w:rPr>
      </w:pPr>
      <w:r w:rsidRPr="000A25B5">
        <w:rPr>
          <w:color w:val="FF0000"/>
          <w:u w:val="single"/>
        </w:rPr>
        <w:t xml:space="preserve">Los expertos ya han deshojado la margarita de la gran reforma de pensiones: la definición del </w:t>
      </w:r>
      <w:r w:rsidR="00B3139A">
        <w:rPr>
          <w:color w:val="FF0000"/>
          <w:u w:val="single"/>
        </w:rPr>
        <w:t>“</w:t>
      </w:r>
      <w:r w:rsidRPr="00B3139A">
        <w:rPr>
          <w:rStyle w:val="nfasis"/>
          <w:i w:val="0"/>
          <w:color w:val="FF0000"/>
          <w:u w:val="single"/>
        </w:rPr>
        <w:t>factor de sostenibilidad</w:t>
      </w:r>
      <w:r w:rsidR="00B3139A">
        <w:rPr>
          <w:rStyle w:val="nfasis"/>
          <w:i w:val="0"/>
          <w:color w:val="FF0000"/>
          <w:u w:val="single"/>
        </w:rPr>
        <w:t>”</w:t>
      </w:r>
      <w:r w:rsidRPr="002E3FAE">
        <w:t xml:space="preserve">. </w:t>
      </w:r>
      <w:r w:rsidRPr="000A25B5">
        <w:rPr>
          <w:u w:val="single"/>
        </w:rPr>
        <w:t>Y se decantan por una aplicación inmediata, ya el año que viene, 18 años antes de lo previsto por la reforma de 2011</w:t>
      </w:r>
      <w:r w:rsidRPr="002E3FAE">
        <w:t xml:space="preserve">. El informe que estudiarán mañana lunes en su última reunión la docena de sabios designados por el Gobierno para aconsejarle postula una doble vía de ajuste: una, que </w:t>
      </w:r>
      <w:r w:rsidRPr="000A25B5">
        <w:rPr>
          <w:u w:val="single"/>
        </w:rPr>
        <w:t>afecta a los pensionistas presentes y a los futuros, vincula la actualización anual de las prestaciones a la evolución de los ingresos y los gastos del sistema, y acaba con la actual relación directa entre esa actualización y el índice de precios; otra, ya para los futuros jubilados, liga el cálculo de sus pensiones a la esperanza de vida.</w:t>
      </w:r>
    </w:p>
    <w:p w:rsidR="008406EA" w:rsidRPr="002E3FAE" w:rsidRDefault="008406EA" w:rsidP="00550638">
      <w:pPr>
        <w:shd w:val="clear" w:color="auto" w:fill="FFFFFF"/>
        <w:spacing w:after="0" w:line="240" w:lineRule="auto"/>
        <w:rPr>
          <w:rFonts w:ascii="Times New Roman" w:hAnsi="Times New Roman" w:cs="Times New Roman"/>
          <w:sz w:val="24"/>
          <w:szCs w:val="24"/>
        </w:rPr>
      </w:pPr>
    </w:p>
    <w:p w:rsidR="001C1B05" w:rsidRDefault="00FE14BF" w:rsidP="00550638">
      <w:pPr>
        <w:shd w:val="clear" w:color="auto" w:fill="FFFFFF"/>
        <w:spacing w:line="240" w:lineRule="auto"/>
        <w:rPr>
          <w:rFonts w:ascii="Times New Roman" w:hAnsi="Times New Roman" w:cs="Times New Roman"/>
          <w:sz w:val="24"/>
          <w:szCs w:val="24"/>
        </w:rPr>
      </w:pPr>
      <w:hyperlink r:id="rId631" w:tooltip="ampliar foto" w:history="1">
        <w:r w:rsidR="001C1B05">
          <w:rPr>
            <w:noProof/>
            <w:color w:val="9C355D"/>
            <w:lang w:eastAsia="es-ES"/>
          </w:rPr>
          <w:drawing>
            <wp:inline distT="0" distB="0" distL="0" distR="0" wp14:anchorId="7B62775C" wp14:editId="0B89FE42">
              <wp:extent cx="5332730" cy="3620770"/>
              <wp:effectExtent l="0" t="0" r="1270" b="0"/>
              <wp:docPr id="468" name="Imagen 468" descr="http://ep01.epimg.net/economia/imagenes/2013/05/25/actualidad/1369512957_862603_1369513581_noticia_normal.png">
                <a:hlinkClick xmlns:a="http://schemas.openxmlformats.org/drawingml/2006/main" r:id="rId631" tooltip="&quot;ampliar foto&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p01.epimg.net/economia/imagenes/2013/05/25/actualidad/1369512957_862603_1369513581_noticia_normal.png">
                        <a:hlinkClick r:id="rId631" tooltip="&quot;ampliar foto&quot;"/>
                      </pic:cNvPr>
                      <pic:cNvPicPr>
                        <a:picLocks noChangeAspect="1" noChangeArrowheads="1"/>
                      </pic:cNvPicPr>
                    </pic:nvPicPr>
                    <pic:blipFill>
                      <a:blip r:embed="rId632">
                        <a:extLst>
                          <a:ext uri="{28A0092B-C50C-407E-A947-70E740481C1C}">
                            <a14:useLocalDpi xmlns:a14="http://schemas.microsoft.com/office/drawing/2010/main" val="0"/>
                          </a:ext>
                        </a:extLst>
                      </a:blip>
                      <a:srcRect/>
                      <a:stretch>
                        <a:fillRect/>
                      </a:stretch>
                    </pic:blipFill>
                    <pic:spPr bwMode="auto">
                      <a:xfrm>
                        <a:off x="0" y="0"/>
                        <a:ext cx="5332730" cy="3620770"/>
                      </a:xfrm>
                      <a:prstGeom prst="rect">
                        <a:avLst/>
                      </a:prstGeom>
                      <a:noFill/>
                      <a:ln>
                        <a:noFill/>
                      </a:ln>
                    </pic:spPr>
                  </pic:pic>
                </a:graphicData>
              </a:graphic>
            </wp:inline>
          </w:drawing>
        </w:r>
        <w:r w:rsidR="001C1B05">
          <w:rPr>
            <w:rStyle w:val="ampliarfoto1"/>
            <w:vanish/>
            <w:color w:val="9C355D"/>
            <w:specVanish w:val="0"/>
          </w:rPr>
          <w:t>ampliar foto</w:t>
        </w:r>
      </w:hyperlink>
    </w:p>
    <w:p w:rsidR="001C1B05" w:rsidRPr="002E3FAE" w:rsidRDefault="001C1B05" w:rsidP="00550638">
      <w:pPr>
        <w:pStyle w:val="figcaption"/>
        <w:shd w:val="clear" w:color="auto" w:fill="FFFFFF"/>
        <w:jc w:val="both"/>
      </w:pPr>
      <w:r>
        <w:t xml:space="preserve">Fuente: Ministerio de Empleo y Seguridad Social. / </w:t>
      </w:r>
      <w:r>
        <w:rPr>
          <w:rStyle w:val="firma7"/>
        </w:rPr>
        <w:t>EL PAÍS</w:t>
      </w:r>
    </w:p>
    <w:p w:rsidR="001C1B05" w:rsidRDefault="001C1B05" w:rsidP="00550638">
      <w:pPr>
        <w:pStyle w:val="NormalWeb"/>
        <w:shd w:val="clear" w:color="auto" w:fill="FFFFFF"/>
        <w:jc w:val="both"/>
      </w:pPr>
      <w:r w:rsidRPr="002E3FAE">
        <w:t xml:space="preserve">Después de un mes de trabajo, </w:t>
      </w:r>
      <w:r w:rsidRPr="000A25B5">
        <w:rPr>
          <w:u w:val="single"/>
        </w:rPr>
        <w:t>la mayoría del grupo</w:t>
      </w:r>
      <w:r>
        <w:t xml:space="preserve"> -</w:t>
      </w:r>
      <w:r w:rsidRPr="002E3FAE">
        <w:t>es muy probable que el lunes hay</w:t>
      </w:r>
      <w:r>
        <w:t>a dos o tres votos discrepantes-</w:t>
      </w:r>
      <w:r w:rsidRPr="002E3FAE">
        <w:t xml:space="preserve"> </w:t>
      </w:r>
      <w:r w:rsidRPr="000A25B5">
        <w:rPr>
          <w:u w:val="single"/>
        </w:rPr>
        <w:t>se decanta por una aplicación inmediata del factor de sostenibilidad</w:t>
      </w:r>
      <w:r w:rsidRPr="002E3FAE">
        <w:t xml:space="preserve">. No obstante, el texto escrito por el presidente del grupo, Víctor Pérez-Díaz, de 29 páginas y fechado el 24 mayo, al que ha tenido acceso este diario, abre la puerta a otros dos escenarios: una implantación progresiva entre 2014 y 2019 y su </w:t>
      </w:r>
      <w:r w:rsidRPr="002E3FAE">
        <w:lastRenderedPageBreak/>
        <w:t>aplicación en 2019. Pero la postura del grupo de expertos está clara. “El Comité se pronuncia a favor de una aplicación temprana”, aclara el texto “aún provisional”, porque, como explica en otro apartado, “conviene ap</w:t>
      </w:r>
      <w:r>
        <w:t>licarlo lo más pronto posible”.</w:t>
      </w:r>
    </w:p>
    <w:p w:rsidR="001C1B05" w:rsidRPr="002E3FAE" w:rsidRDefault="001C1B05" w:rsidP="00550638">
      <w:pPr>
        <w:pStyle w:val="NormalWeb"/>
        <w:shd w:val="clear" w:color="auto" w:fill="FFFFFF"/>
        <w:jc w:val="both"/>
      </w:pPr>
      <w:r w:rsidRPr="002E3FAE">
        <w:t>La vía planteada abre la puerta a bajadas en las pensiones futuras</w:t>
      </w:r>
    </w:p>
    <w:p w:rsidR="001C1B05" w:rsidRDefault="001C1B05" w:rsidP="00550638">
      <w:pPr>
        <w:pStyle w:val="NormalWeb"/>
        <w:shd w:val="clear" w:color="auto" w:fill="FFFFFF"/>
        <w:jc w:val="both"/>
      </w:pPr>
      <w:r w:rsidRPr="000A25B5">
        <w:rPr>
          <w:u w:val="single"/>
        </w:rPr>
        <w:t>Co</w:t>
      </w:r>
      <w:r>
        <w:rPr>
          <w:u w:val="single"/>
        </w:rPr>
        <w:t>n este documento no definitivo -</w:t>
      </w:r>
      <w:r w:rsidRPr="000A25B5">
        <w:rPr>
          <w:u w:val="single"/>
        </w:rPr>
        <w:t>algo que puede observarse en las múltiples adver</w:t>
      </w:r>
      <w:r>
        <w:rPr>
          <w:u w:val="single"/>
        </w:rPr>
        <w:t>tencias y sugerencias del texto-</w:t>
      </w:r>
      <w:r w:rsidRPr="000A25B5">
        <w:rPr>
          <w:u w:val="single"/>
        </w:rPr>
        <w:t xml:space="preserve"> los expertos se sitúan en línea con las exigencias de Bruselas, donde exigen que el factor de sostenibilidad entre en vigor antes de 2032 y creen que la reforma de pensiones de 2011, aunque bien orientada, es insuficiente.</w:t>
      </w:r>
      <w:r w:rsidRPr="002E3FAE">
        <w:t xml:space="preserve"> Lo que no hacen los expertos es recomendar un adelanto de la llegada de la edad legal de jubilación (ahora previsto en 2027) como en algún momento ha pedido la Comisión Europea. Pero sí que se establecen importantes mecanismos de ajuste y contención de gasto, que probablemente se traducirán en pensiones menores en el futuro.</w:t>
      </w:r>
    </w:p>
    <w:p w:rsidR="001C1B05" w:rsidRPr="002E3FAE" w:rsidRDefault="001C1B05" w:rsidP="00550638">
      <w:pPr>
        <w:pStyle w:val="NormalWeb"/>
        <w:shd w:val="clear" w:color="auto" w:fill="FFFFFF"/>
        <w:jc w:val="both"/>
      </w:pPr>
      <w:r w:rsidRPr="000A25B5">
        <w:rPr>
          <w:color w:val="FF0000"/>
          <w:u w:val="single"/>
        </w:rPr>
        <w:t>Uno de los objetivos del factor de sostenibilidad, dice reiteradamente el documento, es “el equilibrio presupuestario del sistema”. Para lograrlo, propone acabar con el vínculo directo que ahora mantienen las pensiones con el IPC. Aquí radica una novedad muy importante sobre otras reformas de pensiones: afecta a los ya jubilados</w:t>
      </w:r>
      <w:r w:rsidRPr="002E3FAE">
        <w:t xml:space="preserve">. </w:t>
      </w:r>
      <w:r w:rsidRPr="000A25B5">
        <w:rPr>
          <w:color w:val="FF0000"/>
          <w:u w:val="single"/>
        </w:rPr>
        <w:t>En sustitución, se apuesta por actualizar las pensiones cada año “en función de una ratio entre ingresos y gastos”.</w:t>
      </w:r>
      <w:r w:rsidRPr="002E3FAE">
        <w:t xml:space="preserve"> Para suavizar los vaivenes anuales y que esto no provoque grandes oscilaciones, los expertos sugieren que se tomen los ingresos y los gastos de 11 años (los cinco pasados, el vigente y las previsiones de los cinco posteriores).</w:t>
      </w:r>
    </w:p>
    <w:p w:rsidR="001C1B05" w:rsidRPr="000A25B5" w:rsidRDefault="001C1B05" w:rsidP="00550638">
      <w:pPr>
        <w:pStyle w:val="NormalWeb"/>
        <w:shd w:val="clear" w:color="auto" w:fill="FFFFFF"/>
        <w:jc w:val="both"/>
        <w:rPr>
          <w:u w:val="single"/>
        </w:rPr>
      </w:pPr>
      <w:r w:rsidRPr="000A25B5">
        <w:rPr>
          <w:u w:val="single"/>
        </w:rPr>
        <w:t>A pesar de esta prevención, puede darse la circunstancia de que la aplicación estricta de la fórmula suponga caídas nominales de pensiones (que una prestación mensual de 1.000 euros tuviera que reducirse, por ejemplo a 990) y no solo pérdidas de poder adquisitivo</w:t>
      </w:r>
      <w:r w:rsidRPr="002E3FAE">
        <w:t xml:space="preserve">. </w:t>
      </w:r>
      <w:r w:rsidRPr="000A25B5">
        <w:rPr>
          <w:u w:val="single"/>
        </w:rPr>
        <w:t>En este punto, el informe discrimina entre los pensionistas presentes y los futuros. Para los primeros recomienda que se prohíba esta posibilidad y que mantendrá “su valor nominal”. Para los segundos, diferencia entre “los que están próximos a jubilarse”, a los que “cabe aplicarles un razonamiento similar” al de los pensionistas actuales, y “los que están relativamente alejados de su jubilación”, de los que no dice nada. Se puede inferir, por tanto, que se abre así la puerta a bajadas de pensiones en el futuro.</w:t>
      </w:r>
    </w:p>
    <w:p w:rsidR="001C1B05" w:rsidRPr="00EC34FC" w:rsidRDefault="001C1B05" w:rsidP="00550638">
      <w:pPr>
        <w:pStyle w:val="NormalWeb"/>
        <w:shd w:val="clear" w:color="auto" w:fill="FFFFFF"/>
        <w:jc w:val="both"/>
        <w:rPr>
          <w:u w:val="single"/>
        </w:rPr>
      </w:pPr>
      <w:r w:rsidRPr="00EC34FC">
        <w:rPr>
          <w:color w:val="FF0000"/>
          <w:u w:val="single"/>
        </w:rPr>
        <w:t>El otro mecanismo de contención de gasto, aunque a más largo plazo, es el que apuesta por vincular la pensión con la esperanza de vida al jubilarse</w:t>
      </w:r>
      <w:r w:rsidRPr="002E3FAE">
        <w:t xml:space="preserve">. Aquí el grupo de expertos no propone cambios sobre parámetros como los años necesarios para tener derecho a una pensión contributiva (15 años), el periodo de cálculo (16 años este ejercicio) o la edad legal de jubilación. </w:t>
      </w:r>
      <w:r w:rsidRPr="00EC34FC">
        <w:rPr>
          <w:u w:val="single"/>
        </w:rPr>
        <w:t>La apuesta en este punto es que quien se retire, por ejemplo, en 2014 momento tiene que cobrar durante toda su jubilación lo mismo que quien se jubile en 2019 con las mismas bases de cotización.</w:t>
      </w:r>
    </w:p>
    <w:p w:rsidR="001C1B05" w:rsidRDefault="001C1B05" w:rsidP="00550638">
      <w:pPr>
        <w:pStyle w:val="NormalWeb"/>
        <w:shd w:val="clear" w:color="auto" w:fill="FFFFFF"/>
        <w:jc w:val="both"/>
        <w:rPr>
          <w:u w:val="single"/>
        </w:rPr>
      </w:pPr>
      <w:r w:rsidRPr="00EC34FC">
        <w:rPr>
          <w:u w:val="single"/>
        </w:rPr>
        <w:t>La deducción en este punto es sencilla: sabiendo que, como norma general, cada vez se vive durante más tiempo (la esperanza de vida suele aumentar cada año en unos 50 días), la normal es que la pensión inicial media de los jubilados en el futuro sea más baja. Y así lo admite el informe. Para compensar, el texto propone que se incentive el retraso voluntario de la jubilación.</w:t>
      </w:r>
    </w:p>
    <w:p w:rsidR="00DC5B95" w:rsidRDefault="00DC5B95" w:rsidP="00550638">
      <w:pPr>
        <w:pStyle w:val="NormalWeb"/>
        <w:shd w:val="clear" w:color="auto" w:fill="FFFFFF"/>
        <w:jc w:val="both"/>
        <w:rPr>
          <w:u w:val="single"/>
        </w:rPr>
      </w:pPr>
    </w:p>
    <w:p w:rsidR="00883ECD" w:rsidRPr="00883ECD" w:rsidRDefault="00883ECD" w:rsidP="00550638">
      <w:pPr>
        <w:pStyle w:val="NormalWeb"/>
        <w:shd w:val="clear" w:color="auto" w:fill="FFFFFF"/>
        <w:jc w:val="both"/>
      </w:pPr>
      <w:r w:rsidRPr="00883ECD">
        <w:lastRenderedPageBreak/>
        <w:t>La actualización anual se vinculará a los ingresos y gastos del sistema</w:t>
      </w:r>
    </w:p>
    <w:p w:rsidR="001C1B05" w:rsidRPr="00EC34FC" w:rsidRDefault="001C1B05" w:rsidP="00550638">
      <w:pPr>
        <w:pStyle w:val="NormalWeb"/>
        <w:shd w:val="clear" w:color="auto" w:fill="FFFFFF"/>
        <w:jc w:val="both"/>
        <w:rPr>
          <w:color w:val="FF0000"/>
          <w:u w:val="single"/>
        </w:rPr>
      </w:pPr>
      <w:r w:rsidRPr="00EC34FC">
        <w:rPr>
          <w:color w:val="FF0000"/>
          <w:u w:val="single"/>
        </w:rPr>
        <w:t>Este doble ajuste se traducirá en una reducción de pensiones en el medio plazo. Los mismos expertos lo admiten en su informe cuando</w:t>
      </w:r>
      <w:r w:rsidR="006B2C72">
        <w:rPr>
          <w:color w:val="FF0000"/>
          <w:u w:val="single"/>
        </w:rPr>
        <w:t xml:space="preserve"> calculan -</w:t>
      </w:r>
      <w:r w:rsidRPr="00EC34FC">
        <w:rPr>
          <w:color w:val="FF0000"/>
          <w:u w:val="single"/>
        </w:rPr>
        <w:t xml:space="preserve">en base a unos escenarios de crecimiento anual medio entre el 1,5% </w:t>
      </w:r>
      <w:r w:rsidR="006B2C72">
        <w:rPr>
          <w:color w:val="FF0000"/>
          <w:u w:val="single"/>
        </w:rPr>
        <w:t>y el 2,75% en los próximos años-</w:t>
      </w:r>
      <w:r w:rsidRPr="00EC34FC">
        <w:rPr>
          <w:color w:val="FF0000"/>
          <w:u w:val="single"/>
        </w:rPr>
        <w:t xml:space="preserve"> que para un pensionista actual que esté cobrando 1.000 hoy cobraría, una vez se descuenta el IPC, entre 939 y 949 euros, en 2020. Más optimistas son respecto a los jubilados futuros, pues creen que se mantendrá entre los 998 y los 1.008 euros.</w:t>
      </w:r>
    </w:p>
    <w:p w:rsidR="001C1B05" w:rsidRDefault="001C1B05" w:rsidP="00550638">
      <w:pPr>
        <w:pStyle w:val="NormalWeb"/>
        <w:shd w:val="clear" w:color="auto" w:fill="FFFFFF"/>
        <w:jc w:val="both"/>
      </w:pPr>
      <w:r w:rsidRPr="002E3FAE">
        <w:t>El capítulo al que los expertos apenas le dedican espacio es al de aumentar los ingresos. No desc</w:t>
      </w:r>
      <w:r>
        <w:t>artan la posibilidad. Admiten</w:t>
      </w:r>
      <w:r w:rsidRPr="002E3FAE">
        <w:t xml:space="preserve"> que se puedan subir las cotizaciones o dotar al sistema de pensiones con otras vías de financiación. Sin embargo, sí que rechazan que de la aplicación del factor de sostenibilidad resulte un aumento automático de cotizaciones. “Las empresas se verían dificultadas por una incertidumbre añadida”, zanja.</w:t>
      </w:r>
    </w:p>
    <w:p w:rsidR="001C1B05" w:rsidRPr="001C1B05" w:rsidRDefault="001C1B05" w:rsidP="00550638">
      <w:pPr>
        <w:pStyle w:val="NormalWeb"/>
        <w:shd w:val="clear" w:color="auto" w:fill="FFFFFF"/>
        <w:jc w:val="both"/>
      </w:pPr>
      <w:r w:rsidRPr="001C1B05">
        <w:rPr>
          <w:color w:val="FF0000"/>
          <w:u w:val="single"/>
        </w:rPr>
        <w:t>La reforma de las pensiones afecta a nueve millones de pensionistas españoles y a los mayores de 50 años que ya ven próxima su pensión y que temen ver cómo caerá su nivel de vida. Ya se ha filtrado que el Instituto de Estadios Fiscales, perteneciente al Ministerio de Hacienda, estima que tendremos que bajar hasta un 40% las pensiones. Ya hemos abierto la caja de Pandora del miedo y ahora toca gestionar el caos.</w:t>
      </w:r>
    </w:p>
    <w:p w:rsidR="001C1B05" w:rsidRPr="001C1B05" w:rsidRDefault="001C1B05" w:rsidP="00550638">
      <w:pPr>
        <w:pStyle w:val="Ttulo2"/>
        <w:shd w:val="clear" w:color="auto" w:fill="F3F3E5"/>
        <w:spacing w:line="240" w:lineRule="auto"/>
        <w:jc w:val="both"/>
        <w:rPr>
          <w:rFonts w:ascii="Times New Roman" w:hAnsi="Times New Roman" w:cs="Times New Roman"/>
          <w:b w:val="0"/>
          <w:color w:val="auto"/>
          <w:sz w:val="24"/>
          <w:szCs w:val="24"/>
        </w:rPr>
      </w:pPr>
      <w:r w:rsidRPr="001C1B05">
        <w:rPr>
          <w:rFonts w:ascii="Times New Roman" w:hAnsi="Times New Roman" w:cs="Times New Roman"/>
          <w:b w:val="0"/>
          <w:color w:val="auto"/>
          <w:sz w:val="24"/>
          <w:szCs w:val="24"/>
        </w:rPr>
        <w:t>¿Cómo le afecta la reforma?</w:t>
      </w:r>
    </w:p>
    <w:p w:rsidR="001C1B05" w:rsidRPr="00F11C50" w:rsidRDefault="001C1B05" w:rsidP="00550638">
      <w:pPr>
        <w:numPr>
          <w:ilvl w:val="0"/>
          <w:numId w:val="28"/>
        </w:numPr>
        <w:pBdr>
          <w:top w:val="single" w:sz="6" w:space="8" w:color="E9E9E9"/>
        </w:pBdr>
        <w:shd w:val="clear" w:color="auto" w:fill="FFFFFF"/>
        <w:spacing w:after="0" w:line="240" w:lineRule="auto"/>
        <w:ind w:left="0"/>
        <w:jc w:val="both"/>
        <w:rPr>
          <w:rFonts w:ascii="Times New Roman" w:hAnsi="Times New Roman" w:cs="Times New Roman"/>
          <w:sz w:val="24"/>
          <w:szCs w:val="24"/>
        </w:rPr>
      </w:pPr>
      <w:r w:rsidRPr="00F11C50">
        <w:rPr>
          <w:rFonts w:ascii="Times New Roman" w:hAnsi="Times New Roman" w:cs="Times New Roman"/>
          <w:b/>
          <w:bCs/>
          <w:sz w:val="24"/>
          <w:szCs w:val="24"/>
        </w:rPr>
        <w:t xml:space="preserve">Ya está jubilado. </w:t>
      </w:r>
      <w:r w:rsidRPr="00EC34FC">
        <w:rPr>
          <w:rFonts w:ascii="Times New Roman" w:hAnsi="Times New Roman" w:cs="Times New Roman"/>
          <w:sz w:val="24"/>
          <w:szCs w:val="24"/>
          <w:u w:val="single"/>
        </w:rPr>
        <w:t>El documento provisional propone acabar con la vinculación entre pensiones e IPC</w:t>
      </w:r>
      <w:r w:rsidRPr="00F11C50">
        <w:rPr>
          <w:rFonts w:ascii="Times New Roman" w:hAnsi="Times New Roman" w:cs="Times New Roman"/>
          <w:sz w:val="24"/>
          <w:szCs w:val="24"/>
        </w:rPr>
        <w:t>. Desde los 90, se garantiza que las pensiones no pierden poder adquisitivo. Solo en 2011 y 2012 se ha incumplido este precepto. Ahora se estudia que las prestaciones evolucionen según una fórmula basada en la marcha de los ingresos y los gastos. En coyunturas económicas como la actual se traducirá en pérdidas de poder adquisitivo.</w:t>
      </w:r>
    </w:p>
    <w:p w:rsidR="001C1B05" w:rsidRPr="00F11C50" w:rsidRDefault="001C1B05" w:rsidP="00550638">
      <w:pPr>
        <w:numPr>
          <w:ilvl w:val="0"/>
          <w:numId w:val="28"/>
        </w:numPr>
        <w:pBdr>
          <w:top w:val="single" w:sz="6" w:space="8" w:color="E9E9E9"/>
        </w:pBdr>
        <w:shd w:val="clear" w:color="auto" w:fill="FFFFFF"/>
        <w:spacing w:after="0" w:line="240" w:lineRule="auto"/>
        <w:ind w:left="0"/>
        <w:jc w:val="both"/>
        <w:rPr>
          <w:rFonts w:ascii="Times New Roman" w:hAnsi="Times New Roman" w:cs="Times New Roman"/>
          <w:sz w:val="24"/>
          <w:szCs w:val="24"/>
        </w:rPr>
      </w:pPr>
      <w:r w:rsidRPr="00F11C50">
        <w:rPr>
          <w:rFonts w:ascii="Times New Roman" w:hAnsi="Times New Roman" w:cs="Times New Roman"/>
          <w:b/>
          <w:bCs/>
          <w:sz w:val="24"/>
          <w:szCs w:val="24"/>
        </w:rPr>
        <w:t xml:space="preserve">Va a jubilarse pronto. </w:t>
      </w:r>
      <w:r w:rsidRPr="00EC34FC">
        <w:rPr>
          <w:rFonts w:ascii="Times New Roman" w:hAnsi="Times New Roman" w:cs="Times New Roman"/>
          <w:sz w:val="24"/>
          <w:szCs w:val="24"/>
          <w:u w:val="single"/>
        </w:rPr>
        <w:t>La edad de referencia seguirá entre los 65 y los 67 años, según el tiempo cotizado. No obstante, se propone que la cuantía inicial de la pensión esté ligada a la esperanza de vida al jubilarse</w:t>
      </w:r>
      <w:r w:rsidRPr="00F11C50">
        <w:rPr>
          <w:rFonts w:ascii="Times New Roman" w:hAnsi="Times New Roman" w:cs="Times New Roman"/>
          <w:sz w:val="24"/>
          <w:szCs w:val="24"/>
        </w:rPr>
        <w:t>. La fórmula ofrecida persigue que la cantidad total a cobrar por un jubilado en 2014 sea la misma que otro que se retire años después, con iguales cotizaciones. Eso se traduce en una reducción paralela de la pensión. La actualización anual será similar a la de los ya jubilados.</w:t>
      </w:r>
    </w:p>
    <w:p w:rsidR="001C1B05" w:rsidRDefault="001C1B05" w:rsidP="00550638">
      <w:pPr>
        <w:numPr>
          <w:ilvl w:val="0"/>
          <w:numId w:val="28"/>
        </w:numPr>
        <w:pBdr>
          <w:top w:val="single" w:sz="6" w:space="8" w:color="E9E9E9"/>
        </w:pBdr>
        <w:shd w:val="clear" w:color="auto" w:fill="FFFFFF"/>
        <w:spacing w:after="0" w:line="240" w:lineRule="auto"/>
        <w:ind w:left="0"/>
        <w:jc w:val="both"/>
        <w:rPr>
          <w:rFonts w:ascii="Times New Roman" w:hAnsi="Times New Roman" w:cs="Times New Roman"/>
          <w:sz w:val="24"/>
          <w:szCs w:val="24"/>
        </w:rPr>
      </w:pPr>
      <w:r w:rsidRPr="00F11C50">
        <w:rPr>
          <w:rFonts w:ascii="Times New Roman" w:hAnsi="Times New Roman" w:cs="Times New Roman"/>
          <w:b/>
          <w:bCs/>
          <w:sz w:val="24"/>
          <w:szCs w:val="24"/>
        </w:rPr>
        <w:t xml:space="preserve">Aún falta mucho para jubilarse. </w:t>
      </w:r>
      <w:r w:rsidRPr="00EC34FC">
        <w:rPr>
          <w:rFonts w:ascii="Times New Roman" w:hAnsi="Times New Roman" w:cs="Times New Roman"/>
          <w:sz w:val="24"/>
          <w:szCs w:val="24"/>
          <w:u w:val="single"/>
        </w:rPr>
        <w:t>La fórmula de cálculo de la pensión será la misma que en el caso anterior</w:t>
      </w:r>
      <w:r w:rsidRPr="00F11C50">
        <w:rPr>
          <w:rFonts w:ascii="Times New Roman" w:hAnsi="Times New Roman" w:cs="Times New Roman"/>
          <w:sz w:val="24"/>
          <w:szCs w:val="24"/>
        </w:rPr>
        <w:t>. Para la actualización anual, los expertos no proponen ninguna cautela si el resultado de la fórmula implica caídas de pensiones. Se deduce que sí contemplan esa posibilidad para las pensiones futuras.</w:t>
      </w:r>
    </w:p>
    <w:p w:rsidR="003B1A4F" w:rsidRPr="00883ECD" w:rsidRDefault="00883ECD" w:rsidP="00550638">
      <w:pPr>
        <w:pBdr>
          <w:top w:val="single" w:sz="6" w:space="8" w:color="E9E9E9"/>
        </w:pBdr>
        <w:shd w:val="clear" w:color="auto" w:fill="FFFFFF"/>
        <w:spacing w:after="0"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La represión financiera: a</w:t>
      </w:r>
      <w:r w:rsidR="003B1A4F" w:rsidRPr="00883ECD">
        <w:rPr>
          <w:rFonts w:ascii="Times New Roman" w:hAnsi="Times New Roman" w:cs="Times New Roman"/>
          <w:sz w:val="24"/>
          <w:szCs w:val="24"/>
          <w:u w:val="single"/>
        </w:rPr>
        <w:t xml:space="preserve">diós a la </w:t>
      </w:r>
      <w:r w:rsidR="003B1A4F" w:rsidRPr="00883ECD">
        <w:rPr>
          <w:rFonts w:ascii="Times New Roman" w:hAnsi="Times New Roman" w:cs="Times New Roman"/>
          <w:bCs/>
          <w:sz w:val="24"/>
          <w:szCs w:val="24"/>
          <w:u w:val="single"/>
        </w:rPr>
        <w:t>revalorización automática</w:t>
      </w:r>
      <w:r w:rsidR="003B1A4F" w:rsidRPr="00883ECD">
        <w:rPr>
          <w:rFonts w:ascii="Times New Roman" w:hAnsi="Times New Roman" w:cs="Times New Roman"/>
          <w:sz w:val="24"/>
          <w:szCs w:val="24"/>
          <w:u w:val="single"/>
        </w:rPr>
        <w:t xml:space="preserve"> de las pensiones en función del IPC</w:t>
      </w:r>
    </w:p>
    <w:p w:rsidR="003B1A4F" w:rsidRPr="00883ECD" w:rsidRDefault="00883ECD" w:rsidP="00550638">
      <w:pPr>
        <w:pStyle w:val="NormalWeb"/>
        <w:jc w:val="both"/>
      </w:pPr>
      <w:r>
        <w:rPr>
          <w:rFonts w:eastAsiaTheme="minorHAnsi"/>
          <w:b/>
          <w:bCs/>
          <w:lang w:eastAsia="en-US"/>
        </w:rPr>
        <w:t>“</w:t>
      </w:r>
      <w:r w:rsidR="003B1A4F" w:rsidRPr="00883ECD">
        <w:rPr>
          <w:i/>
        </w:rPr>
        <w:t xml:space="preserve">El </w:t>
      </w:r>
      <w:r w:rsidR="003B1A4F" w:rsidRPr="00883ECD">
        <w:rPr>
          <w:bCs/>
          <w:i/>
        </w:rPr>
        <w:t>Comité de Expertos</w:t>
      </w:r>
      <w:r w:rsidR="003B1A4F" w:rsidRPr="00883ECD">
        <w:rPr>
          <w:i/>
        </w:rPr>
        <w:t xml:space="preserve"> que ha asesorado al Gobierno a la hora de reformar el sistema público de protección social, liquida en </w:t>
      </w:r>
      <w:hyperlink r:id="rId633" w:history="1">
        <w:r w:rsidR="003B1A4F" w:rsidRPr="00883ECD">
          <w:rPr>
            <w:rStyle w:val="Hipervnculo"/>
            <w:rFonts w:eastAsiaTheme="majorEastAsia"/>
            <w:i/>
            <w:color w:val="auto"/>
            <w:u w:val="none"/>
          </w:rPr>
          <w:t>su informe</w:t>
        </w:r>
      </w:hyperlink>
      <w:r w:rsidR="003B1A4F" w:rsidRPr="00883ECD">
        <w:rPr>
          <w:i/>
        </w:rPr>
        <w:t xml:space="preserve"> el tradicional sistema de actualización de la pensiones en función del </w:t>
      </w:r>
      <w:r w:rsidR="003B1A4F" w:rsidRPr="00883ECD">
        <w:rPr>
          <w:bCs/>
          <w:i/>
        </w:rPr>
        <w:t>coste de la vida</w:t>
      </w:r>
      <w:r w:rsidR="003B1A4F" w:rsidRPr="00883ECD">
        <w:rPr>
          <w:i/>
        </w:rPr>
        <w:t xml:space="preserve">. En el fututo, el criterio que se tendrá en cuenta es mucho más complejo. Hasta el punto de que las pensiones evolucionarán en función de los </w:t>
      </w:r>
      <w:r w:rsidR="003B1A4F" w:rsidRPr="00883ECD">
        <w:rPr>
          <w:bCs/>
          <w:i/>
        </w:rPr>
        <w:t>gastos e ingresos</w:t>
      </w:r>
      <w:r w:rsidR="003B1A4F" w:rsidRPr="00883ECD">
        <w:rPr>
          <w:i/>
        </w:rPr>
        <w:t xml:space="preserve"> del sistema en términos estructurales. Es decir, al margen de factores coyunturales</w:t>
      </w:r>
      <w:r>
        <w:rPr>
          <w:i/>
        </w:rPr>
        <w:t>”..</w:t>
      </w:r>
      <w:r w:rsidR="003B1A4F" w:rsidRPr="00883ECD">
        <w:rPr>
          <w:i/>
        </w:rPr>
        <w:t>.</w:t>
      </w:r>
      <w:r>
        <w:rPr>
          <w:i/>
        </w:rPr>
        <w:t xml:space="preserve"> </w:t>
      </w:r>
      <w:r w:rsidRPr="001C0A15">
        <w:rPr>
          <w:u w:val="single"/>
        </w:rPr>
        <w:t>Los expertos fían el futuro de las pensiones a la marcha de los ciclos económicos</w:t>
      </w:r>
      <w:r>
        <w:t xml:space="preserve"> (El Confidencial - </w:t>
      </w:r>
      <w:r w:rsidRPr="001C0A15">
        <w:rPr>
          <w:b/>
        </w:rPr>
        <w:t>7/6/13</w:t>
      </w:r>
      <w:r>
        <w:t>)</w:t>
      </w:r>
    </w:p>
    <w:p w:rsidR="003B1A4F" w:rsidRPr="00883ECD" w:rsidRDefault="003B1A4F" w:rsidP="00550638">
      <w:pPr>
        <w:pStyle w:val="NormalWeb"/>
        <w:jc w:val="both"/>
      </w:pPr>
      <w:r w:rsidRPr="00883ECD">
        <w:lastRenderedPageBreak/>
        <w:t xml:space="preserve">¿Qué quiere decir esto? Pues que las pensiones evolucionarán en coherencia con lo que lo haga la economía. Pero no sólo eso. También se tendrá en cuenta la </w:t>
      </w:r>
      <w:r w:rsidRPr="00883ECD">
        <w:rPr>
          <w:bCs/>
        </w:rPr>
        <w:t>esperanza de</w:t>
      </w:r>
      <w:r w:rsidRPr="00883ECD">
        <w:t xml:space="preserve"> vida de todos y de cada uno de los pensionistas. Lo que no está nada claro todavía es </w:t>
      </w:r>
      <w:r w:rsidRPr="00883ECD">
        <w:rPr>
          <w:bCs/>
        </w:rPr>
        <w:t>cuándo entrará en vigor</w:t>
      </w:r>
      <w:r w:rsidRPr="00883ECD">
        <w:t xml:space="preserve"> la doble fórmula. La opinión mayoritaria de los </w:t>
      </w:r>
      <w:r w:rsidR="00883ECD" w:rsidRPr="00883ECD">
        <w:t>“</w:t>
      </w:r>
      <w:r w:rsidRPr="00883ECD">
        <w:rPr>
          <w:iCs/>
        </w:rPr>
        <w:t>sabios</w:t>
      </w:r>
      <w:r w:rsidR="00883ECD" w:rsidRPr="00883ECD">
        <w:rPr>
          <w:iCs/>
        </w:rPr>
        <w:t>”</w:t>
      </w:r>
      <w:r w:rsidRPr="00883ECD">
        <w:t xml:space="preserve"> es aplicar este factor dentro del periodo 2014 a 2019, si bien, aseguran, existen razones de peso para que se haga lo antes posible, aunque teniendo en cuenta las diversas circunstancias de los </w:t>
      </w:r>
      <w:r w:rsidRPr="00883ECD">
        <w:rPr>
          <w:bCs/>
        </w:rPr>
        <w:t>colectivos afectados</w:t>
      </w:r>
      <w:r w:rsidRPr="00883ECD">
        <w:t xml:space="preserve"> por la última reforma. La última palabra la tendrá el Gobierno.</w:t>
      </w:r>
    </w:p>
    <w:p w:rsidR="003B1A4F" w:rsidRDefault="003B1A4F" w:rsidP="00550638">
      <w:pPr>
        <w:pStyle w:val="NormalWeb"/>
        <w:jc w:val="both"/>
      </w:pPr>
      <w:r>
        <w:rPr>
          <w:noProof/>
        </w:rPr>
        <w:drawing>
          <wp:inline distT="0" distB="0" distL="0" distR="0" wp14:anchorId="47EBEAF0" wp14:editId="40A0E589">
            <wp:extent cx="5400040" cy="2281905"/>
            <wp:effectExtent l="0" t="0" r="0" b="4445"/>
            <wp:docPr id="469" name="Imagen 469" descr="Los expertos fían el futuro de las pensiones a la marcha de los ciclos económicos&#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expertos fían el futuro de las pensiones a la marcha de los ciclos económicos&#10;&#10;"/>
                    <pic:cNvPicPr>
                      <a:picLocks noChangeAspect="1" noChangeArrowheads="1"/>
                    </pic:cNvPicPr>
                  </pic:nvPicPr>
                  <pic:blipFill>
                    <a:blip r:embed="rId634">
                      <a:extLst>
                        <a:ext uri="{28A0092B-C50C-407E-A947-70E740481C1C}">
                          <a14:useLocalDpi xmlns:a14="http://schemas.microsoft.com/office/drawing/2010/main" val="0"/>
                        </a:ext>
                      </a:extLst>
                    </a:blip>
                    <a:srcRect/>
                    <a:stretch>
                      <a:fillRect/>
                    </a:stretch>
                  </pic:blipFill>
                  <pic:spPr bwMode="auto">
                    <a:xfrm>
                      <a:off x="0" y="0"/>
                      <a:ext cx="5400040" cy="2281905"/>
                    </a:xfrm>
                    <a:prstGeom prst="rect">
                      <a:avLst/>
                    </a:prstGeom>
                    <a:noFill/>
                    <a:ln>
                      <a:noFill/>
                    </a:ln>
                  </pic:spPr>
                </pic:pic>
              </a:graphicData>
            </a:graphic>
          </wp:inline>
        </w:drawing>
      </w:r>
    </w:p>
    <w:p w:rsidR="003B1A4F" w:rsidRPr="00883ECD" w:rsidRDefault="003B1A4F" w:rsidP="00550638">
      <w:pPr>
        <w:pStyle w:val="NormalWeb"/>
        <w:jc w:val="both"/>
      </w:pPr>
      <w:r w:rsidRPr="00883ECD">
        <w:t xml:space="preserve">Ahora bien, también es posible que el nuevo mecanismo entre en vigor de </w:t>
      </w:r>
      <w:r w:rsidRPr="00883ECD">
        <w:rPr>
          <w:bCs/>
        </w:rPr>
        <w:t>forma transitoria</w:t>
      </w:r>
      <w:r w:rsidRPr="00883ECD">
        <w:t xml:space="preserve">. En todo caso, no se tocará la </w:t>
      </w:r>
      <w:r w:rsidRPr="00883ECD">
        <w:rPr>
          <w:bCs/>
        </w:rPr>
        <w:t>edad de jubilación</w:t>
      </w:r>
      <w:r w:rsidRPr="00883ECD">
        <w:t xml:space="preserve"> a los 67 años en 2027, ni se adelantarán los periodos transitorios previstos en la vigente ley.</w:t>
      </w:r>
    </w:p>
    <w:p w:rsidR="003B1A4F" w:rsidRDefault="00883ECD" w:rsidP="00550638">
      <w:pPr>
        <w:spacing w:line="240" w:lineRule="auto"/>
        <w:jc w:val="both"/>
      </w:pPr>
      <w:r>
        <w:t xml:space="preserve">                    </w:t>
      </w:r>
      <w:hyperlink r:id="rId635" w:history="1">
        <w:r w:rsidR="003B1A4F">
          <w:rPr>
            <w:noProof/>
            <w:color w:val="0000FF"/>
            <w:lang w:eastAsia="es-ES"/>
          </w:rPr>
          <w:drawing>
            <wp:inline distT="0" distB="0" distL="0" distR="0" wp14:anchorId="77928545" wp14:editId="4B0F935D">
              <wp:extent cx="4125770" cy="2538375"/>
              <wp:effectExtent l="0" t="0" r="8255" b="0"/>
              <wp:docPr id="476" name="Imagen 476" descr="http://www.elconfidencial.com/fotos/noticias_2011/2013060788grafico2.jpg">
                <a:hlinkClick xmlns:a="http://schemas.openxmlformats.org/drawingml/2006/main" r:id="rId6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confidencial.com/fotos/noticias_2011/2013060788grafico2.jpg">
                        <a:hlinkClick r:id="rId635"/>
                      </pic:cNvPr>
                      <pic:cNvPicPr>
                        <a:picLocks noChangeAspect="1" noChangeArrowheads="1"/>
                      </pic:cNvPicPr>
                    </pic:nvPicPr>
                    <pic:blipFill>
                      <a:blip r:embed="rId636">
                        <a:extLst>
                          <a:ext uri="{28A0092B-C50C-407E-A947-70E740481C1C}">
                            <a14:useLocalDpi xmlns:a14="http://schemas.microsoft.com/office/drawing/2010/main" val="0"/>
                          </a:ext>
                        </a:extLst>
                      </a:blip>
                      <a:srcRect/>
                      <a:stretch>
                        <a:fillRect/>
                      </a:stretch>
                    </pic:blipFill>
                    <pic:spPr bwMode="auto">
                      <a:xfrm>
                        <a:off x="0" y="0"/>
                        <a:ext cx="4126070" cy="2538559"/>
                      </a:xfrm>
                      <a:prstGeom prst="rect">
                        <a:avLst/>
                      </a:prstGeom>
                      <a:noFill/>
                      <a:ln>
                        <a:noFill/>
                      </a:ln>
                    </pic:spPr>
                  </pic:pic>
                </a:graphicData>
              </a:graphic>
            </wp:inline>
          </w:drawing>
        </w:r>
      </w:hyperlink>
    </w:p>
    <w:p w:rsidR="003B1A4F" w:rsidRPr="00883ECD" w:rsidRDefault="003B1A4F" w:rsidP="00550638">
      <w:pPr>
        <w:pStyle w:val="NormalWeb"/>
        <w:jc w:val="both"/>
      </w:pPr>
      <w:r w:rsidRPr="00883ECD">
        <w:t xml:space="preserve">El </w:t>
      </w:r>
      <w:r w:rsidRPr="00883ECD">
        <w:rPr>
          <w:bCs/>
        </w:rPr>
        <w:t>doble factor</w:t>
      </w:r>
      <w:r w:rsidRPr="00883ECD">
        <w:t xml:space="preserve"> </w:t>
      </w:r>
      <w:r w:rsidRPr="00883ECD">
        <w:rPr>
          <w:bCs/>
        </w:rPr>
        <w:t>de sostenibilidad</w:t>
      </w:r>
      <w:r w:rsidRPr="00883ECD">
        <w:t xml:space="preserve"> (demográfico y económico) se compone, en primer lugar, de un </w:t>
      </w:r>
      <w:r w:rsidRPr="00883ECD">
        <w:rPr>
          <w:bCs/>
        </w:rPr>
        <w:t>Factor de Equidad Intergeneracional</w:t>
      </w:r>
      <w:r w:rsidRPr="00883ECD">
        <w:t xml:space="preserve"> (FEI) -sólo para los futuros pensionistas, no para los actuales- que busca que las condiciones de las pensiones sean iguales para todos los jubilados, con independencia de la </w:t>
      </w:r>
      <w:r w:rsidRPr="00883ECD">
        <w:rPr>
          <w:bCs/>
        </w:rPr>
        <w:t>cohorte demográfica</w:t>
      </w:r>
      <w:r w:rsidRPr="00883ECD">
        <w:t xml:space="preserve"> a la que pertenezcan, algo que no ocurre en la actualidad. </w:t>
      </w:r>
    </w:p>
    <w:p w:rsidR="003B1A4F" w:rsidRPr="00883ECD" w:rsidRDefault="003B1A4F" w:rsidP="00550638">
      <w:pPr>
        <w:pStyle w:val="NormalWeb"/>
        <w:jc w:val="both"/>
      </w:pPr>
      <w:r w:rsidRPr="00883ECD">
        <w:t xml:space="preserve">En segundo lugar, asegura la propuesta, consta de un </w:t>
      </w:r>
      <w:r w:rsidRPr="00883ECD">
        <w:rPr>
          <w:bCs/>
        </w:rPr>
        <w:t>Factor de Revalorización Anual</w:t>
      </w:r>
      <w:r w:rsidRPr="00883ECD">
        <w:t xml:space="preserve"> (FRA) que al proceso natural de evolución de la pensión media, une una corrección basada en la relación entre ingresos y gastos del sistema de pensiones. Esto significa </w:t>
      </w:r>
      <w:r w:rsidRPr="00883ECD">
        <w:lastRenderedPageBreak/>
        <w:t xml:space="preserve">que cuando los </w:t>
      </w:r>
      <w:r w:rsidRPr="00883ECD">
        <w:rPr>
          <w:bCs/>
        </w:rPr>
        <w:t>gastos</w:t>
      </w:r>
      <w:r w:rsidRPr="00883ECD">
        <w:t xml:space="preserve"> crezcan más que los</w:t>
      </w:r>
      <w:r w:rsidRPr="00883ECD">
        <w:rPr>
          <w:bCs/>
        </w:rPr>
        <w:t xml:space="preserve"> ingresos</w:t>
      </w:r>
      <w:r w:rsidRPr="00883ECD">
        <w:t xml:space="preserve">, el FRA debe frenar el crecimiento natural de la pensión, y, por lo tanto, subirán </w:t>
      </w:r>
      <w:r w:rsidRPr="00883ECD">
        <w:rPr>
          <w:bCs/>
        </w:rPr>
        <w:t>menos</w:t>
      </w:r>
      <w:r w:rsidRPr="00883ECD">
        <w:t xml:space="preserve">. Ahora bien, en las situaciones contrarias, tendrán a  </w:t>
      </w:r>
      <w:r w:rsidRPr="00883ECD">
        <w:rPr>
          <w:bCs/>
        </w:rPr>
        <w:t>expandir</w:t>
      </w:r>
      <w:r w:rsidRPr="00883ECD">
        <w:t xml:space="preserve"> el aumento de las pensiones. Como una especie de </w:t>
      </w:r>
      <w:r w:rsidRPr="00883ECD">
        <w:rPr>
          <w:bCs/>
        </w:rPr>
        <w:t>mecanismo de garantía</w:t>
      </w:r>
      <w:r w:rsidRPr="00883ECD">
        <w:t xml:space="preserve">, los expertos recomiendan al Gobierno que “estudie la fijación de una cláusula </w:t>
      </w:r>
      <w:r w:rsidR="00883ECD" w:rsidRPr="00883ECD">
        <w:t>“</w:t>
      </w:r>
      <w:r w:rsidRPr="00883ECD">
        <w:rPr>
          <w:iCs/>
        </w:rPr>
        <w:t>suelo</w:t>
      </w:r>
      <w:r w:rsidR="00883ECD" w:rsidRPr="00883ECD">
        <w:rPr>
          <w:iCs/>
        </w:rPr>
        <w:t>”</w:t>
      </w:r>
      <w:r w:rsidRPr="00883ECD">
        <w:t xml:space="preserve"> que </w:t>
      </w:r>
      <w:hyperlink r:id="rId637" w:history="1">
        <w:r w:rsidRPr="00883ECD">
          <w:rPr>
            <w:rStyle w:val="Hipervnculo"/>
            <w:rFonts w:eastAsiaTheme="majorEastAsia"/>
            <w:color w:val="auto"/>
            <w:u w:val="none"/>
          </w:rPr>
          <w:t>impida</w:t>
        </w:r>
      </w:hyperlink>
      <w:r w:rsidRPr="00883ECD">
        <w:t xml:space="preserve"> la </w:t>
      </w:r>
      <w:r w:rsidRPr="00883ECD">
        <w:rPr>
          <w:bCs/>
        </w:rPr>
        <w:t>caída nominal de las pensiones</w:t>
      </w:r>
      <w:r w:rsidRPr="00883ECD">
        <w:t xml:space="preserve"> de quienes ya sean pensionistas en el momento de aplicar el factor”.</w:t>
      </w:r>
    </w:p>
    <w:p w:rsidR="003B1A4F" w:rsidRPr="00883ECD" w:rsidRDefault="003B1A4F" w:rsidP="00550638">
      <w:pPr>
        <w:pStyle w:val="NormalWeb"/>
        <w:jc w:val="both"/>
      </w:pPr>
      <w:r w:rsidRPr="00883ECD">
        <w:rPr>
          <w:bCs/>
        </w:rPr>
        <w:t>Pensiones y Fondo de Reserva</w:t>
      </w:r>
    </w:p>
    <w:p w:rsidR="003B1A4F" w:rsidRPr="00883ECD" w:rsidRDefault="003B1A4F" w:rsidP="00550638">
      <w:pPr>
        <w:pStyle w:val="NormalWeb"/>
        <w:jc w:val="both"/>
      </w:pPr>
      <w:r w:rsidRPr="00883ECD">
        <w:t xml:space="preserve">¿Y quién pagaría esa diferencia entre lo que deberían bajar las pensiones y el cumplimiento de esa cláusula? Pues los expertos opinan que el coste debe correr a cargo del </w:t>
      </w:r>
      <w:r w:rsidRPr="00883ECD">
        <w:rPr>
          <w:bCs/>
        </w:rPr>
        <w:t>Fondo de Reserva de la Seguridad Social</w:t>
      </w:r>
      <w:r w:rsidRPr="00883ECD">
        <w:t xml:space="preserve">. Ahora bien, como dice el informe, “la transparencia es connatural al factor”. Y eso significa que “el pensionista que cobraba 1.000 euros al mes y los sigue cobrando debe saber que, en coherencia con la sostenibilidad de las pensiones, debería estar cobrando 990, y que, consecuentemente, hay una transferencia a su favor de 10 euros al mes que proviene de la cláusula suelo”. Es decir, del Fondo de Reserva. ¿Y si no hay dinero? En este caso, se propone que el sistema de Seguridad Social se financie mediante la </w:t>
      </w:r>
      <w:r w:rsidRPr="00883ECD">
        <w:rPr>
          <w:bCs/>
        </w:rPr>
        <w:t>emisión</w:t>
      </w:r>
      <w:r w:rsidRPr="00883ECD">
        <w:t xml:space="preserve"> por parte del Tesoro de  </w:t>
      </w:r>
      <w:r w:rsidRPr="00883ECD">
        <w:rPr>
          <w:bCs/>
        </w:rPr>
        <w:t>títulos de deuda</w:t>
      </w:r>
      <w:r w:rsidRPr="00883ECD">
        <w:t xml:space="preserve"> con la garantía de los ingresos futuros.</w:t>
      </w:r>
    </w:p>
    <w:p w:rsidR="003B1A4F" w:rsidRPr="00883ECD" w:rsidRDefault="003B1A4F" w:rsidP="00550638">
      <w:pPr>
        <w:pStyle w:val="NormalWeb"/>
        <w:jc w:val="both"/>
      </w:pPr>
      <w:r w:rsidRPr="00883ECD">
        <w:t xml:space="preserve">¿Qué ocurre si un año la economía se desploma? Pues que para evitar que la revalorización de las pensiones aboque a los pensionistas a </w:t>
      </w:r>
      <w:r w:rsidRPr="00883ECD">
        <w:rPr>
          <w:bCs/>
        </w:rPr>
        <w:t xml:space="preserve">“sacrificios poco tolerables”, </w:t>
      </w:r>
      <w:r w:rsidRPr="00883ECD">
        <w:t xml:space="preserve">el FRA no se calculará con cifras de </w:t>
      </w:r>
      <w:r w:rsidRPr="00883ECD">
        <w:rPr>
          <w:bCs/>
        </w:rPr>
        <w:t>un solo año</w:t>
      </w:r>
      <w:r w:rsidRPr="00883ECD">
        <w:t xml:space="preserve">, sino de un conjunto de años que abarquen, en la medida de lo posible, la totalidad del ciclo económico, y, en </w:t>
      </w:r>
      <w:r w:rsidRPr="00883ECD">
        <w:rPr>
          <w:bCs/>
        </w:rPr>
        <w:t>“caso de desequilibrio”,</w:t>
      </w:r>
      <w:r w:rsidRPr="00883ECD">
        <w:t xml:space="preserve"> permite la corrección, “no de golpe”, sino a lo largo de varios años. En palabras de </w:t>
      </w:r>
      <w:r w:rsidRPr="00883ECD">
        <w:rPr>
          <w:bCs/>
        </w:rPr>
        <w:t>Rafael Domenech</w:t>
      </w:r>
      <w:r w:rsidRPr="00883ECD">
        <w:t xml:space="preserve">, director de servicio de estudios del BBVA y uno de los autores del informe, “las pensiones evolucionarán en función de </w:t>
      </w:r>
      <w:r w:rsidRPr="00883ECD">
        <w:rPr>
          <w:bCs/>
        </w:rPr>
        <w:t>parámetros estructurales</w:t>
      </w:r>
      <w:r w:rsidRPr="00883ECD">
        <w:t xml:space="preserve"> teniendo en cuenta promedios históricos, pero nunca coyunturales”.</w:t>
      </w:r>
    </w:p>
    <w:p w:rsidR="003B1A4F" w:rsidRDefault="00883ECD" w:rsidP="00550638">
      <w:pPr>
        <w:spacing w:line="240" w:lineRule="auto"/>
        <w:jc w:val="both"/>
      </w:pPr>
      <w:r>
        <w:t xml:space="preserve">                     </w:t>
      </w:r>
      <w:r w:rsidR="003B1A4F" w:rsidRPr="0029603B">
        <w:rPr>
          <w:noProof/>
          <w:lang w:eastAsia="es-ES"/>
        </w:rPr>
        <w:drawing>
          <wp:inline distT="0" distB="0" distL="0" distR="0" wp14:anchorId="2F9534D2" wp14:editId="0A18348F">
            <wp:extent cx="4235500" cy="2560320"/>
            <wp:effectExtent l="0" t="0" r="0" b="0"/>
            <wp:docPr id="477" name="Imagen 477" descr="http://www.elconfidencial.com/fotos/noticias_2011/2013060724grafico3.jpg">
              <a:hlinkClick xmlns:a="http://schemas.openxmlformats.org/drawingml/2006/main" r:id="rId6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elconfidencial.com/fotos/noticias_2011/2013060724grafico3.jpg">
                      <a:hlinkClick r:id="rId638"/>
                    </pic:cNvPr>
                    <pic:cNvPicPr>
                      <a:picLocks noChangeAspect="1" noChangeArrowheads="1"/>
                    </pic:cNvPicPr>
                  </pic:nvPicPr>
                  <pic:blipFill>
                    <a:blip r:embed="rId639">
                      <a:extLst>
                        <a:ext uri="{28A0092B-C50C-407E-A947-70E740481C1C}">
                          <a14:useLocalDpi xmlns:a14="http://schemas.microsoft.com/office/drawing/2010/main" val="0"/>
                        </a:ext>
                      </a:extLst>
                    </a:blip>
                    <a:srcRect/>
                    <a:stretch>
                      <a:fillRect/>
                    </a:stretch>
                  </pic:blipFill>
                  <pic:spPr bwMode="auto">
                    <a:xfrm>
                      <a:off x="0" y="0"/>
                      <a:ext cx="4235742" cy="2560466"/>
                    </a:xfrm>
                    <a:prstGeom prst="rect">
                      <a:avLst/>
                    </a:prstGeom>
                    <a:noFill/>
                    <a:ln>
                      <a:noFill/>
                    </a:ln>
                  </pic:spPr>
                </pic:pic>
              </a:graphicData>
            </a:graphic>
          </wp:inline>
        </w:drawing>
      </w:r>
    </w:p>
    <w:p w:rsidR="003B1A4F" w:rsidRPr="00883ECD" w:rsidRDefault="003B1A4F" w:rsidP="00550638">
      <w:pPr>
        <w:pStyle w:val="NormalWeb"/>
        <w:jc w:val="both"/>
      </w:pPr>
      <w:r w:rsidRPr="00883ECD">
        <w:t xml:space="preserve">¿Quiere decir esto que se acaba el margen de maniobra de los políticos a la hora de </w:t>
      </w:r>
      <w:r w:rsidRPr="00883ECD">
        <w:rPr>
          <w:bCs/>
        </w:rPr>
        <w:t xml:space="preserve">modular </w:t>
      </w:r>
      <w:r w:rsidRPr="00883ECD">
        <w:t xml:space="preserve">la cuantía de las pensiones? No. Los expertos plantean una serie de </w:t>
      </w:r>
      <w:r w:rsidRPr="00883ECD">
        <w:rPr>
          <w:bCs/>
        </w:rPr>
        <w:t>restricciones</w:t>
      </w:r>
      <w:r w:rsidRPr="00883ECD">
        <w:t xml:space="preserve"> que han de cumplirse anualmente para asegurar el equilibrio presupuestario, pero “no impide la actuación del </w:t>
      </w:r>
      <w:r w:rsidRPr="00883ECD">
        <w:rPr>
          <w:bCs/>
        </w:rPr>
        <w:t>pacto político y social</w:t>
      </w:r>
      <w:r w:rsidRPr="00883ECD">
        <w:t xml:space="preserve">”. </w:t>
      </w:r>
      <w:r w:rsidR="00883ECD" w:rsidRPr="00883ECD">
        <w:t xml:space="preserve">Como dijo </w:t>
      </w:r>
      <w:r w:rsidRPr="00883ECD">
        <w:rPr>
          <w:bCs/>
        </w:rPr>
        <w:t>Miguel Ángel García</w:t>
      </w:r>
      <w:r w:rsidRPr="00883ECD">
        <w:t xml:space="preserve">, representante de CCOO, “las pensiones del futuro van a ser lo </w:t>
      </w:r>
      <w:r w:rsidRPr="00883ECD">
        <w:lastRenderedPageBreak/>
        <w:t xml:space="preserve">que quieran los </w:t>
      </w:r>
      <w:r w:rsidRPr="00883ECD">
        <w:rPr>
          <w:bCs/>
        </w:rPr>
        <w:t>políticos</w:t>
      </w:r>
      <w:r w:rsidRPr="00883ECD">
        <w:t>”. El informe, en concreto, dice que “Los que han sido elegidos para dirimir los destinos de la sociedad española siguen haciéndolo”.</w:t>
      </w:r>
    </w:p>
    <w:p w:rsidR="003B1A4F" w:rsidRPr="00883ECD" w:rsidRDefault="003B1A4F" w:rsidP="00550638">
      <w:pPr>
        <w:pStyle w:val="NormalWeb"/>
        <w:jc w:val="both"/>
      </w:pPr>
      <w:r w:rsidRPr="00883ECD">
        <w:t xml:space="preserve">Y, ¿cómo funciona el nuevo sistema? De la siguiente forma. Se multiplica la </w:t>
      </w:r>
      <w:r w:rsidRPr="00883ECD">
        <w:rPr>
          <w:bCs/>
        </w:rPr>
        <w:t>pensión inicial</w:t>
      </w:r>
      <w:r w:rsidRPr="00883ECD">
        <w:t xml:space="preserve"> con la que los nuevos jubilados entrarían cada año en el sistema, según la normativa vigente, por un Factor de Equidad Intergeneracional de las nuevas pensiones de jubilación. Este coeficiente resultaría de dividir la </w:t>
      </w:r>
      <w:r w:rsidRPr="00883ECD">
        <w:rPr>
          <w:bCs/>
        </w:rPr>
        <w:t>esperanza de vida</w:t>
      </w:r>
      <w:r w:rsidRPr="00883ECD">
        <w:t xml:space="preserve"> de los que han entrado en el sistema con una edad determinada en un momento anterior, entre la esperanza de vida de los </w:t>
      </w:r>
      <w:r w:rsidRPr="00883ECD">
        <w:rPr>
          <w:bCs/>
        </w:rPr>
        <w:t>nuevos jubilados</w:t>
      </w:r>
      <w:r w:rsidRPr="00883ECD">
        <w:t xml:space="preserve"> que entran con la misma edad pero en un momento posterior. Se aplicaría una única vez a los nuevos jubilados en el cálculo de su </w:t>
      </w:r>
      <w:r w:rsidRPr="00883ECD">
        <w:rPr>
          <w:bCs/>
        </w:rPr>
        <w:t>primera pensión</w:t>
      </w:r>
      <w:r w:rsidRPr="00883ECD">
        <w:t>. Tendría el efecto de hacer variar la pensión inicial con la esperanza de vida de cada cohorte.</w:t>
      </w:r>
    </w:p>
    <w:p w:rsidR="003B1A4F" w:rsidRPr="00883ECD" w:rsidRDefault="003B1A4F" w:rsidP="00550638">
      <w:pPr>
        <w:pStyle w:val="NormalWeb"/>
        <w:jc w:val="both"/>
      </w:pPr>
      <w:r w:rsidRPr="00883ECD">
        <w:rPr>
          <w:bCs/>
        </w:rPr>
        <w:t>Con las reglas actuales</w:t>
      </w:r>
    </w:p>
    <w:p w:rsidR="003B1A4F" w:rsidRPr="00883ECD" w:rsidRDefault="003B1A4F" w:rsidP="00550638">
      <w:pPr>
        <w:pStyle w:val="NormalWeb"/>
        <w:jc w:val="both"/>
      </w:pPr>
      <w:r w:rsidRPr="00883ECD">
        <w:t xml:space="preserve">Por ejemplo, para los pensionistas que se jubilen en 2015  con 65 años, el Factor de Equidad Intergeneracional supondría multiplicar la pensión mensual inicial que les corresponde según las </w:t>
      </w:r>
      <w:r w:rsidRPr="00883ECD">
        <w:rPr>
          <w:bCs/>
        </w:rPr>
        <w:t>reglas actuales</w:t>
      </w:r>
      <w:r w:rsidRPr="00883ECD">
        <w:t xml:space="preserve"> por 0,9928, el resultado de dividir la esperanza de vida a los 65 años en 2014 (20,27; aproximadamente, 20 años y tres meses) por la esperanza de vida a los 65 años en 2015 (20,42; aproximadamente, 20 años y cinco meses), tal como están estimadas por el INE.</w:t>
      </w:r>
    </w:p>
    <w:p w:rsidR="003B1A4F" w:rsidRPr="00883ECD" w:rsidRDefault="003B1A4F" w:rsidP="00550638">
      <w:pPr>
        <w:pStyle w:val="NormalWeb"/>
        <w:jc w:val="both"/>
      </w:pPr>
      <w:r w:rsidRPr="00883ECD">
        <w:t xml:space="preserve">Los expertos aseguran que con las proyecciones actuales de esperanza de vida, este coeficiente sería igual a 0,9339 para los pensionistas que se jubilen con 65 años en 2024, y a 0,8797 para los que lo hagan en 2034. Como se ve, aseguran, hace falta que pase </w:t>
      </w:r>
      <w:r w:rsidRPr="00883ECD">
        <w:rPr>
          <w:bCs/>
        </w:rPr>
        <w:t>mucho tiempo</w:t>
      </w:r>
      <w:r w:rsidRPr="00883ECD">
        <w:t xml:space="preserve"> para que este factor de equidad intergeneracional tenga </w:t>
      </w:r>
      <w:r w:rsidRPr="00883ECD">
        <w:rPr>
          <w:bCs/>
        </w:rPr>
        <w:t xml:space="preserve">efectos sustantivos </w:t>
      </w:r>
      <w:r w:rsidRPr="00883ECD">
        <w:t xml:space="preserve">en el cálculo de la pensión inicial (-12%). Es decir, que la aplicación del Factor de Equidad Intergeneracional “dará lugar a una pensión inicial que </w:t>
      </w:r>
      <w:r w:rsidRPr="00883ECD">
        <w:rPr>
          <w:bCs/>
        </w:rPr>
        <w:t>irá disminuyendo</w:t>
      </w:r>
      <w:r w:rsidRPr="00883ECD">
        <w:t xml:space="preserve"> respecto a su base reguladora, como consecuencia de que la pensión se disfrutara durante más tiempo al aumentar la esperanza de vida”.</w:t>
      </w:r>
    </w:p>
    <w:p w:rsidR="003B1A4F" w:rsidRDefault="00883ECD" w:rsidP="00550638">
      <w:pPr>
        <w:spacing w:line="240" w:lineRule="auto"/>
        <w:jc w:val="both"/>
      </w:pPr>
      <w:r>
        <w:t xml:space="preserve">                  </w:t>
      </w:r>
      <w:hyperlink r:id="rId640" w:history="1">
        <w:r w:rsidR="003B1A4F">
          <w:rPr>
            <w:noProof/>
            <w:color w:val="0000FF"/>
            <w:lang w:eastAsia="es-ES"/>
          </w:rPr>
          <w:drawing>
            <wp:inline distT="0" distB="0" distL="0" distR="0" wp14:anchorId="5DA50460" wp14:editId="1EA5BA15">
              <wp:extent cx="4593943" cy="3035808"/>
              <wp:effectExtent l="0" t="0" r="0" b="0"/>
              <wp:docPr id="478" name="Imagen 478" descr="http://www.elconfidencial.com/fotos/noticias_2011/201306076grafico4.jpg">
                <a:hlinkClick xmlns:a="http://schemas.openxmlformats.org/drawingml/2006/main" r:id="rId6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elconfidencial.com/fotos/noticias_2011/201306076grafico4.jpg">
                        <a:hlinkClick r:id="rId640"/>
                      </pic:cNvPr>
                      <pic:cNvPicPr>
                        <a:picLocks noChangeAspect="1" noChangeArrowheads="1"/>
                      </pic:cNvPicPr>
                    </pic:nvPicPr>
                    <pic:blipFill>
                      <a:blip r:embed="rId641">
                        <a:extLst>
                          <a:ext uri="{28A0092B-C50C-407E-A947-70E740481C1C}">
                            <a14:useLocalDpi xmlns:a14="http://schemas.microsoft.com/office/drawing/2010/main" val="0"/>
                          </a:ext>
                        </a:extLst>
                      </a:blip>
                      <a:srcRect/>
                      <a:stretch>
                        <a:fillRect/>
                      </a:stretch>
                    </pic:blipFill>
                    <pic:spPr bwMode="auto">
                      <a:xfrm>
                        <a:off x="0" y="0"/>
                        <a:ext cx="4593945" cy="3035809"/>
                      </a:xfrm>
                      <a:prstGeom prst="rect">
                        <a:avLst/>
                      </a:prstGeom>
                      <a:noFill/>
                      <a:ln>
                        <a:noFill/>
                      </a:ln>
                    </pic:spPr>
                  </pic:pic>
                </a:graphicData>
              </a:graphic>
            </wp:inline>
          </w:drawing>
        </w:r>
      </w:hyperlink>
    </w:p>
    <w:p w:rsidR="003B1A4F" w:rsidRPr="00883ECD" w:rsidRDefault="003B1A4F" w:rsidP="00550638">
      <w:pPr>
        <w:pStyle w:val="NormalWeb"/>
        <w:jc w:val="both"/>
      </w:pPr>
      <w:r w:rsidRPr="00883ECD">
        <w:lastRenderedPageBreak/>
        <w:t xml:space="preserve">En cuanto al llamado Factor de Revalorización Anual -la otra variable que se tendrá en cuenta para calcular la cuantía de las pensiones- implica aumentar todas las pensiones de acuerdo a una tasa  en función del crecimiento de los ingresos y del número de pensiones, del </w:t>
      </w:r>
      <w:r w:rsidRPr="00883ECD">
        <w:rPr>
          <w:bCs/>
        </w:rPr>
        <w:t>efecto sustitución</w:t>
      </w:r>
      <w:r w:rsidRPr="00883ECD">
        <w:t xml:space="preserve"> (derivado de que los pensionistas que entran anualmente en el sistema lo hacen con</w:t>
      </w:r>
      <w:r w:rsidRPr="00883ECD">
        <w:rPr>
          <w:bCs/>
        </w:rPr>
        <w:t xml:space="preserve"> pensiones más altas </w:t>
      </w:r>
      <w:r w:rsidRPr="00883ECD">
        <w:t>de los que salen) y de la diferencia entre ingresos y gastos a lo largo del ciclo económico.</w:t>
      </w:r>
    </w:p>
    <w:p w:rsidR="003B1A4F" w:rsidRPr="00883ECD" w:rsidRDefault="003B1A4F" w:rsidP="00550638">
      <w:pPr>
        <w:pStyle w:val="NormalWeb"/>
        <w:jc w:val="both"/>
      </w:pPr>
      <w:r w:rsidRPr="00883ECD">
        <w:t xml:space="preserve">Con el objetivo de </w:t>
      </w:r>
      <w:r w:rsidRPr="00883ECD">
        <w:rPr>
          <w:bCs/>
        </w:rPr>
        <w:t>suavizar</w:t>
      </w:r>
      <w:r w:rsidRPr="00883ECD">
        <w:t xml:space="preserve"> el impacto del ciclo económico en la revalorización de las pensiones, se propone considerar un total de 11 o 13 años: 5 o 6 años por delante y por detrás del año en el que se aplica.es decir, no se calcularía sobre los resultados de </w:t>
      </w:r>
      <w:r w:rsidRPr="00883ECD">
        <w:rPr>
          <w:bCs/>
        </w:rPr>
        <w:t>un solo ejercicio</w:t>
      </w:r>
      <w:r w:rsidRPr="00883ECD">
        <w:t>.</w:t>
      </w:r>
    </w:p>
    <w:p w:rsidR="003B1A4F" w:rsidRDefault="003B1A4F" w:rsidP="00550638">
      <w:pPr>
        <w:pStyle w:val="NormalWeb"/>
        <w:jc w:val="both"/>
      </w:pPr>
      <w:r w:rsidRPr="00883ECD">
        <w:t xml:space="preserve">¿Y qué pasa con las </w:t>
      </w:r>
      <w:r w:rsidRPr="00883ECD">
        <w:rPr>
          <w:bCs/>
        </w:rPr>
        <w:t>cotizaciones sociales</w:t>
      </w:r>
      <w:r w:rsidRPr="00883ECD">
        <w:t xml:space="preserve">? Los expertos aseguran que el tipo de cotización “debe permanecer lo más estable posible, con el fin de evitar incertidumbres adicionales en la toma de decisiones económicas, y que la cotización de los diferentes regímenes tienda </w:t>
      </w:r>
      <w:r w:rsidRPr="00883ECD">
        <w:rPr>
          <w:bCs/>
        </w:rPr>
        <w:t>a converger</w:t>
      </w:r>
      <w:r w:rsidRPr="00883ECD">
        <w:t>. “No tendría ningún sentido ajustarlo frecuentemente en función de la evolución de ingresos y gastos del sistema”, aseguran.</w:t>
      </w:r>
    </w:p>
    <w:p w:rsidR="00883ECD" w:rsidRPr="008F11B5" w:rsidRDefault="008F11B5" w:rsidP="00550638">
      <w:pPr>
        <w:pStyle w:val="NormalWeb"/>
        <w:jc w:val="both"/>
        <w:rPr>
          <w:u w:val="single"/>
        </w:rPr>
      </w:pPr>
      <w:r w:rsidRPr="008F11B5">
        <w:rPr>
          <w:u w:val="single"/>
        </w:rPr>
        <w:t>¿Quedan alternativas para mantener el poder adquisitivo de las pensiones?</w:t>
      </w:r>
    </w:p>
    <w:p w:rsidR="003B1A4F" w:rsidRDefault="003B1A4F" w:rsidP="00550638">
      <w:pPr>
        <w:pStyle w:val="NormalWeb"/>
        <w:jc w:val="both"/>
      </w:pPr>
      <w:r>
        <w:t xml:space="preserve">- </w:t>
      </w:r>
      <w:r w:rsidRPr="006A3EF3">
        <w:rPr>
          <w:u w:val="single"/>
        </w:rPr>
        <w:t>Tres alternativas para que las pensiones futuras no se hundan</w:t>
      </w:r>
      <w:r>
        <w:t xml:space="preserve"> (Libertad Digital - </w:t>
      </w:r>
      <w:r w:rsidRPr="006A3EF3">
        <w:rPr>
          <w:b/>
        </w:rPr>
        <w:t>9/6/13</w:t>
      </w:r>
      <w:r>
        <w:t xml:space="preserve">) </w:t>
      </w:r>
    </w:p>
    <w:p w:rsidR="003B1A4F" w:rsidRDefault="003B1A4F" w:rsidP="00550638">
      <w:pPr>
        <w:pStyle w:val="NormalWeb"/>
        <w:jc w:val="both"/>
      </w:pPr>
      <w:r>
        <w:t>Si los españoles quieren mantener el poder adquisitivo de sus jubilados deben asumir los costes que esto supone.</w:t>
      </w:r>
    </w:p>
    <w:p w:rsidR="003B1A4F" w:rsidRDefault="003B1A4F" w:rsidP="00550638">
      <w:pPr>
        <w:pStyle w:val="NormalWeb"/>
        <w:jc w:val="both"/>
      </w:pPr>
      <w:r>
        <w:t>(Por Domingo Soriano)</w:t>
      </w:r>
      <w:r w:rsidR="008F11B5">
        <w:t xml:space="preserve">                                                                     Lectura recomendada</w:t>
      </w:r>
    </w:p>
    <w:p w:rsidR="003B1A4F" w:rsidRPr="00FB6962" w:rsidRDefault="003B1A4F" w:rsidP="00550638">
      <w:pPr>
        <w:pStyle w:val="NormalWeb"/>
        <w:jc w:val="both"/>
        <w:rPr>
          <w:u w:val="single"/>
        </w:rPr>
      </w:pPr>
      <w:r w:rsidRPr="00FB6962">
        <w:rPr>
          <w:u w:val="single"/>
        </w:rPr>
        <w:t>Las previsiones actuales apuntan a que la tasa de dependencia aumentará de forma considerable en los próximos años, como consecuencia del baby boom, a no ser que se lleven a cabo reformas estructurales que den lugar a un aumento importante del número de cotizantes. De no ser ese el caso, la aplicación del Factor de Sostenibilidad (tanto por la aplicación del FEI como del FRA) dará lugar a una disminución significativa de la pensión media sobre el salario medio.</w:t>
      </w:r>
    </w:p>
    <w:p w:rsidR="003B1A4F" w:rsidRPr="008F11B5" w:rsidRDefault="003B1A4F" w:rsidP="00550638">
      <w:pPr>
        <w:pStyle w:val="NormalWeb"/>
        <w:jc w:val="both"/>
      </w:pPr>
      <w:r>
        <w:t xml:space="preserve">Este párrafo, de la página 41 del </w:t>
      </w:r>
      <w:hyperlink r:id="rId642" w:history="1">
        <w:r w:rsidRPr="008F11B5">
          <w:rPr>
            <w:rStyle w:val="Hipervnculo"/>
            <w:rFonts w:eastAsiaTheme="majorEastAsia"/>
            <w:color w:val="auto"/>
          </w:rPr>
          <w:t>Informe sobre el factor de sostenibilidad</w:t>
        </w:r>
      </w:hyperlink>
      <w:r w:rsidRPr="008F11B5">
        <w:t xml:space="preserve"> que el grupo de </w:t>
      </w:r>
      <w:hyperlink r:id="rId643" w:history="1">
        <w:r w:rsidRPr="008F11B5">
          <w:rPr>
            <w:rStyle w:val="Hipervnculo"/>
            <w:rFonts w:eastAsiaTheme="majorEastAsia"/>
            <w:color w:val="auto"/>
          </w:rPr>
          <w:t>doce sabios</w:t>
        </w:r>
      </w:hyperlink>
      <w:r w:rsidRPr="008F11B5">
        <w:t xml:space="preserve"> entregó el viernes, será como una bofetada de realidad para muchos. Los expertos advierten de algo de lo que se ha hablado mucho en los últimos años, desde ámbitos académicos o periodísticos: </w:t>
      </w:r>
      <w:r w:rsidRPr="00253E1A">
        <w:rPr>
          <w:rStyle w:val="Textoennegrita"/>
          <w:b w:val="0"/>
        </w:rPr>
        <w:t>el sistema de la Seguridad Social está cogido con alfileres</w:t>
      </w:r>
      <w:r w:rsidRPr="00253E1A">
        <w:rPr>
          <w:b/>
        </w:rPr>
        <w:t xml:space="preserve"> </w:t>
      </w:r>
      <w:r w:rsidRPr="008F11B5">
        <w:t>y su capacidad para seguir pagando una prestación digna a todos los pensionistas no está asegurada.</w:t>
      </w:r>
    </w:p>
    <w:p w:rsidR="003B1A4F" w:rsidRPr="008F11B5" w:rsidRDefault="00FD5BB0" w:rsidP="00550638">
      <w:pPr>
        <w:pStyle w:val="NormalWeb"/>
        <w:jc w:val="both"/>
      </w:pPr>
      <w:r w:rsidRPr="00253E1A">
        <w:rPr>
          <w:b/>
        </w:rPr>
        <w:t>S</w:t>
      </w:r>
      <w:r w:rsidR="003B1A4F" w:rsidRPr="00253E1A">
        <w:rPr>
          <w:rStyle w:val="Textoennegrita"/>
          <w:b w:val="0"/>
        </w:rPr>
        <w:t>erá complicado que las pensiones públicas no bajen de una forma u otra</w:t>
      </w:r>
      <w:r w:rsidR="003B1A4F" w:rsidRPr="00253E1A">
        <w:rPr>
          <w:b/>
        </w:rPr>
        <w:t>.</w:t>
      </w:r>
      <w:r w:rsidR="003B1A4F" w:rsidRPr="008F11B5">
        <w:t xml:space="preserve"> O se cambian las </w:t>
      </w:r>
      <w:hyperlink r:id="rId644" w:history="1">
        <w:r w:rsidR="003B1A4F" w:rsidRPr="008F11B5">
          <w:rPr>
            <w:rStyle w:val="Hipervnculo"/>
            <w:rFonts w:eastAsiaTheme="majorEastAsia"/>
            <w:color w:val="auto"/>
          </w:rPr>
          <w:t>reglas de acceso al sistema</w:t>
        </w:r>
      </w:hyperlink>
      <w:r w:rsidR="003B1A4F" w:rsidRPr="008F11B5">
        <w:t xml:space="preserve"> como se ha hecho hasta ahora (edad de jubilación, período de cálculo, años cotizados,…) o el factor de sostenibilidad, que sirve de equilibrio entre ingresos y gastos, entrará en juego.</w:t>
      </w:r>
    </w:p>
    <w:p w:rsidR="003B1A4F" w:rsidRPr="008F11B5" w:rsidRDefault="003B1A4F" w:rsidP="00550638">
      <w:pPr>
        <w:pStyle w:val="NormalWeb"/>
        <w:jc w:val="both"/>
        <w:rPr>
          <w:u w:val="single"/>
        </w:rPr>
      </w:pPr>
      <w:r w:rsidRPr="008F11B5">
        <w:t xml:space="preserve">Sin embargo, los expertos no creen que esté todo perdido. En el documento entregado a </w:t>
      </w:r>
      <w:hyperlink r:id="rId645" w:history="1">
        <w:r w:rsidRPr="008F11B5">
          <w:rPr>
            <w:rStyle w:val="Hipervnculo"/>
            <w:rFonts w:eastAsiaTheme="majorEastAsia"/>
            <w:color w:val="auto"/>
          </w:rPr>
          <w:t>Fátima Báñez</w:t>
        </w:r>
      </w:hyperlink>
      <w:r w:rsidRPr="008F11B5">
        <w:t xml:space="preserve"> hay una parte, de la que quizás no se ha hablado mucho, en la que recuerdan a los políticos algo obvio y muy importante, pero que no siempre se recuerda: </w:t>
      </w:r>
      <w:r w:rsidRPr="008F11B5">
        <w:rPr>
          <w:u w:val="single"/>
        </w:rPr>
        <w:lastRenderedPageBreak/>
        <w:t>hay alternativas a su alcance si quieren. Eso sí, cada una tiene una serie de ventajas e inconvenientes y un coste que tendrá que asumir la sociedad española.</w:t>
      </w:r>
    </w:p>
    <w:p w:rsidR="003B1A4F" w:rsidRPr="008F11B5" w:rsidRDefault="003B1A4F" w:rsidP="00550638">
      <w:pPr>
        <w:pStyle w:val="NormalWeb"/>
        <w:jc w:val="both"/>
      </w:pPr>
      <w:r w:rsidRPr="008F11B5">
        <w:t xml:space="preserve">De esta manera, en la página 30 del documento, se explican las opciones que podrían implementarse para intentar corregir la </w:t>
      </w:r>
      <w:hyperlink r:id="rId646" w:history="1">
        <w:r w:rsidRPr="008F11B5">
          <w:rPr>
            <w:rStyle w:val="Hipervnculo"/>
            <w:rFonts w:eastAsiaTheme="majorEastAsia"/>
            <w:color w:val="auto"/>
          </w:rPr>
          <w:t>tendencia del sistema</w:t>
        </w:r>
      </w:hyperlink>
      <w:r w:rsidRPr="008F11B5">
        <w:t>.</w:t>
      </w:r>
    </w:p>
    <w:p w:rsidR="003B1A4F" w:rsidRPr="00FB6962" w:rsidRDefault="003B1A4F" w:rsidP="00550638">
      <w:pPr>
        <w:pStyle w:val="NormalWeb"/>
        <w:jc w:val="both"/>
        <w:rPr>
          <w:u w:val="single"/>
        </w:rPr>
      </w:pPr>
      <w:r>
        <w:rPr>
          <w:rStyle w:val="Textoennegrita"/>
        </w:rPr>
        <w:t xml:space="preserve">1. </w:t>
      </w:r>
      <w:r w:rsidR="00FD5BB0">
        <w:rPr>
          <w:rStyle w:val="Textoennegrita"/>
          <w:color w:val="FF0000"/>
        </w:rPr>
        <w:t>“</w:t>
      </w:r>
      <w:r w:rsidRPr="00FB6962">
        <w:rPr>
          <w:rStyle w:val="Textoennegrita"/>
          <w:color w:val="FF0000"/>
        </w:rPr>
        <w:t>A</w:t>
      </w:r>
      <w:r w:rsidR="00FD5BB0">
        <w:rPr>
          <w:rStyle w:val="Textoennegrita"/>
          <w:color w:val="FF0000"/>
        </w:rPr>
        <w:t>umentar el número de cotizantes”</w:t>
      </w:r>
      <w:r>
        <w:rPr>
          <w:rStyle w:val="Textoennegrita"/>
        </w:rPr>
        <w:t>:</w:t>
      </w:r>
      <w:r>
        <w:t xml:space="preserve"> ésta es la alternativa preferida por todos, porque también es la más indolora. Está claro que si se consiguen más </w:t>
      </w:r>
      <w:r w:rsidR="00B3139A">
        <w:t>“</w:t>
      </w:r>
      <w:r w:rsidRPr="00B3139A">
        <w:rPr>
          <w:rStyle w:val="nfasis"/>
          <w:i w:val="0"/>
        </w:rPr>
        <w:t>paganinis</w:t>
      </w:r>
      <w:r w:rsidR="00B3139A">
        <w:rPr>
          <w:rStyle w:val="nfasis"/>
          <w:i w:val="0"/>
        </w:rPr>
        <w:t>”</w:t>
      </w:r>
      <w:r>
        <w:t xml:space="preserve">, habrá más también para repartir a todos los jubilados. </w:t>
      </w:r>
      <w:r w:rsidRPr="00FB6962">
        <w:rPr>
          <w:u w:val="single"/>
        </w:rPr>
        <w:t>El problema es que también es la más complicada, al menos a corto plazo.</w:t>
      </w:r>
    </w:p>
    <w:p w:rsidR="003B1A4F" w:rsidRDefault="003B1A4F" w:rsidP="00550638">
      <w:pPr>
        <w:pStyle w:val="NormalWeb"/>
        <w:jc w:val="both"/>
      </w:pPr>
      <w:r>
        <w:t xml:space="preserve">Está claro que la mejor forma de aumentar el número de cotizantes es generar riqueza. Para empezar, hay seis millones de parados deseosos de incorporarse al sistema; si, además, crece la productividad también lo harán los salarios, con lo que la parte destinada a la Seguridad Social crecerá de forma </w:t>
      </w:r>
      <w:r w:rsidR="00B3139A">
        <w:t>“</w:t>
      </w:r>
      <w:r w:rsidRPr="00B3139A">
        <w:rPr>
          <w:rStyle w:val="nfasis"/>
          <w:i w:val="0"/>
        </w:rPr>
        <w:t>natural</w:t>
      </w:r>
      <w:r w:rsidR="00B3139A">
        <w:rPr>
          <w:rStyle w:val="nfasis"/>
          <w:i w:val="0"/>
        </w:rPr>
        <w:t>”</w:t>
      </w:r>
      <w:r>
        <w:t>, sin necesidad de subidas impositivas o medidas similares.</w:t>
      </w:r>
    </w:p>
    <w:p w:rsidR="003B1A4F" w:rsidRPr="00FB6962" w:rsidRDefault="003B1A4F" w:rsidP="00550638">
      <w:pPr>
        <w:pStyle w:val="NormalWeb"/>
        <w:jc w:val="both"/>
        <w:rPr>
          <w:u w:val="single"/>
        </w:rPr>
      </w:pPr>
      <w:r w:rsidRPr="00FB6962">
        <w:rPr>
          <w:u w:val="single"/>
        </w:rPr>
        <w:t>Otro objetivo debería ser ampliar la base de posibles cotizantes. España tiene una población activa muy por debajo de la media europea. Es decir, el número de personas mayores de 16 años que están en disposición de trabajar es muy reducido (apenas llega al 60%, cuando en otros países hablamos de más del 70%). Hay varias razones (culturales, falta de incentivos, pocas perspectivas,...), pero aquí hay un margen de mejora claro.</w:t>
      </w:r>
    </w:p>
    <w:p w:rsidR="003B1A4F" w:rsidRPr="00FB6962" w:rsidRDefault="003B1A4F" w:rsidP="00550638">
      <w:pPr>
        <w:pStyle w:val="NormalWeb"/>
        <w:jc w:val="both"/>
        <w:rPr>
          <w:u w:val="single"/>
        </w:rPr>
      </w:pPr>
      <w:r>
        <w:t xml:space="preserve">Sin embargo, incluso maximizando las mejoras por esta parte, el drama demográfico seguiría presente. </w:t>
      </w:r>
      <w:r w:rsidRPr="00FB6962">
        <w:rPr>
          <w:u w:val="single"/>
        </w:rPr>
        <w:t>Asumiendo esta realidad, hay tres formas más o menos evidentes de subir la cantidad de cotizantes en el sistema: más nacimientos, más inmigración y retrasar la edad de jubilación.</w:t>
      </w:r>
    </w:p>
    <w:p w:rsidR="003B1A4F" w:rsidRDefault="003B1A4F" w:rsidP="00550638">
      <w:pPr>
        <w:pStyle w:val="NormalWeb"/>
        <w:jc w:val="both"/>
      </w:pPr>
      <w:r>
        <w:t xml:space="preserve">La primera es un clásico en la literatura regeneracionista de los últimos años. La </w:t>
      </w:r>
      <w:hyperlink r:id="rId647" w:history="1">
        <w:r w:rsidRPr="00FD5BB0">
          <w:rPr>
            <w:rStyle w:val="Hipervnculo"/>
            <w:rFonts w:eastAsiaTheme="majorEastAsia"/>
            <w:color w:val="auto"/>
          </w:rPr>
          <w:t>tasa de natalidad española</w:t>
        </w:r>
      </w:hyperlink>
      <w:r w:rsidRPr="00FD5BB0">
        <w:t xml:space="preserve"> está entre las más bajas del mundo. Es difícil que un país, sea </w:t>
      </w:r>
      <w:r>
        <w:t xml:space="preserve">el que sea y en cualquier época, crezca sin un recambio generacional. Pero hay que ser honestos, tampoco ésta es una tendencia que pueda cambiarse en veinte minutos. De hecho, los trabajadores de 2040 </w:t>
      </w:r>
      <w:r w:rsidR="00FD5BB0">
        <w:t>o</w:t>
      </w:r>
      <w:r>
        <w:t xml:space="preserve"> 2050 deberían haber nacido ya. Si no lo han hecho, ya vamos tarde.</w:t>
      </w:r>
    </w:p>
    <w:p w:rsidR="003B1A4F" w:rsidRPr="00FB6962" w:rsidRDefault="003B1A4F" w:rsidP="00550638">
      <w:pPr>
        <w:pStyle w:val="NormalWeb"/>
        <w:jc w:val="both"/>
        <w:rPr>
          <w:u w:val="single"/>
        </w:rPr>
      </w:pPr>
      <w:r>
        <w:t xml:space="preserve">Las otras dos opciones (inmigración y retraso en la edad de jubilación) son políticamente mucho más sensibles. Además, tampoco son algo tan fácil de cambiar. </w:t>
      </w:r>
      <w:r w:rsidRPr="00FB6962">
        <w:rPr>
          <w:u w:val="single"/>
        </w:rPr>
        <w:t>Por mucho que se impulse una política de atracción de talento extranjero, éste sólo vendrá si las perspectivas económicas a medio plazo lo merecen. Es decir, no vale con decirlo, hay que crear un entorno atractivo y esto no es sencillo. Pensar en que diez millones de nuevos inmigrantes van a venir a salvarnos la papeleta no parece muy realista.</w:t>
      </w:r>
    </w:p>
    <w:p w:rsidR="003B1A4F" w:rsidRPr="00FB6962" w:rsidRDefault="003B1A4F" w:rsidP="00550638">
      <w:pPr>
        <w:pStyle w:val="NormalWeb"/>
        <w:jc w:val="both"/>
        <w:rPr>
          <w:u w:val="single"/>
        </w:rPr>
      </w:pPr>
      <w:r w:rsidRPr="00FB6962">
        <w:rPr>
          <w:u w:val="single"/>
        </w:rPr>
        <w:t>Y en cuanto a alargar la edad de retiro, pues siempre hay un límite. La mejora en nuestra condición física, la alimentación o los avances médicos nos permiten llegar en mejor situación la tercera edad. Eso es cierto. Pero incluso así, no es fácil que una persona de 80 años trabaje. Los 70 años de los que se habla como edad de jubilación probable a medio plazo parecen una frontera difícil de traspasar.</w:t>
      </w:r>
    </w:p>
    <w:p w:rsidR="003B1A4F" w:rsidRPr="00FB6962" w:rsidRDefault="003B1A4F" w:rsidP="00550638">
      <w:pPr>
        <w:pStyle w:val="NormalWeb"/>
        <w:jc w:val="both"/>
        <w:rPr>
          <w:u w:val="single"/>
        </w:rPr>
      </w:pPr>
      <w:r>
        <w:rPr>
          <w:rStyle w:val="Textoennegrita"/>
        </w:rPr>
        <w:lastRenderedPageBreak/>
        <w:t xml:space="preserve">2. </w:t>
      </w:r>
      <w:r w:rsidR="00FD5BB0">
        <w:rPr>
          <w:rStyle w:val="Textoennegrita"/>
          <w:color w:val="FF0000"/>
        </w:rPr>
        <w:t>“Aumentar los tipos impositivos”</w:t>
      </w:r>
      <w:r>
        <w:rPr>
          <w:rStyle w:val="Textoennegrita"/>
        </w:rPr>
        <w:t>:</w:t>
      </w:r>
      <w:r>
        <w:t xml:space="preserve"> </w:t>
      </w:r>
      <w:r w:rsidRPr="00FB6962">
        <w:rPr>
          <w:u w:val="single"/>
        </w:rPr>
        <w:t>los expertos recuerdan algo evidente, las pensiones pueden pagarse también con impuestos, no hay ninguna norma que obligue a sostenerlas sólo con cotizaciones</w:t>
      </w:r>
      <w:r>
        <w:t xml:space="preserve">. De hecho, el representante de CCOO en el grupo, Miguel Ángel García, dejó clara su postura durante la presentación del informe. Es un planteamiento que, sobre todo en la izquierda, toma cada día más fuerza. En su opinión, </w:t>
      </w:r>
      <w:r w:rsidRPr="00FB6962">
        <w:rPr>
          <w:u w:val="single"/>
        </w:rPr>
        <w:t>puede que con las cotizaciones no sea suficiente, pero la última palabra sobre cuánto debe</w:t>
      </w:r>
      <w:r w:rsidR="006969D0">
        <w:rPr>
          <w:u w:val="single"/>
        </w:rPr>
        <w:t xml:space="preserve"> aportarse al sistema es “política”</w:t>
      </w:r>
      <w:r w:rsidRPr="00FB6962">
        <w:rPr>
          <w:u w:val="single"/>
        </w:rPr>
        <w:t xml:space="preserve"> (es decir, que el Gobierno de turno puede decidir desviar parte de los presupuestos a esta cuestión).</w:t>
      </w:r>
    </w:p>
    <w:p w:rsidR="003B1A4F" w:rsidRPr="00FB6962" w:rsidRDefault="003B1A4F" w:rsidP="00550638">
      <w:pPr>
        <w:pStyle w:val="NormalWeb"/>
        <w:jc w:val="both"/>
        <w:rPr>
          <w:u w:val="single"/>
        </w:rPr>
      </w:pPr>
      <w:r w:rsidRPr="00FB6962">
        <w:rPr>
          <w:u w:val="single"/>
        </w:rPr>
        <w:t>El problema es que una decisión de este tipo tiene efectos secundarios difíciles de gestionar. Para empezar, sólo hay dos maneras de llevarse el dinero de impuestos a las pensiones: o se suben los tributos o se recortan gastos de otros programas</w:t>
      </w:r>
      <w:r>
        <w:t xml:space="preserve">. Si el Gobierno o los principales partidos deciden que esto es lo que hay que hacer, en cualquiera de los dos casos, se enfrentarán a una dura contestación social. Porque, además, no estamos hablando de una cantidad pequeña. </w:t>
      </w:r>
      <w:r w:rsidRPr="00FB6962">
        <w:rPr>
          <w:u w:val="single"/>
        </w:rPr>
        <w:t>Las pensiones suponen aproximadamente el 10% del PIB. Llevarlas al 15% ahora mismo supondría 50.000 millones, ¿de dónde saldrían?</w:t>
      </w:r>
    </w:p>
    <w:p w:rsidR="003B1A4F" w:rsidRDefault="003B1A4F" w:rsidP="00550638">
      <w:pPr>
        <w:pStyle w:val="NormalWeb"/>
        <w:jc w:val="both"/>
      </w:pPr>
      <w:r>
        <w:t>Pero además, hay otro factor muy importante. Al igual que los impuestos al tabaco desincentivan el consumo de este producto, los impuestos al trabajo desincentivan el empleo. Subir cotizaciones o IRPF o Sociedades (en realidad, cualquier tributo) tiene una consecuencia directa: trabajar o invertir pasa a ser menos atractivo. Cada hora extra lleva menos dinero al bolsillo del empresario o su empleado. Y además, la competencia en el extranjero se vuelve más atractiva.</w:t>
      </w:r>
    </w:p>
    <w:p w:rsidR="003B1A4F" w:rsidRPr="00FB6962" w:rsidRDefault="003B1A4F" w:rsidP="00550638">
      <w:pPr>
        <w:pStyle w:val="NormalWeb"/>
        <w:jc w:val="both"/>
        <w:rPr>
          <w:u w:val="single"/>
        </w:rPr>
      </w:pPr>
      <w:r w:rsidRPr="00FB6962">
        <w:rPr>
          <w:u w:val="single"/>
        </w:rPr>
        <w:t>Lo que ganas por un lado (con más tributos) lo pierdes por otro (destruyes riqueza porque penalizas la creación de valor). Vamos, que subir mucho los impuestos para pagar las pensiones tiene un límite claro y cercano: ese momento en el que la gente deja de trabajar o se marcha del país cansada de esforzarse para nada.</w:t>
      </w:r>
    </w:p>
    <w:p w:rsidR="003B1A4F" w:rsidRPr="00FB6962" w:rsidRDefault="003B1A4F" w:rsidP="00550638">
      <w:pPr>
        <w:pStyle w:val="NormalWeb"/>
        <w:jc w:val="both"/>
        <w:rPr>
          <w:u w:val="single"/>
        </w:rPr>
      </w:pPr>
      <w:r>
        <w:rPr>
          <w:rStyle w:val="Textoennegrita"/>
        </w:rPr>
        <w:t xml:space="preserve">3. </w:t>
      </w:r>
      <w:r w:rsidR="00FD5BB0">
        <w:rPr>
          <w:rStyle w:val="Textoennegrita"/>
          <w:color w:val="FF0000"/>
        </w:rPr>
        <w:t>“</w:t>
      </w:r>
      <w:r w:rsidRPr="00FB6962">
        <w:rPr>
          <w:rStyle w:val="Textoennegrita"/>
          <w:color w:val="FF0000"/>
        </w:rPr>
        <w:t xml:space="preserve">Aceptar la </w:t>
      </w:r>
      <w:r w:rsidR="00FD5BB0">
        <w:rPr>
          <w:rStyle w:val="Textoennegrita"/>
          <w:color w:val="FF0000"/>
        </w:rPr>
        <w:t>disminución de la pensión media”</w:t>
      </w:r>
      <w:r w:rsidRPr="00FD5BB0">
        <w:t>:</w:t>
      </w:r>
      <w:r w:rsidRPr="00FB6962">
        <w:rPr>
          <w:color w:val="FF0000"/>
        </w:rPr>
        <w:t xml:space="preserve"> </w:t>
      </w:r>
      <w:r w:rsidRPr="00FB6962">
        <w:rPr>
          <w:u w:val="single"/>
        </w:rPr>
        <w:t>en realidad, los expertos dicen "aceptar la disminución de la ratio de la pensión media sobre salario medio, asumiendo que los jubilados reciben pensiones del sistema público (las cuales pueden seguir aumentando en términos reales), que podrían complementarse con ingresos procedentes de su ahorro privado". En realidad, esta alternativa sí acepta que las pensiones públicas se van a hundir, al menos en términos comparativos con los salarios, pero ofrece una solución.</w:t>
      </w:r>
    </w:p>
    <w:p w:rsidR="003B1A4F" w:rsidRPr="00FD5BB0" w:rsidRDefault="003B1A4F" w:rsidP="00550638">
      <w:pPr>
        <w:pStyle w:val="NormalWeb"/>
        <w:jc w:val="both"/>
        <w:rPr>
          <w:u w:val="single"/>
        </w:rPr>
      </w:pPr>
      <w:r>
        <w:t xml:space="preserve">Es un tema tabú, pero posiblemente sea el más realista. </w:t>
      </w:r>
      <w:r w:rsidRPr="00FB6962">
        <w:rPr>
          <w:u w:val="single"/>
        </w:rPr>
        <w:t xml:space="preserve">En Suecia, cuando realizaron </w:t>
      </w:r>
      <w:hyperlink r:id="rId648" w:history="1">
        <w:r w:rsidRPr="00FD5BB0">
          <w:rPr>
            <w:rStyle w:val="Hipervnculo"/>
            <w:rFonts w:eastAsiaTheme="majorEastAsia"/>
            <w:color w:val="auto"/>
          </w:rPr>
          <w:t>la gran reforma de su sistema de pensiones</w:t>
        </w:r>
      </w:hyperlink>
      <w:r w:rsidRPr="00FD5BB0">
        <w:rPr>
          <w:u w:val="single"/>
        </w:rPr>
        <w:t xml:space="preserve"> allá a comienzos de los años noventa, introdujeron un </w:t>
      </w:r>
      <w:hyperlink r:id="rId649" w:history="1">
        <w:r w:rsidRPr="00FD5BB0">
          <w:rPr>
            <w:rStyle w:val="Hipervnculo"/>
            <w:rFonts w:eastAsiaTheme="majorEastAsia"/>
            <w:color w:val="auto"/>
          </w:rPr>
          <w:t>elemento de capitalización</w:t>
        </w:r>
      </w:hyperlink>
      <w:r w:rsidRPr="00FD5BB0">
        <w:rPr>
          <w:u w:val="single"/>
        </w:rPr>
        <w:t xml:space="preserve"> (ahorro privado e individual) en el sistema. De esta manera, el Estado asegura a través de las pensiones contributivas una paga digna, que crece en función de lo cotizado y trabajado (como en España). Pero además, hay un pequeño porcentaje que corresponde a cada empleado, que decide cómo utilizarlo. De hecho, sin llegar a este sistema, en el resto de los países de Europa, son mucho más comunes los instrumentos financieros como los planes de pensiones (y ofrecen mejores rentabilidades, todo hay que decirlo).</w:t>
      </w:r>
    </w:p>
    <w:p w:rsidR="00FD5BB0" w:rsidRDefault="003B1A4F" w:rsidP="00550638">
      <w:pPr>
        <w:pStyle w:val="NormalWeb"/>
        <w:jc w:val="both"/>
      </w:pPr>
      <w:r w:rsidRPr="00FD5BB0">
        <w:rPr>
          <w:u w:val="single"/>
        </w:rPr>
        <w:t xml:space="preserve">Hay que asumir que la </w:t>
      </w:r>
      <w:hyperlink r:id="rId650" w:history="1">
        <w:r w:rsidRPr="00FD5BB0">
          <w:rPr>
            <w:rStyle w:val="Hipervnculo"/>
            <w:rFonts w:eastAsiaTheme="majorEastAsia"/>
            <w:color w:val="auto"/>
          </w:rPr>
          <w:t>tasa de sustitución</w:t>
        </w:r>
      </w:hyperlink>
      <w:r w:rsidRPr="00FD5BB0">
        <w:rPr>
          <w:u w:val="single"/>
        </w:rPr>
        <w:t xml:space="preserve"> act</w:t>
      </w:r>
      <w:r w:rsidRPr="00FB6962">
        <w:rPr>
          <w:u w:val="single"/>
        </w:rPr>
        <w:t>ual no se va a poder mantener</w:t>
      </w:r>
      <w:r>
        <w:t xml:space="preserve">. Es decir, la pensión será más baja en relación al último salario cobrado. </w:t>
      </w:r>
      <w:r w:rsidRPr="00FB6962">
        <w:rPr>
          <w:color w:val="FF0000"/>
          <w:u w:val="single"/>
        </w:rPr>
        <w:t xml:space="preserve">Quien quiera no perder </w:t>
      </w:r>
      <w:r w:rsidRPr="00FB6962">
        <w:rPr>
          <w:color w:val="FF0000"/>
          <w:u w:val="single"/>
        </w:rPr>
        <w:lastRenderedPageBreak/>
        <w:t xml:space="preserve">nivel de vida cuando se jubile, ya sabe lo que le toca: </w:t>
      </w:r>
      <w:hyperlink r:id="rId651" w:history="1">
        <w:r w:rsidRPr="00FB6962">
          <w:rPr>
            <w:rStyle w:val="Hipervnculo"/>
            <w:rFonts w:eastAsiaTheme="majorEastAsia"/>
            <w:color w:val="FF0000"/>
          </w:rPr>
          <w:t>ahorrar</w:t>
        </w:r>
      </w:hyperlink>
      <w:r w:rsidRPr="00FB6962">
        <w:rPr>
          <w:color w:val="FF0000"/>
          <w:u w:val="single"/>
        </w:rPr>
        <w:t xml:space="preserve"> por su cuenta</w:t>
      </w:r>
      <w:r>
        <w:t>. En este sentido, también los gobiernos tienen en su mano opcion</w:t>
      </w:r>
      <w:r w:rsidR="00DC5B95">
        <w:t>es para incentivar este ahorro.</w:t>
      </w:r>
    </w:p>
    <w:p w:rsidR="00FD5BB0" w:rsidRPr="00FD5BB0" w:rsidRDefault="00FD5BB0" w:rsidP="00550638">
      <w:pPr>
        <w:pStyle w:val="NormalWeb"/>
        <w:jc w:val="both"/>
        <w:rPr>
          <w:u w:val="single"/>
        </w:rPr>
      </w:pPr>
      <w:r w:rsidRPr="00FD5BB0">
        <w:rPr>
          <w:u w:val="single"/>
        </w:rPr>
        <w:t>¿Por qué dicen “factor de sostenibilidad” cuando quieren decir “represión financiera”?</w:t>
      </w:r>
    </w:p>
    <w:p w:rsidR="00FD5BB0" w:rsidRPr="00FD5BB0" w:rsidRDefault="00FD5BB0" w:rsidP="00550638">
      <w:pPr>
        <w:pStyle w:val="NormalWeb"/>
        <w:jc w:val="both"/>
        <w:rPr>
          <w:b/>
          <w:i/>
        </w:rPr>
      </w:pPr>
      <w:r>
        <w:rPr>
          <w:i/>
        </w:rPr>
        <w:t>“</w:t>
      </w:r>
      <w:r w:rsidR="003B1A4F" w:rsidRPr="00FD5BB0">
        <w:rPr>
          <w:i/>
        </w:rPr>
        <w:t>La</w:t>
      </w:r>
      <w:r w:rsidR="003B1A4F" w:rsidRPr="00FD5BB0">
        <w:rPr>
          <w:b/>
          <w:i/>
        </w:rPr>
        <w:t xml:space="preserve"> </w:t>
      </w:r>
      <w:r w:rsidR="003B1A4F" w:rsidRPr="00FD5BB0">
        <w:rPr>
          <w:rStyle w:val="Textoennegrita"/>
          <w:b w:val="0"/>
          <w:i/>
        </w:rPr>
        <w:t>reforma de las pensiones</w:t>
      </w:r>
      <w:r w:rsidR="003B1A4F" w:rsidRPr="00FD5BB0">
        <w:rPr>
          <w:i/>
        </w:rPr>
        <w:t xml:space="preserve"> está en marcha. Pero no sólo afectará a los nuevos pensionistas, como ha sucedido en las últimas reformas. También los actuales beneficiarios del sistema público de protección se verán concernidos por ella. En concreto, en lo relacionado con la </w:t>
      </w:r>
      <w:r w:rsidR="003B1A4F" w:rsidRPr="00FD5BB0">
        <w:rPr>
          <w:rStyle w:val="Textoennegrita"/>
          <w:b w:val="0"/>
          <w:i/>
        </w:rPr>
        <w:t>revalorización</w:t>
      </w:r>
      <w:r w:rsidR="003B1A4F" w:rsidRPr="00FD5BB0">
        <w:rPr>
          <w:b/>
          <w:i/>
        </w:rPr>
        <w:t xml:space="preserve"> </w:t>
      </w:r>
      <w:r w:rsidR="003B1A4F" w:rsidRPr="00FD5BB0">
        <w:rPr>
          <w:i/>
        </w:rPr>
        <w:t xml:space="preserve">de las pensiones, que ya no se calculará en función de la evolución del IPC, sino a partir de diversos parámetros económicos relacionados con la sostenibilidad del sistema, en línea con una de las recomendaciones del Pacto de Toledo, como subrayó ayer la ministra de Empleo, </w:t>
      </w:r>
      <w:r w:rsidR="003B1A4F" w:rsidRPr="00FD5BB0">
        <w:rPr>
          <w:rStyle w:val="Textoennegrita"/>
          <w:b w:val="0"/>
          <w:i/>
        </w:rPr>
        <w:t>Fátima Báñez</w:t>
      </w:r>
      <w:r>
        <w:rPr>
          <w:rStyle w:val="Textoennegrita"/>
          <w:b w:val="0"/>
          <w:i/>
        </w:rPr>
        <w:t>”..</w:t>
      </w:r>
      <w:r w:rsidR="003B1A4F" w:rsidRPr="00FD5BB0">
        <w:rPr>
          <w:b/>
          <w:i/>
        </w:rPr>
        <w:t>.</w:t>
      </w:r>
      <w:r>
        <w:rPr>
          <w:b/>
          <w:i/>
        </w:rPr>
        <w:t xml:space="preserve"> </w:t>
      </w:r>
      <w:r w:rsidRPr="0006141F">
        <w:rPr>
          <w:u w:val="single"/>
        </w:rPr>
        <w:t>Adiós al IPC: las pensiones podrán perder poder adquisitivo en términos reales</w:t>
      </w:r>
      <w:r>
        <w:t xml:space="preserve"> (El Confidencial - </w:t>
      </w:r>
      <w:r w:rsidRPr="0006141F">
        <w:rPr>
          <w:b/>
        </w:rPr>
        <w:t>3/9/13</w:t>
      </w:r>
      <w:r>
        <w:t>)</w:t>
      </w:r>
    </w:p>
    <w:p w:rsidR="003B1A4F" w:rsidRDefault="003B1A4F" w:rsidP="00550638">
      <w:pPr>
        <w:pStyle w:val="NormalWeb"/>
        <w:jc w:val="both"/>
      </w:pPr>
      <w:r>
        <w:t xml:space="preserve">La principal novedad es que la nueva fórmula ya se tendrá en cuenta a la hora de elaborar los Presupuestos Generales del Estado de 2014, lo que quiere decir que el Gobierno no esperará a 2019, que es cuando entrará en funcionamiento el nuevo </w:t>
      </w:r>
      <w:r w:rsidRPr="00FD5BB0">
        <w:rPr>
          <w:rStyle w:val="Textoennegrita"/>
          <w:b w:val="0"/>
        </w:rPr>
        <w:t>factor de sostenibilidad</w:t>
      </w:r>
      <w:r w:rsidRPr="00FD5BB0">
        <w:rPr>
          <w:b/>
        </w:rPr>
        <w:t xml:space="preserve"> </w:t>
      </w:r>
      <w:r>
        <w:t>que regulara el funcionamiento de las pensiones públicas.</w:t>
      </w:r>
    </w:p>
    <w:p w:rsidR="003B1A4F" w:rsidRDefault="00FD5BB0" w:rsidP="00550638">
      <w:pPr>
        <w:pStyle w:val="NormalWeb"/>
        <w:jc w:val="both"/>
      </w:pPr>
      <w:r>
        <w:rPr>
          <w:noProof/>
        </w:rPr>
        <w:t xml:space="preserve">   </w:t>
      </w:r>
      <w:r w:rsidR="003B1A4F">
        <w:rPr>
          <w:noProof/>
        </w:rPr>
        <w:drawing>
          <wp:inline distT="0" distB="0" distL="0" distR="0" wp14:anchorId="56E07DFC" wp14:editId="7D4E1BE3">
            <wp:extent cx="5186149" cy="2463421"/>
            <wp:effectExtent l="0" t="0" r="0" b="0"/>
            <wp:docPr id="479" name="Imagen 479" descr="http://www.ecestaticos.com/image/clipping/887187f30d3137b629a201a77429783a/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ecestaticos.com/image/clipping/887187f30d3137b629a201a77429783a/imagen-sin-titulo.jpg"/>
                    <pic:cNvPicPr>
                      <a:picLocks noChangeAspect="1" noChangeArrowheads="1"/>
                    </pic:cNvPicPr>
                  </pic:nvPicPr>
                  <pic:blipFill>
                    <a:blip r:embed="rId652">
                      <a:extLst>
                        <a:ext uri="{28A0092B-C50C-407E-A947-70E740481C1C}">
                          <a14:useLocalDpi xmlns:a14="http://schemas.microsoft.com/office/drawing/2010/main" val="0"/>
                        </a:ext>
                      </a:extLst>
                    </a:blip>
                    <a:srcRect/>
                    <a:stretch>
                      <a:fillRect/>
                    </a:stretch>
                  </pic:blipFill>
                  <pic:spPr bwMode="auto">
                    <a:xfrm>
                      <a:off x="0" y="0"/>
                      <a:ext cx="5186288" cy="2463487"/>
                    </a:xfrm>
                    <a:prstGeom prst="rect">
                      <a:avLst/>
                    </a:prstGeom>
                    <a:noFill/>
                    <a:ln>
                      <a:noFill/>
                    </a:ln>
                  </pic:spPr>
                </pic:pic>
              </a:graphicData>
            </a:graphic>
          </wp:inline>
        </w:drawing>
      </w:r>
    </w:p>
    <w:p w:rsidR="003B1A4F" w:rsidRPr="00FD5BB0" w:rsidRDefault="003B1A4F" w:rsidP="00550638">
      <w:pPr>
        <w:pStyle w:val="NormalWeb"/>
        <w:jc w:val="both"/>
      </w:pPr>
      <w:r w:rsidRPr="00FD5BB0">
        <w:t xml:space="preserve">La nueva referencia será el llamado índice de revalorización de las pensiones (IRP), que tendrá en cuenta factores como la cuantía de la pensión media por el </w:t>
      </w:r>
      <w:r w:rsidRPr="00FD5BB0">
        <w:rPr>
          <w:rStyle w:val="Textoennegrita"/>
          <w:b w:val="0"/>
        </w:rPr>
        <w:t>efecto sustitución</w:t>
      </w:r>
      <w:r w:rsidRPr="00FD5BB0">
        <w:t xml:space="preserve"> (la diferencia entre las pensiones que causan baja y las nuevas que entran en el sistema), el número de pensiones, los ingresos contributivos y el gasto en pensiones. El objetivo es que la revalorización sea compatible con el </w:t>
      </w:r>
      <w:r w:rsidRPr="00FD5BB0">
        <w:rPr>
          <w:rStyle w:val="Textoennegrita"/>
          <w:b w:val="0"/>
        </w:rPr>
        <w:t>equilibrio presupuestario</w:t>
      </w:r>
      <w:r w:rsidRPr="00FD5BB0">
        <w:t xml:space="preserve"> a lo largo del ciclo. Es decir, que periodos de crisis se compensarían con periodos de expansión de la actividad económica. Los últimos datos (agosto) muestran que la </w:t>
      </w:r>
      <w:r w:rsidRPr="00FD5BB0">
        <w:rPr>
          <w:rStyle w:val="Textoennegrita"/>
          <w:b w:val="0"/>
        </w:rPr>
        <w:t>pensión media</w:t>
      </w:r>
      <w:r w:rsidRPr="00FD5BB0">
        <w:t xml:space="preserve"> del conjunto del sistema se sitúa en 858 euros mensuales, lo que supone un crecimiento del 3,2%, </w:t>
      </w:r>
      <w:hyperlink r:id="rId653" w:history="1">
        <w:r w:rsidRPr="00FD5BB0">
          <w:rPr>
            <w:rStyle w:val="Hipervnculo"/>
            <w:rFonts w:eastAsiaTheme="majorEastAsia"/>
            <w:color w:val="auto"/>
            <w:u w:val="none"/>
          </w:rPr>
          <w:t>más del doble</w:t>
        </w:r>
      </w:hyperlink>
      <w:r w:rsidRPr="00FD5BB0">
        <w:t xml:space="preserve"> que el IPC.</w:t>
      </w:r>
    </w:p>
    <w:p w:rsidR="003B1A4F" w:rsidRDefault="003B1A4F" w:rsidP="00550638">
      <w:pPr>
        <w:pStyle w:val="NormalWeb"/>
        <w:jc w:val="both"/>
      </w:pPr>
      <w:r w:rsidRPr="00FD5BB0">
        <w:t>¿Quiere decir esto que las pensiones pueden llegar a bajar? Nunca en términos nominales, pero sí en términos reales. La ministra Báñez anunció ay</w:t>
      </w:r>
      <w:r w:rsidR="00FD5BB0">
        <w:t>er que el Gobierno aprobará un “suelo”</w:t>
      </w:r>
      <w:r w:rsidRPr="00FD5BB0">
        <w:t xml:space="preserve"> equivalente al 0,25%, lo que quiere decir que al menos nominalmente </w:t>
      </w:r>
      <w:r w:rsidRPr="00FD5BB0">
        <w:rPr>
          <w:rStyle w:val="Textoennegrita"/>
          <w:b w:val="0"/>
        </w:rPr>
        <w:t>ninguna pensión</w:t>
      </w:r>
      <w:r w:rsidRPr="00FD5BB0">
        <w:t xml:space="preserve"> podrá bajar, aunque sí en términos reales. Si la inflación sube por encima de esa tasa, las pensiones perderán poder adquisitivo durante los </w:t>
      </w:r>
      <w:r w:rsidRPr="00FD5BB0">
        <w:lastRenderedPageBreak/>
        <w:t xml:space="preserve">tiempos de mayores dificultades de la Seguridad Social, pero, como contraprestación, el sistema de Seguridad Social estará </w:t>
      </w:r>
      <w:r w:rsidRPr="00FD5BB0">
        <w:rPr>
          <w:rStyle w:val="Textoennegrita"/>
          <w:b w:val="0"/>
        </w:rPr>
        <w:t>más saneado</w:t>
      </w:r>
      <w:r w:rsidRPr="00FD5BB0">
        <w:t xml:space="preserve"> y será más </w:t>
      </w:r>
      <w:r w:rsidRPr="00FD5BB0">
        <w:rPr>
          <w:rStyle w:val="Textoennegrita"/>
          <w:b w:val="0"/>
        </w:rPr>
        <w:t>sostenible.</w:t>
      </w:r>
      <w:r>
        <w:t xml:space="preserve"> Dicho en otros términos, la revalorización se fía a la </w:t>
      </w:r>
      <w:hyperlink r:id="rId654" w:history="1">
        <w:r w:rsidRPr="00FD5BB0">
          <w:rPr>
            <w:rStyle w:val="Hipervnculo"/>
            <w:rFonts w:eastAsiaTheme="majorEastAsia"/>
            <w:color w:val="auto"/>
            <w:u w:val="none"/>
          </w:rPr>
          <w:t>marcha de la economía</w:t>
        </w:r>
        <w:r>
          <w:rPr>
            <w:rStyle w:val="Hipervnculo"/>
            <w:rFonts w:eastAsiaTheme="majorEastAsia"/>
          </w:rPr>
          <w:t>,</w:t>
        </w:r>
      </w:hyperlink>
      <w:r>
        <w:t xml:space="preserve"> y no a la evolución del IPC.</w:t>
      </w:r>
    </w:p>
    <w:p w:rsidR="003B1A4F" w:rsidRPr="00FD5BB0" w:rsidRDefault="003B1A4F" w:rsidP="00550638">
      <w:pPr>
        <w:pStyle w:val="NormalWeb"/>
        <w:jc w:val="both"/>
        <w:rPr>
          <w:b/>
        </w:rPr>
      </w:pPr>
      <w:r w:rsidRPr="00FD5BB0">
        <w:rPr>
          <w:rStyle w:val="Textoennegrita"/>
          <w:b w:val="0"/>
        </w:rPr>
        <w:t>Suelo y techo en la pensiones</w:t>
      </w:r>
    </w:p>
    <w:p w:rsidR="003B1A4F" w:rsidRDefault="008E47FE" w:rsidP="00550638">
      <w:pPr>
        <w:pStyle w:val="NormalWeb"/>
        <w:jc w:val="both"/>
      </w:pPr>
      <w:r>
        <w:t>Gracias al “suelo”</w:t>
      </w:r>
      <w:r w:rsidR="003B1A4F">
        <w:t xml:space="preserve"> de las pensiones, por ejemplo, estas no bajarán cerca de un 2% en 2014, que es lo que correspondería si se aplicara de forma automática -y sin limitaciones- el nuevo índice (ver gráfico). Por arriba, la subida de las pensiones nunca podrá superar el IPC más 0,25 puntos.</w:t>
      </w:r>
    </w:p>
    <w:p w:rsidR="003B1A4F" w:rsidRPr="00FD5BB0" w:rsidRDefault="003B1A4F" w:rsidP="00550638">
      <w:pPr>
        <w:pStyle w:val="NormalWeb"/>
        <w:jc w:val="both"/>
      </w:pPr>
      <w:r w:rsidRPr="00FD5BB0">
        <w:t xml:space="preserve">Modular la revalorización de las pensiones no es un asunto menor para el sistema de </w:t>
      </w:r>
      <w:r w:rsidRPr="00FD5BB0">
        <w:rPr>
          <w:rStyle w:val="Textoennegrita"/>
          <w:b w:val="0"/>
        </w:rPr>
        <w:t>protección social</w:t>
      </w:r>
      <w:r w:rsidRPr="00FD5BB0">
        <w:t>. Al contrario. Según la documentación entregada ayer a sindicatos y empresarios, nada menos que el 27</w:t>
      </w:r>
      <w:r w:rsidRPr="00FD5BB0">
        <w:rPr>
          <w:rStyle w:val="Textoennegrita"/>
        </w:rPr>
        <w:t xml:space="preserve">% </w:t>
      </w:r>
      <w:r w:rsidRPr="00FD5BB0">
        <w:t xml:space="preserve">de la nómina de pensiones se paga en concepto de revalorizaciones. Y hay que tener en cuenta que la </w:t>
      </w:r>
      <w:hyperlink r:id="rId655" w:history="1">
        <w:r w:rsidRPr="00FD5BB0">
          <w:rPr>
            <w:rStyle w:val="Hipervnculo"/>
            <w:rFonts w:eastAsiaTheme="majorEastAsia"/>
            <w:color w:val="auto"/>
            <w:u w:val="none"/>
          </w:rPr>
          <w:t>última nómina</w:t>
        </w:r>
      </w:hyperlink>
      <w:r w:rsidRPr="00FD5BB0">
        <w:t xml:space="preserve"> de pensiones contributivas ascendió a 7.798 millones de euros, lo que da idea de la importancia económica de su revalorización. Tampoco hay que olvidar, como recordó ayer la ministra de Empleo, que la Seguridad Social tuvo un déficit de 1.934 millones de euros en 2010; de 973 millones, en 2011; de 10.131 millones, en 2012, y de unos 14.000 millones en 2013, según las últimas previsiones de Hacienda.</w:t>
      </w:r>
    </w:p>
    <w:p w:rsidR="003B1A4F" w:rsidRDefault="003B1A4F" w:rsidP="00550638">
      <w:pPr>
        <w:pStyle w:val="NormalWeb"/>
        <w:jc w:val="both"/>
      </w:pPr>
      <w:r>
        <w:rPr>
          <w:noProof/>
        </w:rPr>
        <w:drawing>
          <wp:inline distT="0" distB="0" distL="0" distR="0" wp14:anchorId="3890D085" wp14:editId="269C5E4D">
            <wp:extent cx="5377218" cy="2210937"/>
            <wp:effectExtent l="0" t="0" r="0" b="0"/>
            <wp:docPr id="32" name="Imagen 32" descr="http://www.ecestaticos.com/image/clipping/ea48fb74ba24cf4de26090579cc11dbd/imagen-sin-titu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ecestaticos.com/image/clipping/ea48fb74ba24cf4de26090579cc11dbd/imagen-sin-titulo.jpg"/>
                    <pic:cNvPicPr>
                      <a:picLocks noChangeAspect="1" noChangeArrowheads="1"/>
                    </pic:cNvPicPr>
                  </pic:nvPicPr>
                  <pic:blipFill>
                    <a:blip r:embed="rId656">
                      <a:extLst>
                        <a:ext uri="{28A0092B-C50C-407E-A947-70E740481C1C}">
                          <a14:useLocalDpi xmlns:a14="http://schemas.microsoft.com/office/drawing/2010/main" val="0"/>
                        </a:ext>
                      </a:extLst>
                    </a:blip>
                    <a:srcRect/>
                    <a:stretch>
                      <a:fillRect/>
                    </a:stretch>
                  </pic:blipFill>
                  <pic:spPr bwMode="auto">
                    <a:xfrm>
                      <a:off x="0" y="0"/>
                      <a:ext cx="5377362" cy="2210996"/>
                    </a:xfrm>
                    <a:prstGeom prst="rect">
                      <a:avLst/>
                    </a:prstGeom>
                    <a:noFill/>
                    <a:ln>
                      <a:noFill/>
                    </a:ln>
                  </pic:spPr>
                </pic:pic>
              </a:graphicData>
            </a:graphic>
          </wp:inline>
        </w:drawing>
      </w:r>
    </w:p>
    <w:p w:rsidR="003B1A4F" w:rsidRPr="008E47FE" w:rsidRDefault="003B1A4F" w:rsidP="00550638">
      <w:pPr>
        <w:pStyle w:val="NormalWeb"/>
        <w:jc w:val="both"/>
      </w:pPr>
      <w:r w:rsidRPr="008E47FE">
        <w:t xml:space="preserve">El hecho de que el ahorro se vaya a reflejar ya en el presupuesto de 2014 es lo que puede explicar que el Gobierno haya decidido situar en 2019 la puesta en marcha del factor de sostenibilidad, cuyos efectos en términos económicos (al tener en cuenta factores demográficos y de </w:t>
      </w:r>
      <w:r w:rsidRPr="008E47FE">
        <w:rPr>
          <w:rStyle w:val="Textoennegrita"/>
          <w:b w:val="0"/>
        </w:rPr>
        <w:t>esperanza de vida</w:t>
      </w:r>
      <w:r w:rsidRPr="008E47FE">
        <w:t xml:space="preserve">) son más diluidos en el tiempo. El comité </w:t>
      </w:r>
      <w:r w:rsidRPr="008E47FE">
        <w:rPr>
          <w:rStyle w:val="Textoennegrita"/>
          <w:b w:val="0"/>
        </w:rPr>
        <w:t>de expertos</w:t>
      </w:r>
      <w:r w:rsidRPr="008E47FE">
        <w:t xml:space="preserve"> que elaboró un informe para el Gobierno antes del verano propuso una horquilla situada entre 2014 y 2019 para su entrada en vigor, pero al final la ministra de Empleo se ha decidido por la fecha más lejana, sin duda para favorecer un acuerdo con los sindicatos, reacios a adelantar su entrada en funcionamiento, que en la reforma de 2011 (en tiempos de </w:t>
      </w:r>
      <w:r w:rsidRPr="008E47FE">
        <w:rPr>
          <w:rStyle w:val="Textoennegrita"/>
          <w:b w:val="0"/>
        </w:rPr>
        <w:t>Rodríguez Zapatero</w:t>
      </w:r>
      <w:r w:rsidRPr="008E47FE">
        <w:t>) se situó en 2027.</w:t>
      </w:r>
    </w:p>
    <w:p w:rsidR="003B1A4F" w:rsidRDefault="003B1A4F" w:rsidP="00550638">
      <w:pPr>
        <w:pStyle w:val="NormalWeb"/>
        <w:jc w:val="both"/>
      </w:pPr>
      <w:r>
        <w:t>Según el Gobierno, la elección de 2019 responde a que todavía est</w:t>
      </w:r>
      <w:r w:rsidR="008E47FE">
        <w:t>á en vigor la reforma del 2011 -</w:t>
      </w:r>
      <w:r>
        <w:t>que eleva la edad de jubilación a los 67, en 2027- y “es necesario un periodo de adaptación al factor de sostenibilidad”. La revisión, en todo caso, nunca afectaría a los actuales pensionistas.</w:t>
      </w:r>
    </w:p>
    <w:p w:rsidR="003B1A4F" w:rsidRDefault="003B1A4F" w:rsidP="00550638">
      <w:pPr>
        <w:pStyle w:val="NormalWeb"/>
        <w:jc w:val="both"/>
      </w:pPr>
      <w:r>
        <w:lastRenderedPageBreak/>
        <w:t xml:space="preserve">Según la opinión de uno de los expertos que formó parte del comité, la propuesta del Gobierno encaja “perfectamente” con la que hicieron antes del verano sus miembros, toda vez que, aunque no supone una </w:t>
      </w:r>
      <w:r w:rsidRPr="008E47FE">
        <w:rPr>
          <w:rStyle w:val="Textoennegrita"/>
          <w:b w:val="0"/>
        </w:rPr>
        <w:t>reforma radical</w:t>
      </w:r>
      <w:r>
        <w:rPr>
          <w:rStyle w:val="Textoennegrita"/>
        </w:rPr>
        <w:t xml:space="preserve"> </w:t>
      </w:r>
      <w:r>
        <w:t>del sistema, “sí que lanza una señal a la sociedad en el sentido de que la sostenibilidad es la clave para garantizar el futuro de la Seguridad Social”.</w:t>
      </w:r>
    </w:p>
    <w:p w:rsidR="003B1A4F" w:rsidRPr="006969D0" w:rsidRDefault="003B1A4F" w:rsidP="00550638">
      <w:pPr>
        <w:pStyle w:val="NormalWeb"/>
        <w:jc w:val="both"/>
      </w:pPr>
      <w:r w:rsidRPr="006969D0">
        <w:t xml:space="preserve">Lo que está claro es que la propuesta del Gobierno tampoco modifica los parámetros básicos del actual modelo de Seguridad Social. Como recordó ayer Báñez, ni se modifica la edad de jubilación ni el número de años para calcular la cuantía de las pensiones. Por lo tanto, el </w:t>
      </w:r>
      <w:r w:rsidRPr="006969D0">
        <w:rPr>
          <w:rStyle w:val="Textoennegrita"/>
          <w:b w:val="0"/>
        </w:rPr>
        <w:t>modelo de reparto</w:t>
      </w:r>
      <w:r w:rsidRPr="006969D0">
        <w:t>, según aseguró, seguirá siendo la clave de bóveda del sistema de reparto, complementado con las pensiones privadas que cada trabajador pueda pagarse.</w:t>
      </w:r>
    </w:p>
    <w:p w:rsidR="007B2FC8" w:rsidRDefault="003B1A4F" w:rsidP="00550638">
      <w:pPr>
        <w:pStyle w:val="NormalWeb"/>
        <w:jc w:val="both"/>
      </w:pPr>
      <w:r>
        <w:t>La reforma, igualmente, pretende modular en el tiempo tanto los cambios anuales relacionados con la demografía (por ejemplo, la esperanza de vida) y, en este sentido, la aplicación del factor de sostenibilidad se realizará por</w:t>
      </w:r>
      <w:r>
        <w:rPr>
          <w:rStyle w:val="Textoennegrita"/>
        </w:rPr>
        <w:t xml:space="preserve"> </w:t>
      </w:r>
      <w:r w:rsidRPr="008E47FE">
        <w:rPr>
          <w:rStyle w:val="Textoennegrita"/>
          <w:b w:val="0"/>
        </w:rPr>
        <w:t>quinquenios</w:t>
      </w:r>
      <w:r>
        <w:t>. Al hacerse cada cinco años, y al ser la tendencia un aumento de la esperanza de vida, no habrá que estar bajando o subiendo la pensión de las nuevas altas todos los años en relación con el año anterior, sino que  únicamente se revisaría cada cinco años, lo que favorec</w:t>
      </w:r>
      <w:r w:rsidR="007B2FC8">
        <w:t>erá la estabilidad del sistema.</w:t>
      </w:r>
    </w:p>
    <w:p w:rsidR="003B1A4F" w:rsidRPr="007B2FC8" w:rsidRDefault="006B2C72" w:rsidP="00550638">
      <w:pPr>
        <w:pStyle w:val="NormalWeb"/>
        <w:jc w:val="both"/>
      </w:pPr>
      <w:r>
        <w:rPr>
          <w:u w:val="single"/>
        </w:rPr>
        <w:t>Entre el suelo y el techo de</w:t>
      </w:r>
      <w:r w:rsidR="006969D0">
        <w:rPr>
          <w:u w:val="single"/>
        </w:rPr>
        <w:t xml:space="preserve"> las pensiones, nos robarán</w:t>
      </w:r>
      <w:r w:rsidR="00FD5BB0" w:rsidRPr="00FD5BB0">
        <w:rPr>
          <w:u w:val="single"/>
        </w:rPr>
        <w:t xml:space="preserve"> la camisa con la chaqueta puesta</w:t>
      </w:r>
    </w:p>
    <w:p w:rsidR="007B2FC8" w:rsidRPr="007B2FC8" w:rsidRDefault="007B2FC8" w:rsidP="00550638">
      <w:pPr>
        <w:pStyle w:val="NormalWeb"/>
        <w:jc w:val="both"/>
      </w:pPr>
      <w:r>
        <w:rPr>
          <w:rFonts w:eastAsiaTheme="minorHAnsi"/>
          <w:u w:val="single"/>
          <w:lang w:eastAsia="en-US"/>
        </w:rPr>
        <w:t>“</w:t>
      </w:r>
      <w:r w:rsidRPr="007B2FC8">
        <w:rPr>
          <w:i/>
        </w:rPr>
        <w:t>Los técnicos de Hacienda han echado sus propias cuentas sobre lo que supondrá para los pensionistas la entrada en vigor de un factor de sostenibilidad como el que el Ministerio de Empleo anunció la semana pasada. Aquéllos que empiecen a cobrar ese subsidio en los 10 primeros años en que rija ese corrector, es decir, entre 2019 y 2029, tendrán derecho durante ese periodo a una pensión un 5,8% menor que aquélla que les hubiera correspondido en 2012</w:t>
      </w:r>
      <w:r>
        <w:rPr>
          <w:i/>
        </w:rPr>
        <w:t>”..</w:t>
      </w:r>
      <w:r w:rsidRPr="007B2FC8">
        <w:rPr>
          <w:i/>
        </w:rPr>
        <w:t>.</w:t>
      </w:r>
      <w:r w:rsidRPr="007B2FC8">
        <w:rPr>
          <w:u w:val="single"/>
        </w:rPr>
        <w:t xml:space="preserve"> </w:t>
      </w:r>
      <w:r w:rsidRPr="005D28BB">
        <w:rPr>
          <w:u w:val="single"/>
        </w:rPr>
        <w:t>Ligar las pensiones a la esperanza de vida las hará bajar un 6% cada década</w:t>
      </w:r>
      <w:r>
        <w:t xml:space="preserve"> (El Economista - </w:t>
      </w:r>
      <w:r w:rsidRPr="005D28BB">
        <w:rPr>
          <w:b/>
        </w:rPr>
        <w:t>8/9/13</w:t>
      </w:r>
      <w:r>
        <w:t>)</w:t>
      </w:r>
    </w:p>
    <w:p w:rsidR="007B2FC8" w:rsidRPr="007B2FC8" w:rsidRDefault="007B2FC8" w:rsidP="00550638">
      <w:pPr>
        <w:pStyle w:val="NormalWeb"/>
        <w:jc w:val="both"/>
      </w:pPr>
      <w:r w:rsidRPr="007B2FC8">
        <w:t xml:space="preserve">Disminuciones de idéntica cuantía se irán acumulando en las décadas posteriores en las que seguirá rigiendo el factor de sostenibilidad, de acuerdo con las estimaciones del Instituto de Estudios Fiscales. Dicho de otro modo: </w:t>
      </w:r>
      <w:r w:rsidRPr="007B2FC8">
        <w:rPr>
          <w:bCs/>
        </w:rPr>
        <w:t>pasada la barrera de 2050 los nuevos jubilados cobrarán, en esos 10 años, un 22% menos de lo que les habría correspondido</w:t>
      </w:r>
      <w:r w:rsidRPr="007B2FC8">
        <w:t xml:space="preserve"> antes de que se pusieran en marcha los </w:t>
      </w:r>
      <w:hyperlink r:id="rId657" w:history="1">
        <w:r w:rsidRPr="007B2FC8">
          <w:rPr>
            <w:rStyle w:val="Hipervnculo"/>
            <w:rFonts w:eastAsiaTheme="majorEastAsia"/>
            <w:color w:val="auto"/>
            <w:u w:val="none"/>
          </w:rPr>
          <w:t>nuevos cambios en el sistema de pensiones</w:t>
        </w:r>
      </w:hyperlink>
      <w:r w:rsidRPr="007B2FC8">
        <w:t>.</w:t>
      </w:r>
    </w:p>
    <w:p w:rsidR="007B2FC8" w:rsidRPr="007B2FC8" w:rsidRDefault="007B2FC8" w:rsidP="00550638">
      <w:pPr>
        <w:pStyle w:val="NormalWeb"/>
        <w:jc w:val="both"/>
      </w:pPr>
      <w:r w:rsidRPr="007B2FC8">
        <w:t>Tales cambios buscan ajustar, por un lado, el ritmo al que se cobra, en concepto de pensión, lo que un trabajador ha cotizado durante su trayectoria laboral con, por otro lado, el hecho de que esa persona va a tener una esperanza de vida larga. Empleo se ha afanado en explicar que, gracias a que viviremos más, hay que espaciar en mayor medida el pago de lo que a los trabajadores cada vez más longevos les corresponderá. En caso contrario el sistema quebrará.</w:t>
      </w:r>
    </w:p>
    <w:p w:rsidR="003B6AC8" w:rsidRDefault="007B2FC8" w:rsidP="00550638">
      <w:pPr>
        <w:pStyle w:val="NormalWeb"/>
        <w:jc w:val="both"/>
      </w:pPr>
      <w:r w:rsidRPr="007B2FC8">
        <w:t>En Hacienda tienen claro que con la entrada en escena de un coeficiente corrector que se acompase con la evo</w:t>
      </w:r>
      <w:r>
        <w:t>lución de la esperanza de vida “</w:t>
      </w:r>
      <w:r w:rsidRPr="007B2FC8">
        <w:t>va a quedar solventado e</w:t>
      </w:r>
      <w:r>
        <w:t>l problema de la sostenibilidad”</w:t>
      </w:r>
      <w:r w:rsidRPr="007B2FC8">
        <w:t xml:space="preserve"> de la Seguridad Social. Ahora bien, sus expertos alertan de que, al tiempo que se socava un obstáculo, es posible estar cimentando otro también </w:t>
      </w:r>
      <w:r w:rsidRPr="007B2FC8">
        <w:lastRenderedPageBreak/>
        <w:t>gr</w:t>
      </w:r>
      <w:r>
        <w:t>ave. En este caso se trata del “</w:t>
      </w:r>
      <w:r w:rsidRPr="007B2FC8">
        <w:t>incremento de las posibilidades de generar bolsas de pobr</w:t>
      </w:r>
      <w:r>
        <w:t>eza entre la población jubilada”</w:t>
      </w:r>
      <w:r w:rsidRPr="007B2FC8">
        <w:t>.</w:t>
      </w:r>
    </w:p>
    <w:p w:rsidR="007B2FC8" w:rsidRPr="007B2FC8" w:rsidRDefault="007B2FC8" w:rsidP="00550638">
      <w:pPr>
        <w:pStyle w:val="NormalWeb"/>
        <w:jc w:val="both"/>
      </w:pPr>
      <w:r w:rsidRPr="007B2FC8">
        <w:t>Ese riesgo es real; hasta el punto de que el Ministerio de Empleo ha optado por no seguir a rajatabla las recomendaciones del grupo de expertos que lo asesoró antes de acometer la reforma del sistema de pensiones. Entre ellas, se encontraba aquélla que conminaba a introducir el factor de sostenibilidad cuanto antes.</w:t>
      </w:r>
    </w:p>
    <w:p w:rsidR="007B2FC8" w:rsidRPr="007B2FC8" w:rsidRDefault="007B2FC8" w:rsidP="00550638">
      <w:pPr>
        <w:pStyle w:val="NormalWeb"/>
        <w:jc w:val="both"/>
      </w:pPr>
      <w:r w:rsidRPr="007B2FC8">
        <w:t xml:space="preserve">Finalmente, su entrada en vigor se ha retrasado a 2019 con el objetivo, tal y como reconoció la ministra Fátima Báñez, de que quienes se vayan a jubilar en los cinco años posteriores (pues la revisión del factor de sostenibilidad se </w:t>
      </w:r>
      <w:r>
        <w:t>hará oficialmente cada lustro) “se anticipen”</w:t>
      </w:r>
      <w:r w:rsidRPr="007B2FC8">
        <w:t xml:space="preserve"> al cobro de una pensión que será en su arranque más baja de lo que esperaban. Ese hec</w:t>
      </w:r>
      <w:r>
        <w:t>ho hará que sean recomendables “</w:t>
      </w:r>
      <w:r w:rsidRPr="007B2FC8">
        <w:t>soluciones como compatibilizar dur</w:t>
      </w:r>
      <w:r>
        <w:t>ante un tiempo pensión y empleo”</w:t>
      </w:r>
      <w:r w:rsidRPr="007B2FC8">
        <w:t>, incidió la ministra.</w:t>
      </w:r>
    </w:p>
    <w:p w:rsidR="007B2FC8" w:rsidRPr="007B2FC8" w:rsidRDefault="007B2FC8" w:rsidP="00550638">
      <w:pPr>
        <w:pStyle w:val="NormalWeb"/>
        <w:jc w:val="both"/>
      </w:pPr>
      <w:r w:rsidRPr="007B2FC8">
        <w:t>Con todo, el problema tiene visos de que puede ser más profundo, de acuerdo con los técnicos de Hacienda, hasta el punto de que sería conveniente suavizar el factor de sostenibilidad tal y como ahora está concebido.</w:t>
      </w:r>
    </w:p>
    <w:p w:rsidR="007B2FC8" w:rsidRPr="007B2FC8" w:rsidRDefault="007B2FC8" w:rsidP="00550638">
      <w:pPr>
        <w:pStyle w:val="NormalWeb"/>
        <w:jc w:val="both"/>
      </w:pPr>
      <w:r>
        <w:t>Así, “parece claro” que este componente corrector “</w:t>
      </w:r>
      <w:r w:rsidRPr="007B2FC8">
        <w:t>no debería estar ligado solamente a la esperanza de vida, sino que debería ser sensible también a otras variables, tales como el ratio número de cotizantes sobre jubilados, o las tasas de ocupación y fertilidad, el sald</w:t>
      </w:r>
      <w:r>
        <w:t>o migratorio o la productividad”. Todos ellos son factores que “</w:t>
      </w:r>
      <w:r w:rsidRPr="007B2FC8">
        <w:t>influyen muy directamente sobre el equili</w:t>
      </w:r>
      <w:r>
        <w:t>brio financiero del sistema”</w:t>
      </w:r>
      <w:r w:rsidRPr="007B2FC8">
        <w:t xml:space="preserve">, explica el </w:t>
      </w:r>
      <w:r w:rsidR="003B6AC8">
        <w:t>Instituto de Estudios Fiscales.</w:t>
      </w:r>
    </w:p>
    <w:p w:rsidR="007B2FC8" w:rsidRPr="007B2FC8" w:rsidRDefault="007B2FC8" w:rsidP="00550638">
      <w:pPr>
        <w:pStyle w:val="NormalWeb"/>
        <w:jc w:val="both"/>
      </w:pPr>
      <w:r w:rsidRPr="007B2FC8">
        <w:t>La institución, incluso, demuestra en qué medida puede resultar drástica la reducción de las pensiones, aunque sea en aras de garantizar su sostenibilidad, cuando se aplica de forma unilateral uno solamente de esos factores. En concreto, un factor de sostenibilidad que radicara en exclusiva sobre la proporción de cotizantes sobre jubilados supondría, en el entorno de 2050, una reducción acumulada para los nuevos pensionistas de hasta el 45% con respecto a las cuantías percibidas por los pensionistas en 2012.</w:t>
      </w:r>
    </w:p>
    <w:p w:rsidR="007B2FC8" w:rsidRPr="007B2FC8" w:rsidRDefault="007B2FC8" w:rsidP="00550638">
      <w:pPr>
        <w:pStyle w:val="NormalWeb"/>
        <w:jc w:val="both"/>
      </w:pPr>
      <w:r w:rsidRPr="007B2FC8">
        <w:t>Un porcentaje tan elevado se reduciría de forma notable, hasta el 25%, únicamente haciendo entrar en el cálculo una variable más: la esperanza de vida.</w:t>
      </w:r>
    </w:p>
    <w:p w:rsidR="007B2FC8" w:rsidRPr="007B2FC8" w:rsidRDefault="007B2FC8" w:rsidP="00550638">
      <w:pPr>
        <w:pStyle w:val="NormalWeb"/>
        <w:jc w:val="both"/>
      </w:pPr>
      <w:r w:rsidRPr="007B2FC8">
        <w:t>Sea como fuere, los expertos de Empleo y de Hacienda coinciden en señalar que, por doloroso que sea el juego de los factores de sostenibilidad, es necesario recurrir a ellos.</w:t>
      </w:r>
    </w:p>
    <w:p w:rsidR="008E6C3E" w:rsidRDefault="007B2FC8" w:rsidP="00550638">
      <w:pPr>
        <w:pStyle w:val="NormalWeb"/>
        <w:jc w:val="both"/>
      </w:pPr>
      <w:r w:rsidRPr="007B2FC8">
        <w:t>El deterioro del sistema de pensiones es ya de tal envergadura que no cabe conformarse con me</w:t>
      </w:r>
      <w:r>
        <w:t>ros cambios de los denominados “paramétricos”</w:t>
      </w:r>
      <w:r w:rsidRPr="007B2FC8">
        <w:t>, es decir, aquéllos que no van más allá de modificar los límites numéricos o de variables como la edad de jubilación.</w:t>
      </w:r>
    </w:p>
    <w:p w:rsidR="007B2FC8" w:rsidRPr="008E6C3E" w:rsidRDefault="003B6AC8" w:rsidP="00550638">
      <w:pPr>
        <w:pStyle w:val="NormalWeb"/>
        <w:jc w:val="both"/>
        <w:rPr>
          <w:u w:val="single"/>
        </w:rPr>
      </w:pPr>
      <w:r>
        <w:rPr>
          <w:u w:val="single"/>
        </w:rPr>
        <w:t>El</w:t>
      </w:r>
      <w:r w:rsidR="008E6C3E">
        <w:rPr>
          <w:u w:val="single"/>
        </w:rPr>
        <w:t xml:space="preserve"> “juego de números” de</w:t>
      </w:r>
      <w:r>
        <w:rPr>
          <w:u w:val="single"/>
        </w:rPr>
        <w:t xml:space="preserve"> los</w:t>
      </w:r>
      <w:r w:rsidR="008E6C3E">
        <w:rPr>
          <w:u w:val="single"/>
        </w:rPr>
        <w:t xml:space="preserve"> actuarios “sin pudor”: al final, l</w:t>
      </w:r>
      <w:r w:rsidR="007B2FC8" w:rsidRPr="008E6C3E">
        <w:rPr>
          <w:u w:val="single"/>
        </w:rPr>
        <w:t>os “paramétricos” dejarán a los pensionistas</w:t>
      </w:r>
      <w:r w:rsidR="006969D0">
        <w:rPr>
          <w:u w:val="single"/>
        </w:rPr>
        <w:t xml:space="preserve"> como</w:t>
      </w:r>
      <w:r w:rsidR="007B2FC8" w:rsidRPr="008E6C3E">
        <w:rPr>
          <w:u w:val="single"/>
        </w:rPr>
        <w:t xml:space="preserve"> </w:t>
      </w:r>
      <w:r w:rsidR="008E6C3E" w:rsidRPr="008E6C3E">
        <w:rPr>
          <w:u w:val="single"/>
        </w:rPr>
        <w:t>“parapléjicos” económicos</w:t>
      </w:r>
      <w:r w:rsidR="008E6C3E">
        <w:rPr>
          <w:u w:val="single"/>
        </w:rPr>
        <w:t xml:space="preserve"> (en el mejor de los casos</w:t>
      </w:r>
      <w:r w:rsidR="008E6C3E" w:rsidRPr="008E6C3E">
        <w:rPr>
          <w:u w:val="single"/>
        </w:rPr>
        <w:t>)</w:t>
      </w:r>
    </w:p>
    <w:p w:rsidR="007B2FC8" w:rsidRPr="008E6C3E" w:rsidRDefault="007B2FC8" w:rsidP="00550638">
      <w:pPr>
        <w:pStyle w:val="Ttulo1"/>
        <w:spacing w:line="240" w:lineRule="auto"/>
        <w:rPr>
          <w:rFonts w:ascii="Times New Roman" w:hAnsi="Times New Roman"/>
          <w:b w:val="0"/>
          <w:color w:val="auto"/>
          <w:sz w:val="24"/>
          <w:szCs w:val="24"/>
        </w:rPr>
      </w:pPr>
      <w:r w:rsidRPr="008E6C3E">
        <w:rPr>
          <w:rFonts w:ascii="Times New Roman" w:hAnsi="Times New Roman"/>
          <w:b w:val="0"/>
          <w:color w:val="auto"/>
          <w:sz w:val="24"/>
          <w:szCs w:val="24"/>
        </w:rPr>
        <w:t xml:space="preserve">- </w:t>
      </w:r>
      <w:r w:rsidRPr="008E6C3E">
        <w:rPr>
          <w:rFonts w:ascii="Times New Roman" w:hAnsi="Times New Roman"/>
          <w:b w:val="0"/>
          <w:color w:val="auto"/>
          <w:sz w:val="24"/>
          <w:szCs w:val="24"/>
          <w:u w:val="single"/>
        </w:rPr>
        <w:t>Los Retos del Factor de Sostenibilidad de las Pensiones</w:t>
      </w:r>
      <w:r w:rsidRPr="008E6C3E">
        <w:rPr>
          <w:rFonts w:ascii="Times New Roman" w:hAnsi="Times New Roman"/>
          <w:b w:val="0"/>
          <w:color w:val="auto"/>
          <w:sz w:val="24"/>
          <w:szCs w:val="24"/>
        </w:rPr>
        <w:t xml:space="preserve"> (Fedea - </w:t>
      </w:r>
      <w:r w:rsidRPr="008E6C3E">
        <w:rPr>
          <w:rFonts w:ascii="Times New Roman" w:hAnsi="Times New Roman"/>
          <w:color w:val="auto"/>
          <w:sz w:val="24"/>
          <w:szCs w:val="24"/>
        </w:rPr>
        <w:t>12/9/13</w:t>
      </w:r>
      <w:r w:rsidRPr="008E6C3E">
        <w:rPr>
          <w:rFonts w:ascii="Times New Roman" w:hAnsi="Times New Roman"/>
          <w:b w:val="0"/>
          <w:color w:val="auto"/>
          <w:sz w:val="24"/>
          <w:szCs w:val="24"/>
        </w:rPr>
        <w:t>)</w:t>
      </w:r>
    </w:p>
    <w:p w:rsidR="007B2FC8" w:rsidRPr="009A3C54" w:rsidRDefault="007B2FC8" w:rsidP="00550638">
      <w:pPr>
        <w:pStyle w:val="headlinemeta"/>
        <w:jc w:val="both"/>
      </w:pPr>
      <w:r>
        <w:t>(</w:t>
      </w:r>
      <w:r w:rsidRPr="009A3C54">
        <w:t xml:space="preserve">Por </w:t>
      </w:r>
      <w:hyperlink r:id="rId658" w:history="1">
        <w:r w:rsidRPr="008E6C3E">
          <w:rPr>
            <w:rStyle w:val="Hipervnculo"/>
            <w:rFonts w:eastAsiaTheme="majorEastAsia"/>
            <w:color w:val="auto"/>
          </w:rPr>
          <w:t>J. Ignacio Conde-Ruiz</w:t>
        </w:r>
      </w:hyperlink>
      <w:r w:rsidRPr="008E6C3E">
        <w:t xml:space="preserve"> </w:t>
      </w:r>
      <w:r>
        <w:t>)</w:t>
      </w:r>
      <w:r w:rsidR="008E6C3E">
        <w:t xml:space="preserve">                                                             Lectura recomendada</w:t>
      </w:r>
    </w:p>
    <w:p w:rsidR="007B2FC8" w:rsidRPr="009A3C54" w:rsidRDefault="007B2FC8" w:rsidP="00550638">
      <w:pPr>
        <w:pStyle w:val="NormalWeb"/>
        <w:jc w:val="both"/>
      </w:pPr>
      <w:r w:rsidRPr="009A3C54">
        <w:lastRenderedPageBreak/>
        <w:t>El Gobierno ha presentado recientemente una propuesta sobre el diseño del Factor del Sostenibilidad. Para la elaboración de dicha propuesta ha utilizado el Informe de los Expertos en el que tuve  el honor de part</w:t>
      </w:r>
      <w:r w:rsidR="008E6C3E">
        <w:t>icipar y que se puede descargar</w:t>
      </w:r>
      <w:r w:rsidRPr="009A3C54">
        <w:t>. El trabajo allí fue puramente técnico donde tratamos de aportar con total humildad nuestro conocimien</w:t>
      </w:r>
      <w:r w:rsidR="003B6AC8">
        <w:t>to al debate público siendo con</w:t>
      </w:r>
      <w:r w:rsidR="00494A8D">
        <w:t>s</w:t>
      </w:r>
      <w:r w:rsidR="003B6AC8" w:rsidRPr="009A3C54">
        <w:t>cientes</w:t>
      </w:r>
      <w:r w:rsidRPr="009A3C54">
        <w:t xml:space="preserve">, como no puede ser de otra forma,  que es en la arena del Parlamento donde se deben tomar las decisiones. En principio no pretendía escribir sobre este tema al haber formado parte del Comité, pero viendo las imprecisiones y malas interpretaciones que salen a menudo en los medios de comunicación y en el debate político me ha parecido oportuno aclarar algunos puntos. Primero explicare brevemente en </w:t>
      </w:r>
      <w:r w:rsidR="00494A8D" w:rsidRPr="009A3C54">
        <w:t>qué</w:t>
      </w:r>
      <w:r w:rsidRPr="009A3C54">
        <w:t xml:space="preserve"> consistió la propuesta.</w:t>
      </w:r>
    </w:p>
    <w:p w:rsidR="007B2FC8" w:rsidRPr="003B6AC8" w:rsidRDefault="007B2FC8" w:rsidP="00550638">
      <w:pPr>
        <w:pStyle w:val="NormalWeb"/>
        <w:jc w:val="both"/>
      </w:pPr>
      <w:r w:rsidRPr="003B6AC8">
        <w:rPr>
          <w:bCs/>
        </w:rPr>
        <w:t>¿Qué es el Factor de Sostenibilidad?</w:t>
      </w:r>
    </w:p>
    <w:p w:rsidR="007B2FC8" w:rsidRPr="009A3C54" w:rsidRDefault="003B6AC8" w:rsidP="00550638">
      <w:pPr>
        <w:pStyle w:val="NormalWeb"/>
        <w:jc w:val="both"/>
      </w:pPr>
      <w:r>
        <w:t>E</w:t>
      </w:r>
      <w:r w:rsidR="007B2FC8" w:rsidRPr="009A3C54">
        <w:t>n líneas generales no es más que reformar un sistema de  pensiones prestación definida como el español hacia otro de contribución definida.  </w:t>
      </w:r>
      <w:r w:rsidR="007B2FC8" w:rsidRPr="002C715D">
        <w:rPr>
          <w:u w:val="single"/>
        </w:rPr>
        <w:t>El sistema de pensiones en España es de reparto y de prestación definida. Que sea de prestación definida, indica que en cada momento del tiempo la tasa de sustitución de las pensiones está definida en función del historial laboral (i.e.  los años cotizados, salarios y edad de jubilación) y, por tanto, la pensión no tiene por qué estar calculada de acuerdo a criterios actuariales que garanticen el equilibrio financiero</w:t>
      </w:r>
      <w:r w:rsidR="007B2FC8" w:rsidRPr="009A3C54">
        <w:t xml:space="preserve">. </w:t>
      </w:r>
      <w:r w:rsidR="007B2FC8" w:rsidRPr="002C715D">
        <w:rPr>
          <w:u w:val="single"/>
        </w:rPr>
        <w:t>Pero incluso si el sistema estuviera definido tal que existiera un equilibrio actuarial entre lo cotizado y lo recibido, si cambiaran las variables demográficas relevantes el sistema (como la esperanza de vida) el sistema se desajustaría. El factor entre otras cosas permite el ajuste automático del sistema una realidad demográfica cambiante</w:t>
      </w:r>
      <w:r w:rsidR="007B2FC8" w:rsidRPr="009A3C54">
        <w:t>. No es de extrañar por tanto, que la mayoría de los países que tenían un sistema de prestación definida como el nuestro</w:t>
      </w:r>
      <w:r>
        <w:t>,</w:t>
      </w:r>
      <w:r w:rsidR="007B2FC8" w:rsidRPr="009A3C54">
        <w:t xml:space="preserve"> ya tengan incorporado un Factor de Sostenibilidad. En la página 32 a 34 del informe hay  descripción detallada de los Factores de Sostenibilidad en los distintos países.</w:t>
      </w:r>
    </w:p>
    <w:p w:rsidR="007B2FC8" w:rsidRPr="003B6AC8" w:rsidRDefault="007B2FC8" w:rsidP="00550638">
      <w:pPr>
        <w:pStyle w:val="NormalWeb"/>
        <w:jc w:val="both"/>
      </w:pPr>
      <w:r w:rsidRPr="003B6AC8">
        <w:rPr>
          <w:bCs/>
        </w:rPr>
        <w:t>¿Cuáles son las formulas detrás de la propuesta de los expertos?</w:t>
      </w:r>
    </w:p>
    <w:p w:rsidR="007B2FC8" w:rsidRPr="009A3C54" w:rsidRDefault="007B2FC8" w:rsidP="00550638">
      <w:pPr>
        <w:pStyle w:val="NormalWeb"/>
        <w:jc w:val="both"/>
      </w:pPr>
      <w:r w:rsidRPr="003B6AC8">
        <w:rPr>
          <w:color w:val="FF0000"/>
          <w:u w:val="single"/>
        </w:rPr>
        <w:t>Factor de Equidad Intergeneracional</w:t>
      </w:r>
      <w:r w:rsidRPr="003B6AC8">
        <w:rPr>
          <w:color w:val="FF0000"/>
        </w:rPr>
        <w:t xml:space="preserve"> (FEI), </w:t>
      </w:r>
      <w:r w:rsidRPr="009A3C54">
        <w:t>que actúa sólo sobre el cálculo de la pensión inicial y modera su crecimiento en función del aumento la esperanza de vida respecto a un año base. Se trata de un parámetro adicional que se suma a los ya existentes en el cálculo de la pensión inicial (base reguladora, años trabajados y edad de jubilación), sin interferir con las medidas adoptadas en la reforma de 2011. Su objetivo principal es tratar de manera igual a personas que se jubilen con la misma edad y con el mismo historial laboral pero en años diferentes y que, como consecuencia de su distinta esperanza de vida, terminen beneficiándose del sistema de pensiones durante un número de años muy distinto. En concreto la fórmula propuesta es:</w:t>
      </w:r>
    </w:p>
    <w:p w:rsidR="007B2FC8" w:rsidRPr="009A3C54" w:rsidRDefault="007B2FC8" w:rsidP="00550638">
      <w:pPr>
        <w:pStyle w:val="NormalWeb"/>
        <w:jc w:val="both"/>
      </w:pPr>
      <w:r w:rsidRPr="009A3C54">
        <w:rPr>
          <w:noProof/>
          <w:color w:val="0000FF"/>
        </w:rPr>
        <w:drawing>
          <wp:inline distT="0" distB="0" distL="0" distR="0" wp14:anchorId="57DA7D99" wp14:editId="74113750">
            <wp:extent cx="1111885" cy="636270"/>
            <wp:effectExtent l="0" t="0" r="0" b="0"/>
            <wp:docPr id="34" name="Imagen 34" descr="http://www.fedeablogs.net/economia/wp-content/uploads/formula11.png">
              <a:hlinkClick xmlns:a="http://schemas.openxmlformats.org/drawingml/2006/main" r:id="rId6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fedeablogs.net/economia/wp-content/uploads/formula11.png">
                      <a:hlinkClick r:id="rId659"/>
                    </pic:cNvPr>
                    <pic:cNvPicPr>
                      <a:picLocks noChangeAspect="1" noChangeArrowheads="1"/>
                    </pic:cNvPicPr>
                  </pic:nvPicPr>
                  <pic:blipFill>
                    <a:blip r:embed="rId660">
                      <a:extLst>
                        <a:ext uri="{28A0092B-C50C-407E-A947-70E740481C1C}">
                          <a14:useLocalDpi xmlns:a14="http://schemas.microsoft.com/office/drawing/2010/main" val="0"/>
                        </a:ext>
                      </a:extLst>
                    </a:blip>
                    <a:srcRect/>
                    <a:stretch>
                      <a:fillRect/>
                    </a:stretch>
                  </pic:blipFill>
                  <pic:spPr bwMode="auto">
                    <a:xfrm>
                      <a:off x="0" y="0"/>
                      <a:ext cx="1111885" cy="636270"/>
                    </a:xfrm>
                    <a:prstGeom prst="rect">
                      <a:avLst/>
                    </a:prstGeom>
                    <a:noFill/>
                    <a:ln>
                      <a:noFill/>
                    </a:ln>
                  </pic:spPr>
                </pic:pic>
              </a:graphicData>
            </a:graphic>
          </wp:inline>
        </w:drawing>
      </w:r>
    </w:p>
    <w:p w:rsidR="007B2FC8" w:rsidRPr="009A3C54" w:rsidRDefault="007B2FC8" w:rsidP="00550638">
      <w:pPr>
        <w:pStyle w:val="NormalWeb"/>
        <w:jc w:val="both"/>
      </w:pPr>
      <w:r w:rsidRPr="009A3C54">
        <w:t xml:space="preserve">donde </w:t>
      </w:r>
      <w:r w:rsidRPr="009A3C54">
        <w:rPr>
          <w:i/>
          <w:iCs/>
        </w:rPr>
        <w:t>e</w:t>
      </w:r>
      <w:r w:rsidRPr="009A3C54">
        <w:rPr>
          <w:i/>
          <w:iCs/>
          <w:vertAlign w:val="subscript"/>
        </w:rPr>
        <w:t>j,t+s</w:t>
      </w:r>
      <w:r w:rsidRPr="009A3C54">
        <w:t xml:space="preserve"> es la esperanza de vida a partir de los </w:t>
      </w:r>
      <w:r w:rsidRPr="009A3C54">
        <w:rPr>
          <w:i/>
          <w:iCs/>
        </w:rPr>
        <w:t xml:space="preserve">j </w:t>
      </w:r>
      <w:r w:rsidRPr="009A3C54">
        <w:t xml:space="preserve">años de un trabajador que se jubila en un momento determinado </w:t>
      </w:r>
      <w:r w:rsidRPr="009A3C54">
        <w:rPr>
          <w:i/>
          <w:iCs/>
        </w:rPr>
        <w:t>t+s</w:t>
      </w:r>
      <w:r w:rsidRPr="009A3C54">
        <w:t xml:space="preserve"> y </w:t>
      </w:r>
      <w:r w:rsidRPr="009A3C54">
        <w:rPr>
          <w:i/>
          <w:iCs/>
        </w:rPr>
        <w:t>e</w:t>
      </w:r>
      <w:r w:rsidRPr="009A3C54">
        <w:rPr>
          <w:i/>
          <w:iCs/>
          <w:vertAlign w:val="subscript"/>
        </w:rPr>
        <w:t>j,t</w:t>
      </w:r>
      <w:r w:rsidRPr="009A3C54">
        <w:t xml:space="preserve"> es la esperanza de vida de otro trabajador similar que también se jubila a la edad j pero </w:t>
      </w:r>
      <w:r w:rsidRPr="009A3C54">
        <w:rPr>
          <w:i/>
          <w:iCs/>
        </w:rPr>
        <w:t>s</w:t>
      </w:r>
      <w:r w:rsidRPr="009A3C54">
        <w:t xml:space="preserve"> años antes (i.e. en el periodo </w:t>
      </w:r>
      <w:r w:rsidRPr="009A3C54">
        <w:rPr>
          <w:i/>
          <w:iCs/>
        </w:rPr>
        <w:t>t</w:t>
      </w:r>
      <w:r w:rsidRPr="009A3C54">
        <w:t xml:space="preserve">). En la medida en que aumente la esperanza de vida, sabemos que </w:t>
      </w:r>
      <w:r w:rsidRPr="009A3C54">
        <w:rPr>
          <w:i/>
          <w:iCs/>
        </w:rPr>
        <w:t>e</w:t>
      </w:r>
      <w:r w:rsidRPr="009A3C54">
        <w:rPr>
          <w:i/>
          <w:iCs/>
          <w:vertAlign w:val="subscript"/>
        </w:rPr>
        <w:t>j,t+s</w:t>
      </w:r>
      <w:r w:rsidRPr="009A3C54">
        <w:t>&gt;</w:t>
      </w:r>
      <w:r w:rsidRPr="009A3C54">
        <w:rPr>
          <w:i/>
          <w:iCs/>
        </w:rPr>
        <w:t xml:space="preserve"> e</w:t>
      </w:r>
      <w:r w:rsidRPr="009A3C54">
        <w:rPr>
          <w:i/>
          <w:iCs/>
          <w:vertAlign w:val="subscript"/>
        </w:rPr>
        <w:t xml:space="preserve">j,t </w:t>
      </w:r>
      <w:r w:rsidRPr="009A3C54">
        <w:t xml:space="preserve"> , y por lo tanto la pensión que le corresponderá </w:t>
      </w:r>
      <w:r w:rsidR="003B6AC8" w:rsidRPr="009A3C54">
        <w:t>sería</w:t>
      </w:r>
      <w:r w:rsidRPr="009A3C54">
        <w:t xml:space="preserve"> menor. Es decir, si dos trabajadores de distintas generaciones con el mismo historial laboral (años cotizados y salarios) se jubilan a la misma edad, el </w:t>
      </w:r>
      <w:r w:rsidRPr="009A3C54">
        <w:lastRenderedPageBreak/>
        <w:t>trabajador de la generación con una mayor esperanza de vida recibirá en media, y a pesar de haber cotizado lo mismo,  un mayor montante en termino de pensiones a lo largo de su vida. Para corregirlo, este factor lo único que hace asegurar que ambos trabajadores perciban lo mismo en pensiones y para ello aquel que vivirá más años percibirá un poco menos cada año.</w:t>
      </w:r>
    </w:p>
    <w:p w:rsidR="007B2FC8" w:rsidRPr="009A3C54" w:rsidRDefault="007B2FC8" w:rsidP="00550638">
      <w:pPr>
        <w:pStyle w:val="NormalWeb"/>
        <w:jc w:val="both"/>
      </w:pPr>
      <w:r w:rsidRPr="009A3C54">
        <w:t xml:space="preserve">Este factor es estándar y existe en muchos otros países, como Portugal o Finlandia entre otros. Quizá por esto no ha levantado ninguna crítica, y parece ser aceptado por todos y según la información aparecida en la prensa también aparece en la propuesta del Gobierno. Según las previsiones del INE, el FEI implicará aproximadamente una caída del 5% de la pensión cada 10 años. Además, y Dios no lo quiera, es reversible o simétrico: si la esperanza de vida cae este factor FEI dará como resultado un aumento de las pensiones. Me gustaría también resaltar, que esto no implica necesariamente que las pensiones que recibirán los trabajadores futuros vayan a ser más bajas. Serán más bajas si se jubilan a la misma edad que lo hacen los trabajadores actuales, pero si viven </w:t>
      </w:r>
      <w:r w:rsidR="00494A8D" w:rsidRPr="009A3C54">
        <w:t>más</w:t>
      </w:r>
      <w:r w:rsidRPr="009A3C54">
        <w:t xml:space="preserve"> años, y deciden trabajar más años, entonces la bajada del FEI podrá ser compensada por el retraso de la edad de jubilación o el aumento de la contributividad. Tal como se </w:t>
      </w:r>
      <w:r w:rsidR="00494A8D" w:rsidRPr="009A3C54">
        <w:t>advierte</w:t>
      </w:r>
      <w:r w:rsidRPr="009A3C54">
        <w:t xml:space="preserve"> en el informe, para compensar la caída de la pensión debido al aumento de la esperanza de vida, será necesario introducir incentivos a la prolongación de la vida laboral.</w:t>
      </w:r>
    </w:p>
    <w:p w:rsidR="007B2FC8" w:rsidRPr="009A3C54" w:rsidRDefault="007B2FC8" w:rsidP="00550638">
      <w:pPr>
        <w:pStyle w:val="NormalWeb"/>
        <w:jc w:val="both"/>
      </w:pPr>
      <w:r w:rsidRPr="009A3C54">
        <w:t xml:space="preserve">El </w:t>
      </w:r>
      <w:r w:rsidRPr="002C715D">
        <w:rPr>
          <w:color w:val="FF0000"/>
          <w:u w:val="single"/>
        </w:rPr>
        <w:t>Factor de Revalorización Anual (FRA)</w:t>
      </w:r>
      <w:r w:rsidRPr="002C715D">
        <w:rPr>
          <w:color w:val="FF0000"/>
        </w:rPr>
        <w:t xml:space="preserve"> </w:t>
      </w:r>
      <w:r w:rsidRPr="009A3C54">
        <w:t>determina el crecimiento anual de las pensiones. Este factor, quizá por la complejidad de la fórmula propuesta, ha acaparado todas las críticas:</w:t>
      </w:r>
    </w:p>
    <w:p w:rsidR="003B6AC8" w:rsidRDefault="007B2FC8" w:rsidP="00550638">
      <w:pPr>
        <w:pStyle w:val="NormalWeb"/>
        <w:jc w:val="both"/>
      </w:pPr>
      <w:r w:rsidRPr="009A3C54">
        <w:rPr>
          <w:noProof/>
          <w:color w:val="0000FF"/>
        </w:rPr>
        <w:drawing>
          <wp:inline distT="0" distB="0" distL="0" distR="0" wp14:anchorId="5383E502" wp14:editId="05F55BC4">
            <wp:extent cx="2903855" cy="658495"/>
            <wp:effectExtent l="0" t="0" r="0" b="8255"/>
            <wp:docPr id="43" name="Imagen 43" descr="http://www.fedeablogs.net/economia/wp-content/uploads/formula-2.png">
              <a:hlinkClick xmlns:a="http://schemas.openxmlformats.org/drawingml/2006/main" r:id="rId6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fedeablogs.net/economia/wp-content/uploads/formula-2.png">
                      <a:hlinkClick r:id="rId661"/>
                    </pic:cNvPr>
                    <pic:cNvPicPr>
                      <a:picLocks noChangeAspect="1" noChangeArrowheads="1"/>
                    </pic:cNvPicPr>
                  </pic:nvPicPr>
                  <pic:blipFill>
                    <a:blip r:embed="rId662">
                      <a:extLst>
                        <a:ext uri="{28A0092B-C50C-407E-A947-70E740481C1C}">
                          <a14:useLocalDpi xmlns:a14="http://schemas.microsoft.com/office/drawing/2010/main" val="0"/>
                        </a:ext>
                      </a:extLst>
                    </a:blip>
                    <a:srcRect/>
                    <a:stretch>
                      <a:fillRect/>
                    </a:stretch>
                  </pic:blipFill>
                  <pic:spPr bwMode="auto">
                    <a:xfrm>
                      <a:off x="0" y="0"/>
                      <a:ext cx="2903855" cy="658495"/>
                    </a:xfrm>
                    <a:prstGeom prst="rect">
                      <a:avLst/>
                    </a:prstGeom>
                    <a:noFill/>
                    <a:ln>
                      <a:noFill/>
                    </a:ln>
                  </pic:spPr>
                </pic:pic>
              </a:graphicData>
            </a:graphic>
          </wp:inline>
        </w:drawing>
      </w:r>
    </w:p>
    <w:p w:rsidR="007B2FC8" w:rsidRPr="009A3C54" w:rsidRDefault="003B6AC8" w:rsidP="00550638">
      <w:pPr>
        <w:pStyle w:val="NormalWeb"/>
        <w:jc w:val="both"/>
      </w:pPr>
      <w:r>
        <w:t>D</w:t>
      </w:r>
      <w:r w:rsidR="007B2FC8" w:rsidRPr="009A3C54">
        <w:t xml:space="preserve">onde </w:t>
      </w:r>
      <w:r w:rsidR="007B2FC8" w:rsidRPr="009A3C54">
        <w:rPr>
          <w:i/>
          <w:iCs/>
        </w:rPr>
        <w:t>g</w:t>
      </w:r>
      <w:r w:rsidR="007B2FC8" w:rsidRPr="009A3C54">
        <w:rPr>
          <w:i/>
          <w:iCs/>
          <w:vertAlign w:val="subscript"/>
        </w:rPr>
        <w:t>I</w:t>
      </w:r>
      <w:r w:rsidR="007B2FC8" w:rsidRPr="009A3C54">
        <w:t xml:space="preserve">  es la tasa de crecimiento de los ingresos en términos reales, </w:t>
      </w:r>
      <w:r w:rsidR="007B2FC8" w:rsidRPr="009A3C54">
        <w:rPr>
          <w:i/>
          <w:iCs/>
        </w:rPr>
        <w:t>g</w:t>
      </w:r>
      <w:r w:rsidR="007B2FC8" w:rsidRPr="009A3C54">
        <w:rPr>
          <w:i/>
          <w:iCs/>
          <w:vertAlign w:val="subscript"/>
        </w:rPr>
        <w:t>P</w:t>
      </w:r>
      <w:r w:rsidR="007B2FC8" w:rsidRPr="009A3C54">
        <w:t xml:space="preserve">  la tasa de crecimiento del número de pensiones y </w:t>
      </w:r>
      <w:r w:rsidR="007B2FC8" w:rsidRPr="009A3C54">
        <w:rPr>
          <w:i/>
          <w:iCs/>
        </w:rPr>
        <w:t>g</w:t>
      </w:r>
      <w:r w:rsidR="007B2FC8" w:rsidRPr="009A3C54">
        <w:rPr>
          <w:i/>
          <w:iCs/>
          <w:vertAlign w:val="subscript"/>
        </w:rPr>
        <w:t>s</w:t>
      </w:r>
      <w:r w:rsidR="007B2FC8" w:rsidRPr="009A3C54">
        <w:t xml:space="preserve"> el incremento de la pensión media debido al efecto sustitución, por las diferencias entre las altas y bajas del sistema. Todas las variables aparecen definidas en términos nominales. El coeficiente α mide la velocidad a la que se corrigen los desequilibrios presupuestarios del sistema. Para que el ajuste fuera suave propusimos que las variables estuvieran en media móvil de al menos 11 periodos y que el valor de α esté entre 1/4 y 1/3.</w:t>
      </w:r>
    </w:p>
    <w:p w:rsidR="007B2FC8" w:rsidRPr="009A3C54" w:rsidRDefault="007B2FC8" w:rsidP="00550638">
      <w:pPr>
        <w:pStyle w:val="NormalWeb"/>
        <w:jc w:val="both"/>
      </w:pPr>
      <w:r w:rsidRPr="009A3C54">
        <w:t>Es cierto que la fórmula es compleja y levanto muchas suspicacias, incluso cuando comparecí en la Comisión del Pacto de Toledo,  algunos diputados preguntaban cómo había surgido la idea de esta fórmula. Pero la historia es muy simple, el factor FRA no es más que una restricción presupuestaria intertemporal de las que usamos los economistas todos los días. Es decir, proviene de la igualdad contable de que los ingresos tienen que ser iguales a los gastos (ver la página 38 del informe para el desarrollo algebraico entre ambas):</w:t>
      </w:r>
    </w:p>
    <w:p w:rsidR="007B2FC8" w:rsidRPr="009A3C54" w:rsidRDefault="007B2FC8" w:rsidP="00550638">
      <w:pPr>
        <w:pStyle w:val="NormalWeb"/>
        <w:jc w:val="both"/>
      </w:pPr>
      <w:r w:rsidRPr="009A3C54">
        <w:rPr>
          <w:noProof/>
          <w:color w:val="0000FF"/>
        </w:rPr>
        <w:drawing>
          <wp:inline distT="0" distB="0" distL="0" distR="0" wp14:anchorId="30CE201B" wp14:editId="6EB28499">
            <wp:extent cx="6737350" cy="409575"/>
            <wp:effectExtent l="0" t="0" r="0" b="0"/>
            <wp:docPr id="44" name="Imagen 44" descr="ecuacion3">
              <a:hlinkClick xmlns:a="http://schemas.openxmlformats.org/drawingml/2006/main" r:id="rId6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uacion3">
                      <a:hlinkClick r:id="rId663"/>
                    </pic:cNvPr>
                    <pic:cNvPicPr>
                      <a:picLocks noChangeAspect="1" noChangeArrowheads="1"/>
                    </pic:cNvPicPr>
                  </pic:nvPicPr>
                  <pic:blipFill>
                    <a:blip r:embed="rId664">
                      <a:extLst>
                        <a:ext uri="{28A0092B-C50C-407E-A947-70E740481C1C}">
                          <a14:useLocalDpi xmlns:a14="http://schemas.microsoft.com/office/drawing/2010/main" val="0"/>
                        </a:ext>
                      </a:extLst>
                    </a:blip>
                    <a:srcRect/>
                    <a:stretch>
                      <a:fillRect/>
                    </a:stretch>
                  </pic:blipFill>
                  <pic:spPr bwMode="auto">
                    <a:xfrm>
                      <a:off x="0" y="0"/>
                      <a:ext cx="6737350" cy="409575"/>
                    </a:xfrm>
                    <a:prstGeom prst="rect">
                      <a:avLst/>
                    </a:prstGeom>
                    <a:noFill/>
                    <a:ln>
                      <a:noFill/>
                    </a:ln>
                  </pic:spPr>
                </pic:pic>
              </a:graphicData>
            </a:graphic>
          </wp:inline>
        </w:drawing>
      </w:r>
      <w:r w:rsidRPr="009A3C54">
        <w:t xml:space="preserve">Es decir, el FRA solo pretende imponer una condición de equilibrio presupuestario a largo plazo. Alguien podría pensar si no se podría haber encontrado una formulación </w:t>
      </w:r>
      <w:r w:rsidRPr="009A3C54">
        <w:lastRenderedPageBreak/>
        <w:t>más sencilla. Yo soy el primero que prefiero las cosas sencillas que la gente entienda y me parece bien sacrificar rigor por sencillez. Pero en este caso la complejidad viene para garantizar que los cambios sean lo más suaves y justos posibles para los trabajadores.</w:t>
      </w:r>
    </w:p>
    <w:p w:rsidR="007B2FC8" w:rsidRPr="00DC5B95" w:rsidRDefault="007B2FC8" w:rsidP="00550638">
      <w:pPr>
        <w:pStyle w:val="NormalWeb"/>
        <w:jc w:val="both"/>
      </w:pPr>
      <w:r w:rsidRPr="009A3C54">
        <w:t xml:space="preserve">Es otras palabras el factor de sostenibilidad propuesto es más amplio, completo, flexible y eficaz que el de otros países europeos, convirtiéndose en un Factor de Sostenibilidad  llamado de tercera generación. No porque sea tres veces más duro que cualquier otro en Europa como han malinterpretado algunos, sino por todo lo contrario. De hecho, el FEI es el prototipo de un factor de sostenibilidad de primera generación existente en algunos países: solo corrige por la esperanza de vida. El factor de sostenibilidad alemán sería el prototipo de la segunda generación: corrige por evolución de la ratio entre cotizantes y pensionistas. Gracias al FRA, el factor de sostenibilidad propuesto por el Comité de Expertos va mucho allá y permite considerar todos los determinantes presentes y futuros del equilibrio presupuestario del sistema, incluidos los </w:t>
      </w:r>
      <w:r w:rsidRPr="00DC5B95">
        <w:rPr>
          <w:bCs/>
        </w:rPr>
        <w:t>ingresos</w:t>
      </w:r>
      <w:r w:rsidRPr="00DC5B95">
        <w:t>.</w:t>
      </w:r>
    </w:p>
    <w:p w:rsidR="007B2FC8" w:rsidRPr="003B6AC8" w:rsidRDefault="007B2FC8" w:rsidP="00550638">
      <w:pPr>
        <w:pStyle w:val="NormalWeb"/>
        <w:jc w:val="both"/>
      </w:pPr>
      <w:r w:rsidRPr="003B6AC8">
        <w:rPr>
          <w:bCs/>
        </w:rPr>
        <w:t>¿Qué es necesario aclarar y cuáles son los retos del Factor de Sostenibilidad propuesto por el Gobierno?</w:t>
      </w:r>
    </w:p>
    <w:p w:rsidR="007B2FC8" w:rsidRPr="002C715D" w:rsidRDefault="007B2FC8" w:rsidP="00550638">
      <w:pPr>
        <w:pStyle w:val="NormalWeb"/>
        <w:jc w:val="both"/>
        <w:rPr>
          <w:u w:val="single"/>
        </w:rPr>
      </w:pPr>
      <w:r w:rsidRPr="009A3C54">
        <w:t xml:space="preserve">En primer lugar, resaltar que en el hecho de que el Factor propuesto por los expertos permita tocar los ingresos está el “quid” de la cuestión y que por lo leído en prensa y a pesar de que han pasado ya unos meses desde que hicimos el informe creo no se ha llegado a entender. </w:t>
      </w:r>
      <w:r w:rsidRPr="002C715D">
        <w:rPr>
          <w:u w:val="single"/>
        </w:rPr>
        <w:t>El objetivo del FRA es sencillo y no es más que garantizar que cuando se decida la regla de revalorización de las pensiones haya ingresos suficientes para poderla cumplir. Es decir que se cumpla una restricción presupuestaria. En el cumplimiento de la restricción presupuestaria o del FRA es donde juega un papel crucial la posibilidad de dotar al sistema de mayores ingresos</w:t>
      </w:r>
      <w:r w:rsidRPr="009A3C54">
        <w:t xml:space="preserve">. Y por lo tanto, por definición, la propuesta de los expertos deja un grado de libertad al Parlamento a la hora de decidir la regla de revalorización: los ingresos. Esto significa que existen innumerables reglas de indexación compatibles con el FRA y que es el Parlamento quien debe establecer que regla implementar. </w:t>
      </w:r>
      <w:r w:rsidRPr="002C715D">
        <w:rPr>
          <w:u w:val="single"/>
        </w:rPr>
        <w:t>Y luego si para que se cumpla que los ingresos sean iguales a los gastos (i.e. se cumpla FRA) es necesario aumentar los ingresos puede hacerlo.</w:t>
      </w:r>
    </w:p>
    <w:p w:rsidR="007B2FC8" w:rsidRPr="009A3C54" w:rsidRDefault="007B2FC8" w:rsidP="00550638">
      <w:pPr>
        <w:pStyle w:val="NormalWeb"/>
        <w:jc w:val="both"/>
      </w:pPr>
      <w:r w:rsidRPr="009A3C54">
        <w:t>Algunas críticas apuntan a que si la regla actual de revalorización con el IPC funcionaba perfectamente ¿por qué se debe cambiar ahora</w:t>
      </w:r>
      <w:r w:rsidR="00494A8D" w:rsidRPr="009A3C54">
        <w:t>?</w:t>
      </w:r>
      <w:r w:rsidRPr="009A3C54">
        <w:t xml:space="preserve"> Esta crítica es injusta por dos motivos. Primero porque no es cierto: la actual regla de indexación de las pensiones con el IPC de noviembre entró en vigor en 1997 y no ha sido capaz de mantener el compromiso en la primera crisis desde su creación: en 2011 se congelaron las pensiones, en 2012 no se compenso por la desviación de inflación en noviembre. Y si finalmente se cumple en 2013 será solo porque la inflación este año es históricamente baja. Y segundo, porque lo responsable es afrontar los problemas no ocultarlos. El FRA solo introduce transparencia y da información a los ciudadanos sobre la solvencia del sistema. Eso </w:t>
      </w:r>
      <w:r w:rsidR="00494A8D" w:rsidRPr="009A3C54">
        <w:t>sí</w:t>
      </w:r>
      <w:r w:rsidRPr="009A3C54">
        <w:t xml:space="preserve"> siempre y cuando se diseñe siguiendo las pautas del informe de los expertos. Es decir, donde los parámetros clave, como el coeficiente α, sean estables y no se decidan cada año como algunos parecen defender. Esto, en mi opinión, es lo responsable. ¿Quiere esto decir que la regla actual de revalorización con el IPC de noviembre no es válida? pues no, esta regla sería perfectamente compatible con el FRA. Requerirá dotar de más </w:t>
      </w:r>
      <w:r w:rsidRPr="009A3C54">
        <w:lastRenderedPageBreak/>
        <w:t>ingresos al sistema. Por lo tanto la propuesta de los expertos no implica directamente desligar las pensiones del IPC.</w:t>
      </w:r>
    </w:p>
    <w:p w:rsidR="007B2FC8" w:rsidRPr="009A3C54" w:rsidRDefault="007B2FC8" w:rsidP="00550638">
      <w:pPr>
        <w:pStyle w:val="NormalWeb"/>
        <w:jc w:val="both"/>
      </w:pPr>
      <w:r w:rsidRPr="009A3C54">
        <w:t xml:space="preserve">Otra </w:t>
      </w:r>
      <w:r w:rsidR="003B6AC8" w:rsidRPr="009A3C54">
        <w:t>crítica</w:t>
      </w:r>
      <w:r w:rsidRPr="009A3C54">
        <w:t xml:space="preserve"> recurrente es que la propuesta de los expertos es muy muy volátil. Esto como ya el lector puede entender también es falso, pues depende de cómo se calcule. Y como he dicho el FRA permite muchas reglas de indexación.</w:t>
      </w:r>
    </w:p>
    <w:p w:rsidR="007B2FC8" w:rsidRPr="009A3C54" w:rsidRDefault="007B2FC8" w:rsidP="00550638">
      <w:pPr>
        <w:pStyle w:val="NormalWeb"/>
        <w:jc w:val="both"/>
      </w:pPr>
      <w:r w:rsidRPr="009A3C54">
        <w:t xml:space="preserve">La propuesta del Gobierno en lo que se refiere al FRA, por lo que ha salido en </w:t>
      </w:r>
      <w:hyperlink r:id="rId665" w:history="1">
        <w:r w:rsidRPr="003B6AC8">
          <w:rPr>
            <w:rStyle w:val="Hipervnculo"/>
            <w:rFonts w:eastAsiaTheme="majorEastAsia"/>
            <w:color w:val="auto"/>
          </w:rPr>
          <w:t>prensa</w:t>
        </w:r>
      </w:hyperlink>
      <w:r w:rsidRPr="003B6AC8">
        <w:t xml:space="preserve">, </w:t>
      </w:r>
      <w:r w:rsidRPr="009A3C54">
        <w:t xml:space="preserve">ha sido poner un suelo y un techo a la revalorización de las pensiones. En concreto un suelo de que las  pensiones al menos deberán subir un 0,25% y un techo de IPC+0,25%. La introducción de un tope máximo y mínimo en la revalorización de las pensiones no es una novedad, dado que el documento de los expertos también lo contemplaba (ver </w:t>
      </w:r>
      <w:r w:rsidR="00494A8D" w:rsidRPr="009A3C54">
        <w:t>pág.</w:t>
      </w:r>
      <w:r w:rsidRPr="009A3C54">
        <w:t xml:space="preserve"> 23 del informe). Lo que ha hecho el ejecutivo ha sido especificar dichos topes.</w:t>
      </w:r>
    </w:p>
    <w:p w:rsidR="007B2FC8" w:rsidRPr="009A3C54" w:rsidRDefault="007B2FC8" w:rsidP="00550638">
      <w:pPr>
        <w:pStyle w:val="NormalWeb"/>
        <w:jc w:val="both"/>
      </w:pPr>
      <w:r w:rsidRPr="009A3C54">
        <w:t>Respecto al momento de entrada en vigor, la propuesta de los expertos proponía que ambos factores deberían entrar antes de 2019.  La propuesta del gobierno también entra dentro de la recomendación, pues han anunciado que el FEI entrará en vigor en 2019, mientras que el FRA lo haría en 2014.</w:t>
      </w:r>
    </w:p>
    <w:p w:rsidR="007B2FC8" w:rsidRPr="009A3C54" w:rsidRDefault="007B2FC8" w:rsidP="00550638">
      <w:pPr>
        <w:pStyle w:val="NormalWeb"/>
        <w:jc w:val="both"/>
      </w:pPr>
      <w:r w:rsidRPr="009A3C54">
        <w:t xml:space="preserve">Una vez analizada la propuesta del Gobierno, lo sorprendente es que algunos medios advierten que esta </w:t>
      </w:r>
      <w:hyperlink r:id="rId666" w:history="1">
        <w:r w:rsidRPr="003B6AC8">
          <w:rPr>
            <w:rStyle w:val="Hipervnculo"/>
            <w:rFonts w:eastAsiaTheme="majorEastAsia"/>
            <w:color w:val="auto"/>
          </w:rPr>
          <w:t>propuesta</w:t>
        </w:r>
      </w:hyperlink>
      <w:r w:rsidRPr="009A3C54">
        <w:t xml:space="preserve"> ha suavizado la de los expertos. Incluso algunos dirigentes alardean de que la propuesta del ejecutivo ha mejorado la propuesta de los expertos.  Esto tampoco es correcto. Lo que ocurre es que muchos han mal interpretado, y siguen mal interpretando que la propuesta de los expertos es la regla que sale de nuestra ecuación del FRA si no se tocan los impuestos. Nuevamente esto no es cierto como ya he indicado anteriormente.</w:t>
      </w:r>
    </w:p>
    <w:p w:rsidR="007B2FC8" w:rsidRPr="009A3C54" w:rsidRDefault="007B2FC8" w:rsidP="00550638">
      <w:pPr>
        <w:pStyle w:val="NormalWeb"/>
        <w:jc w:val="both"/>
      </w:pPr>
      <w:r w:rsidRPr="009A3C54">
        <w:t xml:space="preserve">Estamos en medio del proceso de negociación y espero que al final se alcance un acuerdo dentro del Dialogo Social tal como ocurrió con la Reforma del año 2011. Pero hay una cosa que fácil de entender, dada la crisis actual  y el proceso de envejecimiento que tenemos por delante, en ausencia de reformas, los ingresos del sistema serán inferiores a los gastos por muchos años. Y esto significaría que si nada cambia tendremos un periodo de semi-congelación del 0,25% relativamente largo. No obstante, como hemos dicho para conseguir equilibrar el presupuesto de la Seguridad Social hay otras vías distintas a la congelación de las pensiones. Por un lado,  se pueden introducir reformas que reduzcan los gastos. Estas, por ejemplo,  deberían ir a reforzar la contributividad como considerar toda la vida laboral para el cómputo de la pensión, o en definitiva introducir reformas para hacer el sistema más justo estrechando la relación entre lo cotizado y lo percibido. Por otro lado,  se pueden aumentar los ingresos. Aquí, por ejemplo, dada nuestra situación del mercado de trabajo en mi opinión no se deberían aumentar las cotizaciones por lo que la vía, en el caso de que se decidiera dotar de más ingresos, debería ser a través de otros ingresos como el IVA. O alternativamente que los Presupuestos Generales se ocuparan de financiar las pensiones de viudedad como ya hacen con los Complementos a  Mínimos.  Estos son solo unos ejemplos, pero son una prueba de que en el ámbito de las pensiones hay muchas cosas que se pueden hacer. De hecho, en ausencia de reformas que contengan el gasto si se aprueba el Factor de Sostenibilidad tal como se ha anunciado,  se dejará como única vía para cumplir la restricción presupuestaria (o el FRA) la congelación de las pensiones. Sabemos que un periodo de congelación de las pensiones suficientemente largo conseguiría un equilibrio presupuestario. Pero esta vía no parece muy razonable pues en términos de poder </w:t>
      </w:r>
      <w:r w:rsidRPr="009A3C54">
        <w:lastRenderedPageBreak/>
        <w:t xml:space="preserve">adquisitivo la pensión que percibirá un jubilado será menor con el paso del tiempo. Y </w:t>
      </w:r>
      <w:r w:rsidR="00494A8D" w:rsidRPr="009A3C54">
        <w:t>esto</w:t>
      </w:r>
      <w:r w:rsidRPr="009A3C54">
        <w:t xml:space="preserve"> no tendría ningún sentido salvo que el perfil de consumo de los jubilados sea decreciente con la edad. Y esto no parece  ser cierto si tenemos en cuenta que con la edad al empeorar la salud se requieren más cuidados y atenciones.</w:t>
      </w:r>
    </w:p>
    <w:p w:rsidR="007B2FC8" w:rsidRDefault="007B2FC8" w:rsidP="00550638">
      <w:pPr>
        <w:pStyle w:val="NormalWeb"/>
        <w:jc w:val="both"/>
      </w:pPr>
      <w:r w:rsidRPr="009A3C54">
        <w:t xml:space="preserve">En definitiva, la propuesta simplemente ha establecido unas reglas para garantizar unas pensiones sostenibles a las futuras generaciones. Y lo hace obligando a que los ingresos y los gastos se igualen en el medio plazo. Pero, y como no podía ser de otra forma, se ha dejado en el Parlamento el diseño final del sistema de pensiones que queremos. Sea cual sea el resultado final, lo que </w:t>
      </w:r>
      <w:r w:rsidR="003B6AC8" w:rsidRPr="009A3C54">
        <w:t>está</w:t>
      </w:r>
      <w:r w:rsidRPr="009A3C54">
        <w:t xml:space="preserve"> claro es que este tiene que  ser sostenible. Sea cual sea la regla de revalorización que decidan nuestros parlamentarios se tiene que cumplir la restricción presupuestaria (i.e. el FRA): no se puede repartir lo que no se tiene. Confió que haya un debate abierto y honesto entre toda la sociedad y que a final consigamos preservar nuestro sistema de pensiones </w:t>
      </w:r>
      <w:r w:rsidR="003B6AC8" w:rsidRPr="009A3C54">
        <w:t>público</w:t>
      </w:r>
      <w:r w:rsidRPr="009A3C54">
        <w:t xml:space="preserve"> y de reparto para las  futuras generaciones. Y para ello será necesario avanzar en las reformas y no dejar todo en manos del cumplimiento de una restricción presupuestaria.</w:t>
      </w:r>
    </w:p>
    <w:p w:rsidR="003B6AC8" w:rsidRPr="003B6AC8" w:rsidRDefault="003B6AC8" w:rsidP="00550638">
      <w:pPr>
        <w:pStyle w:val="NormalWeb"/>
        <w:jc w:val="both"/>
        <w:rPr>
          <w:u w:val="single"/>
        </w:rPr>
      </w:pPr>
      <w:r w:rsidRPr="003B6AC8">
        <w:rPr>
          <w:u w:val="single"/>
        </w:rPr>
        <w:t xml:space="preserve">Entre el FEI y el FRA, todos </w:t>
      </w:r>
      <w:r w:rsidR="00090562">
        <w:rPr>
          <w:u w:val="single"/>
        </w:rPr>
        <w:t>‘</w:t>
      </w:r>
      <w:r w:rsidRPr="003B6AC8">
        <w:rPr>
          <w:u w:val="single"/>
        </w:rPr>
        <w:t>fritos</w:t>
      </w:r>
      <w:r w:rsidR="00090562">
        <w:rPr>
          <w:u w:val="single"/>
        </w:rPr>
        <w:t>’</w:t>
      </w:r>
      <w:r>
        <w:rPr>
          <w:u w:val="single"/>
        </w:rPr>
        <w:t xml:space="preserve"> (</w:t>
      </w:r>
      <w:r w:rsidR="00090562">
        <w:rPr>
          <w:u w:val="single"/>
        </w:rPr>
        <w:t xml:space="preserve">mentiras que matan: </w:t>
      </w:r>
      <w:r>
        <w:rPr>
          <w:u w:val="single"/>
        </w:rPr>
        <w:t>la única verdad es la realidad</w:t>
      </w:r>
      <w:r w:rsidRPr="003B6AC8">
        <w:rPr>
          <w:u w:val="single"/>
        </w:rPr>
        <w:t>)</w:t>
      </w:r>
    </w:p>
    <w:p w:rsidR="007B2FC8" w:rsidRPr="002F117E" w:rsidRDefault="007B2FC8" w:rsidP="0055063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F60CB">
        <w:rPr>
          <w:rFonts w:ascii="Times New Roman" w:eastAsia="Times New Roman" w:hAnsi="Times New Roman" w:cs="Times New Roman"/>
          <w:sz w:val="24"/>
          <w:szCs w:val="24"/>
          <w:u w:val="single"/>
        </w:rPr>
        <w:t>Cuatro claves sobre su futura pensión que Báñez nunca le contará</w:t>
      </w:r>
      <w:r>
        <w:rPr>
          <w:rFonts w:ascii="Times New Roman" w:eastAsia="Times New Roman" w:hAnsi="Times New Roman" w:cs="Times New Roman"/>
          <w:sz w:val="24"/>
          <w:szCs w:val="24"/>
        </w:rPr>
        <w:t xml:space="preserve"> (Libertad Digital - </w:t>
      </w:r>
      <w:r w:rsidRPr="006F60CB">
        <w:rPr>
          <w:rFonts w:ascii="Times New Roman" w:eastAsia="Times New Roman" w:hAnsi="Times New Roman" w:cs="Times New Roman"/>
          <w:b/>
          <w:sz w:val="24"/>
          <w:szCs w:val="24"/>
        </w:rPr>
        <w:t>13/9/13</w:t>
      </w:r>
      <w:r>
        <w:rPr>
          <w:rFonts w:ascii="Times New Roman" w:eastAsia="Times New Roman" w:hAnsi="Times New Roman" w:cs="Times New Roman"/>
          <w:sz w:val="24"/>
          <w:szCs w:val="24"/>
        </w:rPr>
        <w:t>)</w:t>
      </w:r>
      <w:r w:rsidR="003B6AC8">
        <w:rPr>
          <w:rFonts w:ascii="Times New Roman" w:eastAsia="Times New Roman" w:hAnsi="Times New Roman" w:cs="Times New Roman"/>
          <w:sz w:val="24"/>
          <w:szCs w:val="24"/>
        </w:rPr>
        <w:t xml:space="preserve">     </w:t>
      </w:r>
    </w:p>
    <w:p w:rsidR="007B2FC8" w:rsidRPr="002F117E" w:rsidRDefault="007B2FC8" w:rsidP="00550638">
      <w:pPr>
        <w:spacing w:after="0" w:line="240" w:lineRule="auto"/>
        <w:jc w:val="both"/>
        <w:rPr>
          <w:rFonts w:ascii="Times New Roman" w:eastAsia="Times New Roman" w:hAnsi="Times New Roman" w:cs="Times New Roman"/>
          <w:sz w:val="24"/>
          <w:szCs w:val="24"/>
        </w:rPr>
      </w:pPr>
    </w:p>
    <w:p w:rsidR="007B2FC8" w:rsidRDefault="007B2FC8" w:rsidP="00550638">
      <w:pPr>
        <w:spacing w:after="0" w:line="240" w:lineRule="auto"/>
        <w:jc w:val="both"/>
        <w:rPr>
          <w:rFonts w:ascii="Times New Roman" w:eastAsia="Times New Roman" w:hAnsi="Times New Roman" w:cs="Times New Roman"/>
          <w:sz w:val="24"/>
          <w:szCs w:val="24"/>
        </w:rPr>
      </w:pPr>
      <w:r w:rsidRPr="002F117E">
        <w:rPr>
          <w:rFonts w:ascii="Times New Roman" w:eastAsia="Times New Roman" w:hAnsi="Times New Roman" w:cs="Times New Roman"/>
          <w:sz w:val="24"/>
          <w:szCs w:val="24"/>
        </w:rPr>
        <w:t>La ministra intenta tranquilizar a los futuros jubilados con sus declaraciones, pero oculta datos que los trabajadores deberían conocer.</w:t>
      </w:r>
    </w:p>
    <w:p w:rsidR="007B2FC8" w:rsidRDefault="007B2FC8" w:rsidP="00550638">
      <w:pPr>
        <w:spacing w:after="0" w:line="240" w:lineRule="auto"/>
        <w:jc w:val="both"/>
        <w:rPr>
          <w:rFonts w:ascii="Times New Roman" w:eastAsia="Times New Roman" w:hAnsi="Times New Roman" w:cs="Times New Roman"/>
          <w:sz w:val="24"/>
          <w:szCs w:val="24"/>
        </w:rPr>
      </w:pPr>
    </w:p>
    <w:p w:rsidR="007B2FC8" w:rsidRDefault="007B2FC8" w:rsidP="00550638">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D. Soriano)</w:t>
      </w:r>
      <w:r w:rsidR="003B6AC8">
        <w:rPr>
          <w:rFonts w:ascii="Times New Roman" w:eastAsia="Times New Roman" w:hAnsi="Times New Roman" w:cs="Times New Roman"/>
          <w:sz w:val="24"/>
          <w:szCs w:val="24"/>
        </w:rPr>
        <w:t xml:space="preserve">                                                                                Lectura recomendada</w:t>
      </w:r>
    </w:p>
    <w:p w:rsidR="007B2FC8" w:rsidRPr="006F60CB" w:rsidRDefault="007B2FC8" w:rsidP="00550638">
      <w:pPr>
        <w:pStyle w:val="NormalWeb"/>
        <w:jc w:val="both"/>
      </w:pPr>
      <w:r w:rsidRPr="006F60CB">
        <w:t xml:space="preserve">Probablemente, ningún asunto debería ser mejor explicado a los españoles que las reformas de las pensiones. Todos los gobiernos de la democracia han aprobado cambios en el sistema público. Y todos han repetido más o menos las mismas palabras: </w:t>
      </w:r>
      <w:r w:rsidR="003B6AC8" w:rsidRPr="00DC5B95">
        <w:rPr>
          <w:b/>
        </w:rPr>
        <w:t>“</w:t>
      </w:r>
      <w:r w:rsidR="003B6AC8" w:rsidRPr="00DC5B95">
        <w:rPr>
          <w:rStyle w:val="Textoennegrita"/>
          <w:b w:val="0"/>
        </w:rPr>
        <w:t>sostenibilidad”, “garantía”, “jubilados del futuro”, “</w:t>
      </w:r>
      <w:r w:rsidRPr="00DC5B95">
        <w:rPr>
          <w:rStyle w:val="Textoennegrita"/>
          <w:b w:val="0"/>
        </w:rPr>
        <w:t>generosidad</w:t>
      </w:r>
      <w:r w:rsidR="003B6AC8" w:rsidRPr="00DC5B95">
        <w:rPr>
          <w:b/>
        </w:rPr>
        <w:t>”</w:t>
      </w:r>
      <w:r w:rsidRPr="00DC5B95">
        <w:rPr>
          <w:b/>
        </w:rPr>
        <w:t xml:space="preserve">,... </w:t>
      </w:r>
      <w:r w:rsidRPr="006F60CB">
        <w:t xml:space="preserve">Este viernes, </w:t>
      </w:r>
      <w:hyperlink r:id="rId667" w:history="1">
        <w:r w:rsidRPr="003B6AC8">
          <w:rPr>
            <w:rStyle w:val="Hipervnculo"/>
            <w:rFonts w:eastAsiaTheme="majorEastAsia"/>
            <w:color w:val="auto"/>
          </w:rPr>
          <w:t>Fátima Báñez</w:t>
        </w:r>
      </w:hyperlink>
      <w:r w:rsidRPr="003B6AC8">
        <w:t xml:space="preserve">, tras el </w:t>
      </w:r>
      <w:hyperlink r:id="rId668" w:history="1">
        <w:r w:rsidRPr="003B6AC8">
          <w:rPr>
            <w:rStyle w:val="Hipervnculo"/>
            <w:rFonts w:eastAsiaTheme="majorEastAsia"/>
            <w:color w:val="auto"/>
          </w:rPr>
          <w:t>Consejo de Ministros</w:t>
        </w:r>
      </w:hyperlink>
      <w:r w:rsidR="003B6AC8">
        <w:t xml:space="preserve"> que aprobó el “</w:t>
      </w:r>
      <w:r w:rsidRPr="006F60CB">
        <w:t xml:space="preserve">informe sobre la propuesta de regulación de regulación del factor de sostenibilidad y del índice de </w:t>
      </w:r>
      <w:r w:rsidR="003B6AC8">
        <w:t>revalorización de las pensiones”</w:t>
      </w:r>
      <w:r w:rsidRPr="006F60CB">
        <w:t xml:space="preserve"> recurrió a estos mismos tópicos.</w:t>
      </w:r>
    </w:p>
    <w:p w:rsidR="007B2FC8" w:rsidRPr="006F60CB" w:rsidRDefault="007B2FC8" w:rsidP="00550638">
      <w:pPr>
        <w:pStyle w:val="NormalWeb"/>
        <w:jc w:val="both"/>
      </w:pPr>
      <w:r w:rsidRPr="006F60CB">
        <w:t>Habrá quien diga que esto es lo normal. Que los políticos se esconden detrás de este lenguaje cada día. Con más eslóganes que contenido y mucho miedo por salirse de lo políticamente correcto. Puede ser cierto, pero en lo que hace referencia a las</w:t>
      </w:r>
      <w:r w:rsidRPr="006F60CB">
        <w:rPr>
          <w:rStyle w:val="Textoennegrita"/>
        </w:rPr>
        <w:t xml:space="preserve"> </w:t>
      </w:r>
      <w:r w:rsidRPr="00DC5B95">
        <w:rPr>
          <w:rStyle w:val="Textoennegrita"/>
          <w:b w:val="0"/>
        </w:rPr>
        <w:t>prestaciones de jubilación</w:t>
      </w:r>
      <w:r w:rsidRPr="006F60CB">
        <w:t xml:space="preserve"> no debería ser así. Si hay alguna cuestión que tendría que estar meridianamente clara para todos los afectados es ésta.</w:t>
      </w:r>
    </w:p>
    <w:p w:rsidR="007B2FC8" w:rsidRPr="0032052E" w:rsidRDefault="007B2FC8" w:rsidP="00550638">
      <w:pPr>
        <w:pStyle w:val="NormalWeb"/>
        <w:jc w:val="both"/>
        <w:rPr>
          <w:u w:val="single"/>
        </w:rPr>
      </w:pPr>
      <w:r w:rsidRPr="0032052E">
        <w:rPr>
          <w:u w:val="single"/>
        </w:rPr>
        <w:t xml:space="preserve">Escuchando a sus dirigentes, un trabajador de nivel medio de 30 </w:t>
      </w:r>
      <w:r w:rsidR="00587466" w:rsidRPr="0032052E">
        <w:rPr>
          <w:u w:val="single"/>
        </w:rPr>
        <w:t>o</w:t>
      </w:r>
      <w:r w:rsidRPr="0032052E">
        <w:rPr>
          <w:u w:val="single"/>
        </w:rPr>
        <w:t xml:space="preserve"> 40 años, sin conocimientos económicos y sólo en parte interesado por la actualidad podría llegar a pensar que no hay ningún tipo de problema con el sistema público de pensiones. Cada día, en las noticias, escucha a alguien decirle que cobrará una prestación similar a la que ahora mismo cobra su padre. Aunque parezca poco importante, lo cierto es que las</w:t>
      </w:r>
      <w:r w:rsidRPr="0032052E">
        <w:rPr>
          <w:rStyle w:val="Textoennegrita"/>
          <w:u w:val="single"/>
        </w:rPr>
        <w:t xml:space="preserve"> </w:t>
      </w:r>
      <w:r w:rsidRPr="00DC5B95">
        <w:rPr>
          <w:rStyle w:val="Textoennegrita"/>
          <w:b w:val="0"/>
          <w:u w:val="single"/>
        </w:rPr>
        <w:t>decisiones que tomará en materia de ahorro e inversión</w:t>
      </w:r>
      <w:r w:rsidRPr="0032052E">
        <w:rPr>
          <w:rStyle w:val="Textoennegrita"/>
          <w:u w:val="single"/>
        </w:rPr>
        <w:t xml:space="preserve"> </w:t>
      </w:r>
      <w:r w:rsidRPr="0032052E">
        <w:rPr>
          <w:u w:val="single"/>
        </w:rPr>
        <w:t>estarán influidas por estos mensajes. ¿Qué pasará si cuando cumpla 65 años se encuentra con que su paga no es tan alta como preveía? ¿A quién le pedirá cuentas?</w:t>
      </w:r>
    </w:p>
    <w:p w:rsidR="007B2FC8" w:rsidRPr="006F60CB" w:rsidRDefault="007B2FC8" w:rsidP="00550638">
      <w:pPr>
        <w:pStyle w:val="NormalWeb"/>
        <w:jc w:val="both"/>
      </w:pPr>
      <w:r w:rsidRPr="006F60CB">
        <w:lastRenderedPageBreak/>
        <w:t xml:space="preserve">Los ingresos y los gastos de la Seguridad Social siguen una tendencia difícil de cambiar en el corto plazo. Si el sistema tiene problemas, habría que enfrentarlos cuanto antes. Y si un trabajador tiene que empezar a ahorrar, mejor que lo haga cuanto antes. La </w:t>
      </w:r>
      <w:hyperlink r:id="rId669" w:history="1">
        <w:r w:rsidRPr="00090562">
          <w:rPr>
            <w:rStyle w:val="Hipervnculo"/>
            <w:rFonts w:eastAsiaTheme="majorEastAsia"/>
            <w:color w:val="auto"/>
          </w:rPr>
          <w:t>magia del interés compuesto</w:t>
        </w:r>
      </w:hyperlink>
      <w:r w:rsidRPr="00090562">
        <w:t xml:space="preserve"> surte sus principales efectos en el largo plazo. Las siguientes son</w:t>
      </w:r>
      <w:r w:rsidRPr="006F60CB">
        <w:t xml:space="preserve"> cuatro claves sobre el actual modelo y sobre los dos cambios aprobados este viernes:</w:t>
      </w:r>
    </w:p>
    <w:p w:rsidR="007B2FC8" w:rsidRPr="00090562" w:rsidRDefault="00090562" w:rsidP="00550638">
      <w:pPr>
        <w:pStyle w:val="Ttulo3"/>
        <w:spacing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w:t>
      </w:r>
      <w:r>
        <w:rPr>
          <w:rStyle w:val="Textoennegrita"/>
          <w:rFonts w:ascii="Times New Roman" w:hAnsi="Times New Roman" w:cs="Times New Roman"/>
          <w:color w:val="auto"/>
          <w:sz w:val="24"/>
          <w:szCs w:val="24"/>
        </w:rPr>
        <w:t>Solidaridad intergeneracional”</w:t>
      </w:r>
    </w:p>
    <w:p w:rsidR="007B2FC8" w:rsidRPr="00090562" w:rsidRDefault="00090562" w:rsidP="00550638">
      <w:pPr>
        <w:pStyle w:val="NormalWeb"/>
        <w:jc w:val="both"/>
        <w:rPr>
          <w:color w:val="FF0000"/>
        </w:rPr>
      </w:pPr>
      <w:r>
        <w:t xml:space="preserve">Báñez: </w:t>
      </w:r>
      <w:r w:rsidRPr="00090562">
        <w:rPr>
          <w:color w:val="FF0000"/>
        </w:rPr>
        <w:t>“</w:t>
      </w:r>
      <w:r w:rsidR="007B2FC8" w:rsidRPr="00090562">
        <w:rPr>
          <w:color w:val="FF0000"/>
        </w:rPr>
        <w:t>La columna vertebral del sistema de pensiones español es la solidaridad entre difer</w:t>
      </w:r>
      <w:r w:rsidRPr="00090562">
        <w:rPr>
          <w:color w:val="FF0000"/>
        </w:rPr>
        <w:t>entes generaciones de españoles”</w:t>
      </w:r>
      <w:r w:rsidR="007B2FC8" w:rsidRPr="00090562">
        <w:rPr>
          <w:color w:val="FF0000"/>
        </w:rPr>
        <w:t>.</w:t>
      </w:r>
    </w:p>
    <w:p w:rsidR="007B2FC8" w:rsidRPr="006F60CB" w:rsidRDefault="007B2FC8" w:rsidP="00550638">
      <w:pPr>
        <w:pStyle w:val="NormalWeb"/>
        <w:jc w:val="both"/>
      </w:pPr>
      <w:r w:rsidRPr="006F60CB">
        <w:t>Este tipo de afirmaciones son peligrosas por varios mot</w:t>
      </w:r>
      <w:r w:rsidR="00090562">
        <w:t>ivos. Por un lado, apunta a la “solidaridad”</w:t>
      </w:r>
      <w:r w:rsidRPr="006F60CB">
        <w:t xml:space="preserve"> un concepto voluntario, cuando el sistema público está basado en la obligatoriedad. No sabemos si los trabajad</w:t>
      </w:r>
      <w:r w:rsidR="00090562">
        <w:t>ores actuales quieren ser o no “solidarios”</w:t>
      </w:r>
      <w:r w:rsidRPr="006F60CB">
        <w:t xml:space="preserve">. Lo cierto es que están obligados a serlo. El </w:t>
      </w:r>
      <w:r w:rsidRPr="00DC5B95">
        <w:rPr>
          <w:rStyle w:val="Textoennegrita"/>
          <w:b w:val="0"/>
        </w:rPr>
        <w:t>Estado cobra las cotizaciones de su nómina</w:t>
      </w:r>
      <w:r w:rsidRPr="006F60CB">
        <w:t xml:space="preserve"> y de su empresa tanto si les gusta como si no. De hecho, los únicos que pueden decidir sobre esta cuestión, los autónomos, escogen en un alto porcentaje la cotización mínima. No porque no quieran a sus mayores o porque sean más egoístas, es una elección individual en la que se valora lo que se aporta hoy a cambio de lo que se recibirá mañana. Y las cuentas no salen.</w:t>
      </w:r>
    </w:p>
    <w:p w:rsidR="007B2FC8" w:rsidRPr="006F60CB" w:rsidRDefault="007B2FC8" w:rsidP="00550638">
      <w:pPr>
        <w:pStyle w:val="NormalWeb"/>
        <w:jc w:val="both"/>
      </w:pPr>
      <w:r w:rsidRPr="006F60CB">
        <w:t>Además, cua</w:t>
      </w:r>
      <w:r w:rsidR="00090562">
        <w:t>ndo se apela a la colaboración “intergeneracional”</w:t>
      </w:r>
      <w:r w:rsidRPr="006F60CB">
        <w:t xml:space="preserve"> se podría estar lanzando la equívoca idea de que</w:t>
      </w:r>
      <w:r w:rsidRPr="006F60CB">
        <w:rPr>
          <w:rStyle w:val="Textoennegrita"/>
        </w:rPr>
        <w:t xml:space="preserve"> </w:t>
      </w:r>
      <w:r w:rsidRPr="00DC5B95">
        <w:rPr>
          <w:rStyle w:val="Textoennegrita"/>
          <w:b w:val="0"/>
        </w:rPr>
        <w:t>si caen las pensiones es porque los jóvenes no quieren</w:t>
      </w:r>
      <w:r w:rsidRPr="006F60CB">
        <w:t xml:space="preserve"> colaborar. No es así. La realidad es que la </w:t>
      </w:r>
      <w:hyperlink r:id="rId670" w:history="1">
        <w:r w:rsidRPr="00090562">
          <w:rPr>
            <w:rStyle w:val="Hipervnculo"/>
            <w:rFonts w:eastAsiaTheme="majorEastAsia"/>
            <w:color w:val="auto"/>
          </w:rPr>
          <w:t>trampa generacional</w:t>
        </w:r>
      </w:hyperlink>
      <w:r w:rsidRPr="00090562">
        <w:t xml:space="preserve"> </w:t>
      </w:r>
      <w:r w:rsidRPr="006F60CB">
        <w:t>en la que está España tiene muy difícil solución. Hasta 2030, lo normal es que el número de trabajadores crezca. Hay margen por la reducción del paro, por la plena incorporación al mercado laboral de la mujer, por el aumento de las personas de más de 50 años que siguen siendo parte de la población activa y porque la explosión de la natalidad en España fue algo posterior a la del resto de Europa (llegó en los años 60 y 70 especialmente).</w:t>
      </w:r>
    </w:p>
    <w:p w:rsidR="007B2FC8" w:rsidRPr="0032052E" w:rsidRDefault="007B2FC8" w:rsidP="00550638">
      <w:pPr>
        <w:pStyle w:val="NormalWeb"/>
        <w:jc w:val="both"/>
        <w:rPr>
          <w:u w:val="single"/>
        </w:rPr>
      </w:pPr>
      <w:r w:rsidRPr="0032052E">
        <w:rPr>
          <w:u w:val="single"/>
        </w:rPr>
        <w:t xml:space="preserve">Sin embargo, a partir de ese año la tendencia cambiará y de forma acelerada. En esa fecha se empezarán a jubilar los nacidos en 1963. Generación </w:t>
      </w:r>
      <w:r w:rsidR="006B60FC">
        <w:rPr>
          <w:u w:val="single"/>
        </w:rPr>
        <w:t>“</w:t>
      </w:r>
      <w:r w:rsidRPr="006B60FC">
        <w:rPr>
          <w:rStyle w:val="nfasis"/>
          <w:i w:val="0"/>
          <w:u w:val="single"/>
        </w:rPr>
        <w:t>baby-boom</w:t>
      </w:r>
      <w:r w:rsidR="006B60FC">
        <w:rPr>
          <w:rStyle w:val="nfasis"/>
          <w:i w:val="0"/>
          <w:u w:val="single"/>
        </w:rPr>
        <w:t>”</w:t>
      </w:r>
      <w:r w:rsidRPr="0032052E">
        <w:rPr>
          <w:u w:val="single"/>
        </w:rPr>
        <w:t xml:space="preserve"> pura. Y no hay relevo, porque</w:t>
      </w:r>
      <w:r w:rsidRPr="0032052E">
        <w:rPr>
          <w:rStyle w:val="Textoennegrita"/>
          <w:u w:val="single"/>
        </w:rPr>
        <w:t xml:space="preserve"> </w:t>
      </w:r>
      <w:r w:rsidRPr="00DC5B95">
        <w:rPr>
          <w:rStyle w:val="Textoennegrita"/>
          <w:b w:val="0"/>
          <w:u w:val="single"/>
        </w:rPr>
        <w:t>alrededor de 1980 la tasa de natalidad se desplomó</w:t>
      </w:r>
      <w:r w:rsidRPr="0032052E">
        <w:rPr>
          <w:u w:val="single"/>
        </w:rPr>
        <w:t>. Los trabajadores de 2030-40 deberían haber nacido ya y no lo han hecho. Quizás podría solventarse algo con la inmigración, pero no en los números requeridos. El porcentaje de la población con más de 65 años será de más del 31% en 2050 (ahora no llega al 18%) y el gasto en pensiones sobre el PIB pasará del 10% actual al 15% en 2050 (cuando habrá menos trabajadores para cotizar, no lo olvidemos). Nad</w:t>
      </w:r>
      <w:r w:rsidR="00090562">
        <w:rPr>
          <w:u w:val="single"/>
        </w:rPr>
        <w:t>a de esto tiene que ver con la “solidaridad”</w:t>
      </w:r>
      <w:r w:rsidRPr="0032052E">
        <w:rPr>
          <w:u w:val="single"/>
        </w:rPr>
        <w:t>; es matemática pura y dura.</w:t>
      </w:r>
    </w:p>
    <w:p w:rsidR="007B2FC8" w:rsidRPr="00090562" w:rsidRDefault="00090562" w:rsidP="00550638">
      <w:pPr>
        <w:pStyle w:val="Ttulo3"/>
        <w:spacing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w:t>
      </w:r>
      <w:r>
        <w:rPr>
          <w:rStyle w:val="Textoennegrita"/>
          <w:rFonts w:ascii="Times New Roman" w:hAnsi="Times New Roman" w:cs="Times New Roman"/>
          <w:color w:val="auto"/>
          <w:sz w:val="24"/>
          <w:szCs w:val="24"/>
        </w:rPr>
        <w:t>Nunca se van a congelar”</w:t>
      </w:r>
    </w:p>
    <w:p w:rsidR="007B2FC8" w:rsidRPr="00090562" w:rsidRDefault="00090562" w:rsidP="00550638">
      <w:pPr>
        <w:pStyle w:val="NormalWeb"/>
        <w:jc w:val="both"/>
        <w:rPr>
          <w:color w:val="FF0000"/>
        </w:rPr>
      </w:pPr>
      <w:r>
        <w:t xml:space="preserve">Báñez: </w:t>
      </w:r>
      <w:r w:rsidRPr="00090562">
        <w:rPr>
          <w:color w:val="FF0000"/>
        </w:rPr>
        <w:t>“</w:t>
      </w:r>
      <w:r w:rsidR="007B2FC8" w:rsidRPr="00090562">
        <w:rPr>
          <w:color w:val="FF0000"/>
        </w:rPr>
        <w:t>Las pensiones nunca se van a congelar. Subirán siempre, en función d</w:t>
      </w:r>
      <w:r w:rsidRPr="00090562">
        <w:rPr>
          <w:color w:val="FF0000"/>
        </w:rPr>
        <w:t>e las circunstancias”</w:t>
      </w:r>
      <w:r w:rsidR="007B2FC8" w:rsidRPr="00090562">
        <w:rPr>
          <w:color w:val="FF0000"/>
        </w:rPr>
        <w:t>.</w:t>
      </w:r>
    </w:p>
    <w:p w:rsidR="007B2FC8" w:rsidRPr="00DC5B95" w:rsidRDefault="007B2FC8" w:rsidP="00550638">
      <w:pPr>
        <w:pStyle w:val="NormalWeb"/>
        <w:jc w:val="both"/>
        <w:rPr>
          <w:b/>
          <w:u w:val="single"/>
        </w:rPr>
      </w:pPr>
      <w:r w:rsidRPr="0000503C">
        <w:rPr>
          <w:u w:val="single"/>
        </w:rPr>
        <w:t>La ministra ha llegado a</w:t>
      </w:r>
      <w:r w:rsidR="00090562">
        <w:rPr>
          <w:u w:val="single"/>
        </w:rPr>
        <w:t xml:space="preserve"> asegurar que los pensionistas “ganarán poder adquisitivo”</w:t>
      </w:r>
      <w:r w:rsidRPr="0000503C">
        <w:rPr>
          <w:u w:val="single"/>
        </w:rPr>
        <w:t xml:space="preserve">. Esto no es cierto. El </w:t>
      </w:r>
      <w:hyperlink r:id="rId671" w:history="1">
        <w:r w:rsidRPr="00090562">
          <w:rPr>
            <w:rStyle w:val="Hipervnculo"/>
            <w:rFonts w:eastAsiaTheme="majorEastAsia"/>
            <w:color w:val="auto"/>
          </w:rPr>
          <w:t>nuevo factor de revalorización de las pensiones</w:t>
        </w:r>
      </w:hyperlink>
      <w:r w:rsidRPr="00090562">
        <w:rPr>
          <w:u w:val="single"/>
        </w:rPr>
        <w:t xml:space="preserve"> </w:t>
      </w:r>
      <w:r w:rsidRPr="0000503C">
        <w:rPr>
          <w:u w:val="single"/>
        </w:rPr>
        <w:t xml:space="preserve">(FRP) tiene un tope mínimo del 0,25%. Puede que el IPC no sea el mejor instrumento para medir la evolución de los precios, pero si marca un 3% y la subida de las pensiones marcada por el FRP es del 0,25%, está claro que los </w:t>
      </w:r>
      <w:r w:rsidRPr="00DC5B95">
        <w:rPr>
          <w:rStyle w:val="Textoennegrita"/>
          <w:b w:val="0"/>
          <w:u w:val="single"/>
        </w:rPr>
        <w:t>pensionistas perderán poder adquisitivo</w:t>
      </w:r>
      <w:r w:rsidRPr="00DC5B95">
        <w:rPr>
          <w:b/>
          <w:u w:val="single"/>
        </w:rPr>
        <w:t>.</w:t>
      </w:r>
    </w:p>
    <w:p w:rsidR="007B2FC8" w:rsidRPr="0000503C" w:rsidRDefault="007B2FC8" w:rsidP="00550638">
      <w:pPr>
        <w:pStyle w:val="NormalWeb"/>
        <w:jc w:val="both"/>
        <w:rPr>
          <w:u w:val="single"/>
        </w:rPr>
      </w:pPr>
      <w:r w:rsidRPr="006F60CB">
        <w:lastRenderedPageBreak/>
        <w:t xml:space="preserve">Con las cifras del sistema encima de la mesa, es posible que sea inevitable la aplicación de este factor. Lo que no es óbice para que deba exigirse a la ministra que no intente camuflar una evidente característica del nuevo sistema. </w:t>
      </w:r>
      <w:r w:rsidRPr="0000503C">
        <w:rPr>
          <w:u w:val="single"/>
        </w:rPr>
        <w:t>Tirará las pensiones, poco a poco, hacia abajo. No en términos nominales (número de euros) pero sí reales (capacidad de compra).</w:t>
      </w:r>
    </w:p>
    <w:p w:rsidR="007B2FC8" w:rsidRPr="0000503C" w:rsidRDefault="007B2FC8" w:rsidP="00550638">
      <w:pPr>
        <w:pStyle w:val="NormalWeb"/>
        <w:jc w:val="both"/>
        <w:rPr>
          <w:color w:val="FF0000"/>
          <w:u w:val="single"/>
        </w:rPr>
      </w:pPr>
      <w:r w:rsidRPr="0000503C">
        <w:rPr>
          <w:color w:val="FF0000"/>
          <w:u w:val="single"/>
        </w:rPr>
        <w:t xml:space="preserve">Falta por saber el detalle de la fórmula matemática del FRP. Pero podemos aproximarnos mucho viendo la propuesta del </w:t>
      </w:r>
      <w:hyperlink r:id="rId672" w:history="1">
        <w:r w:rsidRPr="0000503C">
          <w:rPr>
            <w:rStyle w:val="Hipervnculo"/>
            <w:rFonts w:eastAsiaTheme="majorEastAsia"/>
            <w:color w:val="FF0000"/>
          </w:rPr>
          <w:t>Comité de Expertos sobre el Factor de Sostenibilidad</w:t>
        </w:r>
      </w:hyperlink>
      <w:r w:rsidRPr="0000503C">
        <w:rPr>
          <w:color w:val="FF0000"/>
          <w:u w:val="single"/>
        </w:rPr>
        <w:t>. Lo que habrá es una identidad contable. Se calculará cuáles serán los ingresos del sistema en un período de tiempo (por ejemplo, cinco años) y cuáles serán sus gastos (en función del número de pensionistas y la cuantía de las prestaciones).</w:t>
      </w:r>
    </w:p>
    <w:p w:rsidR="007B2FC8" w:rsidRPr="006F60CB" w:rsidRDefault="007B2FC8" w:rsidP="00550638">
      <w:pPr>
        <w:pStyle w:val="NormalWeb"/>
        <w:jc w:val="both"/>
      </w:pPr>
      <w:r w:rsidRPr="0000503C">
        <w:rPr>
          <w:color w:val="FF0000"/>
          <w:u w:val="single"/>
        </w:rPr>
        <w:t xml:space="preserve">Cuando estos sean mayores que aquellos, el </w:t>
      </w:r>
      <w:r w:rsidRPr="00DC5B95">
        <w:rPr>
          <w:rStyle w:val="Textoennegrita"/>
          <w:b w:val="0"/>
          <w:color w:val="FF0000"/>
          <w:u w:val="single"/>
        </w:rPr>
        <w:t>FRP hará que las pensiones no crezcan más que un 0,25%.</w:t>
      </w:r>
      <w:r w:rsidRPr="006F60CB">
        <w:t xml:space="preserve"> Este factor sólo tendrá en cuenta los superávit y déficit del sistema, nada más. Históricamente, la inflación casi s</w:t>
      </w:r>
      <w:r>
        <w:t xml:space="preserve">iempre ha estado </w:t>
      </w:r>
      <w:r w:rsidRPr="006F60CB">
        <w:t>por encima de esta cifra. Es cierto que el índice tiene un tope de IPC+0,25%, por lo que podría haber algunos ejercicios en los que se recupere algo de terreno. Pero habrá más años de los primeros que de los segundos.</w:t>
      </w:r>
    </w:p>
    <w:p w:rsidR="007B2FC8" w:rsidRPr="0000503C" w:rsidRDefault="007B2FC8" w:rsidP="00550638">
      <w:pPr>
        <w:pStyle w:val="NormalWeb"/>
        <w:jc w:val="both"/>
        <w:rPr>
          <w:u w:val="single"/>
        </w:rPr>
      </w:pPr>
      <w:r w:rsidRPr="0000503C">
        <w:rPr>
          <w:u w:val="single"/>
        </w:rPr>
        <w:t xml:space="preserve">Es cierto que las </w:t>
      </w:r>
      <w:r w:rsidR="00090562" w:rsidRPr="00DC5B95">
        <w:rPr>
          <w:rStyle w:val="Textoennegrita"/>
          <w:b w:val="0"/>
          <w:u w:val="single"/>
        </w:rPr>
        <w:t>pensiones “no se congelarán nunca”</w:t>
      </w:r>
      <w:r w:rsidRPr="0000503C">
        <w:rPr>
          <w:u w:val="single"/>
        </w:rPr>
        <w:t>, en el sentido de que siempre verán una pequeña subida nominal. Pero es igual de cierto decir que poco a poco los jubilados españoles perderán poder adquisitivo en sus prestaciones públicas.</w:t>
      </w:r>
    </w:p>
    <w:p w:rsidR="007B2FC8" w:rsidRPr="00090562" w:rsidRDefault="00090562" w:rsidP="00550638">
      <w:pPr>
        <w:pStyle w:val="Ttulo3"/>
        <w:spacing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w:t>
      </w:r>
      <w:r w:rsidR="007B2FC8" w:rsidRPr="00090562">
        <w:rPr>
          <w:rStyle w:val="Textoennegrita"/>
          <w:rFonts w:ascii="Times New Roman" w:hAnsi="Times New Roman" w:cs="Times New Roman"/>
          <w:color w:val="auto"/>
          <w:sz w:val="24"/>
          <w:szCs w:val="24"/>
        </w:rPr>
        <w:t>L</w:t>
      </w:r>
      <w:r>
        <w:rPr>
          <w:rStyle w:val="Textoennegrita"/>
          <w:rFonts w:ascii="Times New Roman" w:hAnsi="Times New Roman" w:cs="Times New Roman"/>
          <w:color w:val="auto"/>
          <w:sz w:val="24"/>
          <w:szCs w:val="24"/>
        </w:rPr>
        <w:t>a misma pensión que sus abuelos”</w:t>
      </w:r>
    </w:p>
    <w:p w:rsidR="007B2FC8" w:rsidRPr="006F60CB" w:rsidRDefault="00090562" w:rsidP="00550638">
      <w:pPr>
        <w:pStyle w:val="NormalWeb"/>
        <w:jc w:val="both"/>
      </w:pPr>
      <w:r>
        <w:t xml:space="preserve">Báñez: </w:t>
      </w:r>
      <w:r w:rsidRPr="00090562">
        <w:rPr>
          <w:color w:val="FF0000"/>
        </w:rPr>
        <w:t>“</w:t>
      </w:r>
      <w:r w:rsidR="007B2FC8" w:rsidRPr="00090562">
        <w:rPr>
          <w:color w:val="FF0000"/>
        </w:rPr>
        <w:t>Es importante que los pensionistas de hoy cobren una pensión justa y ganen; pero también que los de mañana tengan la misma p</w:t>
      </w:r>
      <w:r w:rsidRPr="00090562">
        <w:rPr>
          <w:color w:val="FF0000"/>
        </w:rPr>
        <w:t>ensión que tuvieron sus abuelos”</w:t>
      </w:r>
      <w:r w:rsidR="007B2FC8" w:rsidRPr="00090562">
        <w:rPr>
          <w:color w:val="FF0000"/>
        </w:rPr>
        <w:t>.</w:t>
      </w:r>
    </w:p>
    <w:p w:rsidR="007B2FC8" w:rsidRPr="006F60CB" w:rsidRDefault="007B2FC8" w:rsidP="00550638">
      <w:pPr>
        <w:pStyle w:val="NormalWeb"/>
        <w:jc w:val="both"/>
      </w:pPr>
      <w:r w:rsidRPr="006F60CB">
        <w:t xml:space="preserve">De todo lo que </w:t>
      </w:r>
      <w:hyperlink r:id="rId673" w:history="1">
        <w:r w:rsidRPr="00090562">
          <w:rPr>
            <w:rStyle w:val="Hipervnculo"/>
            <w:rFonts w:eastAsiaTheme="majorEastAsia"/>
            <w:color w:val="auto"/>
          </w:rPr>
          <w:t>ha dicho la ministra de Empleo</w:t>
        </w:r>
      </w:hyperlink>
      <w:r w:rsidRPr="00090562">
        <w:t xml:space="preserve"> </w:t>
      </w:r>
      <w:r w:rsidRPr="006F60CB">
        <w:t xml:space="preserve">en estos últimos meses, esta afirmación, que ha reiterado en numerosas ocasiones, es la más sorprendente. Si los </w:t>
      </w:r>
      <w:r w:rsidRPr="00DC5B95">
        <w:rPr>
          <w:rStyle w:val="Textoennegrita"/>
          <w:b w:val="0"/>
        </w:rPr>
        <w:t>jubilados del futuro van a tener derecho a la misma pensión</w:t>
      </w:r>
      <w:r w:rsidRPr="006F60CB">
        <w:t xml:space="preserve"> que sus padres y abuelos tuvieron (en caso de que coticen lo mismo), entonces, ¿para qué todo este lío? Si nadie toca el sistema, un español que se reitre en 2050 con 35 años trabajados, la base máxima de cotización y 65 años cobrará exactamente lo mismo que un jubilado actual con estas condiciones.</w:t>
      </w:r>
    </w:p>
    <w:p w:rsidR="007B2FC8" w:rsidRPr="006F60CB" w:rsidRDefault="007B2FC8" w:rsidP="00550638">
      <w:pPr>
        <w:pStyle w:val="NormalWeb"/>
        <w:jc w:val="both"/>
      </w:pPr>
      <w:r w:rsidRPr="006F60CB">
        <w:t xml:space="preserve">Lo cierto es que las reformas se hacen precisamente para que los pensionistas del futuro cobren una cantidad diferente y con exigencias diferentes que los actuales. En 2011, el </w:t>
      </w:r>
      <w:r w:rsidRPr="00DC5B95">
        <w:rPr>
          <w:rStyle w:val="Textoennegrita"/>
          <w:b w:val="0"/>
        </w:rPr>
        <w:t>Gobierno de Rodríguez Zapatero aprobó una modificación</w:t>
      </w:r>
      <w:r w:rsidRPr="006F60CB">
        <w:t xml:space="preserve"> en las </w:t>
      </w:r>
      <w:hyperlink r:id="rId674" w:history="1">
        <w:r w:rsidRPr="00090562">
          <w:rPr>
            <w:rStyle w:val="Hipervnculo"/>
            <w:rFonts w:eastAsiaTheme="majorEastAsia"/>
            <w:color w:val="auto"/>
          </w:rPr>
          <w:t>condiciones de acceso</w:t>
        </w:r>
      </w:hyperlink>
      <w:r w:rsidRPr="00090562">
        <w:t xml:space="preserve"> </w:t>
      </w:r>
      <w:r w:rsidRPr="006F60CB">
        <w:t>a las prestaciones (años trabajados, período de cálculo y edad de retiro legal). Ahora, el PP lo complementa con el Factor de Sostenibilidad (FSP). De nuevo, es muy posible que sea necesario este retoque, pero precisamente por eso el Gobierno debería explicarlo a los ciudadanos.</w:t>
      </w:r>
    </w:p>
    <w:p w:rsidR="007B2FC8" w:rsidRDefault="007B2FC8" w:rsidP="00550638">
      <w:pPr>
        <w:pStyle w:val="NormalWeb"/>
        <w:jc w:val="both"/>
        <w:rPr>
          <w:color w:val="FF0000"/>
          <w:u w:val="single"/>
        </w:rPr>
      </w:pPr>
      <w:r w:rsidRPr="0000503C">
        <w:rPr>
          <w:color w:val="FF0000"/>
          <w:u w:val="single"/>
        </w:rPr>
        <w:t>Lo que hará el FSP es reducir la pensión de los que vayan llegando al sistema. Es decir, cuando alguien cumpla 67 años y pase al retiro, se calculará la esperanza de vida y se comparará con la esperanza de vida en 2014. Se dividirán las dos cifras y se conseguirá un factor de descuento.</w:t>
      </w:r>
    </w:p>
    <w:p w:rsidR="00090562" w:rsidRPr="0000503C" w:rsidRDefault="00090562" w:rsidP="00550638">
      <w:pPr>
        <w:pStyle w:val="NormalWeb"/>
        <w:jc w:val="both"/>
        <w:rPr>
          <w:color w:val="FF0000"/>
          <w:u w:val="single"/>
        </w:rPr>
      </w:pPr>
    </w:p>
    <w:p w:rsidR="007B2FC8" w:rsidRPr="006F60CB" w:rsidRDefault="007B2FC8" w:rsidP="00550638">
      <w:pPr>
        <w:pStyle w:val="NormalWeb"/>
        <w:jc w:val="both"/>
      </w:pPr>
      <w:r w:rsidRPr="006F60CB">
        <w:lastRenderedPageBreak/>
        <w:t>Por ejemplo (con cifras del informe de los expertos):</w:t>
      </w:r>
    </w:p>
    <w:p w:rsidR="007B2FC8" w:rsidRPr="006F60CB" w:rsidRDefault="007B2FC8" w:rsidP="00550638">
      <w:pPr>
        <w:numPr>
          <w:ilvl w:val="0"/>
          <w:numId w:val="29"/>
        </w:numPr>
        <w:spacing w:before="100" w:beforeAutospacing="1" w:after="100" w:afterAutospacing="1" w:line="240" w:lineRule="auto"/>
        <w:jc w:val="both"/>
        <w:rPr>
          <w:rFonts w:ascii="Times New Roman" w:hAnsi="Times New Roman" w:cs="Times New Roman"/>
          <w:sz w:val="24"/>
          <w:szCs w:val="24"/>
        </w:rPr>
      </w:pPr>
      <w:r w:rsidRPr="006F60CB">
        <w:rPr>
          <w:rFonts w:ascii="Times New Roman" w:hAnsi="Times New Roman" w:cs="Times New Roman"/>
          <w:sz w:val="24"/>
          <w:szCs w:val="24"/>
        </w:rPr>
        <w:t>Esperanza de vida en 2014: 20,27 años</w:t>
      </w:r>
    </w:p>
    <w:p w:rsidR="007B2FC8" w:rsidRPr="006F60CB" w:rsidRDefault="007B2FC8" w:rsidP="00550638">
      <w:pPr>
        <w:numPr>
          <w:ilvl w:val="0"/>
          <w:numId w:val="29"/>
        </w:numPr>
        <w:spacing w:before="100" w:beforeAutospacing="1" w:after="100" w:afterAutospacing="1" w:line="240" w:lineRule="auto"/>
        <w:jc w:val="both"/>
        <w:rPr>
          <w:rFonts w:ascii="Times New Roman" w:hAnsi="Times New Roman" w:cs="Times New Roman"/>
          <w:sz w:val="24"/>
          <w:szCs w:val="24"/>
        </w:rPr>
      </w:pPr>
      <w:r w:rsidRPr="006F60CB">
        <w:rPr>
          <w:rFonts w:ascii="Times New Roman" w:hAnsi="Times New Roman" w:cs="Times New Roman"/>
          <w:sz w:val="24"/>
          <w:szCs w:val="24"/>
        </w:rPr>
        <w:t>Esperanza de vida en 2019: 21 años</w:t>
      </w:r>
    </w:p>
    <w:p w:rsidR="007B2FC8" w:rsidRPr="006F60CB" w:rsidRDefault="007B2FC8" w:rsidP="00550638">
      <w:pPr>
        <w:numPr>
          <w:ilvl w:val="0"/>
          <w:numId w:val="29"/>
        </w:numPr>
        <w:spacing w:before="100" w:beforeAutospacing="1" w:after="100" w:afterAutospacing="1" w:line="240" w:lineRule="auto"/>
        <w:jc w:val="both"/>
        <w:rPr>
          <w:rFonts w:ascii="Times New Roman" w:hAnsi="Times New Roman" w:cs="Times New Roman"/>
          <w:sz w:val="24"/>
          <w:szCs w:val="24"/>
        </w:rPr>
      </w:pPr>
      <w:r w:rsidRPr="006F60CB">
        <w:rPr>
          <w:rFonts w:ascii="Times New Roman" w:hAnsi="Times New Roman" w:cs="Times New Roman"/>
          <w:sz w:val="24"/>
          <w:szCs w:val="24"/>
        </w:rPr>
        <w:t>FSP 2019: 20,27/21 = 0,9652</w:t>
      </w:r>
    </w:p>
    <w:p w:rsidR="007B2FC8" w:rsidRPr="0000503C" w:rsidRDefault="007B2FC8" w:rsidP="00550638">
      <w:pPr>
        <w:pStyle w:val="NormalWeb"/>
        <w:jc w:val="both"/>
        <w:rPr>
          <w:u w:val="single"/>
        </w:rPr>
      </w:pPr>
      <w:r w:rsidRPr="0000503C">
        <w:rPr>
          <w:u w:val="single"/>
        </w:rPr>
        <w:t xml:space="preserve">Si la pensión que le tocaba al jubilado era de 1.000 euros al mes, comenzará cobrando 965,2 euros. Luego, nunca más, durante el resto de su vida, se aplicará este factor. Pero claro, </w:t>
      </w:r>
      <w:r w:rsidRPr="00DC5B95">
        <w:rPr>
          <w:rStyle w:val="Textoennegrita"/>
          <w:b w:val="0"/>
          <w:u w:val="single"/>
        </w:rPr>
        <w:t>acarreará ese descuento del 3,5%</w:t>
      </w:r>
      <w:r w:rsidRPr="0000503C">
        <w:rPr>
          <w:u w:val="single"/>
        </w:rPr>
        <w:t xml:space="preserve"> mientras esté vi</w:t>
      </w:r>
      <w:r w:rsidR="00090562">
        <w:rPr>
          <w:u w:val="single"/>
        </w:rPr>
        <w:t>vo. Es evidente que no cobrará “lo mismo que su padre”</w:t>
      </w:r>
      <w:r w:rsidRPr="0000503C">
        <w:rPr>
          <w:u w:val="single"/>
        </w:rPr>
        <w:t>. Los cálculos del grupo de expertos apuntan a que en 2049 el factor de descuento será del 18% (vamos, más o menos un 6% a la década desde ahora).</w:t>
      </w:r>
    </w:p>
    <w:p w:rsidR="007B2FC8" w:rsidRPr="00090562" w:rsidRDefault="00090562" w:rsidP="00550638">
      <w:pPr>
        <w:pStyle w:val="Ttulo3"/>
        <w:spacing w:line="240" w:lineRule="auto"/>
        <w:jc w:val="both"/>
        <w:rPr>
          <w:rFonts w:ascii="Times New Roman" w:hAnsi="Times New Roman" w:cs="Times New Roman"/>
          <w:color w:val="auto"/>
          <w:sz w:val="24"/>
          <w:szCs w:val="24"/>
        </w:rPr>
      </w:pPr>
      <w:r>
        <w:rPr>
          <w:rFonts w:ascii="Times New Roman" w:hAnsi="Times New Roman" w:cs="Times New Roman"/>
          <w:color w:val="auto"/>
          <w:sz w:val="24"/>
          <w:szCs w:val="24"/>
        </w:rPr>
        <w:t>“</w:t>
      </w:r>
      <w:r>
        <w:rPr>
          <w:rStyle w:val="Textoennegrita"/>
          <w:rFonts w:ascii="Times New Roman" w:hAnsi="Times New Roman" w:cs="Times New Roman"/>
          <w:color w:val="auto"/>
          <w:sz w:val="24"/>
          <w:szCs w:val="24"/>
        </w:rPr>
        <w:t>Garantizar la certidumbre”</w:t>
      </w:r>
    </w:p>
    <w:p w:rsidR="007B2FC8" w:rsidRPr="00090562" w:rsidRDefault="00090562" w:rsidP="00550638">
      <w:pPr>
        <w:pStyle w:val="NormalWeb"/>
        <w:jc w:val="both"/>
        <w:rPr>
          <w:color w:val="FF0000"/>
        </w:rPr>
      </w:pPr>
      <w:r>
        <w:t xml:space="preserve">Báñez: </w:t>
      </w:r>
      <w:r w:rsidRPr="00090562">
        <w:rPr>
          <w:color w:val="FF0000"/>
        </w:rPr>
        <w:t>“</w:t>
      </w:r>
      <w:r w:rsidR="007B2FC8" w:rsidRPr="00090562">
        <w:rPr>
          <w:color w:val="FF0000"/>
        </w:rPr>
        <w:t xml:space="preserve">Los objetivos de este anteproyecto son garantizar la confianza, la tranquilidad y la certidumbre a los </w:t>
      </w:r>
      <w:r w:rsidRPr="00090562">
        <w:rPr>
          <w:color w:val="FF0000"/>
        </w:rPr>
        <w:t>pensionistas de hoy y de mañana”</w:t>
      </w:r>
      <w:r w:rsidR="007B2FC8" w:rsidRPr="00090562">
        <w:rPr>
          <w:color w:val="FF0000"/>
        </w:rPr>
        <w:t>.</w:t>
      </w:r>
    </w:p>
    <w:p w:rsidR="007B2FC8" w:rsidRPr="006F60CB" w:rsidRDefault="007B2FC8" w:rsidP="00550638">
      <w:pPr>
        <w:pStyle w:val="NormalWeb"/>
        <w:jc w:val="both"/>
      </w:pPr>
      <w:r w:rsidRPr="006F60CB">
        <w:t xml:space="preserve">El Gobierno no debe ser catastrofista. </w:t>
      </w:r>
      <w:r w:rsidRPr="0000503C">
        <w:rPr>
          <w:u w:val="single"/>
        </w:rPr>
        <w:t xml:space="preserve">Es evidente </w:t>
      </w:r>
      <w:r w:rsidRPr="007141E2">
        <w:rPr>
          <w:u w:val="single"/>
        </w:rPr>
        <w:t>que</w:t>
      </w:r>
      <w:r w:rsidRPr="00DC5B95">
        <w:rPr>
          <w:b/>
          <w:u w:val="single"/>
        </w:rPr>
        <w:t xml:space="preserve"> </w:t>
      </w:r>
      <w:r w:rsidRPr="00DC5B95">
        <w:rPr>
          <w:rStyle w:val="Textoennegrita"/>
          <w:b w:val="0"/>
          <w:u w:val="single"/>
        </w:rPr>
        <w:t xml:space="preserve">dentro de 30 </w:t>
      </w:r>
      <w:r w:rsidR="00587466" w:rsidRPr="00DC5B95">
        <w:rPr>
          <w:rStyle w:val="Textoennegrita"/>
          <w:b w:val="0"/>
          <w:u w:val="single"/>
        </w:rPr>
        <w:t>o</w:t>
      </w:r>
      <w:r w:rsidRPr="00DC5B95">
        <w:rPr>
          <w:rStyle w:val="Textoennegrita"/>
          <w:b w:val="0"/>
          <w:u w:val="single"/>
        </w:rPr>
        <w:t xml:space="preserve"> 40 años seguirá habiendo pensiones públicas</w:t>
      </w:r>
      <w:r w:rsidRPr="00DC5B95">
        <w:rPr>
          <w:b/>
          <w:u w:val="single"/>
        </w:rPr>
        <w:t>.</w:t>
      </w:r>
      <w:r w:rsidRPr="0000503C">
        <w:rPr>
          <w:u w:val="single"/>
        </w:rPr>
        <w:t xml:space="preserve"> Pero también está claro que serán inferiores a las actuales. Y sobre el sistema pesan numerosas amenazas</w:t>
      </w:r>
      <w:r w:rsidRPr="006F60CB">
        <w:t>. Todos pensamos que España crecerá y que la tasa de paro se reducirá; que lleg</w:t>
      </w:r>
      <w:r w:rsidR="00090562">
        <w:t>arán nuevos inmigrantes; que la</w:t>
      </w:r>
      <w:r w:rsidRPr="006F60CB">
        <w:t xml:space="preserve"> productividad, los sueldos y las cotizaciones se dispararán. Y que eso aliviará la presión sobre la Seguridad Social.</w:t>
      </w:r>
    </w:p>
    <w:p w:rsidR="007B2FC8" w:rsidRPr="0000503C" w:rsidRDefault="00090562" w:rsidP="00550638">
      <w:pPr>
        <w:pStyle w:val="NormalWeb"/>
        <w:jc w:val="both"/>
        <w:rPr>
          <w:color w:val="FF0000"/>
          <w:u w:val="single"/>
        </w:rPr>
      </w:pPr>
      <w:r>
        <w:rPr>
          <w:color w:val="FF0000"/>
          <w:u w:val="single"/>
        </w:rPr>
        <w:t>Pero no hay ninguna “certidumbre”</w:t>
      </w:r>
      <w:r w:rsidR="007B2FC8" w:rsidRPr="0000503C">
        <w:rPr>
          <w:color w:val="FF0000"/>
          <w:u w:val="single"/>
        </w:rPr>
        <w:t xml:space="preserve">. Alguien que ahora mismo tenga 30 </w:t>
      </w:r>
      <w:r w:rsidR="00587466" w:rsidRPr="0000503C">
        <w:rPr>
          <w:color w:val="FF0000"/>
          <w:u w:val="single"/>
        </w:rPr>
        <w:t>o</w:t>
      </w:r>
      <w:r w:rsidR="007B2FC8" w:rsidRPr="0000503C">
        <w:rPr>
          <w:color w:val="FF0000"/>
          <w:u w:val="single"/>
        </w:rPr>
        <w:t xml:space="preserve"> 35 años y se vaya a jubilar en 2050 </w:t>
      </w:r>
      <w:r w:rsidR="007B2FC8" w:rsidRPr="00DC5B95">
        <w:rPr>
          <w:rStyle w:val="Textoennegrita"/>
          <w:b w:val="0"/>
          <w:color w:val="FF0000"/>
          <w:u w:val="single"/>
        </w:rPr>
        <w:t>no puede saber si tendrá que trabajar hasta los 70 años</w:t>
      </w:r>
      <w:r w:rsidR="007B2FC8" w:rsidRPr="0000503C">
        <w:rPr>
          <w:color w:val="FF0000"/>
          <w:u w:val="single"/>
        </w:rPr>
        <w:t xml:space="preserve"> o incluso más allá. Tampoco puede saber cuánto cobrará, ni las condiciones para tener derecho a una prestación.</w:t>
      </w:r>
    </w:p>
    <w:p w:rsidR="007B2FC8" w:rsidRPr="006F60CB" w:rsidRDefault="007B2FC8" w:rsidP="00550638">
      <w:pPr>
        <w:pStyle w:val="NormalWeb"/>
        <w:jc w:val="both"/>
      </w:pPr>
      <w:r w:rsidRPr="00DC5B95">
        <w:rPr>
          <w:color w:val="FF0000"/>
          <w:u w:val="single"/>
        </w:rPr>
        <w:t>El ahorro privado tampoco garantiza una cantidad fija, pero es el mejor colchón de seguridad</w:t>
      </w:r>
      <w:r w:rsidRPr="006F60CB">
        <w:t xml:space="preserve">. Casi todos nuestros políticos </w:t>
      </w:r>
      <w:r w:rsidRPr="00090562">
        <w:t xml:space="preserve">tienen </w:t>
      </w:r>
      <w:hyperlink r:id="rId675" w:history="1">
        <w:r w:rsidRPr="00090562">
          <w:rPr>
            <w:rStyle w:val="Hipervnculo"/>
            <w:rFonts w:eastAsiaTheme="majorEastAsia"/>
            <w:color w:val="auto"/>
          </w:rPr>
          <w:t>importantes planes de pensiones</w:t>
        </w:r>
      </w:hyperlink>
      <w:r w:rsidRPr="006F60CB">
        <w:t xml:space="preserve"> o inversiones en fondos. Pero luego, cuando hablan para la opinión pública, lo ocultan. Es como si no quisieran que todos disfrutáramos de los beneficios de estos instrumentos, como sí hacen ellos.</w:t>
      </w:r>
    </w:p>
    <w:p w:rsidR="001C1B05" w:rsidRDefault="007B2FC8" w:rsidP="00550638">
      <w:pPr>
        <w:pStyle w:val="NormalWeb"/>
        <w:jc w:val="both"/>
      </w:pPr>
      <w:r w:rsidRPr="00253E1A">
        <w:t>El</w:t>
      </w:r>
      <w:r w:rsidRPr="00253E1A">
        <w:rPr>
          <w:rStyle w:val="Textoennegrita"/>
        </w:rPr>
        <w:t xml:space="preserve"> </w:t>
      </w:r>
      <w:r w:rsidRPr="00DC5B95">
        <w:rPr>
          <w:rStyle w:val="Textoennegrita"/>
          <w:b w:val="0"/>
        </w:rPr>
        <w:t xml:space="preserve">mensaje es que </w:t>
      </w:r>
      <w:r w:rsidR="00090562" w:rsidRPr="00DC5B95">
        <w:rPr>
          <w:rStyle w:val="Textoennegrita"/>
          <w:b w:val="0"/>
          <w:u w:val="single"/>
        </w:rPr>
        <w:t>el sistema público es “sostenible”</w:t>
      </w:r>
      <w:r w:rsidRPr="00DC5B95">
        <w:rPr>
          <w:b/>
          <w:u w:val="single"/>
        </w:rPr>
        <w:t>,</w:t>
      </w:r>
      <w:r w:rsidRPr="0000503C">
        <w:rPr>
          <w:u w:val="single"/>
        </w:rPr>
        <w:t xml:space="preserve"> sin matices, algo especialmente peligroso para aquellos trabajadores de sueldo medio-bajo</w:t>
      </w:r>
      <w:r w:rsidRPr="006F60CB">
        <w:t>, normalmente también los que menos conocimientos financieros poseen. Ellos serán los que tendrán las pensiones más bajas y los que antes deberían empezar a ahorrar para garantizarse su propia cuenta. Otra opción sería habilitar opciones de ahorro privado dentro del sistema público. En Suecia, un 2,5% de las cotizaciones van a un plan individual y, también en este país, están muy extendidos los planes de pensiones empresariales (con aportaciones de empleado y compañía). Nada de esto se plantea en la reforma actual. Sólo hay buenas palabras. En un tema tan importante, quizás no sea suficiente.</w:t>
      </w:r>
    </w:p>
    <w:p w:rsidR="006B2C72" w:rsidRDefault="006B2C72" w:rsidP="00550638">
      <w:pPr>
        <w:pStyle w:val="NormalWeb"/>
        <w:jc w:val="both"/>
      </w:pPr>
    </w:p>
    <w:p w:rsidR="006B2C72" w:rsidRDefault="006B2C72" w:rsidP="00550638">
      <w:pPr>
        <w:pStyle w:val="NormalWeb"/>
        <w:jc w:val="both"/>
      </w:pPr>
    </w:p>
    <w:p w:rsidR="006B2C72" w:rsidRPr="006B2C72" w:rsidRDefault="006B2C72" w:rsidP="00550638">
      <w:pPr>
        <w:pStyle w:val="NormalWeb"/>
        <w:jc w:val="both"/>
        <w:rPr>
          <w:u w:val="single"/>
        </w:rPr>
      </w:pPr>
      <w:r w:rsidRPr="006B2C72">
        <w:rPr>
          <w:u w:val="single"/>
        </w:rPr>
        <w:lastRenderedPageBreak/>
        <w:t>Las fórmulas para la revalorización anual y la sostenibilidad harán que las prestaciones suban menos de lo que habrían subido con la</w:t>
      </w:r>
      <w:r>
        <w:rPr>
          <w:u w:val="single"/>
        </w:rPr>
        <w:t>s reglas actuales</w:t>
      </w:r>
    </w:p>
    <w:p w:rsidR="00166AF9" w:rsidRDefault="00166AF9" w:rsidP="00550638">
      <w:pPr>
        <w:pStyle w:val="NormalWeb"/>
        <w:jc w:val="both"/>
      </w:pPr>
      <w:r>
        <w:t xml:space="preserve">- </w:t>
      </w:r>
      <w:r w:rsidRPr="00E92ED7">
        <w:rPr>
          <w:u w:val="single"/>
        </w:rPr>
        <w:t>El pensionista perderá de media 400 euros al año entre 2014 y 2022</w:t>
      </w:r>
      <w:r>
        <w:t xml:space="preserve"> (Libertad Digital - </w:t>
      </w:r>
      <w:r>
        <w:rPr>
          <w:b/>
        </w:rPr>
        <w:t>16</w:t>
      </w:r>
      <w:r w:rsidRPr="00E92ED7">
        <w:rPr>
          <w:b/>
        </w:rPr>
        <w:t>/9/13</w:t>
      </w:r>
      <w:r>
        <w:t>)</w:t>
      </w:r>
    </w:p>
    <w:p w:rsidR="00166AF9" w:rsidRDefault="006B2C72" w:rsidP="00550638">
      <w:pPr>
        <w:pStyle w:val="NormalWeb"/>
        <w:jc w:val="both"/>
      </w:pPr>
      <w:r>
        <w:t xml:space="preserve"> </w:t>
      </w:r>
      <w:r w:rsidR="00166AF9">
        <w:t>(Por D. Soriano)</w:t>
      </w:r>
      <w:r>
        <w:t xml:space="preserve">                                                    </w:t>
      </w:r>
      <w:r w:rsidR="00DC5B95">
        <w:t xml:space="preserve">                          Lectura</w:t>
      </w:r>
      <w:r>
        <w:t xml:space="preserve"> r</w:t>
      </w:r>
      <w:r w:rsidR="00DC5B95">
        <w:t>ecomendada</w:t>
      </w:r>
    </w:p>
    <w:p w:rsidR="00166AF9" w:rsidRPr="005A39C3" w:rsidRDefault="00166AF9" w:rsidP="00550638">
      <w:pPr>
        <w:pStyle w:val="NormalWeb"/>
        <w:jc w:val="both"/>
        <w:rPr>
          <w:i/>
        </w:rPr>
      </w:pPr>
      <w:r>
        <w:t xml:space="preserve">La Seguridad Social </w:t>
      </w:r>
      <w:hyperlink r:id="rId676" w:history="1">
        <w:r w:rsidRPr="006B2C72">
          <w:rPr>
            <w:rStyle w:val="Hipervnculo"/>
            <w:rFonts w:eastAsiaTheme="majorEastAsia"/>
            <w:color w:val="auto"/>
          </w:rPr>
          <w:t>se ahorrará 33.000 millones</w:t>
        </w:r>
      </w:hyperlink>
      <w:r w:rsidRPr="006B2C72">
        <w:t xml:space="preserve"> de euros en la próxima década gracias a la reforma de las pensiones que prepara el Gobierno, según el informe remitido este lunes por el </w:t>
      </w:r>
      <w:r w:rsidRPr="00DC5B95">
        <w:rPr>
          <w:rStyle w:val="Textoennegrita"/>
          <w:b w:val="0"/>
        </w:rPr>
        <w:t>Ministerio de Empleo al Consejo Económico y Social</w:t>
      </w:r>
      <w:r w:rsidRPr="006B2C72">
        <w:t>. Con esta reducción en el gasto, el departamento di</w:t>
      </w:r>
      <w:r w:rsidR="006B2C72">
        <w:t>rigido por Fátima Báñez espera “</w:t>
      </w:r>
      <w:r w:rsidRPr="006B2C72">
        <w:t>reducir los desequ</w:t>
      </w:r>
      <w:r w:rsidR="006B2C72">
        <w:t>ilibrios”</w:t>
      </w:r>
      <w:r w:rsidRPr="006B2C72">
        <w:t xml:space="preserve"> de un sistema que está al borde de su capacidad de resistencia y que se enfrenta a una trampa demográfica en las próximas décadas, cuando empiece a jubilarse la generación del </w:t>
      </w:r>
      <w:r w:rsidR="005A39C3">
        <w:t>“</w:t>
      </w:r>
      <w:r w:rsidRPr="005A39C3">
        <w:rPr>
          <w:rStyle w:val="nfasis"/>
          <w:i w:val="0"/>
        </w:rPr>
        <w:t>baby boom</w:t>
      </w:r>
      <w:r w:rsidR="005A39C3">
        <w:rPr>
          <w:rStyle w:val="nfasis"/>
          <w:i w:val="0"/>
        </w:rPr>
        <w:t>”</w:t>
      </w:r>
      <w:r w:rsidRPr="005A39C3">
        <w:rPr>
          <w:i/>
        </w:rPr>
        <w:t>.</w:t>
      </w:r>
    </w:p>
    <w:p w:rsidR="00166AF9" w:rsidRPr="006B2C72" w:rsidRDefault="00166AF9" w:rsidP="00550638">
      <w:pPr>
        <w:pStyle w:val="NormalWeb"/>
        <w:jc w:val="both"/>
        <w:rPr>
          <w:u w:val="single"/>
        </w:rPr>
      </w:pPr>
      <w:r w:rsidRPr="006B2C72">
        <w:rPr>
          <w:u w:val="single"/>
        </w:rPr>
        <w:t xml:space="preserve">Probablemente, la reforma sea imprescindible para mantener en pie el </w:t>
      </w:r>
      <w:hyperlink r:id="rId677" w:history="1">
        <w:r w:rsidRPr="006B2C72">
          <w:rPr>
            <w:rStyle w:val="Hipervnculo"/>
            <w:rFonts w:eastAsiaTheme="majorEastAsia"/>
            <w:color w:val="auto"/>
          </w:rPr>
          <w:t>actual modelo de reparto</w:t>
        </w:r>
      </w:hyperlink>
      <w:r w:rsidRPr="006B2C72">
        <w:rPr>
          <w:u w:val="single"/>
        </w:rPr>
        <w:t>, que está en peligro, por mucho que los políticos repitan constanteme</w:t>
      </w:r>
      <w:r w:rsidR="006B2C72">
        <w:rPr>
          <w:u w:val="single"/>
        </w:rPr>
        <w:t>nte el mantra de la “</w:t>
      </w:r>
      <w:hyperlink r:id="rId678" w:history="1">
        <w:r w:rsidRPr="006B2C72">
          <w:rPr>
            <w:rStyle w:val="Hipervnculo"/>
            <w:rFonts w:eastAsiaTheme="majorEastAsia"/>
            <w:color w:val="auto"/>
          </w:rPr>
          <w:t>sostenibilidad del sistema</w:t>
        </w:r>
      </w:hyperlink>
      <w:r w:rsidR="006B2C72">
        <w:rPr>
          <w:u w:val="single"/>
        </w:rPr>
        <w:t>”</w:t>
      </w:r>
      <w:r w:rsidRPr="006B2C72">
        <w:rPr>
          <w:u w:val="single"/>
        </w:rPr>
        <w:t>. Pero su aplicación tendrá consecuencias importantes sobre los pensionistas, los actuales y, sobre todo, los que comiencen a jubilarse en las próximas década</w:t>
      </w:r>
      <w:r w:rsidR="006B2C72">
        <w:rPr>
          <w:u w:val="single"/>
        </w:rPr>
        <w:t>s</w:t>
      </w:r>
      <w:r w:rsidRPr="006B2C72">
        <w:rPr>
          <w:u w:val="single"/>
        </w:rPr>
        <w:t>.</w:t>
      </w:r>
    </w:p>
    <w:p w:rsidR="00166AF9" w:rsidRPr="00DF150F" w:rsidRDefault="00166AF9" w:rsidP="00550638">
      <w:pPr>
        <w:pStyle w:val="NormalWeb"/>
        <w:jc w:val="both"/>
        <w:rPr>
          <w:color w:val="FF0000"/>
          <w:u w:val="single"/>
        </w:rPr>
      </w:pPr>
      <w:r w:rsidRPr="00DF150F">
        <w:rPr>
          <w:color w:val="FF0000"/>
          <w:u w:val="single"/>
        </w:rPr>
        <w:t xml:space="preserve">Cada jubilado perderá (o más bien </w:t>
      </w:r>
      <w:r w:rsidRPr="00DC5B95">
        <w:rPr>
          <w:rStyle w:val="Textoennegrita"/>
          <w:b w:val="0"/>
          <w:color w:val="FF0000"/>
          <w:u w:val="single"/>
        </w:rPr>
        <w:t>dejará de ingresar</w:t>
      </w:r>
      <w:r w:rsidRPr="00DF150F">
        <w:rPr>
          <w:color w:val="FF0000"/>
          <w:u w:val="single"/>
        </w:rPr>
        <w:t xml:space="preserve">) unos 400 euros al año de media. Esto no quiere decir que </w:t>
      </w:r>
      <w:r w:rsidRPr="00DC5B95">
        <w:rPr>
          <w:rStyle w:val="Textoennegrita"/>
          <w:b w:val="0"/>
          <w:color w:val="FF0000"/>
          <w:u w:val="single"/>
        </w:rPr>
        <w:t>ningún pensionista vaya a ver reducida su actual prestación</w:t>
      </w:r>
      <w:r w:rsidRPr="00DF150F">
        <w:rPr>
          <w:color w:val="FF0000"/>
          <w:u w:val="single"/>
        </w:rPr>
        <w:t>. Simplemente, las nuevas fórmulas que se utilizarán para la revalorización anual y la sostenibilidad del sistema harán que su paga suba menos de lo que habría subido con las reglas actuales.</w:t>
      </w:r>
    </w:p>
    <w:p w:rsidR="00166AF9" w:rsidRPr="006B2C72" w:rsidRDefault="00166AF9" w:rsidP="00550638">
      <w:pPr>
        <w:pStyle w:val="Ttulo3"/>
        <w:spacing w:line="240" w:lineRule="auto"/>
        <w:jc w:val="both"/>
        <w:rPr>
          <w:rFonts w:ascii="Times New Roman" w:hAnsi="Times New Roman" w:cs="Times New Roman"/>
          <w:color w:val="auto"/>
          <w:sz w:val="24"/>
          <w:szCs w:val="24"/>
        </w:rPr>
      </w:pPr>
      <w:r w:rsidRPr="006B2C72">
        <w:rPr>
          <w:rStyle w:val="Textoennegrita"/>
          <w:rFonts w:ascii="Times New Roman" w:hAnsi="Times New Roman" w:cs="Times New Roman"/>
          <w:color w:val="auto"/>
          <w:sz w:val="24"/>
          <w:szCs w:val="24"/>
        </w:rPr>
        <w:t>Las dos fórmulas</w:t>
      </w:r>
    </w:p>
    <w:p w:rsidR="00166AF9" w:rsidRPr="00DF150F" w:rsidRDefault="00166AF9" w:rsidP="00550638">
      <w:pPr>
        <w:pStyle w:val="NormalWeb"/>
        <w:jc w:val="both"/>
        <w:rPr>
          <w:color w:val="FF0000"/>
          <w:u w:val="single"/>
        </w:rPr>
      </w:pPr>
      <w:r w:rsidRPr="00DF150F">
        <w:rPr>
          <w:color w:val="FF0000"/>
          <w:u w:val="single"/>
        </w:rPr>
        <w:t xml:space="preserve">Esta nueva reforma de las pensiones introduce dos cambios en la forma de calcularlas. Por un lado, se introduce un nuevo índice que sustituye al IPC. Ahora, en enero, no será la inflación la que determine la cuantía de la subida de las prestaciones sino el </w:t>
      </w:r>
      <w:r w:rsidRPr="00DC5B95">
        <w:rPr>
          <w:rStyle w:val="Textoennegrita"/>
          <w:b w:val="0"/>
          <w:color w:val="FF0000"/>
          <w:u w:val="single"/>
        </w:rPr>
        <w:t>nuevo Factor de Revalorización (FR)</w:t>
      </w:r>
      <w:r w:rsidRPr="00DC5B95">
        <w:rPr>
          <w:b/>
          <w:color w:val="FF0000"/>
          <w:u w:val="single"/>
        </w:rPr>
        <w:t>,</w:t>
      </w:r>
      <w:r w:rsidRPr="00DF150F">
        <w:rPr>
          <w:color w:val="FF0000"/>
          <w:u w:val="single"/>
        </w:rPr>
        <w:t xml:space="preserve"> que tendrá en cuenta los ingresos y gastos del sistema a lo largo de una década (los cinco años anteriores y los cinco posteriores al año de referencia). En términos generales, podría decirse que si hay un superávit previsto para esos 11 años, el FR será superior a la inflación; si hay déficit, será inferior.</w:t>
      </w:r>
    </w:p>
    <w:p w:rsidR="00166AF9" w:rsidRPr="00DF150F" w:rsidRDefault="00166AF9" w:rsidP="00550638">
      <w:pPr>
        <w:pStyle w:val="NormalWeb"/>
        <w:jc w:val="both"/>
        <w:rPr>
          <w:u w:val="single"/>
        </w:rPr>
      </w:pPr>
      <w:r w:rsidRPr="00DF150F">
        <w:rPr>
          <w:u w:val="single"/>
        </w:rPr>
        <w:t>Báñez no se ha cansado de repetir que</w:t>
      </w:r>
      <w:r w:rsidRPr="00DF150F">
        <w:rPr>
          <w:rStyle w:val="Textoennegrita"/>
          <w:u w:val="single"/>
        </w:rPr>
        <w:t xml:space="preserve"> </w:t>
      </w:r>
      <w:r w:rsidRPr="00DC5B95">
        <w:rPr>
          <w:rStyle w:val="Textoennegrita"/>
          <w:b w:val="0"/>
          <w:u w:val="single"/>
        </w:rPr>
        <w:t>este FR tiene un suelo del 0,25%</w:t>
      </w:r>
      <w:r w:rsidRPr="00DF150F">
        <w:rPr>
          <w:u w:val="single"/>
        </w:rPr>
        <w:t xml:space="preserve"> y un techo del IPC+0,25%. Por lo tanto, es teóricamente posible que suban por encima de la inflación, aunque las proyecciones para los próximos años no apuntan precisamente en esa dirección. Lo normal es que las subidas hasta 2020 se mantengan cercanas a ese mínimo, mientras que lo lógico es que el IPC esté por encima de esa cifra.</w:t>
      </w:r>
    </w:p>
    <w:p w:rsidR="00166AF9" w:rsidRPr="00DF150F" w:rsidRDefault="00166AF9" w:rsidP="00550638">
      <w:pPr>
        <w:pStyle w:val="NormalWeb"/>
        <w:jc w:val="both"/>
        <w:rPr>
          <w:color w:val="FF0000"/>
          <w:u w:val="single"/>
        </w:rPr>
      </w:pPr>
      <w:r w:rsidRPr="00DF150F">
        <w:rPr>
          <w:color w:val="FF0000"/>
          <w:u w:val="single"/>
        </w:rPr>
        <w:t xml:space="preserve">El segundo elemento entrará en juego en 2019. Se trata del </w:t>
      </w:r>
      <w:r w:rsidRPr="00DC5B95">
        <w:rPr>
          <w:rStyle w:val="Textoennegrita"/>
          <w:b w:val="0"/>
          <w:color w:val="FF0000"/>
          <w:u w:val="single"/>
        </w:rPr>
        <w:t>Factor de Sostenibilidad puro</w:t>
      </w:r>
      <w:r w:rsidRPr="00DF150F">
        <w:rPr>
          <w:color w:val="FF0000"/>
          <w:u w:val="single"/>
        </w:rPr>
        <w:t>. Se calculará cada cinco años y reducirá la pensión de los nuevos jubilados en función de la esperanza de vida cuando alcancen los 67 años, la nueva edad legal que se aprobó en la reforma del anterior Gobierno. Serán reducciones pequeñas (un 6% acumulado en cada década desde 2020 a 2050), que se sumarán a las pérdidas de poder adquisitivo determinadas por el FR.</w:t>
      </w:r>
    </w:p>
    <w:p w:rsidR="00166AF9" w:rsidRPr="006B2C72" w:rsidRDefault="00166AF9" w:rsidP="00550638">
      <w:pPr>
        <w:pStyle w:val="Ttulo3"/>
        <w:spacing w:line="240" w:lineRule="auto"/>
        <w:jc w:val="both"/>
        <w:rPr>
          <w:rFonts w:ascii="Times New Roman" w:hAnsi="Times New Roman" w:cs="Times New Roman"/>
          <w:b w:val="0"/>
          <w:color w:val="auto"/>
          <w:sz w:val="24"/>
          <w:szCs w:val="24"/>
        </w:rPr>
      </w:pPr>
      <w:r w:rsidRPr="006B2C72">
        <w:rPr>
          <w:rFonts w:ascii="Times New Roman" w:hAnsi="Times New Roman" w:cs="Times New Roman"/>
          <w:b w:val="0"/>
          <w:color w:val="auto"/>
          <w:sz w:val="24"/>
          <w:szCs w:val="24"/>
        </w:rPr>
        <w:lastRenderedPageBreak/>
        <w:t>Las cuentas</w:t>
      </w:r>
    </w:p>
    <w:p w:rsidR="00166AF9" w:rsidRDefault="00166AF9" w:rsidP="00550638">
      <w:pPr>
        <w:pStyle w:val="NormalWeb"/>
        <w:jc w:val="both"/>
      </w:pPr>
      <w:r>
        <w:t xml:space="preserve">El Gobierno ha presentado la siguiente tabla. Son sus cálculos de cuánto se ahorrarán con la reforma. Van de los 809 millones en 2014, el primer año de aplicación, a los 4.931 millones en 2022. En total, hablamos de </w:t>
      </w:r>
      <w:r w:rsidRPr="00DC5B95">
        <w:rPr>
          <w:rStyle w:val="Textoennegrita"/>
          <w:b w:val="0"/>
        </w:rPr>
        <w:t>33.000 millones de euros</w:t>
      </w:r>
      <w:r>
        <w:t xml:space="preserve"> en la próxima década. Todo el documento </w:t>
      </w:r>
      <w:r w:rsidR="006B2C72">
        <w:t>presentado por Empleo habla de “ahorro”</w:t>
      </w:r>
      <w:r>
        <w:t>, pero esto tiene otra cara, el dinero que dejará de percibir cada pensionista.</w:t>
      </w:r>
    </w:p>
    <w:p w:rsidR="00166AF9" w:rsidRDefault="00166AF9" w:rsidP="00550638">
      <w:pPr>
        <w:pStyle w:val="NormalWeb"/>
        <w:jc w:val="both"/>
      </w:pPr>
      <w:r>
        <w:tab/>
      </w:r>
      <w:r>
        <w:tab/>
      </w:r>
      <w:r>
        <w:tab/>
      </w:r>
      <w:r>
        <w:rPr>
          <w:noProof/>
        </w:rPr>
        <w:drawing>
          <wp:inline distT="0" distB="0" distL="0" distR="0" wp14:anchorId="5195C4C9" wp14:editId="79AB3FBD">
            <wp:extent cx="2369820" cy="2487168"/>
            <wp:effectExtent l="0" t="0" r="0" b="8890"/>
            <wp:docPr id="45" name="Imagen 45" descr="http://s.libertaddigital.com/fotos/noticias/pensio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ibertaddigital.com/fotos/noticias/pensiones.jpg"/>
                    <pic:cNvPicPr>
                      <a:picLocks noChangeAspect="1" noChangeArrowheads="1"/>
                    </pic:cNvPicPr>
                  </pic:nvPicPr>
                  <pic:blipFill>
                    <a:blip r:embed="rId679">
                      <a:extLst>
                        <a:ext uri="{28A0092B-C50C-407E-A947-70E740481C1C}">
                          <a14:useLocalDpi xmlns:a14="http://schemas.microsoft.com/office/drawing/2010/main" val="0"/>
                        </a:ext>
                      </a:extLst>
                    </a:blip>
                    <a:srcRect/>
                    <a:stretch>
                      <a:fillRect/>
                    </a:stretch>
                  </pic:blipFill>
                  <pic:spPr bwMode="auto">
                    <a:xfrm>
                      <a:off x="0" y="0"/>
                      <a:ext cx="2369820" cy="2487168"/>
                    </a:xfrm>
                    <a:prstGeom prst="rect">
                      <a:avLst/>
                    </a:prstGeom>
                    <a:noFill/>
                    <a:ln>
                      <a:noFill/>
                    </a:ln>
                  </pic:spPr>
                </pic:pic>
              </a:graphicData>
            </a:graphic>
          </wp:inline>
        </w:drawing>
      </w:r>
    </w:p>
    <w:p w:rsidR="00166AF9" w:rsidRDefault="00166AF9" w:rsidP="00550638">
      <w:pPr>
        <w:pStyle w:val="NormalWeb"/>
        <w:jc w:val="both"/>
      </w:pPr>
      <w:r>
        <w:t xml:space="preserve">En diciembre de 2012, había </w:t>
      </w:r>
      <w:r w:rsidRPr="007141E2">
        <w:rPr>
          <w:rStyle w:val="Textoennegrita"/>
          <w:b w:val="0"/>
        </w:rPr>
        <w:t>en España 8.182.112 pensionistas</w:t>
      </w:r>
      <w:r>
        <w:t xml:space="preserve"> (aunque casi 9 millones de pensiones). En ese último ejercicio, el sistema tuvo 120.327 nuevos beneficiarios en términos netos. Teniendo en cuenta que las condiciones de acceso a la jubilación (normal y anticipada) se han endurecido, podemos hacer una estimación conservadora y hablar de unos 125.000 nuevos pensionistas desde ahora hasta 2022.</w:t>
      </w:r>
    </w:p>
    <w:p w:rsidR="00166AF9" w:rsidRPr="00DF150F" w:rsidRDefault="00166AF9" w:rsidP="00550638">
      <w:pPr>
        <w:pStyle w:val="NormalWeb"/>
        <w:jc w:val="both"/>
        <w:rPr>
          <w:color w:val="FF0000"/>
          <w:u w:val="single"/>
        </w:rPr>
      </w:pPr>
      <w:r w:rsidRPr="00DF150F">
        <w:rPr>
          <w:color w:val="FF0000"/>
          <w:u w:val="single"/>
        </w:rPr>
        <w:t xml:space="preserve">Para saber cómo afectará la norma a cada jubilado, sólo hay que dividir el ahorro previsto por el Gobierno entre el número de pensionistas. Por ejemplo, en 2014, los casi </w:t>
      </w:r>
      <w:r w:rsidRPr="007141E2">
        <w:rPr>
          <w:rStyle w:val="Textoennegrita"/>
          <w:b w:val="0"/>
          <w:color w:val="FF0000"/>
          <w:u w:val="single"/>
        </w:rPr>
        <w:t>8,5 millones de beneficiarios</w:t>
      </w:r>
      <w:r w:rsidRPr="00DF150F">
        <w:rPr>
          <w:color w:val="FF0000"/>
          <w:u w:val="single"/>
        </w:rPr>
        <w:t xml:space="preserve"> de la Seguridad Social perderán (o, más bien, dejarán de ganar con el nuevo cálculo) 809 millones. Tocan a unos 94 euros al año por cabeza. No todos perderán lo mismo. Las pensiones más altas verán un recorte algo mayor.</w:t>
      </w:r>
    </w:p>
    <w:p w:rsidR="00166AF9" w:rsidRDefault="00166AF9" w:rsidP="00550638">
      <w:pPr>
        <w:pStyle w:val="NormalWeb"/>
        <w:jc w:val="both"/>
        <w:rPr>
          <w:color w:val="FF0000"/>
          <w:u w:val="single"/>
        </w:rPr>
      </w:pPr>
      <w:r w:rsidRPr="00DF150F">
        <w:rPr>
          <w:color w:val="FF0000"/>
          <w:u w:val="single"/>
        </w:rPr>
        <w:t xml:space="preserve">En 2022, el </w:t>
      </w:r>
      <w:r w:rsidRPr="007141E2">
        <w:rPr>
          <w:rStyle w:val="Textoennegrita"/>
          <w:b w:val="0"/>
          <w:color w:val="FF0000"/>
          <w:u w:val="single"/>
        </w:rPr>
        <w:t>número de jubilados podría rozar los 9,5 millones</w:t>
      </w:r>
      <w:r w:rsidRPr="00DF150F">
        <w:rPr>
          <w:color w:val="FF0000"/>
          <w:u w:val="single"/>
        </w:rPr>
        <w:t xml:space="preserve"> (siguiendo un cálculo bastante conservador). El ahorro previsto en ese ejercicio es de casi 5.000 millones. Por lo tanto, cada jubilado </w:t>
      </w:r>
      <w:r w:rsidR="005A39C3">
        <w:rPr>
          <w:color w:val="FF0000"/>
          <w:u w:val="single"/>
        </w:rPr>
        <w:t>“</w:t>
      </w:r>
      <w:r w:rsidRPr="005A39C3">
        <w:rPr>
          <w:rStyle w:val="nfasis"/>
          <w:i w:val="0"/>
          <w:color w:val="FF0000"/>
          <w:u w:val="single"/>
        </w:rPr>
        <w:t>dejaría de ganar</w:t>
      </w:r>
      <w:r w:rsidR="005A39C3">
        <w:rPr>
          <w:rStyle w:val="nfasis"/>
          <w:i w:val="0"/>
          <w:color w:val="FF0000"/>
          <w:u w:val="single"/>
        </w:rPr>
        <w:t>”</w:t>
      </w:r>
      <w:r w:rsidR="00874E84">
        <w:rPr>
          <w:color w:val="FF0000"/>
          <w:u w:val="single"/>
        </w:rPr>
        <w:t xml:space="preserve"> unos 520 euros al año</w:t>
      </w:r>
      <w:r w:rsidRPr="00DF150F">
        <w:rPr>
          <w:color w:val="FF0000"/>
          <w:u w:val="single"/>
        </w:rPr>
        <w:t>. De hecho, desde 2018 a 2022, la pérdida anual superará los 500 euros. Hay que repetir que esto no quiere decir que las pensiones se verán reducidas en esta cantidad; sino que la dejarán de ganar respecto a los criterios actuales. En total, en la próxima década, y con estos cálculos aproximados de número de nuevos beneficiarios, hablamos de unos 400 euros menos al año de media para cada pensionista.</w:t>
      </w:r>
    </w:p>
    <w:p w:rsidR="006B2C72" w:rsidRPr="006B2C72" w:rsidRDefault="006B2C72" w:rsidP="00550638">
      <w:pPr>
        <w:pStyle w:val="NormalWeb"/>
        <w:jc w:val="both"/>
        <w:rPr>
          <w:u w:val="single"/>
        </w:rPr>
      </w:pPr>
      <w:r w:rsidRPr="006B2C72">
        <w:rPr>
          <w:u w:val="single"/>
        </w:rPr>
        <w:t>Según la “izquierda” española, las pensiones son viables (quien quiera creer que crea)</w:t>
      </w:r>
    </w:p>
    <w:p w:rsidR="00166AF9" w:rsidRDefault="00166AF9" w:rsidP="00550638">
      <w:pPr>
        <w:pStyle w:val="NormalWeb"/>
        <w:jc w:val="both"/>
      </w:pPr>
      <w:r>
        <w:t xml:space="preserve">- </w:t>
      </w:r>
      <w:r w:rsidR="006B2C72">
        <w:rPr>
          <w:u w:val="single"/>
        </w:rPr>
        <w:t>Los “sabios”</w:t>
      </w:r>
      <w:r w:rsidRPr="00E60A90">
        <w:rPr>
          <w:u w:val="single"/>
        </w:rPr>
        <w:t xml:space="preserve"> de la izquierda contestan a los de Báñez: las pensiones son viables</w:t>
      </w:r>
      <w:r>
        <w:t xml:space="preserve"> (El Confidencial - </w:t>
      </w:r>
      <w:r w:rsidRPr="00E60A90">
        <w:rPr>
          <w:b/>
        </w:rPr>
        <w:t>24/9/13</w:t>
      </w:r>
      <w:r>
        <w:t>)</w:t>
      </w:r>
    </w:p>
    <w:p w:rsidR="00166AF9" w:rsidRDefault="00166AF9" w:rsidP="00550638">
      <w:pPr>
        <w:pStyle w:val="NormalWeb"/>
        <w:jc w:val="both"/>
      </w:pPr>
      <w:r>
        <w:t>(Por Carlos Sánchez)</w:t>
      </w:r>
      <w:r w:rsidR="006B2C72">
        <w:t xml:space="preserve">                                                                         Lectura recomendada</w:t>
      </w:r>
    </w:p>
    <w:p w:rsidR="00166AF9" w:rsidRDefault="00166AF9" w:rsidP="00550638">
      <w:pPr>
        <w:pStyle w:val="NormalWeb"/>
        <w:jc w:val="both"/>
      </w:pPr>
      <w:r>
        <w:lastRenderedPageBreak/>
        <w:t xml:space="preserve">La batalla </w:t>
      </w:r>
      <w:r w:rsidRPr="007141E2">
        <w:rPr>
          <w:rStyle w:val="Textoennegrita"/>
          <w:b w:val="0"/>
        </w:rPr>
        <w:t>ideológica</w:t>
      </w:r>
      <w:r>
        <w:t xml:space="preserve"> alrededor de la </w:t>
      </w:r>
      <w:hyperlink r:id="rId680" w:history="1">
        <w:r w:rsidRPr="005E6BC2">
          <w:rPr>
            <w:rStyle w:val="Hipervnculo"/>
            <w:rFonts w:eastAsiaTheme="minorEastAsia"/>
            <w:color w:val="auto"/>
          </w:rPr>
          <w:t>próxima</w:t>
        </w:r>
      </w:hyperlink>
      <w:r w:rsidRPr="005E6BC2">
        <w:t xml:space="preserve"> </w:t>
      </w:r>
      <w:r>
        <w:t xml:space="preserve">reforma de las pensiones, va en aumento. Ahora son 24 expertos -el doble de los convocados por el Gobierno- quienes critican duramente los cambios planteados por la ministra </w:t>
      </w:r>
      <w:r w:rsidRPr="007141E2">
        <w:rPr>
          <w:rStyle w:val="Textoennegrita"/>
          <w:b w:val="0"/>
        </w:rPr>
        <w:t>Báñez</w:t>
      </w:r>
      <w:r>
        <w:t xml:space="preserve">. Y lo hacen con un argumento central: la reforma del sistema público de pensiones se ha planteado siempre “como un problema </w:t>
      </w:r>
      <w:r w:rsidRPr="007141E2">
        <w:rPr>
          <w:rStyle w:val="Textoennegrita"/>
          <w:b w:val="0"/>
        </w:rPr>
        <w:t>técnico</w:t>
      </w:r>
      <w:r w:rsidRPr="007141E2">
        <w:rPr>
          <w:b/>
        </w:rPr>
        <w:t xml:space="preserve"> </w:t>
      </w:r>
      <w:r>
        <w:t xml:space="preserve">cuando es un problema </w:t>
      </w:r>
      <w:r w:rsidRPr="007141E2">
        <w:rPr>
          <w:rStyle w:val="Textoennegrita"/>
          <w:b w:val="0"/>
        </w:rPr>
        <w:t>político”</w:t>
      </w:r>
      <w:r>
        <w:t>.</w:t>
      </w:r>
    </w:p>
    <w:p w:rsidR="00166AF9" w:rsidRPr="005B2EB5" w:rsidRDefault="00166AF9" w:rsidP="00550638">
      <w:pPr>
        <w:pStyle w:val="NormalWeb"/>
        <w:jc w:val="both"/>
        <w:rPr>
          <w:u w:val="single"/>
        </w:rPr>
      </w:pPr>
      <w:r w:rsidRPr="005B2EB5">
        <w:rPr>
          <w:color w:val="FF0000"/>
          <w:u w:val="single"/>
        </w:rPr>
        <w:t xml:space="preserve">En opinión de estos economistas, “se ha querido enmarcar como una cuestión de insuficiencia de medios, cuando en realidad el quid de la cuestión es la </w:t>
      </w:r>
      <w:r w:rsidRPr="007141E2">
        <w:rPr>
          <w:rStyle w:val="Textoennegrita"/>
          <w:b w:val="0"/>
          <w:color w:val="FF0000"/>
          <w:u w:val="single"/>
        </w:rPr>
        <w:t>distribución de la renta</w:t>
      </w:r>
      <w:r w:rsidRPr="007141E2">
        <w:rPr>
          <w:b/>
          <w:color w:val="FF0000"/>
          <w:u w:val="single"/>
        </w:rPr>
        <w:t>”</w:t>
      </w:r>
      <w:r w:rsidRPr="005B2EB5">
        <w:rPr>
          <w:color w:val="FF0000"/>
          <w:u w:val="single"/>
        </w:rPr>
        <w:t>.</w:t>
      </w:r>
      <w:r w:rsidRPr="005B2EB5">
        <w:rPr>
          <w:color w:val="FF0000"/>
        </w:rPr>
        <w:t xml:space="preserve"> </w:t>
      </w:r>
      <w:r w:rsidRPr="005B2EB5">
        <w:rPr>
          <w:u w:val="single"/>
        </w:rPr>
        <w:t xml:space="preserve">Y ponen como ejemplo que en 1993 la Fundación BBVA contrató a 34 </w:t>
      </w:r>
      <w:r w:rsidRPr="005B2EB5">
        <w:rPr>
          <w:rStyle w:val="nfasis"/>
          <w:u w:val="single"/>
        </w:rPr>
        <w:t>sabios</w:t>
      </w:r>
      <w:r w:rsidRPr="005B2EB5">
        <w:rPr>
          <w:u w:val="single"/>
        </w:rPr>
        <w:t xml:space="preserve">, expertos y técnicos para que estudiasen el tema de las pensiones. Se concluyó que en el año 2000 el </w:t>
      </w:r>
      <w:r w:rsidRPr="00253E1A">
        <w:rPr>
          <w:rStyle w:val="Textoennegrita"/>
          <w:b w:val="0"/>
          <w:u w:val="single"/>
        </w:rPr>
        <w:t>desajuste</w:t>
      </w:r>
      <w:r w:rsidRPr="005B2EB5">
        <w:rPr>
          <w:u w:val="single"/>
        </w:rPr>
        <w:t xml:space="preserve"> entre ingresos y gastos de la Seguridad Social habría aumentado en una cantidad equivalente al 2% del PIB. Pero lo cierto es que el año 2000 llegó “y no se produjo prácticamente nada de lo que pronosticaron. De hecho, se registró un superávit del 0,4%”.</w:t>
      </w:r>
    </w:p>
    <w:p w:rsidR="00166AF9" w:rsidRDefault="00166AF9" w:rsidP="00550638">
      <w:pPr>
        <w:pStyle w:val="NormalWeb"/>
        <w:jc w:val="both"/>
      </w:pPr>
      <w:r>
        <w:t xml:space="preserve">Los expertos parten para su análisis de un principio. </w:t>
      </w:r>
      <w:r w:rsidRPr="005B2EB5">
        <w:rPr>
          <w:color w:val="FF0000"/>
          <w:u w:val="single"/>
        </w:rPr>
        <w:t xml:space="preserve">El factor más importante para garantizar la viabilidad del sistema “no es el número de personas dispuestas a trabajar, sino </w:t>
      </w:r>
      <w:r w:rsidRPr="007141E2">
        <w:rPr>
          <w:rStyle w:val="Textoennegrita"/>
          <w:b w:val="0"/>
          <w:color w:val="FF0000"/>
          <w:u w:val="single"/>
        </w:rPr>
        <w:t>las que realmente puedan hacerlo</w:t>
      </w:r>
      <w:r w:rsidRPr="007141E2">
        <w:rPr>
          <w:b/>
          <w:color w:val="FF0000"/>
          <w:u w:val="single"/>
        </w:rPr>
        <w:t>”.</w:t>
      </w:r>
      <w:r w:rsidRPr="005B2EB5">
        <w:rPr>
          <w:color w:val="FF0000"/>
          <w:u w:val="single"/>
        </w:rPr>
        <w:t xml:space="preserve"> </w:t>
      </w:r>
      <w:r w:rsidRPr="005B2EB5">
        <w:rPr>
          <w:u w:val="single"/>
        </w:rPr>
        <w:t>Y en este sentido, critican la decisión de retrasar la edad de jubilación, que, en su opinión,  carece de todo sentido cuando existe un altísimo nivel de paro</w:t>
      </w:r>
      <w:r w:rsidRPr="005B2EB5">
        <w:rPr>
          <w:rStyle w:val="nfasis"/>
          <w:u w:val="single"/>
        </w:rPr>
        <w:t xml:space="preserve">. </w:t>
      </w:r>
      <w:r w:rsidRPr="005B2EB5">
        <w:rPr>
          <w:u w:val="single"/>
        </w:rPr>
        <w:t>En 2013, en España, con 6 millones largos de parados, elevar la edad de jubilación de los 65  a los 67 años “no tiene demasiada lógica”, sostienen</w:t>
      </w:r>
      <w:r>
        <w:t>.</w:t>
      </w:r>
    </w:p>
    <w:p w:rsidR="00166AF9" w:rsidRPr="005B2EB5" w:rsidRDefault="00166AF9" w:rsidP="00550638">
      <w:pPr>
        <w:pStyle w:val="NormalWeb"/>
        <w:jc w:val="both"/>
        <w:rPr>
          <w:u w:val="single"/>
        </w:rPr>
      </w:pPr>
      <w:r w:rsidRPr="005B2EB5">
        <w:rPr>
          <w:color w:val="FF0000"/>
          <w:u w:val="single"/>
        </w:rPr>
        <w:t xml:space="preserve">La clave, según ellos, es la </w:t>
      </w:r>
      <w:r w:rsidRPr="007141E2">
        <w:rPr>
          <w:rStyle w:val="Textoennegrita"/>
          <w:b w:val="0"/>
          <w:color w:val="FF0000"/>
          <w:u w:val="single"/>
        </w:rPr>
        <w:t>productividad</w:t>
      </w:r>
      <w:r w:rsidRPr="007141E2">
        <w:rPr>
          <w:rStyle w:val="Textoennegrita"/>
          <w:b w:val="0"/>
        </w:rPr>
        <w:t>.</w:t>
      </w:r>
      <w:r>
        <w:t xml:space="preserve"> Y recuerdan que 100 trabajadores pueden producir lo mismo que 1.000 si su productividad es diez veces superior, </w:t>
      </w:r>
      <w:r w:rsidRPr="005B2EB5">
        <w:rPr>
          <w:u w:val="single"/>
        </w:rPr>
        <w:t xml:space="preserve">“de tal modo que los que cuestionan la viabilidad de las pensiones públicas cometen un </w:t>
      </w:r>
      <w:r w:rsidRPr="006B60FC">
        <w:rPr>
          <w:rStyle w:val="Textoennegrita"/>
          <w:b w:val="0"/>
          <w:u w:val="single"/>
        </w:rPr>
        <w:t>gran error</w:t>
      </w:r>
      <w:r w:rsidRPr="005B2EB5">
        <w:rPr>
          <w:u w:val="single"/>
        </w:rPr>
        <w:t xml:space="preserve"> al basar sus argumentos únicamente en la relación del número de trabajadores por pensionistas pues, aun cuando esta proporción se reduzca en el futuro, lo producido por cada trabajador será mucho mayor”.</w:t>
      </w:r>
    </w:p>
    <w:p w:rsidR="00166AF9" w:rsidRPr="007141E2" w:rsidRDefault="00166AF9" w:rsidP="00550638">
      <w:pPr>
        <w:pStyle w:val="NormalWeb"/>
        <w:jc w:val="both"/>
      </w:pPr>
      <w:r>
        <w:t xml:space="preserve">Entre los expertos se encuentran, </w:t>
      </w:r>
      <w:r w:rsidRPr="007141E2">
        <w:rPr>
          <w:rStyle w:val="Textoennegrita"/>
          <w:b w:val="0"/>
        </w:rPr>
        <w:t>Francisco Javier Braña</w:t>
      </w:r>
      <w:r w:rsidRPr="007141E2">
        <w:rPr>
          <w:rStyle w:val="Textoennegrita"/>
        </w:rPr>
        <w:t xml:space="preserve"> </w:t>
      </w:r>
      <w:r w:rsidRPr="007141E2">
        <w:t xml:space="preserve">catedrático de Economía Aplicada en la Universidad de Salamanca; </w:t>
      </w:r>
      <w:r w:rsidRPr="007141E2">
        <w:rPr>
          <w:rStyle w:val="Textoennegrita"/>
          <w:b w:val="0"/>
        </w:rPr>
        <w:t xml:space="preserve">Cristina Carrasco, </w:t>
      </w:r>
      <w:r w:rsidRPr="007141E2">
        <w:t xml:space="preserve">profesora de Teoría Económica de la Universidad de Barcelona; </w:t>
      </w:r>
      <w:r w:rsidRPr="007141E2">
        <w:rPr>
          <w:rStyle w:val="Textoennegrita"/>
          <w:b w:val="0"/>
        </w:rPr>
        <w:t>Fernando Esteve</w:t>
      </w:r>
      <w:r w:rsidRPr="007141E2">
        <w:rPr>
          <w:rStyle w:val="Textoennegrita"/>
        </w:rPr>
        <w:t xml:space="preserve">, </w:t>
      </w:r>
      <w:r w:rsidRPr="007141E2">
        <w:t xml:space="preserve">profesor titular de Fundamentos de Análisis Económico de la Universidad Autónoma; </w:t>
      </w:r>
      <w:r w:rsidRPr="007141E2">
        <w:rPr>
          <w:rStyle w:val="Textoennegrita"/>
          <w:b w:val="0"/>
        </w:rPr>
        <w:t>Miren Etxezarreta</w:t>
      </w:r>
      <w:r w:rsidRPr="007141E2">
        <w:rPr>
          <w:rStyle w:val="Textoennegrita"/>
        </w:rPr>
        <w:t xml:space="preserve">, </w:t>
      </w:r>
      <w:r w:rsidRPr="007141E2">
        <w:t xml:space="preserve">durante 35 años catedrática de Economía Aplicada de la Universidad Autónoma de Barcelona; </w:t>
      </w:r>
      <w:r w:rsidRPr="007141E2">
        <w:rPr>
          <w:rStyle w:val="Textoennegrita"/>
          <w:b w:val="0"/>
        </w:rPr>
        <w:t>Alberto Garzón</w:t>
      </w:r>
      <w:r w:rsidRPr="007141E2">
        <w:t xml:space="preserve">, economista y diputado de IU; </w:t>
      </w:r>
      <w:r w:rsidRPr="007141E2">
        <w:rPr>
          <w:rStyle w:val="Textoennegrita"/>
          <w:b w:val="0"/>
        </w:rPr>
        <w:t>Juan López Gandía</w:t>
      </w:r>
      <w:r w:rsidRPr="007141E2">
        <w:t xml:space="preserve">, catedrático de la Universidad de Valencia; </w:t>
      </w:r>
      <w:r w:rsidRPr="007141E2">
        <w:rPr>
          <w:rStyle w:val="Textoennegrita"/>
          <w:b w:val="0"/>
        </w:rPr>
        <w:t>Juan Francisco Martín Seco</w:t>
      </w:r>
      <w:r w:rsidRPr="007141E2">
        <w:rPr>
          <w:rStyle w:val="Textoennegrita"/>
        </w:rPr>
        <w:t xml:space="preserve">, </w:t>
      </w:r>
      <w:r w:rsidRPr="007141E2">
        <w:t>ex Interventor General del Estado</w:t>
      </w:r>
      <w:r w:rsidRPr="007141E2">
        <w:rPr>
          <w:rStyle w:val="Textoennegrita"/>
        </w:rPr>
        <w:t xml:space="preserve">; </w:t>
      </w:r>
      <w:r w:rsidRPr="007141E2">
        <w:rPr>
          <w:rStyle w:val="Textoennegrita"/>
          <w:b w:val="0"/>
        </w:rPr>
        <w:t>José Luis Monereo</w:t>
      </w:r>
      <w:r w:rsidRPr="007141E2">
        <w:rPr>
          <w:rStyle w:val="Textoennegrita"/>
        </w:rPr>
        <w:t>, c</w:t>
      </w:r>
      <w:r w:rsidRPr="007141E2">
        <w:t xml:space="preserve">atedrático de Derecho del Trabajo; </w:t>
      </w:r>
      <w:r w:rsidRPr="007141E2">
        <w:rPr>
          <w:rStyle w:val="Textoennegrita"/>
          <w:b w:val="0"/>
        </w:rPr>
        <w:t>Pedro Montes</w:t>
      </w:r>
      <w:r w:rsidRPr="007141E2">
        <w:rPr>
          <w:b/>
        </w:rPr>
        <w:t>,</w:t>
      </w:r>
      <w:r w:rsidRPr="007141E2">
        <w:t xml:space="preserve"> economista del Banco de España; </w:t>
      </w:r>
      <w:r w:rsidRPr="007141E2">
        <w:rPr>
          <w:rStyle w:val="Textoennegrita"/>
          <w:b w:val="0"/>
        </w:rPr>
        <w:t>Jordi Roca Jusmet</w:t>
      </w:r>
      <w:r w:rsidRPr="007141E2">
        <w:t xml:space="preserve">, catedrático  del Departamento de Teoría Económica de la Universidad de Barcelona o </w:t>
      </w:r>
      <w:r w:rsidRPr="007141E2">
        <w:rPr>
          <w:rStyle w:val="Textoennegrita"/>
          <w:b w:val="0"/>
        </w:rPr>
        <w:t>Julio Rodríguez</w:t>
      </w:r>
      <w:r w:rsidRPr="007141E2">
        <w:t>, expresidente del Banco Hipotecario.</w:t>
      </w:r>
    </w:p>
    <w:p w:rsidR="00166AF9" w:rsidRPr="005E6BC2" w:rsidRDefault="00166AF9" w:rsidP="00550638">
      <w:pPr>
        <w:pStyle w:val="NormalWeb"/>
        <w:jc w:val="both"/>
        <w:rPr>
          <w:b/>
        </w:rPr>
      </w:pPr>
      <w:r w:rsidRPr="005E6BC2">
        <w:rPr>
          <w:rStyle w:val="Textoennegrita"/>
          <w:b w:val="0"/>
        </w:rPr>
        <w:t>La principal amenaza</w:t>
      </w:r>
    </w:p>
    <w:p w:rsidR="00166AF9" w:rsidRPr="005B2EB5" w:rsidRDefault="00166AF9" w:rsidP="00550638">
      <w:pPr>
        <w:pStyle w:val="NormalWeb"/>
        <w:jc w:val="both"/>
        <w:rPr>
          <w:color w:val="FF0000"/>
          <w:u w:val="single"/>
        </w:rPr>
      </w:pPr>
      <w:r w:rsidRPr="005B2EB5">
        <w:rPr>
          <w:color w:val="FF0000"/>
          <w:u w:val="single"/>
        </w:rPr>
        <w:t xml:space="preserve">Para los firmantes del documento, “la auténtica amenaza sobre las pensiones se cierne cuando se pretende presentar la Seguridad Social como </w:t>
      </w:r>
      <w:r w:rsidRPr="007141E2">
        <w:rPr>
          <w:rStyle w:val="Textoennegrita"/>
          <w:b w:val="0"/>
          <w:color w:val="FF0000"/>
          <w:u w:val="single"/>
        </w:rPr>
        <w:t>algo distinto</w:t>
      </w:r>
      <w:r w:rsidRPr="007141E2">
        <w:rPr>
          <w:b/>
          <w:color w:val="FF0000"/>
          <w:u w:val="single"/>
        </w:rPr>
        <w:t xml:space="preserve"> y </w:t>
      </w:r>
      <w:r w:rsidRPr="007141E2">
        <w:rPr>
          <w:rStyle w:val="Textoennegrita"/>
          <w:b w:val="0"/>
          <w:color w:val="FF0000"/>
          <w:u w:val="single"/>
        </w:rPr>
        <w:t>separado</w:t>
      </w:r>
      <w:r w:rsidRPr="005B2EB5">
        <w:rPr>
          <w:color w:val="FF0000"/>
          <w:u w:val="single"/>
        </w:rPr>
        <w:t xml:space="preserve"> del Estado”.</w:t>
      </w:r>
      <w:r w:rsidRPr="005B2EB5">
        <w:rPr>
          <w:color w:val="FF0000"/>
        </w:rPr>
        <w:t xml:space="preserve"> </w:t>
      </w:r>
      <w:r w:rsidRPr="005B2EB5">
        <w:rPr>
          <w:color w:val="FF0000"/>
          <w:u w:val="single"/>
        </w:rPr>
        <w:t xml:space="preserve">En su opinión, la separación de fuentes se ha entendido como algo </w:t>
      </w:r>
      <w:r w:rsidRPr="00253E1A">
        <w:rPr>
          <w:rStyle w:val="Textoennegrita"/>
          <w:b w:val="0"/>
          <w:color w:val="FF0000"/>
          <w:u w:val="single"/>
        </w:rPr>
        <w:t>estructural,</w:t>
      </w:r>
      <w:r w:rsidRPr="005B2EB5">
        <w:rPr>
          <w:color w:val="FF0000"/>
          <w:u w:val="single"/>
        </w:rPr>
        <w:t xml:space="preserve"> no como un mero instrumento para la transparencia y una administración racional de los recursos del Estado. Este mecanismo se ha transformado en una característica esencial del sistema y, lejos de garantizar las futuras pensiones, ha dado ocasión a que algunos </w:t>
      </w:r>
      <w:r w:rsidRPr="005B2EB5">
        <w:rPr>
          <w:color w:val="FF0000"/>
          <w:u w:val="single"/>
        </w:rPr>
        <w:lastRenderedPageBreak/>
        <w:t xml:space="preserve">conciban la Seguridad Social como un </w:t>
      </w:r>
      <w:r w:rsidRPr="007141E2">
        <w:rPr>
          <w:rStyle w:val="Textoennegrita"/>
          <w:b w:val="0"/>
          <w:color w:val="FF0000"/>
          <w:u w:val="single"/>
        </w:rPr>
        <w:t>sistema cerrado</w:t>
      </w:r>
      <w:r w:rsidRPr="005B2EB5">
        <w:rPr>
          <w:color w:val="FF0000"/>
          <w:u w:val="single"/>
        </w:rPr>
        <w:t xml:space="preserve"> que debe autofinanciarse y aislado económicamente de la Hacienda Pública.</w:t>
      </w:r>
    </w:p>
    <w:p w:rsidR="00166AF9" w:rsidRPr="005B2EB5" w:rsidRDefault="00166AF9" w:rsidP="00550638">
      <w:pPr>
        <w:pStyle w:val="NormalWeb"/>
        <w:jc w:val="both"/>
        <w:rPr>
          <w:color w:val="FF0000"/>
          <w:u w:val="single"/>
        </w:rPr>
      </w:pPr>
      <w:r w:rsidRPr="005B2EB5">
        <w:rPr>
          <w:color w:val="FF0000"/>
          <w:u w:val="single"/>
        </w:rPr>
        <w:t xml:space="preserve">Según recogen en el escrito, “en un Estado definido como social por la vigente Constitución, es inconcebible, y en todo caso inaceptable, que las pensiones se deban financiar exclusivamente mediante </w:t>
      </w:r>
      <w:r w:rsidRPr="007141E2">
        <w:rPr>
          <w:rStyle w:val="Textoennegrita"/>
          <w:b w:val="0"/>
          <w:color w:val="FF0000"/>
          <w:u w:val="single"/>
        </w:rPr>
        <w:t>cotizaciones sociales</w:t>
      </w:r>
      <w:r w:rsidRPr="005B2EB5">
        <w:rPr>
          <w:color w:val="FF0000"/>
          <w:u w:val="single"/>
        </w:rPr>
        <w:t>”. Y en este sentido, aseguran que “son todos los recursos del Estado los que tienen que hacer frente a la totalidad de los gastos de ese Estado, también a las pensiones”.</w:t>
      </w:r>
    </w:p>
    <w:p w:rsidR="00166AF9" w:rsidRDefault="00166AF9" w:rsidP="00550638">
      <w:pPr>
        <w:pStyle w:val="NormalWeb"/>
        <w:jc w:val="both"/>
      </w:pPr>
      <w:r w:rsidRPr="005B2EB5">
        <w:rPr>
          <w:u w:val="single"/>
        </w:rPr>
        <w:t>Según sus cálculos, el equilibrio financiero depende no solo del número de pensionistas y empleados y de la magnitud de las pensiones, sino de otros factores de los que no se habla cuando se propone rebajar las pensiones</w:t>
      </w:r>
      <w:r>
        <w:t>:</w:t>
      </w:r>
    </w:p>
    <w:p w:rsidR="00166AF9" w:rsidRDefault="00166AF9" w:rsidP="00550638">
      <w:pPr>
        <w:pStyle w:val="NormalWeb"/>
        <w:jc w:val="both"/>
      </w:pPr>
      <w:r w:rsidRPr="005B2EB5">
        <w:rPr>
          <w:rStyle w:val="Textoennegrita"/>
          <w:color w:val="FF0000"/>
        </w:rPr>
        <w:t>Del empleo</w:t>
      </w:r>
      <w:r>
        <w:t>, pues cuanto mayor sea el número de empleados más ingresos recibirá la Seguridad Social.</w:t>
      </w:r>
    </w:p>
    <w:p w:rsidR="00166AF9" w:rsidRDefault="00166AF9" w:rsidP="00550638">
      <w:pPr>
        <w:pStyle w:val="NormalWeb"/>
        <w:jc w:val="both"/>
      </w:pPr>
      <w:r w:rsidRPr="005B2EB5">
        <w:rPr>
          <w:rStyle w:val="Textoennegrita"/>
          <w:color w:val="FF0000"/>
        </w:rPr>
        <w:t>De la productividad</w:t>
      </w:r>
      <w:r>
        <w:t>, pues a medida que aumenta (como viene sucediendo en los últimos años), se puede obtener más producto e ingresos para financiar las pensiones incluso con menos empleados.</w:t>
      </w:r>
    </w:p>
    <w:p w:rsidR="00166AF9" w:rsidRDefault="00166AF9" w:rsidP="00550638">
      <w:pPr>
        <w:pStyle w:val="NormalWeb"/>
        <w:jc w:val="both"/>
      </w:pPr>
      <w:r w:rsidRPr="005B2EB5">
        <w:rPr>
          <w:rStyle w:val="Textoennegrita"/>
          <w:color w:val="FF0000"/>
        </w:rPr>
        <w:t>Del nivel de los salarios</w:t>
      </w:r>
      <w:r w:rsidRPr="005B2EB5">
        <w:rPr>
          <w:color w:val="FF0000"/>
        </w:rPr>
        <w:t xml:space="preserve"> </w:t>
      </w:r>
      <w:r>
        <w:t>y, por tanto, de la participación de los salarios en los ingresos totales, pues cuanto mayor sea ésta más masa salarial habrá para financiar las pensiones.</w:t>
      </w:r>
    </w:p>
    <w:p w:rsidR="00166AF9" w:rsidRDefault="00166AF9" w:rsidP="00550638">
      <w:pPr>
        <w:pStyle w:val="NormalWeb"/>
        <w:jc w:val="both"/>
      </w:pPr>
      <w:r w:rsidRPr="005B2EB5">
        <w:rPr>
          <w:rStyle w:val="Textoennegrita"/>
          <w:color w:val="FF0000"/>
        </w:rPr>
        <w:t>De la extensión de la economía sumergida</w:t>
      </w:r>
      <w:r>
        <w:t>, pues cuanto más pequeña sea más cotizantes habrá y, en consecuencia, también más ingresos para la Seguridad Social.</w:t>
      </w:r>
    </w:p>
    <w:p w:rsidR="00166AF9" w:rsidRPr="007141E2" w:rsidRDefault="00166AF9" w:rsidP="00550638">
      <w:pPr>
        <w:pStyle w:val="NormalWeb"/>
        <w:jc w:val="both"/>
        <w:rPr>
          <w:b/>
          <w:color w:val="FF0000"/>
          <w:u w:val="single"/>
        </w:rPr>
      </w:pPr>
      <w:r w:rsidRPr="00AC68E3">
        <w:rPr>
          <w:color w:val="FF0000"/>
          <w:u w:val="single"/>
        </w:rPr>
        <w:t xml:space="preserve">Los autores del documento recuerdan que el artículo 50 de la Constitución afirma que “los poderes públicos garantizarán, mediante pensiones adecuadas y periódicamente actualizadas, la suficiencia económica a los ciudadanos durante la tercera edad”. Es decir, que las pensiones, en tanto que </w:t>
      </w:r>
      <w:r w:rsidRPr="007141E2">
        <w:rPr>
          <w:rStyle w:val="Textoennegrita"/>
          <w:b w:val="0"/>
          <w:color w:val="FF0000"/>
          <w:u w:val="single"/>
        </w:rPr>
        <w:t>derechos subjetivos</w:t>
      </w:r>
      <w:r w:rsidRPr="00AC68E3">
        <w:rPr>
          <w:color w:val="FF0000"/>
          <w:u w:val="single"/>
        </w:rPr>
        <w:t xml:space="preserve"> de los ciudadanos establecidos en la Constitución, tienen la consideración de “gastos obligatorios” que por su naturaleza no están ligados a la suficiencia de </w:t>
      </w:r>
      <w:r w:rsidRPr="007141E2">
        <w:rPr>
          <w:rStyle w:val="Textoennegrita"/>
          <w:b w:val="0"/>
          <w:color w:val="FF0000"/>
          <w:u w:val="single"/>
        </w:rPr>
        <w:t>recursos presupuestarios</w:t>
      </w:r>
      <w:r w:rsidRPr="00AC68E3">
        <w:rPr>
          <w:rStyle w:val="Textoennegrita"/>
          <w:color w:val="FF0000"/>
          <w:u w:val="single"/>
        </w:rPr>
        <w:t>,</w:t>
      </w:r>
      <w:r w:rsidRPr="00AC68E3">
        <w:rPr>
          <w:color w:val="FF0000"/>
          <w:u w:val="single"/>
        </w:rPr>
        <w:t xml:space="preserve"> ni a la evolución de una determinada fuente de ingresos. El Estado ha de concurrir con los recursos necesarios para asegurar el pago de las pensiones, </w:t>
      </w:r>
      <w:r w:rsidRPr="007141E2">
        <w:rPr>
          <w:rStyle w:val="Textoennegrita"/>
          <w:b w:val="0"/>
          <w:color w:val="FF0000"/>
          <w:u w:val="single"/>
        </w:rPr>
        <w:t>sea con las cotizaciones o con cualquier otro impuesto.</w:t>
      </w:r>
    </w:p>
    <w:p w:rsidR="00166AF9" w:rsidRPr="00AC68E3" w:rsidRDefault="00166AF9" w:rsidP="00550638">
      <w:pPr>
        <w:pStyle w:val="NormalWeb"/>
        <w:jc w:val="both"/>
        <w:rPr>
          <w:u w:val="single"/>
        </w:rPr>
      </w:pPr>
      <w:r w:rsidRPr="00AC68E3">
        <w:rPr>
          <w:u w:val="single"/>
        </w:rPr>
        <w:t>Y para avalar sus argumentos recuerdan que el gasto del sistema público de pensiones español en relación al PIB es reducido cuando se compara con el de la mayoría de los países de nuestro entorno, “por lo que no parece que tenga mucho sentido hablar de que su</w:t>
      </w:r>
      <w:r w:rsidRPr="00AC68E3">
        <w:rPr>
          <w:rStyle w:val="Textoennegrita"/>
          <w:u w:val="single"/>
        </w:rPr>
        <w:t xml:space="preserve"> </w:t>
      </w:r>
      <w:r w:rsidRPr="007141E2">
        <w:rPr>
          <w:rStyle w:val="Textoennegrita"/>
          <w:b w:val="0"/>
          <w:u w:val="single"/>
        </w:rPr>
        <w:t>viabilidad</w:t>
      </w:r>
      <w:r w:rsidRPr="00AC68E3">
        <w:rPr>
          <w:rStyle w:val="Textoennegrita"/>
          <w:u w:val="single"/>
        </w:rPr>
        <w:t xml:space="preserve"> </w:t>
      </w:r>
      <w:r w:rsidRPr="00AC68E3">
        <w:rPr>
          <w:u w:val="single"/>
        </w:rPr>
        <w:t>esté en cuestión”. Se destina el 10% del PIB, mientras que la media de la Eurozona tiene un gasto del 12,2%, y el conjunto de la UE, el 11,3%.</w:t>
      </w:r>
    </w:p>
    <w:p w:rsidR="00166AF9" w:rsidRPr="00AC68E3" w:rsidRDefault="00166AF9" w:rsidP="00550638">
      <w:pPr>
        <w:pStyle w:val="NormalWeb"/>
        <w:jc w:val="both"/>
        <w:rPr>
          <w:u w:val="single"/>
        </w:rPr>
      </w:pPr>
      <w:r w:rsidRPr="00AC68E3">
        <w:rPr>
          <w:u w:val="single"/>
        </w:rPr>
        <w:t xml:space="preserve">Tras la reforma de 2011, el máximo de gasto en pensiones que alcanzaría España, según admite la Comisión Europea en su informe </w:t>
      </w:r>
      <w:r w:rsidRPr="00AC68E3">
        <w:rPr>
          <w:rStyle w:val="nfasis"/>
          <w:u w:val="single"/>
        </w:rPr>
        <w:t>The 2012 Ageing Report</w:t>
      </w:r>
      <w:r w:rsidRPr="00AC68E3">
        <w:rPr>
          <w:u w:val="single"/>
        </w:rPr>
        <w:t xml:space="preserve">, sería del 14% del PIB en 2050 (a partir de ese momento el gasto se reduce rápidamente debido a que la presión demográfica de la llegada a la edad de jubilación de las generaciones del </w:t>
      </w:r>
      <w:r w:rsidR="006B60FC">
        <w:rPr>
          <w:u w:val="single"/>
        </w:rPr>
        <w:t>“</w:t>
      </w:r>
      <w:r w:rsidRPr="006B60FC">
        <w:rPr>
          <w:rStyle w:val="nfasis"/>
          <w:i w:val="0"/>
          <w:u w:val="single"/>
        </w:rPr>
        <w:t>baby boom</w:t>
      </w:r>
      <w:r w:rsidR="006B60FC">
        <w:rPr>
          <w:rStyle w:val="nfasis"/>
          <w:i w:val="0"/>
          <w:u w:val="single"/>
        </w:rPr>
        <w:t>”</w:t>
      </w:r>
      <w:r w:rsidRPr="006B60FC">
        <w:rPr>
          <w:i/>
          <w:u w:val="single"/>
        </w:rPr>
        <w:t xml:space="preserve"> </w:t>
      </w:r>
      <w:r w:rsidRPr="00AC68E3">
        <w:rPr>
          <w:u w:val="single"/>
        </w:rPr>
        <w:t>es sustituida por el efecto contrario: la llegada de las generaciones de la más baja tasa de natalidad de la historia). Es decir, se tendrá que destinar a las pensiones públicas lo mismo que hoy gastan sin demasiadas complicaciones países como Austria, Francia o Italia</w:t>
      </w:r>
    </w:p>
    <w:p w:rsidR="00166AF9" w:rsidRDefault="00166AF9" w:rsidP="00550638">
      <w:pPr>
        <w:pStyle w:val="NormalWeb"/>
        <w:jc w:val="both"/>
        <w:rPr>
          <w:color w:val="FF0000"/>
          <w:u w:val="single"/>
        </w:rPr>
      </w:pPr>
      <w:r w:rsidRPr="00AC68E3">
        <w:rPr>
          <w:color w:val="FF0000"/>
          <w:u w:val="single"/>
        </w:rPr>
        <w:lastRenderedPageBreak/>
        <w:t xml:space="preserve">Existen sospechas bien fundadas, dicen los firmantes, de que las múltiples campañas realizadas para </w:t>
      </w:r>
      <w:r w:rsidRPr="007141E2">
        <w:rPr>
          <w:rStyle w:val="Textoennegrita"/>
          <w:b w:val="0"/>
          <w:color w:val="FF0000"/>
          <w:u w:val="single"/>
        </w:rPr>
        <w:t>sembrar dudas</w:t>
      </w:r>
      <w:r w:rsidRPr="00AC68E3">
        <w:rPr>
          <w:color w:val="FF0000"/>
          <w:u w:val="single"/>
        </w:rPr>
        <w:t xml:space="preserve"> acerca de la viabilidad de las pensiones públicas tienen también como finalidad potenciar los </w:t>
      </w:r>
      <w:r w:rsidRPr="007141E2">
        <w:rPr>
          <w:rStyle w:val="Textoennegrita"/>
          <w:b w:val="0"/>
          <w:color w:val="FF0000"/>
          <w:u w:val="single"/>
        </w:rPr>
        <w:t>fondos privados</w:t>
      </w:r>
      <w:r w:rsidRPr="00AC68E3">
        <w:rPr>
          <w:color w:val="FF0000"/>
          <w:u w:val="single"/>
        </w:rPr>
        <w:t xml:space="preserve"> de pensiones. De ahí que en todas las reformas se plantee la necesidad de completar las pensiones públicas con pensiones privadas.</w:t>
      </w:r>
    </w:p>
    <w:p w:rsidR="006969D0" w:rsidRPr="006969D0" w:rsidRDefault="006969D0" w:rsidP="00550638">
      <w:pPr>
        <w:pStyle w:val="NormalWeb"/>
        <w:jc w:val="both"/>
        <w:rPr>
          <w:u w:val="single"/>
        </w:rPr>
      </w:pPr>
      <w:r>
        <w:rPr>
          <w:u w:val="single"/>
        </w:rPr>
        <w:t>L</w:t>
      </w:r>
      <w:r w:rsidRPr="006969D0">
        <w:rPr>
          <w:u w:val="single"/>
        </w:rPr>
        <w:t>os jubilados de hoy</w:t>
      </w:r>
      <w:r>
        <w:rPr>
          <w:u w:val="single"/>
        </w:rPr>
        <w:t xml:space="preserve"> son los “últimos”</w:t>
      </w:r>
      <w:r w:rsidR="00DF670B">
        <w:rPr>
          <w:u w:val="single"/>
        </w:rPr>
        <w:t xml:space="preserve"> agraciados</w:t>
      </w:r>
      <w:r>
        <w:rPr>
          <w:u w:val="single"/>
        </w:rPr>
        <w:t xml:space="preserve"> (los</w:t>
      </w:r>
      <w:r w:rsidR="00DF670B">
        <w:rPr>
          <w:u w:val="single"/>
        </w:rPr>
        <w:t xml:space="preserve"> demás, tendrán que seguir trabajando)</w:t>
      </w:r>
      <w:r w:rsidRPr="006969D0">
        <w:rPr>
          <w:u w:val="single"/>
        </w:rPr>
        <w:t xml:space="preserve"> </w:t>
      </w:r>
    </w:p>
    <w:p w:rsidR="006969D0" w:rsidRPr="006969D0" w:rsidRDefault="006969D0" w:rsidP="00550638">
      <w:pPr>
        <w:pStyle w:val="NormalWeb"/>
        <w:jc w:val="both"/>
        <w:rPr>
          <w:i/>
        </w:rPr>
      </w:pPr>
      <w:r>
        <w:rPr>
          <w:i/>
        </w:rPr>
        <w:t>“</w:t>
      </w:r>
      <w:r w:rsidRPr="006969D0">
        <w:rPr>
          <w:i/>
        </w:rPr>
        <w:t>Uno de cada tres trabajadores españoles, en concreto el 36%, cree que seguirá trabajando una vez alcance la edad de jubilación, ya sea a través de empleos a tiempo parcial o con contratos temporales, según un estudio de la aseguradora Aegon realizado en doce países a través de 12.000 encuestas a trabajadores en activo y jubilados</w:t>
      </w:r>
      <w:r>
        <w:rPr>
          <w:i/>
        </w:rPr>
        <w:t>”..</w:t>
      </w:r>
      <w:r w:rsidRPr="006969D0">
        <w:rPr>
          <w:i/>
        </w:rPr>
        <w:t>.</w:t>
      </w:r>
      <w:r>
        <w:rPr>
          <w:i/>
        </w:rPr>
        <w:t xml:space="preserve"> </w:t>
      </w:r>
      <w:r w:rsidRPr="005837F0">
        <w:rPr>
          <w:u w:val="single"/>
        </w:rPr>
        <w:t>Solo el 48% de los españoles cree que dejará de trabajar a la edad de jubilación</w:t>
      </w:r>
      <w:r>
        <w:t xml:space="preserve"> (El Economista - </w:t>
      </w:r>
      <w:r w:rsidRPr="005837F0">
        <w:rPr>
          <w:b/>
        </w:rPr>
        <w:t>1/10/13</w:t>
      </w:r>
      <w:r>
        <w:t>)</w:t>
      </w:r>
    </w:p>
    <w:p w:rsidR="006969D0" w:rsidRPr="00DF670B" w:rsidRDefault="006969D0" w:rsidP="00550638">
      <w:pPr>
        <w:pStyle w:val="NormalWeb"/>
        <w:jc w:val="both"/>
      </w:pPr>
      <w:r w:rsidRPr="00DF670B">
        <w:t>Sólo el 48% de los españoles piensa que, cuando les llegue la edad de jubilarse, dejarán completamente de trabajar, y el 72% opina que la situación de las generaciones futuras será peor que la actual. </w:t>
      </w:r>
    </w:p>
    <w:p w:rsidR="006969D0" w:rsidRPr="00DF670B" w:rsidRDefault="006969D0" w:rsidP="00550638">
      <w:pPr>
        <w:pStyle w:val="NormalWeb"/>
        <w:jc w:val="both"/>
      </w:pPr>
      <w:r w:rsidRPr="00DF670B">
        <w:t>El estudio también pregunta a los ya jubilados cómo fue su transición hacia la jubilación. Dos de cada tres aseguran que se jubilaron completamente cuando alcanzaron la edad necesaria, mientras que el 16% siguió trabajando, bien a tiempo parcial o de manera temporal. </w:t>
      </w:r>
    </w:p>
    <w:p w:rsidR="006969D0" w:rsidRPr="00DF670B" w:rsidRDefault="006969D0" w:rsidP="00550638">
      <w:pPr>
        <w:pStyle w:val="NormalWeb"/>
        <w:jc w:val="both"/>
      </w:pPr>
      <w:r w:rsidRPr="00DF670B">
        <w:t>El informe de Aegon apunta además que casi cuatro de cada diez trabajadores en activo piensa que se jubilará pasados los 66 años, mientras que el 35% afirma que se retirará a los 65 años, y el 23% dice que lo hará entre los 40 y los 64 años. </w:t>
      </w:r>
    </w:p>
    <w:p w:rsidR="006969D0" w:rsidRDefault="006969D0" w:rsidP="00550638">
      <w:pPr>
        <w:pStyle w:val="NormalWeb"/>
        <w:jc w:val="both"/>
      </w:pPr>
      <w:r w:rsidRPr="00DF670B">
        <w:t>Por su parte, el 64% de los jubilados encuestados asegura que se retiró antes de lo que tenía previsto, en tanto que el 29% se jubiló a la edad prevista y sólo el 6% lo hizo más tarde de lo que había calculado.</w:t>
      </w:r>
    </w:p>
    <w:p w:rsidR="00DF670B" w:rsidRPr="00DF670B" w:rsidRDefault="00DF670B" w:rsidP="00550638">
      <w:pPr>
        <w:pStyle w:val="NormalWeb"/>
        <w:jc w:val="both"/>
        <w:rPr>
          <w:u w:val="single"/>
        </w:rPr>
      </w:pPr>
      <w:r>
        <w:rPr>
          <w:u w:val="single"/>
        </w:rPr>
        <w:t>Domingo Soriano</w:t>
      </w:r>
      <w:r w:rsidR="00E32D8F">
        <w:rPr>
          <w:u w:val="single"/>
        </w:rPr>
        <w:t xml:space="preserve"> advierte</w:t>
      </w:r>
      <w:r w:rsidRPr="00DF670B">
        <w:rPr>
          <w:u w:val="single"/>
        </w:rPr>
        <w:t>: cada día hay menos margen de maniobra. El 95% del gasto va a prestaciones. Con las c</w:t>
      </w:r>
      <w:r w:rsidR="00E32D8F">
        <w:rPr>
          <w:u w:val="single"/>
        </w:rPr>
        <w:t>otizaciones ya no es suficiente</w:t>
      </w:r>
      <w:r w:rsidRPr="00DF670B">
        <w:rPr>
          <w:u w:val="single"/>
        </w:rPr>
        <w:t> </w:t>
      </w:r>
    </w:p>
    <w:p w:rsidR="006969D0" w:rsidRDefault="006969D0" w:rsidP="00550638">
      <w:pPr>
        <w:pStyle w:val="NormalWeb"/>
        <w:jc w:val="both"/>
      </w:pPr>
      <w:r>
        <w:t xml:space="preserve">- </w:t>
      </w:r>
      <w:r w:rsidRPr="005717E6">
        <w:rPr>
          <w:u w:val="single"/>
        </w:rPr>
        <w:t>Las cuentas de la Seguridad Social: ¿es ya el sistema insostenible?</w:t>
      </w:r>
      <w:r>
        <w:t xml:space="preserve"> (Libertad Digital - </w:t>
      </w:r>
      <w:r w:rsidRPr="005717E6">
        <w:rPr>
          <w:b/>
        </w:rPr>
        <w:t>3/10/13</w:t>
      </w:r>
      <w:r>
        <w:t>)</w:t>
      </w:r>
    </w:p>
    <w:p w:rsidR="006969D0" w:rsidRDefault="00DF670B" w:rsidP="00550638">
      <w:pPr>
        <w:pStyle w:val="NormalWeb"/>
        <w:jc w:val="both"/>
      </w:pPr>
      <w:r>
        <w:t xml:space="preserve"> </w:t>
      </w:r>
      <w:r w:rsidR="006969D0">
        <w:t>(Por D. Soriano)</w:t>
      </w:r>
      <w:r>
        <w:t xml:space="preserve">                                                                               Lectura recomendada</w:t>
      </w:r>
    </w:p>
    <w:p w:rsidR="006969D0" w:rsidRDefault="006969D0" w:rsidP="00550638">
      <w:pPr>
        <w:pStyle w:val="NormalWeb"/>
        <w:jc w:val="both"/>
      </w:pPr>
      <w:r>
        <w:t xml:space="preserve">La Seguridad Social tiene </w:t>
      </w:r>
      <w:r w:rsidRPr="007141E2">
        <w:rPr>
          <w:rStyle w:val="Textoennegrita"/>
          <w:b w:val="0"/>
        </w:rPr>
        <w:t>importantes problemas financieros</w:t>
      </w:r>
      <w:r>
        <w:t xml:space="preserve">. Esto no es ninguna novedad, pero quizás no haya habido ningún responsable político que lo haya manifestado tan claramente como </w:t>
      </w:r>
      <w:hyperlink r:id="rId681" w:history="1">
        <w:r w:rsidRPr="00DF670B">
          <w:rPr>
            <w:rStyle w:val="Hipervnculo"/>
            <w:rFonts w:eastAsiaTheme="majorEastAsia"/>
            <w:color w:val="auto"/>
          </w:rPr>
          <w:t>Fátima Báñez</w:t>
        </w:r>
      </w:hyperlink>
      <w:r w:rsidRPr="00DF670B">
        <w:t xml:space="preserve">, </w:t>
      </w:r>
      <w:r>
        <w:t xml:space="preserve">que este martes admitía en el Congreso que incluso la famosa </w:t>
      </w:r>
      <w:r w:rsidR="00B3139A">
        <w:t>“</w:t>
      </w:r>
      <w:r w:rsidRPr="00B3139A">
        <w:rPr>
          <w:rStyle w:val="nfasis"/>
          <w:rFonts w:eastAsiaTheme="majorEastAsia"/>
          <w:i w:val="0"/>
        </w:rPr>
        <w:t>hucha</w:t>
      </w:r>
      <w:r w:rsidR="00B3139A">
        <w:rPr>
          <w:rStyle w:val="nfasis"/>
          <w:rFonts w:eastAsiaTheme="majorEastAsia"/>
          <w:i w:val="0"/>
        </w:rPr>
        <w:t>”</w:t>
      </w:r>
      <w:r w:rsidRPr="00B3139A">
        <w:t xml:space="preserve"> </w:t>
      </w:r>
      <w:r>
        <w:t>de las pensiones puede tener los días contados.</w:t>
      </w:r>
    </w:p>
    <w:p w:rsidR="006969D0" w:rsidRDefault="006969D0" w:rsidP="00550638">
      <w:pPr>
        <w:pStyle w:val="NormalWeb"/>
        <w:jc w:val="both"/>
      </w:pPr>
      <w:r>
        <w:t xml:space="preserve">Normalmente, cuando nos enfrentamos a este tema ponemos la mirada en el futuro. Se habla sobre la evolución demográfica española, el número de nuevos pensionistas, la falta de reemplazo, el aumento en la esperanza de vida,... Pero claro, el futuro es siempre incierto. Los partidos que acudieron a ver a la ministra a la </w:t>
      </w:r>
      <w:r w:rsidRPr="007141E2">
        <w:rPr>
          <w:rStyle w:val="Textoennegrita"/>
          <w:b w:val="0"/>
        </w:rPr>
        <w:t xml:space="preserve">Comisión de </w:t>
      </w:r>
      <w:r w:rsidRPr="007141E2">
        <w:rPr>
          <w:rStyle w:val="Textoennegrita"/>
          <w:b w:val="0"/>
        </w:rPr>
        <w:lastRenderedPageBreak/>
        <w:t>Seguimiento y Evaluación de los Acuerdos del Pacto de Toledo</w:t>
      </w:r>
      <w:r>
        <w:t xml:space="preserve"> rechazaron en bloque la </w:t>
      </w:r>
      <w:hyperlink r:id="rId682" w:history="1">
        <w:r w:rsidRPr="00DF670B">
          <w:rPr>
            <w:rStyle w:val="Hipervnculo"/>
            <w:rFonts w:eastAsiaTheme="majorEastAsia"/>
            <w:color w:val="auto"/>
          </w:rPr>
          <w:t>reforma aprobada por el Gobierno</w:t>
        </w:r>
      </w:hyperlink>
      <w:r w:rsidRPr="00DF670B">
        <w:t>,</w:t>
      </w:r>
      <w:r>
        <w:t xml:space="preserve"> que introduce el Factor de Sostenibilidad a partir de 2019 y un nuevo índice de revalorización desde el próximo año. Su planteamiento es que los cálculos de Báñez son algo exagerados. Que no es necesario tomar medidas a corto plazo. Que el sistema es sostenible. Y claro, como nadie puede asegurar qué pasará exactamente en 2020, pues la discusión puede ser eterna.</w:t>
      </w:r>
    </w:p>
    <w:p w:rsidR="006969D0" w:rsidRPr="00CD1A5B" w:rsidRDefault="006969D0" w:rsidP="00550638">
      <w:pPr>
        <w:pStyle w:val="NormalWeb"/>
        <w:jc w:val="both"/>
        <w:rPr>
          <w:u w:val="single"/>
        </w:rPr>
      </w:pPr>
      <w:r w:rsidRPr="00CD1A5B">
        <w:rPr>
          <w:u w:val="single"/>
        </w:rPr>
        <w:t xml:space="preserve">Hay numerosos indicios que permiten augurar qué ocurrirá dentro de unas décadas con bastante precisión. De aquí a 2030 puede haber novedades en el mercado laboral español, pero será difícil que cambie la tendencia sobre el número de jubilados o de trabajadores. Los </w:t>
      </w:r>
      <w:r w:rsidRPr="007141E2">
        <w:rPr>
          <w:rStyle w:val="Textoennegrita"/>
          <w:b w:val="0"/>
          <w:u w:val="single"/>
        </w:rPr>
        <w:t>pensionistas del futuro</w:t>
      </w:r>
      <w:r w:rsidRPr="00CD1A5B">
        <w:rPr>
          <w:u w:val="single"/>
        </w:rPr>
        <w:t xml:space="preserve"> son los cuarentones actuales y su reemplazo ya debería haber nacido. Si no lo ha hecho, ya llegaría tarde.</w:t>
      </w:r>
    </w:p>
    <w:p w:rsidR="006969D0" w:rsidRPr="00CD1A5B" w:rsidRDefault="006969D0" w:rsidP="00550638">
      <w:pPr>
        <w:pStyle w:val="NormalWeb"/>
        <w:jc w:val="both"/>
        <w:rPr>
          <w:u w:val="single"/>
        </w:rPr>
      </w:pPr>
      <w:r w:rsidRPr="00CD1A5B">
        <w:rPr>
          <w:u w:val="single"/>
        </w:rPr>
        <w:t xml:space="preserve">En cualquier caso, no sólo el futuro es importante. En realidad, lo que ha ocurrido en los últimos años con la financiación del sistema es la mejor pista posible sobre lo que puede ocurrir a muy corto plazo. Desde hace décadas, la tendencia no ha cambiado. Esta semana, se presentaban los </w:t>
      </w:r>
      <w:hyperlink r:id="rId683" w:history="1">
        <w:r w:rsidRPr="00DF670B">
          <w:rPr>
            <w:rStyle w:val="Hipervnculo"/>
            <w:rFonts w:eastAsiaTheme="majorEastAsia"/>
            <w:color w:val="auto"/>
          </w:rPr>
          <w:t>Presupuestos de la Seguridad Social</w:t>
        </w:r>
      </w:hyperlink>
      <w:r w:rsidRPr="00DF670B">
        <w:rPr>
          <w:u w:val="single"/>
        </w:rPr>
        <w:t>.</w:t>
      </w:r>
      <w:r w:rsidRPr="00CD1A5B">
        <w:rPr>
          <w:u w:val="single"/>
        </w:rPr>
        <w:t xml:space="preserve"> Con las cuentas previstas para 2014 y las de años anteriores, es muy fácil hacerse una idea de las dificultades a las que se enfrentan quienes tratan de hacer sostenible el sistema:</w:t>
      </w:r>
    </w:p>
    <w:p w:rsidR="006969D0" w:rsidRPr="00CD1A5B" w:rsidRDefault="006969D0" w:rsidP="00550638">
      <w:pPr>
        <w:pStyle w:val="NormalWeb"/>
        <w:jc w:val="both"/>
        <w:rPr>
          <w:color w:val="FF0000"/>
        </w:rPr>
      </w:pPr>
      <w:r>
        <w:rPr>
          <w:rStyle w:val="Textoennegrita"/>
        </w:rPr>
        <w:t xml:space="preserve">- </w:t>
      </w:r>
      <w:r w:rsidRPr="00CD1A5B">
        <w:rPr>
          <w:rStyle w:val="Textoennegrita"/>
          <w:color w:val="FF0000"/>
        </w:rPr>
        <w:t xml:space="preserve">94,69% en prestaciones: </w:t>
      </w:r>
      <w:r w:rsidRPr="00CD1A5B">
        <w:rPr>
          <w:color w:val="FF0000"/>
        </w:rPr>
        <w:t>en 1995, el gasto total de la Seguridad Social era de 65.962 millones. Para 2014, está previsto que alcance los 131.820 millones. En menos de dos décadas se ha doblado el presupuesto. Pero aún es más significativo cómo ha ido evolucionando ese gasto. Es decir, en dónde se gasta el organismo el dinero.</w:t>
      </w:r>
    </w:p>
    <w:p w:rsidR="006969D0" w:rsidRPr="00CD1A5B" w:rsidRDefault="006969D0" w:rsidP="00550638">
      <w:pPr>
        <w:pStyle w:val="NormalWeb"/>
        <w:jc w:val="both"/>
        <w:rPr>
          <w:u w:val="single"/>
        </w:rPr>
      </w:pPr>
      <w:r w:rsidRPr="00CD1A5B">
        <w:rPr>
          <w:u w:val="single"/>
        </w:rPr>
        <w:t>Hace 18 años, las prestaciones económicas sumaban 45.973 millones de euros, un 65% del total. En</w:t>
      </w:r>
      <w:r w:rsidR="00BC76E3">
        <w:rPr>
          <w:u w:val="single"/>
        </w:rPr>
        <w:t xml:space="preserve"> aquel momento, el capítulo de “asistencia sanitaria”</w:t>
      </w:r>
      <w:r w:rsidRPr="00CD1A5B">
        <w:rPr>
          <w:u w:val="single"/>
        </w:rPr>
        <w:t xml:space="preserve"> se comía casi 20.500 millones de euros, un 30% del total.</w:t>
      </w:r>
    </w:p>
    <w:p w:rsidR="006969D0" w:rsidRPr="00CD1A5B" w:rsidRDefault="006969D0" w:rsidP="00550638">
      <w:pPr>
        <w:pStyle w:val="NormalWeb"/>
        <w:jc w:val="both"/>
        <w:rPr>
          <w:u w:val="single"/>
        </w:rPr>
      </w:pPr>
      <w:r w:rsidRPr="00CD1A5B">
        <w:rPr>
          <w:u w:val="single"/>
        </w:rPr>
        <w:t>A partir de ese momento, las prestaciones fueron ocupando cada vez más espacio. No hay dinero para nada más que no sea estrictamente este pago. Por ejemplo, en 2014, ascenderán a 124.818 millones, un 94,69% del total.</w:t>
      </w:r>
    </w:p>
    <w:p w:rsidR="006969D0" w:rsidRPr="00CD1A5B" w:rsidRDefault="006969D0" w:rsidP="00550638">
      <w:pPr>
        <w:pStyle w:val="NormalWeb"/>
        <w:jc w:val="both"/>
        <w:rPr>
          <w:u w:val="single"/>
        </w:rPr>
      </w:pPr>
      <w:r w:rsidRPr="00CD1A5B">
        <w:rPr>
          <w:u w:val="single"/>
        </w:rPr>
        <w:t xml:space="preserve">Uno de los </w:t>
      </w:r>
      <w:r w:rsidR="00B3139A">
        <w:rPr>
          <w:u w:val="single"/>
        </w:rPr>
        <w:t>“</w:t>
      </w:r>
      <w:r w:rsidRPr="00B3139A">
        <w:rPr>
          <w:rStyle w:val="nfasis"/>
          <w:rFonts w:eastAsiaTheme="majorEastAsia"/>
          <w:i w:val="0"/>
          <w:u w:val="single"/>
        </w:rPr>
        <w:t>trucos</w:t>
      </w:r>
      <w:r w:rsidR="00B3139A">
        <w:rPr>
          <w:rStyle w:val="nfasis"/>
          <w:rFonts w:eastAsiaTheme="majorEastAsia"/>
          <w:i w:val="0"/>
          <w:u w:val="single"/>
        </w:rPr>
        <w:t>”</w:t>
      </w:r>
      <w:r w:rsidRPr="00B3139A">
        <w:rPr>
          <w:i/>
          <w:u w:val="single"/>
        </w:rPr>
        <w:t xml:space="preserve"> </w:t>
      </w:r>
      <w:r w:rsidRPr="00CD1A5B">
        <w:rPr>
          <w:u w:val="single"/>
        </w:rPr>
        <w:t>que han ido utilizando los políticos en los últimos años ha sido ir sacando del sistema gastos que no fueran estrictamente hablando prestaciones (como se hizo con el gasto sanitario). No es que se hayan dejado de pagar, sino que se han financiado vía impuestos. Pero este camino está cada vez más cerrado. Ya sólo queda un 5% del presupuesto dedicado a otros conceptos: asistencia sanitaria (1,1%), servicios sociales (1,1%), tesorería y servicios funcionales (1,3%) y operaciones financieras (1,8%).</w:t>
      </w:r>
    </w:p>
    <w:p w:rsidR="006969D0" w:rsidRPr="00CD1A5B" w:rsidRDefault="006969D0" w:rsidP="00550638">
      <w:pPr>
        <w:pStyle w:val="NormalWeb"/>
        <w:jc w:val="both"/>
        <w:rPr>
          <w:color w:val="FF0000"/>
        </w:rPr>
      </w:pPr>
      <w:r>
        <w:rPr>
          <w:rStyle w:val="Textoennegrita"/>
        </w:rPr>
        <w:t xml:space="preserve">- </w:t>
      </w:r>
      <w:r w:rsidRPr="00CD1A5B">
        <w:rPr>
          <w:rStyle w:val="Textoennegrita"/>
          <w:color w:val="FF0000"/>
        </w:rPr>
        <w:t>78,02% vía cotizaciones:</w:t>
      </w:r>
      <w:r w:rsidRPr="00CD1A5B">
        <w:rPr>
          <w:color w:val="FF0000"/>
        </w:rPr>
        <w:t xml:space="preserve"> si por el lado de los gastos es preocupante, no lo es menos por el de los ingresos. Hace apenas diez años, el 92,27% de los fondos de la Seguridad Social llegaban vía cotizaciones. Es decir, con lo que aportaban trabajadores y empresarios se cubría más del 90% del sistema. En 2014, el Gobierno prevé recaudar por este concepto sólo 102.839 millones, apenas el 78,02% del total.</w:t>
      </w:r>
    </w:p>
    <w:p w:rsidR="006969D0" w:rsidRPr="00CD1A5B" w:rsidRDefault="006969D0" w:rsidP="00550638">
      <w:pPr>
        <w:pStyle w:val="NormalWeb"/>
        <w:jc w:val="both"/>
        <w:rPr>
          <w:u w:val="single"/>
        </w:rPr>
      </w:pPr>
      <w:r w:rsidRPr="00CD1A5B">
        <w:rPr>
          <w:u w:val="single"/>
        </w:rPr>
        <w:t xml:space="preserve">En cualquier caso, la tendencia es la contraria a la que garantizaría la sostenibilidad del sistema. Las cotizaciones cada vez suponen un porcentaje menor de los ingresos; y </w:t>
      </w:r>
      <w:r w:rsidRPr="00CD1A5B">
        <w:rPr>
          <w:u w:val="single"/>
        </w:rPr>
        <w:lastRenderedPageBreak/>
        <w:t>mientras las prestaciones (especialmente las pensiones contributivas) son un porcentaje cada vez mayor del total de los gastos.</w:t>
      </w:r>
    </w:p>
    <w:p w:rsidR="006969D0" w:rsidRPr="00CD1A5B" w:rsidRDefault="006969D0" w:rsidP="00550638">
      <w:pPr>
        <w:pStyle w:val="NormalWeb"/>
        <w:jc w:val="both"/>
        <w:rPr>
          <w:color w:val="FF0000"/>
        </w:rPr>
      </w:pPr>
      <w:r>
        <w:rPr>
          <w:rStyle w:val="Textoennegrita"/>
        </w:rPr>
        <w:t xml:space="preserve">- </w:t>
      </w:r>
      <w:r w:rsidRPr="00CD1A5B">
        <w:rPr>
          <w:rStyle w:val="Textoennegrita"/>
          <w:color w:val="FF0000"/>
        </w:rPr>
        <w:t>¿Un sistema sostenible?:</w:t>
      </w:r>
      <w:r w:rsidRPr="00CD1A5B">
        <w:rPr>
          <w:color w:val="FF0000"/>
        </w:rPr>
        <w:t xml:space="preserve"> la idea que se vende a la opinión pública es que el modelo es sostenible. Seguramente una mayoría de los españoles crea que con sus cotizaciones se pagan las pensiones de los jubilados. Pero, como vemos, cada vez es menos cierto. O sólo es cierto en parte. Así es cómo se gastará el dinero la Seguridad Social el próximo año:</w:t>
      </w:r>
    </w:p>
    <w:p w:rsidR="006969D0" w:rsidRDefault="006969D0" w:rsidP="00550638">
      <w:pPr>
        <w:pStyle w:val="NormalWeb"/>
        <w:jc w:val="both"/>
      </w:pPr>
      <w:r>
        <w:rPr>
          <w:rStyle w:val="Textoennegrita"/>
        </w:rPr>
        <w:t>- Pensiones:</w:t>
      </w:r>
      <w:r>
        <w:t xml:space="preserve"> 114.268,7 millones</w:t>
      </w:r>
    </w:p>
    <w:p w:rsidR="006969D0" w:rsidRDefault="006969D0" w:rsidP="00550638">
      <w:pPr>
        <w:pStyle w:val="NormalWeb"/>
        <w:jc w:val="both"/>
      </w:pPr>
      <w:r>
        <w:t>Jubilación: 79.032 millones (de los que 1.168 millones son para no contributivas)</w:t>
      </w:r>
    </w:p>
    <w:p w:rsidR="006969D0" w:rsidRDefault="006969D0" w:rsidP="00550638">
      <w:pPr>
        <w:pStyle w:val="NormalWeb"/>
        <w:jc w:val="both"/>
      </w:pPr>
      <w:r>
        <w:t>Viudedad: 20.375 millones</w:t>
      </w:r>
    </w:p>
    <w:p w:rsidR="006969D0" w:rsidRDefault="006969D0" w:rsidP="00550638">
      <w:pPr>
        <w:pStyle w:val="NormalWeb"/>
        <w:jc w:val="both"/>
      </w:pPr>
      <w:r>
        <w:t>Invalidez: 12.935 millones (de los que 998 millones son para no contributivas)</w:t>
      </w:r>
    </w:p>
    <w:p w:rsidR="006969D0" w:rsidRDefault="006969D0" w:rsidP="00550638">
      <w:pPr>
        <w:pStyle w:val="NormalWeb"/>
        <w:jc w:val="both"/>
      </w:pPr>
      <w:r>
        <w:t>Orfandad y familiares: 1.927 millones</w:t>
      </w:r>
    </w:p>
    <w:p w:rsidR="006969D0" w:rsidRDefault="006969D0" w:rsidP="00550638">
      <w:pPr>
        <w:pStyle w:val="NormalWeb"/>
        <w:jc w:val="both"/>
      </w:pPr>
      <w:r>
        <w:rPr>
          <w:rStyle w:val="Textoennegrita"/>
        </w:rPr>
        <w:t>- Otras prestaciones:</w:t>
      </w:r>
      <w:r>
        <w:t xml:space="preserve"> 9.225 millones (las principales debajo)</w:t>
      </w:r>
    </w:p>
    <w:p w:rsidR="006969D0" w:rsidRDefault="006969D0" w:rsidP="00550638">
      <w:pPr>
        <w:pStyle w:val="NormalWeb"/>
        <w:jc w:val="both"/>
      </w:pPr>
      <w:r>
        <w:t>Incapacidad temporal: 4.878 millones</w:t>
      </w:r>
    </w:p>
    <w:p w:rsidR="006969D0" w:rsidRDefault="006969D0" w:rsidP="00550638">
      <w:pPr>
        <w:pStyle w:val="NormalWeb"/>
        <w:jc w:val="both"/>
      </w:pPr>
      <w:r>
        <w:t>Prestaciones familiares: 1.683 millones</w:t>
      </w:r>
    </w:p>
    <w:p w:rsidR="006969D0" w:rsidRDefault="006969D0" w:rsidP="00550638">
      <w:pPr>
        <w:pStyle w:val="NormalWeb"/>
        <w:jc w:val="both"/>
      </w:pPr>
      <w:r>
        <w:t>Maternidad y paternidad: 2.178 millones</w:t>
      </w:r>
    </w:p>
    <w:p w:rsidR="006969D0" w:rsidRDefault="006969D0" w:rsidP="00550638">
      <w:pPr>
        <w:pStyle w:val="NormalWeb"/>
        <w:jc w:val="both"/>
      </w:pPr>
      <w:r>
        <w:rPr>
          <w:rStyle w:val="Textoennegrita"/>
        </w:rPr>
        <w:t xml:space="preserve">- Otros gastos: </w:t>
      </w:r>
      <w:r>
        <w:t>7.001 millones</w:t>
      </w:r>
    </w:p>
    <w:p w:rsidR="006969D0" w:rsidRDefault="006969D0" w:rsidP="00550638">
      <w:pPr>
        <w:pStyle w:val="NormalWeb"/>
        <w:jc w:val="both"/>
      </w:pPr>
      <w:r>
        <w:t>Asistencia sanitaria 1.447 millones</w:t>
      </w:r>
    </w:p>
    <w:p w:rsidR="006969D0" w:rsidRDefault="006969D0" w:rsidP="00550638">
      <w:pPr>
        <w:pStyle w:val="NormalWeb"/>
        <w:jc w:val="both"/>
      </w:pPr>
      <w:r>
        <w:t>Servicios sociales: 1.425 millones</w:t>
      </w:r>
    </w:p>
    <w:p w:rsidR="006969D0" w:rsidRDefault="006969D0" w:rsidP="00550638">
      <w:pPr>
        <w:pStyle w:val="NormalWeb"/>
        <w:jc w:val="both"/>
      </w:pPr>
      <w:r>
        <w:t>Servicios funcionales (informática, tesorería,...): 1.745 millones</w:t>
      </w:r>
    </w:p>
    <w:p w:rsidR="006969D0" w:rsidRDefault="006969D0" w:rsidP="00550638">
      <w:pPr>
        <w:pStyle w:val="NormalWeb"/>
        <w:jc w:val="both"/>
      </w:pPr>
      <w:r>
        <w:t>Operaciones financieras: 2.384 millones</w:t>
      </w:r>
    </w:p>
    <w:p w:rsidR="006969D0" w:rsidRPr="00CD1A5B" w:rsidRDefault="006969D0" w:rsidP="00550638">
      <w:pPr>
        <w:pStyle w:val="NormalWeb"/>
        <w:jc w:val="both"/>
        <w:rPr>
          <w:u w:val="single"/>
        </w:rPr>
      </w:pPr>
      <w:r w:rsidRPr="00CD1A5B">
        <w:rPr>
          <w:u w:val="single"/>
        </w:rPr>
        <w:t xml:space="preserve">Con este panorama, para el año que viene, los 102.839 millones se quedan cortos no sólo para pagar las prestaciones, sino también todas las pensiones, incluso quitando la parte no contributiva. Para solucionarlo, el año que viene el </w:t>
      </w:r>
      <w:hyperlink r:id="rId684" w:history="1">
        <w:r w:rsidRPr="00DF670B">
          <w:rPr>
            <w:rStyle w:val="Hipervnculo"/>
            <w:rFonts w:eastAsiaTheme="majorEastAsia"/>
            <w:color w:val="auto"/>
          </w:rPr>
          <w:t>Gobierno realizará transferencias</w:t>
        </w:r>
      </w:hyperlink>
      <w:r w:rsidRPr="00CD1A5B">
        <w:rPr>
          <w:u w:val="single"/>
        </w:rPr>
        <w:t xml:space="preserve"> por valor de 13.000 millones y sacará del Fondo de Reserva otros 12.000 millones.</w:t>
      </w:r>
    </w:p>
    <w:p w:rsidR="006969D0" w:rsidRDefault="006969D0" w:rsidP="00550638">
      <w:pPr>
        <w:pStyle w:val="NormalWeb"/>
        <w:jc w:val="both"/>
      </w:pPr>
      <w:r w:rsidRPr="00CD1A5B">
        <w:rPr>
          <w:u w:val="single"/>
        </w:rPr>
        <w:t>La idea final es que al final todo lo que no sean pensiones contributivas de jubilación se financie vía PGE, quitando viudedad, orfandad,... Pero es que ni siquiera así hay tanto margen. Hablamos de unos 78.000 millones en 2014</w:t>
      </w:r>
      <w:r>
        <w:t>. Es decir, que sólo las pensiones de jubilación contributivas estrictamente hablando ya superan el 75% de lo que se recauda en cotizaciones sociales. Y por otro lado habría que ver qué pasaría con el resto del gasto ministerial si los 35.000 millones de pensiones no de jubilación o no contributivas se comienzan a pagar completamente vía PGE.</w:t>
      </w:r>
    </w:p>
    <w:p w:rsidR="00DF670B" w:rsidRPr="00E32D8F" w:rsidRDefault="00DF670B" w:rsidP="00550638">
      <w:pPr>
        <w:spacing w:before="100" w:beforeAutospacing="1" w:after="100" w:afterAutospacing="1" w:line="240" w:lineRule="auto"/>
        <w:jc w:val="both"/>
        <w:rPr>
          <w:rFonts w:ascii="Times New Roman" w:eastAsia="Times New Roman" w:hAnsi="Times New Roman" w:cs="Times New Roman"/>
          <w:sz w:val="24"/>
          <w:szCs w:val="24"/>
          <w:u w:val="single"/>
        </w:rPr>
      </w:pPr>
      <w:r w:rsidRPr="00E32D8F">
        <w:rPr>
          <w:rFonts w:ascii="Times New Roman" w:hAnsi="Times New Roman" w:cs="Times New Roman"/>
          <w:sz w:val="24"/>
          <w:szCs w:val="24"/>
          <w:u w:val="single"/>
        </w:rPr>
        <w:lastRenderedPageBreak/>
        <w:t>Y Juan Ramón Rallo sentencia:</w:t>
      </w:r>
      <w:r w:rsidRPr="00E32D8F">
        <w:rPr>
          <w:u w:val="single"/>
        </w:rPr>
        <w:t xml:space="preserve"> </w:t>
      </w:r>
      <w:r w:rsidR="00E32D8F">
        <w:rPr>
          <w:rFonts w:ascii="Times New Roman" w:eastAsia="Times New Roman" w:hAnsi="Times New Roman" w:cs="Times New Roman"/>
          <w:sz w:val="24"/>
          <w:szCs w:val="24"/>
          <w:u w:val="single"/>
        </w:rPr>
        <w:t>s</w:t>
      </w:r>
      <w:r w:rsidRPr="00E32D8F">
        <w:rPr>
          <w:rFonts w:ascii="Times New Roman" w:eastAsia="Times New Roman" w:hAnsi="Times New Roman" w:cs="Times New Roman"/>
          <w:sz w:val="24"/>
          <w:szCs w:val="24"/>
          <w:u w:val="single"/>
        </w:rPr>
        <w:t>i confía su jubilación a los políticos, termina</w:t>
      </w:r>
      <w:r w:rsidR="00E32D8F" w:rsidRPr="00E32D8F">
        <w:rPr>
          <w:rFonts w:ascii="Times New Roman" w:eastAsia="Times New Roman" w:hAnsi="Times New Roman" w:cs="Times New Roman"/>
          <w:sz w:val="24"/>
          <w:szCs w:val="24"/>
          <w:u w:val="single"/>
        </w:rPr>
        <w:t>rá sintiéndose pobre y estafado</w:t>
      </w:r>
    </w:p>
    <w:p w:rsidR="00DF670B" w:rsidRDefault="00DF670B"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EB4F35">
        <w:rPr>
          <w:rFonts w:ascii="Times New Roman" w:eastAsia="Times New Roman" w:hAnsi="Times New Roman" w:cs="Times New Roman"/>
          <w:sz w:val="24"/>
          <w:szCs w:val="24"/>
          <w:u w:val="single"/>
        </w:rPr>
        <w:t>El gráfico que hará temblar a los futuros pensionistas</w:t>
      </w:r>
      <w:r>
        <w:rPr>
          <w:rFonts w:ascii="Times New Roman" w:eastAsia="Times New Roman" w:hAnsi="Times New Roman" w:cs="Times New Roman"/>
          <w:sz w:val="24"/>
          <w:szCs w:val="24"/>
        </w:rPr>
        <w:t xml:space="preserve"> (Libertad Digital - </w:t>
      </w:r>
      <w:r w:rsidRPr="00EB4F35">
        <w:rPr>
          <w:rFonts w:ascii="Times New Roman" w:eastAsia="Times New Roman" w:hAnsi="Times New Roman" w:cs="Times New Roman"/>
          <w:b/>
          <w:sz w:val="24"/>
          <w:szCs w:val="24"/>
        </w:rPr>
        <w:t>16/10/13</w:t>
      </w:r>
      <w:r>
        <w:rPr>
          <w:rFonts w:ascii="Times New Roman" w:eastAsia="Times New Roman" w:hAnsi="Times New Roman" w:cs="Times New Roman"/>
          <w:sz w:val="24"/>
          <w:szCs w:val="24"/>
        </w:rPr>
        <w:t>)</w:t>
      </w:r>
    </w:p>
    <w:p w:rsidR="00DF670B" w:rsidRDefault="00DF670B"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(Por Juan Ramón Rallo)</w:t>
      </w:r>
      <w:r w:rsidR="00E32D8F">
        <w:rPr>
          <w:rFonts w:ascii="Times New Roman" w:eastAsia="Times New Roman" w:hAnsi="Times New Roman" w:cs="Times New Roman"/>
          <w:sz w:val="24"/>
          <w:szCs w:val="24"/>
        </w:rPr>
        <w:t xml:space="preserve">                                                                    Lectura recomendada</w:t>
      </w:r>
    </w:p>
    <w:p w:rsidR="00DF670B" w:rsidRPr="00EC6182" w:rsidRDefault="00DF670B" w:rsidP="00550638">
      <w:pPr>
        <w:spacing w:before="100" w:beforeAutospacing="1" w:after="100" w:afterAutospacing="1" w:line="240" w:lineRule="auto"/>
        <w:jc w:val="both"/>
        <w:rPr>
          <w:rFonts w:ascii="Times New Roman" w:eastAsia="Times New Roman" w:hAnsi="Times New Roman" w:cs="Times New Roman"/>
          <w:sz w:val="24"/>
          <w:szCs w:val="24"/>
          <w:u w:val="single"/>
        </w:rPr>
      </w:pPr>
      <w:r w:rsidRPr="00EC6182">
        <w:rPr>
          <w:rFonts w:ascii="Times New Roman" w:eastAsia="Times New Roman" w:hAnsi="Times New Roman" w:cs="Times New Roman"/>
          <w:sz w:val="24"/>
          <w:szCs w:val="24"/>
          <w:u w:val="single"/>
        </w:rPr>
        <w:t>Este es un gráfico que a todos debería hacernos reflexionar en materia de pensiones. Muestra la</w:t>
      </w:r>
      <w:r w:rsidRPr="00EC6182">
        <w:rPr>
          <w:rFonts w:ascii="Times New Roman" w:eastAsia="Times New Roman" w:hAnsi="Times New Roman" w:cs="Times New Roman"/>
          <w:b/>
          <w:bCs/>
          <w:sz w:val="24"/>
          <w:szCs w:val="24"/>
          <w:u w:val="single"/>
        </w:rPr>
        <w:t xml:space="preserve"> </w:t>
      </w:r>
      <w:r w:rsidRPr="007141E2">
        <w:rPr>
          <w:rFonts w:ascii="Times New Roman" w:eastAsia="Times New Roman" w:hAnsi="Times New Roman" w:cs="Times New Roman"/>
          <w:bCs/>
          <w:sz w:val="24"/>
          <w:szCs w:val="24"/>
          <w:u w:val="single"/>
        </w:rPr>
        <w:t>evolución</w:t>
      </w:r>
      <w:r w:rsidRPr="00EC6182">
        <w:rPr>
          <w:rFonts w:ascii="Times New Roman" w:eastAsia="Times New Roman" w:hAnsi="Times New Roman" w:cs="Times New Roman"/>
          <w:sz w:val="24"/>
          <w:szCs w:val="24"/>
          <w:u w:val="single"/>
        </w:rPr>
        <w:t xml:space="preserve"> previsible de la </w:t>
      </w:r>
      <w:r w:rsidRPr="007141E2">
        <w:rPr>
          <w:rFonts w:ascii="Times New Roman" w:eastAsia="Times New Roman" w:hAnsi="Times New Roman" w:cs="Times New Roman"/>
          <w:bCs/>
          <w:sz w:val="24"/>
          <w:szCs w:val="24"/>
          <w:u w:val="single"/>
        </w:rPr>
        <w:t>población ocupada</w:t>
      </w:r>
      <w:r w:rsidRPr="00EC6182">
        <w:rPr>
          <w:rFonts w:ascii="Times New Roman" w:eastAsia="Times New Roman" w:hAnsi="Times New Roman" w:cs="Times New Roman"/>
          <w:sz w:val="24"/>
          <w:szCs w:val="24"/>
          <w:u w:val="single"/>
        </w:rPr>
        <w:t xml:space="preserve"> y del número de </w:t>
      </w:r>
      <w:r w:rsidRPr="007141E2">
        <w:rPr>
          <w:rFonts w:ascii="Times New Roman" w:eastAsia="Times New Roman" w:hAnsi="Times New Roman" w:cs="Times New Roman"/>
          <w:bCs/>
          <w:sz w:val="24"/>
          <w:szCs w:val="24"/>
          <w:u w:val="single"/>
        </w:rPr>
        <w:t>pensionistas</w:t>
      </w:r>
      <w:r w:rsidRPr="007141E2">
        <w:rPr>
          <w:rFonts w:ascii="Times New Roman" w:eastAsia="Times New Roman" w:hAnsi="Times New Roman" w:cs="Times New Roman"/>
          <w:sz w:val="24"/>
          <w:szCs w:val="24"/>
          <w:u w:val="single"/>
        </w:rPr>
        <w:t>.</w:t>
      </w:r>
    </w:p>
    <w:p w:rsidR="00DF670B" w:rsidRPr="00EB4F35" w:rsidRDefault="00DF670B" w:rsidP="00550638">
      <w:pPr>
        <w:spacing w:before="100" w:beforeAutospacing="1" w:after="100" w:afterAutospacing="1" w:line="240" w:lineRule="auto"/>
        <w:jc w:val="both"/>
        <w:rPr>
          <w:rFonts w:ascii="Times New Roman" w:eastAsia="Times New Roman" w:hAnsi="Times New Roman" w:cs="Times New Roman"/>
          <w:sz w:val="24"/>
          <w:szCs w:val="24"/>
        </w:rPr>
      </w:pPr>
      <w:r w:rsidRPr="00EB4F35">
        <w:rPr>
          <w:rFonts w:ascii="Times New Roman" w:eastAsia="Times New Roman" w:hAnsi="Times New Roman" w:cs="Times New Roman"/>
          <w:sz w:val="24"/>
          <w:szCs w:val="24"/>
        </w:rPr>
        <w:t>Aunque es un gráfico aterrador, se basa en dos hipótesis harto optimistas: la primera es que en España trabajará el 70% de la población con edad para hacerlo, algo que apenas conseguimos en plena burbuja; la segunda, es que el número de pensiones a pagar coincide con el de personas mayores de 67 años, cosa que hoy tampoco ocurre, pues el sistema de Seguridad Social también cubre las pensiones de incapacidad permanente, de orfandad y en favor de familiares (hoy la Seguridad Social abona 9,1 millones de pensiones, y el número de personas mayores de 65 años es de poco más de ocho millones).</w:t>
      </w:r>
    </w:p>
    <w:p w:rsidR="00DF670B" w:rsidRPr="00EB4F35" w:rsidRDefault="00DF670B" w:rsidP="00550638">
      <w:pPr>
        <w:spacing w:before="100" w:beforeAutospacing="1" w:after="100" w:afterAutospacing="1"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eastAsia="es-ES"/>
        </w:rPr>
        <w:drawing>
          <wp:inline distT="0" distB="0" distL="0" distR="0" wp14:anchorId="39B92501" wp14:editId="0ECD6E35">
            <wp:extent cx="4557369" cy="2099462"/>
            <wp:effectExtent l="0" t="0" r="0" b="0"/>
            <wp:docPr id="76" name="Imagen 76" descr="http://s.libertaddigital.com/fotos/noticias/pen-gra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ibertaddigital.com/fotos/noticias/pen-graf.jpg"/>
                    <pic:cNvPicPr>
                      <a:picLocks noChangeAspect="1" noChangeArrowheads="1"/>
                    </pic:cNvPicPr>
                  </pic:nvPicPr>
                  <pic:blipFill>
                    <a:blip r:embed="rId685">
                      <a:extLst>
                        <a:ext uri="{28A0092B-C50C-407E-A947-70E740481C1C}">
                          <a14:useLocalDpi xmlns:a14="http://schemas.microsoft.com/office/drawing/2010/main" val="0"/>
                        </a:ext>
                      </a:extLst>
                    </a:blip>
                    <a:srcRect/>
                    <a:stretch>
                      <a:fillRect/>
                    </a:stretch>
                  </pic:blipFill>
                  <pic:spPr bwMode="auto">
                    <a:xfrm>
                      <a:off x="0" y="0"/>
                      <a:ext cx="4557395" cy="2099474"/>
                    </a:xfrm>
                    <a:prstGeom prst="rect">
                      <a:avLst/>
                    </a:prstGeom>
                    <a:noFill/>
                    <a:ln>
                      <a:noFill/>
                    </a:ln>
                  </pic:spPr>
                </pic:pic>
              </a:graphicData>
            </a:graphic>
          </wp:inline>
        </w:drawing>
      </w:r>
    </w:p>
    <w:p w:rsidR="00DF670B" w:rsidRPr="00EB4F35" w:rsidRDefault="00DF670B" w:rsidP="00550638">
      <w:pPr>
        <w:spacing w:before="100" w:beforeAutospacing="1" w:after="100" w:afterAutospacing="1" w:line="240" w:lineRule="auto"/>
        <w:jc w:val="both"/>
        <w:rPr>
          <w:rFonts w:ascii="Times New Roman" w:eastAsia="Times New Roman" w:hAnsi="Times New Roman" w:cs="Times New Roman"/>
          <w:sz w:val="24"/>
          <w:szCs w:val="24"/>
        </w:rPr>
      </w:pPr>
      <w:r w:rsidRPr="00EB4F35">
        <w:rPr>
          <w:rFonts w:ascii="Times New Roman" w:eastAsia="Times New Roman" w:hAnsi="Times New Roman" w:cs="Times New Roman"/>
          <w:sz w:val="24"/>
          <w:szCs w:val="24"/>
        </w:rPr>
        <w:t>Fuente: INE</w:t>
      </w:r>
    </w:p>
    <w:p w:rsidR="00DF670B" w:rsidRPr="00EC6182" w:rsidRDefault="00DF670B" w:rsidP="00550638">
      <w:pPr>
        <w:spacing w:before="100" w:beforeAutospacing="1" w:after="100" w:afterAutospacing="1" w:line="240" w:lineRule="auto"/>
        <w:jc w:val="both"/>
        <w:rPr>
          <w:rFonts w:ascii="Times New Roman" w:eastAsia="Times New Roman" w:hAnsi="Times New Roman" w:cs="Times New Roman"/>
          <w:color w:val="FF0000"/>
          <w:sz w:val="24"/>
          <w:szCs w:val="24"/>
          <w:u w:val="single"/>
        </w:rPr>
      </w:pPr>
      <w:r w:rsidRPr="00EC6182">
        <w:rPr>
          <w:rFonts w:ascii="Times New Roman" w:eastAsia="Times New Roman" w:hAnsi="Times New Roman" w:cs="Times New Roman"/>
          <w:color w:val="FF0000"/>
          <w:sz w:val="24"/>
          <w:szCs w:val="24"/>
          <w:u w:val="single"/>
        </w:rPr>
        <w:t>Si con ocho millones de personas mayores de 65 años y 16,7 millones de trabajadores no podemos sostener las pensiones actuales, imaginaos qué sucederá en las próximas décadas conforme ese diferencial se vaya volviendo todavía más estrecho.</w:t>
      </w:r>
    </w:p>
    <w:p w:rsidR="00DF670B" w:rsidRPr="00EB4F35" w:rsidRDefault="00DF670B" w:rsidP="00550638">
      <w:pPr>
        <w:spacing w:before="100" w:beforeAutospacing="1" w:after="100" w:afterAutospacing="1" w:line="240" w:lineRule="auto"/>
        <w:jc w:val="both"/>
        <w:rPr>
          <w:rFonts w:ascii="Times New Roman" w:eastAsia="Times New Roman" w:hAnsi="Times New Roman" w:cs="Times New Roman"/>
          <w:sz w:val="24"/>
          <w:szCs w:val="24"/>
        </w:rPr>
      </w:pPr>
      <w:r w:rsidRPr="00EB4F35">
        <w:rPr>
          <w:rFonts w:ascii="Times New Roman" w:eastAsia="Times New Roman" w:hAnsi="Times New Roman" w:cs="Times New Roman"/>
          <w:sz w:val="24"/>
          <w:szCs w:val="24"/>
        </w:rPr>
        <w:t>Algunas implicaciones:</w:t>
      </w:r>
    </w:p>
    <w:p w:rsidR="00DF670B" w:rsidRPr="00EB4F35" w:rsidRDefault="00DF670B" w:rsidP="00550638">
      <w:pPr>
        <w:numPr>
          <w:ilvl w:val="0"/>
          <w:numId w:val="42"/>
        </w:numPr>
        <w:spacing w:before="100" w:beforeAutospacing="1" w:after="100" w:afterAutospacing="1" w:line="240" w:lineRule="auto"/>
        <w:jc w:val="both"/>
        <w:rPr>
          <w:rFonts w:ascii="Times New Roman" w:eastAsia="Times New Roman" w:hAnsi="Times New Roman" w:cs="Times New Roman"/>
          <w:sz w:val="24"/>
          <w:szCs w:val="24"/>
        </w:rPr>
      </w:pPr>
      <w:r w:rsidRPr="00EC6182">
        <w:rPr>
          <w:rFonts w:ascii="Times New Roman" w:eastAsia="Times New Roman" w:hAnsi="Times New Roman" w:cs="Times New Roman"/>
          <w:color w:val="FF0000"/>
          <w:sz w:val="24"/>
          <w:szCs w:val="24"/>
        </w:rPr>
        <w:t xml:space="preserve">Las </w:t>
      </w:r>
      <w:r w:rsidRPr="00EC6182">
        <w:rPr>
          <w:rFonts w:ascii="Times New Roman" w:eastAsia="Times New Roman" w:hAnsi="Times New Roman" w:cs="Times New Roman"/>
          <w:b/>
          <w:bCs/>
          <w:color w:val="FF0000"/>
          <w:sz w:val="24"/>
          <w:szCs w:val="24"/>
        </w:rPr>
        <w:t xml:space="preserve">pensiones que hoy promete pagar la Seguridad Social </w:t>
      </w:r>
      <w:r w:rsidRPr="00EC6182">
        <w:rPr>
          <w:rFonts w:ascii="Times New Roman" w:eastAsia="Times New Roman" w:hAnsi="Times New Roman" w:cs="Times New Roman"/>
          <w:color w:val="FF0000"/>
          <w:sz w:val="24"/>
          <w:szCs w:val="24"/>
        </w:rPr>
        <w:t xml:space="preserve">(no en cuantía, sino en método de cálculo: 100% del sueldo medio en los últimos 25 años si has cotizado 37 años a lo largo de tu vida laboral) son </w:t>
      </w:r>
      <w:r w:rsidRPr="007141E2">
        <w:rPr>
          <w:rFonts w:ascii="Times New Roman" w:eastAsia="Times New Roman" w:hAnsi="Times New Roman" w:cs="Times New Roman"/>
          <w:bCs/>
          <w:color w:val="FF0000"/>
          <w:sz w:val="24"/>
          <w:szCs w:val="24"/>
        </w:rPr>
        <w:t>absolutamente insostenibles</w:t>
      </w:r>
      <w:r w:rsidRPr="00EC6182">
        <w:rPr>
          <w:rFonts w:ascii="Times New Roman" w:eastAsia="Times New Roman" w:hAnsi="Times New Roman" w:cs="Times New Roman"/>
          <w:color w:val="FF0000"/>
          <w:sz w:val="24"/>
          <w:szCs w:val="24"/>
        </w:rPr>
        <w:t xml:space="preserve">. </w:t>
      </w:r>
      <w:r w:rsidRPr="00EB4F35">
        <w:rPr>
          <w:rFonts w:ascii="Times New Roman" w:eastAsia="Times New Roman" w:hAnsi="Times New Roman" w:cs="Times New Roman"/>
          <w:sz w:val="24"/>
          <w:szCs w:val="24"/>
        </w:rPr>
        <w:t>Ni la tibia reforma que prepara Mariano Rajoy será capaz de sostener el sistema, salvo que experimentemos mucha inflación (en cuyo caso, las pensiones se diluirán sistemáticamente en términos reales).</w:t>
      </w:r>
    </w:p>
    <w:p w:rsidR="00DF670B" w:rsidRPr="00EC6182" w:rsidRDefault="00DF670B" w:rsidP="00550638">
      <w:pPr>
        <w:numPr>
          <w:ilvl w:val="0"/>
          <w:numId w:val="42"/>
        </w:numPr>
        <w:spacing w:before="100" w:beforeAutospacing="1" w:after="100" w:afterAutospacing="1" w:line="240" w:lineRule="auto"/>
        <w:jc w:val="both"/>
        <w:rPr>
          <w:rFonts w:ascii="Times New Roman" w:eastAsia="Times New Roman" w:hAnsi="Times New Roman" w:cs="Times New Roman"/>
          <w:color w:val="FF0000"/>
          <w:sz w:val="24"/>
          <w:szCs w:val="24"/>
        </w:rPr>
      </w:pPr>
      <w:r w:rsidRPr="00EC6182">
        <w:rPr>
          <w:rFonts w:ascii="Times New Roman" w:eastAsia="Times New Roman" w:hAnsi="Times New Roman" w:cs="Times New Roman"/>
          <w:color w:val="FF0000"/>
          <w:sz w:val="24"/>
          <w:szCs w:val="24"/>
        </w:rPr>
        <w:t>Que la</w:t>
      </w:r>
      <w:r w:rsidRPr="00EC6182">
        <w:rPr>
          <w:rFonts w:ascii="Times New Roman" w:eastAsia="Times New Roman" w:hAnsi="Times New Roman" w:cs="Times New Roman"/>
          <w:b/>
          <w:bCs/>
          <w:color w:val="FF0000"/>
          <w:sz w:val="24"/>
          <w:szCs w:val="24"/>
        </w:rPr>
        <w:t xml:space="preserve"> relación entre trabajadores y pensionistas</w:t>
      </w:r>
      <w:r w:rsidRPr="00EC6182">
        <w:rPr>
          <w:rFonts w:ascii="Times New Roman" w:eastAsia="Times New Roman" w:hAnsi="Times New Roman" w:cs="Times New Roman"/>
          <w:color w:val="FF0000"/>
          <w:sz w:val="24"/>
          <w:szCs w:val="24"/>
        </w:rPr>
        <w:t xml:space="preserve"> vaya a descender abruptamente no implica necesariamente que las pensiones vayan a caer en el futuro. Si la economía crece lo suficiente, las pensiones podrían hacerlo. Lo que sí significa es que la renta relativa de los pensionistas con respecto a la renta </w:t>
      </w:r>
      <w:r w:rsidRPr="00EC6182">
        <w:rPr>
          <w:rFonts w:ascii="Times New Roman" w:eastAsia="Times New Roman" w:hAnsi="Times New Roman" w:cs="Times New Roman"/>
          <w:color w:val="FF0000"/>
          <w:sz w:val="24"/>
          <w:szCs w:val="24"/>
        </w:rPr>
        <w:lastRenderedPageBreak/>
        <w:t>media de la sociedad va a hundirse (a menos que se saquee a impuestos a los trabajadores en activo).</w:t>
      </w:r>
    </w:p>
    <w:p w:rsidR="00DF670B" w:rsidRPr="00EC6182" w:rsidRDefault="00DF670B" w:rsidP="00550638">
      <w:pPr>
        <w:numPr>
          <w:ilvl w:val="0"/>
          <w:numId w:val="42"/>
        </w:numPr>
        <w:spacing w:before="100" w:beforeAutospacing="1" w:after="100" w:afterAutospacing="1" w:line="240" w:lineRule="auto"/>
        <w:jc w:val="both"/>
        <w:rPr>
          <w:rFonts w:ascii="Times New Roman" w:eastAsia="Times New Roman" w:hAnsi="Times New Roman" w:cs="Times New Roman"/>
          <w:sz w:val="24"/>
          <w:szCs w:val="24"/>
          <w:u w:val="single"/>
        </w:rPr>
      </w:pPr>
      <w:r w:rsidRPr="00EC6182">
        <w:rPr>
          <w:rFonts w:ascii="Times New Roman" w:eastAsia="Times New Roman" w:hAnsi="Times New Roman" w:cs="Times New Roman"/>
          <w:color w:val="FF0000"/>
          <w:sz w:val="24"/>
          <w:szCs w:val="24"/>
        </w:rPr>
        <w:t xml:space="preserve">La </w:t>
      </w:r>
      <w:r w:rsidRPr="00EC6182">
        <w:rPr>
          <w:rFonts w:ascii="Times New Roman" w:eastAsia="Times New Roman" w:hAnsi="Times New Roman" w:cs="Times New Roman"/>
          <w:b/>
          <w:bCs/>
          <w:color w:val="FF0000"/>
          <w:sz w:val="24"/>
          <w:szCs w:val="24"/>
        </w:rPr>
        <w:t xml:space="preserve">inmigración </w:t>
      </w:r>
      <w:r w:rsidRPr="00EC6182">
        <w:rPr>
          <w:rFonts w:ascii="Times New Roman" w:eastAsia="Times New Roman" w:hAnsi="Times New Roman" w:cs="Times New Roman"/>
          <w:color w:val="FF0000"/>
          <w:sz w:val="24"/>
          <w:szCs w:val="24"/>
        </w:rPr>
        <w:t>podría parcialmente paliar el problema, haciendo la transición demográfica algo más suave, pero si devenga nuevos derechos a pensiones futuras, sólo retrasa el problema</w:t>
      </w:r>
      <w:r w:rsidRPr="00EB4F35">
        <w:rPr>
          <w:rFonts w:ascii="Times New Roman" w:eastAsia="Times New Roman" w:hAnsi="Times New Roman" w:cs="Times New Roman"/>
          <w:sz w:val="24"/>
          <w:szCs w:val="24"/>
        </w:rPr>
        <w:t xml:space="preserve">. </w:t>
      </w:r>
      <w:r w:rsidRPr="00EC6182">
        <w:rPr>
          <w:rFonts w:ascii="Times New Roman" w:eastAsia="Times New Roman" w:hAnsi="Times New Roman" w:cs="Times New Roman"/>
          <w:sz w:val="24"/>
          <w:szCs w:val="24"/>
          <w:u w:val="single"/>
        </w:rPr>
        <w:t>En todo caso, podría ser una buena idea permitir la inmigración libre a España a cambio de no devengar derechos a la Seguridad Social.</w:t>
      </w:r>
    </w:p>
    <w:p w:rsidR="00DF670B" w:rsidRPr="00EC6182" w:rsidRDefault="00DF670B" w:rsidP="00550638">
      <w:pPr>
        <w:numPr>
          <w:ilvl w:val="0"/>
          <w:numId w:val="42"/>
        </w:numPr>
        <w:spacing w:before="100" w:beforeAutospacing="1" w:after="100" w:afterAutospacing="1" w:line="240" w:lineRule="auto"/>
        <w:jc w:val="both"/>
        <w:rPr>
          <w:rFonts w:ascii="Times New Roman" w:eastAsia="Times New Roman" w:hAnsi="Times New Roman" w:cs="Times New Roman"/>
          <w:sz w:val="24"/>
          <w:szCs w:val="24"/>
          <w:u w:val="single"/>
        </w:rPr>
      </w:pPr>
      <w:r w:rsidRPr="007141E2">
        <w:rPr>
          <w:rFonts w:ascii="Times New Roman" w:eastAsia="Times New Roman" w:hAnsi="Times New Roman" w:cs="Times New Roman"/>
          <w:color w:val="FF0000"/>
          <w:sz w:val="24"/>
          <w:szCs w:val="24"/>
        </w:rPr>
        <w:t>Sea como fuere, el consejo práctico más importante que debe extraer del gráfico anterior es sencillo:</w:t>
      </w:r>
      <w:r w:rsidRPr="007141E2">
        <w:rPr>
          <w:rFonts w:ascii="Times New Roman" w:eastAsia="Times New Roman" w:hAnsi="Times New Roman" w:cs="Times New Roman"/>
          <w:b/>
          <w:bCs/>
          <w:color w:val="FF0000"/>
          <w:sz w:val="24"/>
          <w:szCs w:val="24"/>
        </w:rPr>
        <w:t xml:space="preserve"> </w:t>
      </w:r>
      <w:r w:rsidRPr="007141E2">
        <w:rPr>
          <w:rFonts w:ascii="Times New Roman" w:eastAsia="Times New Roman" w:hAnsi="Times New Roman" w:cs="Times New Roman"/>
          <w:bCs/>
          <w:color w:val="FF0000"/>
          <w:sz w:val="24"/>
          <w:szCs w:val="24"/>
        </w:rPr>
        <w:t>ahorre e invierta</w:t>
      </w:r>
      <w:r w:rsidRPr="007141E2">
        <w:rPr>
          <w:rFonts w:ascii="Times New Roman" w:eastAsia="Times New Roman" w:hAnsi="Times New Roman" w:cs="Times New Roman"/>
          <w:sz w:val="24"/>
          <w:szCs w:val="24"/>
        </w:rPr>
        <w:t xml:space="preserve">. </w:t>
      </w:r>
      <w:r w:rsidRPr="00EC6182">
        <w:rPr>
          <w:rFonts w:ascii="Times New Roman" w:eastAsia="Times New Roman" w:hAnsi="Times New Roman" w:cs="Times New Roman"/>
          <w:sz w:val="24"/>
          <w:szCs w:val="24"/>
          <w:u w:val="single"/>
        </w:rPr>
        <w:t>Si confía su jubilación a los políticos, terminará sintiéndose pobre y estafado.</w:t>
      </w:r>
    </w:p>
    <w:p w:rsidR="00DF670B" w:rsidRDefault="00DF670B" w:rsidP="00550638">
      <w:pPr>
        <w:spacing w:beforeAutospacing="1" w:after="100" w:afterAutospacing="1" w:line="240" w:lineRule="auto"/>
        <w:jc w:val="both"/>
        <w:rPr>
          <w:rFonts w:ascii="Times New Roman" w:eastAsia="Times New Roman" w:hAnsi="Times New Roman" w:cs="Times New Roman"/>
          <w:i/>
          <w:iCs/>
          <w:sz w:val="24"/>
          <w:szCs w:val="24"/>
        </w:rPr>
      </w:pPr>
      <w:r w:rsidRPr="00EB4F35">
        <w:rPr>
          <w:rFonts w:ascii="Times New Roman" w:eastAsia="Times New Roman" w:hAnsi="Times New Roman" w:cs="Times New Roman"/>
          <w:sz w:val="24"/>
          <w:szCs w:val="24"/>
        </w:rPr>
        <w:t xml:space="preserve">Nota: Este gráfico, así como el análisis sobre la problemática global de las pensiones y sobre su posible solución por la vía de la privatización, formarán parte de mi próximo libro </w:t>
      </w:r>
      <w:r w:rsidR="00E32D8F">
        <w:rPr>
          <w:rFonts w:ascii="Times New Roman" w:eastAsia="Times New Roman" w:hAnsi="Times New Roman" w:cs="Times New Roman"/>
          <w:i/>
          <w:iCs/>
          <w:sz w:val="24"/>
          <w:szCs w:val="24"/>
        </w:rPr>
        <w:t>“Una revolución liberal”</w:t>
      </w:r>
      <w:r w:rsidRPr="00EB4F35">
        <w:rPr>
          <w:rFonts w:ascii="Times New Roman" w:eastAsia="Times New Roman" w:hAnsi="Times New Roman" w:cs="Times New Roman"/>
          <w:i/>
          <w:iCs/>
          <w:sz w:val="24"/>
          <w:szCs w:val="24"/>
        </w:rPr>
        <w:t xml:space="preserve"> </w:t>
      </w:r>
      <w:r w:rsidRPr="00EB4F35">
        <w:rPr>
          <w:rFonts w:ascii="Times New Roman" w:eastAsia="Times New Roman" w:hAnsi="Times New Roman" w:cs="Times New Roman"/>
          <w:sz w:val="24"/>
          <w:szCs w:val="24"/>
        </w:rPr>
        <w:t>(Deusto, 2014)</w:t>
      </w:r>
      <w:r w:rsidRPr="00EB4F35">
        <w:rPr>
          <w:rFonts w:ascii="Times New Roman" w:eastAsia="Times New Roman" w:hAnsi="Times New Roman" w:cs="Times New Roman"/>
          <w:i/>
          <w:iCs/>
          <w:sz w:val="24"/>
          <w:szCs w:val="24"/>
        </w:rPr>
        <w:t>.</w:t>
      </w:r>
    </w:p>
    <w:p w:rsidR="00B3139A" w:rsidRPr="00781BA4" w:rsidRDefault="00FB2390" w:rsidP="00550638">
      <w:pPr>
        <w:pStyle w:val="NormalWeb"/>
        <w:jc w:val="both"/>
        <w:rPr>
          <w:b/>
        </w:rPr>
      </w:pPr>
      <w:r>
        <w:rPr>
          <w:b/>
        </w:rPr>
        <w:t xml:space="preserve">Coda: </w:t>
      </w:r>
      <w:r w:rsidR="00BE1F76">
        <w:rPr>
          <w:b/>
        </w:rPr>
        <w:t>¿Y para cuá</w:t>
      </w:r>
      <w:r>
        <w:rPr>
          <w:b/>
        </w:rPr>
        <w:t>ndo el ‘</w:t>
      </w:r>
      <w:r w:rsidR="00781BA4">
        <w:rPr>
          <w:b/>
        </w:rPr>
        <w:t>factor se</w:t>
      </w:r>
      <w:r>
        <w:rPr>
          <w:b/>
        </w:rPr>
        <w:t>nsibilidad’</w:t>
      </w:r>
      <w:r w:rsidR="00781BA4">
        <w:rPr>
          <w:b/>
        </w:rPr>
        <w:t>, por no hablar del de justicia</w:t>
      </w:r>
      <w:r w:rsidR="00BE1F76">
        <w:rPr>
          <w:b/>
        </w:rPr>
        <w:t>?</w:t>
      </w:r>
      <w:r w:rsidR="00781BA4">
        <w:rPr>
          <w:b/>
        </w:rPr>
        <w:t xml:space="preserve"> Por favor</w:t>
      </w:r>
      <w:r w:rsidR="00B3139A">
        <w:rPr>
          <w:b/>
        </w:rPr>
        <w:t>,</w:t>
      </w:r>
      <w:r w:rsidR="00781BA4">
        <w:rPr>
          <w:b/>
        </w:rPr>
        <w:t xml:space="preserve"> bájense del pedestal (y de los modelos matemáticos) y piensen en</w:t>
      </w:r>
      <w:r w:rsidR="00B3139A">
        <w:rPr>
          <w:b/>
        </w:rPr>
        <w:t xml:space="preserve"> </w:t>
      </w:r>
      <w:r w:rsidR="00781BA4">
        <w:rPr>
          <w:b/>
        </w:rPr>
        <w:t>vu</w:t>
      </w:r>
      <w:r w:rsidR="00BE1F76">
        <w:rPr>
          <w:b/>
        </w:rPr>
        <w:t>estros padres, y que en algún momento,</w:t>
      </w:r>
      <w:r w:rsidR="00781BA4">
        <w:rPr>
          <w:b/>
        </w:rPr>
        <w:t xml:space="preserve"> ustedes también será</w:t>
      </w:r>
      <w:r w:rsidR="00B3139A">
        <w:rPr>
          <w:b/>
        </w:rPr>
        <w:t>n</w:t>
      </w:r>
      <w:r w:rsidR="00781BA4">
        <w:rPr>
          <w:b/>
        </w:rPr>
        <w:t xml:space="preserve"> viejos. </w:t>
      </w:r>
      <w:r>
        <w:rPr>
          <w:b/>
        </w:rPr>
        <w:t>Cuando les ‘sacaban los cuartos’</w:t>
      </w:r>
      <w:r w:rsidR="00781BA4">
        <w:rPr>
          <w:b/>
        </w:rPr>
        <w:t xml:space="preserve"> a los traba</w:t>
      </w:r>
      <w:r w:rsidR="00B3139A">
        <w:rPr>
          <w:b/>
        </w:rPr>
        <w:t>jadores nadie les</w:t>
      </w:r>
      <w:r>
        <w:rPr>
          <w:b/>
        </w:rPr>
        <w:t xml:space="preserve"> explicaba el ‘factor de sostenibilidad’, ni las ‘cuentas nocionales</w:t>
      </w:r>
      <w:r w:rsidR="006B60FC">
        <w:rPr>
          <w:b/>
        </w:rPr>
        <w:t>’</w:t>
      </w:r>
      <w:r w:rsidR="00781BA4">
        <w:rPr>
          <w:b/>
        </w:rPr>
        <w:t>.</w:t>
      </w:r>
      <w:r>
        <w:rPr>
          <w:b/>
        </w:rPr>
        <w:t xml:space="preserve"> A esta monserga la llaman ‘garantizar la certidumbre’</w:t>
      </w:r>
      <w:r w:rsidR="00B33FBF">
        <w:rPr>
          <w:b/>
        </w:rPr>
        <w:t>.</w:t>
      </w:r>
      <w:r w:rsidR="00B3139A">
        <w:rPr>
          <w:b/>
        </w:rPr>
        <w:t xml:space="preserve"> Sois unos </w:t>
      </w:r>
      <w:r w:rsidR="0016151F">
        <w:rPr>
          <w:b/>
        </w:rPr>
        <w:t xml:space="preserve">cínicos, </w:t>
      </w:r>
      <w:r>
        <w:rPr>
          <w:b/>
        </w:rPr>
        <w:t>arrogantes,</w:t>
      </w:r>
      <w:r w:rsidR="003A787A">
        <w:rPr>
          <w:b/>
        </w:rPr>
        <w:t xml:space="preserve"> frívolos,</w:t>
      </w:r>
      <w:r w:rsidR="0016151F">
        <w:rPr>
          <w:b/>
        </w:rPr>
        <w:t xml:space="preserve"> venales</w:t>
      </w:r>
      <w:r w:rsidR="003A787A">
        <w:rPr>
          <w:b/>
        </w:rPr>
        <w:t xml:space="preserve"> </w:t>
      </w:r>
      <w:r w:rsidR="00781BA4">
        <w:rPr>
          <w:b/>
        </w:rPr>
        <w:t xml:space="preserve">e </w:t>
      </w:r>
      <w:r w:rsidR="00B33FBF">
        <w:rPr>
          <w:b/>
        </w:rPr>
        <w:t>insolidarios</w:t>
      </w:r>
      <w:r w:rsidR="00781BA4">
        <w:rPr>
          <w:b/>
        </w:rPr>
        <w:t>.</w:t>
      </w:r>
    </w:p>
    <w:p w:rsidR="00A678E8" w:rsidRDefault="00781BA4" w:rsidP="00A678E8">
      <w:pPr>
        <w:shd w:val="clear" w:color="auto" w:fill="FFFFFF"/>
        <w:spacing w:after="360" w:line="240" w:lineRule="auto"/>
        <w:jc w:val="both"/>
        <w:rPr>
          <w:rFonts w:ascii="Times New Roman" w:hAnsi="Times New Roman"/>
          <w:color w:val="000000"/>
          <w:sz w:val="24"/>
          <w:szCs w:val="24"/>
        </w:rPr>
      </w:pPr>
      <w:r w:rsidRPr="00A678E8">
        <w:rPr>
          <w:rFonts w:ascii="Times New Roman" w:hAnsi="Times New Roman"/>
          <w:i/>
          <w:sz w:val="24"/>
          <w:szCs w:val="24"/>
        </w:rPr>
        <w:t>“Las dificultades que enfrentamos ahora no son el resultado de las leyes inexorables de la economía, a las cuales nosotros simplemente nos debemos adaptar, como lo haríamos en el caso de ocurriese un desastre natural, como ser un terremoto o un tsunami. Las dificultades que enfrentamos no son ni siquiera una especie de penitencia que tenemos que pagar por los pecados cometidos en el pasado - aunque, sin duda, las políticas neoliberales que han prevalecido durante las últimas tres décadas tienen mucho que ver con los trances que actualmente enfrentamos. En cambio, nuestras dificultades actuales son el resultado de políticas erróneas. Existen alternativas. Pero no las vamos a encontrar en la complacencia autosatisfecha de las élites, cuyos ingresos y carteras de acciones una vez más se disparan al alza. Aparentemente, sólo algunas personas deberán ajustarse a un estándar de vida más bajo de forma permanente. Desafortunadamente, lo que ocurre es que dichas personas conforman la gran mayoría de la población</w:t>
      </w:r>
      <w:r w:rsidR="00A678E8" w:rsidRPr="00A678E8">
        <w:rPr>
          <w:rFonts w:ascii="Times New Roman" w:hAnsi="Times New Roman"/>
          <w:i/>
          <w:sz w:val="24"/>
          <w:szCs w:val="24"/>
        </w:rPr>
        <w:t>”...</w:t>
      </w:r>
      <w:r w:rsidR="00A678E8">
        <w:rPr>
          <w:rFonts w:ascii="Times New Roman" w:hAnsi="Times New Roman"/>
          <w:sz w:val="24"/>
          <w:szCs w:val="24"/>
        </w:rPr>
        <w:t xml:space="preserve"> </w:t>
      </w:r>
      <w:r w:rsidRPr="00A678E8">
        <w:rPr>
          <w:rFonts w:ascii="Times New Roman" w:hAnsi="Times New Roman"/>
          <w:color w:val="000000"/>
          <w:sz w:val="24"/>
          <w:szCs w:val="24"/>
        </w:rPr>
        <w:t>(</w:t>
      </w:r>
      <w:r w:rsidR="00A678E8">
        <w:rPr>
          <w:rFonts w:ascii="Times New Roman" w:hAnsi="Times New Roman"/>
          <w:color w:val="000000"/>
          <w:sz w:val="24"/>
          <w:szCs w:val="24"/>
        </w:rPr>
        <w:t xml:space="preserve">Joseph E. Stiglitz - </w:t>
      </w:r>
      <w:r w:rsidR="00A678E8" w:rsidRPr="000C5478">
        <w:rPr>
          <w:rFonts w:ascii="Times New Roman" w:hAnsi="Times New Roman"/>
          <w:color w:val="000000"/>
          <w:sz w:val="24"/>
          <w:szCs w:val="24"/>
          <w:u w:val="single"/>
        </w:rPr>
        <w:t>Estancamiento diseñado deliberadamente</w:t>
      </w:r>
      <w:r w:rsidR="00A678E8">
        <w:rPr>
          <w:rFonts w:ascii="Times New Roman" w:hAnsi="Times New Roman"/>
          <w:color w:val="000000"/>
          <w:sz w:val="24"/>
          <w:szCs w:val="24"/>
        </w:rPr>
        <w:t xml:space="preserve"> - Project Syndicate - </w:t>
      </w:r>
      <w:r w:rsidR="00A678E8" w:rsidRPr="000C5478">
        <w:rPr>
          <w:rFonts w:ascii="Times New Roman" w:hAnsi="Times New Roman"/>
          <w:b/>
          <w:color w:val="000000"/>
          <w:sz w:val="24"/>
          <w:szCs w:val="24"/>
        </w:rPr>
        <w:t>5/2/14</w:t>
      </w:r>
      <w:r w:rsidR="00A678E8">
        <w:rPr>
          <w:rFonts w:ascii="Times New Roman" w:hAnsi="Times New Roman"/>
          <w:color w:val="000000"/>
          <w:sz w:val="24"/>
          <w:szCs w:val="24"/>
        </w:rPr>
        <w:t>)</w:t>
      </w:r>
    </w:p>
    <w:p w:rsidR="00E00D9E" w:rsidRDefault="00874E84" w:rsidP="00A678E8">
      <w:pPr>
        <w:shd w:val="clear" w:color="auto" w:fill="FFFFFF"/>
        <w:spacing w:after="360" w:line="240" w:lineRule="auto"/>
        <w:jc w:val="both"/>
        <w:rPr>
          <w:rFonts w:ascii="Times New Roman" w:hAnsi="Times New Roman"/>
          <w:b/>
          <w:color w:val="000000"/>
          <w:sz w:val="24"/>
          <w:szCs w:val="24"/>
        </w:rPr>
      </w:pPr>
      <w:r>
        <w:rPr>
          <w:rFonts w:ascii="Times New Roman" w:hAnsi="Times New Roman"/>
          <w:b/>
          <w:color w:val="000000"/>
          <w:sz w:val="24"/>
          <w:szCs w:val="24"/>
        </w:rPr>
        <w:t>Fin de la sección</w:t>
      </w:r>
      <w:r w:rsidR="00FE0B5E">
        <w:rPr>
          <w:rFonts w:ascii="Times New Roman" w:hAnsi="Times New Roman"/>
          <w:b/>
          <w:color w:val="000000"/>
          <w:sz w:val="24"/>
          <w:szCs w:val="24"/>
        </w:rPr>
        <w:t xml:space="preserve"> </w:t>
      </w:r>
      <w:r w:rsidR="00FB2390">
        <w:rPr>
          <w:rFonts w:ascii="Times New Roman" w:hAnsi="Times New Roman"/>
          <w:b/>
          <w:color w:val="000000"/>
          <w:sz w:val="24"/>
          <w:szCs w:val="24"/>
        </w:rPr>
        <w:t>‘opinativa’</w:t>
      </w:r>
      <w:r w:rsidR="00A678E8">
        <w:rPr>
          <w:rFonts w:ascii="Times New Roman" w:hAnsi="Times New Roman"/>
          <w:b/>
          <w:color w:val="000000"/>
          <w:sz w:val="24"/>
          <w:szCs w:val="24"/>
        </w:rPr>
        <w:t>. En la Parte II del Ensayo se presenta una amplia información de hemeroteca de los años 2011 a 2013</w:t>
      </w:r>
      <w:r w:rsidR="00E00D9E">
        <w:rPr>
          <w:rFonts w:ascii="Times New Roman" w:hAnsi="Times New Roman"/>
          <w:b/>
          <w:color w:val="000000"/>
          <w:sz w:val="24"/>
          <w:szCs w:val="24"/>
        </w:rPr>
        <w:t>,</w:t>
      </w:r>
      <w:r w:rsidR="00FB2390">
        <w:rPr>
          <w:rFonts w:ascii="Times New Roman" w:hAnsi="Times New Roman"/>
          <w:b/>
          <w:color w:val="000000"/>
          <w:sz w:val="24"/>
          <w:szCs w:val="24"/>
        </w:rPr>
        <w:t xml:space="preserve"> con el objeto de pasar de los ‘mitos’ a los ‘hitos’</w:t>
      </w:r>
      <w:r w:rsidR="00A678E8">
        <w:rPr>
          <w:rFonts w:ascii="Times New Roman" w:hAnsi="Times New Roman"/>
          <w:b/>
          <w:color w:val="000000"/>
          <w:sz w:val="24"/>
          <w:szCs w:val="24"/>
        </w:rPr>
        <w:t>.</w:t>
      </w:r>
      <w:r w:rsidR="00E00D9E">
        <w:rPr>
          <w:rFonts w:ascii="Times New Roman" w:hAnsi="Times New Roman"/>
          <w:b/>
          <w:color w:val="000000"/>
          <w:sz w:val="24"/>
          <w:szCs w:val="24"/>
        </w:rPr>
        <w:t xml:space="preserve"> Un recorrido documental buscando  l</w:t>
      </w:r>
      <w:r w:rsidR="00A678E8">
        <w:rPr>
          <w:rFonts w:ascii="Times New Roman" w:hAnsi="Times New Roman"/>
          <w:b/>
          <w:color w:val="000000"/>
          <w:sz w:val="24"/>
          <w:szCs w:val="24"/>
        </w:rPr>
        <w:t xml:space="preserve">as causas, los causantes, </w:t>
      </w:r>
      <w:r w:rsidR="00E00D9E">
        <w:rPr>
          <w:rFonts w:ascii="Times New Roman" w:hAnsi="Times New Roman"/>
          <w:b/>
          <w:color w:val="000000"/>
          <w:sz w:val="24"/>
          <w:szCs w:val="24"/>
        </w:rPr>
        <w:t xml:space="preserve"> y los efectos de la crisis; cómo se ha pasado del proclamado Estado del Bienestar al in</w:t>
      </w:r>
      <w:r w:rsidR="00484AE2">
        <w:rPr>
          <w:rFonts w:ascii="Times New Roman" w:hAnsi="Times New Roman"/>
          <w:b/>
          <w:color w:val="000000"/>
          <w:sz w:val="24"/>
          <w:szCs w:val="24"/>
        </w:rPr>
        <w:t xml:space="preserve">confesable Bienestar del Estado y </w:t>
      </w:r>
      <w:r w:rsidR="00E00D9E">
        <w:rPr>
          <w:rFonts w:ascii="Times New Roman" w:hAnsi="Times New Roman"/>
          <w:b/>
          <w:color w:val="000000"/>
          <w:sz w:val="24"/>
          <w:szCs w:val="24"/>
        </w:rPr>
        <w:t>finalmente, el</w:t>
      </w:r>
      <w:r w:rsidR="00484AE2">
        <w:rPr>
          <w:rFonts w:ascii="Times New Roman" w:hAnsi="Times New Roman"/>
          <w:b/>
          <w:color w:val="000000"/>
          <w:sz w:val="24"/>
          <w:szCs w:val="24"/>
        </w:rPr>
        <w:t xml:space="preserve"> ‘esperpento español’ (paradigma del derroche, la disfuncionalidad, la pésima gestión, y la </w:t>
      </w:r>
      <w:r w:rsidR="00E00D9E">
        <w:rPr>
          <w:rFonts w:ascii="Times New Roman" w:hAnsi="Times New Roman"/>
          <w:b/>
          <w:color w:val="000000"/>
          <w:sz w:val="24"/>
          <w:szCs w:val="24"/>
        </w:rPr>
        <w:t>corrupción</w:t>
      </w:r>
      <w:r w:rsidR="00FB2390">
        <w:rPr>
          <w:rFonts w:ascii="Times New Roman" w:hAnsi="Times New Roman"/>
          <w:b/>
          <w:color w:val="000000"/>
          <w:sz w:val="24"/>
          <w:szCs w:val="24"/>
        </w:rPr>
        <w:t xml:space="preserve"> oligárquica</w:t>
      </w:r>
      <w:r w:rsidR="00E00D9E">
        <w:rPr>
          <w:rFonts w:ascii="Times New Roman" w:hAnsi="Times New Roman"/>
          <w:b/>
          <w:color w:val="000000"/>
          <w:sz w:val="24"/>
          <w:szCs w:val="24"/>
        </w:rPr>
        <w:t>).</w:t>
      </w:r>
      <w:r w:rsidR="00A678E8">
        <w:rPr>
          <w:rFonts w:ascii="Times New Roman" w:hAnsi="Times New Roman"/>
          <w:b/>
          <w:color w:val="000000"/>
          <w:sz w:val="24"/>
          <w:szCs w:val="24"/>
        </w:rPr>
        <w:t xml:space="preserve"> </w:t>
      </w:r>
    </w:p>
    <w:p w:rsidR="00874E84" w:rsidRPr="00B33FBF" w:rsidRDefault="00E00D9E" w:rsidP="00B33FBF">
      <w:pPr>
        <w:spacing w:line="240" w:lineRule="auto"/>
        <w:jc w:val="both"/>
        <w:rPr>
          <w:rFonts w:ascii="Times New Roman" w:hAnsi="Times New Roman"/>
          <w:b/>
          <w:sz w:val="24"/>
          <w:szCs w:val="24"/>
        </w:rPr>
      </w:pPr>
      <w:r>
        <w:rPr>
          <w:rFonts w:ascii="Times New Roman" w:hAnsi="Times New Roman"/>
          <w:b/>
          <w:sz w:val="24"/>
          <w:szCs w:val="24"/>
        </w:rPr>
        <w:t xml:space="preserve">Como señalé al </w:t>
      </w:r>
      <w:r w:rsidR="00B33FBF">
        <w:rPr>
          <w:rFonts w:ascii="Times New Roman" w:hAnsi="Times New Roman"/>
          <w:b/>
          <w:sz w:val="24"/>
          <w:szCs w:val="24"/>
        </w:rPr>
        <w:t>inicio</w:t>
      </w:r>
      <w:r>
        <w:rPr>
          <w:rFonts w:ascii="Times New Roman" w:hAnsi="Times New Roman"/>
          <w:b/>
          <w:sz w:val="24"/>
          <w:szCs w:val="24"/>
        </w:rPr>
        <w:t xml:space="preserve"> del Ensayo: </w:t>
      </w:r>
      <w:r w:rsidR="00B3139A">
        <w:rPr>
          <w:rFonts w:ascii="Times New Roman" w:hAnsi="Times New Roman"/>
          <w:b/>
          <w:sz w:val="24"/>
          <w:szCs w:val="24"/>
        </w:rPr>
        <w:t>e</w:t>
      </w:r>
      <w:r>
        <w:rPr>
          <w:rFonts w:ascii="Times New Roman" w:hAnsi="Times New Roman"/>
          <w:b/>
          <w:sz w:val="24"/>
          <w:szCs w:val="24"/>
        </w:rPr>
        <w:t>l análisis económico debe servir para ayudar a otros a estar mejor informados. Es un planteo de escepticismo clásico que está alejado de cualquier posición conformista</w:t>
      </w:r>
      <w:r w:rsidR="00CB12E4">
        <w:rPr>
          <w:rFonts w:ascii="Times New Roman" w:hAnsi="Times New Roman"/>
          <w:b/>
          <w:sz w:val="24"/>
          <w:szCs w:val="24"/>
        </w:rPr>
        <w:t>…</w:t>
      </w:r>
      <w:r>
        <w:rPr>
          <w:rFonts w:ascii="Times New Roman" w:hAnsi="Times New Roman"/>
          <w:b/>
          <w:sz w:val="24"/>
          <w:szCs w:val="24"/>
        </w:rPr>
        <w:t xml:space="preserve"> </w:t>
      </w:r>
      <w:r w:rsidR="00874E84">
        <w:rPr>
          <w:rFonts w:ascii="Times New Roman" w:hAnsi="Times New Roman"/>
          <w:b/>
          <w:sz w:val="24"/>
          <w:szCs w:val="24"/>
        </w:rPr>
        <w:t>Una última petición</w:t>
      </w:r>
      <w:r w:rsidR="00E231E6">
        <w:rPr>
          <w:rFonts w:ascii="Times New Roman" w:hAnsi="Times New Roman"/>
          <w:b/>
          <w:sz w:val="24"/>
          <w:szCs w:val="24"/>
        </w:rPr>
        <w:t>,</w:t>
      </w:r>
      <w:r w:rsidR="003C6DFF">
        <w:rPr>
          <w:rFonts w:ascii="Times New Roman" w:hAnsi="Times New Roman"/>
          <w:b/>
          <w:sz w:val="24"/>
          <w:szCs w:val="24"/>
        </w:rPr>
        <w:t xml:space="preserve"> </w:t>
      </w:r>
      <w:r w:rsidR="00E231E6">
        <w:rPr>
          <w:rFonts w:ascii="Times New Roman" w:hAnsi="Times New Roman"/>
          <w:b/>
          <w:sz w:val="24"/>
          <w:szCs w:val="24"/>
        </w:rPr>
        <w:t>‘</w:t>
      </w:r>
      <w:r w:rsidR="00CB12E4">
        <w:rPr>
          <w:rFonts w:ascii="Times New Roman" w:hAnsi="Times New Roman"/>
          <w:b/>
          <w:sz w:val="24"/>
          <w:szCs w:val="24"/>
        </w:rPr>
        <w:t>antes que les</w:t>
      </w:r>
      <w:r w:rsidR="00E231E6">
        <w:rPr>
          <w:rFonts w:ascii="Times New Roman" w:hAnsi="Times New Roman"/>
          <w:b/>
          <w:sz w:val="24"/>
          <w:szCs w:val="24"/>
        </w:rPr>
        <w:t xml:space="preserve"> </w:t>
      </w:r>
      <w:r w:rsidR="00CB12E4">
        <w:rPr>
          <w:rFonts w:ascii="Times New Roman" w:hAnsi="Times New Roman"/>
          <w:b/>
          <w:sz w:val="24"/>
          <w:szCs w:val="24"/>
        </w:rPr>
        <w:t>borren la memoria’</w:t>
      </w:r>
      <w:r w:rsidR="00E231E6">
        <w:rPr>
          <w:rFonts w:ascii="Times New Roman" w:hAnsi="Times New Roman"/>
          <w:b/>
          <w:sz w:val="24"/>
          <w:szCs w:val="24"/>
        </w:rPr>
        <w:t>:</w:t>
      </w:r>
      <w:r w:rsidR="00874E84" w:rsidRPr="00874E84">
        <w:rPr>
          <w:rFonts w:ascii="Times New Roman" w:hAnsi="Times New Roman"/>
          <w:b/>
          <w:sz w:val="24"/>
          <w:szCs w:val="24"/>
        </w:rPr>
        <w:t xml:space="preserve"> </w:t>
      </w:r>
      <w:r w:rsidR="00874E84">
        <w:rPr>
          <w:rFonts w:ascii="Times New Roman" w:hAnsi="Times New Roman"/>
          <w:b/>
          <w:sz w:val="24"/>
          <w:szCs w:val="24"/>
        </w:rPr>
        <w:t>no acepten que el pasado pueda ser alterado… No amen al Gran Hermano</w:t>
      </w:r>
      <w:r w:rsidR="00CB12E4">
        <w:rPr>
          <w:rFonts w:ascii="Times New Roman" w:hAnsi="Times New Roman"/>
          <w:b/>
          <w:sz w:val="24"/>
          <w:szCs w:val="24"/>
        </w:rPr>
        <w:t xml:space="preserve"> (‘la libertad es la esclavitud, dos y dos son cinco, el poder es Dios’</w:t>
      </w:r>
      <w:r w:rsidR="00BF1DB5">
        <w:rPr>
          <w:rFonts w:ascii="Times New Roman" w:hAnsi="Times New Roman"/>
          <w:b/>
          <w:sz w:val="24"/>
          <w:szCs w:val="24"/>
        </w:rPr>
        <w:t>). ¿Un temor</w:t>
      </w:r>
      <w:r w:rsidR="00874E84">
        <w:rPr>
          <w:rFonts w:ascii="Times New Roman" w:hAnsi="Times New Roman"/>
          <w:b/>
          <w:sz w:val="24"/>
          <w:szCs w:val="24"/>
        </w:rPr>
        <w:t xml:space="preserve"> exagerado? Por favor, pasen</w:t>
      </w:r>
      <w:r w:rsidR="00FE0B5E">
        <w:rPr>
          <w:rFonts w:ascii="Times New Roman" w:hAnsi="Times New Roman"/>
          <w:b/>
          <w:sz w:val="24"/>
          <w:szCs w:val="24"/>
        </w:rPr>
        <w:t xml:space="preserve"> a la Parte II,</w:t>
      </w:r>
      <w:r w:rsidR="00874E84">
        <w:rPr>
          <w:rFonts w:ascii="Times New Roman" w:hAnsi="Times New Roman"/>
          <w:b/>
          <w:sz w:val="24"/>
          <w:szCs w:val="24"/>
        </w:rPr>
        <w:t xml:space="preserve"> y lean…</w:t>
      </w:r>
      <w:r w:rsidR="00BF1DB5">
        <w:rPr>
          <w:rFonts w:ascii="Times New Roman" w:hAnsi="Times New Roman"/>
          <w:b/>
          <w:sz w:val="24"/>
          <w:szCs w:val="24"/>
        </w:rPr>
        <w:t xml:space="preserve"> </w:t>
      </w:r>
      <w:r w:rsidR="00F31220">
        <w:rPr>
          <w:rFonts w:ascii="Times New Roman" w:hAnsi="Times New Roman"/>
          <w:b/>
          <w:sz w:val="24"/>
          <w:szCs w:val="24"/>
        </w:rPr>
        <w:t>Después</w:t>
      </w:r>
      <w:r w:rsidR="00BE1F76">
        <w:rPr>
          <w:rFonts w:ascii="Times New Roman" w:hAnsi="Times New Roman"/>
          <w:b/>
          <w:sz w:val="24"/>
          <w:szCs w:val="24"/>
        </w:rPr>
        <w:t>, me dicen</w:t>
      </w:r>
      <w:r w:rsidR="00BF1DB5">
        <w:rPr>
          <w:rFonts w:ascii="Times New Roman" w:hAnsi="Times New Roman"/>
          <w:b/>
          <w:sz w:val="24"/>
          <w:szCs w:val="24"/>
        </w:rPr>
        <w:t>.</w:t>
      </w:r>
    </w:p>
    <w:sectPr w:rsidR="00874E84" w:rsidRPr="00B33FBF">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foton" style="width:.6pt;height:.6pt;visibility:visible;mso-wrap-style:square" o:bullet="t">
        <v:imagedata r:id="rId1" o:title="foton"/>
      </v:shape>
    </w:pict>
  </w:numPicBullet>
  <w:abstractNum w:abstractNumId="0">
    <w:nsid w:val="005A3BEB"/>
    <w:multiLevelType w:val="multilevel"/>
    <w:tmpl w:val="DB4EB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030B6E"/>
    <w:multiLevelType w:val="multilevel"/>
    <w:tmpl w:val="408C8C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96D53E4"/>
    <w:multiLevelType w:val="multilevel"/>
    <w:tmpl w:val="421A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DB172D4"/>
    <w:multiLevelType w:val="multilevel"/>
    <w:tmpl w:val="DB6C4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097188B"/>
    <w:multiLevelType w:val="multilevel"/>
    <w:tmpl w:val="771E32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16F03D1"/>
    <w:multiLevelType w:val="multilevel"/>
    <w:tmpl w:val="39805A1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3060FB5"/>
    <w:multiLevelType w:val="multilevel"/>
    <w:tmpl w:val="9A90F8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3986FD8"/>
    <w:multiLevelType w:val="multilevel"/>
    <w:tmpl w:val="1C5EAE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96A1EE2"/>
    <w:multiLevelType w:val="multilevel"/>
    <w:tmpl w:val="ECEEED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C7B3E60"/>
    <w:multiLevelType w:val="multilevel"/>
    <w:tmpl w:val="41C204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DBF67CD"/>
    <w:multiLevelType w:val="multilevel"/>
    <w:tmpl w:val="E40087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5D50CAF"/>
    <w:multiLevelType w:val="hybridMultilevel"/>
    <w:tmpl w:val="785490A6"/>
    <w:lvl w:ilvl="0" w:tplc="AED6C2FA">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2">
    <w:nsid w:val="29EF621A"/>
    <w:multiLevelType w:val="multilevel"/>
    <w:tmpl w:val="A232DC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B46506E"/>
    <w:multiLevelType w:val="multilevel"/>
    <w:tmpl w:val="95406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DDB7554"/>
    <w:multiLevelType w:val="multilevel"/>
    <w:tmpl w:val="DDEAF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F2B4E6E"/>
    <w:multiLevelType w:val="hybridMultilevel"/>
    <w:tmpl w:val="3118DE30"/>
    <w:lvl w:ilvl="0" w:tplc="79180FA0">
      <w:start w:val="1"/>
      <w:numFmt w:val="bullet"/>
      <w:lvlText w:val=""/>
      <w:lvlPicBulletId w:val="0"/>
      <w:lvlJc w:val="left"/>
      <w:pPr>
        <w:tabs>
          <w:tab w:val="num" w:pos="720"/>
        </w:tabs>
        <w:ind w:left="720" w:hanging="360"/>
      </w:pPr>
      <w:rPr>
        <w:rFonts w:ascii="Symbol" w:hAnsi="Symbol" w:hint="default"/>
      </w:rPr>
    </w:lvl>
    <w:lvl w:ilvl="1" w:tplc="C066A890" w:tentative="1">
      <w:start w:val="1"/>
      <w:numFmt w:val="bullet"/>
      <w:lvlText w:val=""/>
      <w:lvlJc w:val="left"/>
      <w:pPr>
        <w:tabs>
          <w:tab w:val="num" w:pos="1440"/>
        </w:tabs>
        <w:ind w:left="1440" w:hanging="360"/>
      </w:pPr>
      <w:rPr>
        <w:rFonts w:ascii="Symbol" w:hAnsi="Symbol" w:hint="default"/>
      </w:rPr>
    </w:lvl>
    <w:lvl w:ilvl="2" w:tplc="0BF6475C" w:tentative="1">
      <w:start w:val="1"/>
      <w:numFmt w:val="bullet"/>
      <w:lvlText w:val=""/>
      <w:lvlJc w:val="left"/>
      <w:pPr>
        <w:tabs>
          <w:tab w:val="num" w:pos="2160"/>
        </w:tabs>
        <w:ind w:left="2160" w:hanging="360"/>
      </w:pPr>
      <w:rPr>
        <w:rFonts w:ascii="Symbol" w:hAnsi="Symbol" w:hint="default"/>
      </w:rPr>
    </w:lvl>
    <w:lvl w:ilvl="3" w:tplc="0D000C30" w:tentative="1">
      <w:start w:val="1"/>
      <w:numFmt w:val="bullet"/>
      <w:lvlText w:val=""/>
      <w:lvlJc w:val="left"/>
      <w:pPr>
        <w:tabs>
          <w:tab w:val="num" w:pos="2880"/>
        </w:tabs>
        <w:ind w:left="2880" w:hanging="360"/>
      </w:pPr>
      <w:rPr>
        <w:rFonts w:ascii="Symbol" w:hAnsi="Symbol" w:hint="default"/>
      </w:rPr>
    </w:lvl>
    <w:lvl w:ilvl="4" w:tplc="DD92B81A" w:tentative="1">
      <w:start w:val="1"/>
      <w:numFmt w:val="bullet"/>
      <w:lvlText w:val=""/>
      <w:lvlJc w:val="left"/>
      <w:pPr>
        <w:tabs>
          <w:tab w:val="num" w:pos="3600"/>
        </w:tabs>
        <w:ind w:left="3600" w:hanging="360"/>
      </w:pPr>
      <w:rPr>
        <w:rFonts w:ascii="Symbol" w:hAnsi="Symbol" w:hint="default"/>
      </w:rPr>
    </w:lvl>
    <w:lvl w:ilvl="5" w:tplc="52E0F066" w:tentative="1">
      <w:start w:val="1"/>
      <w:numFmt w:val="bullet"/>
      <w:lvlText w:val=""/>
      <w:lvlJc w:val="left"/>
      <w:pPr>
        <w:tabs>
          <w:tab w:val="num" w:pos="4320"/>
        </w:tabs>
        <w:ind w:left="4320" w:hanging="360"/>
      </w:pPr>
      <w:rPr>
        <w:rFonts w:ascii="Symbol" w:hAnsi="Symbol" w:hint="default"/>
      </w:rPr>
    </w:lvl>
    <w:lvl w:ilvl="6" w:tplc="060C6566" w:tentative="1">
      <w:start w:val="1"/>
      <w:numFmt w:val="bullet"/>
      <w:lvlText w:val=""/>
      <w:lvlJc w:val="left"/>
      <w:pPr>
        <w:tabs>
          <w:tab w:val="num" w:pos="5040"/>
        </w:tabs>
        <w:ind w:left="5040" w:hanging="360"/>
      </w:pPr>
      <w:rPr>
        <w:rFonts w:ascii="Symbol" w:hAnsi="Symbol" w:hint="default"/>
      </w:rPr>
    </w:lvl>
    <w:lvl w:ilvl="7" w:tplc="756076E8" w:tentative="1">
      <w:start w:val="1"/>
      <w:numFmt w:val="bullet"/>
      <w:lvlText w:val=""/>
      <w:lvlJc w:val="left"/>
      <w:pPr>
        <w:tabs>
          <w:tab w:val="num" w:pos="5760"/>
        </w:tabs>
        <w:ind w:left="5760" w:hanging="360"/>
      </w:pPr>
      <w:rPr>
        <w:rFonts w:ascii="Symbol" w:hAnsi="Symbol" w:hint="default"/>
      </w:rPr>
    </w:lvl>
    <w:lvl w:ilvl="8" w:tplc="4538C464" w:tentative="1">
      <w:start w:val="1"/>
      <w:numFmt w:val="bullet"/>
      <w:lvlText w:val=""/>
      <w:lvlJc w:val="left"/>
      <w:pPr>
        <w:tabs>
          <w:tab w:val="num" w:pos="6480"/>
        </w:tabs>
        <w:ind w:left="6480" w:hanging="360"/>
      </w:pPr>
      <w:rPr>
        <w:rFonts w:ascii="Symbol" w:hAnsi="Symbol" w:hint="default"/>
      </w:rPr>
    </w:lvl>
  </w:abstractNum>
  <w:abstractNum w:abstractNumId="16">
    <w:nsid w:val="34BE2796"/>
    <w:multiLevelType w:val="multilevel"/>
    <w:tmpl w:val="CB8402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61761B7"/>
    <w:multiLevelType w:val="multilevel"/>
    <w:tmpl w:val="E2E281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3C5B25E0"/>
    <w:multiLevelType w:val="hybridMultilevel"/>
    <w:tmpl w:val="BD96B38C"/>
    <w:lvl w:ilvl="0" w:tplc="17902FD0">
      <w:start w:val="1"/>
      <w:numFmt w:val="decimal"/>
      <w:lvlText w:val="(%1)"/>
      <w:lvlJc w:val="left"/>
      <w:pPr>
        <w:tabs>
          <w:tab w:val="num" w:pos="420"/>
        </w:tabs>
        <w:ind w:left="420" w:hanging="360"/>
      </w:pPr>
      <w:rPr>
        <w:rFonts w:hint="default"/>
      </w:rPr>
    </w:lvl>
    <w:lvl w:ilvl="1" w:tplc="0C0A0019" w:tentative="1">
      <w:start w:val="1"/>
      <w:numFmt w:val="lowerLetter"/>
      <w:lvlText w:val="%2."/>
      <w:lvlJc w:val="left"/>
      <w:pPr>
        <w:tabs>
          <w:tab w:val="num" w:pos="1140"/>
        </w:tabs>
        <w:ind w:left="1140" w:hanging="360"/>
      </w:pPr>
    </w:lvl>
    <w:lvl w:ilvl="2" w:tplc="0C0A001B" w:tentative="1">
      <w:start w:val="1"/>
      <w:numFmt w:val="lowerRoman"/>
      <w:lvlText w:val="%3."/>
      <w:lvlJc w:val="right"/>
      <w:pPr>
        <w:tabs>
          <w:tab w:val="num" w:pos="1860"/>
        </w:tabs>
        <w:ind w:left="1860" w:hanging="180"/>
      </w:pPr>
    </w:lvl>
    <w:lvl w:ilvl="3" w:tplc="0C0A000F" w:tentative="1">
      <w:start w:val="1"/>
      <w:numFmt w:val="decimal"/>
      <w:lvlText w:val="%4."/>
      <w:lvlJc w:val="left"/>
      <w:pPr>
        <w:tabs>
          <w:tab w:val="num" w:pos="2580"/>
        </w:tabs>
        <w:ind w:left="2580" w:hanging="360"/>
      </w:pPr>
    </w:lvl>
    <w:lvl w:ilvl="4" w:tplc="0C0A0019" w:tentative="1">
      <w:start w:val="1"/>
      <w:numFmt w:val="lowerLetter"/>
      <w:lvlText w:val="%5."/>
      <w:lvlJc w:val="left"/>
      <w:pPr>
        <w:tabs>
          <w:tab w:val="num" w:pos="3300"/>
        </w:tabs>
        <w:ind w:left="3300" w:hanging="360"/>
      </w:pPr>
    </w:lvl>
    <w:lvl w:ilvl="5" w:tplc="0C0A001B" w:tentative="1">
      <w:start w:val="1"/>
      <w:numFmt w:val="lowerRoman"/>
      <w:lvlText w:val="%6."/>
      <w:lvlJc w:val="right"/>
      <w:pPr>
        <w:tabs>
          <w:tab w:val="num" w:pos="4020"/>
        </w:tabs>
        <w:ind w:left="4020" w:hanging="180"/>
      </w:pPr>
    </w:lvl>
    <w:lvl w:ilvl="6" w:tplc="0C0A000F" w:tentative="1">
      <w:start w:val="1"/>
      <w:numFmt w:val="decimal"/>
      <w:lvlText w:val="%7."/>
      <w:lvlJc w:val="left"/>
      <w:pPr>
        <w:tabs>
          <w:tab w:val="num" w:pos="4740"/>
        </w:tabs>
        <w:ind w:left="4740" w:hanging="360"/>
      </w:pPr>
    </w:lvl>
    <w:lvl w:ilvl="7" w:tplc="0C0A0019" w:tentative="1">
      <w:start w:val="1"/>
      <w:numFmt w:val="lowerLetter"/>
      <w:lvlText w:val="%8."/>
      <w:lvlJc w:val="left"/>
      <w:pPr>
        <w:tabs>
          <w:tab w:val="num" w:pos="5460"/>
        </w:tabs>
        <w:ind w:left="5460" w:hanging="360"/>
      </w:pPr>
    </w:lvl>
    <w:lvl w:ilvl="8" w:tplc="0C0A001B" w:tentative="1">
      <w:start w:val="1"/>
      <w:numFmt w:val="lowerRoman"/>
      <w:lvlText w:val="%9."/>
      <w:lvlJc w:val="right"/>
      <w:pPr>
        <w:tabs>
          <w:tab w:val="num" w:pos="6180"/>
        </w:tabs>
        <w:ind w:left="6180" w:hanging="180"/>
      </w:pPr>
    </w:lvl>
  </w:abstractNum>
  <w:abstractNum w:abstractNumId="19">
    <w:nsid w:val="3D330183"/>
    <w:multiLevelType w:val="hybridMultilevel"/>
    <w:tmpl w:val="EA1CF7AC"/>
    <w:lvl w:ilvl="0" w:tplc="45CC39B2">
      <w:start w:val="6"/>
      <w:numFmt w:val="bullet"/>
      <w:lvlText w:val="-"/>
      <w:lvlJc w:val="left"/>
      <w:pPr>
        <w:tabs>
          <w:tab w:val="num" w:pos="720"/>
        </w:tabs>
        <w:ind w:left="720" w:hanging="360"/>
      </w:pPr>
      <w:rPr>
        <w:rFonts w:ascii="Arial Narrow" w:eastAsia="Times New Roman" w:hAnsi="Arial Narrow" w:cs="Times New Roman" w:hint="default"/>
        <w:b/>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nsid w:val="40692FA2"/>
    <w:multiLevelType w:val="multilevel"/>
    <w:tmpl w:val="1A0E0A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nsid w:val="45F21DF2"/>
    <w:multiLevelType w:val="multilevel"/>
    <w:tmpl w:val="0D42D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482C7E69"/>
    <w:multiLevelType w:val="multilevel"/>
    <w:tmpl w:val="C0562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4EBA6D00"/>
    <w:multiLevelType w:val="hybridMultilevel"/>
    <w:tmpl w:val="FE7C6896"/>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4">
    <w:nsid w:val="4EBB21E7"/>
    <w:multiLevelType w:val="hybridMultilevel"/>
    <w:tmpl w:val="7188F106"/>
    <w:lvl w:ilvl="0" w:tplc="6D247E08">
      <w:start w:val="1"/>
      <w:numFmt w:val="low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5">
    <w:nsid w:val="4FDB5DD9"/>
    <w:multiLevelType w:val="multilevel"/>
    <w:tmpl w:val="55E800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53CA3FB8"/>
    <w:multiLevelType w:val="multilevel"/>
    <w:tmpl w:val="785601DA"/>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5FA51AA8"/>
    <w:multiLevelType w:val="multilevel"/>
    <w:tmpl w:val="CFE41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613C7AFA"/>
    <w:multiLevelType w:val="multilevel"/>
    <w:tmpl w:val="3DF65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61D1668B"/>
    <w:multiLevelType w:val="multilevel"/>
    <w:tmpl w:val="7F30B7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63B602F5"/>
    <w:multiLevelType w:val="multilevel"/>
    <w:tmpl w:val="3AAC67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64597B2B"/>
    <w:multiLevelType w:val="multilevel"/>
    <w:tmpl w:val="F37C8C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662E332B"/>
    <w:multiLevelType w:val="multilevel"/>
    <w:tmpl w:val="ACA482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711C0D4C"/>
    <w:multiLevelType w:val="multilevel"/>
    <w:tmpl w:val="9AA2C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71EF1F06"/>
    <w:multiLevelType w:val="multilevel"/>
    <w:tmpl w:val="A1EED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nsid w:val="76BF4A2C"/>
    <w:multiLevelType w:val="multilevel"/>
    <w:tmpl w:val="CBD06CBA"/>
    <w:lvl w:ilvl="0">
      <w:start w:val="1"/>
      <w:numFmt w:val="bullet"/>
      <w:lvlText w:val=""/>
      <w:lvlJc w:val="left"/>
      <w:pPr>
        <w:tabs>
          <w:tab w:val="num" w:pos="720"/>
        </w:tabs>
        <w:ind w:left="720" w:hanging="360"/>
      </w:pPr>
      <w:rPr>
        <w:rFonts w:ascii="Symbol" w:hAnsi="Symbol" w:hint="default"/>
        <w:sz w:val="20"/>
      </w:rPr>
    </w:lvl>
    <w:lvl w:ilvl="1">
      <w:start w:val="3"/>
      <w:numFmt w:val="bullet"/>
      <w:lvlText w:val="-"/>
      <w:lvlJc w:val="left"/>
      <w:pPr>
        <w:ind w:left="1440" w:hanging="360"/>
      </w:pPr>
      <w:rPr>
        <w:rFonts w:ascii="Times New Roman" w:eastAsiaTheme="minorHAnsi" w:hAnsi="Times New Roman"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76E165B5"/>
    <w:multiLevelType w:val="multilevel"/>
    <w:tmpl w:val="3EFEF1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76E210B2"/>
    <w:multiLevelType w:val="multilevel"/>
    <w:tmpl w:val="6A2C78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76E8652B"/>
    <w:multiLevelType w:val="multilevel"/>
    <w:tmpl w:val="D91E1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7C550ABB"/>
    <w:multiLevelType w:val="multilevel"/>
    <w:tmpl w:val="A3966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7D04453C"/>
    <w:multiLevelType w:val="multilevel"/>
    <w:tmpl w:val="BF443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7E3B6A01"/>
    <w:multiLevelType w:val="multilevel"/>
    <w:tmpl w:val="DC3439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31"/>
  </w:num>
  <w:num w:numId="2">
    <w:abstractNumId w:val="20"/>
  </w:num>
  <w:num w:numId="3">
    <w:abstractNumId w:val="25"/>
  </w:num>
  <w:num w:numId="4">
    <w:abstractNumId w:val="32"/>
  </w:num>
  <w:num w:numId="5">
    <w:abstractNumId w:val="6"/>
  </w:num>
  <w:num w:numId="6">
    <w:abstractNumId w:val="13"/>
  </w:num>
  <w:num w:numId="7">
    <w:abstractNumId w:val="27"/>
  </w:num>
  <w:num w:numId="8">
    <w:abstractNumId w:val="29"/>
  </w:num>
  <w:num w:numId="9">
    <w:abstractNumId w:val="28"/>
  </w:num>
  <w:num w:numId="10">
    <w:abstractNumId w:val="3"/>
  </w:num>
  <w:num w:numId="11">
    <w:abstractNumId w:val="22"/>
  </w:num>
  <w:num w:numId="12">
    <w:abstractNumId w:val="12"/>
  </w:num>
  <w:num w:numId="13">
    <w:abstractNumId w:val="38"/>
  </w:num>
  <w:num w:numId="14">
    <w:abstractNumId w:val="35"/>
  </w:num>
  <w:num w:numId="15">
    <w:abstractNumId w:val="37"/>
  </w:num>
  <w:num w:numId="16">
    <w:abstractNumId w:val="21"/>
  </w:num>
  <w:num w:numId="17">
    <w:abstractNumId w:val="2"/>
  </w:num>
  <w:num w:numId="18">
    <w:abstractNumId w:val="9"/>
  </w:num>
  <w:num w:numId="19">
    <w:abstractNumId w:val="33"/>
  </w:num>
  <w:num w:numId="20">
    <w:abstractNumId w:val="4"/>
  </w:num>
  <w:num w:numId="21">
    <w:abstractNumId w:val="39"/>
  </w:num>
  <w:num w:numId="22">
    <w:abstractNumId w:val="0"/>
  </w:num>
  <w:num w:numId="23">
    <w:abstractNumId w:val="41"/>
  </w:num>
  <w:num w:numId="24">
    <w:abstractNumId w:val="7"/>
  </w:num>
  <w:num w:numId="25">
    <w:abstractNumId w:val="1"/>
  </w:num>
  <w:num w:numId="26">
    <w:abstractNumId w:val="14"/>
  </w:num>
  <w:num w:numId="27">
    <w:abstractNumId w:val="10"/>
  </w:num>
  <w:num w:numId="28">
    <w:abstractNumId w:val="36"/>
    <w:lvlOverride w:ilvl="0">
      <w:lvl w:ilvl="0">
        <w:numFmt w:val="bullet"/>
        <w:lvlText w:val=""/>
        <w:lvlJc w:val="left"/>
        <w:pPr>
          <w:tabs>
            <w:tab w:val="num" w:pos="720"/>
          </w:tabs>
          <w:ind w:left="720" w:hanging="360"/>
        </w:pPr>
        <w:rPr>
          <w:rFonts w:ascii="Wingdings" w:hAnsi="Wingdings" w:hint="default"/>
          <w:sz w:val="20"/>
        </w:rPr>
      </w:lvl>
    </w:lvlOverride>
  </w:num>
  <w:num w:numId="29">
    <w:abstractNumId w:val="30"/>
  </w:num>
  <w:num w:numId="30">
    <w:abstractNumId w:val="26"/>
  </w:num>
  <w:num w:numId="31">
    <w:abstractNumId w:val="5"/>
  </w:num>
  <w:num w:numId="32">
    <w:abstractNumId w:val="16"/>
  </w:num>
  <w:num w:numId="33">
    <w:abstractNumId w:val="15"/>
  </w:num>
  <w:num w:numId="34">
    <w:abstractNumId w:val="23"/>
  </w:num>
  <w:num w:numId="35">
    <w:abstractNumId w:val="11"/>
  </w:num>
  <w:num w:numId="36">
    <w:abstractNumId w:val="18"/>
  </w:num>
  <w:num w:numId="37">
    <w:abstractNumId w:val="19"/>
  </w:num>
  <w:num w:numId="38">
    <w:abstractNumId w:val="40"/>
  </w:num>
  <w:num w:numId="39">
    <w:abstractNumId w:val="24"/>
  </w:num>
  <w:num w:numId="40">
    <w:abstractNumId w:val="8"/>
  </w:num>
  <w:num w:numId="41">
    <w:abstractNumId w:val="34"/>
  </w:num>
  <w:num w:numId="42">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hideSpellingErrors/>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1EFC"/>
    <w:rsid w:val="00015ED8"/>
    <w:rsid w:val="0001718C"/>
    <w:rsid w:val="000206F4"/>
    <w:rsid w:val="00024913"/>
    <w:rsid w:val="00031D82"/>
    <w:rsid w:val="00036161"/>
    <w:rsid w:val="00036CFE"/>
    <w:rsid w:val="00041B3A"/>
    <w:rsid w:val="00046FE6"/>
    <w:rsid w:val="00055DFE"/>
    <w:rsid w:val="00062189"/>
    <w:rsid w:val="000676D6"/>
    <w:rsid w:val="00067F51"/>
    <w:rsid w:val="00070734"/>
    <w:rsid w:val="00072B7F"/>
    <w:rsid w:val="00072DDE"/>
    <w:rsid w:val="000803A1"/>
    <w:rsid w:val="00090562"/>
    <w:rsid w:val="00092DFA"/>
    <w:rsid w:val="00093E4F"/>
    <w:rsid w:val="00094160"/>
    <w:rsid w:val="00094275"/>
    <w:rsid w:val="000975E9"/>
    <w:rsid w:val="000A06CD"/>
    <w:rsid w:val="000A37E1"/>
    <w:rsid w:val="000A4DD9"/>
    <w:rsid w:val="000B1758"/>
    <w:rsid w:val="000B4AF8"/>
    <w:rsid w:val="000B7CEC"/>
    <w:rsid w:val="000C24B6"/>
    <w:rsid w:val="000C35AD"/>
    <w:rsid w:val="000C4115"/>
    <w:rsid w:val="000D144D"/>
    <w:rsid w:val="000D1D5C"/>
    <w:rsid w:val="000D33BF"/>
    <w:rsid w:val="000D423F"/>
    <w:rsid w:val="000E0A0A"/>
    <w:rsid w:val="000E1807"/>
    <w:rsid w:val="001005DB"/>
    <w:rsid w:val="001019C7"/>
    <w:rsid w:val="00107467"/>
    <w:rsid w:val="00107BA6"/>
    <w:rsid w:val="00113E01"/>
    <w:rsid w:val="001151D5"/>
    <w:rsid w:val="001167D1"/>
    <w:rsid w:val="00120553"/>
    <w:rsid w:val="00120D86"/>
    <w:rsid w:val="00120E8D"/>
    <w:rsid w:val="001248E3"/>
    <w:rsid w:val="00126823"/>
    <w:rsid w:val="00126F8D"/>
    <w:rsid w:val="00130A45"/>
    <w:rsid w:val="00132E54"/>
    <w:rsid w:val="00134786"/>
    <w:rsid w:val="00143EE7"/>
    <w:rsid w:val="00153820"/>
    <w:rsid w:val="0016151F"/>
    <w:rsid w:val="00163A77"/>
    <w:rsid w:val="00163C19"/>
    <w:rsid w:val="00164F4F"/>
    <w:rsid w:val="0016680F"/>
    <w:rsid w:val="00166AF9"/>
    <w:rsid w:val="00172C32"/>
    <w:rsid w:val="0018036E"/>
    <w:rsid w:val="00182E38"/>
    <w:rsid w:val="0018406A"/>
    <w:rsid w:val="001A6B40"/>
    <w:rsid w:val="001B6391"/>
    <w:rsid w:val="001C0F65"/>
    <w:rsid w:val="001C1A8B"/>
    <w:rsid w:val="001C1B05"/>
    <w:rsid w:val="001C4E67"/>
    <w:rsid w:val="001C6E30"/>
    <w:rsid w:val="001C7E02"/>
    <w:rsid w:val="001D2478"/>
    <w:rsid w:val="001D61FB"/>
    <w:rsid w:val="001E3151"/>
    <w:rsid w:val="001E5B5C"/>
    <w:rsid w:val="001F0B8B"/>
    <w:rsid w:val="001F4C93"/>
    <w:rsid w:val="00202257"/>
    <w:rsid w:val="00204FBF"/>
    <w:rsid w:val="0021325A"/>
    <w:rsid w:val="0022080F"/>
    <w:rsid w:val="0022243E"/>
    <w:rsid w:val="002263F9"/>
    <w:rsid w:val="00235488"/>
    <w:rsid w:val="00240237"/>
    <w:rsid w:val="0024137C"/>
    <w:rsid w:val="00242249"/>
    <w:rsid w:val="00246040"/>
    <w:rsid w:val="00253E1A"/>
    <w:rsid w:val="00255631"/>
    <w:rsid w:val="0026027D"/>
    <w:rsid w:val="00266DCE"/>
    <w:rsid w:val="00273C15"/>
    <w:rsid w:val="00274B06"/>
    <w:rsid w:val="00275093"/>
    <w:rsid w:val="00277CA0"/>
    <w:rsid w:val="00281B0B"/>
    <w:rsid w:val="002852EC"/>
    <w:rsid w:val="002861E0"/>
    <w:rsid w:val="0028633D"/>
    <w:rsid w:val="00286B12"/>
    <w:rsid w:val="002902FD"/>
    <w:rsid w:val="00291F6B"/>
    <w:rsid w:val="00293BBF"/>
    <w:rsid w:val="00294750"/>
    <w:rsid w:val="00297781"/>
    <w:rsid w:val="002A0BAE"/>
    <w:rsid w:val="002A1DDE"/>
    <w:rsid w:val="002A6942"/>
    <w:rsid w:val="002A717B"/>
    <w:rsid w:val="002B0F8C"/>
    <w:rsid w:val="002B206C"/>
    <w:rsid w:val="002B3A45"/>
    <w:rsid w:val="002B68C3"/>
    <w:rsid w:val="002C182A"/>
    <w:rsid w:val="002C25A0"/>
    <w:rsid w:val="002C5286"/>
    <w:rsid w:val="002C64B3"/>
    <w:rsid w:val="002D19C4"/>
    <w:rsid w:val="002D5E67"/>
    <w:rsid w:val="002D7BCF"/>
    <w:rsid w:val="002F08C7"/>
    <w:rsid w:val="002F3510"/>
    <w:rsid w:val="002F6D0B"/>
    <w:rsid w:val="00300FCB"/>
    <w:rsid w:val="003029DE"/>
    <w:rsid w:val="00302D7F"/>
    <w:rsid w:val="00303178"/>
    <w:rsid w:val="00306A5D"/>
    <w:rsid w:val="0031101C"/>
    <w:rsid w:val="003118A0"/>
    <w:rsid w:val="00314F20"/>
    <w:rsid w:val="00320470"/>
    <w:rsid w:val="0032475F"/>
    <w:rsid w:val="00331160"/>
    <w:rsid w:val="003318A0"/>
    <w:rsid w:val="00332EB5"/>
    <w:rsid w:val="00345FEE"/>
    <w:rsid w:val="0035723E"/>
    <w:rsid w:val="003641A0"/>
    <w:rsid w:val="00364D58"/>
    <w:rsid w:val="00365DBA"/>
    <w:rsid w:val="003713FE"/>
    <w:rsid w:val="00373926"/>
    <w:rsid w:val="00375C6C"/>
    <w:rsid w:val="003836AB"/>
    <w:rsid w:val="00385B90"/>
    <w:rsid w:val="00387431"/>
    <w:rsid w:val="00396693"/>
    <w:rsid w:val="003A0605"/>
    <w:rsid w:val="003A787A"/>
    <w:rsid w:val="003B0D17"/>
    <w:rsid w:val="003B1A4F"/>
    <w:rsid w:val="003B285E"/>
    <w:rsid w:val="003B4F7B"/>
    <w:rsid w:val="003B65A3"/>
    <w:rsid w:val="003B6AC8"/>
    <w:rsid w:val="003C6DFF"/>
    <w:rsid w:val="003D4FEA"/>
    <w:rsid w:val="003E1B2E"/>
    <w:rsid w:val="003E456D"/>
    <w:rsid w:val="003E7174"/>
    <w:rsid w:val="003F05F9"/>
    <w:rsid w:val="003F3A81"/>
    <w:rsid w:val="003F4B86"/>
    <w:rsid w:val="003F4CB2"/>
    <w:rsid w:val="003F59D2"/>
    <w:rsid w:val="003F5C0C"/>
    <w:rsid w:val="00400051"/>
    <w:rsid w:val="00400130"/>
    <w:rsid w:val="004108D7"/>
    <w:rsid w:val="00412DD0"/>
    <w:rsid w:val="00413CD8"/>
    <w:rsid w:val="004145FB"/>
    <w:rsid w:val="00415071"/>
    <w:rsid w:val="004160DB"/>
    <w:rsid w:val="004165C0"/>
    <w:rsid w:val="00416DE4"/>
    <w:rsid w:val="00423B50"/>
    <w:rsid w:val="00426A95"/>
    <w:rsid w:val="004302F5"/>
    <w:rsid w:val="0043228C"/>
    <w:rsid w:val="00434E51"/>
    <w:rsid w:val="0044081B"/>
    <w:rsid w:val="00441840"/>
    <w:rsid w:val="00447567"/>
    <w:rsid w:val="00450581"/>
    <w:rsid w:val="004600A7"/>
    <w:rsid w:val="0046027A"/>
    <w:rsid w:val="004615B8"/>
    <w:rsid w:val="00462CFF"/>
    <w:rsid w:val="00463095"/>
    <w:rsid w:val="0046330F"/>
    <w:rsid w:val="00463C70"/>
    <w:rsid w:val="00464EAD"/>
    <w:rsid w:val="00467075"/>
    <w:rsid w:val="00472621"/>
    <w:rsid w:val="004739F1"/>
    <w:rsid w:val="004811B4"/>
    <w:rsid w:val="00484AE2"/>
    <w:rsid w:val="00494A8D"/>
    <w:rsid w:val="00495DC9"/>
    <w:rsid w:val="004A2450"/>
    <w:rsid w:val="004A3A58"/>
    <w:rsid w:val="004A5919"/>
    <w:rsid w:val="004B09EE"/>
    <w:rsid w:val="004D2B19"/>
    <w:rsid w:val="004D3C66"/>
    <w:rsid w:val="004D6FDD"/>
    <w:rsid w:val="004E03F7"/>
    <w:rsid w:val="004E08F6"/>
    <w:rsid w:val="004E0F49"/>
    <w:rsid w:val="004E1460"/>
    <w:rsid w:val="004E1F68"/>
    <w:rsid w:val="004E4199"/>
    <w:rsid w:val="004E531D"/>
    <w:rsid w:val="004E5A1D"/>
    <w:rsid w:val="004F1952"/>
    <w:rsid w:val="004F2AB1"/>
    <w:rsid w:val="004F6ADB"/>
    <w:rsid w:val="00501686"/>
    <w:rsid w:val="00504ECC"/>
    <w:rsid w:val="00510CED"/>
    <w:rsid w:val="00511219"/>
    <w:rsid w:val="00511546"/>
    <w:rsid w:val="00512C6C"/>
    <w:rsid w:val="0052271D"/>
    <w:rsid w:val="00525937"/>
    <w:rsid w:val="0052729D"/>
    <w:rsid w:val="00534901"/>
    <w:rsid w:val="005362C0"/>
    <w:rsid w:val="00537944"/>
    <w:rsid w:val="0054128B"/>
    <w:rsid w:val="005416F3"/>
    <w:rsid w:val="00550638"/>
    <w:rsid w:val="00551CFB"/>
    <w:rsid w:val="0055249C"/>
    <w:rsid w:val="005549BE"/>
    <w:rsid w:val="005668D9"/>
    <w:rsid w:val="00570A91"/>
    <w:rsid w:val="0057118B"/>
    <w:rsid w:val="005716DC"/>
    <w:rsid w:val="00571F71"/>
    <w:rsid w:val="005749B0"/>
    <w:rsid w:val="005750FD"/>
    <w:rsid w:val="00576B44"/>
    <w:rsid w:val="00580594"/>
    <w:rsid w:val="0058222E"/>
    <w:rsid w:val="00587466"/>
    <w:rsid w:val="00590067"/>
    <w:rsid w:val="0059055C"/>
    <w:rsid w:val="005A39C3"/>
    <w:rsid w:val="005B1F82"/>
    <w:rsid w:val="005B27CC"/>
    <w:rsid w:val="005B522D"/>
    <w:rsid w:val="005C2409"/>
    <w:rsid w:val="005C2613"/>
    <w:rsid w:val="005C2AC1"/>
    <w:rsid w:val="005C41DA"/>
    <w:rsid w:val="005C4368"/>
    <w:rsid w:val="005C7D7C"/>
    <w:rsid w:val="005E0CBB"/>
    <w:rsid w:val="005E4204"/>
    <w:rsid w:val="005E551E"/>
    <w:rsid w:val="005E6BC2"/>
    <w:rsid w:val="005F23C7"/>
    <w:rsid w:val="005F304D"/>
    <w:rsid w:val="005F4E82"/>
    <w:rsid w:val="005F5A77"/>
    <w:rsid w:val="00600136"/>
    <w:rsid w:val="00600257"/>
    <w:rsid w:val="00600CB9"/>
    <w:rsid w:val="00605F7E"/>
    <w:rsid w:val="00607BB4"/>
    <w:rsid w:val="006204E4"/>
    <w:rsid w:val="00626F28"/>
    <w:rsid w:val="00641163"/>
    <w:rsid w:val="006420C3"/>
    <w:rsid w:val="00644363"/>
    <w:rsid w:val="006455B9"/>
    <w:rsid w:val="00647321"/>
    <w:rsid w:val="006528AE"/>
    <w:rsid w:val="00656B32"/>
    <w:rsid w:val="00664F02"/>
    <w:rsid w:val="00671083"/>
    <w:rsid w:val="00672157"/>
    <w:rsid w:val="00673728"/>
    <w:rsid w:val="00673CCA"/>
    <w:rsid w:val="00674BC4"/>
    <w:rsid w:val="00676D56"/>
    <w:rsid w:val="00683E51"/>
    <w:rsid w:val="006845A0"/>
    <w:rsid w:val="006850A8"/>
    <w:rsid w:val="006959AE"/>
    <w:rsid w:val="006964D5"/>
    <w:rsid w:val="006969D0"/>
    <w:rsid w:val="006A1AC0"/>
    <w:rsid w:val="006A2645"/>
    <w:rsid w:val="006A3CBB"/>
    <w:rsid w:val="006A5739"/>
    <w:rsid w:val="006A6AC6"/>
    <w:rsid w:val="006A7314"/>
    <w:rsid w:val="006B1D7E"/>
    <w:rsid w:val="006B228C"/>
    <w:rsid w:val="006B2897"/>
    <w:rsid w:val="006B2C72"/>
    <w:rsid w:val="006B3140"/>
    <w:rsid w:val="006B3C15"/>
    <w:rsid w:val="006B58B8"/>
    <w:rsid w:val="006B60FC"/>
    <w:rsid w:val="006C0D9E"/>
    <w:rsid w:val="006C1B61"/>
    <w:rsid w:val="006C3D12"/>
    <w:rsid w:val="006C4303"/>
    <w:rsid w:val="006D4ACA"/>
    <w:rsid w:val="006D5C32"/>
    <w:rsid w:val="006D613D"/>
    <w:rsid w:val="006D7F3D"/>
    <w:rsid w:val="006E0FB4"/>
    <w:rsid w:val="006E2F4A"/>
    <w:rsid w:val="006E46BA"/>
    <w:rsid w:val="006E7720"/>
    <w:rsid w:val="006E78A3"/>
    <w:rsid w:val="006E7F61"/>
    <w:rsid w:val="006F04F1"/>
    <w:rsid w:val="006F122C"/>
    <w:rsid w:val="00700909"/>
    <w:rsid w:val="00701EFA"/>
    <w:rsid w:val="00702472"/>
    <w:rsid w:val="0070574A"/>
    <w:rsid w:val="007105F3"/>
    <w:rsid w:val="00713638"/>
    <w:rsid w:val="007141E2"/>
    <w:rsid w:val="00715533"/>
    <w:rsid w:val="00724424"/>
    <w:rsid w:val="00725777"/>
    <w:rsid w:val="00730D11"/>
    <w:rsid w:val="00736D17"/>
    <w:rsid w:val="00740A1B"/>
    <w:rsid w:val="00746318"/>
    <w:rsid w:val="0075014D"/>
    <w:rsid w:val="00752DD9"/>
    <w:rsid w:val="007538F6"/>
    <w:rsid w:val="007564E0"/>
    <w:rsid w:val="00757A10"/>
    <w:rsid w:val="00762E49"/>
    <w:rsid w:val="00770C75"/>
    <w:rsid w:val="007755AA"/>
    <w:rsid w:val="00775C80"/>
    <w:rsid w:val="00780364"/>
    <w:rsid w:val="00781BA4"/>
    <w:rsid w:val="00783982"/>
    <w:rsid w:val="00786079"/>
    <w:rsid w:val="00787787"/>
    <w:rsid w:val="00787AC5"/>
    <w:rsid w:val="00787E0D"/>
    <w:rsid w:val="00787FB9"/>
    <w:rsid w:val="007947F1"/>
    <w:rsid w:val="007A3A4C"/>
    <w:rsid w:val="007B24A8"/>
    <w:rsid w:val="007B2FC8"/>
    <w:rsid w:val="007B6079"/>
    <w:rsid w:val="007B7A27"/>
    <w:rsid w:val="007B7B8C"/>
    <w:rsid w:val="007C1826"/>
    <w:rsid w:val="007C1F24"/>
    <w:rsid w:val="007C40DE"/>
    <w:rsid w:val="007C55D9"/>
    <w:rsid w:val="007C79DA"/>
    <w:rsid w:val="007D1C98"/>
    <w:rsid w:val="007D4424"/>
    <w:rsid w:val="007D747F"/>
    <w:rsid w:val="007E23BE"/>
    <w:rsid w:val="007E58BB"/>
    <w:rsid w:val="007E625E"/>
    <w:rsid w:val="007E6609"/>
    <w:rsid w:val="00805443"/>
    <w:rsid w:val="008077BE"/>
    <w:rsid w:val="00810BD1"/>
    <w:rsid w:val="00811537"/>
    <w:rsid w:val="00816A32"/>
    <w:rsid w:val="00821216"/>
    <w:rsid w:val="00822CE7"/>
    <w:rsid w:val="00823F33"/>
    <w:rsid w:val="00825706"/>
    <w:rsid w:val="0082643E"/>
    <w:rsid w:val="0083351D"/>
    <w:rsid w:val="008339D9"/>
    <w:rsid w:val="008357A5"/>
    <w:rsid w:val="008406EA"/>
    <w:rsid w:val="00843AC1"/>
    <w:rsid w:val="00847176"/>
    <w:rsid w:val="008558D7"/>
    <w:rsid w:val="008560AA"/>
    <w:rsid w:val="00864D30"/>
    <w:rsid w:val="008722F3"/>
    <w:rsid w:val="00872E51"/>
    <w:rsid w:val="00874E84"/>
    <w:rsid w:val="00875C45"/>
    <w:rsid w:val="0087750F"/>
    <w:rsid w:val="00882D3E"/>
    <w:rsid w:val="00883ECD"/>
    <w:rsid w:val="00885F3A"/>
    <w:rsid w:val="008860D7"/>
    <w:rsid w:val="00892424"/>
    <w:rsid w:val="00896D2A"/>
    <w:rsid w:val="008A0E88"/>
    <w:rsid w:val="008A3FB5"/>
    <w:rsid w:val="008A5875"/>
    <w:rsid w:val="008A7AEA"/>
    <w:rsid w:val="008B4BA7"/>
    <w:rsid w:val="008D0E91"/>
    <w:rsid w:val="008D12E2"/>
    <w:rsid w:val="008E08FE"/>
    <w:rsid w:val="008E47FE"/>
    <w:rsid w:val="008E6C3E"/>
    <w:rsid w:val="008E70E4"/>
    <w:rsid w:val="008F11B5"/>
    <w:rsid w:val="008F2076"/>
    <w:rsid w:val="008F5960"/>
    <w:rsid w:val="008F7D48"/>
    <w:rsid w:val="00910787"/>
    <w:rsid w:val="00914DA5"/>
    <w:rsid w:val="00920A5E"/>
    <w:rsid w:val="00922AE4"/>
    <w:rsid w:val="009270C5"/>
    <w:rsid w:val="00927C4B"/>
    <w:rsid w:val="009323EE"/>
    <w:rsid w:val="00935D00"/>
    <w:rsid w:val="009372ED"/>
    <w:rsid w:val="0094286E"/>
    <w:rsid w:val="00942A55"/>
    <w:rsid w:val="009445F9"/>
    <w:rsid w:val="0095110F"/>
    <w:rsid w:val="0095185F"/>
    <w:rsid w:val="009518C4"/>
    <w:rsid w:val="009564C3"/>
    <w:rsid w:val="00956980"/>
    <w:rsid w:val="00962CBB"/>
    <w:rsid w:val="00963EEC"/>
    <w:rsid w:val="00965B57"/>
    <w:rsid w:val="00966E33"/>
    <w:rsid w:val="00975C8F"/>
    <w:rsid w:val="00977312"/>
    <w:rsid w:val="00981E45"/>
    <w:rsid w:val="009829B3"/>
    <w:rsid w:val="009876BF"/>
    <w:rsid w:val="0099218F"/>
    <w:rsid w:val="00993226"/>
    <w:rsid w:val="00995959"/>
    <w:rsid w:val="00997677"/>
    <w:rsid w:val="009A2030"/>
    <w:rsid w:val="009A27A4"/>
    <w:rsid w:val="009A479C"/>
    <w:rsid w:val="009A4812"/>
    <w:rsid w:val="009A66E0"/>
    <w:rsid w:val="009B17C8"/>
    <w:rsid w:val="009B30EC"/>
    <w:rsid w:val="009B619B"/>
    <w:rsid w:val="009D0518"/>
    <w:rsid w:val="009D0602"/>
    <w:rsid w:val="009D1533"/>
    <w:rsid w:val="009D5CA3"/>
    <w:rsid w:val="009E13A1"/>
    <w:rsid w:val="009E4938"/>
    <w:rsid w:val="009E6042"/>
    <w:rsid w:val="009E7753"/>
    <w:rsid w:val="009F0F6C"/>
    <w:rsid w:val="009F48E5"/>
    <w:rsid w:val="009F66FC"/>
    <w:rsid w:val="00A03E7A"/>
    <w:rsid w:val="00A066EF"/>
    <w:rsid w:val="00A1218B"/>
    <w:rsid w:val="00A13856"/>
    <w:rsid w:val="00A14542"/>
    <w:rsid w:val="00A14E12"/>
    <w:rsid w:val="00A16943"/>
    <w:rsid w:val="00A36907"/>
    <w:rsid w:val="00A37057"/>
    <w:rsid w:val="00A43010"/>
    <w:rsid w:val="00A47085"/>
    <w:rsid w:val="00A51545"/>
    <w:rsid w:val="00A51A29"/>
    <w:rsid w:val="00A52DE9"/>
    <w:rsid w:val="00A551E6"/>
    <w:rsid w:val="00A55FE1"/>
    <w:rsid w:val="00A5687A"/>
    <w:rsid w:val="00A63A1F"/>
    <w:rsid w:val="00A646ED"/>
    <w:rsid w:val="00A678E8"/>
    <w:rsid w:val="00A725F0"/>
    <w:rsid w:val="00A745BF"/>
    <w:rsid w:val="00A90837"/>
    <w:rsid w:val="00A911E0"/>
    <w:rsid w:val="00A92207"/>
    <w:rsid w:val="00A97A17"/>
    <w:rsid w:val="00AA1140"/>
    <w:rsid w:val="00AA5D5F"/>
    <w:rsid w:val="00AA7240"/>
    <w:rsid w:val="00AB004C"/>
    <w:rsid w:val="00AC3548"/>
    <w:rsid w:val="00AC7C82"/>
    <w:rsid w:val="00AD087B"/>
    <w:rsid w:val="00AD34BA"/>
    <w:rsid w:val="00AD488C"/>
    <w:rsid w:val="00AE1013"/>
    <w:rsid w:val="00AE1F26"/>
    <w:rsid w:val="00AF37C9"/>
    <w:rsid w:val="00AF4143"/>
    <w:rsid w:val="00AF6425"/>
    <w:rsid w:val="00AF6D21"/>
    <w:rsid w:val="00B0074F"/>
    <w:rsid w:val="00B022EB"/>
    <w:rsid w:val="00B02E56"/>
    <w:rsid w:val="00B1226B"/>
    <w:rsid w:val="00B12E0F"/>
    <w:rsid w:val="00B1605B"/>
    <w:rsid w:val="00B22E08"/>
    <w:rsid w:val="00B2783A"/>
    <w:rsid w:val="00B3139A"/>
    <w:rsid w:val="00B33FBF"/>
    <w:rsid w:val="00B4114E"/>
    <w:rsid w:val="00B42B2E"/>
    <w:rsid w:val="00B42D8B"/>
    <w:rsid w:val="00B47D35"/>
    <w:rsid w:val="00B546B9"/>
    <w:rsid w:val="00B72735"/>
    <w:rsid w:val="00B72A4B"/>
    <w:rsid w:val="00B747A4"/>
    <w:rsid w:val="00B803DD"/>
    <w:rsid w:val="00B8619B"/>
    <w:rsid w:val="00B925D3"/>
    <w:rsid w:val="00B93AA7"/>
    <w:rsid w:val="00B94D72"/>
    <w:rsid w:val="00B958D4"/>
    <w:rsid w:val="00BA0E24"/>
    <w:rsid w:val="00BA21D0"/>
    <w:rsid w:val="00BB5AAA"/>
    <w:rsid w:val="00BC76E3"/>
    <w:rsid w:val="00BD3CC1"/>
    <w:rsid w:val="00BE0892"/>
    <w:rsid w:val="00BE1F76"/>
    <w:rsid w:val="00BE3369"/>
    <w:rsid w:val="00BE5975"/>
    <w:rsid w:val="00BF1DB5"/>
    <w:rsid w:val="00BF31FE"/>
    <w:rsid w:val="00BF5E8B"/>
    <w:rsid w:val="00BF7C4C"/>
    <w:rsid w:val="00C035A3"/>
    <w:rsid w:val="00C052A4"/>
    <w:rsid w:val="00C10A53"/>
    <w:rsid w:val="00C15CAC"/>
    <w:rsid w:val="00C16427"/>
    <w:rsid w:val="00C176A3"/>
    <w:rsid w:val="00C17D47"/>
    <w:rsid w:val="00C2084A"/>
    <w:rsid w:val="00C21425"/>
    <w:rsid w:val="00C22C99"/>
    <w:rsid w:val="00C23EA3"/>
    <w:rsid w:val="00C24AB4"/>
    <w:rsid w:val="00C26470"/>
    <w:rsid w:val="00C313A0"/>
    <w:rsid w:val="00C32841"/>
    <w:rsid w:val="00C41CD9"/>
    <w:rsid w:val="00C43A12"/>
    <w:rsid w:val="00C44CDB"/>
    <w:rsid w:val="00C46400"/>
    <w:rsid w:val="00C506AE"/>
    <w:rsid w:val="00C626C5"/>
    <w:rsid w:val="00C7207D"/>
    <w:rsid w:val="00C72E46"/>
    <w:rsid w:val="00C730C3"/>
    <w:rsid w:val="00C749B7"/>
    <w:rsid w:val="00C80F91"/>
    <w:rsid w:val="00C80FA5"/>
    <w:rsid w:val="00C81EFC"/>
    <w:rsid w:val="00C93C13"/>
    <w:rsid w:val="00C9494A"/>
    <w:rsid w:val="00C96FE4"/>
    <w:rsid w:val="00C97076"/>
    <w:rsid w:val="00CA33AD"/>
    <w:rsid w:val="00CA3887"/>
    <w:rsid w:val="00CB12E4"/>
    <w:rsid w:val="00CB6114"/>
    <w:rsid w:val="00CB7961"/>
    <w:rsid w:val="00CC3C55"/>
    <w:rsid w:val="00CC4320"/>
    <w:rsid w:val="00CC51D7"/>
    <w:rsid w:val="00CC5EA4"/>
    <w:rsid w:val="00CD6F7C"/>
    <w:rsid w:val="00CF4CC7"/>
    <w:rsid w:val="00CF7203"/>
    <w:rsid w:val="00D0659F"/>
    <w:rsid w:val="00D11A15"/>
    <w:rsid w:val="00D121C5"/>
    <w:rsid w:val="00D1255B"/>
    <w:rsid w:val="00D15402"/>
    <w:rsid w:val="00D35F72"/>
    <w:rsid w:val="00D402E5"/>
    <w:rsid w:val="00D41FAA"/>
    <w:rsid w:val="00D4411F"/>
    <w:rsid w:val="00D446F8"/>
    <w:rsid w:val="00D44948"/>
    <w:rsid w:val="00D5108D"/>
    <w:rsid w:val="00D51108"/>
    <w:rsid w:val="00D53D7B"/>
    <w:rsid w:val="00D54C23"/>
    <w:rsid w:val="00D57150"/>
    <w:rsid w:val="00D57441"/>
    <w:rsid w:val="00D631B3"/>
    <w:rsid w:val="00D65398"/>
    <w:rsid w:val="00D710E4"/>
    <w:rsid w:val="00D75301"/>
    <w:rsid w:val="00D771D1"/>
    <w:rsid w:val="00D80328"/>
    <w:rsid w:val="00D87D45"/>
    <w:rsid w:val="00D91968"/>
    <w:rsid w:val="00D953B7"/>
    <w:rsid w:val="00D97CC1"/>
    <w:rsid w:val="00DA15F2"/>
    <w:rsid w:val="00DA1B8F"/>
    <w:rsid w:val="00DA6C4B"/>
    <w:rsid w:val="00DB05A5"/>
    <w:rsid w:val="00DB23BB"/>
    <w:rsid w:val="00DC101D"/>
    <w:rsid w:val="00DC1E75"/>
    <w:rsid w:val="00DC3A42"/>
    <w:rsid w:val="00DC4300"/>
    <w:rsid w:val="00DC5B95"/>
    <w:rsid w:val="00DC67E7"/>
    <w:rsid w:val="00DD01A9"/>
    <w:rsid w:val="00DD6EDD"/>
    <w:rsid w:val="00DE2C6D"/>
    <w:rsid w:val="00DE2DFD"/>
    <w:rsid w:val="00DE34C3"/>
    <w:rsid w:val="00DF00A7"/>
    <w:rsid w:val="00DF0128"/>
    <w:rsid w:val="00DF1358"/>
    <w:rsid w:val="00DF1663"/>
    <w:rsid w:val="00DF670B"/>
    <w:rsid w:val="00DF7F51"/>
    <w:rsid w:val="00E00D9E"/>
    <w:rsid w:val="00E04057"/>
    <w:rsid w:val="00E062BB"/>
    <w:rsid w:val="00E066B7"/>
    <w:rsid w:val="00E1021F"/>
    <w:rsid w:val="00E12518"/>
    <w:rsid w:val="00E14B3E"/>
    <w:rsid w:val="00E21337"/>
    <w:rsid w:val="00E2240D"/>
    <w:rsid w:val="00E224A6"/>
    <w:rsid w:val="00E231E6"/>
    <w:rsid w:val="00E23534"/>
    <w:rsid w:val="00E249E8"/>
    <w:rsid w:val="00E2584C"/>
    <w:rsid w:val="00E25B8B"/>
    <w:rsid w:val="00E32D8F"/>
    <w:rsid w:val="00E34F29"/>
    <w:rsid w:val="00E45EC4"/>
    <w:rsid w:val="00E46126"/>
    <w:rsid w:val="00E64712"/>
    <w:rsid w:val="00E73CEC"/>
    <w:rsid w:val="00E76A94"/>
    <w:rsid w:val="00E83A87"/>
    <w:rsid w:val="00E87CC8"/>
    <w:rsid w:val="00E90AF4"/>
    <w:rsid w:val="00E9240B"/>
    <w:rsid w:val="00E9313A"/>
    <w:rsid w:val="00E94221"/>
    <w:rsid w:val="00E947F0"/>
    <w:rsid w:val="00EA5CDF"/>
    <w:rsid w:val="00EA5ECF"/>
    <w:rsid w:val="00EA6EEC"/>
    <w:rsid w:val="00EA76DF"/>
    <w:rsid w:val="00EB07A0"/>
    <w:rsid w:val="00EB1FD5"/>
    <w:rsid w:val="00EB58BF"/>
    <w:rsid w:val="00EB619A"/>
    <w:rsid w:val="00EB6984"/>
    <w:rsid w:val="00EC2152"/>
    <w:rsid w:val="00EC42CB"/>
    <w:rsid w:val="00EC4458"/>
    <w:rsid w:val="00ED2E58"/>
    <w:rsid w:val="00ED3C1B"/>
    <w:rsid w:val="00ED5939"/>
    <w:rsid w:val="00EE2B60"/>
    <w:rsid w:val="00EE495A"/>
    <w:rsid w:val="00EE724B"/>
    <w:rsid w:val="00EF021E"/>
    <w:rsid w:val="00EF0AB9"/>
    <w:rsid w:val="00EF66A1"/>
    <w:rsid w:val="00F04996"/>
    <w:rsid w:val="00F10F7C"/>
    <w:rsid w:val="00F22B93"/>
    <w:rsid w:val="00F24911"/>
    <w:rsid w:val="00F302E1"/>
    <w:rsid w:val="00F31220"/>
    <w:rsid w:val="00F32783"/>
    <w:rsid w:val="00F378F9"/>
    <w:rsid w:val="00F41CBE"/>
    <w:rsid w:val="00F4295F"/>
    <w:rsid w:val="00F430DC"/>
    <w:rsid w:val="00F568AB"/>
    <w:rsid w:val="00F60859"/>
    <w:rsid w:val="00F62CBA"/>
    <w:rsid w:val="00F63A6C"/>
    <w:rsid w:val="00F648B9"/>
    <w:rsid w:val="00F65FA3"/>
    <w:rsid w:val="00F674DF"/>
    <w:rsid w:val="00F744A7"/>
    <w:rsid w:val="00F77509"/>
    <w:rsid w:val="00F77839"/>
    <w:rsid w:val="00F829AC"/>
    <w:rsid w:val="00F84D06"/>
    <w:rsid w:val="00FA2F07"/>
    <w:rsid w:val="00FA4301"/>
    <w:rsid w:val="00FA7352"/>
    <w:rsid w:val="00FA7DB6"/>
    <w:rsid w:val="00FB0B7C"/>
    <w:rsid w:val="00FB2390"/>
    <w:rsid w:val="00FB7D88"/>
    <w:rsid w:val="00FD5BB0"/>
    <w:rsid w:val="00FD5C93"/>
    <w:rsid w:val="00FE039E"/>
    <w:rsid w:val="00FE0B5E"/>
    <w:rsid w:val="00FE14BF"/>
    <w:rsid w:val="00FE647D"/>
    <w:rsid w:val="00FF3B17"/>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AA72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1019C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683E51"/>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5">
    <w:name w:val="heading 5"/>
    <w:basedOn w:val="Normal"/>
    <w:next w:val="Normal"/>
    <w:link w:val="Ttulo5Car"/>
    <w:uiPriority w:val="9"/>
    <w:semiHidden/>
    <w:unhideWhenUsed/>
    <w:qFormat/>
    <w:rsid w:val="00FE647D"/>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019C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019C7"/>
    <w:rPr>
      <w:rFonts w:ascii="Tahoma" w:hAnsi="Tahoma" w:cs="Tahoma"/>
      <w:sz w:val="16"/>
      <w:szCs w:val="16"/>
    </w:rPr>
  </w:style>
  <w:style w:type="character" w:customStyle="1" w:styleId="Ttulo2Car">
    <w:name w:val="Título 2 Car"/>
    <w:basedOn w:val="Fuentedeprrafopredeter"/>
    <w:link w:val="Ttulo2"/>
    <w:uiPriority w:val="9"/>
    <w:rsid w:val="001019C7"/>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1019C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683E51"/>
    <w:rPr>
      <w:rFonts w:asciiTheme="majorHAnsi" w:eastAsiaTheme="majorEastAsia" w:hAnsiTheme="majorHAnsi" w:cstheme="majorBidi"/>
      <w:b/>
      <w:bCs/>
      <w:color w:val="4F81BD" w:themeColor="accent1"/>
      <w:lang w:eastAsia="es-ES"/>
    </w:rPr>
  </w:style>
  <w:style w:type="character" w:styleId="Hipervnculo">
    <w:name w:val="Hyperlink"/>
    <w:uiPriority w:val="99"/>
    <w:unhideWhenUsed/>
    <w:rsid w:val="00683E51"/>
    <w:rPr>
      <w:color w:val="0000FF"/>
      <w:u w:val="single"/>
    </w:rPr>
  </w:style>
  <w:style w:type="character" w:styleId="nfasis">
    <w:name w:val="Emphasis"/>
    <w:uiPriority w:val="20"/>
    <w:qFormat/>
    <w:rsid w:val="00683E51"/>
    <w:rPr>
      <w:i/>
      <w:iCs/>
    </w:rPr>
  </w:style>
  <w:style w:type="character" w:styleId="Textoennegrita">
    <w:name w:val="Strong"/>
    <w:uiPriority w:val="22"/>
    <w:qFormat/>
    <w:rsid w:val="00683E51"/>
    <w:rPr>
      <w:b/>
      <w:bCs/>
    </w:rPr>
  </w:style>
  <w:style w:type="character" w:customStyle="1" w:styleId="Ttulo1Car">
    <w:name w:val="Título 1 Car"/>
    <w:basedOn w:val="Fuentedeprrafopredeter"/>
    <w:link w:val="Ttulo1"/>
    <w:uiPriority w:val="9"/>
    <w:rsid w:val="00AA7240"/>
    <w:rPr>
      <w:rFonts w:asciiTheme="majorHAnsi" w:eastAsiaTheme="majorEastAsia" w:hAnsiTheme="majorHAnsi" w:cstheme="majorBidi"/>
      <w:b/>
      <w:bCs/>
      <w:color w:val="365F91" w:themeColor="accent1" w:themeShade="BF"/>
      <w:sz w:val="28"/>
      <w:szCs w:val="28"/>
    </w:rPr>
  </w:style>
  <w:style w:type="paragraph" w:customStyle="1" w:styleId="headlinemeta">
    <w:name w:val="headline_meta"/>
    <w:basedOn w:val="Normal"/>
    <w:rsid w:val="00AA724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AA7240"/>
  </w:style>
  <w:style w:type="paragraph" w:customStyle="1" w:styleId="centro-texto-notis">
    <w:name w:val="centro-texto-notis"/>
    <w:basedOn w:val="Normal"/>
    <w:rsid w:val="00AA724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negra-grande-sin">
    <w:name w:val="firma-negra-grande-sin"/>
    <w:basedOn w:val="Fuentedeprrafopredeter"/>
    <w:rsid w:val="00AA7240"/>
  </w:style>
  <w:style w:type="paragraph" w:customStyle="1" w:styleId="figcaption">
    <w:name w:val="figcaption"/>
    <w:basedOn w:val="Normal"/>
    <w:rsid w:val="00AA7240"/>
    <w:pPr>
      <w:spacing w:after="0"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B72735"/>
  </w:style>
  <w:style w:type="character" w:customStyle="1" w:styleId="firma-negra-grande">
    <w:name w:val="firma-negra-grande"/>
    <w:basedOn w:val="Fuentedeprrafopredeter"/>
    <w:rsid w:val="00B72735"/>
  </w:style>
  <w:style w:type="paragraph" w:customStyle="1" w:styleId="centro-texto-opinion">
    <w:name w:val="centro-texto-opinion"/>
    <w:basedOn w:val="Normal"/>
    <w:rsid w:val="00B7273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1005DB"/>
  </w:style>
  <w:style w:type="paragraph" w:customStyle="1" w:styleId="wp-caption-text">
    <w:name w:val="wp-caption-text"/>
    <w:basedOn w:val="Normal"/>
    <w:rsid w:val="00F7783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2">
    <w:name w:val="autor2"/>
    <w:rsid w:val="00015ED8"/>
    <w:rPr>
      <w:b/>
      <w:bCs/>
      <w:i w:val="0"/>
      <w:iCs w:val="0"/>
      <w:color w:val="AAAAAA"/>
    </w:rPr>
  </w:style>
  <w:style w:type="paragraph" w:customStyle="1" w:styleId="entradilla1">
    <w:name w:val="entradilla1"/>
    <w:basedOn w:val="Normal"/>
    <w:rsid w:val="00015ED8"/>
    <w:pPr>
      <w:spacing w:before="150" w:after="100" w:afterAutospacing="1" w:line="300" w:lineRule="atLeast"/>
    </w:pPr>
    <w:rPr>
      <w:rFonts w:ascii="Arial" w:eastAsia="Times New Roman" w:hAnsi="Arial" w:cs="Arial"/>
      <w:b/>
      <w:bCs/>
      <w:color w:val="666666"/>
      <w:sz w:val="21"/>
      <w:szCs w:val="21"/>
      <w:lang w:eastAsia="es-ES"/>
    </w:rPr>
  </w:style>
  <w:style w:type="character" w:customStyle="1" w:styleId="firma7">
    <w:name w:val="firma7"/>
    <w:basedOn w:val="Fuentedeprrafopredeter"/>
    <w:rsid w:val="00FA4301"/>
  </w:style>
  <w:style w:type="character" w:customStyle="1" w:styleId="autor11">
    <w:name w:val="autor11"/>
    <w:basedOn w:val="Fuentedeprrafopredeter"/>
    <w:rsid w:val="00FA4301"/>
  </w:style>
  <w:style w:type="paragraph" w:customStyle="1" w:styleId="textogrande4">
    <w:name w:val="texto_grande4"/>
    <w:basedOn w:val="Normal"/>
    <w:rsid w:val="00FA4301"/>
    <w:pPr>
      <w:spacing w:after="0" w:line="420" w:lineRule="atLeast"/>
    </w:pPr>
    <w:rPr>
      <w:rFonts w:ascii="Georgia" w:eastAsia="Times New Roman" w:hAnsi="Georgia" w:cs="Times New Roman"/>
      <w:spacing w:val="-15"/>
      <w:sz w:val="30"/>
      <w:szCs w:val="30"/>
      <w:lang w:eastAsia="es-ES"/>
    </w:rPr>
  </w:style>
  <w:style w:type="character" w:customStyle="1" w:styleId="contenido77">
    <w:name w:val="contenido77"/>
    <w:basedOn w:val="Fuentedeprrafopredeter"/>
    <w:rsid w:val="00FA4301"/>
  </w:style>
  <w:style w:type="character" w:customStyle="1" w:styleId="ampliarfoto1">
    <w:name w:val="ampliar_foto1"/>
    <w:basedOn w:val="Fuentedeprrafopredeter"/>
    <w:rsid w:val="00FA4301"/>
    <w:rPr>
      <w:vanish w:val="0"/>
      <w:webHidden w:val="0"/>
      <w:shd w:val="clear" w:color="auto" w:fill="333333"/>
      <w:specVanish w:val="0"/>
    </w:rPr>
  </w:style>
  <w:style w:type="character" w:customStyle="1" w:styleId="contenido-apoyo">
    <w:name w:val="contenido-apoyo"/>
    <w:basedOn w:val="Fuentedeprrafopredeter"/>
    <w:rsid w:val="00F41CBE"/>
  </w:style>
  <w:style w:type="paragraph" w:styleId="Prrafodelista">
    <w:name w:val="List Paragraph"/>
    <w:basedOn w:val="Normal"/>
    <w:uiPriority w:val="34"/>
    <w:qFormat/>
    <w:rsid w:val="003B0D17"/>
    <w:pPr>
      <w:ind w:left="720"/>
      <w:contextualSpacing/>
    </w:pPr>
  </w:style>
  <w:style w:type="character" w:customStyle="1" w:styleId="Ttulo5Car">
    <w:name w:val="Título 5 Car"/>
    <w:basedOn w:val="Fuentedeprrafopredeter"/>
    <w:link w:val="Ttulo5"/>
    <w:uiPriority w:val="9"/>
    <w:semiHidden/>
    <w:rsid w:val="00FE647D"/>
    <w:rPr>
      <w:rFonts w:asciiTheme="majorHAnsi" w:eastAsiaTheme="majorEastAsia" w:hAnsiTheme="majorHAnsi" w:cstheme="majorBidi"/>
      <w:color w:val="243F60" w:themeColor="accent1" w:themeShade="7F"/>
    </w:rPr>
  </w:style>
  <w:style w:type="paragraph" w:customStyle="1" w:styleId="Estndar">
    <w:name w:val="Estándar"/>
    <w:rsid w:val="00164F4F"/>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ransparent">
    <w:name w:val="transparent"/>
    <w:basedOn w:val="Fuentedeprrafopredeter"/>
    <w:rsid w:val="002C64B3"/>
  </w:style>
  <w:style w:type="character" w:customStyle="1" w:styleId="titulo21">
    <w:name w:val="titulo21"/>
    <w:basedOn w:val="Fuentedeprrafopredeter"/>
    <w:rsid w:val="00A55FE1"/>
    <w:rPr>
      <w:b/>
      <w:bCs/>
      <w:strike w:val="0"/>
      <w:dstrike w:val="0"/>
      <w:color w:val="000000"/>
      <w:sz w:val="41"/>
      <w:szCs w:val="41"/>
      <w:u w:val="none"/>
      <w:effect w:val="none"/>
    </w:rPr>
  </w:style>
  <w:style w:type="paragraph" w:customStyle="1" w:styleId="entradilla2">
    <w:name w:val="entradilla2"/>
    <w:basedOn w:val="Normal"/>
    <w:rsid w:val="00A55FE1"/>
    <w:pPr>
      <w:spacing w:before="100" w:beforeAutospacing="1" w:after="100" w:afterAutospacing="1" w:line="330" w:lineRule="atLeast"/>
    </w:pPr>
    <w:rPr>
      <w:rFonts w:ascii="Times New Roman" w:eastAsia="Times New Roman" w:hAnsi="Times New Roman" w:cs="Times New Roman"/>
      <w:color w:val="333333"/>
      <w:sz w:val="23"/>
      <w:szCs w:val="23"/>
      <w:lang w:eastAsia="es-ES"/>
    </w:rPr>
  </w:style>
  <w:style w:type="character" w:customStyle="1" w:styleId="ladillo2">
    <w:name w:val="ladillo2"/>
    <w:basedOn w:val="Fuentedeprrafopredeter"/>
    <w:rsid w:val="00A55FE1"/>
    <w:rPr>
      <w:b/>
      <w:bCs/>
      <w:vanish w:val="0"/>
      <w:webHidden w:val="0"/>
      <w:color w:val="333333"/>
      <w:sz w:val="27"/>
      <w:szCs w:val="27"/>
      <w:specVanish w:val="0"/>
    </w:rPr>
  </w:style>
  <w:style w:type="paragraph" w:customStyle="1" w:styleId="ingress">
    <w:name w:val="ingress"/>
    <w:basedOn w:val="Normal"/>
    <w:rsid w:val="00787AC5"/>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name">
    <w:name w:val="name"/>
    <w:basedOn w:val="Normal"/>
    <w:rsid w:val="00787AC5"/>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Epgrafe1">
    <w:name w:val="Epígrafe1"/>
    <w:basedOn w:val="Normal"/>
    <w:rsid w:val="00787AC5"/>
    <w:pPr>
      <w:spacing w:before="100" w:beforeAutospacing="1" w:after="240" w:line="240" w:lineRule="auto"/>
    </w:pPr>
    <w:rPr>
      <w:rFonts w:ascii="Times New Roman" w:eastAsia="Times New Roman" w:hAnsi="Times New Roman" w:cs="Times New Roman"/>
      <w:sz w:val="24"/>
      <w:szCs w:val="24"/>
      <w:lang w:eastAsia="es-ES"/>
    </w:rPr>
  </w:style>
  <w:style w:type="character" w:customStyle="1" w:styleId="cintillo">
    <w:name w:val="cintillo"/>
    <w:basedOn w:val="Fuentedeprrafopredeter"/>
    <w:rsid w:val="003E7174"/>
  </w:style>
  <w:style w:type="paragraph" w:customStyle="1" w:styleId="Default">
    <w:name w:val="Default"/>
    <w:rsid w:val="00070734"/>
    <w:pPr>
      <w:autoSpaceDE w:val="0"/>
      <w:autoSpaceDN w:val="0"/>
      <w:adjustRightInd w:val="0"/>
      <w:spacing w:after="0" w:line="240" w:lineRule="auto"/>
    </w:pPr>
    <w:rPr>
      <w:rFonts w:ascii="Arial" w:hAnsi="Arial" w:cs="Arial"/>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AA724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1019C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683E51"/>
    <w:pPr>
      <w:keepNext/>
      <w:keepLines/>
      <w:spacing w:before="200" w:after="0"/>
      <w:outlineLvl w:val="2"/>
    </w:pPr>
    <w:rPr>
      <w:rFonts w:asciiTheme="majorHAnsi" w:eastAsiaTheme="majorEastAsia" w:hAnsiTheme="majorHAnsi" w:cstheme="majorBidi"/>
      <w:b/>
      <w:bCs/>
      <w:color w:val="4F81BD" w:themeColor="accent1"/>
      <w:lang w:eastAsia="es-ES"/>
    </w:rPr>
  </w:style>
  <w:style w:type="paragraph" w:styleId="Ttulo5">
    <w:name w:val="heading 5"/>
    <w:basedOn w:val="Normal"/>
    <w:next w:val="Normal"/>
    <w:link w:val="Ttulo5Car"/>
    <w:uiPriority w:val="9"/>
    <w:semiHidden/>
    <w:unhideWhenUsed/>
    <w:qFormat/>
    <w:rsid w:val="00FE647D"/>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019C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019C7"/>
    <w:rPr>
      <w:rFonts w:ascii="Tahoma" w:hAnsi="Tahoma" w:cs="Tahoma"/>
      <w:sz w:val="16"/>
      <w:szCs w:val="16"/>
    </w:rPr>
  </w:style>
  <w:style w:type="character" w:customStyle="1" w:styleId="Ttulo2Car">
    <w:name w:val="Título 2 Car"/>
    <w:basedOn w:val="Fuentedeprrafopredeter"/>
    <w:link w:val="Ttulo2"/>
    <w:uiPriority w:val="9"/>
    <w:rsid w:val="001019C7"/>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unhideWhenUsed/>
    <w:rsid w:val="001019C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3Car">
    <w:name w:val="Título 3 Car"/>
    <w:basedOn w:val="Fuentedeprrafopredeter"/>
    <w:link w:val="Ttulo3"/>
    <w:uiPriority w:val="9"/>
    <w:rsid w:val="00683E51"/>
    <w:rPr>
      <w:rFonts w:asciiTheme="majorHAnsi" w:eastAsiaTheme="majorEastAsia" w:hAnsiTheme="majorHAnsi" w:cstheme="majorBidi"/>
      <w:b/>
      <w:bCs/>
      <w:color w:val="4F81BD" w:themeColor="accent1"/>
      <w:lang w:eastAsia="es-ES"/>
    </w:rPr>
  </w:style>
  <w:style w:type="character" w:styleId="Hipervnculo">
    <w:name w:val="Hyperlink"/>
    <w:uiPriority w:val="99"/>
    <w:unhideWhenUsed/>
    <w:rsid w:val="00683E51"/>
    <w:rPr>
      <w:color w:val="0000FF"/>
      <w:u w:val="single"/>
    </w:rPr>
  </w:style>
  <w:style w:type="character" w:styleId="nfasis">
    <w:name w:val="Emphasis"/>
    <w:uiPriority w:val="20"/>
    <w:qFormat/>
    <w:rsid w:val="00683E51"/>
    <w:rPr>
      <w:i/>
      <w:iCs/>
    </w:rPr>
  </w:style>
  <w:style w:type="character" w:styleId="Textoennegrita">
    <w:name w:val="Strong"/>
    <w:uiPriority w:val="22"/>
    <w:qFormat/>
    <w:rsid w:val="00683E51"/>
    <w:rPr>
      <w:b/>
      <w:bCs/>
    </w:rPr>
  </w:style>
  <w:style w:type="character" w:customStyle="1" w:styleId="Ttulo1Car">
    <w:name w:val="Título 1 Car"/>
    <w:basedOn w:val="Fuentedeprrafopredeter"/>
    <w:link w:val="Ttulo1"/>
    <w:uiPriority w:val="9"/>
    <w:rsid w:val="00AA7240"/>
    <w:rPr>
      <w:rFonts w:asciiTheme="majorHAnsi" w:eastAsiaTheme="majorEastAsia" w:hAnsiTheme="majorHAnsi" w:cstheme="majorBidi"/>
      <w:b/>
      <w:bCs/>
      <w:color w:val="365F91" w:themeColor="accent1" w:themeShade="BF"/>
      <w:sz w:val="28"/>
      <w:szCs w:val="28"/>
    </w:rPr>
  </w:style>
  <w:style w:type="paragraph" w:customStyle="1" w:styleId="headlinemeta">
    <w:name w:val="headline_meta"/>
    <w:basedOn w:val="Normal"/>
    <w:rsid w:val="00AA724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hor">
    <w:name w:val="author"/>
    <w:basedOn w:val="Fuentedeprrafopredeter"/>
    <w:rsid w:val="00AA7240"/>
  </w:style>
  <w:style w:type="paragraph" w:customStyle="1" w:styleId="centro-texto-notis">
    <w:name w:val="centro-texto-notis"/>
    <w:basedOn w:val="Normal"/>
    <w:rsid w:val="00AA7240"/>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firma-negra-grande-sin">
    <w:name w:val="firma-negra-grande-sin"/>
    <w:basedOn w:val="Fuentedeprrafopredeter"/>
    <w:rsid w:val="00AA7240"/>
  </w:style>
  <w:style w:type="paragraph" w:customStyle="1" w:styleId="figcaption">
    <w:name w:val="figcaption"/>
    <w:basedOn w:val="Normal"/>
    <w:rsid w:val="00AA7240"/>
    <w:pPr>
      <w:spacing w:after="0" w:line="240" w:lineRule="auto"/>
    </w:pPr>
    <w:rPr>
      <w:rFonts w:ascii="Times New Roman" w:eastAsia="Times New Roman" w:hAnsi="Times New Roman" w:cs="Times New Roman"/>
      <w:sz w:val="24"/>
      <w:szCs w:val="24"/>
      <w:lang w:eastAsia="es-ES"/>
    </w:rPr>
  </w:style>
  <w:style w:type="character" w:customStyle="1" w:styleId="firma">
    <w:name w:val="firma"/>
    <w:basedOn w:val="Fuentedeprrafopredeter"/>
    <w:rsid w:val="00B72735"/>
  </w:style>
  <w:style w:type="character" w:customStyle="1" w:styleId="firma-negra-grande">
    <w:name w:val="firma-negra-grande"/>
    <w:basedOn w:val="Fuentedeprrafopredeter"/>
    <w:rsid w:val="00B72735"/>
  </w:style>
  <w:style w:type="paragraph" w:customStyle="1" w:styleId="centro-texto-opinion">
    <w:name w:val="centro-texto-opinion"/>
    <w:basedOn w:val="Normal"/>
    <w:rsid w:val="00B72735"/>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hora-publi">
    <w:name w:val="hora-publi"/>
    <w:basedOn w:val="Fuentedeprrafopredeter"/>
    <w:rsid w:val="001005DB"/>
  </w:style>
  <w:style w:type="paragraph" w:customStyle="1" w:styleId="wp-caption-text">
    <w:name w:val="wp-caption-text"/>
    <w:basedOn w:val="Normal"/>
    <w:rsid w:val="00F7783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utor2">
    <w:name w:val="autor2"/>
    <w:rsid w:val="00015ED8"/>
    <w:rPr>
      <w:b/>
      <w:bCs/>
      <w:i w:val="0"/>
      <w:iCs w:val="0"/>
      <w:color w:val="AAAAAA"/>
    </w:rPr>
  </w:style>
  <w:style w:type="paragraph" w:customStyle="1" w:styleId="entradilla1">
    <w:name w:val="entradilla1"/>
    <w:basedOn w:val="Normal"/>
    <w:rsid w:val="00015ED8"/>
    <w:pPr>
      <w:spacing w:before="150" w:after="100" w:afterAutospacing="1" w:line="300" w:lineRule="atLeast"/>
    </w:pPr>
    <w:rPr>
      <w:rFonts w:ascii="Arial" w:eastAsia="Times New Roman" w:hAnsi="Arial" w:cs="Arial"/>
      <w:b/>
      <w:bCs/>
      <w:color w:val="666666"/>
      <w:sz w:val="21"/>
      <w:szCs w:val="21"/>
      <w:lang w:eastAsia="es-ES"/>
    </w:rPr>
  </w:style>
  <w:style w:type="character" w:customStyle="1" w:styleId="firma7">
    <w:name w:val="firma7"/>
    <w:basedOn w:val="Fuentedeprrafopredeter"/>
    <w:rsid w:val="00FA4301"/>
  </w:style>
  <w:style w:type="character" w:customStyle="1" w:styleId="autor11">
    <w:name w:val="autor11"/>
    <w:basedOn w:val="Fuentedeprrafopredeter"/>
    <w:rsid w:val="00FA4301"/>
  </w:style>
  <w:style w:type="paragraph" w:customStyle="1" w:styleId="textogrande4">
    <w:name w:val="texto_grande4"/>
    <w:basedOn w:val="Normal"/>
    <w:rsid w:val="00FA4301"/>
    <w:pPr>
      <w:spacing w:after="0" w:line="420" w:lineRule="atLeast"/>
    </w:pPr>
    <w:rPr>
      <w:rFonts w:ascii="Georgia" w:eastAsia="Times New Roman" w:hAnsi="Georgia" w:cs="Times New Roman"/>
      <w:spacing w:val="-15"/>
      <w:sz w:val="30"/>
      <w:szCs w:val="30"/>
      <w:lang w:eastAsia="es-ES"/>
    </w:rPr>
  </w:style>
  <w:style w:type="character" w:customStyle="1" w:styleId="contenido77">
    <w:name w:val="contenido77"/>
    <w:basedOn w:val="Fuentedeprrafopredeter"/>
    <w:rsid w:val="00FA4301"/>
  </w:style>
  <w:style w:type="character" w:customStyle="1" w:styleId="ampliarfoto1">
    <w:name w:val="ampliar_foto1"/>
    <w:basedOn w:val="Fuentedeprrafopredeter"/>
    <w:rsid w:val="00FA4301"/>
    <w:rPr>
      <w:vanish w:val="0"/>
      <w:webHidden w:val="0"/>
      <w:shd w:val="clear" w:color="auto" w:fill="333333"/>
      <w:specVanish w:val="0"/>
    </w:rPr>
  </w:style>
  <w:style w:type="character" w:customStyle="1" w:styleId="contenido-apoyo">
    <w:name w:val="contenido-apoyo"/>
    <w:basedOn w:val="Fuentedeprrafopredeter"/>
    <w:rsid w:val="00F41CBE"/>
  </w:style>
  <w:style w:type="paragraph" w:styleId="Prrafodelista">
    <w:name w:val="List Paragraph"/>
    <w:basedOn w:val="Normal"/>
    <w:uiPriority w:val="34"/>
    <w:qFormat/>
    <w:rsid w:val="003B0D17"/>
    <w:pPr>
      <w:ind w:left="720"/>
      <w:contextualSpacing/>
    </w:pPr>
  </w:style>
  <w:style w:type="character" w:customStyle="1" w:styleId="Ttulo5Car">
    <w:name w:val="Título 5 Car"/>
    <w:basedOn w:val="Fuentedeprrafopredeter"/>
    <w:link w:val="Ttulo5"/>
    <w:uiPriority w:val="9"/>
    <w:semiHidden/>
    <w:rsid w:val="00FE647D"/>
    <w:rPr>
      <w:rFonts w:asciiTheme="majorHAnsi" w:eastAsiaTheme="majorEastAsia" w:hAnsiTheme="majorHAnsi" w:cstheme="majorBidi"/>
      <w:color w:val="243F60" w:themeColor="accent1" w:themeShade="7F"/>
    </w:rPr>
  </w:style>
  <w:style w:type="paragraph" w:customStyle="1" w:styleId="Estndar">
    <w:name w:val="Estándar"/>
    <w:rsid w:val="00164F4F"/>
    <w:pPr>
      <w:spacing w:after="0" w:line="240" w:lineRule="auto"/>
    </w:pPr>
    <w:rPr>
      <w:rFonts w:ascii="Times New Roman" w:eastAsia="Times New Roman" w:hAnsi="Times New Roman" w:cs="Times New Roman"/>
      <w:color w:val="000000"/>
      <w:sz w:val="24"/>
      <w:szCs w:val="20"/>
      <w:lang w:val="es-ES_tradnl" w:eastAsia="es-ES"/>
    </w:rPr>
  </w:style>
  <w:style w:type="character" w:customStyle="1" w:styleId="transparent">
    <w:name w:val="transparent"/>
    <w:basedOn w:val="Fuentedeprrafopredeter"/>
    <w:rsid w:val="002C64B3"/>
  </w:style>
  <w:style w:type="character" w:customStyle="1" w:styleId="titulo21">
    <w:name w:val="titulo21"/>
    <w:basedOn w:val="Fuentedeprrafopredeter"/>
    <w:rsid w:val="00A55FE1"/>
    <w:rPr>
      <w:b/>
      <w:bCs/>
      <w:strike w:val="0"/>
      <w:dstrike w:val="0"/>
      <w:color w:val="000000"/>
      <w:sz w:val="41"/>
      <w:szCs w:val="41"/>
      <w:u w:val="none"/>
      <w:effect w:val="none"/>
    </w:rPr>
  </w:style>
  <w:style w:type="paragraph" w:customStyle="1" w:styleId="entradilla2">
    <w:name w:val="entradilla2"/>
    <w:basedOn w:val="Normal"/>
    <w:rsid w:val="00A55FE1"/>
    <w:pPr>
      <w:spacing w:before="100" w:beforeAutospacing="1" w:after="100" w:afterAutospacing="1" w:line="330" w:lineRule="atLeast"/>
    </w:pPr>
    <w:rPr>
      <w:rFonts w:ascii="Times New Roman" w:eastAsia="Times New Roman" w:hAnsi="Times New Roman" w:cs="Times New Roman"/>
      <w:color w:val="333333"/>
      <w:sz w:val="23"/>
      <w:szCs w:val="23"/>
      <w:lang w:eastAsia="es-ES"/>
    </w:rPr>
  </w:style>
  <w:style w:type="character" w:customStyle="1" w:styleId="ladillo2">
    <w:name w:val="ladillo2"/>
    <w:basedOn w:val="Fuentedeprrafopredeter"/>
    <w:rsid w:val="00A55FE1"/>
    <w:rPr>
      <w:b/>
      <w:bCs/>
      <w:vanish w:val="0"/>
      <w:webHidden w:val="0"/>
      <w:color w:val="333333"/>
      <w:sz w:val="27"/>
      <w:szCs w:val="27"/>
      <w:specVanish w:val="0"/>
    </w:rPr>
  </w:style>
  <w:style w:type="paragraph" w:customStyle="1" w:styleId="ingress">
    <w:name w:val="ingress"/>
    <w:basedOn w:val="Normal"/>
    <w:rsid w:val="00787AC5"/>
    <w:pPr>
      <w:spacing w:before="100" w:beforeAutospacing="1" w:after="240" w:line="240" w:lineRule="auto"/>
    </w:pPr>
    <w:rPr>
      <w:rFonts w:ascii="Times New Roman" w:eastAsia="Times New Roman" w:hAnsi="Times New Roman" w:cs="Times New Roman"/>
      <w:b/>
      <w:bCs/>
      <w:sz w:val="24"/>
      <w:szCs w:val="24"/>
      <w:lang w:eastAsia="es-ES"/>
    </w:rPr>
  </w:style>
  <w:style w:type="paragraph" w:customStyle="1" w:styleId="name">
    <w:name w:val="name"/>
    <w:basedOn w:val="Normal"/>
    <w:rsid w:val="00787AC5"/>
    <w:pPr>
      <w:spacing w:before="100" w:beforeAutospacing="1" w:after="240" w:line="240" w:lineRule="auto"/>
    </w:pPr>
    <w:rPr>
      <w:rFonts w:ascii="Times New Roman" w:eastAsia="Times New Roman" w:hAnsi="Times New Roman" w:cs="Times New Roman"/>
      <w:sz w:val="24"/>
      <w:szCs w:val="24"/>
      <w:lang w:eastAsia="es-ES"/>
    </w:rPr>
  </w:style>
  <w:style w:type="paragraph" w:customStyle="1" w:styleId="Epgrafe1">
    <w:name w:val="Epígrafe1"/>
    <w:basedOn w:val="Normal"/>
    <w:rsid w:val="00787AC5"/>
    <w:pPr>
      <w:spacing w:before="100" w:beforeAutospacing="1" w:after="240" w:line="240" w:lineRule="auto"/>
    </w:pPr>
    <w:rPr>
      <w:rFonts w:ascii="Times New Roman" w:eastAsia="Times New Roman" w:hAnsi="Times New Roman" w:cs="Times New Roman"/>
      <w:sz w:val="24"/>
      <w:szCs w:val="24"/>
      <w:lang w:eastAsia="es-ES"/>
    </w:rPr>
  </w:style>
  <w:style w:type="character" w:customStyle="1" w:styleId="cintillo">
    <w:name w:val="cintillo"/>
    <w:basedOn w:val="Fuentedeprrafopredeter"/>
    <w:rsid w:val="003E7174"/>
  </w:style>
  <w:style w:type="paragraph" w:customStyle="1" w:styleId="Default">
    <w:name w:val="Default"/>
    <w:rsid w:val="00070734"/>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78810828">
      <w:bodyDiv w:val="1"/>
      <w:marLeft w:val="0"/>
      <w:marRight w:val="0"/>
      <w:marTop w:val="0"/>
      <w:marBottom w:val="0"/>
      <w:divBdr>
        <w:top w:val="none" w:sz="0" w:space="0" w:color="auto"/>
        <w:left w:val="none" w:sz="0" w:space="0" w:color="auto"/>
        <w:bottom w:val="none" w:sz="0" w:space="0" w:color="auto"/>
        <w:right w:val="none" w:sz="0" w:space="0" w:color="auto"/>
      </w:divBdr>
      <w:divsChild>
        <w:div w:id="1189181640">
          <w:marLeft w:val="0"/>
          <w:marRight w:val="0"/>
          <w:marTop w:val="0"/>
          <w:marBottom w:val="0"/>
          <w:divBdr>
            <w:top w:val="none" w:sz="0" w:space="0" w:color="auto"/>
            <w:left w:val="none" w:sz="0" w:space="0" w:color="auto"/>
            <w:bottom w:val="none" w:sz="0" w:space="0" w:color="auto"/>
            <w:right w:val="none" w:sz="0" w:space="0" w:color="auto"/>
          </w:divBdr>
          <w:divsChild>
            <w:div w:id="963271661">
              <w:marLeft w:val="0"/>
              <w:marRight w:val="0"/>
              <w:marTop w:val="0"/>
              <w:marBottom w:val="0"/>
              <w:divBdr>
                <w:top w:val="none" w:sz="0" w:space="0" w:color="auto"/>
                <w:left w:val="none" w:sz="0" w:space="0" w:color="auto"/>
                <w:bottom w:val="none" w:sz="0" w:space="0" w:color="auto"/>
                <w:right w:val="none" w:sz="0" w:space="0" w:color="auto"/>
              </w:divBdr>
              <w:divsChild>
                <w:div w:id="593251191">
                  <w:marLeft w:val="0"/>
                  <w:marRight w:val="0"/>
                  <w:marTop w:val="0"/>
                  <w:marBottom w:val="0"/>
                  <w:divBdr>
                    <w:top w:val="none" w:sz="0" w:space="0" w:color="auto"/>
                    <w:left w:val="none" w:sz="0" w:space="0" w:color="auto"/>
                    <w:bottom w:val="none" w:sz="0" w:space="0" w:color="auto"/>
                    <w:right w:val="none" w:sz="0" w:space="0" w:color="auto"/>
                  </w:divBdr>
                  <w:divsChild>
                    <w:div w:id="530845684">
                      <w:marLeft w:val="0"/>
                      <w:marRight w:val="0"/>
                      <w:marTop w:val="0"/>
                      <w:marBottom w:val="0"/>
                      <w:divBdr>
                        <w:top w:val="none" w:sz="0" w:space="0" w:color="auto"/>
                        <w:left w:val="none" w:sz="0" w:space="0" w:color="auto"/>
                        <w:bottom w:val="none" w:sz="0" w:space="0" w:color="auto"/>
                        <w:right w:val="none" w:sz="0" w:space="0" w:color="auto"/>
                      </w:divBdr>
                      <w:divsChild>
                        <w:div w:id="555970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5624615">
      <w:bodyDiv w:val="1"/>
      <w:marLeft w:val="0"/>
      <w:marRight w:val="0"/>
      <w:marTop w:val="0"/>
      <w:marBottom w:val="0"/>
      <w:divBdr>
        <w:top w:val="none" w:sz="0" w:space="0" w:color="auto"/>
        <w:left w:val="none" w:sz="0" w:space="0" w:color="auto"/>
        <w:bottom w:val="none" w:sz="0" w:space="0" w:color="auto"/>
        <w:right w:val="none" w:sz="0" w:space="0" w:color="auto"/>
      </w:divBdr>
      <w:divsChild>
        <w:div w:id="506988416">
          <w:marLeft w:val="0"/>
          <w:marRight w:val="0"/>
          <w:marTop w:val="0"/>
          <w:marBottom w:val="0"/>
          <w:divBdr>
            <w:top w:val="none" w:sz="0" w:space="0" w:color="auto"/>
            <w:left w:val="none" w:sz="0" w:space="0" w:color="auto"/>
            <w:bottom w:val="none" w:sz="0" w:space="0" w:color="auto"/>
            <w:right w:val="none" w:sz="0" w:space="0" w:color="auto"/>
          </w:divBdr>
          <w:divsChild>
            <w:div w:id="324550134">
              <w:marLeft w:val="0"/>
              <w:marRight w:val="0"/>
              <w:marTop w:val="0"/>
              <w:marBottom w:val="0"/>
              <w:divBdr>
                <w:top w:val="none" w:sz="0" w:space="0" w:color="auto"/>
                <w:left w:val="none" w:sz="0" w:space="0" w:color="auto"/>
                <w:bottom w:val="none" w:sz="0" w:space="0" w:color="auto"/>
                <w:right w:val="none" w:sz="0" w:space="0" w:color="auto"/>
              </w:divBdr>
              <w:divsChild>
                <w:div w:id="492917746">
                  <w:marLeft w:val="0"/>
                  <w:marRight w:val="0"/>
                  <w:marTop w:val="0"/>
                  <w:marBottom w:val="0"/>
                  <w:divBdr>
                    <w:top w:val="none" w:sz="0" w:space="0" w:color="auto"/>
                    <w:left w:val="none" w:sz="0" w:space="0" w:color="auto"/>
                    <w:bottom w:val="none" w:sz="0" w:space="0" w:color="auto"/>
                    <w:right w:val="none" w:sz="0" w:space="0" w:color="auto"/>
                  </w:divBdr>
                  <w:divsChild>
                    <w:div w:id="13900301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thersa.org/" TargetMode="External"/><Relationship Id="rId671" Type="http://schemas.openxmlformats.org/officeDocument/2006/relationships/hyperlink" Target="http://www.libremercado.com/2013-09-02/las-pensiones-no-estaran-ligadas-al-ipc-a-partir-de-2019-1276498460/" TargetMode="External"/><Relationship Id="rId21" Type="http://schemas.openxmlformats.org/officeDocument/2006/relationships/image" Target="media/image16.jpeg"/><Relationship Id="rId324" Type="http://schemas.openxmlformats.org/officeDocument/2006/relationships/hyperlink" Target="http://www.fedeablogs.net/economia/wp-content/uploads/nadaesg1.png" TargetMode="External"/><Relationship Id="rId531" Type="http://schemas.openxmlformats.org/officeDocument/2006/relationships/hyperlink" Target="http://es.wikipedia.org/wiki/Teor%C3%ADa_del_equilibrio_general" TargetMode="External"/><Relationship Id="rId629" Type="http://schemas.openxmlformats.org/officeDocument/2006/relationships/image" Target="media/image166.png"/><Relationship Id="rId170" Type="http://schemas.openxmlformats.org/officeDocument/2006/relationships/hyperlink" Target="http://www.cnbc.com/id/48148304/Student_Debt_Americarsquos_1_Trillion_Time_Bomb" TargetMode="External"/><Relationship Id="rId268" Type="http://schemas.openxmlformats.org/officeDocument/2006/relationships/image" Target="media/image80.jpeg"/><Relationship Id="rId475" Type="http://schemas.openxmlformats.org/officeDocument/2006/relationships/hyperlink" Target="http://diegosanchezdelacruz.wordpress.com/2013/06/25/gestion-de-la-sanidad-en-espana-menos-demagogia-por-favor/" TargetMode="External"/><Relationship Id="rId682" Type="http://schemas.openxmlformats.org/officeDocument/2006/relationships/hyperlink" Target="http://www.libremercado.com/2013-09-03/banez-anuncia-dos-recortes-a-las-pensiones-para-salvar-la-sostenibilidad-del-sistema-1276498476/" TargetMode="External"/><Relationship Id="rId32" Type="http://schemas.openxmlformats.org/officeDocument/2006/relationships/hyperlink" Target="http://www.libremercado.com/2013-02-17/el-milagro-que-llego-del-frio-por-que-los-nordicos-estan-de-moda-1276482449/" TargetMode="External"/><Relationship Id="rId128" Type="http://schemas.openxmlformats.org/officeDocument/2006/relationships/hyperlink" Target="http://www.fedeablogs.net/economia/wp-content/uploads/sin-excusas-2.jpg" TargetMode="External"/><Relationship Id="rId335" Type="http://schemas.openxmlformats.org/officeDocument/2006/relationships/image" Target="media/image95.png"/><Relationship Id="rId542" Type="http://schemas.openxmlformats.org/officeDocument/2006/relationships/hyperlink" Target="http://www.elconfidencial.com/economia/2012/06/04/moncloa-estudia-ya-recortes-en-las-pensiones-y-alargar-de-nuevo-la-edad-de-jubilacion-99281/" TargetMode="External"/><Relationship Id="rId181" Type="http://schemas.openxmlformats.org/officeDocument/2006/relationships/hyperlink" Target="http://www.libremercado.com/2011-10-18/los-profesores-vagos-no-pueden-ganar-lo-mismo-que-los-que-trabajan-bien-1276438418/" TargetMode="External"/><Relationship Id="rId402" Type="http://schemas.openxmlformats.org/officeDocument/2006/relationships/hyperlink" Target="http://www.san.gva.es/cas/prof/dgf/farmacia/figuraazul.htm" TargetMode="External"/><Relationship Id="rId279" Type="http://schemas.openxmlformats.org/officeDocument/2006/relationships/hyperlink" Target="http://www.fedeablogs.net/economia/wp-content/uploads/cbeee7.jpg" TargetMode="External"/><Relationship Id="rId486" Type="http://schemas.openxmlformats.org/officeDocument/2006/relationships/hyperlink" Target="http://www.abc.es/cultura/musica/20130625/abci-teatro-real-tiene-deficit-201306252020.html" TargetMode="External"/><Relationship Id="rId43" Type="http://schemas.openxmlformats.org/officeDocument/2006/relationships/hyperlink" Target="http://s.libertaddigital.com/fotos/noticias/CONTR01.jpg" TargetMode="External"/><Relationship Id="rId139" Type="http://schemas.openxmlformats.org/officeDocument/2006/relationships/hyperlink" Target="http://www.fedeablogs.net/economia/?p=19999" TargetMode="External"/><Relationship Id="rId346" Type="http://schemas.openxmlformats.org/officeDocument/2006/relationships/hyperlink" Target="http://www.fedeablogs.net/economia/?p=33217" TargetMode="External"/><Relationship Id="rId553" Type="http://schemas.openxmlformats.org/officeDocument/2006/relationships/hyperlink" Target="http://www.elconfidencial.com/alma-corazon-vida/2012/05/23/el-vicepresidente-de-la-onu-que-quiere-ocupar-y-nacionalizar--la-banca-98503/" TargetMode="External"/><Relationship Id="rId192" Type="http://schemas.openxmlformats.org/officeDocument/2006/relationships/hyperlink" Target="http://www.libremercado.com/2012-04-14/funcionarios-una-fuerza-laboral-de-elite-con-los-peores-incentivos-1276455718/" TargetMode="External"/><Relationship Id="rId206" Type="http://schemas.openxmlformats.org/officeDocument/2006/relationships/image" Target="media/image65.jpeg"/><Relationship Id="rId413" Type="http://schemas.openxmlformats.org/officeDocument/2006/relationships/hyperlink" Target="http://www.mecd.gob.es/inee/" TargetMode="External"/><Relationship Id="rId497" Type="http://schemas.openxmlformats.org/officeDocument/2006/relationships/hyperlink" Target="http://www.lamoncloa.gob.es/ConsejodeMinistros/Referencias/_2013/refc20130920.htm" TargetMode="External"/><Relationship Id="rId620" Type="http://schemas.openxmlformats.org/officeDocument/2006/relationships/hyperlink" Target="http://www.fedeablogs.net/economia/?attachment_id=28889" TargetMode="External"/><Relationship Id="rId357" Type="http://schemas.openxmlformats.org/officeDocument/2006/relationships/hyperlink" Target="http://www.funcionpublica.gob.mx/index.php/ua/ssfp/el-tramite-mas-inutil.html" TargetMode="External"/><Relationship Id="rId54" Type="http://schemas.openxmlformats.org/officeDocument/2006/relationships/hyperlink" Target="http://www.invertia.com/noticias/articulo-final.asp?idNoticia=2842577&amp;strGoo=asesores-merkel-reclaman-espana-impuesto-vivienda&amp;" TargetMode="External"/><Relationship Id="rId217" Type="http://schemas.openxmlformats.org/officeDocument/2006/relationships/hyperlink" Target="http://s.libertaddigital.com/fotos/noticias/ocde_educacion_graf_2.jpg" TargetMode="External"/><Relationship Id="rId564" Type="http://schemas.openxmlformats.org/officeDocument/2006/relationships/image" Target="media/image147.jpeg"/><Relationship Id="rId424" Type="http://schemas.openxmlformats.org/officeDocument/2006/relationships/hyperlink" Target="http://www.econ.upf.edu/~puig/publicacions/Any2010/EJHErecom2010.pdf" TargetMode="External"/><Relationship Id="rId631" Type="http://schemas.openxmlformats.org/officeDocument/2006/relationships/hyperlink" Target="javascript:void(0);" TargetMode="External"/><Relationship Id="rId270" Type="http://schemas.openxmlformats.org/officeDocument/2006/relationships/hyperlink" Target="http://en.wikipedia.org/wiki/No_Child_Left_Behind_Act" TargetMode="External"/><Relationship Id="rId65" Type="http://schemas.openxmlformats.org/officeDocument/2006/relationships/hyperlink" Target="http://isihighlycited.com/" TargetMode="External"/><Relationship Id="rId130" Type="http://schemas.openxmlformats.org/officeDocument/2006/relationships/hyperlink" Target="http://www.fedeablogs.net/economia/wp-content/uploads/sin-excusas-3.jpg" TargetMode="External"/><Relationship Id="rId368" Type="http://schemas.openxmlformats.org/officeDocument/2006/relationships/image" Target="media/image111.png"/><Relationship Id="rId575" Type="http://schemas.openxmlformats.org/officeDocument/2006/relationships/hyperlink" Target="http://www.unespa.es/frontend/unespa/Pensiones-Mas-Justas-Y-Sostenibles-vn3137-vst211" TargetMode="External"/><Relationship Id="rId228" Type="http://schemas.openxmlformats.org/officeDocument/2006/relationships/image" Target="media/image72.jpeg"/><Relationship Id="rId435" Type="http://schemas.openxmlformats.org/officeDocument/2006/relationships/hyperlink" Target="https://download.nap.edu/catalog.php?record_id=13150" TargetMode="External"/><Relationship Id="rId642" Type="http://schemas.openxmlformats.org/officeDocument/2006/relationships/hyperlink" Target="http://www.libremercado.com/2013-06-07/las-futuras-pensiones-bajaran-en-funcion-de-la-esperanza-de-vida-1276492297/" TargetMode="External"/><Relationship Id="rId281" Type="http://schemas.openxmlformats.org/officeDocument/2006/relationships/hyperlink" Target="http://www.teachforamerica.org/" TargetMode="External"/><Relationship Id="rId502" Type="http://schemas.openxmlformats.org/officeDocument/2006/relationships/hyperlink" Target="http://www.fedeablogs.net/economia/?p=27263" TargetMode="External"/><Relationship Id="rId76" Type="http://schemas.openxmlformats.org/officeDocument/2006/relationships/hyperlink" Target="http://www.rae.ac.uk/" TargetMode="External"/><Relationship Id="rId141" Type="http://schemas.openxmlformats.org/officeDocument/2006/relationships/image" Target="media/image56.png"/><Relationship Id="rId379" Type="http://schemas.openxmlformats.org/officeDocument/2006/relationships/image" Target="media/image118.jpeg"/><Relationship Id="rId586" Type="http://schemas.openxmlformats.org/officeDocument/2006/relationships/hyperlink" Target="http://www.libremercado.com/2011-06-07/las-diez-claves-que-los-espanoles-desconocen-sobre-sus-pensiones-1276425801/" TargetMode="External"/><Relationship Id="rId7" Type="http://schemas.openxmlformats.org/officeDocument/2006/relationships/image" Target="media/image2.jpeg"/><Relationship Id="rId239" Type="http://schemas.openxmlformats.org/officeDocument/2006/relationships/hyperlink" Target="http://epp.eurostat.ec.europa.eu/portal/page/portal/eurostat/home/" TargetMode="External"/><Relationship Id="rId446" Type="http://schemas.openxmlformats.org/officeDocument/2006/relationships/image" Target="media/image127.jpeg"/><Relationship Id="rId653" Type="http://schemas.openxmlformats.org/officeDocument/2006/relationships/hyperlink" Target="http://www.ine.es/daco/daco42/daco4218/ipce0813.pdf" TargetMode="External"/><Relationship Id="rId292" Type="http://schemas.openxmlformats.org/officeDocument/2006/relationships/hyperlink" Target="http://www.mecd.gob.es/inee/PIAAC_ONLINE.html" TargetMode="External"/><Relationship Id="rId306" Type="http://schemas.openxmlformats.org/officeDocument/2006/relationships/hyperlink" Target="http://www.oecd.org/site/piaac/" TargetMode="External"/><Relationship Id="rId87" Type="http://schemas.openxmlformats.org/officeDocument/2006/relationships/hyperlink" Target="http://www.fedeablogs.net/economia/wp-content/uploads/graficos-universidad-5.jpg" TargetMode="External"/><Relationship Id="rId513" Type="http://schemas.openxmlformats.org/officeDocument/2006/relationships/hyperlink" Target="http://www.msssi.gob.es/organizacion/sns/" TargetMode="External"/><Relationship Id="rId597" Type="http://schemas.openxmlformats.org/officeDocument/2006/relationships/hyperlink" Target="http://www.diva-portal.org/smash/get/diva2:621560/FULLTEXT01.pdf" TargetMode="External"/><Relationship Id="rId152" Type="http://schemas.openxmlformats.org/officeDocument/2006/relationships/hyperlink" Target="http://www.fedeablogs.net/economia/?p=9891" TargetMode="External"/><Relationship Id="rId457" Type="http://schemas.openxmlformats.org/officeDocument/2006/relationships/hyperlink" Target="http://elpais.com/diario/2002/12/16/madrid/1040041460_850215.html" TargetMode="External"/><Relationship Id="rId664" Type="http://schemas.openxmlformats.org/officeDocument/2006/relationships/image" Target="media/image176.png"/><Relationship Id="rId14" Type="http://schemas.openxmlformats.org/officeDocument/2006/relationships/image" Target="media/image9.jpeg"/><Relationship Id="rId317" Type="http://schemas.openxmlformats.org/officeDocument/2006/relationships/hyperlink" Target="http://www.mecd.gob.es/dctm/inee/internacional/piaac/piaac2013vol2.pdf?documentId=0901e72b81736785" TargetMode="External"/><Relationship Id="rId524" Type="http://schemas.openxmlformats.org/officeDocument/2006/relationships/hyperlink" Target="http://www.cun.es/la-clinica/noticia/chequeos-detectan-patologias-diversa-indole-90-personas-evaluadas" TargetMode="External"/><Relationship Id="rId98" Type="http://schemas.openxmlformats.org/officeDocument/2006/relationships/hyperlink" Target="http://en.wikipedia.org/wiki/Waldorf_school" TargetMode="External"/><Relationship Id="rId163" Type="http://schemas.openxmlformats.org/officeDocument/2006/relationships/hyperlink" Target="http://www.learnliberty.org/videos/why-is-higher-education-so-expensive" TargetMode="External"/><Relationship Id="rId370" Type="http://schemas.openxmlformats.org/officeDocument/2006/relationships/image" Target="media/image112.png"/><Relationship Id="rId230" Type="http://schemas.openxmlformats.org/officeDocument/2006/relationships/image" Target="media/image73.jpeg"/><Relationship Id="rId468" Type="http://schemas.openxmlformats.org/officeDocument/2006/relationships/hyperlink" Target="http://www.capitalpartners.es/" TargetMode="External"/><Relationship Id="rId675" Type="http://schemas.openxmlformats.org/officeDocument/2006/relationships/hyperlink" Target="http://www.libremercado.com/2013-09-13/cuatro-claves-sobre-su-futura-pension-que-banez-nunca-le-contara-1276499367/importantes%20planes%20de%20pensiones" TargetMode="External"/><Relationship Id="rId25" Type="http://schemas.openxmlformats.org/officeDocument/2006/relationships/image" Target="media/image20.jpeg"/><Relationship Id="rId328" Type="http://schemas.openxmlformats.org/officeDocument/2006/relationships/hyperlink" Target="http://www.bde.es/investigador/staff/32.htm" TargetMode="External"/><Relationship Id="rId535" Type="http://schemas.openxmlformats.org/officeDocument/2006/relationships/hyperlink" Target="http://www.intereconomia.com/noticias-gaceta/sociedad/eutanasia-belgica-o-que-por-venir-20131003" TargetMode="External"/><Relationship Id="rId174" Type="http://schemas.openxmlformats.org/officeDocument/2006/relationships/hyperlink" Target="http://diego-sanchez-de-la-cruz.libremercado.com/2012/06/20/peter-thiel/" TargetMode="External"/><Relationship Id="rId381" Type="http://schemas.openxmlformats.org/officeDocument/2006/relationships/hyperlink" Target="http://whqlibdoc.who.int/publications/2012/9789241503181_eng.pdf" TargetMode="External"/><Relationship Id="rId602" Type="http://schemas.openxmlformats.org/officeDocument/2006/relationships/image" Target="media/image152.jpeg"/><Relationship Id="rId241" Type="http://schemas.openxmlformats.org/officeDocument/2006/relationships/image" Target="media/image75.jpeg"/><Relationship Id="rId479" Type="http://schemas.openxmlformats.org/officeDocument/2006/relationships/hyperlink" Target="http://www.libremercado.com/2013-06-24/el-gobierno-creara-un-sinfin-de-comites-para-limitar-las-duplicidades-autonomicas-1276493695/" TargetMode="External"/><Relationship Id="rId686" Type="http://schemas.openxmlformats.org/officeDocument/2006/relationships/fontTable" Target="fontTable.xml"/><Relationship Id="rId36" Type="http://schemas.openxmlformats.org/officeDocument/2006/relationships/hyperlink" Target="http://www.libremercado.com/2013-01-15/el-esfuerzo-fiscal-en-espana-es-el-mas-alto-de-la-eurozona-1276479317/" TargetMode="External"/><Relationship Id="rId339" Type="http://schemas.openxmlformats.org/officeDocument/2006/relationships/hyperlink" Target="http://www.fedeablogs.net/economia/wp-content/uploads/nada15.5.png" TargetMode="External"/><Relationship Id="rId546" Type="http://schemas.openxmlformats.org/officeDocument/2006/relationships/hyperlink" Target="http://mainlymacro.blogspot.co.uk/2012/05/government-debt-and-burden-on-future.html" TargetMode="External"/><Relationship Id="rId101" Type="http://schemas.openxmlformats.org/officeDocument/2006/relationships/hyperlink" Target="http://educac.tripod.com/legislac/logse.htm" TargetMode="External"/><Relationship Id="rId185" Type="http://schemas.openxmlformats.org/officeDocument/2006/relationships/hyperlink" Target="http://www.oecd.org/pisa/pisaproducts/48852721.pdf" TargetMode="External"/><Relationship Id="rId406" Type="http://schemas.openxmlformats.org/officeDocument/2006/relationships/hyperlink" Target="http://www.fedeablogs.net/economia/?author=27" TargetMode="External"/><Relationship Id="rId392" Type="http://schemas.openxmlformats.org/officeDocument/2006/relationships/image" Target="media/image122.jpeg"/><Relationship Id="rId613" Type="http://schemas.openxmlformats.org/officeDocument/2006/relationships/image" Target="media/image157.png"/><Relationship Id="rId252" Type="http://schemas.openxmlformats.org/officeDocument/2006/relationships/hyperlink" Target="http://www.libertaddigital.com/internacional/europa/2013-10-04/sabado-que-tiene-el-modelo-educativo-finlandes-que-no-tiene-el-espanol-1276501044/" TargetMode="External"/><Relationship Id="rId47" Type="http://schemas.openxmlformats.org/officeDocument/2006/relationships/hyperlink" Target="http://www.libremercado.com/2013-09-16/espana-registra-el-mayor-volumen-de-deuda-publica-desde-1909-1276499479/" TargetMode="External"/><Relationship Id="rId112" Type="http://schemas.openxmlformats.org/officeDocument/2006/relationships/hyperlink" Target="http://www.elconfidencial.com/mundo/2012/04/01/la-nueva-burbuja-del-credito-en-estados-unidos-esta-en-las-aulas-de-las-universidades-95343/" TargetMode="External"/><Relationship Id="rId557" Type="http://schemas.openxmlformats.org/officeDocument/2006/relationships/image" Target="media/image144.jpeg"/><Relationship Id="rId196" Type="http://schemas.openxmlformats.org/officeDocument/2006/relationships/hyperlink" Target="http://ftp.iza.org/dp5101.pdf" TargetMode="External"/><Relationship Id="rId417" Type="http://schemas.openxmlformats.org/officeDocument/2006/relationships/hyperlink" Target="http://www.fedeablogs.net/economia/www.upf.edu/cres/en/" TargetMode="External"/><Relationship Id="rId624" Type="http://schemas.openxmlformats.org/officeDocument/2006/relationships/hyperlink" Target="http://www.fedeablogs.net/economia/?attachment_id=28841" TargetMode="External"/><Relationship Id="rId263" Type="http://schemas.openxmlformats.org/officeDocument/2006/relationships/hyperlink" Target="http://www.fedeablogs.net/economia/?author=10" TargetMode="External"/><Relationship Id="rId470" Type="http://schemas.openxmlformats.org/officeDocument/2006/relationships/hyperlink" Target="http://sites.nationalacademies.org/xpedio/idcplg?IdcService=GET_FILE&amp;dDocName=DBASSE_080620&amp;RevisionSelectionMethod=Latest" TargetMode="External"/><Relationship Id="rId58" Type="http://schemas.openxmlformats.org/officeDocument/2006/relationships/hyperlink" Target="http://www.fedeablogs.net/economia/wp-content/uploads/graficos_post_video_game_def-2.jpg" TargetMode="External"/><Relationship Id="rId123" Type="http://schemas.openxmlformats.org/officeDocument/2006/relationships/hyperlink" Target="http://www.fedeablogs.net/economia/?p=11066" TargetMode="External"/><Relationship Id="rId330" Type="http://schemas.openxmlformats.org/officeDocument/2006/relationships/hyperlink" Target="http://www.mecd.gob.es/dctm/inee/internacional/piaac/piaac2013vol2.pdf?documentId=0901e72b81736785" TargetMode="External"/><Relationship Id="rId568" Type="http://schemas.openxmlformats.org/officeDocument/2006/relationships/hyperlink" Target="http://www.fedeablogs.net/economia/wp-content/uploads/pet-figure2.png" TargetMode="External"/><Relationship Id="rId428" Type="http://schemas.openxmlformats.org/officeDocument/2006/relationships/hyperlink" Target="http://publications.nice.org.uk/guide-to-the-methods-of-technology-appraisal-2013-pmg9/the-reference-case" TargetMode="External"/><Relationship Id="rId635" Type="http://schemas.openxmlformats.org/officeDocument/2006/relationships/hyperlink" Target="http://www.elconfidencial.com/fotos/noticias_2011/2013060788grafico2.jpg" TargetMode="External"/><Relationship Id="rId274" Type="http://schemas.openxmlformats.org/officeDocument/2006/relationships/hyperlink" Target="http://digitalcommons.ilr.cornell.edu/cgi/viewcontent.cgi?article=1168&amp;context=cahrswp%3cbr%20/%3e%3cbr%20/%3e%3cbr%20/%3e" TargetMode="External"/><Relationship Id="rId481" Type="http://schemas.openxmlformats.org/officeDocument/2006/relationships/hyperlink" Target="http://www.elconfidencial.com/comunicacion/2013/06/24/rtve-se-gasta-215-millones-en-el-servicio-de-comidas-pese-a-los-numeros-rojos-123661/" TargetMode="External"/><Relationship Id="rId69" Type="http://schemas.openxmlformats.org/officeDocument/2006/relationships/hyperlink" Target="http://www.fedeablogs.net/economia/wp-content/uploads/graficos-universidad-2.jpg" TargetMode="External"/><Relationship Id="rId134" Type="http://schemas.openxmlformats.org/officeDocument/2006/relationships/hyperlink" Target="http://es.wikipedia.org/wiki/Vujadin_Bo%C5%A1kov" TargetMode="External"/><Relationship Id="rId579" Type="http://schemas.openxmlformats.org/officeDocument/2006/relationships/hyperlink" Target="http://www.libremercado.com/2011-06-07/las-diez-claves-que-los-espanoles-desconocen-sobre-sus-pensiones-1276425801/" TargetMode="External"/><Relationship Id="rId341" Type="http://schemas.openxmlformats.org/officeDocument/2006/relationships/hyperlink" Target="http://www.fedeablogs.net/economia/wp-content/uploads/46.png" TargetMode="External"/><Relationship Id="rId439" Type="http://schemas.openxmlformats.org/officeDocument/2006/relationships/hyperlink" Target="http://www.boe.es/boe/dias/2012/04/24/pdfs/BOE-A-2012-5403.pdf" TargetMode="External"/><Relationship Id="rId646" Type="http://schemas.openxmlformats.org/officeDocument/2006/relationships/hyperlink" Target="http://www.libremercado.com/2013-05-22/las-pensiones-publicas-condenaran-a-la-pobreza-a-los-futuros-jubilados-1276490732/" TargetMode="External"/><Relationship Id="rId201" Type="http://schemas.openxmlformats.org/officeDocument/2006/relationships/hyperlink" Target="http://www.fedeablogs.net/economia/?attachment_id=29514" TargetMode="External"/><Relationship Id="rId285" Type="http://schemas.openxmlformats.org/officeDocument/2006/relationships/image" Target="media/image86.jpeg"/><Relationship Id="rId506" Type="http://schemas.openxmlformats.org/officeDocument/2006/relationships/image" Target="media/image132.jpeg"/><Relationship Id="rId492" Type="http://schemas.openxmlformats.org/officeDocument/2006/relationships/image" Target="media/image131.png"/><Relationship Id="rId145" Type="http://schemas.openxmlformats.org/officeDocument/2006/relationships/image" Target="media/image58.png"/><Relationship Id="rId352" Type="http://schemas.openxmlformats.org/officeDocument/2006/relationships/hyperlink" Target="http://www.fedeablogs.net/economia/wp-content/uploads/PIAAC-31.jpg" TargetMode="External"/><Relationship Id="rId212" Type="http://schemas.openxmlformats.org/officeDocument/2006/relationships/hyperlink" Target="http://www.mecd.gob.es/dctm/inee/internacional/panoramadelaeducacion2013informe-espanol.pdf?documentId=0901e72b816996b6" TargetMode="External"/><Relationship Id="rId254" Type="http://schemas.openxmlformats.org/officeDocument/2006/relationships/hyperlink" Target="http://www.libertaddigital.com/internacional/europa/2013-10-04/sabado-que-tiene-el-modelo-educativo-finlandes-que-no-tiene-el-espanol-1276501044/" TargetMode="External"/><Relationship Id="rId657" Type="http://schemas.openxmlformats.org/officeDocument/2006/relationships/hyperlink" Target="http://www.eleconomista.es/ultima-hora-urgente/noticias/5110716/09/13/La-reforma-de-las-pensiones-fijara-la-menor-subida-posible-anual-en-025-y-la-mayor-en-IPC-mas-025.html" TargetMode="External"/><Relationship Id="rId49" Type="http://schemas.openxmlformats.org/officeDocument/2006/relationships/hyperlink" Target="http://www.imf.org/external/pubs/ft/fm/2013/02/pdf/fm1302.pdf" TargetMode="External"/><Relationship Id="rId114" Type="http://schemas.openxmlformats.org/officeDocument/2006/relationships/hyperlink" Target="http://www.forbes.com/sites/sherylnancenash/2012/03/30/student-loans-for-kindergarten-2/?href=linkedin" TargetMode="External"/><Relationship Id="rId296" Type="http://schemas.openxmlformats.org/officeDocument/2006/relationships/image" Target="media/image87.jpeg"/><Relationship Id="rId461" Type="http://schemas.openxmlformats.org/officeDocument/2006/relationships/hyperlink" Target="http://sociedad.elpais.com/sociedad/2012/12/01/actualidad/1354393366_194247.html" TargetMode="External"/><Relationship Id="rId517" Type="http://schemas.openxmlformats.org/officeDocument/2006/relationships/hyperlink" Target="http://www.msssi.gob.es/" TargetMode="External"/><Relationship Id="rId559" Type="http://schemas.openxmlformats.org/officeDocument/2006/relationships/hyperlink" Target="http://www.eurofound.europa.eu/publications/htmlfiles/ef1259.htm" TargetMode="External"/><Relationship Id="rId60" Type="http://schemas.openxmlformats.org/officeDocument/2006/relationships/hyperlink" Target="http://www.fedeablogs.net/economia/wp-content/uploads/graficos_post_video_game_def-3.jpg" TargetMode="External"/><Relationship Id="rId156" Type="http://schemas.openxmlformats.org/officeDocument/2006/relationships/hyperlink" Target="http://www.libremercado.com/2012-11-09/el-empresario-vera-como-la-fp-dual-contribuira-al-beneficio-de-su-empresa-1276473781/" TargetMode="External"/><Relationship Id="rId198" Type="http://schemas.openxmlformats.org/officeDocument/2006/relationships/hyperlink" Target="http://www.mecd.gob.es/dctm/inee/internacional/teds-mlinea.pdf?documentId=0901e72b8143866e" TargetMode="External"/><Relationship Id="rId321" Type="http://schemas.openxmlformats.org/officeDocument/2006/relationships/hyperlink" Target="http://www.upo.es/econ/villar/" TargetMode="External"/><Relationship Id="rId363" Type="http://schemas.openxmlformats.org/officeDocument/2006/relationships/hyperlink" Target="http://www.fedeablogs.net/economia/wp-content/uploads/figura3.png" TargetMode="External"/><Relationship Id="rId419" Type="http://schemas.openxmlformats.org/officeDocument/2006/relationships/hyperlink" Target="http://www.oecd.org/health/healthataglanceeurope.htm" TargetMode="External"/><Relationship Id="rId570" Type="http://schemas.openxmlformats.org/officeDocument/2006/relationships/hyperlink" Target="http://www.eleconomista.es/fondos/noticias/1443610/07/09/Bill-Gross-anima-a-los-inversores-a-ser-clasicos-y-mantenerse-lejos-de-los-activos-con-mas-riesgo.html" TargetMode="External"/><Relationship Id="rId626" Type="http://schemas.openxmlformats.org/officeDocument/2006/relationships/hyperlink" Target="http://www.fedeablogs.net/economia/?attachment_id=28842" TargetMode="External"/><Relationship Id="rId223" Type="http://schemas.openxmlformats.org/officeDocument/2006/relationships/hyperlink" Target="http://www.libertaddigital.com/documentos/panorama-de-la-educacion-2013-ocde-41912977.html" TargetMode="External"/><Relationship Id="rId430" Type="http://schemas.openxmlformats.org/officeDocument/2006/relationships/hyperlink" Target="http://www.lamoncloa.gob.es/ServiciosdePrensa/NotasPrensa/MPR/2013/300413PRNacReformas.htm" TargetMode="External"/><Relationship Id="rId668" Type="http://schemas.openxmlformats.org/officeDocument/2006/relationships/hyperlink" Target="http://www.lamoncloa.gob.es/ConsejodeMinistros/Resumenes/2013/130913-consejo.htm" TargetMode="External"/><Relationship Id="rId18" Type="http://schemas.openxmlformats.org/officeDocument/2006/relationships/image" Target="media/image13.jpeg"/><Relationship Id="rId265" Type="http://schemas.openxmlformats.org/officeDocument/2006/relationships/image" Target="media/image79.jpeg"/><Relationship Id="rId472" Type="http://schemas.openxmlformats.org/officeDocument/2006/relationships/image" Target="media/image130.jpeg"/><Relationship Id="rId528" Type="http://schemas.openxmlformats.org/officeDocument/2006/relationships/hyperlink" Target="http://www.libertaddigital.com/ciencia-tecnologia/salud/2013-10-18/un-hospital-publico-de-gestion-privada-de-madrid-declarado-el-mejor-de-espana-1276502111/" TargetMode="External"/><Relationship Id="rId125" Type="http://schemas.openxmlformats.org/officeDocument/2006/relationships/hyperlink" Target="http://www.fedeablogs.net/economia/%20http:/www.fedeablogs.net/economia/?p=14116" TargetMode="External"/><Relationship Id="rId167" Type="http://schemas.openxmlformats.org/officeDocument/2006/relationships/hyperlink" Target="http://www.theatlantic.com/business/archive/2011/08/chart-of-the-day-student-loans-have-grown-511-since-1999/243821/" TargetMode="External"/><Relationship Id="rId332" Type="http://schemas.openxmlformats.org/officeDocument/2006/relationships/image" Target="media/image93.png"/><Relationship Id="rId374" Type="http://schemas.openxmlformats.org/officeDocument/2006/relationships/image" Target="media/image114.png"/><Relationship Id="rId581" Type="http://schemas.openxmlformats.org/officeDocument/2006/relationships/hyperlink" Target="http://www.libremercado.com/2013-02-06/la-seguridad-social-vive-su-fase-mas-critica-desde-los-anos-90-1276481386/" TargetMode="External"/><Relationship Id="rId71" Type="http://schemas.openxmlformats.org/officeDocument/2006/relationships/hyperlink" Target="http://www.fedeablogs.net/economia/wp-content/uploads/graficos-universidad-3.jpg" TargetMode="External"/><Relationship Id="rId234" Type="http://schemas.openxmlformats.org/officeDocument/2006/relationships/hyperlink" Target="http://www.libertaddigital.com/economia/el-drama-de-la-generacion-mejor-preparada-de-nuestra-historia-1276414027/" TargetMode="External"/><Relationship Id="rId637" Type="http://schemas.openxmlformats.org/officeDocument/2006/relationships/hyperlink" Target="http://www.elconfidencial.com/economia/2013/06/06/ninguna-pension-actual-bajara-con-la-reforma-que-proponen-los-expertos--122458/" TargetMode="External"/><Relationship Id="rId679" Type="http://schemas.openxmlformats.org/officeDocument/2006/relationships/image" Target="media/image177.jpeg"/><Relationship Id="rId2" Type="http://schemas.openxmlformats.org/officeDocument/2006/relationships/numbering" Target="numbering.xml"/><Relationship Id="rId29" Type="http://schemas.openxmlformats.org/officeDocument/2006/relationships/hyperlink" Target="http://www.libertaddigital.com/opinion/libros/suecia-el-fin-de-la-mayor-utopia-progre-del-siglo-xx-1276234571.html" TargetMode="External"/><Relationship Id="rId276" Type="http://schemas.openxmlformats.org/officeDocument/2006/relationships/image" Target="media/image83.jpeg"/><Relationship Id="rId441" Type="http://schemas.openxmlformats.org/officeDocument/2006/relationships/image" Target="media/image125.jpeg"/><Relationship Id="rId483" Type="http://schemas.openxmlformats.org/officeDocument/2006/relationships/hyperlink" Target="http://www.larazon.es/detalle_movil/noticias/LA_RAZON_429392/2989-los-presentadores-de-la-publica-no-estan-blindados-segun-rtve" TargetMode="External"/><Relationship Id="rId539" Type="http://schemas.openxmlformats.org/officeDocument/2006/relationships/image" Target="media/image140.jpeg"/><Relationship Id="rId40" Type="http://schemas.openxmlformats.org/officeDocument/2006/relationships/image" Target="media/image25.jpeg"/><Relationship Id="rId136" Type="http://schemas.openxmlformats.org/officeDocument/2006/relationships/image" Target="media/image55.jpeg"/><Relationship Id="rId178" Type="http://schemas.openxmlformats.org/officeDocument/2006/relationships/hyperlink" Target="http://www.elconfidencial.com/alma-corazon-vida/2012/11/06/educacion-de-elite-para-todos-como-estudiar-en-princeton-gratis-108633/" TargetMode="External"/><Relationship Id="rId301" Type="http://schemas.openxmlformats.org/officeDocument/2006/relationships/hyperlink" Target="http://www.libremercado.com/2011-10-18/los-profesores-vagos-no-pueden-ganar-lo-mismo-que-los-que-trabajan-bien-1276438418/" TargetMode="External"/><Relationship Id="rId343" Type="http://schemas.openxmlformats.org/officeDocument/2006/relationships/hyperlink" Target="http://www.fedeablogs.net/economia/wp-content/uploads/nada16.png" TargetMode="External"/><Relationship Id="rId550" Type="http://schemas.openxmlformats.org/officeDocument/2006/relationships/hyperlink" Target="http://esa.un.org/wpp/unpp/panel_indicators.htm" TargetMode="External"/><Relationship Id="rId82" Type="http://schemas.openxmlformats.org/officeDocument/2006/relationships/hyperlink" Target="http://www.isei-ivei.net/cast/pub/Repeticiones_cas.pdf" TargetMode="External"/><Relationship Id="rId203" Type="http://schemas.openxmlformats.org/officeDocument/2006/relationships/hyperlink" Target="http://www.fedeablogs.net/economia/?attachment_id=29516" TargetMode="External"/><Relationship Id="rId385" Type="http://schemas.openxmlformats.org/officeDocument/2006/relationships/hyperlink" Target="http://www.tufts.edu/med/apua/policy/apua_action_8_446001516.pdf" TargetMode="External"/><Relationship Id="rId592" Type="http://schemas.openxmlformats.org/officeDocument/2006/relationships/hyperlink" Target="http://www.inverco.es/novedadesEstFPensT.do?id=1303_Marzo%202013" TargetMode="External"/><Relationship Id="rId606" Type="http://schemas.openxmlformats.org/officeDocument/2006/relationships/hyperlink" Target="http://www.econ.upf.edu/~jimenez/my-public-files/N6-libroBBVA.pdf" TargetMode="External"/><Relationship Id="rId648" Type="http://schemas.openxmlformats.org/officeDocument/2006/relationships/hyperlink" Target="http://www.libremercado.com/2013-04-25/la-reforma-de-las-pensiones-de-la-que-no-se-habla-1276488406/" TargetMode="External"/><Relationship Id="rId245" Type="http://schemas.openxmlformats.org/officeDocument/2006/relationships/image" Target="media/image76.jpeg"/><Relationship Id="rId287" Type="http://schemas.openxmlformats.org/officeDocument/2006/relationships/hyperlink" Target="http://www.libertaddigital.com/espana/politica/2013-09-01/la-comunidad-de-madrid-quiere-cambiar-los-planes-de-estudio-de-los-maestros-1276498383/" TargetMode="External"/><Relationship Id="rId410" Type="http://schemas.openxmlformats.org/officeDocument/2006/relationships/hyperlink" Target="http://www.reformasestructurales.es/PDF/Evaluacion_de_politicas_publicas.pdf" TargetMode="External"/><Relationship Id="rId452" Type="http://schemas.openxmlformats.org/officeDocument/2006/relationships/hyperlink" Target="http://www.cincodias.com/articulo/empresas/apax-compra-grupo-hospitalario-privado-capio-lider-sector-espana/20061006cdscdiemp_23/" TargetMode="External"/><Relationship Id="rId494" Type="http://schemas.openxmlformats.org/officeDocument/2006/relationships/hyperlink" Target="http://www.lectorescodigobarras.com/Banda-Magnetica/Banda-Magnetica-MAGTEK.html?TreeId=43" TargetMode="External"/><Relationship Id="rId508" Type="http://schemas.openxmlformats.org/officeDocument/2006/relationships/image" Target="media/image133.jpeg"/><Relationship Id="rId105" Type="http://schemas.openxmlformats.org/officeDocument/2006/relationships/hyperlink" Target="http://www.fedeablogs.net/economia/wp-content/uploads/teaching-styles-2.jpg" TargetMode="External"/><Relationship Id="rId147" Type="http://schemas.openxmlformats.org/officeDocument/2006/relationships/hyperlink" Target="http://www.fedeablogs.net/economia/?p=2087" TargetMode="External"/><Relationship Id="rId312" Type="http://schemas.openxmlformats.org/officeDocument/2006/relationships/image" Target="media/image89.jpeg"/><Relationship Id="rId354" Type="http://schemas.openxmlformats.org/officeDocument/2006/relationships/hyperlink" Target="http://www.fedeablogs.net/economia/?p=30817" TargetMode="External"/><Relationship Id="rId51" Type="http://schemas.openxmlformats.org/officeDocument/2006/relationships/hyperlink" Target="http://www.nber.org/papers/w3096.pdf?new_window=1" TargetMode="External"/><Relationship Id="rId93" Type="http://schemas.openxmlformats.org/officeDocument/2006/relationships/hyperlink" Target="http://papers.nber.org/papers/w16606" TargetMode="External"/><Relationship Id="rId189" Type="http://schemas.openxmlformats.org/officeDocument/2006/relationships/hyperlink" Target="http://www.fedea.net/educacion/manifiesto_educacion_2012_print_def.pdf" TargetMode="External"/><Relationship Id="rId396" Type="http://schemas.openxmlformats.org/officeDocument/2006/relationships/hyperlink" Target="http://www.government.nl/ministries/vws" TargetMode="External"/><Relationship Id="rId561" Type="http://schemas.openxmlformats.org/officeDocument/2006/relationships/image" Target="media/image145.jpeg"/><Relationship Id="rId617" Type="http://schemas.openxmlformats.org/officeDocument/2006/relationships/image" Target="media/image159.jpeg"/><Relationship Id="rId659" Type="http://schemas.openxmlformats.org/officeDocument/2006/relationships/hyperlink" Target="http://www.fedeablogs.net/economia/wp-content/uploads/formula11.png" TargetMode="External"/><Relationship Id="rId214" Type="http://schemas.openxmlformats.org/officeDocument/2006/relationships/hyperlink" Target="http://www.libremercado.com/2012-04-12/espana-gasta-mas-en-educacion-que-sus-vecinos-y-saca-peores-resultados-1276455527/" TargetMode="External"/><Relationship Id="rId256" Type="http://schemas.openxmlformats.org/officeDocument/2006/relationships/hyperlink" Target="http://www.libertaddigital.com/internacional/europa/2013-10-04/sabado-que-tiene-el-modelo-educativo-finlandes-que-no-tiene-el-espanol-1276501044/" TargetMode="External"/><Relationship Id="rId298" Type="http://schemas.openxmlformats.org/officeDocument/2006/relationships/hyperlink" Target="http://www.elconfidencial.com/alma-corazon-vida/2012/10/02/asi-arruinaron-los-japoneses-la-educacion-un-modelo-a-olvidar-106501/" TargetMode="External"/><Relationship Id="rId421" Type="http://schemas.openxmlformats.org/officeDocument/2006/relationships/hyperlink" Target="http://archivo.elperiodico.com/ed/20120708/pag_007.html" TargetMode="External"/><Relationship Id="rId463" Type="http://schemas.openxmlformats.org/officeDocument/2006/relationships/hyperlink" Target="http://sociedad.elpais.com/sociedad/2012/12/01/actualidad/1354393366_194247.html" TargetMode="External"/><Relationship Id="rId519" Type="http://schemas.openxmlformats.org/officeDocument/2006/relationships/hyperlink" Target="http://archinte.jamanetwork.com/article.aspx?articleid=486857" TargetMode="External"/><Relationship Id="rId670" Type="http://schemas.openxmlformats.org/officeDocument/2006/relationships/hyperlink" Target="http://www.libremercado.com/2011-07-07/la-presion-demografica-ahogara-a-espana-en-un-mar-de-deudas-1276428867/" TargetMode="External"/><Relationship Id="rId116" Type="http://schemas.openxmlformats.org/officeDocument/2006/relationships/hyperlink" Target="http://www.elconfidencial.com/autores/Miguel-Ayuso" TargetMode="External"/><Relationship Id="rId158" Type="http://schemas.openxmlformats.org/officeDocument/2006/relationships/hyperlink" Target="http://www.libremercado.com/2012-02-08/la-legislacion-laboral-condena-a-los-jovenes-al-paro-1276449404/" TargetMode="External"/><Relationship Id="rId323" Type="http://schemas.openxmlformats.org/officeDocument/2006/relationships/hyperlink" Target="https://docs.google.com/viewer?a=v&amp;pid=sites&amp;srcid=ZGVmYXVsdGRvbWFpbnxhdmlsbGFydXBvfGd4OjZmYzM1N2U3YWMxZjcwOTQ" TargetMode="External"/><Relationship Id="rId530" Type="http://schemas.openxmlformats.org/officeDocument/2006/relationships/image" Target="media/image135.jpeg"/><Relationship Id="rId20" Type="http://schemas.openxmlformats.org/officeDocument/2006/relationships/image" Target="media/image15.jpeg"/><Relationship Id="rId62" Type="http://schemas.openxmlformats.org/officeDocument/2006/relationships/hyperlink" Target="http://www.fedeablogs.net/economia/wp-content/uploads/graficos_post_video_game_def-4.jpg" TargetMode="External"/><Relationship Id="rId365" Type="http://schemas.openxmlformats.org/officeDocument/2006/relationships/hyperlink" Target="http://www.fedeablogs.net/economia/wp-content/uploads/figura4.png" TargetMode="External"/><Relationship Id="rId572" Type="http://schemas.openxmlformats.org/officeDocument/2006/relationships/hyperlink" Target="http://www.libremercado.com/2013-04-17/rajoy-prometera-a-bruselas-tocar-las-pensiones-y-la-ley-de-emprendedores-1276487756/" TargetMode="External"/><Relationship Id="rId628" Type="http://schemas.openxmlformats.org/officeDocument/2006/relationships/image" Target="media/image165.png"/><Relationship Id="rId225" Type="http://schemas.openxmlformats.org/officeDocument/2006/relationships/hyperlink" Target="http://s.libertaddigital.com/fotos/noticias/grafica-sueldos-1.jpg" TargetMode="External"/><Relationship Id="rId267" Type="http://schemas.openxmlformats.org/officeDocument/2006/relationships/hyperlink" Target="http://www.fedeablogs.net/economia/wp-content/uploads/cbeee2.jpg" TargetMode="External"/><Relationship Id="rId432" Type="http://schemas.openxmlformats.org/officeDocument/2006/relationships/hyperlink" Target="http://www.elglobal.net/elglobal/articulo.aspx?idart=674769&amp;idcat=783&amp;tipo=2" TargetMode="External"/><Relationship Id="rId474" Type="http://schemas.openxmlformats.org/officeDocument/2006/relationships/hyperlink" Target="http://diegosanchezdelacruz.wordpress.com/2013/06/25/gestion-de-la-sanidad-en-espana-menos-demagogia-por-favor/" TargetMode="External"/><Relationship Id="rId127" Type="http://schemas.openxmlformats.org/officeDocument/2006/relationships/image" Target="media/image51.jpeg"/><Relationship Id="rId681" Type="http://schemas.openxmlformats.org/officeDocument/2006/relationships/hyperlink" Target="http://www.libremercado.com/2013-10-02/la-hucha-de-las-pensiones-podria-vaciarse-en-menos-de-cinco-anos-1276500736/" TargetMode="External"/><Relationship Id="rId31" Type="http://schemas.openxmlformats.org/officeDocument/2006/relationships/hyperlink" Target="http://www.bbc.co.uk/news/uk-10680062" TargetMode="External"/><Relationship Id="rId73" Type="http://schemas.openxmlformats.org/officeDocument/2006/relationships/hyperlink" Target="http://en.wikipedia.org/wiki/Pork_barrel" TargetMode="External"/><Relationship Id="rId169" Type="http://schemas.openxmlformats.org/officeDocument/2006/relationships/hyperlink" Target="http://chronicle.com/blogs/innovations/why-did-17-million-students-go-to-college/27634" TargetMode="External"/><Relationship Id="rId334" Type="http://schemas.openxmlformats.org/officeDocument/2006/relationships/image" Target="media/image94.png"/><Relationship Id="rId376" Type="http://schemas.openxmlformats.org/officeDocument/2006/relationships/image" Target="media/image115.jpeg"/><Relationship Id="rId541" Type="http://schemas.openxmlformats.org/officeDocument/2006/relationships/hyperlink" Target="http://www.bbc.co.uk/news/business-18408991" TargetMode="External"/><Relationship Id="rId583" Type="http://schemas.openxmlformats.org/officeDocument/2006/relationships/hyperlink" Target="http://www.libremercado.com/2013-03-22/juan-ramon-rallo-pensiones-publicas-pobres-e-insostenibles-67764/" TargetMode="External"/><Relationship Id="rId639" Type="http://schemas.openxmlformats.org/officeDocument/2006/relationships/image" Target="media/image170.jpeg"/><Relationship Id="rId4" Type="http://schemas.microsoft.com/office/2007/relationships/stylesWithEffects" Target="stylesWithEffects.xml"/><Relationship Id="rId180" Type="http://schemas.openxmlformats.org/officeDocument/2006/relationships/hyperlink" Target="http://www.fedea.es/" TargetMode="External"/><Relationship Id="rId236" Type="http://schemas.openxmlformats.org/officeDocument/2006/relationships/hyperlink" Target="http://www.libremercado.com/2013-03-17/el-mercado-laboral-espanol-diez-razones-de-un-fracaso-1276485050/" TargetMode="External"/><Relationship Id="rId278" Type="http://schemas.openxmlformats.org/officeDocument/2006/relationships/image" Target="media/image84.jpeg"/><Relationship Id="rId401" Type="http://schemas.openxmlformats.org/officeDocument/2006/relationships/hyperlink" Target="http://www.sespas.es/informes.php" TargetMode="External"/><Relationship Id="rId443" Type="http://schemas.openxmlformats.org/officeDocument/2006/relationships/hyperlink" Target="http://www.csit.es/hospedasw/arbol_csit/prensa/notas_prensa/05.12estudiocomparativo.pdf" TargetMode="External"/><Relationship Id="rId650" Type="http://schemas.openxmlformats.org/officeDocument/2006/relationships/hyperlink" Target="http://www.libremercado.com/2013-04-25/la-reforma-de-las-pensiones-de-la-que-no-se-habla-1276488406/" TargetMode="External"/><Relationship Id="rId303" Type="http://schemas.openxmlformats.org/officeDocument/2006/relationships/hyperlink" Target="http://www.libremercado.com/2013-08-29/banez-no-elimina-ni-uno-solo-de-los-41-contratos-vigentes-1276498188/" TargetMode="External"/><Relationship Id="rId485" Type="http://schemas.openxmlformats.org/officeDocument/2006/relationships/hyperlink" Target="http://www.abcdesevilla.es/andalucia/20130306/sevi-junta-enchufismo-201303052248.html" TargetMode="External"/><Relationship Id="rId42" Type="http://schemas.openxmlformats.org/officeDocument/2006/relationships/image" Target="media/image26.jpeg"/><Relationship Id="rId84" Type="http://schemas.openxmlformats.org/officeDocument/2006/relationships/hyperlink" Target="http://www.isei-ivei.net/cast/pub/Repeticiones_cas.pdf" TargetMode="External"/><Relationship Id="rId138" Type="http://schemas.openxmlformats.org/officeDocument/2006/relationships/hyperlink" Target="http://www.fedeablogs.net/economia/?p=20881" TargetMode="External"/><Relationship Id="rId345" Type="http://schemas.openxmlformats.org/officeDocument/2006/relationships/hyperlink" Target="http://upo.academia.edu/Jos%C3%A9AntonioRoblesZurita" TargetMode="External"/><Relationship Id="rId387" Type="http://schemas.openxmlformats.org/officeDocument/2006/relationships/hyperlink" Target="http://www.sciencedaily.com/releases/2008/02/080220231456.htm" TargetMode="External"/><Relationship Id="rId510" Type="http://schemas.openxmlformats.org/officeDocument/2006/relationships/hyperlink" Target="http://www.fedeablogs.net/economia/?p=21977" TargetMode="External"/><Relationship Id="rId552" Type="http://schemas.openxmlformats.org/officeDocument/2006/relationships/hyperlink" Target="http://www.ine.es/jaxi/menu.do?type=pcaxis&amp;path=%2Ft20%2Fp269%2F2011-2021&amp;file=pcaxis&amp;L=" TargetMode="External"/><Relationship Id="rId594" Type="http://schemas.openxmlformats.org/officeDocument/2006/relationships/hyperlink" Target="http://www.optimafp.es/financial-planner" TargetMode="External"/><Relationship Id="rId608" Type="http://schemas.openxmlformats.org/officeDocument/2006/relationships/image" Target="media/image155.png"/><Relationship Id="rId191" Type="http://schemas.openxmlformats.org/officeDocument/2006/relationships/image" Target="media/image61.jpeg"/><Relationship Id="rId205" Type="http://schemas.openxmlformats.org/officeDocument/2006/relationships/hyperlink" Target="http://www.fedeablogs.net/economia/?attachment_id=29517" TargetMode="External"/><Relationship Id="rId247" Type="http://schemas.openxmlformats.org/officeDocument/2006/relationships/image" Target="media/image77.jpeg"/><Relationship Id="rId412" Type="http://schemas.openxmlformats.org/officeDocument/2006/relationships/hyperlink" Target="http://www.isciii.es/" TargetMode="External"/><Relationship Id="rId107" Type="http://schemas.openxmlformats.org/officeDocument/2006/relationships/hyperlink" Target="http://www.fedeablogs.net/economia/wp-content/uploads/teaching-styles-3.jpg" TargetMode="External"/><Relationship Id="rId289" Type="http://schemas.openxmlformats.org/officeDocument/2006/relationships/hyperlink" Target="http://www.libremercado.com/2012-04-12/espana-gasta-mas-en-educacion-que-sus-vecinos-y-saca-peores-resultados-1276455527/" TargetMode="External"/><Relationship Id="rId454" Type="http://schemas.openxmlformats.org/officeDocument/2006/relationships/hyperlink" Target="http://www.grupoaseguranza.com/frontend/ga/CVC-Compra-Capio-Sanidad-Por-900-Millones-vn8507-vst354" TargetMode="External"/><Relationship Id="rId496" Type="http://schemas.openxmlformats.org/officeDocument/2006/relationships/hyperlink" Target="http://es.wikipedia.org/wiki/@firma" TargetMode="External"/><Relationship Id="rId661" Type="http://schemas.openxmlformats.org/officeDocument/2006/relationships/hyperlink" Target="http://www.fedeablogs.net/economia/wp-content/uploads/formula-2.png" TargetMode="External"/><Relationship Id="rId11" Type="http://schemas.openxmlformats.org/officeDocument/2006/relationships/image" Target="media/image6.jpeg"/><Relationship Id="rId53" Type="http://schemas.openxmlformats.org/officeDocument/2006/relationships/hyperlink" Target="http://www.voxeu.org/article/eurozone-crisis-time-tax-rich" TargetMode="External"/><Relationship Id="rId149" Type="http://schemas.openxmlformats.org/officeDocument/2006/relationships/hyperlink" Target="http://www.fedeablogs.net/economia/?p=7045" TargetMode="External"/><Relationship Id="rId314" Type="http://schemas.openxmlformats.org/officeDocument/2006/relationships/image" Target="media/image90.jpeg"/><Relationship Id="rId356" Type="http://schemas.openxmlformats.org/officeDocument/2006/relationships/image" Target="media/image105.jpeg"/><Relationship Id="rId398" Type="http://schemas.openxmlformats.org/officeDocument/2006/relationships/hyperlink" Target="http://www.libremercado.com/2012-12-04/es-sostenible-a-medio-plazo-la-sanidad-espanola-1276475966/" TargetMode="External"/><Relationship Id="rId521" Type="http://schemas.openxmlformats.org/officeDocument/2006/relationships/hyperlink" Target="http://www.papps.org/" TargetMode="External"/><Relationship Id="rId563" Type="http://schemas.openxmlformats.org/officeDocument/2006/relationships/hyperlink" Target="http://www.ine.es/jaxi/menu.do?type=pcaxis&amp;path=/t25/p453&amp;file=inebase" TargetMode="External"/><Relationship Id="rId619" Type="http://schemas.openxmlformats.org/officeDocument/2006/relationships/image" Target="media/image160.png"/><Relationship Id="rId95" Type="http://schemas.openxmlformats.org/officeDocument/2006/relationships/hyperlink" Target="http://www.expansion.com/2011/02/15/entorno/1297732831.html" TargetMode="External"/><Relationship Id="rId160" Type="http://schemas.openxmlformats.org/officeDocument/2006/relationships/hyperlink" Target="http://www.fedeablogs.net/economia/?p=14960" TargetMode="External"/><Relationship Id="rId216" Type="http://schemas.openxmlformats.org/officeDocument/2006/relationships/image" Target="media/image68.jpeg"/><Relationship Id="rId423" Type="http://schemas.openxmlformats.org/officeDocument/2006/relationships/hyperlink" Target="http://www.msc.es/profesionales/farmacia/financiacion/home.htm" TargetMode="External"/><Relationship Id="rId258" Type="http://schemas.openxmlformats.org/officeDocument/2006/relationships/hyperlink" Target="http://www.elconfidencial.com/alma-corazon-vida/2013-10-08/solo-uno-de-cada-tres-espanoles-sabe-leer-un-texto-largo-o-comparar-ofertas_38387/" TargetMode="External"/><Relationship Id="rId465" Type="http://schemas.openxmlformats.org/officeDocument/2006/relationships/hyperlink" Target="http://www.capiosanidad.es/UserController" TargetMode="External"/><Relationship Id="rId630" Type="http://schemas.openxmlformats.org/officeDocument/2006/relationships/hyperlink" Target="http://economia.elpais.com/autor/manuel_vicente_gomez/a/" TargetMode="External"/><Relationship Id="rId672" Type="http://schemas.openxmlformats.org/officeDocument/2006/relationships/hyperlink" Target="http://www.libremercado.com/2013-06-07/las-futuras-pensiones-bajaran-en-funcion-de-la-esperanza-de-vida-1276492297/" TargetMode="External"/><Relationship Id="rId22" Type="http://schemas.openxmlformats.org/officeDocument/2006/relationships/image" Target="media/image17.jpeg"/><Relationship Id="rId64" Type="http://schemas.openxmlformats.org/officeDocument/2006/relationships/hyperlink" Target="http://www.fedeablogs.net/economia/%20http:/www.arwu.org/" TargetMode="External"/><Relationship Id="rId118" Type="http://schemas.openxmlformats.org/officeDocument/2006/relationships/image" Target="media/image47.jpeg"/><Relationship Id="rId325" Type="http://schemas.openxmlformats.org/officeDocument/2006/relationships/image" Target="media/image92.png"/><Relationship Id="rId367" Type="http://schemas.openxmlformats.org/officeDocument/2006/relationships/hyperlink" Target="http://www.fedeablogs.net/economia/wp-content/uploads/figura5.png" TargetMode="External"/><Relationship Id="rId532" Type="http://schemas.openxmlformats.org/officeDocument/2006/relationships/hyperlink" Target="http://www.economist.com/blogs/graphicdetail/2012/09/daily-chart-10" TargetMode="External"/><Relationship Id="rId574" Type="http://schemas.openxmlformats.org/officeDocument/2006/relationships/hyperlink" Target="http://www.unespa.es/frontend/unespa/base.php" TargetMode="External"/><Relationship Id="rId171" Type="http://schemas.openxmlformats.org/officeDocument/2006/relationships/hyperlink" Target="http://econlog.econlib.org/archives/2012/10/why_not_a_free.html" TargetMode="External"/><Relationship Id="rId227" Type="http://schemas.openxmlformats.org/officeDocument/2006/relationships/hyperlink" Target="http://s.libertaddigital.com/fotos/noticias/grafico-sueldos-2.jpg" TargetMode="External"/><Relationship Id="rId269" Type="http://schemas.openxmlformats.org/officeDocument/2006/relationships/hyperlink" Target="http://www.nber.org/papers/w15531" TargetMode="External"/><Relationship Id="rId434" Type="http://schemas.openxmlformats.org/officeDocument/2006/relationships/hyperlink" Target="http://www.gao.gov/new.items/d09190.pdf" TargetMode="External"/><Relationship Id="rId476" Type="http://schemas.openxmlformats.org/officeDocument/2006/relationships/hyperlink" Target="http://www.larazon.es/detalle_normal/noticias/2805200/mas-compra-el-apoyo-de-cc-oo-y-ugt-a-la-sobe" TargetMode="External"/><Relationship Id="rId641" Type="http://schemas.openxmlformats.org/officeDocument/2006/relationships/image" Target="media/image171.jpeg"/><Relationship Id="rId683" Type="http://schemas.openxmlformats.org/officeDocument/2006/relationships/hyperlink" Target="http://www.seg-social.es/Internet_1/Estadistica/PresupuestosyEstudi47977/Presupuestos/index.htm" TargetMode="External"/><Relationship Id="rId33" Type="http://schemas.openxmlformats.org/officeDocument/2006/relationships/hyperlink" Target="http://www.libremercado.com/2012-12-21/holanda-asi-funciona-el-mejor-sistema-sanitario-de-europa-1276477439/" TargetMode="External"/><Relationship Id="rId129" Type="http://schemas.openxmlformats.org/officeDocument/2006/relationships/image" Target="media/image52.jpeg"/><Relationship Id="rId280" Type="http://schemas.openxmlformats.org/officeDocument/2006/relationships/image" Target="media/image85.jpeg"/><Relationship Id="rId336" Type="http://schemas.openxmlformats.org/officeDocument/2006/relationships/hyperlink" Target="http://www.fedeablogs.net/economia/wp-content/uploads/nada15.3.png" TargetMode="External"/><Relationship Id="rId501" Type="http://schemas.openxmlformats.org/officeDocument/2006/relationships/hyperlink" Target="http://www.fedeablogs.net/economia/?p=27730" TargetMode="External"/><Relationship Id="rId543" Type="http://schemas.openxmlformats.org/officeDocument/2006/relationships/hyperlink" Target="http://www.bbc.co.uk/news/business-17472829" TargetMode="External"/><Relationship Id="rId75" Type="http://schemas.openxmlformats.org/officeDocument/2006/relationships/image" Target="media/image37.jpeg"/><Relationship Id="rId140" Type="http://schemas.openxmlformats.org/officeDocument/2006/relationships/hyperlink" Target="http://www.fedeablogs.net/economia/wp-content/uploads/autonomia-1.png" TargetMode="External"/><Relationship Id="rId182" Type="http://schemas.openxmlformats.org/officeDocument/2006/relationships/hyperlink" Target="http://www.fedeablogs.net/economia/?cat=163" TargetMode="External"/><Relationship Id="rId378" Type="http://schemas.openxmlformats.org/officeDocument/2006/relationships/image" Target="media/image117.jpeg"/><Relationship Id="rId403" Type="http://schemas.openxmlformats.org/officeDocument/2006/relationships/hyperlink" Target="http://www.usgovernmentdebt.us/" TargetMode="External"/><Relationship Id="rId585" Type="http://schemas.openxmlformats.org/officeDocument/2006/relationships/hyperlink" Target="http://www.libertaddigital.com/economia/las-diez-grandes-mentiras-de-la-reforma-de-las-pensiones-1276409843/" TargetMode="External"/><Relationship Id="rId6" Type="http://schemas.openxmlformats.org/officeDocument/2006/relationships/webSettings" Target="webSettings.xml"/><Relationship Id="rId238" Type="http://schemas.openxmlformats.org/officeDocument/2006/relationships/hyperlink" Target="http://www.libremercado.com/2013-07-17/espana-pierde-dos-millones-de-trabajos-temporales-durante-la-crisis-1276495349/" TargetMode="External"/><Relationship Id="rId445" Type="http://schemas.openxmlformats.org/officeDocument/2006/relationships/image" Target="media/image126.jpeg"/><Relationship Id="rId487" Type="http://schemas.openxmlformats.org/officeDocument/2006/relationships/hyperlink" Target="http://diegosanchezdelacruz.wordpress.com/2013/06/18/doce-articulos-que-desmontan-la-tesis-del-austericidio/" TargetMode="External"/><Relationship Id="rId610" Type="http://schemas.openxmlformats.org/officeDocument/2006/relationships/image" Target="media/image156.png"/><Relationship Id="rId652" Type="http://schemas.openxmlformats.org/officeDocument/2006/relationships/image" Target="media/image172.jpeg"/><Relationship Id="rId291" Type="http://schemas.openxmlformats.org/officeDocument/2006/relationships/hyperlink" Target="http://www.oecd.org/pisa/pisaenespaol.htm" TargetMode="External"/><Relationship Id="rId305" Type="http://schemas.openxmlformats.org/officeDocument/2006/relationships/hyperlink" Target="http://www.libremercado.com/2013-06-23/diez-claves-sobre-el-contrato-unico-1276493456/" TargetMode="External"/><Relationship Id="rId347" Type="http://schemas.openxmlformats.org/officeDocument/2006/relationships/hyperlink" Target="http://www.mecd.gob.es/dctm/inee/internacional/piaac/piaac2013vol2.pdf?documentId=0901e72b81736785" TargetMode="External"/><Relationship Id="rId512" Type="http://schemas.openxmlformats.org/officeDocument/2006/relationships/hyperlink" Target="http://www.onedose.eu/" TargetMode="External"/><Relationship Id="rId44" Type="http://schemas.openxmlformats.org/officeDocument/2006/relationships/image" Target="media/image27.jpeg"/><Relationship Id="rId86" Type="http://schemas.openxmlformats.org/officeDocument/2006/relationships/image" Target="media/image40.jpeg"/><Relationship Id="rId151" Type="http://schemas.openxmlformats.org/officeDocument/2006/relationships/hyperlink" Target="http://www.fedeablogs.net/economia/?p=8712" TargetMode="External"/><Relationship Id="rId389" Type="http://schemas.openxmlformats.org/officeDocument/2006/relationships/image" Target="media/image119.jpeg"/><Relationship Id="rId554" Type="http://schemas.openxmlformats.org/officeDocument/2006/relationships/image" Target="media/image141.jpeg"/><Relationship Id="rId596" Type="http://schemas.openxmlformats.org/officeDocument/2006/relationships/hyperlink" Target="http://www.uu.se/en/" TargetMode="External"/><Relationship Id="rId193" Type="http://schemas.openxmlformats.org/officeDocument/2006/relationships/hyperlink" Target="http://www.fedeablogs.net/economia/?p=19902" TargetMode="External"/><Relationship Id="rId207" Type="http://schemas.openxmlformats.org/officeDocument/2006/relationships/hyperlink" Target="http://www.fedeablogs.net/economia/wp-content/uploads/OECD-hours.jpg" TargetMode="External"/><Relationship Id="rId249" Type="http://schemas.openxmlformats.org/officeDocument/2006/relationships/image" Target="media/image78.jpeg"/><Relationship Id="rId414" Type="http://schemas.openxmlformats.org/officeDocument/2006/relationships/hyperlink" Target="http://www.aeval.es" TargetMode="External"/><Relationship Id="rId456" Type="http://schemas.openxmlformats.org/officeDocument/2006/relationships/hyperlink" Target="http://sociedad.elpais.com/sociedad/2012/02/14/vidayartes/1329245765_285961.html" TargetMode="External"/><Relationship Id="rId498" Type="http://schemas.openxmlformats.org/officeDocument/2006/relationships/hyperlink" Target="http://www.elconfidencial.com/espana/2013-09-21/la-tarjeta-sanitaria-nacional-choca-con-la-realidad-del-sistema-de-salud_30900/" TargetMode="External"/><Relationship Id="rId621" Type="http://schemas.openxmlformats.org/officeDocument/2006/relationships/image" Target="media/image161.png"/><Relationship Id="rId663" Type="http://schemas.openxmlformats.org/officeDocument/2006/relationships/hyperlink" Target="http://www.fedeablogs.net/economia/wp-content/uploads/ecuacion3.png" TargetMode="External"/><Relationship Id="rId13" Type="http://schemas.openxmlformats.org/officeDocument/2006/relationships/image" Target="media/image8.jpeg"/><Relationship Id="rId109" Type="http://schemas.openxmlformats.org/officeDocument/2006/relationships/hyperlink" Target="http://www.elconfidencial.com/fotos/noticias_2011/20110906100sist_edu_finlandia.jpg" TargetMode="External"/><Relationship Id="rId260" Type="http://schemas.openxmlformats.org/officeDocument/2006/relationships/hyperlink" Target="http://www.elconfidencial.com/alma-corazon-vida/2013/06/09/por-que-la-lomce-es-tan-polemica-los-educadores-contestan-al-ministro-wert-122590/" TargetMode="External"/><Relationship Id="rId316" Type="http://schemas.openxmlformats.org/officeDocument/2006/relationships/image" Target="media/image91.jpeg"/><Relationship Id="rId523" Type="http://schemas.openxmlformats.org/officeDocument/2006/relationships/hyperlink" Target="http://www.semergen.es/semergen/" TargetMode="External"/><Relationship Id="rId55" Type="http://schemas.openxmlformats.org/officeDocument/2006/relationships/image" Target="media/image29.jpeg"/><Relationship Id="rId97" Type="http://schemas.openxmlformats.org/officeDocument/2006/relationships/hyperlink" Target="http://en.wikipedia.org/wiki/Montessori" TargetMode="External"/><Relationship Id="rId120" Type="http://schemas.openxmlformats.org/officeDocument/2006/relationships/image" Target="media/image49.jpeg"/><Relationship Id="rId358" Type="http://schemas.openxmlformats.org/officeDocument/2006/relationships/image" Target="media/image106.jpeg"/><Relationship Id="rId565" Type="http://schemas.openxmlformats.org/officeDocument/2006/relationships/image" Target="media/image148.jpeg"/><Relationship Id="rId162" Type="http://schemas.openxmlformats.org/officeDocument/2006/relationships/hyperlink" Target="http://money.cnn.com/2010/10/14/pf/boomerang_kids_move_home/index.htm" TargetMode="External"/><Relationship Id="rId218" Type="http://schemas.openxmlformats.org/officeDocument/2006/relationships/image" Target="media/image69.jpeg"/><Relationship Id="rId425" Type="http://schemas.openxmlformats.org/officeDocument/2006/relationships/hyperlink" Target="http://www.fedeablogs.net/economia/?p=28792" TargetMode="External"/><Relationship Id="rId467" Type="http://schemas.openxmlformats.org/officeDocument/2006/relationships/hyperlink" Target="http://elpais.com/elpais/2013/01/10/opinion/1357820611_187567.html" TargetMode="External"/><Relationship Id="rId632" Type="http://schemas.openxmlformats.org/officeDocument/2006/relationships/image" Target="media/image167.png"/><Relationship Id="rId271" Type="http://schemas.openxmlformats.org/officeDocument/2006/relationships/image" Target="media/image81.jpeg"/><Relationship Id="rId674" Type="http://schemas.openxmlformats.org/officeDocument/2006/relationships/hyperlink" Target="http://www.libertaddigital.com/economia/como-se-reducira-su-pension-tras-esta-reforma-1276413107/" TargetMode="External"/><Relationship Id="rId24" Type="http://schemas.openxmlformats.org/officeDocument/2006/relationships/image" Target="media/image19.jpeg"/><Relationship Id="rId66" Type="http://schemas.openxmlformats.org/officeDocument/2006/relationships/hyperlink" Target="http://www.fedeablogs.net/economia/%20http:/www.fedeablogs.net/economia/?p=4258" TargetMode="External"/><Relationship Id="rId131" Type="http://schemas.openxmlformats.org/officeDocument/2006/relationships/image" Target="media/image53.jpeg"/><Relationship Id="rId327" Type="http://schemas.openxmlformats.org/officeDocument/2006/relationships/hyperlink" Target="http://www.bde.es/investigador/staff/22.htm" TargetMode="External"/><Relationship Id="rId369" Type="http://schemas.openxmlformats.org/officeDocument/2006/relationships/hyperlink" Target="http://www.fedeablogs.net/economia/wp-content/uploads/figura6.png" TargetMode="External"/><Relationship Id="rId534" Type="http://schemas.openxmlformats.org/officeDocument/2006/relationships/hyperlink" Target="http://www.eleconomista.es/fondos/noticias/1443610/07/09/Bill-Gross-anima-a-los-inversores-a-ser-clasicos-y-mantenerse-lejos-de-los-activos-con-mas-riesgo.html" TargetMode="External"/><Relationship Id="rId576" Type="http://schemas.openxmlformats.org/officeDocument/2006/relationships/hyperlink" Target="http://www.libremercado.com/2013-04-12/victor-perez-diaz-presidira-el-comite-sobre-el-factor-de-sostenibilidad-de-las-pensiones-1276487373/" TargetMode="External"/><Relationship Id="rId173" Type="http://schemas.openxmlformats.org/officeDocument/2006/relationships/hyperlink" Target="http://www.economist.com/blogs/schumpeter/2011/04/higher_education" TargetMode="External"/><Relationship Id="rId229" Type="http://schemas.openxmlformats.org/officeDocument/2006/relationships/hyperlink" Target="http://s.libertaddigital.com/fotos/noticias/grafico-alumnos-profesor.jpg" TargetMode="External"/><Relationship Id="rId380" Type="http://schemas.openxmlformats.org/officeDocument/2006/relationships/hyperlink" Target="http://www.elconfidencial.com/autores/Ruben-Diaz-Caviedes" TargetMode="External"/><Relationship Id="rId436" Type="http://schemas.openxmlformats.org/officeDocument/2006/relationships/hyperlink" Target="http://www.csitsanidad.es/SIME/Reunion%20Interterritorial.pdf" TargetMode="External"/><Relationship Id="rId601" Type="http://schemas.openxmlformats.org/officeDocument/2006/relationships/hyperlink" Target="http://www.libremercado.com/2013-04-25/la-reforma-de-las-pensiones-de-la-que-no-se-habla-1276488406/" TargetMode="External"/><Relationship Id="rId643" Type="http://schemas.openxmlformats.org/officeDocument/2006/relationships/hyperlink" Target="http://www.libremercado.com/2013-04-12/victor-perez-diaz-presidira-el-comite-sobre-el-factor-de-sostenibilidad-de-las-pensiones-1276487373/" TargetMode="External"/><Relationship Id="rId240" Type="http://schemas.openxmlformats.org/officeDocument/2006/relationships/image" Target="media/image74.jpeg"/><Relationship Id="rId478" Type="http://schemas.openxmlformats.org/officeDocument/2006/relationships/hyperlink" Target="http://www.eleconomista.es/interstitial/volver/acierto-abril/internacional/noticias/4935755/06/13/Las-149-embajadas-autonomicas-compiten-contra-solo-118-del-Estado.html" TargetMode="External"/><Relationship Id="rId685" Type="http://schemas.openxmlformats.org/officeDocument/2006/relationships/image" Target="media/image178.jpeg"/><Relationship Id="rId35" Type="http://schemas.openxmlformats.org/officeDocument/2006/relationships/hyperlink" Target="http://www.libremercado.com/2013-07-03/la-mitad-de-los-espanoles-pagaria-mas-irpf-si-les-rebajaran-el-tipo-maximo-1276494429/" TargetMode="External"/><Relationship Id="rId77" Type="http://schemas.openxmlformats.org/officeDocument/2006/relationships/hyperlink" Target="http://www.educacion.es/mecd/estadisticas/educativas/cee/Edicion2011/C2.xls" TargetMode="External"/><Relationship Id="rId100" Type="http://schemas.openxmlformats.org/officeDocument/2006/relationships/hyperlink" Target="http://www.fedeablogs.net/economia/%20http:/es.wikipedia.org/wiki/Emilio,_o_De_la_educaci%C3%B3n" TargetMode="External"/><Relationship Id="rId282" Type="http://schemas.openxmlformats.org/officeDocument/2006/relationships/hyperlink" Target="http://www.elconfidencial.com/alma-corazon-vida/2013-10-30/el-futuro-ya-esta-aqui-como-sera-la-educacion-en-el-ano-2018-o-antes_47708/" TargetMode="External"/><Relationship Id="rId338" Type="http://schemas.openxmlformats.org/officeDocument/2006/relationships/image" Target="media/image97.png"/><Relationship Id="rId503" Type="http://schemas.openxmlformats.org/officeDocument/2006/relationships/hyperlink" Target="http://cncompetencia.es/Inicio/GestionDocumental/tabid/76/Default.aspx?EntryId=199343&amp;Command=Core_Download&amp;Method=attachment" TargetMode="External"/><Relationship Id="rId545" Type="http://schemas.openxmlformats.org/officeDocument/2006/relationships/hyperlink" Target="http://www.ai-cio.com/channel/NEWSMAKERS/California_Referendums_Provide_Harbinger_for_Public_Pensions_Across_US.html" TargetMode="External"/><Relationship Id="rId587" Type="http://schemas.openxmlformats.org/officeDocument/2006/relationships/hyperlink" Target="http://www.libremercado.com/2011-12-16/como-saber-si-un-plan-de-pensiones-nos-conviene-1276444449/" TargetMode="External"/><Relationship Id="rId8" Type="http://schemas.openxmlformats.org/officeDocument/2006/relationships/image" Target="media/image3.jpeg"/><Relationship Id="rId142" Type="http://schemas.openxmlformats.org/officeDocument/2006/relationships/hyperlink" Target="http://www.fedeablogs.net/economia/wp-content/uploads/autonomia-2.png" TargetMode="External"/><Relationship Id="rId184" Type="http://schemas.openxmlformats.org/officeDocument/2006/relationships/hyperlink" Target="http://www.mecd.gob.es/inee/publicaciones/estudios-internacionales.html" TargetMode="External"/><Relationship Id="rId391" Type="http://schemas.openxmlformats.org/officeDocument/2006/relationships/image" Target="media/image121.jpeg"/><Relationship Id="rId405" Type="http://schemas.openxmlformats.org/officeDocument/2006/relationships/image" Target="media/image124.png"/><Relationship Id="rId447" Type="http://schemas.openxmlformats.org/officeDocument/2006/relationships/image" Target="media/image128.jpeg"/><Relationship Id="rId612" Type="http://schemas.openxmlformats.org/officeDocument/2006/relationships/hyperlink" Target="http://www.lamoncloa.gob.es/ConsejodeMinistros/Enlaces/280111-enlacepensiones.htm" TargetMode="External"/><Relationship Id="rId251" Type="http://schemas.openxmlformats.org/officeDocument/2006/relationships/hyperlink" Target="http://www.libertaddigital.com/economia/por-que-espana-fracasa-ano-tras-ano-en-el-informe-pisa-1276412914/" TargetMode="External"/><Relationship Id="rId489" Type="http://schemas.openxmlformats.org/officeDocument/2006/relationships/hyperlink" Target="http://www.libremercado.com/2013-06-21/las-falacias-de-rajoy-y-montoro-sobre-los-recortes-de-gasto-publico-1276493417/" TargetMode="External"/><Relationship Id="rId654" Type="http://schemas.openxmlformats.org/officeDocument/2006/relationships/hyperlink" Target="http://www.elconfidencial.com/economia/2013/06/08/los-expertos-fian-el-futuro-de-las-pensiones-a-la-marcha-de-los-ciclos-economicos---122625" TargetMode="External"/><Relationship Id="rId46" Type="http://schemas.openxmlformats.org/officeDocument/2006/relationships/image" Target="media/image28.jpeg"/><Relationship Id="rId293" Type="http://schemas.openxmlformats.org/officeDocument/2006/relationships/hyperlink" Target="http://www.mecd.gob.es/dctm/inee/internacional/es-brochure-es.pdf?documentId=0901e72b816d873f" TargetMode="External"/><Relationship Id="rId307" Type="http://schemas.openxmlformats.org/officeDocument/2006/relationships/hyperlink" Target="http://sociedad.elpais.com/sociedad/2013/10/08/actualidad/1381265916_173616.html" TargetMode="External"/><Relationship Id="rId349" Type="http://schemas.openxmlformats.org/officeDocument/2006/relationships/image" Target="media/image101.jpeg"/><Relationship Id="rId514" Type="http://schemas.openxmlformats.org/officeDocument/2006/relationships/hyperlink" Target="http://www.lefigaro.fr/" TargetMode="External"/><Relationship Id="rId556" Type="http://schemas.openxmlformats.org/officeDocument/2006/relationships/image" Target="media/image143.jpeg"/><Relationship Id="rId88" Type="http://schemas.openxmlformats.org/officeDocument/2006/relationships/image" Target="media/image41.jpeg"/><Relationship Id="rId111" Type="http://schemas.openxmlformats.org/officeDocument/2006/relationships/hyperlink" Target="http://www.consumerfinance.gov/blog/too-big-to-fail-student-debt-hits-a-trillion/" TargetMode="External"/><Relationship Id="rId153" Type="http://schemas.openxmlformats.org/officeDocument/2006/relationships/hyperlink" Target="http://www.fedeablogs.net/economia/?p=16608" TargetMode="External"/><Relationship Id="rId195" Type="http://schemas.openxmlformats.org/officeDocument/2006/relationships/hyperlink" Target="http://www.fedeablogs.net/economia/?p=18226" TargetMode="External"/><Relationship Id="rId209" Type="http://schemas.openxmlformats.org/officeDocument/2006/relationships/hyperlink" Target="http://www.uis.unesco.org/Education/Documents/oecd-eag-2012-en.pdf" TargetMode="External"/><Relationship Id="rId360" Type="http://schemas.openxmlformats.org/officeDocument/2006/relationships/image" Target="media/image107.png"/><Relationship Id="rId416" Type="http://schemas.openxmlformats.org/officeDocument/2006/relationships/hyperlink" Target="http://www.fedeablogs.net/economia/?p=30577" TargetMode="External"/><Relationship Id="rId598" Type="http://schemas.openxmlformats.org/officeDocument/2006/relationships/hyperlink" Target="http://www.libertaddigital.com/economia/como-se-reducira-su-pension-tras-esta-reforma-1276413107/" TargetMode="External"/><Relationship Id="rId220" Type="http://schemas.openxmlformats.org/officeDocument/2006/relationships/hyperlink" Target="http://www.crue.org/Publicaciones/UEC.html" TargetMode="External"/><Relationship Id="rId458" Type="http://schemas.openxmlformats.org/officeDocument/2006/relationships/hyperlink" Target="http://www.cadenaser.com/espana/articulo/empresa-consejero-juan-jose-guemes-queda-gestion-analisis-clinicos-mismo-privatizo/csrcsrpor/20130111csrcsrnac_2/Tes" TargetMode="External"/><Relationship Id="rId623" Type="http://schemas.openxmlformats.org/officeDocument/2006/relationships/image" Target="media/image162.png"/><Relationship Id="rId665" Type="http://schemas.openxmlformats.org/officeDocument/2006/relationships/hyperlink" Target="http://economia.elpais.com/economia/2013/09/07/actualidad/1378582373_496596.html" TargetMode="External"/><Relationship Id="rId15" Type="http://schemas.openxmlformats.org/officeDocument/2006/relationships/image" Target="media/image10.jpeg"/><Relationship Id="rId57" Type="http://schemas.openxmlformats.org/officeDocument/2006/relationships/image" Target="media/image30.jpeg"/><Relationship Id="rId262" Type="http://schemas.openxmlformats.org/officeDocument/2006/relationships/hyperlink" Target="http://www.elconfidencial.com/alma-corazon-vida/2012/03/27/las-nuevas-escuelas-solo-para-chicas-hacen-a-la-mujer-mas-fuerte-95049" TargetMode="External"/><Relationship Id="rId318" Type="http://schemas.openxmlformats.org/officeDocument/2006/relationships/hyperlink" Target="http://documentos.fedea.net/pubs/dt/2013/dt-2013-04.pdf" TargetMode="External"/><Relationship Id="rId525" Type="http://schemas.openxmlformats.org/officeDocument/2006/relationships/image" Target="media/image134.jpeg"/><Relationship Id="rId567" Type="http://schemas.openxmlformats.org/officeDocument/2006/relationships/image" Target="media/image149.png"/><Relationship Id="rId99" Type="http://schemas.openxmlformats.org/officeDocument/2006/relationships/hyperlink" Target="http://en.wikipedia.org/wiki/Summerhill_School" TargetMode="External"/><Relationship Id="rId122" Type="http://schemas.openxmlformats.org/officeDocument/2006/relationships/hyperlink" Target="http://www.economics.harvard.edu/faculty/fryer/files/effective_schools.pdf" TargetMode="External"/><Relationship Id="rId164" Type="http://schemas.openxmlformats.org/officeDocument/2006/relationships/hyperlink" Target="http://opensource.com/education/12/3/infographic-education-bubble" TargetMode="External"/><Relationship Id="rId371" Type="http://schemas.openxmlformats.org/officeDocument/2006/relationships/hyperlink" Target="http://www.fedeablogs.net/economia/wp-content/uploads/figura61.png" TargetMode="External"/><Relationship Id="rId427" Type="http://schemas.openxmlformats.org/officeDocument/2006/relationships/hyperlink" Target="http://www.pilleconomics.blogspot.com.es/2012/11/estamos-preparados-para-la-evaluacion.html" TargetMode="External"/><Relationship Id="rId469" Type="http://schemas.openxmlformats.org/officeDocument/2006/relationships/hyperlink" Target="http://www.capiosanidad.es/PressRoomController?event=15&amp;id=3605" TargetMode="External"/><Relationship Id="rId634" Type="http://schemas.openxmlformats.org/officeDocument/2006/relationships/image" Target="media/image168.jpeg"/><Relationship Id="rId676" Type="http://schemas.openxmlformats.org/officeDocument/2006/relationships/hyperlink" Target="http://www.libremercado.com/2013-09-16/la-reforma-de-las-pensiones-ahorrara-33000-millones-de-euros-hasta-2022-1276499518/" TargetMode="External"/><Relationship Id="rId26" Type="http://schemas.openxmlformats.org/officeDocument/2006/relationships/image" Target="media/image21.jpeg"/><Relationship Id="rId231" Type="http://schemas.openxmlformats.org/officeDocument/2006/relationships/hyperlink" Target="http://www.coiim.es/revista/Articulos/59_Art.%20Hacia%20una%20nueva%20industrializaci%C3%B3n.aspx" TargetMode="External"/><Relationship Id="rId273" Type="http://schemas.openxmlformats.org/officeDocument/2006/relationships/image" Target="media/image82.jpeg"/><Relationship Id="rId329" Type="http://schemas.openxmlformats.org/officeDocument/2006/relationships/hyperlink" Target="http://www.bde.es/investigador/staff/20.htm" TargetMode="External"/><Relationship Id="rId480" Type="http://schemas.openxmlformats.org/officeDocument/2006/relationships/hyperlink" Target="http://www.transparencia.org.es/ENTES_PUBLICAS_EN_ESPA%C3%91A/TIPOS_DE_ENTES_PUBLICOS.pdf" TargetMode="External"/><Relationship Id="rId536" Type="http://schemas.openxmlformats.org/officeDocument/2006/relationships/image" Target="media/image137.png"/><Relationship Id="rId68" Type="http://schemas.openxmlformats.org/officeDocument/2006/relationships/image" Target="media/image34.jpeg"/><Relationship Id="rId133" Type="http://schemas.openxmlformats.org/officeDocument/2006/relationships/image" Target="media/image54.jpeg"/><Relationship Id="rId175" Type="http://schemas.openxmlformats.org/officeDocument/2006/relationships/hyperlink" Target="http://www.youtube.com/watch?v=AIcfMMVcYZg" TargetMode="External"/><Relationship Id="rId340" Type="http://schemas.openxmlformats.org/officeDocument/2006/relationships/image" Target="media/image98.png"/><Relationship Id="rId578" Type="http://schemas.openxmlformats.org/officeDocument/2006/relationships/hyperlink" Target="http://www.libertaddigital.com/economia/capitalizar-las-pensiones-permitiria-jubilarse-a-los-45-anos-con-2169-euros-1276401467/" TargetMode="External"/><Relationship Id="rId200" Type="http://schemas.openxmlformats.org/officeDocument/2006/relationships/image" Target="media/image62.jpeg"/><Relationship Id="rId382" Type="http://schemas.openxmlformats.org/officeDocument/2006/relationships/hyperlink" Target="http://es.wikipedia.org/wiki/Transferencia_horizontal_de_genes" TargetMode="External"/><Relationship Id="rId438" Type="http://schemas.openxmlformats.org/officeDocument/2006/relationships/hyperlink" Target="http://www.msc.es/gabinete/notasPrensa.do?id=2374" TargetMode="External"/><Relationship Id="rId603" Type="http://schemas.openxmlformats.org/officeDocument/2006/relationships/image" Target="media/image153.jpeg"/><Relationship Id="rId645" Type="http://schemas.openxmlformats.org/officeDocument/2006/relationships/hyperlink" Target="http://www.libremercado.com/2013-06-07/banez-el-debate-del-factor-de-sostenibilidad-sera-transparente-y-honesto-1276492332/" TargetMode="External"/><Relationship Id="rId687" Type="http://schemas.openxmlformats.org/officeDocument/2006/relationships/theme" Target="theme/theme1.xml"/><Relationship Id="rId242" Type="http://schemas.openxmlformats.org/officeDocument/2006/relationships/hyperlink" Target="http://www.fedeablogs.net/economia/?author=10" TargetMode="External"/><Relationship Id="rId284" Type="http://schemas.openxmlformats.org/officeDocument/2006/relationships/hyperlink" Target="javascript:void(0);" TargetMode="External"/><Relationship Id="rId491" Type="http://schemas.openxmlformats.org/officeDocument/2006/relationships/hyperlink" Target="http://www.libremercado.com/2013-04-22/rajoy-registra-el-segundo-mayor-agujero-fiscal-de-la-historia-de-espana-1276488220/" TargetMode="External"/><Relationship Id="rId505" Type="http://schemas.openxmlformats.org/officeDocument/2006/relationships/hyperlink" Target="http://www.fedeablogs.net/economia/wp-content/uploads/cuota-hospitales-privados-madrid.jpg" TargetMode="External"/><Relationship Id="rId37" Type="http://schemas.openxmlformats.org/officeDocument/2006/relationships/image" Target="media/image22.jpeg"/><Relationship Id="rId79" Type="http://schemas.openxmlformats.org/officeDocument/2006/relationships/image" Target="media/image38.jpeg"/><Relationship Id="rId102" Type="http://schemas.openxmlformats.org/officeDocument/2006/relationships/hyperlink" Target="http://www.fedeablogs.net/economia/%20http:/economics.huji.ac.il/facultye/lavy/Teachers_Text%20and%20Tables_March__9_2011.pdf%20" TargetMode="External"/><Relationship Id="rId144" Type="http://schemas.openxmlformats.org/officeDocument/2006/relationships/hyperlink" Target="http://www.fedeablogs.net/economia/wp-content/uploads/autonomia-rendicion-cuentas.png" TargetMode="External"/><Relationship Id="rId547" Type="http://schemas.openxmlformats.org/officeDocument/2006/relationships/hyperlink" Target="http://online.wsj.com/article/SB10001424052702303296604577450483946387736.html" TargetMode="External"/><Relationship Id="rId589" Type="http://schemas.openxmlformats.org/officeDocument/2006/relationships/image" Target="media/image151.jpeg"/><Relationship Id="rId90" Type="http://schemas.openxmlformats.org/officeDocument/2006/relationships/hyperlink" Target="http://www.elsevier.com/wps/find/bookdescription.cws_home/724027/description" TargetMode="External"/><Relationship Id="rId186" Type="http://schemas.openxmlformats.org/officeDocument/2006/relationships/hyperlink" Target="http://mckinseyonsociety.com/downloads/reports/Education/Como_hicieron_los_sistemas_educativos.pdf" TargetMode="External"/><Relationship Id="rId351" Type="http://schemas.openxmlformats.org/officeDocument/2006/relationships/image" Target="media/image102.jpeg"/><Relationship Id="rId393" Type="http://schemas.openxmlformats.org/officeDocument/2006/relationships/hyperlink" Target="http://www.healthpowerhouse.com/index.php?option=com_content&amp;view=article&amp;id=5&amp;Itemid=2" TargetMode="External"/><Relationship Id="rId407" Type="http://schemas.openxmlformats.org/officeDocument/2006/relationships/hyperlink" Target="http://www.um.es/esyec/gtes/gtes.php" TargetMode="External"/><Relationship Id="rId449" Type="http://schemas.openxmlformats.org/officeDocument/2006/relationships/hyperlink" Target="http://www.elconfidencial.com/opinion/mientras%2Dtanto/2012/12/30/la%2Dobscena%2Dprivatizacion%2Dde%2Dla%2Dsanidad%2Dmadrilena%2D10475/" TargetMode="External"/><Relationship Id="rId614" Type="http://schemas.openxmlformats.org/officeDocument/2006/relationships/hyperlink" Target="http://www.ine.es/ss/Satellite?blobcol=urldata&amp;blobheader=application%2Fpdf&amp;blobheadername1=Content-Disposition&amp;blobheadervalue1=attachment%3B+filename%3Dcifine1312.pdf&amp;blobkey=urldata&amp;blobtable=MungoBlobs&amp;blobwhere=871%2F146%2Fcifine1312.pdf&amp;ssbinary=true" TargetMode="External"/><Relationship Id="rId656" Type="http://schemas.openxmlformats.org/officeDocument/2006/relationships/image" Target="media/image173.jpeg"/><Relationship Id="rId211" Type="http://schemas.openxmlformats.org/officeDocument/2006/relationships/hyperlink" Target="http://www.libremercado.com/2012-04-12/espana-gasta-mas-en-educacion-que-sus-vecinos-y-saca-peores-resultados-1276455527/" TargetMode="External"/><Relationship Id="rId253" Type="http://schemas.openxmlformats.org/officeDocument/2006/relationships/hyperlink" Target="http://www.madrid.fi/index.php?lang=es" TargetMode="External"/><Relationship Id="rId295" Type="http://schemas.openxmlformats.org/officeDocument/2006/relationships/hyperlink" Target="http://www.libertaddigital.com/organismos/union-europea/" TargetMode="External"/><Relationship Id="rId309" Type="http://schemas.openxmlformats.org/officeDocument/2006/relationships/hyperlink" Target="http://www.ets.org/gre" TargetMode="External"/><Relationship Id="rId460" Type="http://schemas.openxmlformats.org/officeDocument/2006/relationships/hyperlink" Target="http://www.europapress.es/nacional/noticia-capio-sanidad-niega-rato-cospedal-aguirre-lopez-hierro-tengan-relacion-alguna-grupo-20121122201031.html" TargetMode="External"/><Relationship Id="rId516" Type="http://schemas.openxmlformats.org/officeDocument/2006/relationships/hyperlink" Target="http://www.change.org/es" TargetMode="External"/><Relationship Id="rId48" Type="http://schemas.openxmlformats.org/officeDocument/2006/relationships/hyperlink" Target="http://www.libremercado.com/2013-09-30/la-deuda-publica-rozara-el-100-del-pib-en-2014-1276500582/" TargetMode="External"/><Relationship Id="rId113" Type="http://schemas.openxmlformats.org/officeDocument/2006/relationships/hyperlink" Target="http://www.smartmoney.com/borrow/student-loans/student-loans-on-rise--for-kindergarten-1332957614617/?mg=com-sec-sm" TargetMode="External"/><Relationship Id="rId320" Type="http://schemas.openxmlformats.org/officeDocument/2006/relationships/hyperlink" Target="http://www.oecd.org/site/piaac/publicdataandanalysis.htm" TargetMode="External"/><Relationship Id="rId558" Type="http://schemas.openxmlformats.org/officeDocument/2006/relationships/hyperlink" Target="http://www.elconfidencial.com/economia/2012/12/03/bulgaria-rumania-y-espana-los-tres-paises-de-la-ue-con-mayor-riesgo-de-pobreza-110460/" TargetMode="External"/><Relationship Id="rId155" Type="http://schemas.openxmlformats.org/officeDocument/2006/relationships/hyperlink" Target="http://www.boe.es/boe/dias/2012/11/09/pdfs/BOE-A-2012-13846.pdf" TargetMode="External"/><Relationship Id="rId197" Type="http://schemas.openxmlformats.org/officeDocument/2006/relationships/hyperlink" Target="http://www.iea.nl/?id=20" TargetMode="External"/><Relationship Id="rId362" Type="http://schemas.openxmlformats.org/officeDocument/2006/relationships/image" Target="media/image108.png"/><Relationship Id="rId418" Type="http://schemas.openxmlformats.org/officeDocument/2006/relationships/hyperlink" Target="http://www.fedeablogs.net/economia/?p=30577" TargetMode="External"/><Relationship Id="rId625" Type="http://schemas.openxmlformats.org/officeDocument/2006/relationships/image" Target="media/image163.png"/><Relationship Id="rId222" Type="http://schemas.openxmlformats.org/officeDocument/2006/relationships/image" Target="media/image70.jpeg"/><Relationship Id="rId264" Type="http://schemas.openxmlformats.org/officeDocument/2006/relationships/hyperlink" Target="http://www.fedeablogs.net/economia/wp-content/uploads/cbeee1.jpg" TargetMode="External"/><Relationship Id="rId471" Type="http://schemas.openxmlformats.org/officeDocument/2006/relationships/image" Target="media/image129.jpeg"/><Relationship Id="rId667" Type="http://schemas.openxmlformats.org/officeDocument/2006/relationships/hyperlink" Target="http://www.libremercado.com/2013-09-13/el-gobierno-aprueba-la-desvinculacion-de-las-pensiones-del-ipc-1276499334/" TargetMode="External"/><Relationship Id="rId17" Type="http://schemas.openxmlformats.org/officeDocument/2006/relationships/image" Target="media/image12.jpeg"/><Relationship Id="rId59" Type="http://schemas.openxmlformats.org/officeDocument/2006/relationships/image" Target="media/image31.jpeg"/><Relationship Id="rId124" Type="http://schemas.openxmlformats.org/officeDocument/2006/relationships/hyperlink" Target="http://www.fedeablogs.net/economia/%20http:/www.fedeablogs.net/economia/?p=766" TargetMode="External"/><Relationship Id="rId527" Type="http://schemas.openxmlformats.org/officeDocument/2006/relationships/hyperlink" Target="http://www.madrid.org/cs/Satellite?pagename=HospitalTorrejon/Page/HTRJ_home" TargetMode="External"/><Relationship Id="rId569" Type="http://schemas.openxmlformats.org/officeDocument/2006/relationships/image" Target="media/image150.png"/><Relationship Id="rId70" Type="http://schemas.openxmlformats.org/officeDocument/2006/relationships/image" Target="media/image35.jpeg"/><Relationship Id="rId166" Type="http://schemas.openxmlformats.org/officeDocument/2006/relationships/hyperlink" Target="http://opensource.com/education/12/3/infographic-higher-education-bubble-part-two" TargetMode="External"/><Relationship Id="rId331" Type="http://schemas.openxmlformats.org/officeDocument/2006/relationships/hyperlink" Target="http://www.fedeablogs.net/economia/wp-content/uploads/nadaes15.png" TargetMode="External"/><Relationship Id="rId373" Type="http://schemas.openxmlformats.org/officeDocument/2006/relationships/hyperlink" Target="http://www.fedeablogs.net/economia/wp-content/uploads/figura7.png" TargetMode="External"/><Relationship Id="rId429" Type="http://schemas.openxmlformats.org/officeDocument/2006/relationships/hyperlink" Target="http://www.biomedcentral.com/1472-6963/10/153" TargetMode="External"/><Relationship Id="rId580" Type="http://schemas.openxmlformats.org/officeDocument/2006/relationships/hyperlink" Target="http://www.libremercado.com/2013-02-26/la-reforma-oculta-de-las-pensiones-penaliza-a-los-que-mas-cotizan-1276483301/" TargetMode="External"/><Relationship Id="rId636" Type="http://schemas.openxmlformats.org/officeDocument/2006/relationships/image" Target="media/image169.jpeg"/><Relationship Id="rId1" Type="http://schemas.openxmlformats.org/officeDocument/2006/relationships/customXml" Target="../customXml/item1.xml"/><Relationship Id="rId233" Type="http://schemas.openxmlformats.org/officeDocument/2006/relationships/hyperlink" Target="http://www.ine.es/jaxi/menu.do?type=pcaxis&amp;path=%2Ft05%2Fp048&amp;file=inebase&amp;L=0" TargetMode="External"/><Relationship Id="rId440" Type="http://schemas.openxmlformats.org/officeDocument/2006/relationships/hyperlink" Target="http://www.fedeablogs.net/economia/wp-content/uploads/artoplastia.jpg" TargetMode="External"/><Relationship Id="rId678" Type="http://schemas.openxmlformats.org/officeDocument/2006/relationships/hyperlink" Target="http://www.libremercado.com/2013-09-13/cuatro-claves-sobre-su-futura-pension-que-banez-nunca-le-contara-1276499367/" TargetMode="External"/><Relationship Id="rId28" Type="http://schemas.openxmlformats.org/officeDocument/2006/relationships/hyperlink" Target="http://www.expansion.com/2010/10/10/opinion/tribunas/1286738394.html?a=9ee8c99375e8e0a3940df3ef43f6c4b4&amp;t=1379689921" TargetMode="External"/><Relationship Id="rId275" Type="http://schemas.openxmlformats.org/officeDocument/2006/relationships/hyperlink" Target="http://www.fedeablogs.net/economia/wp-content/uploads/cbeee5.jpg" TargetMode="External"/><Relationship Id="rId300" Type="http://schemas.openxmlformats.org/officeDocument/2006/relationships/hyperlink" Target="http://www.mecd.gob.es/dctm/inee/internacional/piaac/piaac2013vol2.pdf?documentId=0901e72b81736785" TargetMode="External"/><Relationship Id="rId482" Type="http://schemas.openxmlformats.org/officeDocument/2006/relationships/hyperlink" Target="http://www.elconfidencial.com/comunicacion/2012/12/07/rtve-ha-perdido-mas-del-40-de-su-audiencia-desde-que-zapatero-elimino-la-publicidad-110707/" TargetMode="External"/><Relationship Id="rId538" Type="http://schemas.openxmlformats.org/officeDocument/2006/relationships/image" Target="media/image139.jpeg"/><Relationship Id="rId81" Type="http://schemas.openxmlformats.org/officeDocument/2006/relationships/image" Target="media/image39.jpeg"/><Relationship Id="rId135" Type="http://schemas.openxmlformats.org/officeDocument/2006/relationships/hyperlink" Target="http://www.fedeablogs.net/economia/wp-content/uploads/PISA-partents-educated.jpg" TargetMode="External"/><Relationship Id="rId177" Type="http://schemas.openxmlformats.org/officeDocument/2006/relationships/image" Target="media/image60.jpeg"/><Relationship Id="rId342" Type="http://schemas.openxmlformats.org/officeDocument/2006/relationships/image" Target="media/image99.png"/><Relationship Id="rId384" Type="http://schemas.openxmlformats.org/officeDocument/2006/relationships/hyperlink" Target="http://www.bmj.com/content/331/7527/1219.full" TargetMode="External"/><Relationship Id="rId591" Type="http://schemas.openxmlformats.org/officeDocument/2006/relationships/hyperlink" Target="http://www.libremercado.com/2012-11-27/los-planes-de-pensiones-siguen-siendo-una-buena-alternativa-de-ahorro-a-largo-plazo-1276475253/" TargetMode="External"/><Relationship Id="rId605" Type="http://schemas.openxmlformats.org/officeDocument/2006/relationships/image" Target="media/image154.png"/><Relationship Id="rId202" Type="http://schemas.openxmlformats.org/officeDocument/2006/relationships/image" Target="media/image63.jpeg"/><Relationship Id="rId244" Type="http://schemas.openxmlformats.org/officeDocument/2006/relationships/hyperlink" Target="http://www.fedeablogs.net/economia/wp-content/uploads/academy-11.jpg" TargetMode="External"/><Relationship Id="rId647" Type="http://schemas.openxmlformats.org/officeDocument/2006/relationships/hyperlink" Target="http://www.libertaddigital.com/opinion/alejandro-macarron/se-agudiza-la-recesion-demografica-66188/" TargetMode="External"/><Relationship Id="rId39" Type="http://schemas.openxmlformats.org/officeDocument/2006/relationships/image" Target="media/image24.jpeg"/><Relationship Id="rId286" Type="http://schemas.openxmlformats.org/officeDocument/2006/relationships/hyperlink" Target="http://buscon.rae.es/draeI/SrvltObtenerHtml?origen=RAE&amp;LEMA=embelesar&amp;SUPIND=0&amp;CAREXT=10000&amp;NEDIC=No" TargetMode="External"/><Relationship Id="rId451" Type="http://schemas.openxmlformats.org/officeDocument/2006/relationships/hyperlink" Target="http://sociedad.elpais.com/sociedad/2013/01/03/actualidad/1357233012_416495.html" TargetMode="External"/><Relationship Id="rId493" Type="http://schemas.openxmlformats.org/officeDocument/2006/relationships/hyperlink" Target="http://www.elconfidencial.com/espana/2013/07/20/lasquetty-airea-el-lsquocostosorsquo-recurso-judicial-ldquolos-abogados-cobran-1000-la-paginardquo---125310" TargetMode="External"/><Relationship Id="rId507" Type="http://schemas.openxmlformats.org/officeDocument/2006/relationships/hyperlink" Target="http://www.fedeablogs.net/economia/wp-content/uploads/Minimos-de-calidad.jpg" TargetMode="External"/><Relationship Id="rId549" Type="http://schemas.openxmlformats.org/officeDocument/2006/relationships/hyperlink" Target="http://www.pnas.org/content/early/2012/08/13/1211452109" TargetMode="External"/><Relationship Id="rId50" Type="http://schemas.openxmlformats.org/officeDocument/2006/relationships/hyperlink" Target="http://www.libremercado.com/2013-10-09/el-fmi-espana-tiene-espacio-para-aumentar-los-ingresos-del-iva-1276501399/" TargetMode="External"/><Relationship Id="rId104" Type="http://schemas.openxmlformats.org/officeDocument/2006/relationships/image" Target="media/image43.jpeg"/><Relationship Id="rId146" Type="http://schemas.openxmlformats.org/officeDocument/2006/relationships/hyperlink" Target="http://www.fedeablogs.net/economia/?p=8903" TargetMode="External"/><Relationship Id="rId188" Type="http://schemas.openxmlformats.org/officeDocument/2006/relationships/hyperlink" Target="http://www.libertaddigital.com/economia/por-que-espana-fracasa-ano-tras-ano-en-el-informe-pisa-1276412914/" TargetMode="External"/><Relationship Id="rId311" Type="http://schemas.openxmlformats.org/officeDocument/2006/relationships/hyperlink" Target="http://www.fedeablogs.net/economia/wp-content/uploads/PIAAC-1.jpg" TargetMode="External"/><Relationship Id="rId353" Type="http://schemas.openxmlformats.org/officeDocument/2006/relationships/image" Target="media/image103.jpeg"/><Relationship Id="rId395" Type="http://schemas.openxmlformats.org/officeDocument/2006/relationships/hyperlink" Target="http://www.libertaddigital.com/opinion/mauricio-rojas/las-mentiras-de-las-batas-blancas-66718/" TargetMode="External"/><Relationship Id="rId409" Type="http://schemas.openxmlformats.org/officeDocument/2006/relationships/hyperlink" Target="http://www.econ.upf.edu/~jimenez/my-public-files/Elmedico2012.pdf" TargetMode="External"/><Relationship Id="rId560" Type="http://schemas.openxmlformats.org/officeDocument/2006/relationships/hyperlink" Target="http://icsd2012.com/en/index.html" TargetMode="External"/><Relationship Id="rId92" Type="http://schemas.openxmlformats.org/officeDocument/2006/relationships/hyperlink" Target="http://www.fedeablogs.net/economia/?p=8117" TargetMode="External"/><Relationship Id="rId213" Type="http://schemas.openxmlformats.org/officeDocument/2006/relationships/hyperlink" Target="http://www.libertaddigital.com/economia/por-que-espana-fracasa-ano-tras-ano-en-el-informe-pisa-1276412914/" TargetMode="External"/><Relationship Id="rId420" Type="http://schemas.openxmlformats.org/officeDocument/2006/relationships/hyperlink" Target="http://www.pilleconomics.blogspot.com.es/2011/11/el-gasto-farmaceutico-en-los-hospitales.html" TargetMode="External"/><Relationship Id="rId616" Type="http://schemas.openxmlformats.org/officeDocument/2006/relationships/image" Target="media/image158.jpeg"/><Relationship Id="rId658" Type="http://schemas.openxmlformats.org/officeDocument/2006/relationships/hyperlink" Target="http://www.fedeablogs.net/economia/?author=40" TargetMode="External"/><Relationship Id="rId255" Type="http://schemas.openxmlformats.org/officeDocument/2006/relationships/hyperlink" Target="http://www.libertaddigital.com/internacional/europa/2013-10-04/sabado-que-tiene-el-modelo-educativo-finlandes-que-no-tiene-el-espanol-1276501044/" TargetMode="External"/><Relationship Id="rId297" Type="http://schemas.openxmlformats.org/officeDocument/2006/relationships/image" Target="media/image88.jpeg"/><Relationship Id="rId462" Type="http://schemas.openxmlformats.org/officeDocument/2006/relationships/hyperlink" Target="http://sociedad.elpais.com/sociedad/2012/02/08/actualidad/1328711791_227111.html" TargetMode="External"/><Relationship Id="rId518" Type="http://schemas.openxmlformats.org/officeDocument/2006/relationships/hyperlink" Target="http://onlinelibrary.wiley.com/doi/10.1002/14651858.CD009009.pub2/abstract" TargetMode="External"/><Relationship Id="rId115" Type="http://schemas.openxmlformats.org/officeDocument/2006/relationships/hyperlink" Target="http://www.dalton.org/" TargetMode="External"/><Relationship Id="rId157" Type="http://schemas.openxmlformats.org/officeDocument/2006/relationships/hyperlink" Target="http://www.libertaddigital.com/economia/estado-social-asi-arrincona-espana-a-los-jovenes-sin-recursos-1276415476/" TargetMode="External"/><Relationship Id="rId322" Type="http://schemas.openxmlformats.org/officeDocument/2006/relationships/hyperlink" Target="http://www.mecd.gob.es/inee/Ultimos_informes/PIAAC.html" TargetMode="External"/><Relationship Id="rId364" Type="http://schemas.openxmlformats.org/officeDocument/2006/relationships/image" Target="media/image109.png"/><Relationship Id="rId61" Type="http://schemas.openxmlformats.org/officeDocument/2006/relationships/image" Target="media/image32.jpeg"/><Relationship Id="rId199" Type="http://schemas.openxmlformats.org/officeDocument/2006/relationships/hyperlink" Target="http://www.fedeablogs.net/economia/?attachment_id=29513" TargetMode="External"/><Relationship Id="rId571" Type="http://schemas.openxmlformats.org/officeDocument/2006/relationships/hyperlink" Target="http://www.libremercado.com/2013-04-08/el-gobierno-presentara-el-segundo-plan-de-reformas-el-26-de-abril-1276486927/" TargetMode="External"/><Relationship Id="rId627" Type="http://schemas.openxmlformats.org/officeDocument/2006/relationships/image" Target="media/image164.png"/><Relationship Id="rId669" Type="http://schemas.openxmlformats.org/officeDocument/2006/relationships/hyperlink" Target="http://www.libertaddigital.com/opinion/juan-ramon-rallo/el-barbero-rico-y-el-interes-compuesto-57987/" TargetMode="External"/><Relationship Id="rId19" Type="http://schemas.openxmlformats.org/officeDocument/2006/relationships/image" Target="media/image14.jpeg"/><Relationship Id="rId224" Type="http://schemas.openxmlformats.org/officeDocument/2006/relationships/hyperlink" Target="http://www.oecd.org/about/membersandpartners/" TargetMode="External"/><Relationship Id="rId266" Type="http://schemas.openxmlformats.org/officeDocument/2006/relationships/hyperlink" Target="http://ftp.iza.org/dp2880.pdf" TargetMode="External"/><Relationship Id="rId431" Type="http://schemas.openxmlformats.org/officeDocument/2006/relationships/hyperlink" Target="http://www.econ.upf.edu/~puig/publicacions/Any%202012/REFORMA%20SANIT%C3%80RIAV4x.pdf" TargetMode="External"/><Relationship Id="rId473" Type="http://schemas.openxmlformats.org/officeDocument/2006/relationships/hyperlink" Target="https://diegosanchezdelacruz.wordpress.com/2013/06/25/gestion-de-la-sanidad-en-espana-menos-demagogia-por-favor/" TargetMode="External"/><Relationship Id="rId529" Type="http://schemas.openxmlformats.org/officeDocument/2006/relationships/hyperlink" Target="http://www.libertaddigital.com/organismos/consejeria-de-sanidad-de-la-cam/" TargetMode="External"/><Relationship Id="rId680" Type="http://schemas.openxmlformats.org/officeDocument/2006/relationships/hyperlink" Target="http://www.elconfidencial.com/economia/2013-09-03/adios-al-ipc-las-pensiones-podran-perder-poder-adquisitivo-en-terminos-reales_24062/" TargetMode="External"/><Relationship Id="rId30" Type="http://schemas.openxmlformats.org/officeDocument/2006/relationships/hyperlink" Target="http://www.libremercado.com/2013-09-21/ha-muerto-el-estado-del-bienestar-1276499880/" TargetMode="External"/><Relationship Id="rId126" Type="http://schemas.openxmlformats.org/officeDocument/2006/relationships/hyperlink" Target="http://www.fedeablogs.net/economia/wp-content/uploads/sin-excusas-1.jpg" TargetMode="External"/><Relationship Id="rId168" Type="http://schemas.openxmlformats.org/officeDocument/2006/relationships/hyperlink" Target="http://blogs.wsj.com/economics/2012/05/19/number-of-the-week-student-loan-bubble/" TargetMode="External"/><Relationship Id="rId333" Type="http://schemas.openxmlformats.org/officeDocument/2006/relationships/hyperlink" Target="http://www.fedeablogs.net/economia/wp-content/uploads/nadaes15.1.png" TargetMode="External"/><Relationship Id="rId540" Type="http://schemas.openxmlformats.org/officeDocument/2006/relationships/hyperlink" Target="http://www.cotizalia.com/autores/S.-McCoy" TargetMode="External"/><Relationship Id="rId72" Type="http://schemas.openxmlformats.org/officeDocument/2006/relationships/image" Target="media/image36.jpeg"/><Relationship Id="rId375" Type="http://schemas.openxmlformats.org/officeDocument/2006/relationships/hyperlink" Target="http://www.fedea.es/pub/Papers/2010/dt2010-24.pdf" TargetMode="External"/><Relationship Id="rId582" Type="http://schemas.openxmlformats.org/officeDocument/2006/relationships/hyperlink" Target="http://www.libertaddigital.com/economia/el-fondo-de-reserva-de-la-seguridad-social-puede-agotarse-en-2020-1276404949/" TargetMode="External"/><Relationship Id="rId638" Type="http://schemas.openxmlformats.org/officeDocument/2006/relationships/hyperlink" Target="http://www.elconfidencial.com/fotos/noticias_2011/2013060724grafico3.jpg" TargetMode="External"/><Relationship Id="rId3" Type="http://schemas.openxmlformats.org/officeDocument/2006/relationships/styles" Target="styles.xml"/><Relationship Id="rId235" Type="http://schemas.openxmlformats.org/officeDocument/2006/relationships/hyperlink" Target="http://www.libremercado.com/2012-11-18/la-fp-dual-que-wert-quiere-imitar-las-claves-del-exito-de-suiza-1276474493/" TargetMode="External"/><Relationship Id="rId277" Type="http://schemas.openxmlformats.org/officeDocument/2006/relationships/hyperlink" Target="http://www.fedeablogs.net/economia/wp-content/uploads/cbeee6.jpg" TargetMode="External"/><Relationship Id="rId400" Type="http://schemas.openxmlformats.org/officeDocument/2006/relationships/hyperlink" Target="http://www.elconfidencial.com/alma-corazon-vida/2012/10/17/solo-un-medicamento-de-cada-tres-es-eficaz-de-verdad-107374/" TargetMode="External"/><Relationship Id="rId442" Type="http://schemas.openxmlformats.org/officeDocument/2006/relationships/hyperlink" Target="http://www.telemadrid.es/?q=noticias/madrid/noticia/lasquetty-%E2%80%9Ces-mentira-que-vayamos-entregar-la-sanidad-nadie" TargetMode="External"/><Relationship Id="rId484" Type="http://schemas.openxmlformats.org/officeDocument/2006/relationships/hyperlink" Target="http://www.abc.es/economia/20130624/abci-zapatero-pago-millones-pensionistas-201306241202.html" TargetMode="External"/><Relationship Id="rId137" Type="http://schemas.openxmlformats.org/officeDocument/2006/relationships/hyperlink" Target="http://www.fedeablogs.net/economia/?p=9843" TargetMode="External"/><Relationship Id="rId302" Type="http://schemas.openxmlformats.org/officeDocument/2006/relationships/hyperlink" Target="http://www.libremercado.com/2013-07-30/no-hay-cambios-en-la-dualidad-tras-un-ano-de-reforma-laboral-1276496307/" TargetMode="External"/><Relationship Id="rId344" Type="http://schemas.openxmlformats.org/officeDocument/2006/relationships/image" Target="media/image100.png"/><Relationship Id="rId41" Type="http://schemas.openxmlformats.org/officeDocument/2006/relationships/hyperlink" Target="http://s.libertaddigital.com/fotos/noticias/futuro_empresas_2.jpg" TargetMode="External"/><Relationship Id="rId83" Type="http://schemas.openxmlformats.org/officeDocument/2006/relationships/hyperlink" Target="http://www.fedeablogs.net/economia/?p=1554" TargetMode="External"/><Relationship Id="rId179" Type="http://schemas.openxmlformats.org/officeDocument/2006/relationships/hyperlink" Target="https://www.coursera.org/" TargetMode="External"/><Relationship Id="rId386" Type="http://schemas.openxmlformats.org/officeDocument/2006/relationships/hyperlink" Target="http://thebellamossfoundation.com/bmf/images/cpd_downloads/cpd11.pdf" TargetMode="External"/><Relationship Id="rId551" Type="http://schemas.openxmlformats.org/officeDocument/2006/relationships/hyperlink" Target="http://www.cotizalia.com/archivos/2010062441el%20suicidio%20demogr%C3%A1fico%20de%20espa%C3%B1a_aml.pdf" TargetMode="External"/><Relationship Id="rId593" Type="http://schemas.openxmlformats.org/officeDocument/2006/relationships/hyperlink" Target="http://www.libremercado.com/2013-01-30/no-todos-los-planes-de-pensiones-son-iguales-1276480387/" TargetMode="External"/><Relationship Id="rId607" Type="http://schemas.openxmlformats.org/officeDocument/2006/relationships/hyperlink" Target="http://www.fedeablogs.net/economia/wp-content/uploads/g3.png" TargetMode="External"/><Relationship Id="rId649" Type="http://schemas.openxmlformats.org/officeDocument/2006/relationships/hyperlink" Target="http://www.libertaddigital.com/documentos/compare-los-dos-sistemas-de-pensiones-26709576.html" TargetMode="External"/><Relationship Id="rId190" Type="http://schemas.openxmlformats.org/officeDocument/2006/relationships/hyperlink" Target="http://s.libertaddigital.com/fotos/noticias/seleccion_profesores_finlandia.jpg" TargetMode="External"/><Relationship Id="rId204" Type="http://schemas.openxmlformats.org/officeDocument/2006/relationships/image" Target="media/image64.jpeg"/><Relationship Id="rId246" Type="http://schemas.openxmlformats.org/officeDocument/2006/relationships/hyperlink" Target="http://www.fedeablogs.net/economia/wp-content/uploads/academy-3-2.jpg" TargetMode="External"/><Relationship Id="rId288" Type="http://schemas.openxmlformats.org/officeDocument/2006/relationships/hyperlink" Target="http://www.oecd.org/fr/" TargetMode="External"/><Relationship Id="rId411" Type="http://schemas.openxmlformats.org/officeDocument/2006/relationships/hyperlink" Target="http://www.nice.org.uk" TargetMode="External"/><Relationship Id="rId453" Type="http://schemas.openxmlformats.org/officeDocument/2006/relationships/hyperlink" Target="http://www.capiosanidad.es/pdf/Memoria_Actividad_Capio_Sanidad_2011.pdf" TargetMode="External"/><Relationship Id="rId509" Type="http://schemas.openxmlformats.org/officeDocument/2006/relationships/hyperlink" Target="http://isites.harvard.edu/fs/docs/icb.topic1118825.files/CluelessALL_Oct12.pdf" TargetMode="External"/><Relationship Id="rId660" Type="http://schemas.openxmlformats.org/officeDocument/2006/relationships/image" Target="media/image174.png"/><Relationship Id="rId106" Type="http://schemas.openxmlformats.org/officeDocument/2006/relationships/image" Target="media/image44.jpeg"/><Relationship Id="rId313" Type="http://schemas.openxmlformats.org/officeDocument/2006/relationships/hyperlink" Target="http://www.fedeablogs.net/economia/wp-content/uploads/PIAAC-2.jpg" TargetMode="External"/><Relationship Id="rId495" Type="http://schemas.openxmlformats.org/officeDocument/2006/relationships/hyperlink" Target="https://www.c3po.es/products-page/productos-de-firma-electronica/criptonita-tarjeta-criptografica-fnmt-rcm/" TargetMode="External"/><Relationship Id="rId10" Type="http://schemas.openxmlformats.org/officeDocument/2006/relationships/image" Target="media/image5.jpeg"/><Relationship Id="rId52" Type="http://schemas.openxmlformats.org/officeDocument/2006/relationships/hyperlink" Target="http://www.cambridge.org/us/academic/subjects/economics/public-economics-and-public-policy/public-debt-management-theory-and-history" TargetMode="External"/><Relationship Id="rId94" Type="http://schemas.openxmlformats.org/officeDocument/2006/relationships/hyperlink" Target="http://papers.nber.org/papers/w16606" TargetMode="External"/><Relationship Id="rId148" Type="http://schemas.openxmlformats.org/officeDocument/2006/relationships/hyperlink" Target="http://www.fedeablogs.net/economia/?p=7681" TargetMode="External"/><Relationship Id="rId355" Type="http://schemas.openxmlformats.org/officeDocument/2006/relationships/image" Target="media/image104.jpeg"/><Relationship Id="rId397" Type="http://schemas.openxmlformats.org/officeDocument/2006/relationships/hyperlink" Target="https://www.zn.nl/zn-english/" TargetMode="External"/><Relationship Id="rId520" Type="http://schemas.openxmlformats.org/officeDocument/2006/relationships/hyperlink" Target="http://www.uspreventiveservicestaskforce.org/adultrec.htm" TargetMode="External"/><Relationship Id="rId562" Type="http://schemas.openxmlformats.org/officeDocument/2006/relationships/image" Target="media/image146.jpeg"/><Relationship Id="rId618" Type="http://schemas.openxmlformats.org/officeDocument/2006/relationships/hyperlink" Target="http://www.fedeablogs.net/economia/?attachment_id=28882" TargetMode="External"/><Relationship Id="rId215" Type="http://schemas.openxmlformats.org/officeDocument/2006/relationships/hyperlink" Target="http://s.libertaddigital.com/fotos/noticias/ocde_educacion_graf_1.jpg" TargetMode="External"/><Relationship Id="rId257" Type="http://schemas.openxmlformats.org/officeDocument/2006/relationships/hyperlink" Target="http://www.libremercado.com/2013-06-28/los-profesores-espanoles-bien-pagados-mal-tratados-1276494021/" TargetMode="External"/><Relationship Id="rId422" Type="http://schemas.openxmlformats.org/officeDocument/2006/relationships/hyperlink" Target="http://www.econ.upf.edu/~puig/publicacions/Any%202012/638.pdf" TargetMode="External"/><Relationship Id="rId464" Type="http://schemas.openxmlformats.org/officeDocument/2006/relationships/hyperlink" Target="http://www.libertaddigital.com/espana/2013-01-07/miles-de-profesionales-sanitarios-se-manifiestan-en-madrid-tras-el-paron-navideno-1276478565/" TargetMode="External"/><Relationship Id="rId299" Type="http://schemas.openxmlformats.org/officeDocument/2006/relationships/hyperlink" Target="http://www.mecd.gob.es/inee/Ultimos_informes/PIAAC.html" TargetMode="External"/><Relationship Id="rId63" Type="http://schemas.openxmlformats.org/officeDocument/2006/relationships/image" Target="media/image33.jpeg"/><Relationship Id="rId159" Type="http://schemas.openxmlformats.org/officeDocument/2006/relationships/hyperlink" Target="http://www.libremercado.com/2012-10-26/la-tasa-de-paro-juvenil-se-situa-en-el-5234-1276472523/" TargetMode="External"/><Relationship Id="rId366" Type="http://schemas.openxmlformats.org/officeDocument/2006/relationships/image" Target="media/image110.png"/><Relationship Id="rId573" Type="http://schemas.openxmlformats.org/officeDocument/2006/relationships/hyperlink" Target="http://www.libertaddigital.com/economia/el-fondo-de-reserva-de-la-seguridad-social-puede-agotarse-en-2020-1276404949/" TargetMode="External"/><Relationship Id="rId226" Type="http://schemas.openxmlformats.org/officeDocument/2006/relationships/image" Target="media/image71.jpeg"/><Relationship Id="rId433" Type="http://schemas.openxmlformats.org/officeDocument/2006/relationships/hyperlink" Target="http://www.aemps.gob.es/medicamentosUsoHumano/informesPublicos/home.htm" TargetMode="External"/><Relationship Id="rId640" Type="http://schemas.openxmlformats.org/officeDocument/2006/relationships/hyperlink" Target="http://www.elconfidencial.com/fotos/noticias_2011/201306076grafico4.jpg" TargetMode="External"/><Relationship Id="rId74" Type="http://schemas.openxmlformats.org/officeDocument/2006/relationships/hyperlink" Target="http://www.fedeablogs.net/economia/wp-content/uploads/graficos-universidad-4.jpg" TargetMode="External"/><Relationship Id="rId377" Type="http://schemas.openxmlformats.org/officeDocument/2006/relationships/image" Target="media/image116.jpeg"/><Relationship Id="rId500" Type="http://schemas.openxmlformats.org/officeDocument/2006/relationships/hyperlink" Target="http://ccaa.elpais.com/ccaa/2013/09/11/madrid/1378901142_037649.html" TargetMode="External"/><Relationship Id="rId584" Type="http://schemas.openxmlformats.org/officeDocument/2006/relationships/hyperlink" Target="http://www.libertaddigital.com/economia/mitos-y-realidades-del-sistema-espanol-de-pensiones-1276403826/" TargetMode="External"/><Relationship Id="rId5" Type="http://schemas.openxmlformats.org/officeDocument/2006/relationships/settings" Target="settings.xml"/><Relationship Id="rId237" Type="http://schemas.openxmlformats.org/officeDocument/2006/relationships/hyperlink" Target="http://www.libremercado.com/2012-02-09/espana-destruye-el-90-del-empleo-temporal-en-la-ue-1276449537/" TargetMode="External"/><Relationship Id="rId444" Type="http://schemas.openxmlformats.org/officeDocument/2006/relationships/hyperlink" Target="http://www.elconfidencial.com/sociedad/2012/11/28/una-marea-blanca-marcha-en-madrid-contra-la-privatizacion-de-la-sanidad-110115/" TargetMode="External"/><Relationship Id="rId651" Type="http://schemas.openxmlformats.org/officeDocument/2006/relationships/hyperlink" Target="http://www.libertaddigital.com/economia/capitalizar-las-pensiones-permitiria-jubilarse-a-los-45-anos-con-2169-euros-1276401467/" TargetMode="External"/><Relationship Id="rId290" Type="http://schemas.openxmlformats.org/officeDocument/2006/relationships/hyperlink" Target="http://www.libremercado.com/2013-06-25/la-ocde-desmonta-los-grandes-mitos-sobre-la-educacion-espanola-1276493806/" TargetMode="External"/><Relationship Id="rId304" Type="http://schemas.openxmlformats.org/officeDocument/2006/relationships/hyperlink" Target="http://www.libremercado.com/2013-02-23/el-gobierno-anade-tres-nuevos-contratos-a-la-marana-de-la-legislacion-laboral-1276483100/" TargetMode="External"/><Relationship Id="rId388" Type="http://schemas.openxmlformats.org/officeDocument/2006/relationships/hyperlink" Target="http://es.wikipedia.org/wiki/Bacteri%C3%B3fago" TargetMode="External"/><Relationship Id="rId511" Type="http://schemas.openxmlformats.org/officeDocument/2006/relationships/hyperlink" Target="http://www.sedisa.net/" TargetMode="External"/><Relationship Id="rId609" Type="http://schemas.openxmlformats.org/officeDocument/2006/relationships/hyperlink" Target="http://www.fedeablogs.net/economia/wp-content/uploads/g5.png" TargetMode="External"/><Relationship Id="rId85" Type="http://schemas.openxmlformats.org/officeDocument/2006/relationships/hyperlink" Target="http://www.fedeablogs.net/economia/wp-content/uploads/graf3.jpg" TargetMode="External"/><Relationship Id="rId150" Type="http://schemas.openxmlformats.org/officeDocument/2006/relationships/hyperlink" Target="http://www.fedeablogs.net/economia/?p=14960" TargetMode="External"/><Relationship Id="rId595" Type="http://schemas.openxmlformats.org/officeDocument/2006/relationships/hyperlink" Target="http://www.pensionsmyndigheten.se/ValkommenTillPensionsmyndigheten_es.html" TargetMode="External"/><Relationship Id="rId248" Type="http://schemas.openxmlformats.org/officeDocument/2006/relationships/hyperlink" Target="http://www.fedeablogs.net/economia/wp-content/uploads/academy-4-4.jpg" TargetMode="External"/><Relationship Id="rId455" Type="http://schemas.openxmlformats.org/officeDocument/2006/relationships/hyperlink" Target="http://www.valenciaplaza.com/ver/43069" TargetMode="External"/><Relationship Id="rId662" Type="http://schemas.openxmlformats.org/officeDocument/2006/relationships/image" Target="media/image175.png"/><Relationship Id="rId12" Type="http://schemas.openxmlformats.org/officeDocument/2006/relationships/image" Target="media/image7.jpeg"/><Relationship Id="rId108" Type="http://schemas.openxmlformats.org/officeDocument/2006/relationships/image" Target="media/image45.jpeg"/><Relationship Id="rId315" Type="http://schemas.openxmlformats.org/officeDocument/2006/relationships/hyperlink" Target="http://www.fedeablogs.net/economia/wp-content/uploads/PIAAC-3.jpg" TargetMode="External"/><Relationship Id="rId522" Type="http://schemas.openxmlformats.org/officeDocument/2006/relationships/hyperlink" Target="http://www.clinicajoaquinlamela.com/clinica_cv.htm" TargetMode="External"/><Relationship Id="rId96" Type="http://schemas.openxmlformats.org/officeDocument/2006/relationships/image" Target="media/image42.jpeg"/><Relationship Id="rId161" Type="http://schemas.openxmlformats.org/officeDocument/2006/relationships/hyperlink" Target="http://www.swissinfo.ch/spa/economia/Estudiar_y_trabajar,_paliativo_contra_el_paro_juvenil.html?cid=31522788" TargetMode="External"/><Relationship Id="rId399" Type="http://schemas.openxmlformats.org/officeDocument/2006/relationships/image" Target="media/image123.jpeg"/><Relationship Id="rId259" Type="http://schemas.openxmlformats.org/officeDocument/2006/relationships/hyperlink" Target="http://www.elconfidencial.com/alma-corazon-vida/2013-08-09/es-posible-cobrar-4-millones-de-dolares-por-ser-profesor-pero-solo-en-corea_16141/" TargetMode="External"/><Relationship Id="rId466" Type="http://schemas.openxmlformats.org/officeDocument/2006/relationships/hyperlink" Target="http://www.libremercado.com/2012-11-27/la-gran-ventaja-es-la-gestion-eficiente-de-los-recursos-1276475399/" TargetMode="External"/><Relationship Id="rId673" Type="http://schemas.openxmlformats.org/officeDocument/2006/relationships/hyperlink" Target="http://www.libremercado.com/2013-09-03/banez-anuncia-dos-recortes-a-las-pensiones-para-salvar-la-sostenibilidad-del-sistema-1276498476/" TargetMode="External"/><Relationship Id="rId23" Type="http://schemas.openxmlformats.org/officeDocument/2006/relationships/image" Target="media/image18.jpeg"/><Relationship Id="rId119" Type="http://schemas.openxmlformats.org/officeDocument/2006/relationships/image" Target="media/image48.jpeg"/><Relationship Id="rId326" Type="http://schemas.openxmlformats.org/officeDocument/2006/relationships/hyperlink" Target="http://www.fedeablogs.net/economia/?author=10" TargetMode="External"/><Relationship Id="rId533" Type="http://schemas.openxmlformats.org/officeDocument/2006/relationships/image" Target="media/image136.jpeg"/><Relationship Id="rId172" Type="http://schemas.openxmlformats.org/officeDocument/2006/relationships/hyperlink" Target="http://www.amazon.com/Academically-Adrift-Limited-Learning-Campuses/dp/0226028569" TargetMode="External"/><Relationship Id="rId477" Type="http://schemas.openxmlformats.org/officeDocument/2006/relationships/hyperlink" Target="http://vozpopuli.com/empresas/27294-mas-aprueba-subvenciones-de-6-585-000-euros-para-medios-de-comunicacion-en-catalan" TargetMode="External"/><Relationship Id="rId600" Type="http://schemas.openxmlformats.org/officeDocument/2006/relationships/hyperlink" Target="http://www.socialprotection.eu/files_db/1289/asisp_ANR12_SWEDEN.pdf" TargetMode="External"/><Relationship Id="rId684" Type="http://schemas.openxmlformats.org/officeDocument/2006/relationships/hyperlink" Target="http://www.libremercado.com/2013-10-02/la-hucha-de-las-pensiones-podria-vaciarse-en-menos-de-cinco-anos-1276500736/" TargetMode="External"/><Relationship Id="rId337" Type="http://schemas.openxmlformats.org/officeDocument/2006/relationships/image" Target="media/image96.png"/><Relationship Id="rId34" Type="http://schemas.openxmlformats.org/officeDocument/2006/relationships/hyperlink" Target="http://www.libremercado.com/2013-09-07/pensiones-en-suecia-la-reforma-que-el-pp-no-se-atreve-a-hacer-1276498823/" TargetMode="External"/><Relationship Id="rId544" Type="http://schemas.openxmlformats.org/officeDocument/2006/relationships/hyperlink" Target="http://www.nytimes.com/2012/06/07/us/politics/san-diego-and-san-jose-pass-pension-cuts.html?_r=1&amp;smid=tw-nytimes&amp;seid=auto" TargetMode="External"/><Relationship Id="rId183" Type="http://schemas.openxmlformats.org/officeDocument/2006/relationships/hyperlink" Target="http://www.fedeablogs.net/presentaciones/la-LOMCE-AC-v3.pdf" TargetMode="External"/><Relationship Id="rId390" Type="http://schemas.openxmlformats.org/officeDocument/2006/relationships/image" Target="media/image120.jpeg"/><Relationship Id="rId404" Type="http://schemas.openxmlformats.org/officeDocument/2006/relationships/hyperlink" Target="http://www.fedeablogs.net/economia/wp-content/uploads/figurapostgestion.png" TargetMode="External"/><Relationship Id="rId611" Type="http://schemas.openxmlformats.org/officeDocument/2006/relationships/hyperlink" Target="http://www.fedea.net/propuestas/pensiones/" TargetMode="External"/><Relationship Id="rId250" Type="http://schemas.openxmlformats.org/officeDocument/2006/relationships/hyperlink" Target="http://www.fedeablogs.net/economia/?p=22134" TargetMode="External"/><Relationship Id="rId488" Type="http://schemas.openxmlformats.org/officeDocument/2006/relationships/hyperlink" Target="http://diego-sanchez-de-la-cruz.libremercado.com/2013/06/18/la-mentira-de-la-austeridad-expuesta-una-vez-mas/" TargetMode="External"/><Relationship Id="rId45" Type="http://schemas.openxmlformats.org/officeDocument/2006/relationships/hyperlink" Target="http://s.libertaddigital.com/fotos/noticias/CONTR03.jpg" TargetMode="External"/><Relationship Id="rId110" Type="http://schemas.openxmlformats.org/officeDocument/2006/relationships/image" Target="media/image46.jpeg"/><Relationship Id="rId348" Type="http://schemas.openxmlformats.org/officeDocument/2006/relationships/hyperlink" Target="http://www.fedeablogs.net/economia/wp-content/uploads/PIIAC-1.jpg" TargetMode="External"/><Relationship Id="rId555" Type="http://schemas.openxmlformats.org/officeDocument/2006/relationships/image" Target="media/image142.jpeg"/><Relationship Id="rId194" Type="http://schemas.openxmlformats.org/officeDocument/2006/relationships/hyperlink" Target="http://www.fedeablogs.net/economia/?p=2581" TargetMode="External"/><Relationship Id="rId208" Type="http://schemas.openxmlformats.org/officeDocument/2006/relationships/image" Target="media/image66.jpeg"/><Relationship Id="rId415" Type="http://schemas.openxmlformats.org/officeDocument/2006/relationships/hyperlink" Target="http://pilleconomics.blogspot.com/2011/12/jo-convido-tu-pagues.html" TargetMode="External"/><Relationship Id="rId622" Type="http://schemas.openxmlformats.org/officeDocument/2006/relationships/hyperlink" Target="http://www.fedeablogs.net/economia/?attachment_id=28838" TargetMode="External"/><Relationship Id="rId261" Type="http://schemas.openxmlformats.org/officeDocument/2006/relationships/hyperlink" Target="http://www.elconfidencial.com/alma-corazon-vida/2012/03/27/las-nuevas-escuelas-solo-para-chicas-hacen-a-la-mujer-mas-fuerte-95049" TargetMode="External"/><Relationship Id="rId499" Type="http://schemas.openxmlformats.org/officeDocument/2006/relationships/hyperlink" Target="http://www.fedeablogs.net/economia/?author=24" TargetMode="External"/><Relationship Id="rId56" Type="http://schemas.openxmlformats.org/officeDocument/2006/relationships/hyperlink" Target="http://www.fedeablogs.net/economia/wp-content/uploads/graficos_post_video_game_def-1.jpg" TargetMode="External"/><Relationship Id="rId359" Type="http://schemas.openxmlformats.org/officeDocument/2006/relationships/hyperlink" Target="http://www.fedeablogs.net/economia/wp-content/uploads/figura11.png" TargetMode="External"/><Relationship Id="rId566" Type="http://schemas.openxmlformats.org/officeDocument/2006/relationships/hyperlink" Target="http://www.fedeablogs.net/economia/wp-content/uploads/pet-figura1.png" TargetMode="External"/><Relationship Id="rId121" Type="http://schemas.openxmlformats.org/officeDocument/2006/relationships/image" Target="media/image50.jpeg"/><Relationship Id="rId219" Type="http://schemas.openxmlformats.org/officeDocument/2006/relationships/hyperlink" Target="http://www.libertaddigital.com/espana/2013-06-25/wert-revisara-la-nota-para-acceder-a-las-becas-tras-las-criticas-en-su-propio-partido-1276493759/" TargetMode="External"/><Relationship Id="rId426" Type="http://schemas.openxmlformats.org/officeDocument/2006/relationships/hyperlink" Target="http://www.york.ac.uk/media/che/documents/papers/researchpapers/CHERP75_Using_economic_evaluations_for_reimbursement_decisions.pdf" TargetMode="External"/><Relationship Id="rId633" Type="http://schemas.openxmlformats.org/officeDocument/2006/relationships/hyperlink" Target="http://www.elconfidencial.com/archivos/ec/2013060784informesostenibilidad.pdf" TargetMode="External"/><Relationship Id="rId67" Type="http://schemas.openxmlformats.org/officeDocument/2006/relationships/hyperlink" Target="http://www.fedeablogs.net/economia/wp-content/uploads/graficos-universidad-11.jpg" TargetMode="External"/><Relationship Id="rId272" Type="http://schemas.openxmlformats.org/officeDocument/2006/relationships/hyperlink" Target="http://www.fedeablogs.net/economia/wp-content/uploads/cbeee4.jpg" TargetMode="External"/><Relationship Id="rId577" Type="http://schemas.openxmlformats.org/officeDocument/2006/relationships/hyperlink" Target="http://www.libertaddigital.com/economia/mitos-y-realidades-del-sistema-espanol-de-pensiones-1276403826/" TargetMode="External"/><Relationship Id="rId132" Type="http://schemas.openxmlformats.org/officeDocument/2006/relationships/hyperlink" Target="http://www.fedeablogs.net/economia/wp-content/uploads/sin-excusas-41.jpg" TargetMode="External"/><Relationship Id="rId437" Type="http://schemas.openxmlformats.org/officeDocument/2006/relationships/hyperlink" Target="http://www.fedeablogs.net/economia/?p=30594" TargetMode="External"/><Relationship Id="rId644" Type="http://schemas.openxmlformats.org/officeDocument/2006/relationships/hyperlink" Target="http://www.libertaddigital.com/economia/como-se-reducira-su-pension-tras-esta-reforma-1276413107/" TargetMode="External"/><Relationship Id="rId283" Type="http://schemas.openxmlformats.org/officeDocument/2006/relationships/hyperlink" Target="http://www.elconfidencial.com/alma-corazon-vida/2013/02/18/asi-sera-la-escuela-del-futuro-si-no-desaparece-antes-114373/" TargetMode="External"/><Relationship Id="rId490" Type="http://schemas.openxmlformats.org/officeDocument/2006/relationships/hyperlink" Target="http://www.libremercado.com/2013-06-21/las-falacias-de-rajoy-y-montoro-sobre-los-recortes-de-gasto-publico-1276493417/" TargetMode="External"/><Relationship Id="rId504" Type="http://schemas.openxmlformats.org/officeDocument/2006/relationships/hyperlink" Target="http://www.elboletin.com/nacional/82319/marhuenda-defiende-privatizacion-hospitales.html" TargetMode="External"/><Relationship Id="rId78" Type="http://schemas.openxmlformats.org/officeDocument/2006/relationships/hyperlink" Target="http://www.fedeablogs.net/economia/wp-content/uploads/graf1.jpg" TargetMode="External"/><Relationship Id="rId143" Type="http://schemas.openxmlformats.org/officeDocument/2006/relationships/image" Target="media/image57.png"/><Relationship Id="rId350" Type="http://schemas.openxmlformats.org/officeDocument/2006/relationships/hyperlink" Target="http://www.fedeablogs.net/economia/wp-content/uploads/PIAAC-21.jpg" TargetMode="External"/><Relationship Id="rId588" Type="http://schemas.openxmlformats.org/officeDocument/2006/relationships/hyperlink" Target="http://s.libertaddigital.com/fotos/noticias/planes_pensiones_rentabilidades.jpg" TargetMode="External"/><Relationship Id="rId9" Type="http://schemas.openxmlformats.org/officeDocument/2006/relationships/image" Target="media/image4.jpeg"/><Relationship Id="rId210" Type="http://schemas.openxmlformats.org/officeDocument/2006/relationships/image" Target="media/image67.png"/><Relationship Id="rId448" Type="http://schemas.openxmlformats.org/officeDocument/2006/relationships/hyperlink" Target="http://ecodiario.eleconomista.es/politica/noticias/4521789/01/13/La-empresa-de-Guemes-se-queda-con-la-gestion-de-los-analisis-clinicos-que-el-mismo-privatizo.html" TargetMode="External"/><Relationship Id="rId655" Type="http://schemas.openxmlformats.org/officeDocument/2006/relationships/hyperlink" Target="http://prensa.empleo.gob.es/WebPrensa/noticias/seguridadsocial/detalle/2027" TargetMode="External"/><Relationship Id="rId294" Type="http://schemas.openxmlformats.org/officeDocument/2006/relationships/hyperlink" Target="http://www.oecd.org/centrodemexico/laocde/" TargetMode="External"/><Relationship Id="rId308" Type="http://schemas.openxmlformats.org/officeDocument/2006/relationships/hyperlink" Target="http://www.ets.org/" TargetMode="External"/><Relationship Id="rId515" Type="http://schemas.openxmlformats.org/officeDocument/2006/relationships/hyperlink" Target="https://www.change.org/es/peticiones/ministerio-de-sanidad-que-se-puedan-dispensar-los-medicamentos-por-unidades?alert_id=YxwsQEBQHX_uALYuIYsJt&amp;utm_campaign=36429&amp;utm_medium=email&amp;utm_source=action_alert" TargetMode="External"/><Relationship Id="rId89" Type="http://schemas.openxmlformats.org/officeDocument/2006/relationships/hyperlink" Target="http://dl.dropbox.com/u/2021568/hanoushek.pdf" TargetMode="External"/><Relationship Id="rId154" Type="http://schemas.openxmlformats.org/officeDocument/2006/relationships/hyperlink" Target="http://www.libremercado.com/2012-11-09/las-claves-de-la-fp-dual-aprobada-por-el-gobierno-1276473765/" TargetMode="External"/><Relationship Id="rId361" Type="http://schemas.openxmlformats.org/officeDocument/2006/relationships/hyperlink" Target="http://www.fedeablogs.net/economia/wp-content/uploads/figura21.png" TargetMode="External"/><Relationship Id="rId599" Type="http://schemas.openxmlformats.org/officeDocument/2006/relationships/hyperlink" Target="http://www.libremercado.com/2013-09-02/las-pensiones-no-estaran-ligadas-al-ipc-a-partir-de-2019-1276498460/" TargetMode="External"/><Relationship Id="rId459" Type="http://schemas.openxmlformats.org/officeDocument/2006/relationships/hyperlink" Target="http://sociedad.elpais.com/sociedad/2012/04/02/actualidad/1333393401_459499.html" TargetMode="External"/><Relationship Id="rId666" Type="http://schemas.openxmlformats.org/officeDocument/2006/relationships/hyperlink" Target="http://economia.elpais.com/economia/2013/08/31/actualidad/1377975495_538717.html" TargetMode="External"/><Relationship Id="rId16" Type="http://schemas.openxmlformats.org/officeDocument/2006/relationships/image" Target="media/image11.jpeg"/><Relationship Id="rId221" Type="http://schemas.openxmlformats.org/officeDocument/2006/relationships/hyperlink" Target="http://www.libertaddigital.com/economia/estado-social-asi-arrincona-espana-a-los-jovenes-sin-recursos-1276415476/" TargetMode="External"/><Relationship Id="rId319" Type="http://schemas.openxmlformats.org/officeDocument/2006/relationships/hyperlink" Target="http://www.fedeablogs.net/economia/?p=30817" TargetMode="External"/><Relationship Id="rId526" Type="http://schemas.openxmlformats.org/officeDocument/2006/relationships/hyperlink" Target="http://www.libertaddigital.com/lugares/comunidad-de-madrid/" TargetMode="External"/><Relationship Id="rId165" Type="http://schemas.openxmlformats.org/officeDocument/2006/relationships/image" Target="media/image59.jpeg"/><Relationship Id="rId372" Type="http://schemas.openxmlformats.org/officeDocument/2006/relationships/image" Target="media/image113.png"/><Relationship Id="rId677" Type="http://schemas.openxmlformats.org/officeDocument/2006/relationships/hyperlink" Target="http://www.libremercado.com/2013-09-03/banez-anuncia-dos-recortes-a-las-pensiones-para-salvar-la-sostenibilidad-del-sistema-1276498476/" TargetMode="External"/><Relationship Id="rId232" Type="http://schemas.openxmlformats.org/officeDocument/2006/relationships/hyperlink" Target="http://www.coiim.es/Revista/Pages/Todos%20los%20Numeros.aspx" TargetMode="External"/><Relationship Id="rId27" Type="http://schemas.openxmlformats.org/officeDocument/2006/relationships/hyperlink" Target="http://www.libremercado.com/2013-09-17/el-rey-de-holanda-anuncia-nuevos-recortes-por-valor-de-6000-millones-1276499625/" TargetMode="External"/><Relationship Id="rId537" Type="http://schemas.openxmlformats.org/officeDocument/2006/relationships/image" Target="media/image138.jpeg"/><Relationship Id="rId80" Type="http://schemas.openxmlformats.org/officeDocument/2006/relationships/hyperlink" Target="http://www.fedeablogs.net/economia/wp-content/uploads/graf22.jpg" TargetMode="External"/><Relationship Id="rId176" Type="http://schemas.openxmlformats.org/officeDocument/2006/relationships/hyperlink" Target="http://www.youtube.com/watch?v=g3hc6LoAlu0" TargetMode="External"/><Relationship Id="rId383" Type="http://schemas.openxmlformats.org/officeDocument/2006/relationships/hyperlink" Target="http://www.southernnevadahealthdistrict.org/health-topics/sp-ca-mrsa.php" TargetMode="External"/><Relationship Id="rId590" Type="http://schemas.openxmlformats.org/officeDocument/2006/relationships/hyperlink" Target="http://www.libertaddigital.com/economia/compensa-contratar-un-plan-de-pensiones-en-espana-1276414139/" TargetMode="External"/><Relationship Id="rId604" Type="http://schemas.openxmlformats.org/officeDocument/2006/relationships/hyperlink" Target="http://www.fedeablogs.net/economia/wp-content/uploads/g1.png" TargetMode="External"/><Relationship Id="rId243" Type="http://schemas.openxmlformats.org/officeDocument/2006/relationships/hyperlink" Target="http://sole-jole.org/13359.pdf" TargetMode="External"/><Relationship Id="rId450" Type="http://schemas.openxmlformats.org/officeDocument/2006/relationships/hyperlink" Target="http://www.lne.es/sociedad-cultura/2013/01/08/asturiano-victor-madera-preside-mayor-grupo-sanitario-privado-pais/1350991.html" TargetMode="External"/><Relationship Id="rId38" Type="http://schemas.openxmlformats.org/officeDocument/2006/relationships/image" Target="media/image23.jpeg"/><Relationship Id="rId103" Type="http://schemas.openxmlformats.org/officeDocument/2006/relationships/hyperlink" Target="http://www.fedeablogs.net/economia/wp-content/uploads/teaching-styles-1.jpg" TargetMode="External"/><Relationship Id="rId310" Type="http://schemas.openxmlformats.org/officeDocument/2006/relationships/hyperlink" Target="http://www.ets.org/toefl" TargetMode="External"/><Relationship Id="rId548" Type="http://schemas.openxmlformats.org/officeDocument/2006/relationships/hyperlink" Target="http://www.pnas.org/content/early/2012/08/13/1211452109" TargetMode="External"/><Relationship Id="rId91" Type="http://schemas.openxmlformats.org/officeDocument/2006/relationships/hyperlink" Target="http://www.fedeablogs.net/economia/?p=8480" TargetMode="External"/><Relationship Id="rId187" Type="http://schemas.openxmlformats.org/officeDocument/2006/relationships/hyperlink" Target="http://mckinseyonsociety.com/how-the-worlds-best-performing-schools-come-out-on-top/" TargetMode="External"/><Relationship Id="rId394" Type="http://schemas.openxmlformats.org/officeDocument/2006/relationships/hyperlink" Target="http://www.healthpowerhouse.com/files/Report-EHCI-2012.pdf" TargetMode="External"/><Relationship Id="rId408" Type="http://schemas.openxmlformats.org/officeDocument/2006/relationships/hyperlink" Target="http://www.facme.es/comunicados/comunicado11.pdf" TargetMode="External"/><Relationship Id="rId615" Type="http://schemas.openxmlformats.org/officeDocument/2006/relationships/hyperlink" Target="http://estatico.vozpopuli.com/upload/Javier_Ruiz/consumo-x-edad.jpg"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C133B8-3D11-49B4-AD62-F59CD32F5A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615</Pages>
  <Words>274546</Words>
  <Characters>1510008</Characters>
  <Application>Microsoft Office Word</Application>
  <DocSecurity>0</DocSecurity>
  <Lines>12583</Lines>
  <Paragraphs>3561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1780993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Usuario</cp:lastModifiedBy>
  <cp:revision>2</cp:revision>
  <dcterms:created xsi:type="dcterms:W3CDTF">2014-06-22T13:43:00Z</dcterms:created>
  <dcterms:modified xsi:type="dcterms:W3CDTF">2014-06-22T13:43:00Z</dcterms:modified>
</cp:coreProperties>
</file>