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29A4" w:rsidRDefault="003D29A4" w:rsidP="003D29A4">
      <w:pPr>
        <w:spacing w:line="240" w:lineRule="auto"/>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Ensayo - El adiós europeo al Estado del Bienestar: la “sociedad participativa”, el “gasto social privado”, la “gran sociedad”, y demás experimentos de laboratorio (¿otra vez el triunfo de la ideología sobre la razón?) (Parte II)</w:t>
      </w:r>
    </w:p>
    <w:p w:rsidR="00920DF1" w:rsidRDefault="003D29A4" w:rsidP="00387350">
      <w:pPr>
        <w:spacing w:line="240" w:lineRule="auto"/>
        <w:rPr>
          <w:rFonts w:ascii="Times New Roman" w:hAnsi="Times New Roman" w:cs="Times New Roman"/>
          <w:b/>
          <w:sz w:val="24"/>
          <w:szCs w:val="24"/>
        </w:rPr>
      </w:pPr>
      <w:r w:rsidRPr="003D29A4">
        <w:rPr>
          <w:rFonts w:ascii="Times New Roman" w:hAnsi="Times New Roman" w:cs="Times New Roman"/>
          <w:b/>
          <w:sz w:val="24"/>
          <w:szCs w:val="24"/>
        </w:rPr>
        <w:t>-</w:t>
      </w:r>
      <w:r>
        <w:rPr>
          <w:rFonts w:ascii="Times New Roman" w:hAnsi="Times New Roman" w:cs="Times New Roman"/>
          <w:b/>
          <w:sz w:val="24"/>
          <w:szCs w:val="24"/>
        </w:rPr>
        <w:t xml:space="preserve"> </w:t>
      </w:r>
      <w:r w:rsidR="000A3DC2">
        <w:rPr>
          <w:rFonts w:ascii="Times New Roman" w:hAnsi="Times New Roman" w:cs="Times New Roman"/>
          <w:b/>
          <w:sz w:val="24"/>
          <w:szCs w:val="24"/>
        </w:rPr>
        <w:t>“D</w:t>
      </w:r>
      <w:r w:rsidR="00012B47">
        <w:rPr>
          <w:rFonts w:ascii="Times New Roman" w:hAnsi="Times New Roman" w:cs="Times New Roman"/>
          <w:b/>
          <w:sz w:val="24"/>
          <w:szCs w:val="24"/>
        </w:rPr>
        <w:t>el</w:t>
      </w:r>
      <w:r w:rsidR="008606E4">
        <w:rPr>
          <w:rFonts w:ascii="Times New Roman" w:hAnsi="Times New Roman" w:cs="Times New Roman"/>
          <w:b/>
          <w:sz w:val="24"/>
          <w:szCs w:val="24"/>
        </w:rPr>
        <w:t xml:space="preserve"> baúl de los recuerdos</w:t>
      </w:r>
      <w:r w:rsidR="000A3DC2">
        <w:rPr>
          <w:rFonts w:ascii="Times New Roman" w:hAnsi="Times New Roman" w:cs="Times New Roman"/>
          <w:b/>
          <w:sz w:val="24"/>
          <w:szCs w:val="24"/>
        </w:rPr>
        <w:t>”: base de datos</w:t>
      </w:r>
      <w:r w:rsidR="008606E4">
        <w:rPr>
          <w:rFonts w:ascii="Times New Roman" w:hAnsi="Times New Roman" w:cs="Times New Roman"/>
          <w:b/>
          <w:sz w:val="24"/>
          <w:szCs w:val="24"/>
        </w:rPr>
        <w:t xml:space="preserve"> (antes que nos borren la memoria)</w:t>
      </w:r>
    </w:p>
    <w:p w:rsidR="008606E4" w:rsidRDefault="008606E4" w:rsidP="00387350">
      <w:pPr>
        <w:spacing w:line="240" w:lineRule="auto"/>
        <w:rPr>
          <w:rFonts w:ascii="Times New Roman" w:hAnsi="Times New Roman" w:cs="Times New Roman"/>
          <w:b/>
          <w:sz w:val="24"/>
          <w:szCs w:val="24"/>
        </w:rPr>
      </w:pPr>
      <w:r>
        <w:rPr>
          <w:rFonts w:ascii="Times New Roman" w:hAnsi="Times New Roman" w:cs="Times New Roman"/>
          <w:b/>
          <w:sz w:val="24"/>
          <w:szCs w:val="24"/>
        </w:rPr>
        <w:t>Anexo I: Las causas (la calle del adiós)</w:t>
      </w:r>
    </w:p>
    <w:p w:rsidR="008606E4" w:rsidRDefault="008606E4" w:rsidP="00387350">
      <w:pPr>
        <w:spacing w:line="240" w:lineRule="auto"/>
        <w:rPr>
          <w:rFonts w:ascii="Times New Roman" w:hAnsi="Times New Roman" w:cs="Times New Roman"/>
          <w:b/>
          <w:sz w:val="24"/>
          <w:szCs w:val="24"/>
        </w:rPr>
      </w:pPr>
      <w:r>
        <w:rPr>
          <w:rFonts w:ascii="Times New Roman" w:hAnsi="Times New Roman" w:cs="Times New Roman"/>
          <w:b/>
          <w:sz w:val="24"/>
          <w:szCs w:val="24"/>
        </w:rPr>
        <w:t xml:space="preserve">- Déficits públicos </w:t>
      </w:r>
      <w:r w:rsidRPr="008606E4">
        <w:rPr>
          <w:rFonts w:ascii="Times New Roman" w:hAnsi="Times New Roman" w:cs="Times New Roman"/>
          <w:b/>
          <w:sz w:val="24"/>
          <w:szCs w:val="24"/>
        </w:rPr>
        <w:t>(austeras ilusiones)</w:t>
      </w:r>
    </w:p>
    <w:p w:rsidR="00055DEF" w:rsidRDefault="00055DEF" w:rsidP="00387350">
      <w:pPr>
        <w:spacing w:line="240" w:lineRule="auto"/>
        <w:rPr>
          <w:rFonts w:ascii="Times New Roman" w:hAnsi="Times New Roman" w:cs="Times New Roman"/>
          <w:b/>
          <w:sz w:val="24"/>
          <w:szCs w:val="24"/>
        </w:rPr>
      </w:pPr>
      <w:r>
        <w:rPr>
          <w:rFonts w:ascii="Times New Roman" w:eastAsia="Times New Roman" w:hAnsi="Times New Roman"/>
          <w:noProof/>
          <w:sz w:val="24"/>
          <w:szCs w:val="24"/>
          <w:lang w:eastAsia="es-ES"/>
        </w:rPr>
        <w:drawing>
          <wp:inline distT="0" distB="0" distL="0" distR="0" wp14:anchorId="05D4CABC" wp14:editId="4F724FEF">
            <wp:extent cx="5332780" cy="2238451"/>
            <wp:effectExtent l="0" t="0" r="1270" b="9525"/>
            <wp:docPr id="12" name="Imagen 12" descr="1328880808_706589_1328895755_noticia_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328880808_706589_1328895755_noticia_norma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32730" cy="2238430"/>
                    </a:xfrm>
                    <a:prstGeom prst="rect">
                      <a:avLst/>
                    </a:prstGeom>
                    <a:noFill/>
                    <a:ln>
                      <a:noFill/>
                    </a:ln>
                  </pic:spPr>
                </pic:pic>
              </a:graphicData>
            </a:graphic>
          </wp:inline>
        </w:drawing>
      </w:r>
    </w:p>
    <w:p w:rsidR="00055DEF" w:rsidRPr="00055DEF" w:rsidRDefault="00055DEF" w:rsidP="00387350">
      <w:pPr>
        <w:spacing w:line="240" w:lineRule="auto"/>
        <w:jc w:val="both"/>
        <w:rPr>
          <w:rFonts w:ascii="Times New Roman" w:hAnsi="Times New Roman" w:cs="Times New Roman"/>
          <w:sz w:val="24"/>
          <w:szCs w:val="24"/>
        </w:rPr>
      </w:pPr>
      <w:r w:rsidRPr="00F94A23">
        <w:rPr>
          <w:rFonts w:ascii="Times New Roman" w:hAnsi="Times New Roman" w:cs="Times New Roman"/>
          <w:i/>
          <w:sz w:val="24"/>
          <w:szCs w:val="24"/>
        </w:rPr>
        <w:t xml:space="preserve">“Los hombres de Estado son como los cirujanos: sus errores son letales” </w:t>
      </w:r>
      <w:r w:rsidRPr="000F1FB8">
        <w:rPr>
          <w:rFonts w:ascii="Times New Roman" w:hAnsi="Times New Roman" w:cs="Times New Roman"/>
          <w:sz w:val="24"/>
          <w:szCs w:val="24"/>
        </w:rPr>
        <w:t>François Muriac</w:t>
      </w:r>
    </w:p>
    <w:p w:rsidR="00FB6025" w:rsidRDefault="00FB6025" w:rsidP="00387350">
      <w:pPr>
        <w:spacing w:line="240" w:lineRule="auto"/>
        <w:jc w:val="both"/>
        <w:rPr>
          <w:rFonts w:ascii="Times New Roman" w:hAnsi="Times New Roman"/>
          <w:sz w:val="24"/>
          <w:szCs w:val="24"/>
        </w:rPr>
      </w:pPr>
      <w:r>
        <w:rPr>
          <w:rFonts w:ascii="Times New Roman" w:hAnsi="Times New Roman"/>
          <w:sz w:val="24"/>
          <w:szCs w:val="24"/>
        </w:rPr>
        <w:t>“</w:t>
      </w:r>
      <w:r w:rsidR="008606E4" w:rsidRPr="008606E4">
        <w:rPr>
          <w:rFonts w:ascii="Times New Roman" w:hAnsi="Times New Roman"/>
          <w:sz w:val="24"/>
          <w:szCs w:val="24"/>
        </w:rPr>
        <w:t>El sector bancario recibió un total de ayudas públicas de 1,6 billones de euros entre octubre de 2008 y diciembre de 2010 procedente de los países de la Unión Europea (UE), lo que supone un 13 % del Producto Interior Bruto (PIB) europeo, según datos publicados hoy por la Comisión Europea (CE).</w:t>
      </w:r>
      <w:r w:rsidR="003D29A4">
        <w:rPr>
          <w:rFonts w:ascii="Times New Roman" w:hAnsi="Times New Roman"/>
          <w:sz w:val="24"/>
          <w:szCs w:val="24"/>
        </w:rPr>
        <w:t xml:space="preserve"> </w:t>
      </w:r>
      <w:r w:rsidR="008606E4" w:rsidRPr="008606E4">
        <w:rPr>
          <w:rFonts w:ascii="Times New Roman" w:hAnsi="Times New Roman"/>
          <w:sz w:val="24"/>
          <w:szCs w:val="24"/>
        </w:rPr>
        <w:t>De los 1,6 billones entregado</w:t>
      </w:r>
      <w:r w:rsidR="00872429">
        <w:rPr>
          <w:rFonts w:ascii="Times New Roman" w:hAnsi="Times New Roman"/>
          <w:sz w:val="24"/>
          <w:szCs w:val="24"/>
        </w:rPr>
        <w:t>s</w:t>
      </w:r>
      <w:r w:rsidR="008606E4" w:rsidRPr="008606E4">
        <w:rPr>
          <w:rFonts w:ascii="Times New Roman" w:hAnsi="Times New Roman"/>
          <w:sz w:val="24"/>
          <w:szCs w:val="24"/>
        </w:rPr>
        <w:t xml:space="preserve"> al sector bancario, casi 1,2 billones -es decir, el 10% del PIB- se destinó a garantías estatales a la financiación de las entidades y a otras medidas de apoyo a la liquidez, según la CE. Además, las instituciones financieras recibieron algo más de 400.000 millones de euros en medidas de recapitalización y tratamiento de activos para mejorar su solvencia.</w:t>
      </w:r>
      <w:r w:rsidR="003D29A4">
        <w:rPr>
          <w:rFonts w:ascii="Times New Roman" w:hAnsi="Times New Roman"/>
          <w:sz w:val="24"/>
          <w:szCs w:val="24"/>
        </w:rPr>
        <w:t xml:space="preserve"> </w:t>
      </w:r>
      <w:r w:rsidR="008606E4" w:rsidRPr="008606E4">
        <w:rPr>
          <w:rFonts w:ascii="Times New Roman" w:hAnsi="Times New Roman"/>
          <w:sz w:val="24"/>
          <w:szCs w:val="24"/>
        </w:rPr>
        <w:t>El 58% de estas ayudas fue entregado a bancos de tres países: Irlanda (25 %), Reino Unido (18 %) y Alemania (15 %)</w:t>
      </w:r>
      <w:r>
        <w:rPr>
          <w:rFonts w:ascii="Times New Roman" w:hAnsi="Times New Roman"/>
          <w:sz w:val="24"/>
          <w:szCs w:val="24"/>
        </w:rPr>
        <w:t>”..</w:t>
      </w:r>
      <w:r w:rsidR="008606E4" w:rsidRPr="008606E4">
        <w:rPr>
          <w:rFonts w:ascii="Times New Roman" w:hAnsi="Times New Roman"/>
          <w:sz w:val="24"/>
          <w:szCs w:val="24"/>
        </w:rPr>
        <w:t>.</w:t>
      </w:r>
      <w:r>
        <w:rPr>
          <w:rFonts w:ascii="Times New Roman" w:hAnsi="Times New Roman"/>
          <w:sz w:val="24"/>
          <w:szCs w:val="24"/>
        </w:rPr>
        <w:t xml:space="preserve"> </w:t>
      </w:r>
      <w:r w:rsidRPr="000A6114">
        <w:rPr>
          <w:rFonts w:ascii="Times New Roman" w:hAnsi="Times New Roman"/>
          <w:sz w:val="24"/>
          <w:szCs w:val="24"/>
          <w:u w:val="single"/>
        </w:rPr>
        <w:t>La banca europea recibió 1,6 billones de euros públicos entre 2008 y 2010</w:t>
      </w:r>
      <w:r>
        <w:rPr>
          <w:rFonts w:ascii="Times New Roman" w:hAnsi="Times New Roman"/>
          <w:sz w:val="24"/>
          <w:szCs w:val="24"/>
        </w:rPr>
        <w:t xml:space="preserve"> (Cinco Días - </w:t>
      </w:r>
      <w:r w:rsidRPr="000A6114">
        <w:rPr>
          <w:rFonts w:ascii="Times New Roman" w:hAnsi="Times New Roman"/>
          <w:b/>
          <w:sz w:val="24"/>
          <w:szCs w:val="24"/>
        </w:rPr>
        <w:t>1/12/11</w:t>
      </w:r>
      <w:r>
        <w:rPr>
          <w:rFonts w:ascii="Times New Roman" w:hAnsi="Times New Roman"/>
          <w:sz w:val="24"/>
          <w:szCs w:val="24"/>
        </w:rPr>
        <w:t>)</w:t>
      </w:r>
    </w:p>
    <w:p w:rsidR="00055DEF" w:rsidRPr="00FB6025" w:rsidRDefault="00FB6025" w:rsidP="00387350">
      <w:pPr>
        <w:pStyle w:val="NormalWeb"/>
        <w:jc w:val="both"/>
        <w:rPr>
          <w:u w:val="single"/>
        </w:rPr>
      </w:pPr>
      <w:r w:rsidRPr="00FB6025">
        <w:rPr>
          <w:u w:val="single"/>
        </w:rPr>
        <w:t>El mapa del despilfarro (los “primos” del riesgo)</w:t>
      </w:r>
    </w:p>
    <w:p w:rsidR="003D29A4" w:rsidRPr="008606E4" w:rsidRDefault="00FB6025" w:rsidP="00387350">
      <w:pPr>
        <w:spacing w:line="240" w:lineRule="auto"/>
        <w:jc w:val="both"/>
        <w:rPr>
          <w:rFonts w:ascii="Times New Roman" w:hAnsi="Times New Roman"/>
          <w:sz w:val="24"/>
          <w:szCs w:val="24"/>
        </w:rPr>
      </w:pPr>
      <w:r>
        <w:rPr>
          <w:noProof/>
          <w:lang w:eastAsia="es-ES"/>
        </w:rPr>
        <w:drawing>
          <wp:inline distT="0" distB="0" distL="0" distR="0" wp14:anchorId="6F716228" wp14:editId="6BCF8CAB">
            <wp:extent cx="5398617" cy="2004364"/>
            <wp:effectExtent l="0" t="0" r="0" b="0"/>
            <wp:docPr id="8" name="Imagen 8" descr="gastoeurop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stoeurope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8617" cy="2004364"/>
                    </a:xfrm>
                    <a:prstGeom prst="rect">
                      <a:avLst/>
                    </a:prstGeom>
                    <a:noFill/>
                    <a:ln>
                      <a:noFill/>
                    </a:ln>
                  </pic:spPr>
                </pic:pic>
              </a:graphicData>
            </a:graphic>
          </wp:inline>
        </w:drawing>
      </w:r>
    </w:p>
    <w:p w:rsidR="008606E4" w:rsidRPr="00055DEF" w:rsidRDefault="00FB6025" w:rsidP="00387350">
      <w:pPr>
        <w:pStyle w:val="NormalWeb"/>
        <w:jc w:val="both"/>
        <w:rPr>
          <w:color w:val="FF0000"/>
        </w:rPr>
      </w:pPr>
      <w:r w:rsidRPr="00FB6025">
        <w:lastRenderedPageBreak/>
        <w:t xml:space="preserve">De burbujas (bancos)… burbujiles (gobiernos)… y burbu-giles (particulares). ¿La expansión del gasto público ha sido consecuencia de una proyección demasiado optimista de los ingresos (primero), del necesario funcionamiento de los estabilizadores automáticos (después) o de un exagerado derroche irresponsable de recursos (siempre)? ¿Crisis de la deuda, crisis del euro o crisis de los… “deudos”?  Ustedes mismos  </w:t>
      </w:r>
      <w:r>
        <w:rPr>
          <w:color w:val="FF0000"/>
        </w:rPr>
        <w:t xml:space="preserve">                     </w:t>
      </w:r>
    </w:p>
    <w:p w:rsidR="00FB6025" w:rsidRPr="008606E4" w:rsidRDefault="00FB6025" w:rsidP="00387350">
      <w:pPr>
        <w:spacing w:line="240" w:lineRule="auto"/>
        <w:rPr>
          <w:rFonts w:ascii="Times New Roman" w:hAnsi="Times New Roman" w:cs="Times New Roman"/>
          <w:sz w:val="24"/>
          <w:szCs w:val="24"/>
        </w:rPr>
      </w:pPr>
      <w:r>
        <w:rPr>
          <w:rFonts w:ascii="Times New Roman" w:eastAsia="Times New Roman" w:hAnsi="Times New Roman"/>
          <w:noProof/>
          <w:sz w:val="24"/>
          <w:szCs w:val="24"/>
          <w:lang w:eastAsia="es-ES"/>
        </w:rPr>
        <w:drawing>
          <wp:inline distT="0" distB="0" distL="0" distR="0" wp14:anchorId="14546AF1" wp14:editId="05976BE8">
            <wp:extent cx="5427878" cy="1799539"/>
            <wp:effectExtent l="0" t="0" r="1905" b="0"/>
            <wp:docPr id="4" name="Imagen 4" descr="2012012455grafico4_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2012455grafico4_in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8032" cy="1799590"/>
                    </a:xfrm>
                    <a:prstGeom prst="rect">
                      <a:avLst/>
                    </a:prstGeom>
                    <a:noFill/>
                    <a:ln>
                      <a:noFill/>
                    </a:ln>
                  </pic:spPr>
                </pic:pic>
              </a:graphicData>
            </a:graphic>
          </wp:inline>
        </w:drawing>
      </w:r>
    </w:p>
    <w:p w:rsidR="00FB6025" w:rsidRPr="00BB317F" w:rsidRDefault="00FB6025" w:rsidP="00387350">
      <w:pPr>
        <w:pStyle w:val="NormalWeb"/>
        <w:jc w:val="both"/>
      </w:pPr>
      <w:r>
        <w:t>“</w:t>
      </w:r>
      <w:r w:rsidRPr="00FB6025">
        <w:t xml:space="preserve">La receta que propone el Fondo Monetario para hacer frente a este escenario no ofrece dudas: “Los gobiernos deberían evitar la aplicación de políticas </w:t>
      </w:r>
      <w:r w:rsidRPr="00FB6025">
        <w:rPr>
          <w:bCs/>
        </w:rPr>
        <w:t>aún más restrictivas</w:t>
      </w:r>
      <w:r w:rsidRPr="00FB6025">
        <w:t xml:space="preserve"> en respuesta a una desaceleración imprevista del crecimiento”, asegura. El Fondo Monetario, incl</w:t>
      </w:r>
      <w:r>
        <w:t>uso, da argumentos técnicos par</w:t>
      </w:r>
      <w:r w:rsidRPr="00FB6025">
        <w:t>a explicar su</w:t>
      </w:r>
      <w:r w:rsidRPr="00FB6025">
        <w:rPr>
          <w:bCs/>
        </w:rPr>
        <w:t xml:space="preserve"> cambio de posición</w:t>
      </w:r>
      <w:r>
        <w:rPr>
          <w:bCs/>
        </w:rPr>
        <w:t>”…</w:t>
      </w:r>
      <w:r>
        <w:t xml:space="preserve"> </w:t>
      </w:r>
      <w:r w:rsidRPr="006B7727">
        <w:rPr>
          <w:u w:val="single"/>
        </w:rPr>
        <w:t>El FMI tira la toalla y pide a los gobiernos que suavicen los recortes</w:t>
      </w:r>
      <w:r>
        <w:t xml:space="preserve"> (El Confidencial - </w:t>
      </w:r>
      <w:r w:rsidRPr="00780E7A">
        <w:rPr>
          <w:b/>
        </w:rPr>
        <w:t>25/1/12</w:t>
      </w:r>
      <w:r>
        <w:t>)</w:t>
      </w:r>
    </w:p>
    <w:p w:rsidR="00FB6025" w:rsidRPr="00FB6025" w:rsidRDefault="00FB6025" w:rsidP="00387350">
      <w:pPr>
        <w:spacing w:before="100" w:beforeAutospacing="1" w:after="100" w:afterAutospacing="1" w:line="240" w:lineRule="auto"/>
        <w:jc w:val="both"/>
        <w:rPr>
          <w:rFonts w:ascii="Times New Roman" w:eastAsia="Times New Roman" w:hAnsi="Times New Roman"/>
          <w:sz w:val="24"/>
          <w:szCs w:val="24"/>
          <w:lang w:eastAsia="es-ES"/>
        </w:rPr>
      </w:pPr>
      <w:r>
        <w:rPr>
          <w:noProof/>
          <w:lang w:eastAsia="es-ES"/>
        </w:rPr>
        <w:drawing>
          <wp:inline distT="0" distB="0" distL="0" distR="0" wp14:anchorId="1D135A48" wp14:editId="0A7B3C13">
            <wp:extent cx="5395943" cy="3891686"/>
            <wp:effectExtent l="0" t="0" r="0" b="0"/>
            <wp:docPr id="13" name="Imagen 13" descr="1329253071_840257_1329258844_noticia_gra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1329253071_840257_1329258844_noticia_grand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5943" cy="3891686"/>
                    </a:xfrm>
                    <a:prstGeom prst="rect">
                      <a:avLst/>
                    </a:prstGeom>
                    <a:noFill/>
                    <a:ln>
                      <a:noFill/>
                    </a:ln>
                  </pic:spPr>
                </pic:pic>
              </a:graphicData>
            </a:graphic>
          </wp:inline>
        </w:drawing>
      </w:r>
    </w:p>
    <w:p w:rsidR="00FB6025" w:rsidRDefault="00AC5766" w:rsidP="00387350">
      <w:pPr>
        <w:spacing w:line="240" w:lineRule="auto"/>
        <w:jc w:val="both"/>
        <w:rPr>
          <w:rFonts w:ascii="Times New Roman" w:hAnsi="Times New Roman"/>
          <w:sz w:val="24"/>
          <w:szCs w:val="24"/>
        </w:rPr>
      </w:pPr>
      <w:r>
        <w:rPr>
          <w:rFonts w:ascii="Times New Roman" w:hAnsi="Times New Roman"/>
          <w:sz w:val="24"/>
          <w:szCs w:val="24"/>
        </w:rPr>
        <w:t>“</w:t>
      </w:r>
      <w:r w:rsidR="00FB6025" w:rsidRPr="00AC5766">
        <w:rPr>
          <w:rFonts w:ascii="Times New Roman" w:hAnsi="Times New Roman"/>
          <w:sz w:val="24"/>
          <w:szCs w:val="24"/>
        </w:rPr>
        <w:t>Los diez criterios elegidos</w:t>
      </w:r>
      <w:r>
        <w:rPr>
          <w:rFonts w:ascii="Times New Roman" w:hAnsi="Times New Roman"/>
          <w:sz w:val="24"/>
          <w:szCs w:val="24"/>
        </w:rPr>
        <w:t xml:space="preserve"> (por la Unión Europea)</w:t>
      </w:r>
      <w:r w:rsidR="00FB6025" w:rsidRPr="00AC5766">
        <w:rPr>
          <w:rFonts w:ascii="Times New Roman" w:hAnsi="Times New Roman"/>
          <w:sz w:val="24"/>
          <w:szCs w:val="24"/>
        </w:rPr>
        <w:t xml:space="preserve"> en la tabla de marcadores con sus márgenes de variación de referencia son los siguientes: </w:t>
      </w:r>
      <w:r w:rsidR="00FB6025" w:rsidRPr="00AC5766">
        <w:rPr>
          <w:rFonts w:ascii="Times New Roman" w:hAnsi="Times New Roman"/>
          <w:color w:val="FF0000"/>
          <w:sz w:val="24"/>
          <w:szCs w:val="24"/>
        </w:rPr>
        <w:t>balanza por cuenta corriente</w:t>
      </w:r>
      <w:r w:rsidR="00FB6025" w:rsidRPr="00AC5766">
        <w:rPr>
          <w:rFonts w:ascii="Times New Roman" w:hAnsi="Times New Roman"/>
          <w:sz w:val="24"/>
          <w:szCs w:val="24"/>
        </w:rPr>
        <w:t xml:space="preserve">, (que puede oscilar entre un superávit del 4% y un déficit del 6%); </w:t>
      </w:r>
      <w:r w:rsidR="00FB6025" w:rsidRPr="00AC5766">
        <w:rPr>
          <w:rFonts w:ascii="Times New Roman" w:hAnsi="Times New Roman"/>
          <w:color w:val="FF0000"/>
          <w:sz w:val="24"/>
          <w:szCs w:val="24"/>
        </w:rPr>
        <w:t xml:space="preserve">posición neta de </w:t>
      </w:r>
      <w:r w:rsidR="00FB6025" w:rsidRPr="00AC5766">
        <w:rPr>
          <w:rFonts w:ascii="Times New Roman" w:hAnsi="Times New Roman"/>
          <w:color w:val="FF0000"/>
          <w:sz w:val="24"/>
          <w:szCs w:val="24"/>
        </w:rPr>
        <w:lastRenderedPageBreak/>
        <w:t>inversión internacional</w:t>
      </w:r>
      <w:r w:rsidR="00FB6025" w:rsidRPr="00AC5766">
        <w:rPr>
          <w:rFonts w:ascii="Times New Roman" w:hAnsi="Times New Roman"/>
          <w:sz w:val="24"/>
          <w:szCs w:val="24"/>
        </w:rPr>
        <w:t xml:space="preserve"> con un máximo del 35% del PIB; (tipo de cambio efectivo real); </w:t>
      </w:r>
      <w:r w:rsidR="00FB6025" w:rsidRPr="00AC5766">
        <w:rPr>
          <w:rFonts w:ascii="Times New Roman" w:hAnsi="Times New Roman"/>
          <w:color w:val="FF0000"/>
          <w:sz w:val="24"/>
          <w:szCs w:val="24"/>
        </w:rPr>
        <w:t>cuota de mercado en las exportaciones</w:t>
      </w:r>
      <w:r w:rsidR="00FB6025" w:rsidRPr="00AC5766">
        <w:rPr>
          <w:rFonts w:ascii="Times New Roman" w:hAnsi="Times New Roman"/>
          <w:sz w:val="24"/>
          <w:szCs w:val="24"/>
        </w:rPr>
        <w:t xml:space="preserve"> (-6%); </w:t>
      </w:r>
      <w:r w:rsidR="00FB6025" w:rsidRPr="00AC5766">
        <w:rPr>
          <w:rFonts w:ascii="Times New Roman" w:hAnsi="Times New Roman"/>
          <w:color w:val="FF0000"/>
          <w:sz w:val="24"/>
          <w:szCs w:val="24"/>
        </w:rPr>
        <w:t>costes laborales unitarios</w:t>
      </w:r>
      <w:r w:rsidR="00FB6025" w:rsidRPr="00AC5766">
        <w:rPr>
          <w:rFonts w:ascii="Times New Roman" w:hAnsi="Times New Roman"/>
          <w:sz w:val="24"/>
          <w:szCs w:val="24"/>
        </w:rPr>
        <w:t xml:space="preserve">, (entre +9% y +12%); </w:t>
      </w:r>
      <w:r w:rsidR="00FB6025" w:rsidRPr="00AC5766">
        <w:rPr>
          <w:rFonts w:ascii="Times New Roman" w:hAnsi="Times New Roman"/>
          <w:color w:val="FF0000"/>
          <w:sz w:val="24"/>
          <w:szCs w:val="24"/>
        </w:rPr>
        <w:t>variación del precio de la vivienda</w:t>
      </w:r>
      <w:r w:rsidR="00FB6025" w:rsidRPr="00AC5766">
        <w:rPr>
          <w:rFonts w:ascii="Times New Roman" w:hAnsi="Times New Roman"/>
          <w:sz w:val="24"/>
          <w:szCs w:val="24"/>
        </w:rPr>
        <w:t xml:space="preserve">, (+6%); flujo de crédito al sector privado, (15% del PIB); deuda privada (160% del PIB%), deuda pública, (60% del PIB) y </w:t>
      </w:r>
      <w:r w:rsidR="00FB6025" w:rsidRPr="00AC5766">
        <w:rPr>
          <w:rFonts w:ascii="Times New Roman" w:hAnsi="Times New Roman"/>
          <w:color w:val="FF0000"/>
          <w:sz w:val="24"/>
          <w:szCs w:val="24"/>
        </w:rPr>
        <w:t xml:space="preserve">desempleo </w:t>
      </w:r>
      <w:r w:rsidR="00FB6025" w:rsidRPr="00AC5766">
        <w:rPr>
          <w:rFonts w:ascii="Times New Roman" w:hAnsi="Times New Roman"/>
          <w:sz w:val="24"/>
          <w:szCs w:val="24"/>
        </w:rPr>
        <w:t>(105)</w:t>
      </w:r>
      <w:r>
        <w:rPr>
          <w:rFonts w:ascii="Times New Roman" w:hAnsi="Times New Roman"/>
          <w:sz w:val="24"/>
          <w:szCs w:val="24"/>
        </w:rPr>
        <w:t>”..</w:t>
      </w:r>
      <w:r w:rsidR="00FB6025" w:rsidRPr="00AC5766">
        <w:rPr>
          <w:rFonts w:ascii="Times New Roman" w:hAnsi="Times New Roman"/>
          <w:sz w:val="24"/>
          <w:szCs w:val="24"/>
        </w:rPr>
        <w:t>.</w:t>
      </w:r>
      <w:r>
        <w:rPr>
          <w:rFonts w:ascii="Times New Roman" w:hAnsi="Times New Roman"/>
          <w:sz w:val="24"/>
          <w:szCs w:val="24"/>
        </w:rPr>
        <w:t xml:space="preserve">  </w:t>
      </w:r>
      <w:r w:rsidR="00FB6025" w:rsidRPr="005F0A35">
        <w:rPr>
          <w:rFonts w:ascii="Times New Roman" w:hAnsi="Times New Roman"/>
          <w:sz w:val="24"/>
          <w:szCs w:val="24"/>
          <w:u w:val="single"/>
        </w:rPr>
        <w:t>España, entre los cuatro países de la UE con más desequilibrios económicos</w:t>
      </w:r>
      <w:r w:rsidR="00FB6025">
        <w:rPr>
          <w:rFonts w:ascii="Times New Roman" w:hAnsi="Times New Roman"/>
          <w:sz w:val="24"/>
          <w:szCs w:val="24"/>
        </w:rPr>
        <w:t xml:space="preserve"> (El País - </w:t>
      </w:r>
      <w:r w:rsidR="00FB6025" w:rsidRPr="005F0A35">
        <w:rPr>
          <w:rFonts w:ascii="Times New Roman" w:hAnsi="Times New Roman"/>
          <w:b/>
          <w:sz w:val="24"/>
          <w:szCs w:val="24"/>
        </w:rPr>
        <w:t>15/2/12</w:t>
      </w:r>
      <w:r w:rsidR="00FB6025">
        <w:rPr>
          <w:rFonts w:ascii="Times New Roman" w:hAnsi="Times New Roman"/>
          <w:sz w:val="24"/>
          <w:szCs w:val="24"/>
        </w:rPr>
        <w:t xml:space="preserve">) </w:t>
      </w:r>
    </w:p>
    <w:p w:rsidR="00AC5766" w:rsidRPr="00AC5766" w:rsidRDefault="00AC5766" w:rsidP="00387350">
      <w:pPr>
        <w:pStyle w:val="NormalWeb"/>
        <w:jc w:val="both"/>
      </w:pPr>
      <w:r>
        <w:t>“</w:t>
      </w:r>
      <w:r w:rsidRPr="00AC5766">
        <w:t xml:space="preserve">Dices que el </w:t>
      </w:r>
      <w:r w:rsidRPr="00AC5766">
        <w:rPr>
          <w:bCs/>
        </w:rPr>
        <w:t>problema de la UME y de España es el gasto público</w:t>
      </w:r>
      <w:r w:rsidRPr="00AC5766">
        <w:t xml:space="preserve">, pero ¿no te parece curioso que </w:t>
      </w:r>
      <w:r w:rsidRPr="00AC5766">
        <w:rPr>
          <w:bCs/>
        </w:rPr>
        <w:t>Irlanda</w:t>
      </w:r>
      <w:r w:rsidRPr="00AC5766">
        <w:t xml:space="preserve"> tuviera el mayor superávit de la UE hasta antes de su rescate? ¿Que solo cuando su inmoral gobierno rescató a las corruptas entidades, el déficit explotó? </w:t>
      </w:r>
    </w:p>
    <w:p w:rsidR="00AC5766" w:rsidRPr="001732EC" w:rsidRDefault="00AC5766" w:rsidP="00387350">
      <w:pPr>
        <w:pStyle w:val="NormalWeb"/>
        <w:jc w:val="both"/>
        <w:rPr>
          <w:color w:val="FF0000"/>
          <w:u w:val="single"/>
        </w:rPr>
      </w:pPr>
      <w:r>
        <w:rPr>
          <w:noProof/>
        </w:rPr>
        <w:drawing>
          <wp:anchor distT="0" distB="0" distL="0" distR="0" simplePos="0" relativeHeight="251659264" behindDoc="0" locked="0" layoutInCell="1" allowOverlap="0" wp14:anchorId="34BC560E" wp14:editId="383E36EC">
            <wp:simplePos x="0" y="0"/>
            <wp:positionH relativeFrom="column">
              <wp:posOffset>-12700</wp:posOffset>
            </wp:positionH>
            <wp:positionV relativeFrom="line">
              <wp:posOffset>393065</wp:posOffset>
            </wp:positionV>
            <wp:extent cx="5354320" cy="1828800"/>
            <wp:effectExtent l="0" t="0" r="0" b="0"/>
            <wp:wrapSquare wrapText="bothSides"/>
            <wp:docPr id="14" name="Imagen 14" descr="2012050171cuadro%20londres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2050171cuadro%20londresI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432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5766">
        <w:t xml:space="preserve">El </w:t>
      </w:r>
      <w:hyperlink r:id="rId12" w:history="1">
        <w:r w:rsidRPr="00AC5766">
          <w:rPr>
            <w:rStyle w:val="Hipervnculo"/>
            <w:color w:val="auto"/>
            <w:u w:val="none"/>
          </w:rPr>
          <w:t>cuadro</w:t>
        </w:r>
      </w:hyperlink>
      <w:r>
        <w:t xml:space="preserve"> inferior refleja la evolución del déficit/superávit en algunos países de la UE…</w:t>
      </w:r>
    </w:p>
    <w:p w:rsidR="00AC5766" w:rsidRDefault="00AC5766" w:rsidP="00387350">
      <w:pPr>
        <w:pStyle w:val="NormalWeb"/>
        <w:jc w:val="both"/>
      </w:pPr>
      <w:r>
        <w:t xml:space="preserve"> </w:t>
      </w:r>
      <w:r w:rsidRPr="00AC5766">
        <w:t xml:space="preserve">Si la crisis es por la deuda y déficits públicos, ¿no crees que </w:t>
      </w:r>
      <w:r w:rsidRPr="00AC5766">
        <w:rPr>
          <w:bCs/>
        </w:rPr>
        <w:t>Alemania con un déficit de 79.410 millones de euros debería haber sido recatada como Grecia o Portugal</w:t>
      </w:r>
      <w:r w:rsidRPr="00AC5766">
        <w:t>?</w:t>
      </w:r>
      <w:r>
        <w:t xml:space="preserve">”... </w:t>
      </w:r>
      <w:r w:rsidRPr="00246AF6">
        <w:rPr>
          <w:u w:val="single"/>
        </w:rPr>
        <w:t>Carta abierta a Daniel Lacalle</w:t>
      </w:r>
      <w:r>
        <w:t xml:space="preserve"> (El Confidencial - </w:t>
      </w:r>
      <w:r w:rsidRPr="00246AF6">
        <w:rPr>
          <w:b/>
        </w:rPr>
        <w:t>2/5/12</w:t>
      </w:r>
      <w:r>
        <w:t>)</w:t>
      </w:r>
    </w:p>
    <w:p w:rsidR="00AC5766" w:rsidRDefault="00AC5766" w:rsidP="00387350">
      <w:pPr>
        <w:pStyle w:val="NormalWeb"/>
        <w:jc w:val="both"/>
      </w:pPr>
      <w:r>
        <w:rPr>
          <w:noProof/>
          <w:color w:val="0000FF"/>
        </w:rPr>
        <w:drawing>
          <wp:inline distT="0" distB="0" distL="0" distR="0" wp14:anchorId="45CDBB6C" wp14:editId="009C0737">
            <wp:extent cx="5398615" cy="3613708"/>
            <wp:effectExtent l="0" t="0" r="0" b="6350"/>
            <wp:docPr id="55" name="Imagen 55" descr="18">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3614662"/>
                    </a:xfrm>
                    <a:prstGeom prst="rect">
                      <a:avLst/>
                    </a:prstGeom>
                    <a:noFill/>
                    <a:ln>
                      <a:noFill/>
                    </a:ln>
                  </pic:spPr>
                </pic:pic>
              </a:graphicData>
            </a:graphic>
          </wp:inline>
        </w:drawing>
      </w:r>
    </w:p>
    <w:p w:rsidR="00AC5766" w:rsidRPr="008C1EC2" w:rsidRDefault="00AC5766" w:rsidP="00387350">
      <w:pPr>
        <w:pStyle w:val="NormalWeb"/>
        <w:jc w:val="both"/>
      </w:pPr>
      <w:r w:rsidRPr="008C1EC2">
        <w:t>Fuente: Eurostat</w:t>
      </w:r>
      <w:r w:rsidR="00F15882">
        <w:t xml:space="preserve">   (Publicación Fedea - </w:t>
      </w:r>
      <w:r w:rsidR="00F15882" w:rsidRPr="00F15882">
        <w:rPr>
          <w:b/>
        </w:rPr>
        <w:t>23/5/12</w:t>
      </w:r>
      <w:r w:rsidR="00F15882">
        <w:t>)</w:t>
      </w:r>
    </w:p>
    <w:p w:rsidR="00AC5766" w:rsidRDefault="00AC5766" w:rsidP="00387350">
      <w:pPr>
        <w:pStyle w:val="NormalWeb"/>
        <w:jc w:val="both"/>
      </w:pPr>
      <w:r>
        <w:rPr>
          <w:noProof/>
          <w:color w:val="0000FF"/>
        </w:rPr>
        <w:lastRenderedPageBreak/>
        <w:drawing>
          <wp:inline distT="0" distB="0" distL="0" distR="0" wp14:anchorId="7CCD6872" wp14:editId="6F2CE8B4">
            <wp:extent cx="5340096" cy="1814169"/>
            <wp:effectExtent l="0" t="0" r="0" b="0"/>
            <wp:docPr id="11" name="Imagen 11" descr="15">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40350" cy="1814255"/>
                    </a:xfrm>
                    <a:prstGeom prst="rect">
                      <a:avLst/>
                    </a:prstGeom>
                    <a:noFill/>
                    <a:ln>
                      <a:noFill/>
                    </a:ln>
                  </pic:spPr>
                </pic:pic>
              </a:graphicData>
            </a:graphic>
          </wp:inline>
        </w:drawing>
      </w:r>
    </w:p>
    <w:p w:rsidR="00AC5766" w:rsidRPr="008C1EC2" w:rsidRDefault="00AC5766" w:rsidP="00387350">
      <w:pPr>
        <w:pStyle w:val="NormalWeb"/>
        <w:jc w:val="both"/>
      </w:pPr>
      <w:r w:rsidRPr="008C1EC2">
        <w:t>Fuente: Eurostat</w:t>
      </w:r>
      <w:r w:rsidR="00F15882">
        <w:t xml:space="preserve"> (Publicación Fedea - </w:t>
      </w:r>
      <w:r w:rsidR="00F15882" w:rsidRPr="00F15882">
        <w:rPr>
          <w:b/>
        </w:rPr>
        <w:t>23/5/12</w:t>
      </w:r>
      <w:r w:rsidR="00F15882">
        <w:t>)</w:t>
      </w:r>
    </w:p>
    <w:p w:rsidR="00AC5766" w:rsidRDefault="00AC5766" w:rsidP="00387350">
      <w:pPr>
        <w:pStyle w:val="NormalWeb"/>
        <w:jc w:val="both"/>
      </w:pPr>
      <w:r>
        <w:rPr>
          <w:noProof/>
          <w:color w:val="0000FF"/>
        </w:rPr>
        <w:drawing>
          <wp:inline distT="0" distB="0" distL="0" distR="0" wp14:anchorId="28E8408C" wp14:editId="7100F7C6">
            <wp:extent cx="5400040" cy="1904132"/>
            <wp:effectExtent l="0" t="0" r="0" b="1270"/>
            <wp:docPr id="51" name="Imagen 51" descr="17">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1904132"/>
                    </a:xfrm>
                    <a:prstGeom prst="rect">
                      <a:avLst/>
                    </a:prstGeom>
                    <a:noFill/>
                    <a:ln>
                      <a:noFill/>
                    </a:ln>
                  </pic:spPr>
                </pic:pic>
              </a:graphicData>
            </a:graphic>
          </wp:inline>
        </w:drawing>
      </w:r>
    </w:p>
    <w:p w:rsidR="00F15882" w:rsidRPr="008C1EC2" w:rsidRDefault="00AC5766" w:rsidP="00387350">
      <w:pPr>
        <w:pStyle w:val="NormalWeb"/>
        <w:jc w:val="both"/>
      </w:pPr>
      <w:r w:rsidRPr="00AC5766">
        <w:t xml:space="preserve">Fuente: </w:t>
      </w:r>
      <w:hyperlink r:id="rId19" w:history="1">
        <w:r w:rsidRPr="00AC5766">
          <w:rPr>
            <w:rStyle w:val="Hipervnculo"/>
            <w:color w:val="auto"/>
            <w:u w:val="none"/>
          </w:rPr>
          <w:t>OCDE</w:t>
        </w:r>
      </w:hyperlink>
      <w:r w:rsidR="00F15882">
        <w:rPr>
          <w:rStyle w:val="Hipervnculo"/>
          <w:color w:val="auto"/>
          <w:u w:val="none"/>
        </w:rPr>
        <w:t xml:space="preserve"> </w:t>
      </w:r>
      <w:r w:rsidR="00F15882">
        <w:t xml:space="preserve">(Publicación Fedea - </w:t>
      </w:r>
      <w:r w:rsidR="00F15882" w:rsidRPr="00F15882">
        <w:rPr>
          <w:b/>
        </w:rPr>
        <w:t>23/5/12</w:t>
      </w:r>
      <w:r w:rsidR="00F15882">
        <w:t>)</w:t>
      </w:r>
    </w:p>
    <w:p w:rsidR="00F15882" w:rsidRPr="00F15882" w:rsidRDefault="00F15882" w:rsidP="00387350">
      <w:pPr>
        <w:spacing w:before="100" w:beforeAutospacing="1" w:after="100" w:afterAutospacing="1" w:line="240" w:lineRule="auto"/>
        <w:jc w:val="both"/>
        <w:rPr>
          <w:rFonts w:ascii="Times New Roman" w:eastAsia="Times New Roman" w:hAnsi="Times New Roman"/>
          <w:sz w:val="24"/>
          <w:szCs w:val="24"/>
          <w:u w:val="single"/>
          <w:lang w:eastAsia="es-ES"/>
        </w:rPr>
      </w:pPr>
      <w:r w:rsidRPr="00F15882">
        <w:rPr>
          <w:rFonts w:ascii="Times New Roman" w:eastAsia="Times New Roman" w:hAnsi="Times New Roman"/>
          <w:bCs/>
          <w:sz w:val="24"/>
          <w:szCs w:val="24"/>
          <w:u w:val="single"/>
          <w:lang w:eastAsia="es-ES"/>
        </w:rPr>
        <w:t>El mayor gasto público en 40 años</w:t>
      </w:r>
    </w:p>
    <w:p w:rsidR="00F15882" w:rsidRPr="00F15882" w:rsidRDefault="00F15882"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F15882">
        <w:rPr>
          <w:rFonts w:ascii="Times New Roman" w:eastAsia="Times New Roman" w:hAnsi="Times New Roman"/>
          <w:sz w:val="24"/>
          <w:szCs w:val="24"/>
          <w:lang w:eastAsia="es-ES"/>
        </w:rPr>
        <w:t>Obama ha situado en niveles récord de los últimos 40 años el gasto federal per cápita.</w:t>
      </w:r>
    </w:p>
    <w:p w:rsidR="00F15882" w:rsidRPr="00BE0D01" w:rsidRDefault="00F15882"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4D2E5A9E" wp14:editId="06574AA0">
            <wp:extent cx="5398616" cy="2465222"/>
            <wp:effectExtent l="0" t="0" r="0" b="0"/>
            <wp:docPr id="148" name="Imagen 148" descr="proba03">
              <a:hlinkClick xmlns:a="http://schemas.openxmlformats.org/drawingml/2006/main" r:id="rId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roba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8770" cy="2465292"/>
                    </a:xfrm>
                    <a:prstGeom prst="rect">
                      <a:avLst/>
                    </a:prstGeom>
                    <a:noFill/>
                    <a:ln>
                      <a:noFill/>
                    </a:ln>
                  </pic:spPr>
                </pic:pic>
              </a:graphicData>
            </a:graphic>
          </wp:inline>
        </w:drawing>
      </w:r>
    </w:p>
    <w:p w:rsidR="00F15882" w:rsidRDefault="00F15882" w:rsidP="00387350">
      <w:pPr>
        <w:spacing w:before="100" w:beforeAutospacing="1" w:after="100" w:afterAutospacing="1" w:line="240" w:lineRule="auto"/>
        <w:jc w:val="both"/>
        <w:rPr>
          <w:rFonts w:ascii="Times New Roman" w:eastAsia="Times New Roman" w:hAnsi="Times New Roman"/>
          <w:sz w:val="24"/>
          <w:szCs w:val="24"/>
          <w:lang w:eastAsia="es-ES"/>
        </w:rPr>
      </w:pPr>
      <w:r w:rsidRPr="00F15882">
        <w:rPr>
          <w:rFonts w:ascii="Times New Roman" w:eastAsia="Times New Roman" w:hAnsi="Times New Roman"/>
          <w:sz w:val="24"/>
          <w:szCs w:val="24"/>
          <w:lang w:eastAsia="es-ES"/>
        </w:rPr>
        <w:t xml:space="preserve">Como consecuencia, la brecha entre ingresos y gastos ha superado el </w:t>
      </w:r>
      <w:r w:rsidRPr="00F15882">
        <w:rPr>
          <w:rFonts w:ascii="Times New Roman" w:eastAsia="Times New Roman" w:hAnsi="Times New Roman"/>
          <w:bCs/>
          <w:sz w:val="24"/>
          <w:szCs w:val="24"/>
          <w:lang w:eastAsia="es-ES"/>
        </w:rPr>
        <w:t xml:space="preserve">billón de dólares </w:t>
      </w:r>
      <w:r w:rsidRPr="00F15882">
        <w:rPr>
          <w:rFonts w:ascii="Times New Roman" w:eastAsia="Times New Roman" w:hAnsi="Times New Roman"/>
          <w:sz w:val="24"/>
          <w:szCs w:val="24"/>
          <w:lang w:eastAsia="es-ES"/>
        </w:rPr>
        <w:t>en términos reales (descontando inflación) durante cuatro años consecutivos. En las crisis previas nunca había superado el medio billón de dólares.</w:t>
      </w:r>
    </w:p>
    <w:p w:rsidR="00F15882" w:rsidRPr="00F15882" w:rsidRDefault="00F15882" w:rsidP="00387350">
      <w:pPr>
        <w:spacing w:before="100" w:beforeAutospacing="1" w:after="100" w:afterAutospacing="1" w:line="240" w:lineRule="auto"/>
        <w:jc w:val="both"/>
        <w:rPr>
          <w:rFonts w:ascii="Times New Roman" w:eastAsia="Times New Roman" w:hAnsi="Times New Roman"/>
          <w:sz w:val="24"/>
          <w:szCs w:val="24"/>
          <w:lang w:eastAsia="es-ES"/>
        </w:rPr>
      </w:pPr>
      <w:r w:rsidRPr="00F15882">
        <w:rPr>
          <w:rFonts w:ascii="Times New Roman" w:eastAsia="Times New Roman" w:hAnsi="Times New Roman"/>
          <w:sz w:val="24"/>
          <w:szCs w:val="24"/>
          <w:lang w:eastAsia="es-ES"/>
        </w:rPr>
        <w:lastRenderedPageBreak/>
        <w:t>EEUU sigue registrando un déficit muy elevado. Ha pasado del 10,1% del PIB en 2009 al 8,7% en 2011 y a una</w:t>
      </w:r>
      <w:r w:rsidRPr="00F15882">
        <w:rPr>
          <w:rFonts w:ascii="Times New Roman" w:eastAsia="Times New Roman" w:hAnsi="Times New Roman"/>
          <w:bCs/>
          <w:sz w:val="24"/>
          <w:szCs w:val="24"/>
          <w:lang w:eastAsia="es-ES"/>
        </w:rPr>
        <w:t xml:space="preserve"> tasa próxima al 7%</w:t>
      </w:r>
      <w:r w:rsidRPr="00F15882">
        <w:rPr>
          <w:rFonts w:ascii="Times New Roman" w:eastAsia="Times New Roman" w:hAnsi="Times New Roman"/>
          <w:sz w:val="24"/>
          <w:szCs w:val="24"/>
          <w:lang w:eastAsia="es-ES"/>
        </w:rPr>
        <w:t>, según las últimas estimaciones oficiales. Estos datos contrastan, nuevamente, con las promesas presidenciales de Obama durante su primera campaña electoral (dijo que en 2012 sería casi la mitad del nivel finalmente alcanzado).</w:t>
      </w:r>
    </w:p>
    <w:p w:rsidR="00F15882" w:rsidRDefault="00F15882"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5DD68CD4" wp14:editId="0AE57D68">
            <wp:extent cx="5479084" cy="1931213"/>
            <wp:effectExtent l="0" t="0" r="7620" b="0"/>
            <wp:docPr id="147" name="Imagen 147" descr="proba01">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roba0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78780" cy="1931106"/>
                    </a:xfrm>
                    <a:prstGeom prst="rect">
                      <a:avLst/>
                    </a:prstGeom>
                    <a:noFill/>
                    <a:ln>
                      <a:noFill/>
                    </a:ln>
                  </pic:spPr>
                </pic:pic>
              </a:graphicData>
            </a:graphic>
          </wp:inline>
        </w:drawing>
      </w:r>
    </w:p>
    <w:p w:rsidR="00F15882" w:rsidRDefault="00F15882" w:rsidP="00387350">
      <w:pPr>
        <w:pStyle w:val="NormalWeb"/>
        <w:jc w:val="both"/>
      </w:pPr>
      <w:r w:rsidRPr="00F15882">
        <w:t>EEUU registra la recuperación económica y laboral más lenta desde los año</w:t>
      </w:r>
      <w:r>
        <w:t>s</w:t>
      </w:r>
      <w:r w:rsidRPr="00F15882">
        <w:t xml:space="preserve"> 30, pese a los estímulos de Obama</w:t>
      </w:r>
      <w:r>
        <w:t>”..</w:t>
      </w:r>
      <w:r w:rsidRPr="00F15882">
        <w:t>.</w:t>
      </w:r>
      <w:r>
        <w:t xml:space="preserve"> </w:t>
      </w:r>
      <w:r w:rsidRPr="00BE0D01">
        <w:rPr>
          <w:u w:val="single"/>
        </w:rPr>
        <w:t>Las promesas</w:t>
      </w:r>
      <w:r>
        <w:rPr>
          <w:u w:val="single"/>
        </w:rPr>
        <w:t xml:space="preserve"> rotas de Obama y su inminente “precipicio fiscal”</w:t>
      </w:r>
      <w:r>
        <w:t xml:space="preserve"> (Libertad Digital - </w:t>
      </w:r>
      <w:r w:rsidRPr="00BE0D01">
        <w:rPr>
          <w:b/>
        </w:rPr>
        <w:t>8/11/12</w:t>
      </w:r>
      <w:r>
        <w:t xml:space="preserve">) </w:t>
      </w:r>
    </w:p>
    <w:p w:rsidR="00561A10" w:rsidRDefault="00561A10" w:rsidP="00387350">
      <w:pPr>
        <w:pStyle w:val="NormalWeb"/>
        <w:jc w:val="both"/>
      </w:pPr>
      <w:r>
        <w:t>“</w:t>
      </w:r>
      <w:r w:rsidRPr="00561A10">
        <w:t xml:space="preserve">¿Cuál es el déficit público de España al margen del </w:t>
      </w:r>
      <w:r w:rsidRPr="00561A10">
        <w:rPr>
          <w:bCs/>
        </w:rPr>
        <w:t>ciclo económico</w:t>
      </w:r>
      <w:r w:rsidRPr="00561A10">
        <w:t xml:space="preserve">? O ¿cuál es el nivel de paro estructural que tiene este país? Ambas preguntas tienen una </w:t>
      </w:r>
      <w:hyperlink r:id="rId24" w:history="1">
        <w:r w:rsidRPr="00561A10">
          <w:rPr>
            <w:rStyle w:val="Hipervnculo"/>
            <w:color w:val="auto"/>
            <w:u w:val="none"/>
          </w:rPr>
          <w:t>respuesta</w:t>
        </w:r>
      </w:hyperlink>
      <w:r w:rsidRPr="00561A10">
        <w:t xml:space="preserve"> precisa. En el primer caso, </w:t>
      </w:r>
      <w:hyperlink r:id="rId25" w:history="1">
        <w:r w:rsidRPr="00561A10">
          <w:rPr>
            <w:rStyle w:val="Hipervnculo"/>
            <w:color w:val="auto"/>
            <w:u w:val="none"/>
          </w:rPr>
          <w:t>según</w:t>
        </w:r>
      </w:hyperlink>
      <w:r w:rsidRPr="00561A10">
        <w:t xml:space="preserve"> los servicios técnicos de la Comisión Europea, el desequilibrio entre ingresos y gastos representa nada menos que un 6% del producto interior bruto (PIB). Es decir, que sin crisis económica el déficit presupuestario seguiría siendo muy elevado. De hecho, según la CE, </w:t>
      </w:r>
      <w:r w:rsidRPr="00561A10">
        <w:rPr>
          <w:bCs/>
        </w:rPr>
        <w:t>sólo Irlanda</w:t>
      </w:r>
      <w:r w:rsidRPr="00561A10">
        <w:t xml:space="preserve"> (-7,8% de déficit estructural) está en </w:t>
      </w:r>
      <w:r w:rsidRPr="00561A10">
        <w:rPr>
          <w:bCs/>
        </w:rPr>
        <w:t>peores condiciones</w:t>
      </w:r>
      <w:r w:rsidRPr="00561A10">
        <w:t xml:space="preserve"> que España. Incluso Grecia, un país al borde de la bancarrota, cerró el año pasado con un déficit fiscal al margen del ciclo del -1,2% del PIB, a años luz de España</w:t>
      </w:r>
      <w:r>
        <w:t xml:space="preserve">. </w:t>
      </w:r>
    </w:p>
    <w:p w:rsidR="00F15882" w:rsidRDefault="00561A10" w:rsidP="00387350">
      <w:pPr>
        <w:pStyle w:val="NormalWeb"/>
        <w:jc w:val="both"/>
      </w:pPr>
      <w:r>
        <w:rPr>
          <w:noProof/>
        </w:rPr>
        <w:drawing>
          <wp:inline distT="0" distB="0" distL="0" distR="0" wp14:anchorId="2108B0D6" wp14:editId="6574C21B">
            <wp:extent cx="5676595" cy="2040941"/>
            <wp:effectExtent l="0" t="0" r="635" b="0"/>
            <wp:docPr id="63" name="Imagen 63" descr="La UE corrige a Rajoy y dice que la reducción del déficit estructural fue la mit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 UE corrige a Rajoy y dice que la reducción del déficit estructural fue la mita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78091" cy="2041479"/>
                    </a:xfrm>
                    <a:prstGeom prst="rect">
                      <a:avLst/>
                    </a:prstGeom>
                    <a:noFill/>
                    <a:ln>
                      <a:noFill/>
                    </a:ln>
                  </pic:spPr>
                </pic:pic>
              </a:graphicData>
            </a:graphic>
          </wp:inline>
        </w:drawing>
      </w:r>
    </w:p>
    <w:p w:rsidR="00561A10" w:rsidRPr="00561A10" w:rsidRDefault="00561A10" w:rsidP="00387350">
      <w:pPr>
        <w:pStyle w:val="NormalWeb"/>
        <w:jc w:val="both"/>
      </w:pPr>
      <w:r w:rsidRPr="00561A10">
        <w:t>¿Qué quiere decir esto? Pues ni más ni menos que los problemas de la economía española no tienen que ver sólo con la</w:t>
      </w:r>
      <w:r w:rsidRPr="00561A10">
        <w:rPr>
          <w:bCs/>
        </w:rPr>
        <w:t xml:space="preserve"> crisis</w:t>
      </w:r>
      <w:r w:rsidRPr="00561A10">
        <w:t>. Al contrario. Tanto el déficit el déficit público como la tasa de desempleo serían extraordinariamente elevadas si se eliminan los factores cíclicos. Y no sólo eso: la Comisión Europea rectifica de forma radical el avance de reducción del déficit público en términos estructurales</w:t>
      </w:r>
      <w:r>
        <w:t>”..</w:t>
      </w:r>
      <w:r w:rsidRPr="00561A10">
        <w:t xml:space="preserve">. </w:t>
      </w:r>
      <w:r w:rsidRPr="00F015BD">
        <w:rPr>
          <w:u w:val="single"/>
        </w:rPr>
        <w:t xml:space="preserve">La UE corrige a </w:t>
      </w:r>
      <w:r w:rsidRPr="00F015BD">
        <w:rPr>
          <w:u w:val="single"/>
        </w:rPr>
        <w:lastRenderedPageBreak/>
        <w:t>Rajoy y dice que la reducción del déficit estructural fue la mitad</w:t>
      </w:r>
      <w:r>
        <w:t xml:space="preserve"> (</w:t>
      </w:r>
      <w:r w:rsidR="00EB0C87">
        <w:t xml:space="preserve">Fuente: </w:t>
      </w:r>
      <w:r>
        <w:t xml:space="preserve">El Confidencial - </w:t>
      </w:r>
      <w:r w:rsidRPr="00F015BD">
        <w:rPr>
          <w:b/>
        </w:rPr>
        <w:t>18/3/13</w:t>
      </w:r>
      <w:r>
        <w:t>)</w:t>
      </w:r>
    </w:p>
    <w:p w:rsidR="00F15882" w:rsidRDefault="00561A10" w:rsidP="00387350">
      <w:pPr>
        <w:pStyle w:val="NormalWeb"/>
        <w:jc w:val="both"/>
      </w:pPr>
      <w:r>
        <w:rPr>
          <w:noProof/>
          <w:color w:val="0000FF"/>
        </w:rPr>
        <w:drawing>
          <wp:inline distT="0" distB="0" distL="0" distR="0" wp14:anchorId="4B4760C5" wp14:editId="0C58530A">
            <wp:extent cx="5515659" cy="3467405"/>
            <wp:effectExtent l="0" t="0" r="8890" b="0"/>
            <wp:docPr id="32" name="Imagen 32" descr="http://www.elconfidencial.com/archivos/ec/201303176sanchez-2.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confidencial.com/archivos/ec/201303176sanchez-2.jp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8533" cy="3469212"/>
                    </a:xfrm>
                    <a:prstGeom prst="rect">
                      <a:avLst/>
                    </a:prstGeom>
                    <a:noFill/>
                    <a:ln>
                      <a:noFill/>
                    </a:ln>
                  </pic:spPr>
                </pic:pic>
              </a:graphicData>
            </a:graphic>
          </wp:inline>
        </w:drawing>
      </w:r>
    </w:p>
    <w:p w:rsidR="00012B47" w:rsidRPr="00F15882" w:rsidRDefault="00012B47" w:rsidP="00387350">
      <w:pPr>
        <w:pStyle w:val="NormalWeb"/>
        <w:jc w:val="both"/>
      </w:pPr>
      <w:r>
        <w:t>“</w:t>
      </w:r>
      <w:r w:rsidRPr="00012B47">
        <w:t xml:space="preserve">Bruselas corrigió el dato </w:t>
      </w:r>
      <w:r>
        <w:t>de déficit del Gobierno porque “</w:t>
      </w:r>
      <w:r w:rsidRPr="00012B47">
        <w:t>desv</w:t>
      </w:r>
      <w:r>
        <w:t>irtuaba los criterios contables”</w:t>
      </w:r>
      <w:r w:rsidRPr="00012B47">
        <w:t xml:space="preserve">. Así se lo comunicaron literalmente los técnicos de Bruselas al Ministerio de Hacienda hace unos días, según han confirmado a </w:t>
      </w:r>
      <w:r w:rsidRPr="00012B47">
        <w:rPr>
          <w:rStyle w:val="nfasis"/>
        </w:rPr>
        <w:t>Vozpópuli</w:t>
      </w:r>
      <w:r w:rsidRPr="00012B47">
        <w:t xml:space="preserve"> fuentes comunitarias, que aseguran que las cifras de las cuentas públicas españo</w:t>
      </w:r>
      <w:r w:rsidR="00391C0B">
        <w:t>las se consideran todavía como “provisionales”</w:t>
      </w:r>
      <w:r w:rsidRPr="00012B47">
        <w:t>. No habrá un visto bueno definitivo hasta el mes de abril por lo que la desviación podría ser todavía mayor, aseguran esas fuentes</w:t>
      </w:r>
      <w:r>
        <w:t>”..</w:t>
      </w:r>
      <w:r w:rsidRPr="00012B47">
        <w:t>.</w:t>
      </w:r>
      <w:r>
        <w:t xml:space="preserve"> </w:t>
      </w:r>
      <w:r w:rsidRPr="00D044AC">
        <w:rPr>
          <w:u w:val="single"/>
        </w:rPr>
        <w:t>El maquillaje del déficit obligará al Gobierno a aplicar recortes o subidas de impuestos en 2013</w:t>
      </w:r>
      <w:r>
        <w:t xml:space="preserve"> (Vozpópuli - </w:t>
      </w:r>
      <w:r w:rsidRPr="00D044AC">
        <w:rPr>
          <w:b/>
        </w:rPr>
        <w:t>28/3/13</w:t>
      </w:r>
      <w:r>
        <w:t>)</w:t>
      </w:r>
    </w:p>
    <w:p w:rsidR="00387350" w:rsidRDefault="00012B47" w:rsidP="00387350">
      <w:pPr>
        <w:pStyle w:val="NormalWeb"/>
        <w:jc w:val="both"/>
      </w:pPr>
      <w:r>
        <w:rPr>
          <w:noProof/>
          <w:color w:val="0000FF"/>
        </w:rPr>
        <w:drawing>
          <wp:inline distT="0" distB="0" distL="0" distR="0" wp14:anchorId="33766892" wp14:editId="60967CE2">
            <wp:extent cx="5376672" cy="2816352"/>
            <wp:effectExtent l="0" t="0" r="0" b="3175"/>
            <wp:docPr id="101" name="Imagen 101" descr="http://estatico.vozpopuli.com/upload/Javier_Ruiz/bce-deuda-deficit.jpg">
              <a:hlinkClick xmlns:a="http://schemas.openxmlformats.org/drawingml/2006/main" r:id="rId29"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estatico.vozpopuli.com/upload/Javier_Ruiz/bce-deuda-deficit.jpg">
                      <a:hlinkClick r:id="rId29" tooltip="&quot;Este enlace se abrirá en una ventana nueva: undefined&quo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2828592"/>
                    </a:xfrm>
                    <a:prstGeom prst="rect">
                      <a:avLst/>
                    </a:prstGeom>
                    <a:noFill/>
                    <a:ln>
                      <a:noFill/>
                    </a:ln>
                  </pic:spPr>
                </pic:pic>
              </a:graphicData>
            </a:graphic>
          </wp:inline>
        </w:drawing>
      </w:r>
    </w:p>
    <w:p w:rsidR="00055DEF" w:rsidRPr="00387350" w:rsidRDefault="00CB7F35" w:rsidP="00387350">
      <w:pPr>
        <w:pStyle w:val="NormalWeb"/>
        <w:jc w:val="both"/>
      </w:pPr>
      <w:r>
        <w:rPr>
          <w:b/>
        </w:rPr>
        <w:lastRenderedPageBreak/>
        <w:t xml:space="preserve">- Deuda pública </w:t>
      </w:r>
      <w:r w:rsidR="00872429">
        <w:rPr>
          <w:b/>
        </w:rPr>
        <w:t>(el gran agujero negro)</w:t>
      </w:r>
      <w:r w:rsidRPr="00CB7F35">
        <w:rPr>
          <w:b/>
        </w:rPr>
        <w:t xml:space="preserve"> </w:t>
      </w:r>
    </w:p>
    <w:p w:rsidR="00055DEF" w:rsidRDefault="00055DEF" w:rsidP="00387350">
      <w:pPr>
        <w:spacing w:line="240" w:lineRule="auto"/>
        <w:jc w:val="both"/>
        <w:rPr>
          <w:rFonts w:ascii="Times New Roman" w:hAnsi="Times New Roman" w:cs="Times New Roman"/>
          <w:b/>
          <w:sz w:val="24"/>
          <w:szCs w:val="24"/>
        </w:rPr>
      </w:pPr>
      <w:r w:rsidRPr="0054787D">
        <w:rPr>
          <w:noProof/>
          <w:lang w:eastAsia="es-ES"/>
        </w:rPr>
        <w:drawing>
          <wp:inline distT="0" distB="0" distL="0" distR="0" wp14:anchorId="0841CDC3" wp14:editId="5F7F5548">
            <wp:extent cx="5332780" cy="2531059"/>
            <wp:effectExtent l="0" t="0" r="1270" b="3175"/>
            <wp:docPr id="173" name="Imagen 173" descr="1321730542_947849_1321746152_noticia_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1321730542_947849_1321746152_noticia_norm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2730" cy="2531035"/>
                    </a:xfrm>
                    <a:prstGeom prst="rect">
                      <a:avLst/>
                    </a:prstGeom>
                    <a:noFill/>
                    <a:ln>
                      <a:noFill/>
                    </a:ln>
                  </pic:spPr>
                </pic:pic>
              </a:graphicData>
            </a:graphic>
          </wp:inline>
        </w:drawing>
      </w:r>
    </w:p>
    <w:p w:rsidR="00055DEF" w:rsidRPr="00F94A23" w:rsidRDefault="00055DEF" w:rsidP="00387350">
      <w:pPr>
        <w:pStyle w:val="NormalWeb"/>
        <w:jc w:val="both"/>
        <w:rPr>
          <w:i/>
        </w:rPr>
      </w:pPr>
      <w:r w:rsidRPr="00F94A23">
        <w:rPr>
          <w:i/>
        </w:rPr>
        <w:t>¿Cómo es posible que gente con elevada formación y con una dilatada trayectoria profesional, que les ha llevado a ocupar puestos de responsabilidad política, sean tan proclives a admitir argumentos tan manifiestamente erróneos, sin tener en cuenta el conocimiento teórico y empírico acumulado sobre cuestiones económicas, incluso tras ser expuestos a información sólida y contrastada sobre las razones de los errores?</w:t>
      </w:r>
    </w:p>
    <w:p w:rsidR="00055DEF" w:rsidRPr="00055DEF" w:rsidRDefault="00055DEF" w:rsidP="00387350">
      <w:pPr>
        <w:pStyle w:val="NormalWeb"/>
        <w:jc w:val="both"/>
        <w:rPr>
          <w:i/>
          <w:iCs/>
        </w:rPr>
      </w:pPr>
      <w:r w:rsidRPr="00F94A23">
        <w:rPr>
          <w:i/>
        </w:rPr>
        <w:t>Una explicación es que, como afirmaba </w:t>
      </w:r>
      <w:hyperlink r:id="rId32" w:history="1">
        <w:r w:rsidRPr="000F1FB8">
          <w:rPr>
            <w:rStyle w:val="Hipervnculo"/>
            <w:color w:val="auto"/>
            <w:u w:val="none"/>
          </w:rPr>
          <w:t>Michal Kalecki</w:t>
        </w:r>
      </w:hyperlink>
      <w:r w:rsidRPr="000F1FB8">
        <w:t>,</w:t>
      </w:r>
      <w:r>
        <w:t xml:space="preserve"> </w:t>
      </w:r>
      <w:r w:rsidRPr="00710E6A">
        <w:rPr>
          <w:rStyle w:val="nfasis"/>
        </w:rPr>
        <w:t>“obstinate ignorance is usually a manifestation of underlying political motives”.</w:t>
      </w:r>
    </w:p>
    <w:p w:rsidR="00872429" w:rsidRDefault="00872429" w:rsidP="00387350">
      <w:pPr>
        <w:pStyle w:val="NormalWeb"/>
        <w:jc w:val="both"/>
      </w:pPr>
      <w:r>
        <w:rPr>
          <w:noProof/>
        </w:rPr>
        <w:drawing>
          <wp:inline distT="0" distB="0" distL="0" distR="0" wp14:anchorId="32F781C6" wp14:editId="5C3A61DE">
            <wp:extent cx="5398770" cy="395033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8770" cy="3950335"/>
                    </a:xfrm>
                    <a:prstGeom prst="rect">
                      <a:avLst/>
                    </a:prstGeom>
                    <a:noFill/>
                    <a:ln>
                      <a:noFill/>
                    </a:ln>
                  </pic:spPr>
                </pic:pic>
              </a:graphicData>
            </a:graphic>
          </wp:inline>
        </w:drawing>
      </w:r>
    </w:p>
    <w:p w:rsidR="001A3B4C" w:rsidRPr="001A3B4C" w:rsidRDefault="001A3B4C" w:rsidP="00387350">
      <w:pPr>
        <w:pStyle w:val="NormalWeb"/>
        <w:jc w:val="both"/>
      </w:pPr>
      <w:r>
        <w:rPr>
          <w:i/>
          <w:iCs/>
        </w:rPr>
        <w:lastRenderedPageBreak/>
        <w:t>“</w:t>
      </w:r>
      <w:r w:rsidRPr="001A3B4C">
        <w:rPr>
          <w:i/>
          <w:iCs/>
        </w:rPr>
        <w:t xml:space="preserve">“No hay excusa para las tremendas consecuencias económicas y sociales que la política de austeridad impuesta en la UE está provocando”. </w:t>
      </w:r>
    </w:p>
    <w:p w:rsidR="001A3B4C" w:rsidRDefault="001A3B4C" w:rsidP="00387350">
      <w:pPr>
        <w:pStyle w:val="NormalWeb"/>
        <w:jc w:val="both"/>
      </w:pPr>
      <w:r w:rsidRPr="001A3B4C">
        <w:t xml:space="preserve">Estas palabras son de </w:t>
      </w:r>
      <w:hyperlink r:id="rId34" w:history="1">
        <w:r w:rsidRPr="001A3B4C">
          <w:rPr>
            <w:rStyle w:val="Hipervnculo"/>
            <w:color w:val="auto"/>
            <w:u w:val="none"/>
          </w:rPr>
          <w:t>Achim Truger</w:t>
        </w:r>
      </w:hyperlink>
      <w:r w:rsidRPr="001A3B4C">
        <w:t>, economista de la Berlin School of Economics.</w:t>
      </w:r>
      <w:r w:rsidRPr="001A3B4C">
        <w:rPr>
          <w:bCs/>
        </w:rPr>
        <w:t xml:space="preserve"> No todos los alemanes piensan como el señor Sinn o la señora Merkel. </w:t>
      </w:r>
      <w:r w:rsidRPr="001A3B4C">
        <w:t>Pero, por desgracia, algunos “expertos” aún son favorables a la austeridad</w:t>
      </w:r>
      <w:r>
        <w:t>”..</w:t>
      </w:r>
      <w:r w:rsidRPr="001A3B4C">
        <w:t>.</w:t>
      </w:r>
      <w:r>
        <w:t xml:space="preserve"> </w:t>
      </w:r>
      <w:r w:rsidRPr="001A584A">
        <w:rPr>
          <w:u w:val="single"/>
        </w:rPr>
        <w:t>Los inquisidores económicos de la austeridad y sus tremendas consecuencias</w:t>
      </w:r>
      <w:r>
        <w:t xml:space="preserve"> (El Confidencial - </w:t>
      </w:r>
      <w:r w:rsidRPr="001A584A">
        <w:rPr>
          <w:b/>
        </w:rPr>
        <w:t>13/11/12</w:t>
      </w:r>
      <w:r>
        <w:t>)</w:t>
      </w:r>
    </w:p>
    <w:p w:rsidR="001A3B4C" w:rsidRDefault="001A3B4C" w:rsidP="00387350">
      <w:pPr>
        <w:pStyle w:val="NormalWeb"/>
        <w:jc w:val="both"/>
      </w:pPr>
      <w:r>
        <w:t xml:space="preserve">             </w:t>
      </w:r>
      <w:r>
        <w:tab/>
      </w:r>
      <w:r>
        <w:rPr>
          <w:rFonts w:ascii="Arial" w:hAnsi="Arial" w:cs="Arial"/>
          <w:noProof/>
          <w:color w:val="000000"/>
          <w:sz w:val="11"/>
          <w:szCs w:val="11"/>
        </w:rPr>
        <w:drawing>
          <wp:inline distT="0" distB="0" distL="0" distR="0" wp14:anchorId="46C972CA" wp14:editId="394593DD">
            <wp:extent cx="3525927" cy="2618841"/>
            <wp:effectExtent l="0" t="0" r="0" b="0"/>
            <wp:docPr id="18" name="Imagen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5" cstate="print"/>
                    <a:srcRect/>
                    <a:stretch>
                      <a:fillRect/>
                    </a:stretch>
                  </pic:blipFill>
                  <pic:spPr bwMode="auto">
                    <a:xfrm>
                      <a:off x="0" y="0"/>
                      <a:ext cx="3526155" cy="2619010"/>
                    </a:xfrm>
                    <a:prstGeom prst="rect">
                      <a:avLst/>
                    </a:prstGeom>
                    <a:noFill/>
                    <a:ln w="9525">
                      <a:noFill/>
                      <a:miter lim="800000"/>
                      <a:headEnd/>
                      <a:tailEnd/>
                    </a:ln>
                  </pic:spPr>
                </pic:pic>
              </a:graphicData>
            </a:graphic>
          </wp:inline>
        </w:drawing>
      </w:r>
    </w:p>
    <w:p w:rsidR="001F5D33" w:rsidRDefault="001F5D33" w:rsidP="00387350">
      <w:pPr>
        <w:spacing w:before="100" w:beforeAutospacing="1" w:after="100" w:afterAutospacing="1" w:line="240" w:lineRule="auto"/>
        <w:jc w:val="both"/>
        <w:rPr>
          <w:rFonts w:ascii="Times New Roman" w:eastAsia="Times New Roman" w:hAnsi="Times New Roman" w:cs="Times New Roman"/>
          <w:sz w:val="24"/>
          <w:szCs w:val="24"/>
        </w:rPr>
      </w:pPr>
    </w:p>
    <w:p w:rsidR="001A3B4C" w:rsidRPr="001A3B4C" w:rsidRDefault="001A3B4C" w:rsidP="00387350">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1A3B4C">
        <w:rPr>
          <w:rFonts w:ascii="Times New Roman" w:eastAsia="Times New Roman" w:hAnsi="Times New Roman" w:cs="Times New Roman"/>
          <w:sz w:val="24"/>
          <w:szCs w:val="24"/>
        </w:rPr>
        <w:t xml:space="preserve">Los líderes europeos se apresuraron (a reducir el déficit) en momentos </w:t>
      </w:r>
      <w:r>
        <w:rPr>
          <w:rFonts w:ascii="Times New Roman" w:eastAsia="Times New Roman" w:hAnsi="Times New Roman" w:cs="Times New Roman"/>
          <w:sz w:val="24"/>
          <w:szCs w:val="24"/>
        </w:rPr>
        <w:t>en que la economía estaba débil”</w:t>
      </w:r>
      <w:r w:rsidRPr="001A3B4C">
        <w:rPr>
          <w:rFonts w:ascii="Times New Roman" w:eastAsia="Times New Roman" w:hAnsi="Times New Roman" w:cs="Times New Roman"/>
          <w:sz w:val="24"/>
          <w:szCs w:val="24"/>
        </w:rPr>
        <w:t xml:space="preserve">, dijo Zsolt Darvas, un académico del centro de </w:t>
      </w:r>
      <w:r>
        <w:rPr>
          <w:rFonts w:ascii="Times New Roman" w:eastAsia="Times New Roman" w:hAnsi="Times New Roman" w:cs="Times New Roman"/>
          <w:sz w:val="24"/>
          <w:szCs w:val="24"/>
        </w:rPr>
        <w:t>estudios Bruegel, en Bruselas. “</w:t>
      </w:r>
      <w:r w:rsidRPr="001A3B4C">
        <w:rPr>
          <w:rFonts w:ascii="Times New Roman" w:eastAsia="Times New Roman" w:hAnsi="Times New Roman" w:cs="Times New Roman"/>
          <w:sz w:val="24"/>
          <w:szCs w:val="24"/>
        </w:rPr>
        <w:t>Cuando se suma todo, fue un error que Europa se apresurara con la consolida</w:t>
      </w:r>
      <w:r>
        <w:rPr>
          <w:rFonts w:ascii="Times New Roman" w:eastAsia="Times New Roman" w:hAnsi="Times New Roman" w:cs="Times New Roman"/>
          <w:sz w:val="24"/>
          <w:szCs w:val="24"/>
        </w:rPr>
        <w:t>ción fiscal””..</w:t>
      </w:r>
      <w:r w:rsidRPr="001A3B4C">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6D1606">
        <w:rPr>
          <w:rFonts w:ascii="Times New Roman" w:eastAsia="Times New Roman" w:hAnsi="Times New Roman" w:cs="Times New Roman"/>
          <w:sz w:val="24"/>
          <w:szCs w:val="24"/>
          <w:u w:val="single"/>
        </w:rPr>
        <w:t>Berlín encuentra pocos aliados para su receta de austeridad</w:t>
      </w:r>
      <w:r>
        <w:rPr>
          <w:rFonts w:ascii="Times New Roman" w:eastAsia="Times New Roman" w:hAnsi="Times New Roman" w:cs="Times New Roman"/>
          <w:sz w:val="24"/>
          <w:szCs w:val="24"/>
        </w:rPr>
        <w:t xml:space="preserve">   (The Wall Street Journal - </w:t>
      </w:r>
      <w:r w:rsidRPr="006D1606">
        <w:rPr>
          <w:rFonts w:ascii="Times New Roman" w:eastAsia="Times New Roman" w:hAnsi="Times New Roman" w:cs="Times New Roman"/>
          <w:b/>
          <w:sz w:val="24"/>
          <w:szCs w:val="24"/>
        </w:rPr>
        <w:t>22/7/13</w:t>
      </w:r>
      <w:r>
        <w:rPr>
          <w:rFonts w:ascii="Times New Roman" w:eastAsia="Times New Roman" w:hAnsi="Times New Roman" w:cs="Times New Roman"/>
          <w:sz w:val="24"/>
          <w:szCs w:val="24"/>
        </w:rPr>
        <w:t>)</w:t>
      </w:r>
      <w:r w:rsidRPr="006D1606">
        <w:rPr>
          <w:rFonts w:ascii="Times New Roman" w:eastAsia="Times New Roman" w:hAnsi="Times New Roman" w:cs="Times New Roman"/>
          <w:sz w:val="24"/>
          <w:szCs w:val="24"/>
        </w:rPr>
        <w:t xml:space="preserve"> </w:t>
      </w:r>
    </w:p>
    <w:p w:rsidR="001A3B4C" w:rsidRDefault="00055DEF" w:rsidP="00387350">
      <w:pPr>
        <w:spacing w:line="240" w:lineRule="auto"/>
        <w:jc w:val="both"/>
        <w:rPr>
          <w:rFonts w:ascii="Times New Roman" w:hAnsi="Times New Roman"/>
          <w:sz w:val="24"/>
          <w:szCs w:val="24"/>
        </w:rPr>
      </w:pPr>
      <w:r>
        <w:rPr>
          <w:rFonts w:ascii="Times New Roman" w:eastAsia="Times New Roman" w:hAnsi="Times New Roman"/>
          <w:noProof/>
          <w:sz w:val="24"/>
          <w:szCs w:val="24"/>
          <w:lang w:eastAsia="es-ES"/>
        </w:rPr>
        <w:drawing>
          <wp:anchor distT="0" distB="0" distL="0" distR="0" simplePos="0" relativeHeight="251661312" behindDoc="0" locked="0" layoutInCell="1" allowOverlap="0" wp14:anchorId="3D464F04" wp14:editId="4D521C1A">
            <wp:simplePos x="0" y="0"/>
            <wp:positionH relativeFrom="column">
              <wp:posOffset>299085</wp:posOffset>
            </wp:positionH>
            <wp:positionV relativeFrom="line">
              <wp:posOffset>150495</wp:posOffset>
            </wp:positionV>
            <wp:extent cx="4739640" cy="2677160"/>
            <wp:effectExtent l="0" t="0" r="3810" b="8890"/>
            <wp:wrapSquare wrapText="bothSides"/>
            <wp:docPr id="21" name="Imagen 21" descr="2011030115grafic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1030115grafico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39640" cy="2677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3B4C" w:rsidRDefault="001A3B4C" w:rsidP="00387350">
      <w:pPr>
        <w:spacing w:line="240" w:lineRule="auto"/>
        <w:jc w:val="both"/>
        <w:rPr>
          <w:rFonts w:ascii="Times New Roman" w:hAnsi="Times New Roman"/>
          <w:sz w:val="24"/>
          <w:szCs w:val="24"/>
        </w:rPr>
      </w:pPr>
    </w:p>
    <w:p w:rsidR="001A3B4C" w:rsidRDefault="001A3B4C" w:rsidP="00387350">
      <w:pPr>
        <w:spacing w:line="240" w:lineRule="auto"/>
        <w:jc w:val="both"/>
        <w:rPr>
          <w:rFonts w:ascii="Times New Roman" w:hAnsi="Times New Roman"/>
          <w:sz w:val="24"/>
          <w:szCs w:val="24"/>
        </w:rPr>
      </w:pPr>
    </w:p>
    <w:p w:rsidR="001A3B4C" w:rsidRDefault="001A3B4C" w:rsidP="00387350">
      <w:pPr>
        <w:spacing w:line="240" w:lineRule="auto"/>
        <w:jc w:val="both"/>
        <w:rPr>
          <w:rFonts w:ascii="Times New Roman" w:hAnsi="Times New Roman"/>
          <w:sz w:val="24"/>
          <w:szCs w:val="24"/>
        </w:rPr>
      </w:pPr>
    </w:p>
    <w:p w:rsidR="001A3B4C" w:rsidRPr="00F75CF7" w:rsidRDefault="001A3B4C" w:rsidP="00387350">
      <w:pPr>
        <w:spacing w:line="240" w:lineRule="auto"/>
        <w:rPr>
          <w:rFonts w:ascii="Times New Roman" w:eastAsia="Times New Roman" w:hAnsi="Times New Roman"/>
          <w:sz w:val="24"/>
          <w:szCs w:val="24"/>
          <w:lang w:eastAsia="es-ES"/>
        </w:rPr>
      </w:pPr>
    </w:p>
    <w:p w:rsidR="001A3B4C" w:rsidRPr="00F75CF7" w:rsidRDefault="001A3B4C" w:rsidP="00387350">
      <w:pPr>
        <w:spacing w:line="240" w:lineRule="auto"/>
        <w:jc w:val="both"/>
        <w:rPr>
          <w:rFonts w:ascii="Times New Roman" w:hAnsi="Times New Roman"/>
          <w:sz w:val="24"/>
          <w:szCs w:val="24"/>
        </w:rPr>
      </w:pPr>
    </w:p>
    <w:p w:rsidR="001A3B4C" w:rsidRPr="00F75CF7" w:rsidRDefault="001A3B4C" w:rsidP="00387350">
      <w:pPr>
        <w:spacing w:line="240" w:lineRule="auto"/>
        <w:jc w:val="both"/>
        <w:rPr>
          <w:rFonts w:ascii="Times New Roman" w:hAnsi="Times New Roman"/>
          <w:sz w:val="24"/>
          <w:szCs w:val="24"/>
        </w:rPr>
      </w:pPr>
    </w:p>
    <w:p w:rsidR="001A3B4C" w:rsidRPr="00F75CF7" w:rsidRDefault="001A3B4C" w:rsidP="00387350">
      <w:pPr>
        <w:spacing w:line="240" w:lineRule="auto"/>
        <w:jc w:val="both"/>
        <w:rPr>
          <w:rFonts w:ascii="Times New Roman" w:hAnsi="Times New Roman"/>
          <w:sz w:val="24"/>
          <w:szCs w:val="24"/>
        </w:rPr>
      </w:pPr>
    </w:p>
    <w:p w:rsidR="001A3B4C" w:rsidRDefault="001A3B4C" w:rsidP="00387350">
      <w:pPr>
        <w:spacing w:line="240" w:lineRule="auto"/>
        <w:jc w:val="both"/>
        <w:rPr>
          <w:rFonts w:ascii="Times New Roman" w:hAnsi="Times New Roman"/>
          <w:sz w:val="24"/>
          <w:szCs w:val="24"/>
        </w:rPr>
      </w:pPr>
    </w:p>
    <w:p w:rsidR="001A3B4C" w:rsidRDefault="001A3B4C" w:rsidP="00387350">
      <w:pPr>
        <w:spacing w:line="240" w:lineRule="auto"/>
        <w:jc w:val="both"/>
        <w:rPr>
          <w:rFonts w:ascii="Times New Roman" w:hAnsi="Times New Roman"/>
          <w:sz w:val="24"/>
          <w:szCs w:val="24"/>
        </w:rPr>
      </w:pPr>
    </w:p>
    <w:p w:rsidR="001F5D33" w:rsidRDefault="001F5D33" w:rsidP="00387350">
      <w:pPr>
        <w:spacing w:line="240" w:lineRule="auto"/>
        <w:jc w:val="both"/>
        <w:rPr>
          <w:rFonts w:ascii="Times New Roman" w:hAnsi="Times New Roman"/>
          <w:sz w:val="24"/>
          <w:szCs w:val="24"/>
        </w:rPr>
      </w:pPr>
    </w:p>
    <w:p w:rsidR="001F5D33" w:rsidRDefault="001F5D33" w:rsidP="00387350">
      <w:pPr>
        <w:spacing w:line="240" w:lineRule="auto"/>
        <w:jc w:val="both"/>
        <w:rPr>
          <w:rFonts w:ascii="Times New Roman" w:hAnsi="Times New Roman"/>
          <w:sz w:val="24"/>
          <w:szCs w:val="24"/>
        </w:rPr>
      </w:pPr>
      <w:r>
        <w:rPr>
          <w:rFonts w:ascii="Times New Roman" w:eastAsia="Times New Roman" w:hAnsi="Times New Roman"/>
          <w:noProof/>
          <w:sz w:val="24"/>
          <w:szCs w:val="24"/>
          <w:lang w:eastAsia="es-ES"/>
        </w:rPr>
        <w:lastRenderedPageBreak/>
        <w:drawing>
          <wp:anchor distT="0" distB="0" distL="0" distR="0" simplePos="0" relativeHeight="251663360" behindDoc="0" locked="0" layoutInCell="1" allowOverlap="0" wp14:anchorId="620CEE81" wp14:editId="2526BBA2">
            <wp:simplePos x="0" y="0"/>
            <wp:positionH relativeFrom="column">
              <wp:posOffset>268605</wp:posOffset>
            </wp:positionH>
            <wp:positionV relativeFrom="line">
              <wp:posOffset>-321945</wp:posOffset>
            </wp:positionV>
            <wp:extent cx="4739640" cy="2750185"/>
            <wp:effectExtent l="0" t="0" r="3810" b="0"/>
            <wp:wrapSquare wrapText="bothSides"/>
            <wp:docPr id="24" name="Imagen 24" descr="2011030155grafic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1030155grafico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39640" cy="2750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3B4C" w:rsidRDefault="001A3B4C" w:rsidP="00387350">
      <w:pPr>
        <w:spacing w:before="100" w:beforeAutospacing="1" w:after="100" w:afterAutospacing="1" w:line="240" w:lineRule="auto"/>
        <w:jc w:val="both"/>
        <w:rPr>
          <w:rFonts w:ascii="Times New Roman" w:hAnsi="Times New Roman"/>
          <w:sz w:val="24"/>
          <w:szCs w:val="24"/>
        </w:rPr>
      </w:pPr>
    </w:p>
    <w:p w:rsidR="001F5D33" w:rsidRDefault="001F5D33" w:rsidP="00387350">
      <w:pPr>
        <w:spacing w:line="240" w:lineRule="auto"/>
        <w:jc w:val="both"/>
        <w:rPr>
          <w:rFonts w:ascii="Times New Roman" w:hAnsi="Times New Roman" w:cs="Times New Roman"/>
          <w:sz w:val="24"/>
          <w:szCs w:val="24"/>
        </w:rPr>
      </w:pPr>
    </w:p>
    <w:p w:rsidR="001F5D33" w:rsidRDefault="001F5D33" w:rsidP="00387350">
      <w:pPr>
        <w:spacing w:line="240" w:lineRule="auto"/>
        <w:jc w:val="both"/>
        <w:rPr>
          <w:rFonts w:ascii="Times New Roman" w:hAnsi="Times New Roman" w:cs="Times New Roman"/>
          <w:sz w:val="24"/>
          <w:szCs w:val="24"/>
        </w:rPr>
      </w:pPr>
    </w:p>
    <w:p w:rsidR="001F5D33" w:rsidRDefault="001F5D33" w:rsidP="00387350">
      <w:pPr>
        <w:spacing w:line="240" w:lineRule="auto"/>
        <w:jc w:val="both"/>
        <w:rPr>
          <w:rFonts w:ascii="Times New Roman" w:hAnsi="Times New Roman" w:cs="Times New Roman"/>
          <w:sz w:val="24"/>
          <w:szCs w:val="24"/>
        </w:rPr>
      </w:pPr>
    </w:p>
    <w:p w:rsidR="001F5D33" w:rsidRDefault="001F5D33" w:rsidP="00387350">
      <w:pPr>
        <w:spacing w:line="240" w:lineRule="auto"/>
        <w:jc w:val="both"/>
        <w:rPr>
          <w:rFonts w:ascii="Times New Roman" w:hAnsi="Times New Roman" w:cs="Times New Roman"/>
          <w:sz w:val="24"/>
          <w:szCs w:val="24"/>
        </w:rPr>
      </w:pPr>
    </w:p>
    <w:p w:rsidR="001F5D33" w:rsidRDefault="001F5D33" w:rsidP="00387350">
      <w:pPr>
        <w:spacing w:line="240" w:lineRule="auto"/>
        <w:jc w:val="both"/>
        <w:rPr>
          <w:rFonts w:ascii="Times New Roman" w:hAnsi="Times New Roman" w:cs="Times New Roman"/>
          <w:sz w:val="24"/>
          <w:szCs w:val="24"/>
        </w:rPr>
      </w:pPr>
    </w:p>
    <w:p w:rsidR="001F5D33" w:rsidRDefault="001F5D33" w:rsidP="00387350">
      <w:pPr>
        <w:spacing w:line="240" w:lineRule="auto"/>
        <w:jc w:val="both"/>
        <w:rPr>
          <w:rFonts w:ascii="Times New Roman" w:hAnsi="Times New Roman" w:cs="Times New Roman"/>
          <w:sz w:val="24"/>
          <w:szCs w:val="24"/>
        </w:rPr>
      </w:pPr>
    </w:p>
    <w:p w:rsidR="001F5D33" w:rsidRDefault="009C5E1F" w:rsidP="00387350">
      <w:pPr>
        <w:spacing w:line="240" w:lineRule="auto"/>
        <w:jc w:val="both"/>
        <w:rPr>
          <w:rFonts w:ascii="Times New Roman" w:hAnsi="Times New Roman"/>
          <w:sz w:val="24"/>
          <w:szCs w:val="24"/>
        </w:rPr>
      </w:pPr>
      <w:r>
        <w:rPr>
          <w:rFonts w:ascii="Times New Roman" w:hAnsi="Times New Roman" w:cs="Times New Roman"/>
          <w:sz w:val="24"/>
          <w:szCs w:val="24"/>
        </w:rPr>
        <w:t>“</w:t>
      </w:r>
      <w:r w:rsidR="001A3B4C" w:rsidRPr="001A3B4C">
        <w:rPr>
          <w:rFonts w:ascii="Times New Roman" w:hAnsi="Times New Roman"/>
          <w:sz w:val="24"/>
          <w:szCs w:val="24"/>
        </w:rPr>
        <w:t>El punto de no retorno fiscal tiene su interés ya que, como han demostrado Rogoff y Reinhart, niveles de DP/PIB cercanos al 90% reducen el crecimiento real en un 1% de PIB anual aproximadamente, y esto ocurre justo en una etapa de episodios deflacionarios y donde la recesiones son más frecuentes. Todo buen navegante sabe lo que significa el punto de no retorno y, como se ve en las gráficas, hay un riesgo muy alto de que ocurra en la OCDE ya que la mayoría de sus países o lo han cruzado ya o va camino de hacerlo; a partir de entonces, crucen los dedos porque estaremos a merced de que en su momento se haya acertado en la políticas</w:t>
      </w:r>
      <w:r>
        <w:rPr>
          <w:rFonts w:ascii="Times New Roman" w:hAnsi="Times New Roman" w:cs="Times New Roman"/>
          <w:sz w:val="24"/>
          <w:szCs w:val="24"/>
        </w:rPr>
        <w:t>”</w:t>
      </w:r>
      <w:r w:rsidR="001A3B4C">
        <w:t>..</w:t>
      </w:r>
      <w:r w:rsidR="001A3B4C" w:rsidRPr="001A3B4C">
        <w:rPr>
          <w:rFonts w:ascii="Times New Roman" w:hAnsi="Times New Roman"/>
          <w:sz w:val="24"/>
          <w:szCs w:val="24"/>
        </w:rPr>
        <w:t>.</w:t>
      </w:r>
      <w:r w:rsidR="001A3B4C">
        <w:t xml:space="preserve"> </w:t>
      </w:r>
      <w:r w:rsidR="00EB0C87">
        <w:rPr>
          <w:rFonts w:ascii="Times New Roman" w:hAnsi="Times New Roman"/>
          <w:sz w:val="24"/>
          <w:szCs w:val="24"/>
          <w:u w:val="single"/>
        </w:rPr>
        <w:t>Índice de Gestión Pública</w:t>
      </w:r>
      <w:r>
        <w:rPr>
          <w:rFonts w:ascii="Times New Roman" w:hAnsi="Times New Roman"/>
          <w:sz w:val="24"/>
          <w:szCs w:val="24"/>
        </w:rPr>
        <w:t xml:space="preserve"> (El Confidencial - </w:t>
      </w:r>
      <w:r w:rsidRPr="00F75CF7">
        <w:rPr>
          <w:rFonts w:ascii="Times New Roman" w:hAnsi="Times New Roman"/>
          <w:b/>
          <w:sz w:val="24"/>
          <w:szCs w:val="24"/>
        </w:rPr>
        <w:t>1/3/11</w:t>
      </w:r>
      <w:r>
        <w:rPr>
          <w:rFonts w:ascii="Times New Roman" w:hAnsi="Times New Roman"/>
          <w:sz w:val="24"/>
          <w:szCs w:val="24"/>
        </w:rPr>
        <w:t>)</w:t>
      </w:r>
    </w:p>
    <w:p w:rsidR="001F5D33" w:rsidRDefault="009C5E1F" w:rsidP="00387350">
      <w:pPr>
        <w:spacing w:line="240" w:lineRule="auto"/>
        <w:jc w:val="both"/>
        <w:rPr>
          <w:rFonts w:ascii="Times New Roman" w:hAnsi="Times New Roman"/>
          <w:sz w:val="24"/>
          <w:szCs w:val="24"/>
        </w:rPr>
      </w:pPr>
      <w:r>
        <w:rPr>
          <w:noProof/>
          <w:lang w:eastAsia="es-ES"/>
        </w:rPr>
        <w:drawing>
          <wp:inline distT="0" distB="0" distL="0" distR="0" wp14:anchorId="59F8F77D" wp14:editId="3F3B54BF">
            <wp:extent cx="5398615" cy="4089197"/>
            <wp:effectExtent l="0" t="0" r="0" b="6985"/>
            <wp:docPr id="28" name="Imagen 28" descr="1299627107_g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299627107_g_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40" cy="4090276"/>
                    </a:xfrm>
                    <a:prstGeom prst="rect">
                      <a:avLst/>
                    </a:prstGeom>
                    <a:noFill/>
                    <a:ln>
                      <a:noFill/>
                    </a:ln>
                  </pic:spPr>
                </pic:pic>
              </a:graphicData>
            </a:graphic>
          </wp:inline>
        </w:drawing>
      </w:r>
    </w:p>
    <w:p w:rsidR="001F5D33" w:rsidRDefault="009C5E1F" w:rsidP="00387350">
      <w:pPr>
        <w:spacing w:line="240" w:lineRule="auto"/>
        <w:jc w:val="both"/>
        <w:rPr>
          <w:rFonts w:ascii="Times New Roman" w:hAnsi="Times New Roman"/>
          <w:sz w:val="24"/>
          <w:szCs w:val="24"/>
        </w:rPr>
      </w:pPr>
      <w:r>
        <w:rPr>
          <w:rFonts w:ascii="Times New Roman" w:hAnsi="Times New Roman"/>
          <w:sz w:val="24"/>
          <w:szCs w:val="24"/>
        </w:rPr>
        <w:t>“</w:t>
      </w:r>
      <w:r w:rsidRPr="009C5E1F">
        <w:rPr>
          <w:rFonts w:ascii="Times New Roman" w:hAnsi="Times New Roman"/>
          <w:sz w:val="24"/>
          <w:szCs w:val="24"/>
        </w:rPr>
        <w:t xml:space="preserve">Este estudio (de Allianz), llamado </w:t>
      </w:r>
      <w:r w:rsidRPr="00925765">
        <w:rPr>
          <w:rFonts w:ascii="Times New Roman" w:hAnsi="Times New Roman"/>
          <w:i/>
          <w:sz w:val="24"/>
          <w:szCs w:val="24"/>
        </w:rPr>
        <w:t>Escenarios para la deuda pública europea</w:t>
      </w:r>
      <w:r w:rsidRPr="009C5E1F">
        <w:rPr>
          <w:rFonts w:ascii="Times New Roman" w:hAnsi="Times New Roman"/>
          <w:sz w:val="24"/>
          <w:szCs w:val="24"/>
        </w:rPr>
        <w:t xml:space="preserve">, somete a los cuatro países estigmatizados como periféricos (Portugal, Irlanda, Grecia y España) </w:t>
      </w:r>
      <w:r w:rsidRPr="009C5E1F">
        <w:rPr>
          <w:rFonts w:ascii="Times New Roman" w:hAnsi="Times New Roman"/>
          <w:sz w:val="24"/>
          <w:szCs w:val="24"/>
        </w:rPr>
        <w:lastRenderedPageBreak/>
        <w:t>a una suerte de test de estrés. Entre otras variables, analizan el cumplimiento de las previsiones de crecimiento, de recorte del déficit y de estabilidad de los mercados, vinculados a un acuerdo europeo sobre rescates y competitividad.</w:t>
      </w:r>
      <w:r>
        <w:rPr>
          <w:rFonts w:ascii="Times New Roman" w:hAnsi="Times New Roman"/>
          <w:sz w:val="24"/>
          <w:szCs w:val="24"/>
        </w:rPr>
        <w:t xml:space="preserve"> </w:t>
      </w:r>
      <w:r w:rsidRPr="009C5E1F">
        <w:rPr>
          <w:rFonts w:ascii="Times New Roman" w:hAnsi="Times New Roman"/>
          <w:sz w:val="24"/>
          <w:szCs w:val="24"/>
        </w:rPr>
        <w:t>En el escenario “base”, España llevaría en 2013 su déficit a los estándares de Bruselas y su deuda nunca se iría más allá del 73% del PIB. Los crecimientos llegarían al 4,5% en dos años. Este test considera que hay disciplina en el gasto, un crecimiento moderado y “esperamos resultados ajustados y orientados” en el que estén “implicadas” las instituciones afectadas por lo que se produzca en la cumbre de la UE de marzo”.</w:t>
      </w:r>
      <w:r>
        <w:rPr>
          <w:rFonts w:ascii="Times New Roman" w:hAnsi="Times New Roman"/>
          <w:sz w:val="24"/>
          <w:szCs w:val="24"/>
        </w:rPr>
        <w:t xml:space="preserve"> </w:t>
      </w:r>
      <w:r w:rsidRPr="009C5E1F">
        <w:rPr>
          <w:rFonts w:ascii="Times New Roman" w:hAnsi="Times New Roman"/>
          <w:sz w:val="24"/>
          <w:szCs w:val="24"/>
        </w:rPr>
        <w:t>Sin embargo, con el escenario de “riesgo”, en el que la “consolidación” del país fuera insuficiente y la presión de los mercados arreciara, el país podría alcanzar niveles de deuda del 140% del PIB en 2020 y no lograría alcanzar en ningún momento los niveles de déficit que le pide Bruselas (del 3%). El crecimiento medio de la década sería de un exiguo 0,2%</w:t>
      </w:r>
      <w:r>
        <w:rPr>
          <w:rFonts w:ascii="Times New Roman" w:hAnsi="Times New Roman"/>
          <w:sz w:val="24"/>
          <w:szCs w:val="24"/>
        </w:rPr>
        <w:t>”</w:t>
      </w:r>
      <w:r w:rsidRPr="009C5E1F">
        <w:rPr>
          <w:rFonts w:ascii="Times New Roman" w:hAnsi="Times New Roman"/>
          <w:sz w:val="24"/>
          <w:szCs w:val="24"/>
        </w:rPr>
        <w:t>...</w:t>
      </w:r>
      <w:r>
        <w:rPr>
          <w:rFonts w:ascii="Times New Roman" w:hAnsi="Times New Roman"/>
          <w:sz w:val="24"/>
          <w:szCs w:val="24"/>
          <w:u w:val="single"/>
        </w:rPr>
        <w:t xml:space="preserve"> </w:t>
      </w:r>
      <w:r w:rsidRPr="00804D35">
        <w:rPr>
          <w:rFonts w:ascii="Times New Roman" w:hAnsi="Times New Roman"/>
          <w:sz w:val="24"/>
          <w:szCs w:val="24"/>
          <w:u w:val="single"/>
        </w:rPr>
        <w:t>España necesita un gran pacto en la UE para evitar una década perdida</w:t>
      </w:r>
      <w:r>
        <w:rPr>
          <w:rFonts w:ascii="Times New Roman" w:hAnsi="Times New Roman"/>
          <w:sz w:val="24"/>
          <w:szCs w:val="24"/>
        </w:rPr>
        <w:t xml:space="preserve"> (Expansión - </w:t>
      </w:r>
      <w:r w:rsidRPr="002E0779">
        <w:rPr>
          <w:rFonts w:ascii="Times New Roman" w:hAnsi="Times New Roman"/>
          <w:b/>
          <w:sz w:val="24"/>
          <w:szCs w:val="24"/>
        </w:rPr>
        <w:t>9/3/11</w:t>
      </w:r>
      <w:r>
        <w:rPr>
          <w:rFonts w:ascii="Times New Roman" w:hAnsi="Times New Roman"/>
          <w:sz w:val="24"/>
          <w:szCs w:val="24"/>
        </w:rPr>
        <w:t>)</w:t>
      </w:r>
    </w:p>
    <w:p w:rsidR="009C5E1F" w:rsidRDefault="009C5E1F" w:rsidP="00387350">
      <w:pPr>
        <w:spacing w:line="24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Arial" w:eastAsia="Times New Roman" w:hAnsi="Arial" w:cs="Arial"/>
          <w:noProof/>
          <w:color w:val="000000"/>
          <w:sz w:val="15"/>
          <w:szCs w:val="15"/>
          <w:lang w:eastAsia="es-ES"/>
        </w:rPr>
        <w:drawing>
          <wp:inline distT="0" distB="0" distL="0" distR="0" wp14:anchorId="622EF129" wp14:editId="3DE6A090">
            <wp:extent cx="3569816" cy="4988966"/>
            <wp:effectExtent l="0" t="0" r="0" b="2540"/>
            <wp:docPr id="29" name="Imagen 29" descr="[Cr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risi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69970" cy="4989181"/>
                    </a:xfrm>
                    <a:prstGeom prst="rect">
                      <a:avLst/>
                    </a:prstGeom>
                    <a:noFill/>
                    <a:ln>
                      <a:noFill/>
                    </a:ln>
                  </pic:spPr>
                </pic:pic>
              </a:graphicData>
            </a:graphic>
          </wp:inline>
        </w:drawing>
      </w:r>
    </w:p>
    <w:p w:rsidR="001F5D33" w:rsidRDefault="001F5D33" w:rsidP="00387350">
      <w:pPr>
        <w:pStyle w:val="NormalWeb"/>
        <w:jc w:val="both"/>
      </w:pPr>
      <w:r>
        <w:t>“</w:t>
      </w:r>
      <w:r w:rsidRPr="009C5E1F">
        <w:t xml:space="preserve">La capacidad de pago de los países desarrollados se acerca al límite. Las tensiones financieras creadas por las crisis en Japón y Europa ponen de relieve un creciente problema: los países desarrollados está acercándose al punto en que no podrán afrontar los costos de un nuevo desastre… </w:t>
      </w:r>
      <w:r>
        <w:t>“</w:t>
      </w:r>
      <w:r w:rsidRPr="009C5E1F">
        <w:t>¿Podemos permitirnos otra cris</w:t>
      </w:r>
      <w:r>
        <w:t>is? Creo que la respuesta es no”</w:t>
      </w:r>
      <w:r w:rsidRPr="009C5E1F">
        <w:t>, dice Raghuram Rajan, profesor de la Universidad de Chicago quien se desempeñó como economista jefe del Fondo Monetario In</w:t>
      </w:r>
      <w:r>
        <w:t xml:space="preserve">ternacional entre 2003 y </w:t>
      </w:r>
      <w:r>
        <w:lastRenderedPageBreak/>
        <w:t>2007. “</w:t>
      </w:r>
      <w:r w:rsidRPr="009C5E1F">
        <w:t>Simplemente no tenemos la capacidad fiscal en muchos países para</w:t>
      </w:r>
      <w:r>
        <w:t xml:space="preserve"> rescatar nuevamente el sistema”</w:t>
      </w:r>
      <w:r w:rsidRPr="009C5E1F">
        <w:t>.</w:t>
      </w:r>
      <w:r>
        <w:t xml:space="preserve"> </w:t>
      </w:r>
      <w:r w:rsidRPr="009C5E1F">
        <w:t>Hasta 2010, el endeudamiento promedio del gobierno central entre los países avanzados ascendía a 74% del Producto Interno Bruto (PIB), tres veces más que en 1970, según los economistas Carmen Reinhart, del Instituto Peterson para la Economía Internacional, y Kenneth Rogoff de la Universidad de Harvard. Se trata del nivel más alto desde el fin de la Segunda Guerra Mundial.</w:t>
      </w:r>
      <w:r>
        <w:t xml:space="preserve"> </w:t>
      </w:r>
      <w:r w:rsidRPr="009C5E1F">
        <w:t>La acumulación de deuda ha coincidido con una transformación en el papel de los gobiernos de los países avanzados durante las crisis. Cada vez más, han intervenido como el asegurador de última instancia, asumiendo toda clase de costos, desde reconstruir comunidades costeras hasta garantizar las deudas de bancos y compañías privadas. Reinhart observa que los aumentos en la deuda fiscal han sido particularmente marcados después de las crisis financieras</w:t>
      </w:r>
      <w:r>
        <w:t>”..</w:t>
      </w:r>
      <w:r w:rsidRPr="009C5E1F">
        <w:t>.</w:t>
      </w:r>
      <w:r>
        <w:t xml:space="preserve"> </w:t>
      </w:r>
      <w:r w:rsidRPr="00C27AAD">
        <w:rPr>
          <w:u w:val="single"/>
        </w:rPr>
        <w:t>¿Y si se desata una nueva crisis?</w:t>
      </w:r>
      <w:r>
        <w:t xml:space="preserve"> (The Wall Street Journal - </w:t>
      </w:r>
      <w:r w:rsidRPr="00C27AAD">
        <w:rPr>
          <w:b/>
        </w:rPr>
        <w:t>27/3/11</w:t>
      </w:r>
      <w:r>
        <w:t xml:space="preserve">) </w:t>
      </w:r>
    </w:p>
    <w:p w:rsidR="009C5E1F" w:rsidRDefault="009C5E1F" w:rsidP="00387350">
      <w:pPr>
        <w:spacing w:line="240" w:lineRule="auto"/>
        <w:jc w:val="both"/>
        <w:rPr>
          <w:rFonts w:ascii="Times New Roman" w:hAnsi="Times New Roman"/>
          <w:sz w:val="24"/>
          <w:szCs w:val="24"/>
        </w:rPr>
      </w:pPr>
      <w:r>
        <w:rPr>
          <w:noProof/>
          <w:lang w:eastAsia="es-ES"/>
        </w:rPr>
        <w:drawing>
          <wp:inline distT="0" distB="0" distL="0" distR="0" wp14:anchorId="53AA9904" wp14:editId="52BD0D16">
            <wp:extent cx="5398617" cy="2940711"/>
            <wp:effectExtent l="0" t="0" r="0" b="0"/>
            <wp:docPr id="449" name="Imagen 449" descr="total-debt-by-countries-1990-jun-09-mckin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tal-debt-by-countries-1990-jun-09-mckinse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2941486"/>
                    </a:xfrm>
                    <a:prstGeom prst="rect">
                      <a:avLst/>
                    </a:prstGeom>
                    <a:noFill/>
                    <a:ln>
                      <a:noFill/>
                    </a:ln>
                  </pic:spPr>
                </pic:pic>
              </a:graphicData>
            </a:graphic>
          </wp:inline>
        </w:drawing>
      </w:r>
    </w:p>
    <w:p w:rsidR="009C5E1F" w:rsidRDefault="00572812" w:rsidP="00387350">
      <w:pPr>
        <w:spacing w:line="240" w:lineRule="auto"/>
        <w:jc w:val="both"/>
        <w:rPr>
          <w:rFonts w:ascii="Times New Roman" w:hAnsi="Times New Roman"/>
          <w:sz w:val="24"/>
          <w:szCs w:val="24"/>
        </w:rPr>
      </w:pPr>
      <w:r>
        <w:rPr>
          <w:noProof/>
          <w:lang w:eastAsia="es-ES"/>
        </w:rPr>
        <w:drawing>
          <wp:inline distT="0" distB="0" distL="0" distR="0" wp14:anchorId="39ABEEA4" wp14:editId="13EEE7C4">
            <wp:extent cx="5398617" cy="3160167"/>
            <wp:effectExtent l="0" t="0" r="0" b="2540"/>
            <wp:docPr id="450" name="Imagen 450" descr="world-total-debt-amount-by-countries-and-growth-mckin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orld-total-debt-amount-by-countries-and-growth-mckinsey"/>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8617" cy="3160167"/>
                    </a:xfrm>
                    <a:prstGeom prst="rect">
                      <a:avLst/>
                    </a:prstGeom>
                    <a:noFill/>
                    <a:ln>
                      <a:noFill/>
                    </a:ln>
                  </pic:spPr>
                </pic:pic>
              </a:graphicData>
            </a:graphic>
          </wp:inline>
        </w:drawing>
      </w:r>
    </w:p>
    <w:p w:rsidR="001F5D33" w:rsidRPr="001F5D33" w:rsidRDefault="001F5D33" w:rsidP="00387350">
      <w:pPr>
        <w:spacing w:line="240" w:lineRule="auto"/>
        <w:jc w:val="both"/>
        <w:rPr>
          <w:rFonts w:ascii="Times New Roman" w:hAnsi="Times New Roman"/>
          <w:sz w:val="24"/>
          <w:szCs w:val="24"/>
          <w:u w:val="single"/>
        </w:rPr>
      </w:pPr>
      <w:r>
        <w:rPr>
          <w:rFonts w:ascii="Times New Roman" w:hAnsi="Times New Roman"/>
          <w:sz w:val="24"/>
          <w:szCs w:val="24"/>
        </w:rPr>
        <w:lastRenderedPageBreak/>
        <w:t>“</w:t>
      </w:r>
      <w:r w:rsidRPr="00EC1410">
        <w:rPr>
          <w:rFonts w:ascii="Times New Roman" w:hAnsi="Times New Roman"/>
          <w:sz w:val="24"/>
          <w:szCs w:val="24"/>
        </w:rPr>
        <w:t>El título del informe, realizado por Mckinsey Global Institute (MGI) es muy claro, “</w:t>
      </w:r>
      <w:r w:rsidRPr="00925765">
        <w:rPr>
          <w:rFonts w:ascii="Times New Roman" w:hAnsi="Times New Roman"/>
          <w:i/>
          <w:sz w:val="24"/>
          <w:szCs w:val="24"/>
        </w:rPr>
        <w:t>Debt and deleveraging: The global credit bubble and its economic consequences</w:t>
      </w:r>
      <w:r w:rsidRPr="00EC1410">
        <w:rPr>
          <w:rFonts w:ascii="Times New Roman" w:hAnsi="Times New Roman"/>
          <w:sz w:val="24"/>
          <w:szCs w:val="24"/>
        </w:rPr>
        <w:t>” , es decir algo así como, “Deudas y desapalancamiento: La burbuja de crédito global y sus consecuencias económicas”, y las conclusiones de este excepcional y extenso documento son muy obvias, después de una orgía de endeudamiento global en los últimos 20 años (últimos 10 en el caso español), ahora vendrá un largo proceso de desapalancamiento global y por tanto de bajo crecimiento</w:t>
      </w:r>
      <w:r>
        <w:rPr>
          <w:rFonts w:ascii="Times New Roman" w:hAnsi="Times New Roman"/>
          <w:sz w:val="24"/>
          <w:szCs w:val="24"/>
        </w:rPr>
        <w:t>”..</w:t>
      </w:r>
      <w:r w:rsidRPr="00EC1410">
        <w:rPr>
          <w:rFonts w:ascii="Times New Roman" w:hAnsi="Times New Roman"/>
          <w:sz w:val="24"/>
          <w:szCs w:val="24"/>
        </w:rPr>
        <w:t>.</w:t>
      </w:r>
      <w:r>
        <w:rPr>
          <w:rFonts w:ascii="Times New Roman" w:hAnsi="Times New Roman"/>
          <w:sz w:val="24"/>
          <w:szCs w:val="24"/>
        </w:rPr>
        <w:t xml:space="preserve"> </w:t>
      </w:r>
      <w:r w:rsidRPr="00EC1410">
        <w:rPr>
          <w:rFonts w:ascii="Times New Roman" w:hAnsi="Times New Roman"/>
          <w:sz w:val="24"/>
          <w:szCs w:val="24"/>
          <w:u w:val="single"/>
        </w:rPr>
        <w:t>¿Cuáles son los países del mundo más endeudados?</w:t>
      </w:r>
      <w:r>
        <w:rPr>
          <w:rFonts w:ascii="Times New Roman" w:hAnsi="Times New Roman"/>
          <w:sz w:val="24"/>
          <w:szCs w:val="24"/>
        </w:rPr>
        <w:t xml:space="preserve"> </w:t>
      </w:r>
      <w:r w:rsidRPr="00572812">
        <w:rPr>
          <w:rFonts w:ascii="Times New Roman" w:hAnsi="Times New Roman"/>
          <w:sz w:val="24"/>
          <w:szCs w:val="24"/>
        </w:rPr>
        <w:t xml:space="preserve">(Posted by Marc Garrigasait on </w:t>
      </w:r>
      <w:r w:rsidRPr="00572812">
        <w:rPr>
          <w:rFonts w:ascii="Times New Roman" w:hAnsi="Times New Roman"/>
          <w:b/>
          <w:sz w:val="24"/>
          <w:szCs w:val="24"/>
        </w:rPr>
        <w:t>February 14th, 2010</w:t>
      </w:r>
      <w:r>
        <w:rPr>
          <w:rFonts w:ascii="Times New Roman" w:hAnsi="Times New Roman"/>
          <w:sz w:val="24"/>
          <w:szCs w:val="24"/>
        </w:rPr>
        <w:t>)</w:t>
      </w:r>
    </w:p>
    <w:p w:rsidR="00572812" w:rsidRPr="00572812" w:rsidRDefault="00572812" w:rsidP="00387350">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45256B">
        <w:rPr>
          <w:rFonts w:ascii="Times New Roman" w:hAnsi="Times New Roman" w:cs="Times New Roman"/>
          <w:sz w:val="24"/>
          <w:szCs w:val="24"/>
        </w:rPr>
        <w:t xml:space="preserve">- </w:t>
      </w:r>
      <w:r w:rsidR="00EB0C87">
        <w:rPr>
          <w:rFonts w:ascii="Times New Roman" w:hAnsi="Times New Roman" w:cs="Times New Roman"/>
          <w:sz w:val="24"/>
          <w:szCs w:val="24"/>
          <w:u w:val="single"/>
        </w:rPr>
        <w:t>Riesgo de impago</w:t>
      </w:r>
      <w:r w:rsidRPr="00572812">
        <w:rPr>
          <w:rFonts w:ascii="Times New Roman" w:hAnsi="Times New Roman" w:cs="Times New Roman"/>
          <w:sz w:val="24"/>
          <w:szCs w:val="24"/>
        </w:rPr>
        <w:t xml:space="preserve"> (</w:t>
      </w:r>
      <w:r w:rsidR="00EB0C87">
        <w:rPr>
          <w:rFonts w:ascii="Times New Roman" w:hAnsi="Times New Roman" w:cs="Times New Roman"/>
          <w:sz w:val="24"/>
          <w:szCs w:val="24"/>
        </w:rPr>
        <w:t xml:space="preserve">Fuente: </w:t>
      </w:r>
      <w:r w:rsidRPr="00572812">
        <w:rPr>
          <w:rFonts w:ascii="Times New Roman" w:hAnsi="Times New Roman" w:cs="Times New Roman"/>
          <w:sz w:val="24"/>
          <w:szCs w:val="24"/>
        </w:rPr>
        <w:t xml:space="preserve">Cinco Días - </w:t>
      </w:r>
      <w:r w:rsidRPr="00572812">
        <w:rPr>
          <w:rFonts w:ascii="Times New Roman" w:hAnsi="Times New Roman" w:cs="Times New Roman"/>
          <w:b/>
          <w:sz w:val="24"/>
          <w:szCs w:val="24"/>
        </w:rPr>
        <w:t>16/4/11</w:t>
      </w:r>
      <w:r w:rsidRPr="00572812">
        <w:rPr>
          <w:rFonts w:ascii="Times New Roman" w:hAnsi="Times New Roman" w:cs="Times New Roman"/>
          <w:sz w:val="24"/>
          <w:szCs w:val="24"/>
        </w:rPr>
        <w:t xml:space="preserve">)  </w:t>
      </w:r>
    </w:p>
    <w:p w:rsidR="00572812" w:rsidRDefault="00572812" w:rsidP="00387350">
      <w:pPr>
        <w:spacing w:line="240" w:lineRule="auto"/>
        <w:jc w:val="both"/>
        <w:rPr>
          <w:rFonts w:ascii="Times New Roman" w:hAnsi="Times New Roman"/>
          <w:sz w:val="24"/>
          <w:szCs w:val="24"/>
        </w:rPr>
      </w:pPr>
      <w:r>
        <w:rPr>
          <w:noProof/>
          <w:color w:val="0000FF"/>
          <w:lang w:eastAsia="es-ES"/>
        </w:rPr>
        <w:drawing>
          <wp:inline distT="0" distB="0" distL="0" distR="0" wp14:anchorId="4F3E0A0B" wp14:editId="1A14188C">
            <wp:extent cx="5398617" cy="3291840"/>
            <wp:effectExtent l="0" t="0" r="0" b="3810"/>
            <wp:docPr id="85" name="Imagen 85" descr="Bank exposure europe debt crisis">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k exposure europe debt crisi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40" cy="3292708"/>
                    </a:xfrm>
                    <a:prstGeom prst="rect">
                      <a:avLst/>
                    </a:prstGeom>
                    <a:noFill/>
                    <a:ln>
                      <a:noFill/>
                    </a:ln>
                  </pic:spPr>
                </pic:pic>
              </a:graphicData>
            </a:graphic>
          </wp:inline>
        </w:drawing>
      </w:r>
    </w:p>
    <w:p w:rsidR="00572812" w:rsidRDefault="001C60EC"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572812" w:rsidRPr="00572812">
        <w:rPr>
          <w:rFonts w:ascii="Times New Roman" w:eastAsia="Times New Roman" w:hAnsi="Times New Roman"/>
          <w:sz w:val="24"/>
          <w:szCs w:val="24"/>
          <w:lang w:eastAsia="es-ES"/>
        </w:rPr>
        <w:t xml:space="preserve">¿Qué es la represión financiera? Debemos agradecer este nombre a Ronald McKinnon (1973) y Edward Shaw (1973) quienes lo usaron para definir el </w:t>
      </w:r>
      <w:r w:rsidR="00572812" w:rsidRPr="00572812">
        <w:rPr>
          <w:rFonts w:ascii="Times New Roman" w:eastAsia="Times New Roman" w:hAnsi="Times New Roman"/>
          <w:bCs/>
          <w:sz w:val="24"/>
          <w:szCs w:val="24"/>
          <w:lang w:eastAsia="es-ES"/>
        </w:rPr>
        <w:t>conjunto de trabas que los gobiernos ponen en el sistema financiero buscando algún tipo de beneficio</w:t>
      </w:r>
      <w:r w:rsidR="00572812" w:rsidRPr="00572812">
        <w:rPr>
          <w:rFonts w:ascii="Times New Roman" w:eastAsia="Times New Roman" w:hAnsi="Times New Roman"/>
          <w:sz w:val="24"/>
          <w:szCs w:val="24"/>
          <w:lang w:eastAsia="es-ES"/>
        </w:rPr>
        <w:t xml:space="preserve">, que en última instancia se traduce en una merma para el resto de agentes económicos y para el crecimiento. En una primera fase el objetivo eran los países emergentes, muy dados a controlar los tipos de interés, el movimiento de capitales y en general a manejar de forma más o menos directa a los bancos. Pero, a medida que se profundizó en el tema, </w:t>
      </w:r>
      <w:r w:rsidR="00572812" w:rsidRPr="00572812">
        <w:rPr>
          <w:rFonts w:ascii="Times New Roman" w:eastAsia="Times New Roman" w:hAnsi="Times New Roman"/>
          <w:bCs/>
          <w:sz w:val="24"/>
          <w:szCs w:val="24"/>
          <w:lang w:eastAsia="es-ES"/>
        </w:rPr>
        <w:t>se comprobó que los países desarrollados también hacen un uso muy amplio de dicha herramienta</w:t>
      </w:r>
      <w:r w:rsidR="00572812" w:rsidRPr="00572812">
        <w:rPr>
          <w:rFonts w:ascii="Times New Roman" w:eastAsia="Times New Roman" w:hAnsi="Times New Roman"/>
          <w:sz w:val="24"/>
          <w:szCs w:val="24"/>
          <w:lang w:eastAsia="es-ES"/>
        </w:rPr>
        <w:t>, y quizá mucho más efectivo. En esta segunda fase la cabeza más visible es Carmen Reinhart, y de ahí que su obra esté hoy con nosotros</w:t>
      </w:r>
      <w:r>
        <w:rPr>
          <w:rFonts w:ascii="Times New Roman" w:eastAsia="Times New Roman" w:hAnsi="Times New Roman"/>
          <w:sz w:val="24"/>
          <w:szCs w:val="24"/>
          <w:lang w:eastAsia="es-ES"/>
        </w:rPr>
        <w:t>.</w:t>
      </w:r>
    </w:p>
    <w:p w:rsidR="001C60EC" w:rsidRDefault="001C60EC" w:rsidP="00387350">
      <w:pPr>
        <w:spacing w:after="0" w:line="240" w:lineRule="auto"/>
        <w:jc w:val="both"/>
        <w:rPr>
          <w:rFonts w:ascii="Times New Roman" w:eastAsia="Times New Roman" w:hAnsi="Times New Roman"/>
          <w:sz w:val="24"/>
          <w:szCs w:val="24"/>
          <w:lang w:eastAsia="es-ES"/>
        </w:rPr>
      </w:pPr>
    </w:p>
    <w:p w:rsidR="001C60EC" w:rsidRPr="001C60EC" w:rsidRDefault="001C60EC" w:rsidP="00387350">
      <w:pPr>
        <w:spacing w:after="0" w:line="240" w:lineRule="auto"/>
        <w:jc w:val="both"/>
        <w:rPr>
          <w:rFonts w:ascii="Times New Roman" w:eastAsia="Times New Roman" w:hAnsi="Times New Roman"/>
          <w:bCs/>
          <w:sz w:val="24"/>
          <w:szCs w:val="24"/>
          <w:lang w:eastAsia="es-ES"/>
        </w:rPr>
      </w:pPr>
      <w:r w:rsidRPr="001C60EC">
        <w:rPr>
          <w:rFonts w:ascii="Times New Roman" w:eastAsia="Times New Roman" w:hAnsi="Times New Roman"/>
          <w:sz w:val="24"/>
          <w:szCs w:val="24"/>
          <w:lang w:eastAsia="es-ES"/>
        </w:rPr>
        <w:t xml:space="preserve">¿Qué beneficios sacan los gobiernos con la “represión financiera”? Pueden intervenir los tipos de interés para conseguir préstamos más baratos, pueden establecer ciertos impuestos a la banca que los favorezcan, pueden dirigir el crédito a ciertas empresas industrias en algunos casos como un intercambio de favores, pero fundamentalmente </w:t>
      </w:r>
      <w:r w:rsidRPr="001C60EC">
        <w:rPr>
          <w:rFonts w:ascii="Times New Roman" w:eastAsia="Times New Roman" w:hAnsi="Times New Roman"/>
          <w:bCs/>
          <w:sz w:val="24"/>
          <w:szCs w:val="24"/>
          <w:lang w:eastAsia="es-ES"/>
        </w:rPr>
        <w:t>puede ser una herramienta fantástica para reducir la deuda pública.</w:t>
      </w:r>
    </w:p>
    <w:p w:rsidR="001C60EC" w:rsidRPr="00572812" w:rsidRDefault="001C60EC" w:rsidP="00387350">
      <w:pPr>
        <w:pStyle w:val="NormalWeb"/>
        <w:jc w:val="both"/>
      </w:pPr>
      <w:r w:rsidRPr="001C60EC">
        <w:t xml:space="preserve">Podríamos pensar que este proceso es algo puntual y localizado, pero las evidencias demuestran que estaríamos totalmente equivocados. El mejor ejemplo lo tenemos en el último siglo en donde tenemos tres momentos de alta deuda similares a los actuales; la </w:t>
      </w:r>
      <w:r w:rsidRPr="001C60EC">
        <w:lastRenderedPageBreak/>
        <w:t xml:space="preserve">primera guerra mundial, la gran depresión y la segunda guerra mundial. En el primer caso el patrón oro provocó que la inflación no pudiese dispararse inutilizando el método que tratamos y forzando un ajuste por medio de defaults y reestructuraciones. La deuda apenas se redujo y entramos en la gran depresión, un ajuste más pronunciado pero más de lo mismo. Por fin llegamos a Bretton Woods y al final de la segunda guerra mundial, a partir de ahí hay </w:t>
      </w:r>
      <w:r w:rsidR="00391C0B">
        <w:t>“</w:t>
      </w:r>
      <w:r w:rsidRPr="00391C0B">
        <w:rPr>
          <w:iCs/>
        </w:rPr>
        <w:t>financial repression</w:t>
      </w:r>
      <w:r w:rsidR="00391C0B">
        <w:rPr>
          <w:iCs/>
        </w:rPr>
        <w:t>”</w:t>
      </w:r>
      <w:r w:rsidRPr="001C60EC">
        <w:t xml:space="preserve"> para aburrir</w:t>
      </w:r>
      <w:r>
        <w:t>”..</w:t>
      </w:r>
      <w:r w:rsidRPr="001C60EC">
        <w:t>.</w:t>
      </w:r>
      <w:r>
        <w:t xml:space="preserve"> </w:t>
      </w:r>
      <w:r w:rsidRPr="00AF2895">
        <w:rPr>
          <w:u w:val="single"/>
        </w:rPr>
        <w:t>“Financial repression”, o cómo hacer desaparecer la deuda pública</w:t>
      </w:r>
      <w:r>
        <w:t xml:space="preserve"> (El Confidencial - </w:t>
      </w:r>
      <w:r w:rsidRPr="00AF2895">
        <w:rPr>
          <w:b/>
        </w:rPr>
        <w:t>25/5/11</w:t>
      </w:r>
      <w:r>
        <w:t>)</w:t>
      </w:r>
    </w:p>
    <w:p w:rsidR="001A3B4C" w:rsidRDefault="00572812" w:rsidP="00387350">
      <w:pPr>
        <w:pStyle w:val="NormalWeb"/>
        <w:jc w:val="both"/>
      </w:pPr>
      <w:r>
        <w:rPr>
          <w:noProof/>
          <w:color w:val="0000FF"/>
        </w:rPr>
        <w:drawing>
          <wp:inline distT="0" distB="0" distL="0" distR="0" wp14:anchorId="0FFE7074" wp14:editId="2F2CD175">
            <wp:extent cx="5398617" cy="3226003"/>
            <wp:effectExtent l="0" t="0" r="0" b="0"/>
            <wp:docPr id="95" name="Imagen 95" descr="2011052576f1">
              <a:hlinkClick xmlns:a="http://schemas.openxmlformats.org/drawingml/2006/main" r:id="rId4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1052576f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8964" cy="3226210"/>
                    </a:xfrm>
                    <a:prstGeom prst="rect">
                      <a:avLst/>
                    </a:prstGeom>
                    <a:noFill/>
                    <a:ln>
                      <a:noFill/>
                    </a:ln>
                  </pic:spPr>
                </pic:pic>
              </a:graphicData>
            </a:graphic>
          </wp:inline>
        </w:drawing>
      </w:r>
    </w:p>
    <w:p w:rsidR="001C60EC" w:rsidRPr="001C60EC" w:rsidRDefault="001C60EC"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1C60EC">
        <w:rPr>
          <w:rFonts w:ascii="Times New Roman" w:eastAsia="Times New Roman" w:hAnsi="Times New Roman"/>
          <w:sz w:val="24"/>
          <w:szCs w:val="24"/>
          <w:lang w:eastAsia="es-ES"/>
        </w:rPr>
        <w:t>El nivel de endeudamiento público global supera ya los 40 billones de dólares: según la Intelligence Unit de la prestigiosa publicación británica The Economist, asciende a 42,6 billones de dólares; con los cálculos del Factbook de la CIA estadounidense, llegaría a 44,2 billones, nada menos que el 59,3% de la actividad económica del planeta. Traducido a euros, el montante de la deuda global se sitúa de este modo en el entorno de los 30 billones: casi 30 veces el producto interior bruto de España.</w:t>
      </w:r>
    </w:p>
    <w:p w:rsidR="001C60EC" w:rsidRPr="001C60EC" w:rsidRDefault="001C60EC" w:rsidP="00387350">
      <w:pPr>
        <w:spacing w:before="100" w:beforeAutospacing="1" w:after="100" w:afterAutospacing="1" w:line="240" w:lineRule="auto"/>
        <w:jc w:val="both"/>
        <w:rPr>
          <w:rFonts w:ascii="Times New Roman" w:eastAsia="Times New Roman" w:hAnsi="Times New Roman"/>
          <w:sz w:val="24"/>
          <w:szCs w:val="24"/>
          <w:lang w:eastAsia="es-ES"/>
        </w:rPr>
      </w:pPr>
      <w:r w:rsidRPr="001C60EC">
        <w:rPr>
          <w:rFonts w:ascii="Times New Roman" w:eastAsia="Times New Roman" w:hAnsi="Times New Roman"/>
          <w:sz w:val="24"/>
          <w:szCs w:val="24"/>
          <w:lang w:eastAsia="es-ES"/>
        </w:rPr>
        <w:t>Desde el año 2007, cuando el estallido de la burbuja inmobiliaria de Estados Unidos dio el pistoletazo de salida a la Gran Recesión, el nivel de endeudamiento público se ha incrementado en un 50%. Ese impulso se explica por la aplicación de políticas keynesianas de gasto en la mayor parte de los Gobiernos del planeta, que incurrieron en voluminosos déficits presupuestarios y cebaron el endeudamiento. Pero el recurso a la deuda no es exclusivo de las vacas flacas: también se elevó en los años de crecimiento económico acelerado de la mitad de la pasada década. De hecho, en 2000 apenas sumaba 18 billones de dólares, menos de la mitad que en la actualidad.</w:t>
      </w:r>
    </w:p>
    <w:p w:rsidR="001C60EC" w:rsidRPr="001C60EC" w:rsidRDefault="001C60EC" w:rsidP="00387350">
      <w:pPr>
        <w:spacing w:before="100" w:beforeAutospacing="1" w:after="100" w:afterAutospacing="1" w:line="240" w:lineRule="auto"/>
        <w:jc w:val="both"/>
        <w:rPr>
          <w:rFonts w:ascii="Times New Roman" w:eastAsia="Times New Roman" w:hAnsi="Times New Roman"/>
          <w:sz w:val="24"/>
          <w:szCs w:val="24"/>
          <w:lang w:eastAsia="es-ES"/>
        </w:rPr>
      </w:pPr>
      <w:r w:rsidRPr="001C60EC">
        <w:rPr>
          <w:rFonts w:ascii="Times New Roman" w:eastAsia="Times New Roman" w:hAnsi="Times New Roman"/>
          <w:sz w:val="24"/>
          <w:szCs w:val="24"/>
          <w:lang w:eastAsia="es-ES"/>
        </w:rPr>
        <w:t>Las implicaciones de la escalada no son menores. Si bien es cierto que la deuda financia el necesario tirón económico de países emergentes como China, India o Brasil, no lo es menos que la concentración del endeudamiento no se produce allí, sino en países ricos como Japón (225% del PIB), Italia (118%), Francia (83%) o Alemania (79%). Estos emisores</w:t>
      </w:r>
      <w:r>
        <w:rPr>
          <w:rFonts w:ascii="Times New Roman" w:eastAsia="Times New Roman" w:hAnsi="Times New Roman"/>
          <w:sz w:val="24"/>
          <w:szCs w:val="24"/>
          <w:lang w:eastAsia="es-ES"/>
        </w:rPr>
        <w:t>,</w:t>
      </w:r>
      <w:r w:rsidRPr="001C60EC">
        <w:rPr>
          <w:rFonts w:ascii="Times New Roman" w:eastAsia="Times New Roman" w:hAnsi="Times New Roman"/>
          <w:sz w:val="24"/>
          <w:szCs w:val="24"/>
          <w:lang w:eastAsia="es-ES"/>
        </w:rPr>
        <w:t xml:space="preserve"> destinan el grueso de los fondos captados al consumo, no a la inversión.</w:t>
      </w:r>
    </w:p>
    <w:p w:rsidR="001C60EC" w:rsidRPr="001C60EC" w:rsidRDefault="001C60EC" w:rsidP="00387350">
      <w:pPr>
        <w:spacing w:before="100" w:beforeAutospacing="1" w:after="100" w:afterAutospacing="1" w:line="240" w:lineRule="auto"/>
        <w:jc w:val="both"/>
        <w:rPr>
          <w:rFonts w:ascii="Times New Roman" w:eastAsia="Times New Roman" w:hAnsi="Times New Roman"/>
          <w:sz w:val="24"/>
          <w:szCs w:val="24"/>
          <w:lang w:eastAsia="es-ES"/>
        </w:rPr>
      </w:pPr>
      <w:r w:rsidRPr="001C60EC">
        <w:rPr>
          <w:rFonts w:ascii="Times New Roman" w:eastAsia="Times New Roman" w:hAnsi="Times New Roman"/>
          <w:sz w:val="24"/>
          <w:szCs w:val="24"/>
          <w:lang w:eastAsia="es-ES"/>
        </w:rPr>
        <w:lastRenderedPageBreak/>
        <w:t>El temido efecto crowding out (desplazamiento público del sector privado a la hora de captar fondos) se produce de este modo sin compensación a largo plazo. Las consecuencias son evidentes en países como España, donde la sequía de crédito a las empresas está difiriendo sine díe la deseada recuperación económica.</w:t>
      </w:r>
    </w:p>
    <w:p w:rsidR="001C60EC" w:rsidRDefault="001C60EC" w:rsidP="00387350">
      <w:pPr>
        <w:spacing w:before="100" w:beforeAutospacing="1" w:after="100" w:afterAutospacing="1" w:line="240" w:lineRule="auto"/>
        <w:jc w:val="both"/>
        <w:rPr>
          <w:rFonts w:ascii="Times New Roman" w:eastAsia="Times New Roman" w:hAnsi="Times New Roman"/>
          <w:sz w:val="24"/>
          <w:szCs w:val="24"/>
          <w:lang w:eastAsia="es-ES"/>
        </w:rPr>
      </w:pPr>
      <w:r w:rsidRPr="001C60EC">
        <w:rPr>
          <w:rFonts w:ascii="Times New Roman" w:eastAsia="Times New Roman" w:hAnsi="Times New Roman"/>
          <w:sz w:val="24"/>
          <w:szCs w:val="24"/>
          <w:lang w:eastAsia="es-ES"/>
        </w:rPr>
        <w:t>Así las cosas, el endeudamiento implica que más de 30 billones de euros se encuentran en una situación cercana al estancamiento, contribuyendo poco al crecimiento económico global</w:t>
      </w:r>
      <w:r>
        <w:rPr>
          <w:rFonts w:ascii="Times New Roman" w:eastAsia="Times New Roman" w:hAnsi="Times New Roman"/>
          <w:sz w:val="24"/>
          <w:szCs w:val="24"/>
          <w:lang w:eastAsia="es-ES"/>
        </w:rPr>
        <w:t>”..</w:t>
      </w:r>
      <w:r w:rsidRPr="001C60EC">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EE055B">
        <w:rPr>
          <w:rFonts w:ascii="Times New Roman" w:eastAsia="Times New Roman" w:hAnsi="Times New Roman"/>
          <w:sz w:val="24"/>
          <w:szCs w:val="24"/>
          <w:u w:val="single"/>
          <w:lang w:eastAsia="es-ES"/>
        </w:rPr>
        <w:t>La deuda pública acumulada en el mundo multiplica por 30 el PIB español</w:t>
      </w:r>
      <w:r>
        <w:rPr>
          <w:rFonts w:ascii="Times New Roman" w:eastAsia="Times New Roman" w:hAnsi="Times New Roman"/>
          <w:sz w:val="24"/>
          <w:szCs w:val="24"/>
          <w:lang w:eastAsia="es-ES"/>
        </w:rPr>
        <w:t xml:space="preserve"> (Cinco Días - </w:t>
      </w:r>
      <w:r w:rsidRPr="00EE055B">
        <w:rPr>
          <w:rFonts w:ascii="Times New Roman" w:eastAsia="Times New Roman" w:hAnsi="Times New Roman"/>
          <w:b/>
          <w:sz w:val="24"/>
          <w:szCs w:val="24"/>
          <w:lang w:eastAsia="es-ES"/>
        </w:rPr>
        <w:t>24/7/11</w:t>
      </w:r>
      <w:r>
        <w:rPr>
          <w:rFonts w:ascii="Times New Roman" w:eastAsia="Times New Roman" w:hAnsi="Times New Roman"/>
          <w:sz w:val="24"/>
          <w:szCs w:val="24"/>
          <w:lang w:eastAsia="es-ES"/>
        </w:rPr>
        <w:t>)</w:t>
      </w:r>
    </w:p>
    <w:p w:rsidR="001C60EC" w:rsidRPr="001C60EC" w:rsidRDefault="001C60EC" w:rsidP="00387350">
      <w:pPr>
        <w:spacing w:line="240" w:lineRule="auto"/>
        <w:jc w:val="both"/>
        <w:rPr>
          <w:rFonts w:ascii="Times New Roman" w:hAnsi="Times New Roman"/>
          <w:sz w:val="24"/>
          <w:szCs w:val="24"/>
        </w:rPr>
      </w:pPr>
      <w:r>
        <w:rPr>
          <w:rFonts w:ascii="Times New Roman" w:hAnsi="Times New Roman"/>
          <w:sz w:val="24"/>
          <w:szCs w:val="24"/>
        </w:rPr>
        <w:t>“</w:t>
      </w:r>
      <w:r w:rsidRPr="001C60EC">
        <w:rPr>
          <w:rFonts w:ascii="Times New Roman" w:hAnsi="Times New Roman"/>
          <w:sz w:val="24"/>
          <w:szCs w:val="24"/>
        </w:rPr>
        <w:t>Obama ha disparado la deuda pública de EEUU desde que llegó al poder. Aunque George W. Bush fue un presidente que gastó a manos llenas, en la comparación con el demócrata aparece casi como un ejemplo de contención. Cuando el actual presidente llegó a la Casa Blanca la deuda estaba por debajo de los 8,5 billones de dólares; ahora, supera los 14 billones. Lo que nadie podía esperar, que se llegase al techo de deuda, lo ha hecho realidad Barack Obama en menos de tres años</w:t>
      </w:r>
      <w:r>
        <w:rPr>
          <w:rFonts w:ascii="Times New Roman" w:hAnsi="Times New Roman"/>
          <w:sz w:val="24"/>
          <w:szCs w:val="24"/>
        </w:rPr>
        <w:t>”..</w:t>
      </w:r>
      <w:r w:rsidRPr="001C60EC">
        <w:rPr>
          <w:rFonts w:ascii="Times New Roman" w:hAnsi="Times New Roman"/>
          <w:sz w:val="24"/>
          <w:szCs w:val="24"/>
        </w:rPr>
        <w:t>.</w:t>
      </w:r>
      <w:r w:rsidR="00EB0C87">
        <w:rPr>
          <w:rFonts w:ascii="Times New Roman" w:hAnsi="Times New Roman"/>
          <w:sz w:val="24"/>
          <w:szCs w:val="24"/>
        </w:rPr>
        <w:t xml:space="preserve"> </w:t>
      </w:r>
      <w:r w:rsidRPr="008052F2">
        <w:rPr>
          <w:rFonts w:ascii="Times New Roman" w:hAnsi="Times New Roman"/>
          <w:sz w:val="24"/>
          <w:szCs w:val="24"/>
          <w:u w:val="single"/>
        </w:rPr>
        <w:t>Obama y Zapatero, dos derrochadores con las manos atadas</w:t>
      </w:r>
      <w:r>
        <w:rPr>
          <w:rFonts w:ascii="Times New Roman" w:hAnsi="Times New Roman"/>
          <w:sz w:val="24"/>
          <w:szCs w:val="24"/>
        </w:rPr>
        <w:t xml:space="preserve"> (Libertad Digital - </w:t>
      </w:r>
      <w:r w:rsidRPr="008052F2">
        <w:rPr>
          <w:rFonts w:ascii="Times New Roman" w:hAnsi="Times New Roman"/>
          <w:b/>
          <w:sz w:val="24"/>
          <w:szCs w:val="24"/>
        </w:rPr>
        <w:t>1/8/11</w:t>
      </w:r>
      <w:r>
        <w:rPr>
          <w:rFonts w:ascii="Times New Roman" w:hAnsi="Times New Roman"/>
          <w:sz w:val="24"/>
          <w:szCs w:val="24"/>
        </w:rPr>
        <w:t>)</w:t>
      </w:r>
    </w:p>
    <w:p w:rsidR="001C60EC" w:rsidRDefault="001C60EC" w:rsidP="00387350">
      <w:pPr>
        <w:spacing w:before="100" w:beforeAutospacing="1" w:after="100" w:afterAutospacing="1" w:line="240" w:lineRule="auto"/>
        <w:jc w:val="both"/>
        <w:rPr>
          <w:rFonts w:ascii="Times New Roman" w:eastAsia="Times New Roman" w:hAnsi="Times New Roman"/>
          <w:sz w:val="24"/>
          <w:szCs w:val="24"/>
          <w:lang w:eastAsia="es-ES"/>
        </w:rPr>
      </w:pPr>
      <w:r>
        <w:rPr>
          <w:noProof/>
          <w:lang w:eastAsia="es-ES"/>
        </w:rPr>
        <w:drawing>
          <wp:inline distT="0" distB="0" distL="0" distR="0" wp14:anchorId="656C3BA3" wp14:editId="0438B6A8">
            <wp:extent cx="5713171" cy="3394253"/>
            <wp:effectExtent l="0" t="0" r="1905" b="0"/>
            <wp:docPr id="108" name="Imagen 108" descr="deuda_publica_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uda_publica_eeuu"/>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14677" cy="3395148"/>
                    </a:xfrm>
                    <a:prstGeom prst="rect">
                      <a:avLst/>
                    </a:prstGeom>
                    <a:noFill/>
                    <a:ln>
                      <a:noFill/>
                    </a:ln>
                  </pic:spPr>
                </pic:pic>
              </a:graphicData>
            </a:graphic>
          </wp:inline>
        </w:drawing>
      </w:r>
    </w:p>
    <w:p w:rsidR="0078186C" w:rsidRPr="0078186C" w:rsidRDefault="0078186C" w:rsidP="00387350">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sz w:val="24"/>
          <w:szCs w:val="24"/>
          <w:lang w:eastAsia="es-ES"/>
        </w:rPr>
        <w:t>“</w:t>
      </w:r>
      <w:r w:rsidRPr="0078186C">
        <w:rPr>
          <w:rFonts w:ascii="Times New Roman" w:eastAsia="Times New Roman" w:hAnsi="Times New Roman"/>
          <w:sz w:val="24"/>
          <w:szCs w:val="24"/>
          <w:lang w:eastAsia="es-ES"/>
        </w:rPr>
        <w:t>La crisis financiera global que produjo la mayor recesión desde la década del 1930 en el mundo occidental en 2008 fue causada, en gran medida, por el efecto sobre el sistema financiero de transformar activos financieros calificados como libre de riesgo (los activos garantizados por hipotecas) en activos de baja calidad con alto riesgo. Imagínense que pasaría si lo mismo le ocurre a los bonos soberanos emitidos por Francia, Italia y España. Las hojas de balance de varios bancos neurálgicos para el sistema financiero  global quedarían muy deterioradas y potencialmente generarían un congelamiento de los mercados financieros globales como el ocurrido a fin del  2008</w:t>
      </w:r>
      <w:r>
        <w:rPr>
          <w:rFonts w:ascii="Times New Roman" w:eastAsia="Times New Roman" w:hAnsi="Times New Roman"/>
          <w:sz w:val="24"/>
          <w:szCs w:val="24"/>
          <w:lang w:eastAsia="es-ES"/>
        </w:rPr>
        <w:t>..</w:t>
      </w:r>
      <w:r w:rsidRPr="0078186C">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677764">
        <w:rPr>
          <w:rFonts w:ascii="Times New Roman" w:eastAsia="Times New Roman" w:hAnsi="Times New Roman"/>
          <w:bCs/>
          <w:kern w:val="36"/>
          <w:sz w:val="24"/>
          <w:szCs w:val="24"/>
          <w:u w:val="single"/>
          <w:lang w:eastAsia="es-ES"/>
        </w:rPr>
        <w:t>Una Visión de la Lógica del Pánico Económico en Europa</w:t>
      </w:r>
      <w:r>
        <w:rPr>
          <w:rFonts w:ascii="Times New Roman" w:eastAsia="Times New Roman" w:hAnsi="Times New Roman"/>
          <w:bCs/>
          <w:kern w:val="36"/>
          <w:sz w:val="24"/>
          <w:szCs w:val="24"/>
          <w:u w:val="single"/>
          <w:lang w:eastAsia="es-ES"/>
        </w:rPr>
        <w:t xml:space="preserve"> </w:t>
      </w:r>
      <w:r w:rsidRPr="00FD0E32">
        <w:rPr>
          <w:rFonts w:ascii="Times New Roman" w:eastAsia="Times New Roman" w:hAnsi="Times New Roman"/>
          <w:bCs/>
          <w:kern w:val="36"/>
          <w:sz w:val="24"/>
          <w:szCs w:val="24"/>
          <w:lang w:eastAsia="es-ES"/>
        </w:rPr>
        <w:t xml:space="preserve">(Fedea - </w:t>
      </w:r>
      <w:r w:rsidRPr="00FD0E32">
        <w:rPr>
          <w:rFonts w:ascii="Times New Roman" w:eastAsia="Times New Roman" w:hAnsi="Times New Roman"/>
          <w:b/>
          <w:bCs/>
          <w:kern w:val="36"/>
          <w:sz w:val="24"/>
          <w:szCs w:val="24"/>
          <w:lang w:eastAsia="es-ES"/>
        </w:rPr>
        <w:t>14/8/11</w:t>
      </w:r>
      <w:r w:rsidRPr="00FD0E32">
        <w:rPr>
          <w:rFonts w:ascii="Times New Roman" w:eastAsia="Times New Roman" w:hAnsi="Times New Roman"/>
          <w:bCs/>
          <w:kern w:val="36"/>
          <w:sz w:val="24"/>
          <w:szCs w:val="24"/>
          <w:lang w:eastAsia="es-ES"/>
        </w:rPr>
        <w:t>)</w:t>
      </w:r>
    </w:p>
    <w:p w:rsidR="001F5D33" w:rsidRDefault="001F5D33" w:rsidP="00387350">
      <w:pPr>
        <w:spacing w:before="100" w:beforeAutospacing="1" w:after="100" w:afterAutospacing="1" w:line="240" w:lineRule="auto"/>
        <w:jc w:val="both"/>
        <w:rPr>
          <w:rFonts w:ascii="Times New Roman" w:eastAsia="Times New Roman" w:hAnsi="Times New Roman"/>
          <w:sz w:val="24"/>
          <w:szCs w:val="24"/>
          <w:u w:val="single"/>
          <w:lang w:eastAsia="es-ES"/>
        </w:rPr>
      </w:pPr>
    </w:p>
    <w:p w:rsidR="001C60EC" w:rsidRPr="001C60EC" w:rsidRDefault="001C60EC"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1C60EC">
        <w:rPr>
          <w:rFonts w:ascii="Times New Roman" w:eastAsia="Times New Roman" w:hAnsi="Times New Roman"/>
          <w:sz w:val="24"/>
          <w:szCs w:val="24"/>
          <w:u w:val="single"/>
          <w:lang w:eastAsia="es-ES"/>
        </w:rPr>
        <w:lastRenderedPageBreak/>
        <w:t>El Miedo al Soberano</w:t>
      </w:r>
      <w:r w:rsidRPr="00677764">
        <w:rPr>
          <w:rFonts w:ascii="Times New Roman" w:eastAsia="Times New Roman" w:hAnsi="Times New Roman"/>
          <w:sz w:val="24"/>
          <w:szCs w:val="24"/>
          <w:lang w:eastAsia="es-ES"/>
        </w:rPr>
        <w:t>. Fuente: The Economist (</w:t>
      </w:r>
      <w:r w:rsidRPr="001C60EC">
        <w:rPr>
          <w:rFonts w:ascii="Times New Roman" w:eastAsia="Times New Roman" w:hAnsi="Times New Roman"/>
          <w:b/>
          <w:sz w:val="24"/>
          <w:szCs w:val="24"/>
          <w:lang w:eastAsia="es-ES"/>
        </w:rPr>
        <w:t>13/8/2011</w:t>
      </w:r>
      <w:r w:rsidRPr="00677764">
        <w:rPr>
          <w:rFonts w:ascii="Times New Roman" w:eastAsia="Times New Roman" w:hAnsi="Times New Roman"/>
          <w:sz w:val="24"/>
          <w:szCs w:val="24"/>
          <w:lang w:eastAsia="es-ES"/>
        </w:rPr>
        <w:t xml:space="preserve">). </w:t>
      </w:r>
      <w:r w:rsidRPr="00677764">
        <w:rPr>
          <w:rFonts w:ascii="Times New Roman" w:eastAsia="Times New Roman" w:hAnsi="Times New Roman"/>
          <w:sz w:val="24"/>
          <w:szCs w:val="24"/>
          <w:lang w:val="en-US" w:eastAsia="es-ES"/>
        </w:rPr>
        <w:t>Central banking and the crisis Emergency manoeuvres.</w:t>
      </w:r>
    </w:p>
    <w:p w:rsidR="001A3B4C" w:rsidRDefault="001C60EC" w:rsidP="00387350">
      <w:pPr>
        <w:pStyle w:val="NormalWeb"/>
        <w:jc w:val="both"/>
        <w:rPr>
          <w:lang w:val="en-US"/>
        </w:rPr>
      </w:pPr>
      <w:r w:rsidRPr="001C60EC">
        <w:rPr>
          <w:lang w:val="en-US"/>
        </w:rPr>
        <w:tab/>
      </w:r>
      <w:r w:rsidRPr="001C60EC">
        <w:rPr>
          <w:lang w:val="en-US"/>
        </w:rPr>
        <w:tab/>
      </w:r>
      <w:r w:rsidRPr="001C60EC">
        <w:rPr>
          <w:lang w:val="en-US"/>
        </w:rPr>
        <w:tab/>
      </w:r>
      <w:r>
        <w:rPr>
          <w:noProof/>
        </w:rPr>
        <w:drawing>
          <wp:inline distT="0" distB="0" distL="0" distR="0" wp14:anchorId="0EC407BA" wp14:editId="116922FF">
            <wp:extent cx="2765146" cy="2136038"/>
            <wp:effectExtent l="0" t="0" r="0" b="0"/>
            <wp:docPr id="112" name="Imagen 112" descr="20110813_BBC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10813_BBC38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65145" cy="2136037"/>
                    </a:xfrm>
                    <a:prstGeom prst="rect">
                      <a:avLst/>
                    </a:prstGeom>
                    <a:noFill/>
                    <a:ln>
                      <a:noFill/>
                    </a:ln>
                  </pic:spPr>
                </pic:pic>
              </a:graphicData>
            </a:graphic>
          </wp:inline>
        </w:drawing>
      </w:r>
    </w:p>
    <w:p w:rsidR="001C60EC" w:rsidRDefault="001C60EC"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77764">
        <w:rPr>
          <w:rFonts w:ascii="Times New Roman" w:eastAsia="Times New Roman" w:hAnsi="Times New Roman"/>
          <w:sz w:val="24"/>
          <w:szCs w:val="24"/>
          <w:lang w:val="en-US" w:eastAsia="es-ES"/>
        </w:rPr>
        <w:t>Fuente: Financial Times (</w:t>
      </w:r>
      <w:r w:rsidRPr="001C60EC">
        <w:rPr>
          <w:rFonts w:ascii="Times New Roman" w:eastAsia="Times New Roman" w:hAnsi="Times New Roman"/>
          <w:b/>
          <w:sz w:val="24"/>
          <w:szCs w:val="24"/>
          <w:lang w:val="en-US" w:eastAsia="es-ES"/>
        </w:rPr>
        <w:t>11/8/2011</w:t>
      </w:r>
      <w:r w:rsidRPr="00677764">
        <w:rPr>
          <w:rFonts w:ascii="Times New Roman" w:eastAsia="Times New Roman" w:hAnsi="Times New Roman"/>
          <w:sz w:val="24"/>
          <w:szCs w:val="24"/>
          <w:lang w:val="en-US" w:eastAsia="es-ES"/>
        </w:rPr>
        <w:t>). Europe: Four steps to fiscal union By Tony Barber</w:t>
      </w:r>
    </w:p>
    <w:p w:rsidR="0052410D" w:rsidRPr="001C60EC" w:rsidRDefault="0052410D" w:rsidP="00387350">
      <w:pPr>
        <w:spacing w:before="100" w:beforeAutospacing="1" w:after="100" w:afterAutospacing="1" w:line="240" w:lineRule="auto"/>
        <w:jc w:val="both"/>
        <w:rPr>
          <w:rFonts w:ascii="Times New Roman" w:eastAsia="Times New Roman" w:hAnsi="Times New Roman"/>
          <w:sz w:val="24"/>
          <w:szCs w:val="24"/>
          <w:lang w:val="en-US" w:eastAsia="es-ES"/>
        </w:rPr>
      </w:pPr>
    </w:p>
    <w:p w:rsidR="00854453" w:rsidRDefault="001C60EC" w:rsidP="00387350">
      <w:pPr>
        <w:pStyle w:val="NormalWeb"/>
        <w:jc w:val="both"/>
        <w:rPr>
          <w:lang w:val="en-US"/>
        </w:rPr>
      </w:pPr>
      <w:r w:rsidRPr="001C60EC">
        <w:rPr>
          <w:lang w:val="en-US"/>
        </w:rPr>
        <w:tab/>
      </w:r>
      <w:r w:rsidRPr="001C60EC">
        <w:rPr>
          <w:lang w:val="en-US"/>
        </w:rPr>
        <w:tab/>
      </w:r>
      <w:r w:rsidRPr="001C60EC">
        <w:rPr>
          <w:lang w:val="en-US"/>
        </w:rPr>
        <w:tab/>
      </w:r>
      <w:r>
        <w:rPr>
          <w:noProof/>
        </w:rPr>
        <w:drawing>
          <wp:inline distT="0" distB="0" distL="0" distR="0" wp14:anchorId="09703B80" wp14:editId="31A74D15">
            <wp:extent cx="2721255" cy="4747565"/>
            <wp:effectExtent l="0" t="0" r="3175" b="0"/>
            <wp:docPr id="111" name="Imagen 111" descr="Bonds and Stra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onds and Strain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21254" cy="4747564"/>
                    </a:xfrm>
                    <a:prstGeom prst="rect">
                      <a:avLst/>
                    </a:prstGeom>
                    <a:noFill/>
                    <a:ln>
                      <a:noFill/>
                    </a:ln>
                  </pic:spPr>
                </pic:pic>
              </a:graphicData>
            </a:graphic>
          </wp:inline>
        </w:drawing>
      </w:r>
    </w:p>
    <w:p w:rsidR="00854453" w:rsidRDefault="00854453" w:rsidP="00387350">
      <w:pPr>
        <w:pStyle w:val="NormalWeb"/>
        <w:jc w:val="both"/>
        <w:rPr>
          <w:lang w:val="en-US"/>
        </w:rPr>
      </w:pPr>
    </w:p>
    <w:p w:rsidR="0052410D" w:rsidRPr="0078186C" w:rsidRDefault="0052410D" w:rsidP="00387350">
      <w:pPr>
        <w:pStyle w:val="NormalWeb"/>
        <w:jc w:val="both"/>
        <w:rPr>
          <w:lang w:val="en-US"/>
        </w:rPr>
      </w:pPr>
    </w:p>
    <w:tbl>
      <w:tblPr>
        <w:tblW w:w="7455" w:type="dxa"/>
        <w:tblCellSpacing w:w="0" w:type="dxa"/>
        <w:tblCellMar>
          <w:left w:w="0" w:type="dxa"/>
          <w:right w:w="0" w:type="dxa"/>
        </w:tblCellMar>
        <w:tblLook w:val="04A0" w:firstRow="1" w:lastRow="0" w:firstColumn="1" w:lastColumn="0" w:noHBand="0" w:noVBand="1"/>
      </w:tblPr>
      <w:tblGrid>
        <w:gridCol w:w="1470"/>
        <w:gridCol w:w="960"/>
        <w:gridCol w:w="960"/>
        <w:gridCol w:w="960"/>
        <w:gridCol w:w="960"/>
        <w:gridCol w:w="960"/>
        <w:gridCol w:w="1185"/>
      </w:tblGrid>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2011</w:t>
            </w:r>
          </w:p>
        </w:tc>
        <w:tc>
          <w:tcPr>
            <w:tcW w:w="2145" w:type="dxa"/>
            <w:gridSpan w:val="2"/>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Números estimados a partir de</w:t>
            </w: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2145" w:type="dxa"/>
            <w:gridSpan w:val="2"/>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5310" w:type="dxa"/>
            <w:gridSpan w:val="5"/>
            <w:noWrap/>
            <w:tcMar>
              <w:top w:w="0" w:type="dxa"/>
              <w:left w:w="376" w:type="dxa"/>
              <w:bottom w:w="0" w:type="dxa"/>
              <w:right w:w="0" w:type="dxa"/>
            </w:tcMar>
            <w:vAlign w:val="bottom"/>
            <w:hideMark/>
          </w:tcPr>
          <w:p w:rsidR="0078186C" w:rsidRPr="0078186C" w:rsidRDefault="0078186C" w:rsidP="00387350">
            <w:pPr>
              <w:spacing w:after="0" w:line="240" w:lineRule="auto"/>
              <w:jc w:val="both"/>
              <w:rPr>
                <w:rFonts w:ascii="Times New Roman" w:eastAsia="Times New Roman" w:hAnsi="Times New Roman"/>
                <w:b/>
                <w:bCs/>
                <w:sz w:val="24"/>
                <w:szCs w:val="24"/>
                <w:lang w:eastAsia="es-ES"/>
              </w:rPr>
            </w:pPr>
            <w:r w:rsidRPr="002B6874">
              <w:rPr>
                <w:rFonts w:ascii="Times New Roman" w:eastAsia="Times New Roman" w:hAnsi="Times New Roman"/>
                <w:b/>
                <w:bCs/>
                <w:sz w:val="24"/>
                <w:szCs w:val="24"/>
                <w:lang w:eastAsia="es-ES"/>
              </w:rPr>
              <w:t xml:space="preserve">A.      </w:t>
            </w:r>
            <w:r w:rsidRPr="0078186C">
              <w:rPr>
                <w:rFonts w:ascii="Times New Roman" w:eastAsia="Times New Roman" w:hAnsi="Times New Roman"/>
                <w:b/>
                <w:bCs/>
                <w:sz w:val="24"/>
                <w:szCs w:val="24"/>
                <w:lang w:eastAsia="es-ES"/>
              </w:rPr>
              <w:t xml:space="preserve">Deuda Neta del Gobierno </w:t>
            </w:r>
            <w:r w:rsidR="002E6E34" w:rsidRPr="0078186C">
              <w:rPr>
                <w:rFonts w:ascii="Times New Roman" w:eastAsia="Times New Roman" w:hAnsi="Times New Roman"/>
                <w:b/>
                <w:bCs/>
                <w:sz w:val="24"/>
                <w:szCs w:val="24"/>
                <w:lang w:eastAsia="es-ES"/>
              </w:rPr>
              <w:t>Gral.</w:t>
            </w:r>
            <w:r w:rsidRPr="0078186C">
              <w:rPr>
                <w:rFonts w:ascii="Times New Roman" w:eastAsia="Times New Roman" w:hAnsi="Times New Roman"/>
                <w:b/>
                <w:bCs/>
                <w:sz w:val="24"/>
                <w:szCs w:val="24"/>
                <w:lang w:eastAsia="es-ES"/>
              </w:rPr>
              <w:t xml:space="preserve"> (% del</w:t>
            </w:r>
            <w:r>
              <w:rPr>
                <w:rFonts w:ascii="Times New Roman" w:eastAsia="Times New Roman" w:hAnsi="Times New Roman"/>
                <w:b/>
                <w:bCs/>
                <w:sz w:val="24"/>
                <w:szCs w:val="24"/>
                <w:lang w:eastAsia="es-ES"/>
              </w:rPr>
              <w:t xml:space="preserve"> </w:t>
            </w:r>
          </w:p>
          <w:p w:rsidR="0078186C" w:rsidRPr="002B6874" w:rsidRDefault="0078186C" w:rsidP="00387350">
            <w:pPr>
              <w:spacing w:after="0" w:line="240" w:lineRule="auto"/>
              <w:jc w:val="both"/>
              <w:rPr>
                <w:rFonts w:ascii="Times New Roman" w:eastAsia="Times New Roman" w:hAnsi="Times New Roman"/>
                <w:sz w:val="24"/>
                <w:szCs w:val="24"/>
                <w:lang w:eastAsia="es-ES"/>
              </w:rPr>
            </w:pPr>
            <w:r w:rsidRPr="0078186C">
              <w:rPr>
                <w:rFonts w:ascii="Times New Roman" w:eastAsia="Times New Roman" w:hAnsi="Times New Roman"/>
                <w:b/>
                <w:bCs/>
                <w:sz w:val="24"/>
                <w:szCs w:val="24"/>
                <w:lang w:eastAsia="es-ES"/>
              </w:rPr>
              <w:t>PIB)</w:t>
            </w: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Canada</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France</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Germany</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Italy</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89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Japan</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110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117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128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United Kingdom</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United States</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Greece</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110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127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142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152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Ireland</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Spain</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6270" w:type="dxa"/>
            <w:gridSpan w:val="6"/>
            <w:noWrap/>
            <w:tcMar>
              <w:top w:w="0" w:type="dxa"/>
              <w:left w:w="376" w:type="dxa"/>
              <w:bottom w:w="0" w:type="dxa"/>
              <w:right w:w="0" w:type="dxa"/>
            </w:tcMar>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b/>
                <w:bCs/>
                <w:sz w:val="24"/>
                <w:szCs w:val="24"/>
                <w:lang w:eastAsia="es-ES"/>
              </w:rPr>
              <w:t>B.      Superávit General del Gobierno</w:t>
            </w:r>
            <w:r w:rsidRPr="0078186C">
              <w:rPr>
                <w:rFonts w:ascii="Times New Roman" w:eastAsia="Times New Roman" w:hAnsi="Times New Roman"/>
                <w:b/>
                <w:bCs/>
                <w:sz w:val="24"/>
                <w:szCs w:val="24"/>
                <w:lang w:eastAsia="es-ES"/>
              </w:rPr>
              <w:t>(% del PIB)</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Canada</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France</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Germany</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Italy</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Japan</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United Kingdom</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-8.6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United States</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-12.7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Greece</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-15.4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Ireland</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-14.4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-32.2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Spain</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-11.1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6270" w:type="dxa"/>
            <w:gridSpan w:val="6"/>
            <w:noWrap/>
            <w:tcMar>
              <w:top w:w="0" w:type="dxa"/>
              <w:left w:w="376" w:type="dxa"/>
              <w:bottom w:w="0" w:type="dxa"/>
              <w:right w:w="0" w:type="dxa"/>
            </w:tcMar>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b/>
                <w:bCs/>
                <w:sz w:val="24"/>
                <w:szCs w:val="24"/>
                <w:lang w:eastAsia="es-ES"/>
              </w:rPr>
              <w:t>C.      Superávit General Primario del Gobierno(% del PIB)</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Canada</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France</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Germany</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Italy</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Japan</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-8.4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-8.6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United Kingdom</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-8.5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United States</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-8.9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Greece</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Ireland</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-13.0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-29.7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Spain</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-7.8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4350" w:type="dxa"/>
            <w:gridSpan w:val="4"/>
            <w:noWrap/>
            <w:tcMar>
              <w:top w:w="0" w:type="dxa"/>
              <w:left w:w="376" w:type="dxa"/>
              <w:bottom w:w="0" w:type="dxa"/>
              <w:right w:w="0" w:type="dxa"/>
            </w:tcMar>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b/>
                <w:bCs/>
                <w:sz w:val="24"/>
                <w:szCs w:val="24"/>
                <w:lang w:eastAsia="es-ES"/>
              </w:rPr>
              <w:t xml:space="preserve">D.      </w:t>
            </w:r>
            <w:r w:rsidRPr="0078186C">
              <w:rPr>
                <w:rFonts w:ascii="Times New Roman" w:eastAsia="Times New Roman" w:hAnsi="Times New Roman"/>
                <w:b/>
                <w:bCs/>
                <w:sz w:val="24"/>
                <w:szCs w:val="24"/>
                <w:lang w:eastAsia="es-ES"/>
              </w:rPr>
              <w:t>Cuenta Corriente (% del PIB)</w:t>
            </w: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Canada</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France</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Germany</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6.7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Italy</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-2.9</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-2.1</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2009</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Japan</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2.3</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United Kingdom</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-1.6</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lastRenderedPageBreak/>
              <w:t>United States</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96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Greece</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-14.7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-11.0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-10.4</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-8.2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Ireland</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-3.0</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0.2</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r w:rsidR="0078186C" w:rsidRPr="002B6874" w:rsidTr="0078186C">
        <w:trPr>
          <w:tblCellSpacing w:w="0" w:type="dxa"/>
        </w:trPr>
        <w:tc>
          <w:tcPr>
            <w:tcW w:w="1470" w:type="dxa"/>
            <w:noWrap/>
            <w:vAlign w:val="bottom"/>
            <w:hideMark/>
          </w:tcPr>
          <w:p w:rsidR="0078186C" w:rsidRPr="002B6874" w:rsidRDefault="0078186C" w:rsidP="00387350">
            <w:pPr>
              <w:spacing w:after="0" w:line="240" w:lineRule="auto"/>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Spain</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-9.7</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-5.5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-4.5</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-4.8</w:t>
            </w:r>
          </w:p>
        </w:tc>
        <w:tc>
          <w:tcPr>
            <w:tcW w:w="960" w:type="dxa"/>
            <w:noWrap/>
            <w:vAlign w:val="bottom"/>
            <w:hideMark/>
          </w:tcPr>
          <w:p w:rsidR="0078186C" w:rsidRPr="002B6874" w:rsidRDefault="0078186C" w:rsidP="00387350">
            <w:pPr>
              <w:spacing w:before="100" w:beforeAutospacing="1" w:after="100" w:afterAutospacing="1" w:line="240" w:lineRule="auto"/>
              <w:jc w:val="right"/>
              <w:rPr>
                <w:rFonts w:ascii="Times New Roman" w:eastAsia="Times New Roman" w:hAnsi="Times New Roman"/>
                <w:sz w:val="24"/>
                <w:szCs w:val="24"/>
                <w:lang w:eastAsia="es-ES"/>
              </w:rPr>
            </w:pPr>
            <w:r w:rsidRPr="002B6874">
              <w:rPr>
                <w:rFonts w:ascii="Times New Roman" w:eastAsia="Times New Roman" w:hAnsi="Times New Roman"/>
                <w:sz w:val="24"/>
                <w:szCs w:val="24"/>
                <w:lang w:eastAsia="es-ES"/>
              </w:rPr>
              <w:t>2010</w:t>
            </w:r>
          </w:p>
        </w:tc>
        <w:tc>
          <w:tcPr>
            <w:tcW w:w="1185" w:type="dxa"/>
            <w:vAlign w:val="center"/>
            <w:hideMark/>
          </w:tcPr>
          <w:p w:rsidR="0078186C" w:rsidRPr="002B6874" w:rsidRDefault="0078186C" w:rsidP="00387350">
            <w:pPr>
              <w:spacing w:after="0" w:line="240" w:lineRule="auto"/>
              <w:rPr>
                <w:rFonts w:ascii="Times New Roman" w:eastAsia="Times New Roman" w:hAnsi="Times New Roman"/>
                <w:sz w:val="24"/>
                <w:szCs w:val="24"/>
                <w:lang w:eastAsia="es-ES"/>
              </w:rPr>
            </w:pPr>
          </w:p>
        </w:tc>
      </w:tr>
    </w:tbl>
    <w:p w:rsidR="0078186C" w:rsidRDefault="0078186C" w:rsidP="00387350">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sidRPr="0078186C">
        <w:rPr>
          <w:rFonts w:ascii="Times New Roman" w:eastAsia="Times New Roman" w:hAnsi="Times New Roman"/>
          <w:sz w:val="24"/>
          <w:szCs w:val="24"/>
          <w:lang w:eastAsia="es-ES"/>
        </w:rPr>
        <w:t>Lamentablemente parecería que ya es demasiado tarde para tomar medidas de fondo que sean efectivas para prevenir la posibilidad de una de las mayores crisis económicas de la historia. Solo nos queda confiar en que nuestros líderes sean capaces de administrar positivamente las expectativas de los participantes en los mercados de deuda soberana europea</w:t>
      </w:r>
      <w:r>
        <w:rPr>
          <w:rFonts w:ascii="Times New Roman" w:eastAsia="Times New Roman" w:hAnsi="Times New Roman"/>
          <w:sz w:val="24"/>
          <w:szCs w:val="24"/>
          <w:lang w:eastAsia="es-ES"/>
        </w:rPr>
        <w:t>”</w:t>
      </w:r>
      <w:r w:rsidRPr="0078186C">
        <w:rPr>
          <w:rFonts w:ascii="Times New Roman" w:eastAsia="Times New Roman" w:hAnsi="Times New Roman"/>
          <w:sz w:val="24"/>
          <w:szCs w:val="24"/>
          <w:lang w:eastAsia="es-ES"/>
        </w:rPr>
        <w:t>…</w:t>
      </w:r>
      <w:r w:rsidR="00AD39BB">
        <w:rPr>
          <w:rFonts w:ascii="Times New Roman" w:eastAsia="Times New Roman" w:hAnsi="Times New Roman"/>
          <w:sz w:val="24"/>
          <w:szCs w:val="24"/>
          <w:lang w:eastAsia="es-ES"/>
        </w:rPr>
        <w:t xml:space="preserve"> </w:t>
      </w:r>
      <w:r w:rsidRPr="00677764">
        <w:rPr>
          <w:rFonts w:ascii="Times New Roman" w:eastAsia="Times New Roman" w:hAnsi="Times New Roman"/>
          <w:bCs/>
          <w:kern w:val="36"/>
          <w:sz w:val="24"/>
          <w:szCs w:val="24"/>
          <w:u w:val="single"/>
          <w:lang w:eastAsia="es-ES"/>
        </w:rPr>
        <w:t>Una Visión de la Lógica del Pánico Económico en Europa</w:t>
      </w:r>
      <w:r>
        <w:rPr>
          <w:rFonts w:ascii="Times New Roman" w:eastAsia="Times New Roman" w:hAnsi="Times New Roman"/>
          <w:bCs/>
          <w:kern w:val="36"/>
          <w:sz w:val="24"/>
          <w:szCs w:val="24"/>
          <w:u w:val="single"/>
          <w:lang w:eastAsia="es-ES"/>
        </w:rPr>
        <w:t xml:space="preserve"> </w:t>
      </w:r>
      <w:r w:rsidRPr="00FD0E32">
        <w:rPr>
          <w:rFonts w:ascii="Times New Roman" w:eastAsia="Times New Roman" w:hAnsi="Times New Roman"/>
          <w:bCs/>
          <w:kern w:val="36"/>
          <w:sz w:val="24"/>
          <w:szCs w:val="24"/>
          <w:lang w:eastAsia="es-ES"/>
        </w:rPr>
        <w:t xml:space="preserve">(Fedea - </w:t>
      </w:r>
      <w:r w:rsidRPr="00FD0E32">
        <w:rPr>
          <w:rFonts w:ascii="Times New Roman" w:eastAsia="Times New Roman" w:hAnsi="Times New Roman"/>
          <w:b/>
          <w:bCs/>
          <w:kern w:val="36"/>
          <w:sz w:val="24"/>
          <w:szCs w:val="24"/>
          <w:lang w:eastAsia="es-ES"/>
        </w:rPr>
        <w:t>14/8/11</w:t>
      </w:r>
      <w:r w:rsidRPr="00FD0E32">
        <w:rPr>
          <w:rFonts w:ascii="Times New Roman" w:eastAsia="Times New Roman" w:hAnsi="Times New Roman"/>
          <w:bCs/>
          <w:kern w:val="36"/>
          <w:sz w:val="24"/>
          <w:szCs w:val="24"/>
          <w:lang w:eastAsia="es-ES"/>
        </w:rPr>
        <w:t>)</w:t>
      </w:r>
    </w:p>
    <w:p w:rsidR="00AD39BB" w:rsidRPr="00AD39BB" w:rsidRDefault="00AD39BB" w:rsidP="00387350">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AD39BB">
        <w:rPr>
          <w:rFonts w:ascii="Times New Roman" w:eastAsia="Times New Roman" w:hAnsi="Times New Roman"/>
          <w:sz w:val="24"/>
          <w:szCs w:val="24"/>
          <w:lang w:eastAsia="es-ES"/>
        </w:rPr>
        <w:t>La bola de nieve en que se ha convertido el endeudamiento -público y privado- amenaza a las economías, como se encargan de recordar cada día los mercados. Pero a unos países más que a otros. Y en el pelotón de cabeza está España, que, según los últimos datos procedentes del BIS (Banco de Pagos Internacionales por sus siglas en inglés), ocupa ya la cuarta plaza como país más endeudado del mundo. Sólo Japón (456% del PIB), Portugal (366%) y Bélgica (356%) tenían a finales de 2010 un mayor nivel de deuda que España en relación a su PIB nominal, un 355%.</w:t>
      </w:r>
    </w:p>
    <w:p w:rsidR="00AD39BB" w:rsidRPr="00AD39BB" w:rsidRDefault="00AD39BB" w:rsidP="00387350">
      <w:pPr>
        <w:spacing w:line="240" w:lineRule="auto"/>
        <w:jc w:val="both"/>
        <w:rPr>
          <w:rFonts w:ascii="Times New Roman" w:eastAsia="Times New Roman" w:hAnsi="Times New Roman"/>
          <w:sz w:val="24"/>
          <w:szCs w:val="24"/>
          <w:lang w:eastAsia="es-ES"/>
        </w:rPr>
      </w:pPr>
      <w:r w:rsidRPr="00AD39BB">
        <w:rPr>
          <w:rFonts w:ascii="Times New Roman" w:eastAsia="Times New Roman" w:hAnsi="Times New Roman"/>
          <w:sz w:val="24"/>
          <w:szCs w:val="24"/>
          <w:lang w:eastAsia="es-ES"/>
        </w:rPr>
        <w:t xml:space="preserve">El </w:t>
      </w:r>
      <w:hyperlink r:id="rId49" w:history="1">
        <w:r w:rsidRPr="00AD39BB">
          <w:rPr>
            <w:rFonts w:ascii="Times New Roman" w:eastAsia="Times New Roman" w:hAnsi="Times New Roman"/>
            <w:sz w:val="24"/>
            <w:szCs w:val="24"/>
            <w:lang w:eastAsia="es-ES"/>
          </w:rPr>
          <w:t>informe</w:t>
        </w:r>
      </w:hyperlink>
      <w:r w:rsidRPr="00AD39BB">
        <w:rPr>
          <w:rFonts w:ascii="Times New Roman" w:eastAsia="Times New Roman" w:hAnsi="Times New Roman"/>
          <w:sz w:val="24"/>
          <w:szCs w:val="24"/>
          <w:lang w:eastAsia="es-ES"/>
        </w:rPr>
        <w:t xml:space="preserve"> preparado por el BIS sobre endeudamiento fue presentado a finales de agosto en el seminario anual que organiza en Jackson Hole (EEUU) la Resera Federal de Kansas City, y que viene ser el Davos de las autoridades monetarias de medio mundo. El informe fue elaborado por los economistas Stephen G. Ceccetti (jefe del departamento monetario del BIS), M. S. Mohanty (responsable del departamento macroeconómico) y Fabrizio Zampolli (economista senior del BIS), lo que da idea de su autoridad. </w:t>
      </w:r>
    </w:p>
    <w:p w:rsidR="00AD39BB" w:rsidRPr="00AD39BB" w:rsidRDefault="00AD39BB" w:rsidP="00387350">
      <w:pPr>
        <w:spacing w:line="240" w:lineRule="auto"/>
        <w:jc w:val="both"/>
        <w:rPr>
          <w:rFonts w:ascii="Times New Roman" w:hAnsi="Times New Roman"/>
          <w:sz w:val="24"/>
          <w:szCs w:val="24"/>
        </w:rPr>
      </w:pPr>
      <w:r w:rsidRPr="00AD39BB">
        <w:rPr>
          <w:rFonts w:ascii="Times New Roman" w:eastAsia="Times New Roman" w:hAnsi="Times New Roman"/>
          <w:sz w:val="24"/>
          <w:szCs w:val="24"/>
          <w:lang w:eastAsia="es-ES"/>
        </w:rPr>
        <w:t>Y a la conclusión a la que llegan es que elevados niveles de deuda son malos para el crecimiento económico. Y lo demuestran con datos. Según sus cálculos, por cada diez puntos que aumenta la deuda pública por encima del 85% del PIB, la actividad económica se contrae en un 10% por cada punto porcentual de crecimiento. En el caso de la deuda corporativa, el umbral de peligro se sitúa a partir del 90%, y su impacto es la mitad de grande que en el caso de la deuda pública. Mientras que para la deuda de las familias la luz roja se enciende a partir del 85%, y aunque el impacto es “impreciso”, se considera que es importante</w:t>
      </w:r>
      <w:r>
        <w:rPr>
          <w:rFonts w:ascii="Times New Roman" w:eastAsia="Times New Roman" w:hAnsi="Times New Roman"/>
          <w:sz w:val="24"/>
          <w:szCs w:val="24"/>
          <w:lang w:eastAsia="es-ES"/>
        </w:rPr>
        <w:t>”..</w:t>
      </w:r>
      <w:r w:rsidRPr="00AD39BB">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6633DB">
        <w:rPr>
          <w:rFonts w:ascii="Times New Roman" w:hAnsi="Times New Roman"/>
          <w:sz w:val="24"/>
          <w:szCs w:val="24"/>
          <w:u w:val="single"/>
        </w:rPr>
        <w:t>España es ya la cuarta economía más endeudada del mundo desarrollado</w:t>
      </w:r>
      <w:r>
        <w:rPr>
          <w:rFonts w:ascii="Times New Roman" w:hAnsi="Times New Roman"/>
          <w:sz w:val="24"/>
          <w:szCs w:val="24"/>
        </w:rPr>
        <w:t xml:space="preserve"> (El Confidencial - </w:t>
      </w:r>
      <w:r w:rsidRPr="006633DB">
        <w:rPr>
          <w:rFonts w:ascii="Times New Roman" w:hAnsi="Times New Roman"/>
          <w:b/>
          <w:sz w:val="24"/>
          <w:szCs w:val="24"/>
        </w:rPr>
        <w:t>15/9/11</w:t>
      </w:r>
      <w:r>
        <w:rPr>
          <w:rFonts w:ascii="Times New Roman" w:hAnsi="Times New Roman"/>
          <w:sz w:val="24"/>
          <w:szCs w:val="24"/>
        </w:rPr>
        <w:t xml:space="preserve">) </w:t>
      </w:r>
    </w:p>
    <w:p w:rsidR="0078186C" w:rsidRPr="0078186C" w:rsidRDefault="00AD39BB" w:rsidP="00387350">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bCs/>
          <w:kern w:val="36"/>
          <w:sz w:val="24"/>
          <w:szCs w:val="24"/>
          <w:lang w:eastAsia="es-ES"/>
        </w:rPr>
        <w:t xml:space="preserve">         </w:t>
      </w:r>
      <w:r>
        <w:rPr>
          <w:rFonts w:ascii="Times New Roman" w:eastAsia="Times New Roman" w:hAnsi="Times New Roman"/>
          <w:noProof/>
          <w:sz w:val="24"/>
          <w:szCs w:val="24"/>
          <w:lang w:eastAsia="es-ES"/>
        </w:rPr>
        <w:drawing>
          <wp:inline distT="0" distB="0" distL="0" distR="0" wp14:anchorId="7A44DF37" wp14:editId="3F3430D9">
            <wp:extent cx="4732934" cy="2326233"/>
            <wp:effectExtent l="0" t="0" r="0" b="0"/>
            <wp:docPr id="452" name="Imagen 452" descr="2011091468sanche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11091468sanchez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40275" cy="2329841"/>
                    </a:xfrm>
                    <a:prstGeom prst="rect">
                      <a:avLst/>
                    </a:prstGeom>
                    <a:noFill/>
                    <a:ln>
                      <a:noFill/>
                    </a:ln>
                  </pic:spPr>
                </pic:pic>
              </a:graphicData>
            </a:graphic>
          </wp:inline>
        </w:drawing>
      </w:r>
    </w:p>
    <w:p w:rsidR="00AD39BB" w:rsidRDefault="00AD39BB" w:rsidP="00387350">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5B0039">
        <w:rPr>
          <w:rFonts w:ascii="Times New Roman" w:hAnsi="Times New Roman"/>
          <w:sz w:val="24"/>
          <w:szCs w:val="24"/>
          <w:u w:val="single"/>
        </w:rPr>
        <w:t xml:space="preserve">España lidera el </w:t>
      </w:r>
      <w:r w:rsidR="005A42CF">
        <w:rPr>
          <w:rFonts w:ascii="Times New Roman" w:hAnsi="Times New Roman"/>
          <w:sz w:val="24"/>
          <w:szCs w:val="24"/>
          <w:u w:val="single"/>
        </w:rPr>
        <w:t>“mapa de riesgo”</w:t>
      </w:r>
      <w:r w:rsidRPr="005B0039">
        <w:rPr>
          <w:rFonts w:ascii="Times New Roman" w:hAnsi="Times New Roman"/>
          <w:sz w:val="24"/>
          <w:szCs w:val="24"/>
          <w:u w:val="single"/>
        </w:rPr>
        <w:t xml:space="preserve"> con una deuda total del 400% del PIB</w:t>
      </w:r>
      <w:r>
        <w:rPr>
          <w:rFonts w:ascii="Times New Roman" w:hAnsi="Times New Roman"/>
          <w:sz w:val="24"/>
          <w:szCs w:val="24"/>
        </w:rPr>
        <w:t xml:space="preserve"> (</w:t>
      </w:r>
      <w:r w:rsidR="00EB0C87">
        <w:rPr>
          <w:rFonts w:ascii="Times New Roman" w:hAnsi="Times New Roman"/>
          <w:sz w:val="24"/>
          <w:szCs w:val="24"/>
        </w:rPr>
        <w:t xml:space="preserve">Fuente: </w:t>
      </w:r>
      <w:r>
        <w:rPr>
          <w:rFonts w:ascii="Times New Roman" w:hAnsi="Times New Roman"/>
          <w:sz w:val="24"/>
          <w:szCs w:val="24"/>
        </w:rPr>
        <w:t xml:space="preserve">Libertad Digital - </w:t>
      </w:r>
      <w:r w:rsidRPr="005B0039">
        <w:rPr>
          <w:rFonts w:ascii="Times New Roman" w:hAnsi="Times New Roman"/>
          <w:b/>
          <w:sz w:val="24"/>
          <w:szCs w:val="24"/>
        </w:rPr>
        <w:t>1/10/11</w:t>
      </w:r>
      <w:r>
        <w:rPr>
          <w:rFonts w:ascii="Times New Roman" w:hAnsi="Times New Roman"/>
          <w:sz w:val="24"/>
          <w:szCs w:val="24"/>
        </w:rPr>
        <w:t>)</w:t>
      </w:r>
    </w:p>
    <w:p w:rsidR="00AD39BB" w:rsidRDefault="00AD39BB" w:rsidP="00387350">
      <w:pPr>
        <w:spacing w:line="240" w:lineRule="auto"/>
        <w:jc w:val="both"/>
        <w:rPr>
          <w:rFonts w:ascii="Times New Roman" w:hAnsi="Times New Roman"/>
          <w:sz w:val="24"/>
          <w:szCs w:val="24"/>
        </w:rPr>
      </w:pPr>
      <w:r>
        <w:rPr>
          <w:noProof/>
          <w:lang w:eastAsia="es-ES"/>
        </w:rPr>
        <w:drawing>
          <wp:inline distT="0" distB="0" distL="0" distR="0" wp14:anchorId="5042D603" wp14:editId="2F19217C">
            <wp:extent cx="4993846" cy="1960473"/>
            <wp:effectExtent l="0" t="0" r="0" b="1905"/>
            <wp:docPr id="454" name="Imagen 454" descr="mapes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pes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10785" cy="1967123"/>
                    </a:xfrm>
                    <a:prstGeom prst="rect">
                      <a:avLst/>
                    </a:prstGeom>
                    <a:noFill/>
                    <a:ln>
                      <a:noFill/>
                    </a:ln>
                  </pic:spPr>
                </pic:pic>
              </a:graphicData>
            </a:graphic>
          </wp:inline>
        </w:drawing>
      </w:r>
    </w:p>
    <w:p w:rsidR="00AD39BB" w:rsidRPr="005A42CF" w:rsidRDefault="00AD39BB" w:rsidP="00387350">
      <w:pPr>
        <w:spacing w:line="240" w:lineRule="auto"/>
        <w:jc w:val="both"/>
        <w:rPr>
          <w:rFonts w:ascii="Times New Roman" w:hAnsi="Times New Roman"/>
          <w:sz w:val="24"/>
          <w:szCs w:val="24"/>
        </w:rPr>
      </w:pPr>
      <w:r>
        <w:rPr>
          <w:noProof/>
          <w:lang w:eastAsia="es-ES"/>
        </w:rPr>
        <w:drawing>
          <wp:inline distT="0" distB="0" distL="0" distR="0" wp14:anchorId="72265734" wp14:editId="43EC58D5">
            <wp:extent cx="4783743" cy="1901952"/>
            <wp:effectExtent l="0" t="0" r="0" b="3175"/>
            <wp:docPr id="127" name="Imagen 127" descr="mapes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pes0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84090" cy="1902090"/>
                    </a:xfrm>
                    <a:prstGeom prst="rect">
                      <a:avLst/>
                    </a:prstGeom>
                    <a:noFill/>
                    <a:ln>
                      <a:noFill/>
                    </a:ln>
                  </pic:spPr>
                </pic:pic>
              </a:graphicData>
            </a:graphic>
          </wp:inline>
        </w:drawing>
      </w:r>
    </w:p>
    <w:p w:rsidR="00AD39BB" w:rsidRPr="007760CF" w:rsidRDefault="00AD39BB" w:rsidP="00387350">
      <w:pPr>
        <w:spacing w:line="240" w:lineRule="auto"/>
        <w:jc w:val="both"/>
        <w:rPr>
          <w:b/>
        </w:rPr>
      </w:pPr>
      <w:r>
        <w:rPr>
          <w:b/>
          <w:noProof/>
          <w:lang w:eastAsia="es-ES"/>
        </w:rPr>
        <w:drawing>
          <wp:inline distT="0" distB="0" distL="0" distR="0" wp14:anchorId="5D18AF6E" wp14:editId="170EF6D0">
            <wp:extent cx="5025336" cy="1843430"/>
            <wp:effectExtent l="0" t="0" r="4445" b="4445"/>
            <wp:docPr id="129" name="Imagen 129" descr="mapes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pes0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25390" cy="1843450"/>
                    </a:xfrm>
                    <a:prstGeom prst="rect">
                      <a:avLst/>
                    </a:prstGeom>
                    <a:noFill/>
                    <a:ln>
                      <a:noFill/>
                    </a:ln>
                  </pic:spPr>
                </pic:pic>
              </a:graphicData>
            </a:graphic>
          </wp:inline>
        </w:drawing>
      </w:r>
    </w:p>
    <w:p w:rsidR="00AD39BB" w:rsidRPr="007760CF" w:rsidRDefault="00AD39BB" w:rsidP="00387350">
      <w:pPr>
        <w:spacing w:line="240" w:lineRule="auto"/>
        <w:jc w:val="both"/>
        <w:rPr>
          <w:rFonts w:ascii="Times New Roman" w:hAnsi="Times New Roman"/>
          <w:b/>
          <w:sz w:val="24"/>
          <w:szCs w:val="24"/>
        </w:rPr>
      </w:pPr>
      <w:r>
        <w:rPr>
          <w:b/>
          <w:noProof/>
          <w:lang w:eastAsia="es-ES"/>
        </w:rPr>
        <w:drawing>
          <wp:inline distT="0" distB="0" distL="0" distR="0" wp14:anchorId="341F59F6" wp14:editId="31CB0863">
            <wp:extent cx="5040172" cy="1806854"/>
            <wp:effectExtent l="0" t="0" r="8255" b="3175"/>
            <wp:docPr id="128" name="Imagen 128" descr="mapes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pes0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39995" cy="1806791"/>
                    </a:xfrm>
                    <a:prstGeom prst="rect">
                      <a:avLst/>
                    </a:prstGeom>
                    <a:noFill/>
                    <a:ln>
                      <a:noFill/>
                    </a:ln>
                  </pic:spPr>
                </pic:pic>
              </a:graphicData>
            </a:graphic>
          </wp:inline>
        </w:drawing>
      </w:r>
      <w:r w:rsidRPr="007760CF">
        <w:rPr>
          <w:rFonts w:ascii="Times New Roman" w:hAnsi="Times New Roman"/>
          <w:b/>
          <w:sz w:val="24"/>
          <w:szCs w:val="24"/>
        </w:rPr>
        <w:t xml:space="preserve">   </w:t>
      </w:r>
    </w:p>
    <w:p w:rsidR="00AD39BB" w:rsidRDefault="00AD39BB" w:rsidP="00387350">
      <w:pPr>
        <w:spacing w:line="240" w:lineRule="auto"/>
        <w:jc w:val="both"/>
        <w:rPr>
          <w:rFonts w:ascii="Times New Roman" w:hAnsi="Times New Roman"/>
          <w:sz w:val="24"/>
          <w:szCs w:val="24"/>
          <w:u w:val="single"/>
        </w:rPr>
      </w:pPr>
      <w:r>
        <w:rPr>
          <w:noProof/>
          <w:lang w:eastAsia="es-ES"/>
        </w:rPr>
        <w:lastRenderedPageBreak/>
        <w:drawing>
          <wp:inline distT="0" distB="0" distL="0" distR="0" wp14:anchorId="550D8585" wp14:editId="02C82B11">
            <wp:extent cx="4915039" cy="2582265"/>
            <wp:effectExtent l="0" t="0" r="0" b="8890"/>
            <wp:docPr id="130" name="Imagen 130" descr="mapes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pes0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15535" cy="2582526"/>
                    </a:xfrm>
                    <a:prstGeom prst="rect">
                      <a:avLst/>
                    </a:prstGeom>
                    <a:noFill/>
                    <a:ln>
                      <a:noFill/>
                    </a:ln>
                  </pic:spPr>
                </pic:pic>
              </a:graphicData>
            </a:graphic>
          </wp:inline>
        </w:drawing>
      </w:r>
    </w:p>
    <w:p w:rsidR="00854453" w:rsidRDefault="00854453" w:rsidP="00387350">
      <w:pPr>
        <w:spacing w:line="240" w:lineRule="auto"/>
        <w:jc w:val="both"/>
        <w:rPr>
          <w:rFonts w:ascii="Times New Roman" w:hAnsi="Times New Roman"/>
          <w:sz w:val="24"/>
          <w:szCs w:val="24"/>
          <w:u w:val="single"/>
        </w:rPr>
      </w:pPr>
    </w:p>
    <w:p w:rsidR="00AD39BB" w:rsidRDefault="00AD39BB" w:rsidP="00387350">
      <w:pPr>
        <w:spacing w:line="240" w:lineRule="auto"/>
        <w:jc w:val="both"/>
        <w:rPr>
          <w:rFonts w:ascii="Times New Roman" w:hAnsi="Times New Roman"/>
          <w:sz w:val="24"/>
          <w:szCs w:val="24"/>
          <w:u w:val="single"/>
        </w:rPr>
      </w:pPr>
      <w:r>
        <w:rPr>
          <w:noProof/>
          <w:lang w:eastAsia="es-ES"/>
        </w:rPr>
        <w:drawing>
          <wp:inline distT="0" distB="0" distL="0" distR="0" wp14:anchorId="5428E64B" wp14:editId="4017B127">
            <wp:extent cx="5010242" cy="2187244"/>
            <wp:effectExtent l="0" t="0" r="0" b="3810"/>
            <wp:docPr id="131" name="Imagen 131" descr="mapes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pes0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10785" cy="2187481"/>
                    </a:xfrm>
                    <a:prstGeom prst="rect">
                      <a:avLst/>
                    </a:prstGeom>
                    <a:noFill/>
                    <a:ln>
                      <a:noFill/>
                    </a:ln>
                  </pic:spPr>
                </pic:pic>
              </a:graphicData>
            </a:graphic>
          </wp:inline>
        </w:drawing>
      </w:r>
    </w:p>
    <w:p w:rsidR="00854453" w:rsidRDefault="00854453" w:rsidP="00387350">
      <w:pPr>
        <w:spacing w:line="240" w:lineRule="auto"/>
        <w:jc w:val="both"/>
        <w:rPr>
          <w:rFonts w:ascii="Times New Roman" w:hAnsi="Times New Roman"/>
          <w:sz w:val="24"/>
          <w:szCs w:val="24"/>
          <w:u w:val="single"/>
        </w:rPr>
      </w:pPr>
    </w:p>
    <w:p w:rsidR="00AD39BB" w:rsidRDefault="00AD39BB" w:rsidP="00387350">
      <w:pPr>
        <w:spacing w:line="240" w:lineRule="auto"/>
        <w:jc w:val="both"/>
        <w:rPr>
          <w:rFonts w:ascii="Times New Roman" w:hAnsi="Times New Roman"/>
          <w:sz w:val="24"/>
          <w:szCs w:val="24"/>
          <w:u w:val="single"/>
        </w:rPr>
      </w:pPr>
      <w:r>
        <w:rPr>
          <w:noProof/>
          <w:lang w:eastAsia="es-ES"/>
        </w:rPr>
        <w:drawing>
          <wp:inline distT="0" distB="0" distL="0" distR="0" wp14:anchorId="67F3F0D8" wp14:editId="146B79D8">
            <wp:extent cx="4937348" cy="2062886"/>
            <wp:effectExtent l="0" t="0" r="0" b="0"/>
            <wp:docPr id="132" name="Imagen 132" descr="mapes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pes0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37760" cy="2063058"/>
                    </a:xfrm>
                    <a:prstGeom prst="rect">
                      <a:avLst/>
                    </a:prstGeom>
                    <a:noFill/>
                    <a:ln>
                      <a:noFill/>
                    </a:ln>
                  </pic:spPr>
                </pic:pic>
              </a:graphicData>
            </a:graphic>
          </wp:inline>
        </w:drawing>
      </w:r>
    </w:p>
    <w:p w:rsidR="005A42CF" w:rsidRDefault="005A42CF" w:rsidP="00387350">
      <w:pPr>
        <w:spacing w:line="240" w:lineRule="auto"/>
        <w:jc w:val="both"/>
        <w:rPr>
          <w:rFonts w:ascii="Times New Roman" w:hAnsi="Times New Roman"/>
          <w:sz w:val="24"/>
          <w:szCs w:val="24"/>
          <w:u w:val="single"/>
        </w:rPr>
      </w:pPr>
    </w:p>
    <w:p w:rsidR="00854453" w:rsidRDefault="00854453" w:rsidP="00387350">
      <w:pPr>
        <w:pStyle w:val="NormalWeb"/>
        <w:jc w:val="both"/>
        <w:rPr>
          <w:bCs/>
        </w:rPr>
      </w:pPr>
    </w:p>
    <w:p w:rsidR="00854453" w:rsidRDefault="00854453" w:rsidP="00387350">
      <w:pPr>
        <w:pStyle w:val="NormalWeb"/>
        <w:jc w:val="both"/>
        <w:rPr>
          <w:bCs/>
        </w:rPr>
      </w:pPr>
    </w:p>
    <w:p w:rsidR="005A42CF" w:rsidRPr="005A42CF" w:rsidRDefault="00EB0C87" w:rsidP="00387350">
      <w:pPr>
        <w:pStyle w:val="NormalWeb"/>
        <w:jc w:val="both"/>
        <w:rPr>
          <w:bCs/>
        </w:rPr>
      </w:pPr>
      <w:r w:rsidRPr="00E07DE4">
        <w:rPr>
          <w:bCs/>
          <w:u w:val="single"/>
        </w:rPr>
        <w:lastRenderedPageBreak/>
        <w:t>Deuda pública de los países de la zona euro</w:t>
      </w:r>
      <w:r w:rsidR="00E07DE4">
        <w:rPr>
          <w:bCs/>
        </w:rPr>
        <w:t xml:space="preserve"> (Fuente:</w:t>
      </w:r>
      <w:r w:rsidR="005A42CF" w:rsidRPr="005A42CF">
        <w:rPr>
          <w:bCs/>
        </w:rPr>
        <w:t xml:space="preserve"> El Confidencial</w:t>
      </w:r>
      <w:r w:rsidR="005A42CF">
        <w:rPr>
          <w:b/>
          <w:bCs/>
        </w:rPr>
        <w:t xml:space="preserve"> - 3/11/11</w:t>
      </w:r>
      <w:r w:rsidR="005A42CF" w:rsidRPr="005A42CF">
        <w:rPr>
          <w:bCs/>
        </w:rPr>
        <w:t>)</w:t>
      </w:r>
    </w:p>
    <w:p w:rsidR="00AD39BB" w:rsidRDefault="005A42CF" w:rsidP="00387350">
      <w:pPr>
        <w:spacing w:line="240" w:lineRule="auto"/>
        <w:jc w:val="both"/>
        <w:rPr>
          <w:rFonts w:ascii="Times New Roman" w:hAnsi="Times New Roman"/>
          <w:sz w:val="24"/>
          <w:szCs w:val="24"/>
        </w:rPr>
      </w:pPr>
      <w:r>
        <w:rPr>
          <w:noProof/>
          <w:lang w:eastAsia="es-ES"/>
        </w:rPr>
        <w:drawing>
          <wp:inline distT="0" distB="0" distL="0" distR="0" wp14:anchorId="7A2E121B" wp14:editId="54799051">
            <wp:extent cx="5120640" cy="3094330"/>
            <wp:effectExtent l="0" t="0" r="3810" b="0"/>
            <wp:docPr id="157" name="Imagen 157" descr="2011110268grafic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2011110268grafico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32240" cy="3101340"/>
                    </a:xfrm>
                    <a:prstGeom prst="rect">
                      <a:avLst/>
                    </a:prstGeom>
                    <a:noFill/>
                    <a:ln>
                      <a:noFill/>
                    </a:ln>
                  </pic:spPr>
                </pic:pic>
              </a:graphicData>
            </a:graphic>
          </wp:inline>
        </w:drawing>
      </w:r>
    </w:p>
    <w:p w:rsidR="0078186C" w:rsidRDefault="0078186C" w:rsidP="00387350">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p>
    <w:p w:rsidR="005A42CF" w:rsidRDefault="005A42CF" w:rsidP="00387350">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noProof/>
          <w:lang w:eastAsia="es-ES"/>
        </w:rPr>
        <w:drawing>
          <wp:inline distT="0" distB="0" distL="0" distR="0" wp14:anchorId="56A24CAA" wp14:editId="2B63FC69">
            <wp:extent cx="5237683" cy="3152758"/>
            <wp:effectExtent l="0" t="0" r="1270" b="0"/>
            <wp:docPr id="156" name="Imagen 156" descr="2011110226grafic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2011110226grafico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37712" cy="3152775"/>
                    </a:xfrm>
                    <a:prstGeom prst="rect">
                      <a:avLst/>
                    </a:prstGeom>
                    <a:noFill/>
                    <a:ln>
                      <a:noFill/>
                    </a:ln>
                  </pic:spPr>
                </pic:pic>
              </a:graphicData>
            </a:graphic>
          </wp:inline>
        </w:drawing>
      </w:r>
    </w:p>
    <w:p w:rsidR="005A42CF" w:rsidRPr="005A42CF" w:rsidRDefault="005A42CF" w:rsidP="00387350">
      <w:pPr>
        <w:pStyle w:val="NormalWeb"/>
        <w:jc w:val="both"/>
      </w:pPr>
      <w:r>
        <w:t>“Lo acaban de decir los “cinco sabios alemanes”</w:t>
      </w:r>
      <w:r w:rsidRPr="005A42CF">
        <w:t xml:space="preserve"> en un documento que este miércoles entregaron a </w:t>
      </w:r>
      <w:r w:rsidRPr="005A42CF">
        <w:rPr>
          <w:bCs/>
        </w:rPr>
        <w:t>Ángela Merkel</w:t>
      </w:r>
      <w:r w:rsidRPr="005A42CF">
        <w:t xml:space="preserve">. Europa se enfrenta sin armas suficientes al “círculo vicioso” de una </w:t>
      </w:r>
      <w:r w:rsidRPr="005A42CF">
        <w:rPr>
          <w:bCs/>
        </w:rPr>
        <w:t>deuda soberana sin control</w:t>
      </w:r>
      <w:r w:rsidRPr="005A42CF">
        <w:t xml:space="preserve"> y una crisis bancaria que está lejos de resolverse. Y la solución que aportan es sugerente: crear un </w:t>
      </w:r>
      <w:r w:rsidRPr="005A42CF">
        <w:rPr>
          <w:bCs/>
        </w:rPr>
        <w:t>fondo de amortización</w:t>
      </w:r>
      <w:r w:rsidRPr="005A42CF">
        <w:t xml:space="preserve"> </w:t>
      </w:r>
      <w:r w:rsidRPr="005A42CF">
        <w:rPr>
          <w:bCs/>
        </w:rPr>
        <w:t>de deuda</w:t>
      </w:r>
      <w:r w:rsidRPr="005A42CF">
        <w:t xml:space="preserve"> a escala europea dotado con 2,3 billones de euros. </w:t>
      </w:r>
    </w:p>
    <w:p w:rsidR="005A42CF" w:rsidRPr="003E20D7" w:rsidRDefault="005A42CF" w:rsidP="00387350">
      <w:pPr>
        <w:pStyle w:val="NormalWeb"/>
        <w:jc w:val="both"/>
      </w:pPr>
      <w:r w:rsidRPr="005A42CF">
        <w:t xml:space="preserve">Su función sería adquirir toda la deuda pública superior al 60% del PIB de cada país, el umbral que se considera </w:t>
      </w:r>
      <w:r w:rsidRPr="005A42CF">
        <w:rPr>
          <w:bCs/>
        </w:rPr>
        <w:t>sostenible</w:t>
      </w:r>
      <w:r w:rsidRPr="005A42CF">
        <w:t>. Como contrapartida, sus gobiernos se comprometerían a asumir un plan de austeridad fiscal</w:t>
      </w:r>
      <w:r>
        <w:t xml:space="preserve"> destinado amortizar esa deuda </w:t>
      </w:r>
      <w:r>
        <w:lastRenderedPageBreak/>
        <w:t>“</w:t>
      </w:r>
      <w:r w:rsidR="003E20D7">
        <w:t>sobrante”</w:t>
      </w:r>
      <w:r w:rsidRPr="005A42CF">
        <w:t xml:space="preserve"> en un plazo de 20 o 25 años. Pasado ese tiempo, y una vez que se hayan reducido los niveles de endeudamiento hasta unos niveles manejables, el fondo se disolvería</w:t>
      </w:r>
      <w:r w:rsidR="003E20D7">
        <w:t>”..</w:t>
      </w:r>
      <w:r w:rsidRPr="005A42CF">
        <w:t>.</w:t>
      </w:r>
      <w:r w:rsidR="003E20D7">
        <w:t xml:space="preserve"> </w:t>
      </w:r>
      <w:r w:rsidR="003E20D7" w:rsidRPr="007C1806">
        <w:rPr>
          <w:u w:val="single"/>
        </w:rPr>
        <w:t>Europa, al borde del K.O.</w:t>
      </w:r>
      <w:r w:rsidR="003E20D7">
        <w:t xml:space="preserve"> (El Confidencial - </w:t>
      </w:r>
      <w:r w:rsidR="003E20D7" w:rsidRPr="009B5526">
        <w:rPr>
          <w:b/>
        </w:rPr>
        <w:t>10/11/11</w:t>
      </w:r>
      <w:r w:rsidR="003E20D7">
        <w:t>)</w:t>
      </w:r>
    </w:p>
    <w:p w:rsidR="005A42CF" w:rsidRPr="00DC7198" w:rsidRDefault="005A42CF" w:rsidP="00387350">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noProof/>
          <w:lang w:eastAsia="es-ES"/>
        </w:rPr>
        <w:drawing>
          <wp:inline distT="0" distB="0" distL="0" distR="0" wp14:anchorId="35D71C24" wp14:editId="185F5C4F">
            <wp:extent cx="5400040" cy="2504440"/>
            <wp:effectExtent l="0" t="0" r="0" b="0"/>
            <wp:docPr id="159" name="Imagen 159" descr="2011110926grafico_am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2011110926grafico_ampl"/>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40" cy="2504440"/>
                    </a:xfrm>
                    <a:prstGeom prst="rect">
                      <a:avLst/>
                    </a:prstGeom>
                    <a:noFill/>
                    <a:ln>
                      <a:noFill/>
                    </a:ln>
                  </pic:spPr>
                </pic:pic>
              </a:graphicData>
            </a:graphic>
          </wp:inline>
        </w:drawing>
      </w:r>
    </w:p>
    <w:p w:rsidR="003E20D7" w:rsidRDefault="003E20D7" w:rsidP="00387350">
      <w:pPr>
        <w:pStyle w:val="NormalWeb"/>
        <w:jc w:val="both"/>
      </w:pPr>
      <w:r>
        <w:t>“</w:t>
      </w:r>
      <w:r w:rsidRPr="003E20D7">
        <w:t xml:space="preserve">A  </w:t>
      </w:r>
      <w:r w:rsidRPr="003E20D7">
        <w:rPr>
          <w:rStyle w:val="apple-style-span"/>
        </w:rPr>
        <w:t xml:space="preserve">raíz de las crecientes tensiones en torno a la deuda pública y la obsesión de los mercados por hacer creer que la deuda pública puede dar origen a una nueva crisis global, me ha parecido útil esta gráfica que compara la deuda pública y privada de varios países. La gráfica está tomada de un Informe de McKinsey y ha sido publicada en </w:t>
      </w:r>
      <w:hyperlink r:id="rId61" w:history="1">
        <w:r w:rsidRPr="003E20D7">
          <w:rPr>
            <w:rStyle w:val="Hipervnculo"/>
            <w:color w:val="auto"/>
            <w:u w:val="none"/>
          </w:rPr>
          <w:t>BusinessWeek</w:t>
        </w:r>
      </w:hyperlink>
      <w:r w:rsidRPr="003E20D7">
        <w:rPr>
          <w:rStyle w:val="apple-style-span"/>
        </w:rPr>
        <w:t xml:space="preserve">. A diferencia de la segunda gráfica que cuelgo más abajo, ésta primera gráfica es una instantánea, una imagen que no toma en cuenta la historia o el </w:t>
      </w:r>
      <w:hyperlink r:id="rId62" w:history="1">
        <w:r w:rsidRPr="003E20D7">
          <w:rPr>
            <w:rStyle w:val="Hipervnculo"/>
            <w:color w:val="auto"/>
            <w:u w:val="none"/>
          </w:rPr>
          <w:t>cómo se llegó hasta aquí</w:t>
        </w:r>
      </w:hyperlink>
      <w:r w:rsidRPr="003E20D7">
        <w:rPr>
          <w:rStyle w:val="apple-style-span"/>
        </w:rPr>
        <w:t>. La segunda gráfica permite apreciar la evolución de este endeudamiento.</w:t>
      </w:r>
    </w:p>
    <w:p w:rsidR="003E20D7" w:rsidRDefault="003E20D7" w:rsidP="00387350">
      <w:pPr>
        <w:pStyle w:val="NormalWeb"/>
        <w:jc w:val="both"/>
      </w:pPr>
      <w:r>
        <w:tab/>
      </w:r>
      <w:r>
        <w:tab/>
      </w:r>
      <w:r>
        <w:rPr>
          <w:noProof/>
        </w:rPr>
        <w:drawing>
          <wp:inline distT="0" distB="0" distL="0" distR="0" wp14:anchorId="1D650444" wp14:editId="476155B5">
            <wp:extent cx="3811270" cy="2443480"/>
            <wp:effectExtent l="0" t="0" r="0" b="0"/>
            <wp:docPr id="161" name="Imagen 161" descr="mckinsey_total-debt_ebs">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ckinsey_total-debt_ebs"/>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11270" cy="2443480"/>
                    </a:xfrm>
                    <a:prstGeom prst="rect">
                      <a:avLst/>
                    </a:prstGeom>
                    <a:noFill/>
                    <a:ln>
                      <a:noFill/>
                    </a:ln>
                  </pic:spPr>
                </pic:pic>
              </a:graphicData>
            </a:graphic>
          </wp:inline>
        </w:drawing>
      </w:r>
    </w:p>
    <w:p w:rsidR="00854453" w:rsidRPr="00854453" w:rsidRDefault="00854453" w:rsidP="00387350">
      <w:pPr>
        <w:spacing w:line="240" w:lineRule="auto"/>
        <w:jc w:val="both"/>
        <w:rPr>
          <w:rFonts w:ascii="Times New Roman" w:hAnsi="Times New Roman"/>
          <w:sz w:val="24"/>
          <w:szCs w:val="24"/>
        </w:rPr>
      </w:pPr>
      <w:r w:rsidRPr="0017436A">
        <w:rPr>
          <w:rStyle w:val="apple-style-span"/>
          <w:rFonts w:ascii="Times New Roman" w:hAnsi="Times New Roman"/>
          <w:sz w:val="24"/>
          <w:szCs w:val="24"/>
        </w:rPr>
        <w:t xml:space="preserve">Gran parte de la preocupación por la deuda pública no es más que para crear alarmas y obligar a los países a aplicar los draconianos planes de austeridad que, como está quedando demostrado, hunden más a la economía real. Lo que se pretende ocultar, es el que el problema de la deuda no ha sido de los gobiernos sino de la banca y las instituciones privadas. Es lógico exigir ahora que sea la banca la que asuma su fracaso y absorba las pérdidas. Es lo que hay que declarar en Grecia y en todos los países que le dieron carta libre a la banca para que ésta hiciera y deshiciera a su antojo. Para colmo, </w:t>
      </w:r>
      <w:r w:rsidRPr="0017436A">
        <w:rPr>
          <w:rStyle w:val="apple-style-span"/>
          <w:rFonts w:ascii="Times New Roman" w:hAnsi="Times New Roman"/>
          <w:sz w:val="24"/>
          <w:szCs w:val="24"/>
        </w:rPr>
        <w:lastRenderedPageBreak/>
        <w:t>gran parte del endeudamiento público generado a partir de 2007 se debe justamente al irrisorio esfuerzo de los gobiernos por rescatar a una banca víctima de su propia mordaza: el apalancamiento</w:t>
      </w:r>
      <w:r>
        <w:rPr>
          <w:rStyle w:val="apple-style-span"/>
          <w:rFonts w:ascii="Times New Roman" w:hAnsi="Times New Roman"/>
          <w:sz w:val="24"/>
          <w:szCs w:val="24"/>
        </w:rPr>
        <w:t>.</w:t>
      </w:r>
    </w:p>
    <w:p w:rsidR="003E20D7" w:rsidRDefault="003E20D7" w:rsidP="00387350">
      <w:pPr>
        <w:pStyle w:val="NormalWeb"/>
        <w:jc w:val="both"/>
      </w:pPr>
      <w:r>
        <w:tab/>
      </w:r>
      <w:r>
        <w:tab/>
      </w:r>
      <w:r>
        <w:rPr>
          <w:noProof/>
          <w:shd w:val="clear" w:color="auto" w:fill="FFFFFF"/>
        </w:rPr>
        <w:drawing>
          <wp:inline distT="0" distB="0" distL="0" distR="0" wp14:anchorId="7C21D2A6" wp14:editId="389B189A">
            <wp:extent cx="3811270" cy="2494280"/>
            <wp:effectExtent l="0" t="0" r="0" b="1270"/>
            <wp:docPr id="160" name="Imagen 160" descr="deuda-publica-pcpib_ebs">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euda-publica-pcpib_ebs"/>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11270" cy="2494280"/>
                    </a:xfrm>
                    <a:prstGeom prst="rect">
                      <a:avLst/>
                    </a:prstGeom>
                    <a:noFill/>
                    <a:ln>
                      <a:noFill/>
                    </a:ln>
                  </pic:spPr>
                </pic:pic>
              </a:graphicData>
            </a:graphic>
          </wp:inline>
        </w:drawing>
      </w:r>
    </w:p>
    <w:p w:rsidR="003E20D7" w:rsidRDefault="003E20D7" w:rsidP="00387350">
      <w:pPr>
        <w:spacing w:line="240" w:lineRule="auto"/>
        <w:jc w:val="both"/>
        <w:rPr>
          <w:rStyle w:val="apple-style-span"/>
          <w:rFonts w:ascii="Times New Roman" w:hAnsi="Times New Roman"/>
          <w:sz w:val="24"/>
          <w:szCs w:val="24"/>
          <w:shd w:val="clear" w:color="auto" w:fill="FFFFFF"/>
        </w:rPr>
      </w:pPr>
      <w:r w:rsidRPr="0017436A">
        <w:rPr>
          <w:rStyle w:val="apple-style-span"/>
          <w:rFonts w:ascii="Times New Roman" w:hAnsi="Times New Roman"/>
          <w:sz w:val="24"/>
          <w:szCs w:val="24"/>
        </w:rPr>
        <w:t>Los problemas que tensionan a la economía no tienen nada que ver con la deuda pública sino expresamente con la deuda privada. Y es justamente el sector privado el que presiona a través de las agencias de calificación por un pronto rescate, lo que quiere decir inyectar mucho dinero que los contribuyentes deberán pagar por décadas. Se exige un mínimo de dos billones de euros para rescatar a la banca europea, mientras se obliga a los países a aplicar masivos estrangulamientos presupuestarios a sectores claves de la economía como la sal</w:t>
      </w:r>
      <w:r>
        <w:rPr>
          <w:rStyle w:val="apple-style-span"/>
          <w:rFonts w:ascii="Times New Roman" w:hAnsi="Times New Roman"/>
          <w:sz w:val="24"/>
          <w:szCs w:val="24"/>
        </w:rPr>
        <w:t>ud, la seguridad y la educación”..</w:t>
      </w:r>
      <w:r w:rsidRPr="0017436A">
        <w:rPr>
          <w:rStyle w:val="apple-style-span"/>
          <w:rFonts w:ascii="Times New Roman" w:hAnsi="Times New Roman"/>
          <w:sz w:val="24"/>
          <w:szCs w:val="24"/>
        </w:rPr>
        <w:t>.</w:t>
      </w:r>
      <w:r>
        <w:rPr>
          <w:rStyle w:val="apple-style-span"/>
          <w:rFonts w:ascii="Times New Roman" w:hAnsi="Times New Roman"/>
          <w:sz w:val="24"/>
          <w:szCs w:val="24"/>
        </w:rPr>
        <w:t xml:space="preserve"> </w:t>
      </w:r>
      <w:r w:rsidRPr="0017436A">
        <w:rPr>
          <w:rFonts w:ascii="Times New Roman" w:hAnsi="Times New Roman"/>
          <w:sz w:val="24"/>
          <w:szCs w:val="24"/>
          <w:u w:val="single"/>
        </w:rPr>
        <w:t>¿Por qué no aumentamos la deuda pública y dejamos caer a la banca?</w:t>
      </w:r>
      <w:r>
        <w:rPr>
          <w:rFonts w:ascii="Times New Roman" w:hAnsi="Times New Roman"/>
          <w:sz w:val="24"/>
          <w:szCs w:val="24"/>
        </w:rPr>
        <w:t xml:space="preserve"> (</w:t>
      </w:r>
      <w:hyperlink r:id="rId67" w:tooltip="Artículos de Marco Antonio Moreno" w:history="1">
        <w:r w:rsidRPr="003E20D7">
          <w:rPr>
            <w:rStyle w:val="Hipervnculo"/>
            <w:rFonts w:ascii="Times New Roman" w:hAnsi="Times New Roman"/>
            <w:bCs/>
            <w:color w:val="auto"/>
            <w:sz w:val="24"/>
            <w:szCs w:val="24"/>
            <w:u w:val="none"/>
            <w:shd w:val="clear" w:color="auto" w:fill="FFFFFF"/>
          </w:rPr>
          <w:t>Marco Antonio Moreno</w:t>
        </w:r>
      </w:hyperlink>
      <w:r>
        <w:rPr>
          <w:rStyle w:val="Hipervnculo"/>
          <w:rFonts w:ascii="Times New Roman" w:hAnsi="Times New Roman"/>
          <w:bCs/>
          <w:color w:val="auto"/>
          <w:sz w:val="24"/>
          <w:szCs w:val="24"/>
          <w:u w:val="none"/>
          <w:shd w:val="clear" w:color="auto" w:fill="FFFFFF"/>
        </w:rPr>
        <w:t xml:space="preserve"> - </w:t>
      </w:r>
      <w:r w:rsidRPr="003E20D7">
        <w:rPr>
          <w:rStyle w:val="Hipervnculo"/>
          <w:rFonts w:ascii="Times New Roman" w:hAnsi="Times New Roman"/>
          <w:b/>
          <w:bCs/>
          <w:color w:val="auto"/>
          <w:sz w:val="24"/>
          <w:szCs w:val="24"/>
          <w:u w:val="none"/>
          <w:shd w:val="clear" w:color="auto" w:fill="FFFFFF"/>
        </w:rPr>
        <w:t>25/10/11</w:t>
      </w:r>
      <w:r>
        <w:rPr>
          <w:rStyle w:val="Hipervnculo"/>
          <w:rFonts w:ascii="Times New Roman" w:hAnsi="Times New Roman"/>
          <w:bCs/>
          <w:color w:val="auto"/>
          <w:sz w:val="24"/>
          <w:szCs w:val="24"/>
          <w:u w:val="none"/>
          <w:shd w:val="clear" w:color="auto" w:fill="FFFFFF"/>
        </w:rPr>
        <w:t>)</w:t>
      </w:r>
      <w:r w:rsidRPr="003E20D7">
        <w:rPr>
          <w:rStyle w:val="apple-style-span"/>
          <w:rFonts w:ascii="Times New Roman" w:hAnsi="Times New Roman"/>
          <w:sz w:val="24"/>
          <w:szCs w:val="24"/>
          <w:shd w:val="clear" w:color="auto" w:fill="FFFFFF"/>
        </w:rPr>
        <w:t xml:space="preserve"> </w:t>
      </w:r>
    </w:p>
    <w:p w:rsidR="003E20D7" w:rsidRDefault="003E20D7" w:rsidP="00387350">
      <w:pPr>
        <w:spacing w:after="0" w:line="240" w:lineRule="auto"/>
        <w:jc w:val="both"/>
        <w:rPr>
          <w:rFonts w:ascii="Times New Roman" w:eastAsia="Times New Roman" w:hAnsi="Times New Roman"/>
          <w:sz w:val="24"/>
          <w:szCs w:val="24"/>
          <w:u w:val="single"/>
          <w:lang w:eastAsia="es-ES"/>
        </w:rPr>
      </w:pPr>
      <w:r w:rsidRPr="000E5787">
        <w:rPr>
          <w:rFonts w:ascii="Times New Roman" w:eastAsia="Times New Roman" w:hAnsi="Times New Roman"/>
          <w:sz w:val="24"/>
          <w:szCs w:val="24"/>
          <w:u w:val="single"/>
          <w:lang w:eastAsia="es-ES"/>
        </w:rPr>
        <w:t>Un TAC de la crisis de la Unión Europea</w:t>
      </w:r>
      <w:r w:rsidR="000E5787">
        <w:rPr>
          <w:rFonts w:ascii="Times New Roman" w:eastAsia="Times New Roman" w:hAnsi="Times New Roman"/>
          <w:sz w:val="24"/>
          <w:szCs w:val="24"/>
          <w:u w:val="single"/>
          <w:lang w:eastAsia="es-ES"/>
        </w:rPr>
        <w:t xml:space="preserve"> </w:t>
      </w:r>
      <w:r w:rsidR="000E5787">
        <w:rPr>
          <w:rFonts w:ascii="Times New Roman" w:eastAsia="Times New Roman" w:hAnsi="Times New Roman"/>
          <w:sz w:val="24"/>
          <w:szCs w:val="24"/>
          <w:lang w:eastAsia="es-ES"/>
        </w:rPr>
        <w:t xml:space="preserve">(Fuente: Expansión - </w:t>
      </w:r>
      <w:r w:rsidR="000E5787" w:rsidRPr="003D5DA0">
        <w:rPr>
          <w:rFonts w:ascii="Times New Roman" w:eastAsia="Times New Roman" w:hAnsi="Times New Roman"/>
          <w:b/>
          <w:sz w:val="24"/>
          <w:szCs w:val="24"/>
          <w:lang w:eastAsia="es-ES"/>
        </w:rPr>
        <w:t>18/11/11</w:t>
      </w:r>
      <w:r w:rsidR="000E5787">
        <w:rPr>
          <w:rFonts w:ascii="Times New Roman" w:eastAsia="Times New Roman" w:hAnsi="Times New Roman"/>
          <w:sz w:val="24"/>
          <w:szCs w:val="24"/>
          <w:lang w:eastAsia="es-ES"/>
        </w:rPr>
        <w:t xml:space="preserve">) </w:t>
      </w:r>
    </w:p>
    <w:p w:rsidR="00854453" w:rsidRPr="00854453" w:rsidRDefault="00854453" w:rsidP="00387350">
      <w:pPr>
        <w:spacing w:after="0" w:line="240" w:lineRule="auto"/>
        <w:jc w:val="both"/>
        <w:rPr>
          <w:rStyle w:val="apple-style-span"/>
          <w:rFonts w:ascii="Times New Roman" w:eastAsia="Times New Roman" w:hAnsi="Times New Roman"/>
          <w:sz w:val="24"/>
          <w:szCs w:val="24"/>
          <w:u w:val="single"/>
          <w:lang w:eastAsia="es-ES"/>
        </w:rPr>
      </w:pPr>
    </w:p>
    <w:p w:rsidR="00854453" w:rsidRDefault="003E20D7" w:rsidP="00387350">
      <w:pPr>
        <w:spacing w:line="240" w:lineRule="auto"/>
        <w:jc w:val="both"/>
        <w:rPr>
          <w:u w:val="single"/>
        </w:rPr>
      </w:pPr>
      <w:r>
        <w:rPr>
          <w:noProof/>
          <w:lang w:eastAsia="es-ES"/>
        </w:rPr>
        <w:drawing>
          <wp:inline distT="0" distB="0" distL="0" distR="0" wp14:anchorId="310B8DCF" wp14:editId="234C0B14">
            <wp:extent cx="5398613" cy="3182112"/>
            <wp:effectExtent l="0" t="0" r="0" b="0"/>
            <wp:docPr id="172" name="Imagen 172" descr="1321569205_g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321569205_g_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040" cy="3182953"/>
                    </a:xfrm>
                    <a:prstGeom prst="rect">
                      <a:avLst/>
                    </a:prstGeom>
                    <a:noFill/>
                    <a:ln>
                      <a:noFill/>
                    </a:ln>
                  </pic:spPr>
                </pic:pic>
              </a:graphicData>
            </a:graphic>
          </wp:inline>
        </w:drawing>
      </w:r>
    </w:p>
    <w:p w:rsidR="0052410D" w:rsidRDefault="0052410D" w:rsidP="00387350">
      <w:pPr>
        <w:spacing w:line="240" w:lineRule="auto"/>
        <w:jc w:val="both"/>
        <w:rPr>
          <w:u w:val="single"/>
        </w:rPr>
      </w:pPr>
    </w:p>
    <w:p w:rsidR="000E5787" w:rsidRPr="00854453" w:rsidRDefault="000E5787" w:rsidP="00387350">
      <w:pPr>
        <w:spacing w:line="240" w:lineRule="auto"/>
        <w:jc w:val="both"/>
        <w:rPr>
          <w:rFonts w:ascii="Times New Roman" w:hAnsi="Times New Roman" w:cs="Times New Roman"/>
          <w:sz w:val="24"/>
          <w:szCs w:val="24"/>
          <w:u w:val="single"/>
        </w:rPr>
      </w:pPr>
      <w:r w:rsidRPr="00854453">
        <w:rPr>
          <w:rFonts w:ascii="Times New Roman" w:hAnsi="Times New Roman" w:cs="Times New Roman"/>
          <w:sz w:val="24"/>
          <w:szCs w:val="24"/>
          <w:u w:val="single"/>
        </w:rPr>
        <w:lastRenderedPageBreak/>
        <w:t>El gran reto en dos gráficos</w:t>
      </w:r>
      <w:r w:rsidRPr="00854453">
        <w:rPr>
          <w:rFonts w:ascii="Times New Roman" w:hAnsi="Times New Roman" w:cs="Times New Roman"/>
          <w:sz w:val="24"/>
          <w:szCs w:val="24"/>
        </w:rPr>
        <w:t xml:space="preserve"> (Fuente: Libertad Digital - </w:t>
      </w:r>
      <w:r w:rsidRPr="00854453">
        <w:rPr>
          <w:rFonts w:ascii="Times New Roman" w:hAnsi="Times New Roman" w:cs="Times New Roman"/>
          <w:b/>
          <w:sz w:val="24"/>
          <w:szCs w:val="24"/>
        </w:rPr>
        <w:t>22/11/11</w:t>
      </w:r>
      <w:r w:rsidRPr="00854453">
        <w:rPr>
          <w:rFonts w:ascii="Times New Roman" w:hAnsi="Times New Roman" w:cs="Times New Roman"/>
          <w:sz w:val="24"/>
          <w:szCs w:val="24"/>
        </w:rPr>
        <w:t>)</w:t>
      </w:r>
    </w:p>
    <w:p w:rsidR="000E5787" w:rsidRDefault="000E5787" w:rsidP="00387350">
      <w:pPr>
        <w:spacing w:line="240" w:lineRule="auto"/>
        <w:jc w:val="both"/>
        <w:rPr>
          <w:rFonts w:ascii="Times New Roman" w:hAnsi="Times New Roman"/>
          <w:sz w:val="24"/>
          <w:szCs w:val="24"/>
          <w:u w:val="single"/>
        </w:rPr>
      </w:pPr>
      <w:r>
        <w:rPr>
          <w:noProof/>
          <w:lang w:eastAsia="es-ES"/>
        </w:rPr>
        <w:drawing>
          <wp:inline distT="0" distB="0" distL="0" distR="0" wp14:anchorId="3751BFAE" wp14:editId="56333FA4">
            <wp:extent cx="5398617" cy="2326233"/>
            <wp:effectExtent l="0" t="0" r="0" b="0"/>
            <wp:docPr id="182" name="Imagen 182" descr="GRA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AF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040" cy="2326846"/>
                    </a:xfrm>
                    <a:prstGeom prst="rect">
                      <a:avLst/>
                    </a:prstGeom>
                    <a:noFill/>
                    <a:ln>
                      <a:noFill/>
                    </a:ln>
                  </pic:spPr>
                </pic:pic>
              </a:graphicData>
            </a:graphic>
          </wp:inline>
        </w:drawing>
      </w:r>
    </w:p>
    <w:p w:rsidR="003E20D7" w:rsidRDefault="000E5787" w:rsidP="00387350">
      <w:pPr>
        <w:spacing w:line="240" w:lineRule="auto"/>
        <w:jc w:val="both"/>
        <w:rPr>
          <w:rFonts w:ascii="Times New Roman" w:hAnsi="Times New Roman"/>
          <w:sz w:val="24"/>
          <w:szCs w:val="24"/>
        </w:rPr>
      </w:pPr>
      <w:r>
        <w:rPr>
          <w:rFonts w:ascii="Times New Roman" w:hAnsi="Times New Roman"/>
          <w:sz w:val="24"/>
          <w:szCs w:val="24"/>
        </w:rPr>
        <w:t xml:space="preserve">               </w:t>
      </w:r>
      <w:r>
        <w:rPr>
          <w:noProof/>
          <w:lang w:eastAsia="es-ES"/>
        </w:rPr>
        <w:drawing>
          <wp:inline distT="0" distB="0" distL="0" distR="0" wp14:anchorId="071D50B8" wp14:editId="0AAE6A07">
            <wp:extent cx="4198809" cy="4067251"/>
            <wp:effectExtent l="0" t="0" r="0" b="0"/>
            <wp:docPr id="181" name="Imagen 181" descr="graf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af_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98620" cy="4067068"/>
                    </a:xfrm>
                    <a:prstGeom prst="rect">
                      <a:avLst/>
                    </a:prstGeom>
                    <a:noFill/>
                    <a:ln>
                      <a:noFill/>
                    </a:ln>
                  </pic:spPr>
                </pic:pic>
              </a:graphicData>
            </a:graphic>
          </wp:inline>
        </w:drawing>
      </w:r>
    </w:p>
    <w:p w:rsidR="00656BF7" w:rsidRPr="00F11031" w:rsidRDefault="00656BF7" w:rsidP="00387350">
      <w:pPr>
        <w:pStyle w:val="NormalWeb"/>
        <w:jc w:val="both"/>
      </w:pPr>
      <w:r w:rsidRPr="00F11031">
        <w:rPr>
          <w:u w:val="single"/>
        </w:rPr>
        <w:t>Datos fiscales de algunos países europeos</w:t>
      </w:r>
      <w:r w:rsidRPr="00375D9E">
        <w:t>. Los da</w:t>
      </w:r>
      <w:r>
        <w:t xml:space="preserve">tos son del último WEO del FMI (Fuente: Fedea - </w:t>
      </w:r>
      <w:r>
        <w:rPr>
          <w:b/>
        </w:rPr>
        <w:t>23/11/11</w:t>
      </w:r>
      <w:r>
        <w:t>)</w:t>
      </w:r>
    </w:p>
    <w:p w:rsidR="00656BF7" w:rsidRPr="00375D9E" w:rsidRDefault="00656BF7" w:rsidP="00387350">
      <w:pPr>
        <w:pStyle w:val="NormalWeb"/>
        <w:jc w:val="both"/>
      </w:pPr>
      <w:r w:rsidRPr="00375D9E">
        <w:t>Tabla 1. Panorama Fiscal Europeo</w:t>
      </w:r>
    </w:p>
    <w:tbl>
      <w:tblPr>
        <w:tblW w:w="6315" w:type="dxa"/>
        <w:tblCellSpacing w:w="0" w:type="dxa"/>
        <w:tblCellMar>
          <w:left w:w="0" w:type="dxa"/>
          <w:right w:w="0" w:type="dxa"/>
        </w:tblCellMar>
        <w:tblLook w:val="04A0" w:firstRow="1" w:lastRow="0" w:firstColumn="1" w:lastColumn="0" w:noHBand="0" w:noVBand="1"/>
      </w:tblPr>
      <w:tblGrid>
        <w:gridCol w:w="1260"/>
        <w:gridCol w:w="825"/>
        <w:gridCol w:w="900"/>
        <w:gridCol w:w="1035"/>
        <w:gridCol w:w="1215"/>
        <w:gridCol w:w="1080"/>
      </w:tblGrid>
      <w:tr w:rsidR="00656BF7" w:rsidRPr="00375D9E" w:rsidTr="00055DEF">
        <w:trPr>
          <w:tblCellSpacing w:w="0" w:type="dxa"/>
        </w:trPr>
        <w:tc>
          <w:tcPr>
            <w:tcW w:w="1260" w:type="dxa"/>
            <w:noWrap/>
            <w:vAlign w:val="center"/>
            <w:hideMark/>
          </w:tcPr>
          <w:p w:rsidR="00656BF7" w:rsidRPr="00375D9E" w:rsidRDefault="00656BF7" w:rsidP="00387350">
            <w:pPr>
              <w:spacing w:line="240" w:lineRule="auto"/>
              <w:jc w:val="both"/>
              <w:rPr>
                <w:rFonts w:ascii="Times New Roman" w:hAnsi="Times New Roman"/>
                <w:sz w:val="24"/>
                <w:szCs w:val="24"/>
              </w:rPr>
            </w:pPr>
          </w:p>
        </w:tc>
        <w:tc>
          <w:tcPr>
            <w:tcW w:w="825" w:type="dxa"/>
            <w:vAlign w:val="center"/>
            <w:hideMark/>
          </w:tcPr>
          <w:p w:rsidR="00656BF7" w:rsidRPr="00375D9E" w:rsidRDefault="002E6E34" w:rsidP="00387350">
            <w:pPr>
              <w:pStyle w:val="NormalWeb"/>
              <w:jc w:val="both"/>
            </w:pPr>
            <w:r w:rsidRPr="00375D9E">
              <w:rPr>
                <w:rStyle w:val="Textoennegrita"/>
                <w:rFonts w:eastAsiaTheme="majorEastAsia"/>
              </w:rPr>
              <w:t>Déficit</w:t>
            </w:r>
          </w:p>
        </w:tc>
        <w:tc>
          <w:tcPr>
            <w:tcW w:w="1935" w:type="dxa"/>
            <w:gridSpan w:val="2"/>
            <w:vAlign w:val="center"/>
            <w:hideMark/>
          </w:tcPr>
          <w:p w:rsidR="00656BF7" w:rsidRPr="00375D9E" w:rsidRDefault="002E6E34" w:rsidP="00387350">
            <w:pPr>
              <w:pStyle w:val="NormalWeb"/>
              <w:jc w:val="both"/>
            </w:pPr>
            <w:r w:rsidRPr="00375D9E">
              <w:rPr>
                <w:rStyle w:val="Textoennegrita"/>
                <w:rFonts w:eastAsiaTheme="majorEastAsia"/>
              </w:rPr>
              <w:t>Déficit</w:t>
            </w:r>
            <w:r w:rsidR="00656BF7" w:rsidRPr="00375D9E">
              <w:rPr>
                <w:rStyle w:val="Textoennegrita"/>
                <w:rFonts w:eastAsiaTheme="majorEastAsia"/>
              </w:rPr>
              <w:t xml:space="preserve"> Primario</w:t>
            </w:r>
          </w:p>
        </w:tc>
        <w:tc>
          <w:tcPr>
            <w:tcW w:w="1215" w:type="dxa"/>
            <w:vAlign w:val="center"/>
            <w:hideMark/>
          </w:tcPr>
          <w:p w:rsidR="00656BF7" w:rsidRPr="00375D9E" w:rsidRDefault="00656BF7" w:rsidP="00387350">
            <w:pPr>
              <w:pStyle w:val="NormalWeb"/>
              <w:jc w:val="both"/>
            </w:pPr>
            <w:r w:rsidRPr="00375D9E">
              <w:rPr>
                <w:rStyle w:val="Textoennegrita"/>
                <w:rFonts w:eastAsiaTheme="majorEastAsia"/>
              </w:rPr>
              <w:t>Deuda Bruta/PBI</w:t>
            </w:r>
          </w:p>
        </w:tc>
        <w:tc>
          <w:tcPr>
            <w:tcW w:w="1080" w:type="dxa"/>
            <w:vAlign w:val="center"/>
            <w:hideMark/>
          </w:tcPr>
          <w:p w:rsidR="00656BF7" w:rsidRPr="00375D9E" w:rsidRDefault="00656BF7" w:rsidP="00387350">
            <w:pPr>
              <w:pStyle w:val="NormalWeb"/>
              <w:jc w:val="both"/>
            </w:pPr>
            <w:r w:rsidRPr="00375D9E">
              <w:rPr>
                <w:rStyle w:val="Textoennegrita"/>
                <w:rFonts w:eastAsiaTheme="majorEastAsia"/>
              </w:rPr>
              <w:t>Deuda Neta/PBI</w:t>
            </w:r>
          </w:p>
        </w:tc>
      </w:tr>
      <w:tr w:rsidR="00656BF7" w:rsidRPr="00375D9E" w:rsidTr="00055DEF">
        <w:trPr>
          <w:tblCellSpacing w:w="0" w:type="dxa"/>
        </w:trPr>
        <w:tc>
          <w:tcPr>
            <w:tcW w:w="1260" w:type="dxa"/>
            <w:vAlign w:val="bottom"/>
            <w:hideMark/>
          </w:tcPr>
          <w:p w:rsidR="00656BF7" w:rsidRPr="00375D9E" w:rsidRDefault="00656BF7" w:rsidP="00387350">
            <w:pPr>
              <w:pStyle w:val="NormalWeb"/>
              <w:jc w:val="both"/>
            </w:pPr>
            <w:r w:rsidRPr="00375D9E">
              <w:t>Fuente</w:t>
            </w:r>
          </w:p>
        </w:tc>
        <w:tc>
          <w:tcPr>
            <w:tcW w:w="825" w:type="dxa"/>
            <w:vAlign w:val="bottom"/>
            <w:hideMark/>
          </w:tcPr>
          <w:p w:rsidR="00656BF7" w:rsidRPr="00375D9E" w:rsidRDefault="00656BF7" w:rsidP="00387350">
            <w:pPr>
              <w:pStyle w:val="NormalWeb"/>
              <w:jc w:val="both"/>
            </w:pPr>
            <w:r w:rsidRPr="00375D9E">
              <w:t>WEO</w:t>
            </w:r>
          </w:p>
          <w:p w:rsidR="00656BF7" w:rsidRPr="00375D9E" w:rsidRDefault="00656BF7" w:rsidP="00387350">
            <w:pPr>
              <w:pStyle w:val="NormalWeb"/>
              <w:jc w:val="both"/>
            </w:pPr>
            <w:r w:rsidRPr="00375D9E">
              <w:t>(2010)</w:t>
            </w:r>
          </w:p>
        </w:tc>
        <w:tc>
          <w:tcPr>
            <w:tcW w:w="900" w:type="dxa"/>
            <w:vAlign w:val="bottom"/>
            <w:hideMark/>
          </w:tcPr>
          <w:p w:rsidR="00656BF7" w:rsidRPr="00375D9E" w:rsidRDefault="00656BF7" w:rsidP="00387350">
            <w:pPr>
              <w:pStyle w:val="NormalWeb"/>
              <w:jc w:val="both"/>
            </w:pPr>
            <w:r w:rsidRPr="00375D9E">
              <w:t>WEO</w:t>
            </w:r>
          </w:p>
          <w:p w:rsidR="00656BF7" w:rsidRPr="00375D9E" w:rsidRDefault="00656BF7" w:rsidP="00387350">
            <w:pPr>
              <w:pStyle w:val="NormalWeb"/>
              <w:jc w:val="both"/>
            </w:pPr>
            <w:r w:rsidRPr="00375D9E">
              <w:t>(2010)</w:t>
            </w:r>
          </w:p>
        </w:tc>
        <w:tc>
          <w:tcPr>
            <w:tcW w:w="1035" w:type="dxa"/>
            <w:vAlign w:val="bottom"/>
            <w:hideMark/>
          </w:tcPr>
          <w:p w:rsidR="00656BF7" w:rsidRPr="00375D9E" w:rsidRDefault="00656BF7" w:rsidP="00387350">
            <w:pPr>
              <w:pStyle w:val="NormalWeb"/>
              <w:jc w:val="both"/>
            </w:pPr>
            <w:r w:rsidRPr="00375D9E">
              <w:t>WEO</w:t>
            </w:r>
          </w:p>
          <w:p w:rsidR="00656BF7" w:rsidRPr="00375D9E" w:rsidRDefault="00656BF7" w:rsidP="00387350">
            <w:pPr>
              <w:pStyle w:val="NormalWeb"/>
              <w:jc w:val="both"/>
            </w:pPr>
            <w:r w:rsidRPr="00375D9E">
              <w:t>(2011)</w:t>
            </w:r>
          </w:p>
        </w:tc>
        <w:tc>
          <w:tcPr>
            <w:tcW w:w="1215" w:type="dxa"/>
            <w:vAlign w:val="bottom"/>
            <w:hideMark/>
          </w:tcPr>
          <w:p w:rsidR="00656BF7" w:rsidRPr="00375D9E" w:rsidRDefault="00656BF7" w:rsidP="00387350">
            <w:pPr>
              <w:pStyle w:val="NormalWeb"/>
              <w:jc w:val="both"/>
            </w:pPr>
            <w:r w:rsidRPr="00375D9E">
              <w:t>WEO 2010</w:t>
            </w:r>
          </w:p>
        </w:tc>
        <w:tc>
          <w:tcPr>
            <w:tcW w:w="1080" w:type="dxa"/>
            <w:vAlign w:val="bottom"/>
            <w:hideMark/>
          </w:tcPr>
          <w:p w:rsidR="00656BF7" w:rsidRPr="00375D9E" w:rsidRDefault="00656BF7" w:rsidP="00387350">
            <w:pPr>
              <w:pStyle w:val="NormalWeb"/>
              <w:jc w:val="both"/>
            </w:pPr>
            <w:r w:rsidRPr="00375D9E">
              <w:t>WEO 2010</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lastRenderedPageBreak/>
              <w:t>Alemania</w:t>
            </w:r>
          </w:p>
        </w:tc>
        <w:tc>
          <w:tcPr>
            <w:tcW w:w="825" w:type="dxa"/>
            <w:noWrap/>
            <w:vAlign w:val="bottom"/>
            <w:hideMark/>
          </w:tcPr>
          <w:p w:rsidR="00656BF7" w:rsidRPr="00375D9E" w:rsidRDefault="00656BF7" w:rsidP="00387350">
            <w:pPr>
              <w:pStyle w:val="NormalWeb"/>
              <w:jc w:val="both"/>
            </w:pPr>
            <w:r w:rsidRPr="00375D9E">
              <w:t>-3.3</w:t>
            </w:r>
          </w:p>
        </w:tc>
        <w:tc>
          <w:tcPr>
            <w:tcW w:w="900" w:type="dxa"/>
            <w:noWrap/>
            <w:vAlign w:val="bottom"/>
            <w:hideMark/>
          </w:tcPr>
          <w:p w:rsidR="00656BF7" w:rsidRPr="00375D9E" w:rsidRDefault="00656BF7" w:rsidP="00387350">
            <w:pPr>
              <w:pStyle w:val="NormalWeb"/>
              <w:jc w:val="both"/>
            </w:pPr>
            <w:r w:rsidRPr="00375D9E">
              <w:t>-1.2</w:t>
            </w:r>
          </w:p>
        </w:tc>
        <w:tc>
          <w:tcPr>
            <w:tcW w:w="1035" w:type="dxa"/>
            <w:noWrap/>
            <w:vAlign w:val="bottom"/>
            <w:hideMark/>
          </w:tcPr>
          <w:p w:rsidR="00656BF7" w:rsidRPr="00375D9E" w:rsidRDefault="00656BF7" w:rsidP="00387350">
            <w:pPr>
              <w:pStyle w:val="NormalWeb"/>
              <w:jc w:val="both"/>
            </w:pPr>
            <w:r w:rsidRPr="00375D9E">
              <w:t>0.4</w:t>
            </w:r>
          </w:p>
        </w:tc>
        <w:tc>
          <w:tcPr>
            <w:tcW w:w="1215" w:type="dxa"/>
            <w:noWrap/>
            <w:vAlign w:val="bottom"/>
            <w:hideMark/>
          </w:tcPr>
          <w:p w:rsidR="00656BF7" w:rsidRPr="00375D9E" w:rsidRDefault="00656BF7" w:rsidP="00387350">
            <w:pPr>
              <w:pStyle w:val="NormalWeb"/>
              <w:jc w:val="both"/>
            </w:pPr>
            <w:r w:rsidRPr="00375D9E">
              <w:t>84</w:t>
            </w:r>
          </w:p>
        </w:tc>
        <w:tc>
          <w:tcPr>
            <w:tcW w:w="1080" w:type="dxa"/>
            <w:noWrap/>
            <w:vAlign w:val="bottom"/>
            <w:hideMark/>
          </w:tcPr>
          <w:p w:rsidR="00656BF7" w:rsidRPr="00375D9E" w:rsidRDefault="00656BF7" w:rsidP="00387350">
            <w:pPr>
              <w:pStyle w:val="NormalWeb"/>
              <w:jc w:val="both"/>
            </w:pPr>
            <w:r w:rsidRPr="00375D9E">
              <w:t>58</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Italia</w:t>
            </w:r>
          </w:p>
        </w:tc>
        <w:tc>
          <w:tcPr>
            <w:tcW w:w="825" w:type="dxa"/>
            <w:noWrap/>
            <w:vAlign w:val="bottom"/>
            <w:hideMark/>
          </w:tcPr>
          <w:p w:rsidR="00656BF7" w:rsidRPr="00375D9E" w:rsidRDefault="00656BF7" w:rsidP="00387350">
            <w:pPr>
              <w:pStyle w:val="NormalWeb"/>
              <w:jc w:val="both"/>
            </w:pPr>
            <w:r w:rsidRPr="00375D9E">
              <w:t>-4.5</w:t>
            </w:r>
          </w:p>
        </w:tc>
        <w:tc>
          <w:tcPr>
            <w:tcW w:w="900" w:type="dxa"/>
            <w:noWrap/>
            <w:vAlign w:val="bottom"/>
            <w:hideMark/>
          </w:tcPr>
          <w:p w:rsidR="00656BF7" w:rsidRPr="00375D9E" w:rsidRDefault="00656BF7" w:rsidP="00387350">
            <w:pPr>
              <w:pStyle w:val="NormalWeb"/>
              <w:jc w:val="both"/>
            </w:pPr>
            <w:r w:rsidRPr="00375D9E">
              <w:t>-0.3</w:t>
            </w:r>
          </w:p>
        </w:tc>
        <w:tc>
          <w:tcPr>
            <w:tcW w:w="1035" w:type="dxa"/>
            <w:noWrap/>
            <w:vAlign w:val="bottom"/>
            <w:hideMark/>
          </w:tcPr>
          <w:p w:rsidR="00656BF7" w:rsidRPr="00375D9E" w:rsidRDefault="00656BF7" w:rsidP="00387350">
            <w:pPr>
              <w:pStyle w:val="NormalWeb"/>
              <w:jc w:val="both"/>
            </w:pPr>
            <w:r w:rsidRPr="00375D9E">
              <w:t>0.5</w:t>
            </w:r>
          </w:p>
        </w:tc>
        <w:tc>
          <w:tcPr>
            <w:tcW w:w="1215" w:type="dxa"/>
            <w:noWrap/>
            <w:vAlign w:val="bottom"/>
            <w:hideMark/>
          </w:tcPr>
          <w:p w:rsidR="00656BF7" w:rsidRPr="00375D9E" w:rsidRDefault="00656BF7" w:rsidP="00387350">
            <w:pPr>
              <w:pStyle w:val="NormalWeb"/>
              <w:jc w:val="both"/>
            </w:pPr>
            <w:r w:rsidRPr="00375D9E">
              <w:t>119</w:t>
            </w:r>
          </w:p>
        </w:tc>
        <w:tc>
          <w:tcPr>
            <w:tcW w:w="1080" w:type="dxa"/>
            <w:noWrap/>
            <w:vAlign w:val="bottom"/>
            <w:hideMark/>
          </w:tcPr>
          <w:p w:rsidR="00656BF7" w:rsidRPr="00375D9E" w:rsidRDefault="00656BF7" w:rsidP="00387350">
            <w:pPr>
              <w:pStyle w:val="NormalWeb"/>
              <w:jc w:val="both"/>
            </w:pPr>
            <w:r w:rsidRPr="00375D9E">
              <w:t>99</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España</w:t>
            </w:r>
          </w:p>
        </w:tc>
        <w:tc>
          <w:tcPr>
            <w:tcW w:w="825" w:type="dxa"/>
            <w:noWrap/>
            <w:vAlign w:val="bottom"/>
            <w:hideMark/>
          </w:tcPr>
          <w:p w:rsidR="00656BF7" w:rsidRPr="00375D9E" w:rsidRDefault="00656BF7" w:rsidP="00387350">
            <w:pPr>
              <w:pStyle w:val="NormalWeb"/>
              <w:jc w:val="both"/>
            </w:pPr>
            <w:r w:rsidRPr="00375D9E">
              <w:t>-9.2</w:t>
            </w:r>
          </w:p>
        </w:tc>
        <w:tc>
          <w:tcPr>
            <w:tcW w:w="900" w:type="dxa"/>
            <w:noWrap/>
            <w:vAlign w:val="bottom"/>
            <w:hideMark/>
          </w:tcPr>
          <w:p w:rsidR="00656BF7" w:rsidRPr="00375D9E" w:rsidRDefault="00656BF7" w:rsidP="00387350">
            <w:pPr>
              <w:pStyle w:val="NormalWeb"/>
              <w:jc w:val="both"/>
            </w:pPr>
            <w:r w:rsidRPr="00375D9E">
              <w:t>-7.8</w:t>
            </w:r>
          </w:p>
        </w:tc>
        <w:tc>
          <w:tcPr>
            <w:tcW w:w="1035" w:type="dxa"/>
            <w:noWrap/>
            <w:vAlign w:val="bottom"/>
            <w:hideMark/>
          </w:tcPr>
          <w:p w:rsidR="00656BF7" w:rsidRPr="00375D9E" w:rsidRDefault="00656BF7" w:rsidP="00387350">
            <w:pPr>
              <w:pStyle w:val="NormalWeb"/>
              <w:jc w:val="both"/>
            </w:pPr>
            <w:r w:rsidRPr="00375D9E">
              <w:t>-4.4</w:t>
            </w:r>
          </w:p>
        </w:tc>
        <w:tc>
          <w:tcPr>
            <w:tcW w:w="1215" w:type="dxa"/>
            <w:noWrap/>
            <w:vAlign w:val="bottom"/>
            <w:hideMark/>
          </w:tcPr>
          <w:p w:rsidR="00656BF7" w:rsidRPr="00375D9E" w:rsidRDefault="00656BF7" w:rsidP="00387350">
            <w:pPr>
              <w:pStyle w:val="NormalWeb"/>
              <w:jc w:val="both"/>
            </w:pPr>
            <w:r w:rsidRPr="00375D9E">
              <w:t>60</w:t>
            </w:r>
          </w:p>
        </w:tc>
        <w:tc>
          <w:tcPr>
            <w:tcW w:w="1080" w:type="dxa"/>
            <w:noWrap/>
            <w:vAlign w:val="bottom"/>
            <w:hideMark/>
          </w:tcPr>
          <w:p w:rsidR="00656BF7" w:rsidRPr="00375D9E" w:rsidRDefault="00656BF7" w:rsidP="00387350">
            <w:pPr>
              <w:pStyle w:val="NormalWeb"/>
              <w:jc w:val="both"/>
            </w:pPr>
            <w:r w:rsidRPr="00375D9E">
              <w:t>49</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Francia</w:t>
            </w:r>
          </w:p>
        </w:tc>
        <w:tc>
          <w:tcPr>
            <w:tcW w:w="825" w:type="dxa"/>
            <w:noWrap/>
            <w:vAlign w:val="bottom"/>
            <w:hideMark/>
          </w:tcPr>
          <w:p w:rsidR="00656BF7" w:rsidRPr="00375D9E" w:rsidRDefault="00656BF7" w:rsidP="00387350">
            <w:pPr>
              <w:pStyle w:val="NormalWeb"/>
              <w:jc w:val="both"/>
            </w:pPr>
            <w:r w:rsidRPr="00375D9E">
              <w:t>-7.1</w:t>
            </w:r>
          </w:p>
        </w:tc>
        <w:tc>
          <w:tcPr>
            <w:tcW w:w="900" w:type="dxa"/>
            <w:noWrap/>
            <w:vAlign w:val="bottom"/>
            <w:hideMark/>
          </w:tcPr>
          <w:p w:rsidR="00656BF7" w:rsidRPr="00375D9E" w:rsidRDefault="00656BF7" w:rsidP="00387350">
            <w:pPr>
              <w:pStyle w:val="NormalWeb"/>
              <w:jc w:val="both"/>
            </w:pPr>
            <w:r w:rsidRPr="00375D9E">
              <w:t>-4.9</w:t>
            </w:r>
          </w:p>
        </w:tc>
        <w:tc>
          <w:tcPr>
            <w:tcW w:w="1035" w:type="dxa"/>
            <w:noWrap/>
            <w:vAlign w:val="bottom"/>
            <w:hideMark/>
          </w:tcPr>
          <w:p w:rsidR="00656BF7" w:rsidRPr="00375D9E" w:rsidRDefault="00656BF7" w:rsidP="00387350">
            <w:pPr>
              <w:pStyle w:val="NormalWeb"/>
              <w:jc w:val="both"/>
            </w:pPr>
            <w:r w:rsidRPr="00375D9E">
              <w:t>-3.4</w:t>
            </w:r>
          </w:p>
        </w:tc>
        <w:tc>
          <w:tcPr>
            <w:tcW w:w="1215" w:type="dxa"/>
            <w:noWrap/>
            <w:vAlign w:val="bottom"/>
            <w:hideMark/>
          </w:tcPr>
          <w:p w:rsidR="00656BF7" w:rsidRPr="00375D9E" w:rsidRDefault="00656BF7" w:rsidP="00387350">
            <w:pPr>
              <w:pStyle w:val="NormalWeb"/>
              <w:jc w:val="both"/>
            </w:pPr>
            <w:r w:rsidRPr="00375D9E">
              <w:t>82</w:t>
            </w:r>
          </w:p>
        </w:tc>
        <w:tc>
          <w:tcPr>
            <w:tcW w:w="1080" w:type="dxa"/>
            <w:noWrap/>
            <w:vAlign w:val="bottom"/>
            <w:hideMark/>
          </w:tcPr>
          <w:p w:rsidR="00656BF7" w:rsidRPr="00375D9E" w:rsidRDefault="00656BF7" w:rsidP="00387350">
            <w:pPr>
              <w:pStyle w:val="NormalWeb"/>
              <w:jc w:val="both"/>
            </w:pPr>
            <w:r w:rsidRPr="00375D9E">
              <w:t>77</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Grecia</w:t>
            </w:r>
          </w:p>
        </w:tc>
        <w:tc>
          <w:tcPr>
            <w:tcW w:w="825" w:type="dxa"/>
            <w:noWrap/>
            <w:vAlign w:val="bottom"/>
            <w:hideMark/>
          </w:tcPr>
          <w:p w:rsidR="00656BF7" w:rsidRPr="00375D9E" w:rsidRDefault="00656BF7" w:rsidP="00387350">
            <w:pPr>
              <w:pStyle w:val="NormalWeb"/>
              <w:jc w:val="both"/>
            </w:pPr>
            <w:r w:rsidRPr="00375D9E">
              <w:t>-10.4</w:t>
            </w:r>
          </w:p>
        </w:tc>
        <w:tc>
          <w:tcPr>
            <w:tcW w:w="900" w:type="dxa"/>
            <w:noWrap/>
            <w:vAlign w:val="bottom"/>
            <w:hideMark/>
          </w:tcPr>
          <w:p w:rsidR="00656BF7" w:rsidRPr="00375D9E" w:rsidRDefault="00656BF7" w:rsidP="00387350">
            <w:pPr>
              <w:pStyle w:val="NormalWeb"/>
              <w:jc w:val="both"/>
            </w:pPr>
            <w:r w:rsidRPr="00375D9E">
              <w:t>-4.9</w:t>
            </w:r>
          </w:p>
        </w:tc>
        <w:tc>
          <w:tcPr>
            <w:tcW w:w="1035" w:type="dxa"/>
            <w:noWrap/>
            <w:vAlign w:val="bottom"/>
            <w:hideMark/>
          </w:tcPr>
          <w:p w:rsidR="00656BF7" w:rsidRPr="00375D9E" w:rsidRDefault="00656BF7" w:rsidP="00387350">
            <w:pPr>
              <w:pStyle w:val="NormalWeb"/>
              <w:jc w:val="both"/>
            </w:pPr>
            <w:r w:rsidRPr="00375D9E">
              <w:t>-1.3</w:t>
            </w:r>
          </w:p>
        </w:tc>
        <w:tc>
          <w:tcPr>
            <w:tcW w:w="1215" w:type="dxa"/>
            <w:noWrap/>
            <w:vAlign w:val="bottom"/>
            <w:hideMark/>
          </w:tcPr>
          <w:p w:rsidR="00656BF7" w:rsidRPr="00375D9E" w:rsidRDefault="00656BF7" w:rsidP="00387350">
            <w:pPr>
              <w:pStyle w:val="NormalWeb"/>
              <w:jc w:val="both"/>
            </w:pPr>
            <w:r w:rsidRPr="00375D9E">
              <w:t>143</w:t>
            </w:r>
          </w:p>
        </w:tc>
        <w:tc>
          <w:tcPr>
            <w:tcW w:w="1080" w:type="dxa"/>
            <w:noWrap/>
            <w:vAlign w:val="bottom"/>
            <w:hideMark/>
          </w:tcPr>
          <w:p w:rsidR="00656BF7" w:rsidRPr="00375D9E" w:rsidRDefault="00656BF7" w:rsidP="00387350">
            <w:pPr>
              <w:pStyle w:val="NormalWeb"/>
              <w:jc w:val="both"/>
            </w:pPr>
            <w:r w:rsidRPr="00375D9E">
              <w:t>143</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Portugal</w:t>
            </w:r>
          </w:p>
        </w:tc>
        <w:tc>
          <w:tcPr>
            <w:tcW w:w="825" w:type="dxa"/>
            <w:noWrap/>
            <w:vAlign w:val="bottom"/>
            <w:hideMark/>
          </w:tcPr>
          <w:p w:rsidR="00656BF7" w:rsidRPr="00375D9E" w:rsidRDefault="00656BF7" w:rsidP="00387350">
            <w:pPr>
              <w:pStyle w:val="NormalWeb"/>
              <w:jc w:val="both"/>
            </w:pPr>
            <w:r w:rsidRPr="00375D9E">
              <w:t>-4.5</w:t>
            </w:r>
          </w:p>
        </w:tc>
        <w:tc>
          <w:tcPr>
            <w:tcW w:w="900" w:type="dxa"/>
            <w:noWrap/>
            <w:vAlign w:val="bottom"/>
            <w:hideMark/>
          </w:tcPr>
          <w:p w:rsidR="00656BF7" w:rsidRPr="00375D9E" w:rsidRDefault="00656BF7" w:rsidP="00387350">
            <w:pPr>
              <w:pStyle w:val="NormalWeb"/>
              <w:jc w:val="both"/>
            </w:pPr>
            <w:r w:rsidRPr="00375D9E">
              <w:t>0.1</w:t>
            </w:r>
          </w:p>
        </w:tc>
        <w:tc>
          <w:tcPr>
            <w:tcW w:w="1035" w:type="dxa"/>
            <w:noWrap/>
            <w:vAlign w:val="bottom"/>
            <w:hideMark/>
          </w:tcPr>
          <w:p w:rsidR="00656BF7" w:rsidRPr="00375D9E" w:rsidRDefault="00656BF7" w:rsidP="00387350">
            <w:pPr>
              <w:pStyle w:val="NormalWeb"/>
              <w:jc w:val="both"/>
            </w:pPr>
            <w:r w:rsidRPr="00375D9E">
              <w:t>-1.9</w:t>
            </w:r>
          </w:p>
        </w:tc>
        <w:tc>
          <w:tcPr>
            <w:tcW w:w="1215" w:type="dxa"/>
            <w:noWrap/>
            <w:vAlign w:val="bottom"/>
            <w:hideMark/>
          </w:tcPr>
          <w:p w:rsidR="00656BF7" w:rsidRPr="00375D9E" w:rsidRDefault="00656BF7" w:rsidP="00387350">
            <w:pPr>
              <w:pStyle w:val="NormalWeb"/>
              <w:jc w:val="both"/>
            </w:pPr>
            <w:r w:rsidRPr="00375D9E">
              <w:t>112</w:t>
            </w:r>
          </w:p>
        </w:tc>
        <w:tc>
          <w:tcPr>
            <w:tcW w:w="1080" w:type="dxa"/>
            <w:noWrap/>
            <w:vAlign w:val="bottom"/>
            <w:hideMark/>
          </w:tcPr>
          <w:p w:rsidR="00656BF7" w:rsidRPr="00375D9E" w:rsidRDefault="00656BF7" w:rsidP="00387350">
            <w:pPr>
              <w:pStyle w:val="NormalWeb"/>
              <w:jc w:val="both"/>
            </w:pPr>
            <w:r w:rsidRPr="00375D9E">
              <w:t>108</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Irlanda</w:t>
            </w:r>
          </w:p>
        </w:tc>
        <w:tc>
          <w:tcPr>
            <w:tcW w:w="825" w:type="dxa"/>
            <w:noWrap/>
            <w:vAlign w:val="bottom"/>
            <w:hideMark/>
          </w:tcPr>
          <w:p w:rsidR="00656BF7" w:rsidRPr="00375D9E" w:rsidRDefault="00656BF7" w:rsidP="00387350">
            <w:pPr>
              <w:pStyle w:val="NormalWeb"/>
              <w:jc w:val="both"/>
            </w:pPr>
            <w:r w:rsidRPr="00375D9E">
              <w:t>-32.0</w:t>
            </w:r>
          </w:p>
        </w:tc>
        <w:tc>
          <w:tcPr>
            <w:tcW w:w="900" w:type="dxa"/>
            <w:noWrap/>
            <w:vAlign w:val="bottom"/>
            <w:hideMark/>
          </w:tcPr>
          <w:p w:rsidR="00656BF7" w:rsidRPr="00375D9E" w:rsidRDefault="00656BF7" w:rsidP="00387350">
            <w:pPr>
              <w:pStyle w:val="NormalWeb"/>
              <w:jc w:val="both"/>
            </w:pPr>
            <w:r w:rsidRPr="00375D9E">
              <w:t>-28.9</w:t>
            </w:r>
          </w:p>
        </w:tc>
        <w:tc>
          <w:tcPr>
            <w:tcW w:w="1035" w:type="dxa"/>
            <w:noWrap/>
            <w:vAlign w:val="bottom"/>
            <w:hideMark/>
          </w:tcPr>
          <w:p w:rsidR="00656BF7" w:rsidRPr="00375D9E" w:rsidRDefault="00656BF7" w:rsidP="00387350">
            <w:pPr>
              <w:pStyle w:val="NormalWeb"/>
              <w:jc w:val="both"/>
            </w:pPr>
            <w:r w:rsidRPr="00375D9E">
              <w:t>-6.8</w:t>
            </w:r>
          </w:p>
        </w:tc>
        <w:tc>
          <w:tcPr>
            <w:tcW w:w="1215" w:type="dxa"/>
            <w:noWrap/>
            <w:vAlign w:val="bottom"/>
            <w:hideMark/>
          </w:tcPr>
          <w:p w:rsidR="00656BF7" w:rsidRPr="00375D9E" w:rsidRDefault="00656BF7" w:rsidP="00387350">
            <w:pPr>
              <w:pStyle w:val="NormalWeb"/>
              <w:jc w:val="both"/>
            </w:pPr>
            <w:r w:rsidRPr="00375D9E">
              <w:t>95</w:t>
            </w:r>
          </w:p>
        </w:tc>
        <w:tc>
          <w:tcPr>
            <w:tcW w:w="1080" w:type="dxa"/>
            <w:noWrap/>
            <w:vAlign w:val="bottom"/>
            <w:hideMark/>
          </w:tcPr>
          <w:p w:rsidR="00656BF7" w:rsidRPr="00375D9E" w:rsidRDefault="00656BF7" w:rsidP="00387350">
            <w:pPr>
              <w:pStyle w:val="NormalWeb"/>
              <w:jc w:val="both"/>
            </w:pPr>
            <w:r w:rsidRPr="00375D9E">
              <w:t>78</w:t>
            </w:r>
          </w:p>
        </w:tc>
      </w:tr>
    </w:tbl>
    <w:p w:rsidR="00656BF7" w:rsidRDefault="00656BF7" w:rsidP="00387350">
      <w:pPr>
        <w:pStyle w:val="NormalWeb"/>
        <w:jc w:val="both"/>
      </w:pPr>
      <w:r w:rsidRPr="00375D9E">
        <w:t>La tabla 1 muestra que, entre los países centrales, España y Francia tienen un gran déficit fiscal, mientras que Italia a pesar de tener un déficit primario pequeño tiene un déficit fiscal del 4.5% del PIB como consecuencia de su abultada deuda externa. En todos los casos el FMI prevé fuertes ajustes fiscales para el 2011, que no sabemos si serán efectivizados.</w:t>
      </w:r>
    </w:p>
    <w:p w:rsidR="00656BF7" w:rsidRPr="00375D9E" w:rsidRDefault="00656BF7" w:rsidP="00387350">
      <w:pPr>
        <w:pStyle w:val="NormalWeb"/>
        <w:jc w:val="both"/>
      </w:pPr>
      <w:r w:rsidRPr="00375D9E">
        <w:t>Tabla 2. Tasa de interés media y marginal</w:t>
      </w:r>
    </w:p>
    <w:tbl>
      <w:tblPr>
        <w:tblW w:w="3510" w:type="dxa"/>
        <w:tblCellSpacing w:w="0" w:type="dxa"/>
        <w:tblCellMar>
          <w:left w:w="0" w:type="dxa"/>
          <w:right w:w="0" w:type="dxa"/>
        </w:tblCellMar>
        <w:tblLook w:val="04A0" w:firstRow="1" w:lastRow="0" w:firstColumn="1" w:lastColumn="0" w:noHBand="0" w:noVBand="1"/>
      </w:tblPr>
      <w:tblGrid>
        <w:gridCol w:w="1260"/>
        <w:gridCol w:w="1350"/>
        <w:gridCol w:w="900"/>
      </w:tblGrid>
      <w:tr w:rsidR="00656BF7" w:rsidRPr="00375D9E" w:rsidTr="00055DEF">
        <w:trPr>
          <w:tblCellSpacing w:w="0" w:type="dxa"/>
        </w:trPr>
        <w:tc>
          <w:tcPr>
            <w:tcW w:w="1260" w:type="dxa"/>
            <w:noWrap/>
            <w:vAlign w:val="center"/>
            <w:hideMark/>
          </w:tcPr>
          <w:p w:rsidR="00656BF7" w:rsidRPr="00375D9E" w:rsidRDefault="00656BF7" w:rsidP="00387350">
            <w:pPr>
              <w:spacing w:line="240" w:lineRule="auto"/>
              <w:jc w:val="both"/>
              <w:rPr>
                <w:rFonts w:ascii="Times New Roman" w:hAnsi="Times New Roman"/>
                <w:sz w:val="24"/>
                <w:szCs w:val="24"/>
              </w:rPr>
            </w:pPr>
          </w:p>
        </w:tc>
        <w:tc>
          <w:tcPr>
            <w:tcW w:w="1350" w:type="dxa"/>
            <w:vAlign w:val="center"/>
            <w:hideMark/>
          </w:tcPr>
          <w:p w:rsidR="00656BF7" w:rsidRPr="00375D9E" w:rsidRDefault="00656BF7" w:rsidP="00387350">
            <w:pPr>
              <w:pStyle w:val="NormalWeb"/>
              <w:jc w:val="both"/>
            </w:pPr>
            <w:r w:rsidRPr="00375D9E">
              <w:rPr>
                <w:rStyle w:val="Textoennegrita"/>
                <w:rFonts w:eastAsiaTheme="majorEastAsia"/>
              </w:rPr>
              <w:t>Interés Marginal (10 años)</w:t>
            </w:r>
          </w:p>
        </w:tc>
        <w:tc>
          <w:tcPr>
            <w:tcW w:w="900" w:type="dxa"/>
            <w:vAlign w:val="center"/>
            <w:hideMark/>
          </w:tcPr>
          <w:p w:rsidR="00656BF7" w:rsidRPr="00375D9E" w:rsidRDefault="00656BF7" w:rsidP="00387350">
            <w:pPr>
              <w:pStyle w:val="NormalWeb"/>
              <w:jc w:val="both"/>
            </w:pPr>
            <w:r w:rsidRPr="00375D9E">
              <w:rPr>
                <w:rStyle w:val="Textoennegrita"/>
                <w:rFonts w:eastAsiaTheme="majorEastAsia"/>
              </w:rPr>
              <w:t>Interés Medio</w:t>
            </w:r>
          </w:p>
        </w:tc>
      </w:tr>
      <w:tr w:rsidR="00656BF7" w:rsidRPr="00375D9E" w:rsidTr="00055DEF">
        <w:trPr>
          <w:tblCellSpacing w:w="0" w:type="dxa"/>
        </w:trPr>
        <w:tc>
          <w:tcPr>
            <w:tcW w:w="1260" w:type="dxa"/>
            <w:vAlign w:val="bottom"/>
            <w:hideMark/>
          </w:tcPr>
          <w:p w:rsidR="00656BF7" w:rsidRPr="00375D9E" w:rsidRDefault="00656BF7" w:rsidP="00387350">
            <w:pPr>
              <w:pStyle w:val="NormalWeb"/>
              <w:jc w:val="both"/>
            </w:pPr>
            <w:r w:rsidRPr="00375D9E">
              <w:t>Fuente</w:t>
            </w:r>
          </w:p>
        </w:tc>
        <w:tc>
          <w:tcPr>
            <w:tcW w:w="1350" w:type="dxa"/>
            <w:vAlign w:val="bottom"/>
            <w:hideMark/>
          </w:tcPr>
          <w:p w:rsidR="00656BF7" w:rsidRPr="00375D9E" w:rsidRDefault="00656BF7" w:rsidP="00387350">
            <w:pPr>
              <w:pStyle w:val="NormalWeb"/>
              <w:jc w:val="both"/>
            </w:pPr>
            <w:r w:rsidRPr="00375D9E">
              <w:t>FT (nov 21)</w:t>
            </w:r>
          </w:p>
        </w:tc>
        <w:tc>
          <w:tcPr>
            <w:tcW w:w="900" w:type="dxa"/>
            <w:noWrap/>
            <w:vAlign w:val="bottom"/>
            <w:hideMark/>
          </w:tcPr>
          <w:p w:rsidR="00656BF7" w:rsidRPr="00375D9E" w:rsidRDefault="00656BF7" w:rsidP="00387350">
            <w:pPr>
              <w:spacing w:line="240" w:lineRule="auto"/>
              <w:jc w:val="both"/>
              <w:rPr>
                <w:rFonts w:ascii="Times New Roman" w:hAnsi="Times New Roman"/>
                <w:sz w:val="24"/>
                <w:szCs w:val="24"/>
              </w:rPr>
            </w:pP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Alemania</w:t>
            </w:r>
          </w:p>
        </w:tc>
        <w:tc>
          <w:tcPr>
            <w:tcW w:w="1350" w:type="dxa"/>
            <w:noWrap/>
            <w:vAlign w:val="bottom"/>
            <w:hideMark/>
          </w:tcPr>
          <w:p w:rsidR="00656BF7" w:rsidRPr="00375D9E" w:rsidRDefault="00656BF7" w:rsidP="00387350">
            <w:pPr>
              <w:pStyle w:val="NormalWeb"/>
              <w:jc w:val="both"/>
            </w:pPr>
            <w:r w:rsidRPr="00375D9E">
              <w:t>1.9%</w:t>
            </w:r>
          </w:p>
        </w:tc>
        <w:tc>
          <w:tcPr>
            <w:tcW w:w="900" w:type="dxa"/>
            <w:noWrap/>
            <w:vAlign w:val="bottom"/>
            <w:hideMark/>
          </w:tcPr>
          <w:p w:rsidR="00656BF7" w:rsidRPr="00375D9E" w:rsidRDefault="00656BF7" w:rsidP="00387350">
            <w:pPr>
              <w:pStyle w:val="NormalWeb"/>
              <w:jc w:val="both"/>
            </w:pPr>
            <w:r w:rsidRPr="00375D9E">
              <w:t>3.8%</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Italia</w:t>
            </w:r>
          </w:p>
        </w:tc>
        <w:tc>
          <w:tcPr>
            <w:tcW w:w="1350" w:type="dxa"/>
            <w:noWrap/>
            <w:vAlign w:val="bottom"/>
            <w:hideMark/>
          </w:tcPr>
          <w:p w:rsidR="00656BF7" w:rsidRPr="00375D9E" w:rsidRDefault="00656BF7" w:rsidP="00387350">
            <w:pPr>
              <w:pStyle w:val="NormalWeb"/>
              <w:jc w:val="both"/>
            </w:pPr>
            <w:r w:rsidRPr="00375D9E">
              <w:t>6.7%</w:t>
            </w:r>
          </w:p>
        </w:tc>
        <w:tc>
          <w:tcPr>
            <w:tcW w:w="900" w:type="dxa"/>
            <w:noWrap/>
            <w:vAlign w:val="bottom"/>
            <w:hideMark/>
          </w:tcPr>
          <w:p w:rsidR="00656BF7" w:rsidRPr="00375D9E" w:rsidRDefault="00656BF7" w:rsidP="00387350">
            <w:pPr>
              <w:pStyle w:val="NormalWeb"/>
              <w:jc w:val="both"/>
            </w:pPr>
            <w:r w:rsidRPr="00375D9E">
              <w:t>4.3%</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España</w:t>
            </w:r>
          </w:p>
        </w:tc>
        <w:tc>
          <w:tcPr>
            <w:tcW w:w="1350" w:type="dxa"/>
            <w:noWrap/>
            <w:vAlign w:val="bottom"/>
            <w:hideMark/>
          </w:tcPr>
          <w:p w:rsidR="00656BF7" w:rsidRPr="00375D9E" w:rsidRDefault="00656BF7" w:rsidP="00387350">
            <w:pPr>
              <w:pStyle w:val="NormalWeb"/>
              <w:jc w:val="both"/>
            </w:pPr>
            <w:r w:rsidRPr="00375D9E">
              <w:t>6.6%</w:t>
            </w:r>
          </w:p>
        </w:tc>
        <w:tc>
          <w:tcPr>
            <w:tcW w:w="900" w:type="dxa"/>
            <w:noWrap/>
            <w:vAlign w:val="bottom"/>
            <w:hideMark/>
          </w:tcPr>
          <w:p w:rsidR="00656BF7" w:rsidRPr="00375D9E" w:rsidRDefault="00656BF7" w:rsidP="00387350">
            <w:pPr>
              <w:pStyle w:val="NormalWeb"/>
              <w:jc w:val="both"/>
            </w:pPr>
            <w:r w:rsidRPr="00375D9E">
              <w:t>3.3%</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Francia</w:t>
            </w:r>
          </w:p>
        </w:tc>
        <w:tc>
          <w:tcPr>
            <w:tcW w:w="1350" w:type="dxa"/>
            <w:noWrap/>
            <w:vAlign w:val="bottom"/>
            <w:hideMark/>
          </w:tcPr>
          <w:p w:rsidR="00656BF7" w:rsidRPr="00375D9E" w:rsidRDefault="00656BF7" w:rsidP="00387350">
            <w:pPr>
              <w:pStyle w:val="NormalWeb"/>
              <w:jc w:val="both"/>
            </w:pPr>
            <w:r w:rsidRPr="00375D9E">
              <w:t>3.5%</w:t>
            </w:r>
          </w:p>
        </w:tc>
        <w:tc>
          <w:tcPr>
            <w:tcW w:w="900" w:type="dxa"/>
            <w:noWrap/>
            <w:vAlign w:val="bottom"/>
            <w:hideMark/>
          </w:tcPr>
          <w:p w:rsidR="00656BF7" w:rsidRPr="00375D9E" w:rsidRDefault="00656BF7" w:rsidP="00387350">
            <w:pPr>
              <w:pStyle w:val="NormalWeb"/>
              <w:jc w:val="both"/>
            </w:pPr>
            <w:r w:rsidRPr="00375D9E">
              <w:t>3.1%</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Grecia</w:t>
            </w:r>
          </w:p>
        </w:tc>
        <w:tc>
          <w:tcPr>
            <w:tcW w:w="1350" w:type="dxa"/>
            <w:noWrap/>
            <w:vAlign w:val="bottom"/>
            <w:hideMark/>
          </w:tcPr>
          <w:p w:rsidR="00656BF7" w:rsidRPr="00375D9E" w:rsidRDefault="00656BF7" w:rsidP="00387350">
            <w:pPr>
              <w:pStyle w:val="NormalWeb"/>
              <w:jc w:val="both"/>
            </w:pPr>
            <w:r w:rsidRPr="00375D9E">
              <w:t>26.3%</w:t>
            </w:r>
          </w:p>
        </w:tc>
        <w:tc>
          <w:tcPr>
            <w:tcW w:w="900" w:type="dxa"/>
            <w:noWrap/>
            <w:vAlign w:val="bottom"/>
            <w:hideMark/>
          </w:tcPr>
          <w:p w:rsidR="00656BF7" w:rsidRPr="00375D9E" w:rsidRDefault="00656BF7" w:rsidP="00387350">
            <w:pPr>
              <w:pStyle w:val="NormalWeb"/>
              <w:jc w:val="both"/>
            </w:pPr>
            <w:r w:rsidRPr="00375D9E">
              <w:t>4.3%</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Portugal</w:t>
            </w:r>
          </w:p>
        </w:tc>
        <w:tc>
          <w:tcPr>
            <w:tcW w:w="1350" w:type="dxa"/>
            <w:noWrap/>
            <w:vAlign w:val="bottom"/>
            <w:hideMark/>
          </w:tcPr>
          <w:p w:rsidR="00656BF7" w:rsidRPr="00375D9E" w:rsidRDefault="00656BF7" w:rsidP="00387350">
            <w:pPr>
              <w:pStyle w:val="NormalWeb"/>
              <w:jc w:val="both"/>
            </w:pPr>
            <w:r w:rsidRPr="00375D9E">
              <w:t>11.3%</w:t>
            </w:r>
          </w:p>
        </w:tc>
        <w:tc>
          <w:tcPr>
            <w:tcW w:w="900" w:type="dxa"/>
            <w:noWrap/>
            <w:vAlign w:val="bottom"/>
            <w:hideMark/>
          </w:tcPr>
          <w:p w:rsidR="00656BF7" w:rsidRPr="00375D9E" w:rsidRDefault="00656BF7" w:rsidP="00387350">
            <w:pPr>
              <w:pStyle w:val="NormalWeb"/>
              <w:jc w:val="both"/>
            </w:pPr>
            <w:r w:rsidRPr="00375D9E">
              <w:t>5.9%</w:t>
            </w:r>
          </w:p>
        </w:tc>
      </w:tr>
      <w:tr w:rsidR="00656BF7" w:rsidRPr="00375D9E" w:rsidTr="00055DEF">
        <w:trPr>
          <w:tblCellSpacing w:w="0" w:type="dxa"/>
        </w:trPr>
        <w:tc>
          <w:tcPr>
            <w:tcW w:w="1260"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Irlanda</w:t>
            </w:r>
          </w:p>
        </w:tc>
        <w:tc>
          <w:tcPr>
            <w:tcW w:w="1350" w:type="dxa"/>
            <w:noWrap/>
            <w:vAlign w:val="bottom"/>
            <w:hideMark/>
          </w:tcPr>
          <w:p w:rsidR="00656BF7" w:rsidRPr="00375D9E" w:rsidRDefault="00656BF7" w:rsidP="00387350">
            <w:pPr>
              <w:pStyle w:val="NormalWeb"/>
              <w:jc w:val="both"/>
            </w:pPr>
            <w:r w:rsidRPr="00375D9E">
              <w:t>8.4%</w:t>
            </w:r>
          </w:p>
        </w:tc>
        <w:tc>
          <w:tcPr>
            <w:tcW w:w="900" w:type="dxa"/>
            <w:noWrap/>
            <w:vAlign w:val="bottom"/>
            <w:hideMark/>
          </w:tcPr>
          <w:p w:rsidR="00656BF7" w:rsidRPr="00375D9E" w:rsidRDefault="00656BF7" w:rsidP="00387350">
            <w:pPr>
              <w:pStyle w:val="NormalWeb"/>
              <w:jc w:val="both"/>
            </w:pPr>
            <w:r w:rsidRPr="00375D9E">
              <w:t>7.4%</w:t>
            </w:r>
          </w:p>
        </w:tc>
      </w:tr>
    </w:tbl>
    <w:p w:rsidR="00656BF7" w:rsidRPr="00656BF7" w:rsidRDefault="00656BF7" w:rsidP="00387350">
      <w:pPr>
        <w:pStyle w:val="NormalWeb"/>
        <w:jc w:val="both"/>
      </w:pPr>
      <w:r w:rsidRPr="00375D9E">
        <w:t xml:space="preserve">La tabla 2 muestra las tasas de interés sobre la deuda vieja y la deuda nueva. La tasa de interés media la calculamos como la diferencia entre el déficit y el déficit primario dividida por la deuda neta del año anterior. La tasa de interés media sobre la deuda pública para los países grandes es cercana (o menor) al 4%. Esto es una buena noticia dado que la meta de inflación del BCE es 2% y la tasa neutra de crecimiento de largo plazo es 2%. </w:t>
      </w:r>
      <w:r w:rsidRPr="00656BF7">
        <w:t>A tasas de interés nominales menores al 4% cualquier nivel de deuda es sostenible! El problema es que la tasa de interés sobre la nueva deuda es mucho mayor para la mayoría de los países. Para Alemania es menor y Francia está en camino a converger a los niveles de Italia y España. A tasas superiores al 4%, es necesario un superávit primario para que la razón deuda-producto no explote.</w:t>
      </w:r>
    </w:p>
    <w:p w:rsidR="00D80E9A" w:rsidRPr="00375D9E" w:rsidRDefault="00656BF7" w:rsidP="00387350">
      <w:pPr>
        <w:pStyle w:val="NormalWeb"/>
        <w:jc w:val="both"/>
      </w:pPr>
      <w:r>
        <w:lastRenderedPageBreak/>
        <w:t>La tabla 4</w:t>
      </w:r>
      <w:r w:rsidRPr="00375D9E">
        <w:t xml:space="preserve"> muestra el ajuste necesario, en porcentaje del PIB, para que los distintos países alcancen el superávit mínimo necesario para la sustentabilidad fiscal, (r-g) b, para distintas tasas de interés. Consideramos la tasa media sobre la deuda existente, la tasa marginal vigente en el mercado, una tasa nominal del 5% (un posible techo a la tasa de interés impuesto por el BCE?) y una del 7% (que parecería ser un fetiche de la prensa financiera a la cual la deuda se hace insostenible). En este ejercicio tomamos la inflación esperada y la tasa de crecimiento esperada como 2%. Lo hacemos para el presupuesto 2010 y el proyectado para 2011.</w:t>
      </w:r>
    </w:p>
    <w:p w:rsidR="00656BF7" w:rsidRPr="00375D9E" w:rsidRDefault="00656BF7" w:rsidP="00387350">
      <w:pPr>
        <w:pStyle w:val="NormalWeb"/>
        <w:jc w:val="both"/>
      </w:pPr>
      <w:r w:rsidRPr="00375D9E">
        <w:t>Tabla 4. Ajuste fiscal necesario para sostener la deuda</w:t>
      </w:r>
    </w:p>
    <w:tbl>
      <w:tblPr>
        <w:tblW w:w="4845" w:type="dxa"/>
        <w:tblCellSpacing w:w="0" w:type="dxa"/>
        <w:tblCellMar>
          <w:left w:w="0" w:type="dxa"/>
          <w:right w:w="0" w:type="dxa"/>
        </w:tblCellMar>
        <w:tblLook w:val="04A0" w:firstRow="1" w:lastRow="0" w:firstColumn="1" w:lastColumn="0" w:noHBand="0" w:noVBand="1"/>
      </w:tblPr>
      <w:tblGrid>
        <w:gridCol w:w="1125"/>
        <w:gridCol w:w="1065"/>
        <w:gridCol w:w="675"/>
        <w:gridCol w:w="675"/>
        <w:gridCol w:w="1305"/>
      </w:tblGrid>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p>
        </w:tc>
        <w:tc>
          <w:tcPr>
            <w:tcW w:w="3720" w:type="dxa"/>
            <w:gridSpan w:val="4"/>
            <w:noWrap/>
            <w:vAlign w:val="bottom"/>
            <w:hideMark/>
          </w:tcPr>
          <w:p w:rsidR="00656BF7" w:rsidRPr="00375D9E" w:rsidRDefault="00656BF7" w:rsidP="00387350">
            <w:pPr>
              <w:pStyle w:val="NormalWeb"/>
              <w:jc w:val="both"/>
            </w:pPr>
            <w:r w:rsidRPr="00375D9E">
              <w:t>Ajuste base déficit proyectado 2011</w:t>
            </w:r>
          </w:p>
        </w:tc>
      </w:tr>
      <w:tr w:rsidR="00656BF7" w:rsidRPr="00375D9E" w:rsidTr="00055DEF">
        <w:trPr>
          <w:tblCellSpacing w:w="0" w:type="dxa"/>
        </w:trPr>
        <w:tc>
          <w:tcPr>
            <w:tcW w:w="1125" w:type="dxa"/>
            <w:vAlign w:val="center"/>
            <w:hideMark/>
          </w:tcPr>
          <w:p w:rsidR="00656BF7" w:rsidRPr="00375D9E" w:rsidRDefault="00656BF7" w:rsidP="00387350">
            <w:pPr>
              <w:pStyle w:val="NormalWeb"/>
              <w:jc w:val="both"/>
            </w:pPr>
            <w:r w:rsidRPr="00375D9E">
              <w:t>r =</w:t>
            </w:r>
          </w:p>
        </w:tc>
        <w:tc>
          <w:tcPr>
            <w:tcW w:w="1065" w:type="dxa"/>
            <w:noWrap/>
            <w:vAlign w:val="center"/>
            <w:hideMark/>
          </w:tcPr>
          <w:p w:rsidR="00656BF7" w:rsidRPr="00375D9E" w:rsidRDefault="00656BF7" w:rsidP="00387350">
            <w:pPr>
              <w:pStyle w:val="NormalWeb"/>
              <w:jc w:val="both"/>
            </w:pPr>
            <w:r w:rsidRPr="00375D9E">
              <w:t>r media</w:t>
            </w:r>
          </w:p>
        </w:tc>
        <w:tc>
          <w:tcPr>
            <w:tcW w:w="675" w:type="dxa"/>
            <w:noWrap/>
            <w:vAlign w:val="center"/>
            <w:hideMark/>
          </w:tcPr>
          <w:p w:rsidR="00656BF7" w:rsidRPr="00375D9E" w:rsidRDefault="00656BF7" w:rsidP="00387350">
            <w:pPr>
              <w:pStyle w:val="NormalWeb"/>
              <w:jc w:val="both"/>
            </w:pPr>
            <w:r w:rsidRPr="00375D9E">
              <w:t>3%</w:t>
            </w:r>
          </w:p>
        </w:tc>
        <w:tc>
          <w:tcPr>
            <w:tcW w:w="675" w:type="dxa"/>
            <w:noWrap/>
            <w:vAlign w:val="center"/>
            <w:hideMark/>
          </w:tcPr>
          <w:p w:rsidR="00656BF7" w:rsidRPr="00375D9E" w:rsidRDefault="00656BF7" w:rsidP="00387350">
            <w:pPr>
              <w:pStyle w:val="NormalWeb"/>
              <w:jc w:val="both"/>
            </w:pPr>
            <w:r w:rsidRPr="00375D9E">
              <w:t>5%</w:t>
            </w:r>
          </w:p>
        </w:tc>
        <w:tc>
          <w:tcPr>
            <w:tcW w:w="1305" w:type="dxa"/>
            <w:vAlign w:val="center"/>
            <w:hideMark/>
          </w:tcPr>
          <w:p w:rsidR="00656BF7" w:rsidRPr="00375D9E" w:rsidRDefault="00656BF7" w:rsidP="00387350">
            <w:pPr>
              <w:pStyle w:val="NormalWeb"/>
              <w:jc w:val="both"/>
            </w:pPr>
            <w:r w:rsidRPr="00375D9E">
              <w:t>r marginal</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Alemania</w:t>
            </w:r>
          </w:p>
        </w:tc>
        <w:tc>
          <w:tcPr>
            <w:tcW w:w="1065" w:type="dxa"/>
            <w:noWrap/>
            <w:vAlign w:val="bottom"/>
            <w:hideMark/>
          </w:tcPr>
          <w:p w:rsidR="00656BF7" w:rsidRPr="00375D9E" w:rsidRDefault="00656BF7" w:rsidP="00387350">
            <w:pPr>
              <w:pStyle w:val="NormalWeb"/>
              <w:jc w:val="both"/>
            </w:pPr>
            <w:r w:rsidRPr="00375D9E">
              <w:t>-0.5</w:t>
            </w:r>
          </w:p>
        </w:tc>
        <w:tc>
          <w:tcPr>
            <w:tcW w:w="675" w:type="dxa"/>
            <w:noWrap/>
            <w:vAlign w:val="bottom"/>
            <w:hideMark/>
          </w:tcPr>
          <w:p w:rsidR="00656BF7" w:rsidRPr="00375D9E" w:rsidRDefault="00656BF7" w:rsidP="00387350">
            <w:pPr>
              <w:pStyle w:val="NormalWeb"/>
              <w:jc w:val="both"/>
            </w:pPr>
            <w:r w:rsidRPr="00375D9E">
              <w:t>0.2</w:t>
            </w:r>
          </w:p>
        </w:tc>
        <w:tc>
          <w:tcPr>
            <w:tcW w:w="675" w:type="dxa"/>
            <w:noWrap/>
            <w:vAlign w:val="bottom"/>
            <w:hideMark/>
          </w:tcPr>
          <w:p w:rsidR="00656BF7" w:rsidRPr="00375D9E" w:rsidRDefault="00656BF7" w:rsidP="00387350">
            <w:pPr>
              <w:pStyle w:val="NormalWeb"/>
              <w:jc w:val="both"/>
            </w:pPr>
            <w:r w:rsidRPr="00375D9E">
              <w:t>1.3</w:t>
            </w:r>
          </w:p>
        </w:tc>
        <w:tc>
          <w:tcPr>
            <w:tcW w:w="1305" w:type="dxa"/>
            <w:noWrap/>
            <w:vAlign w:val="bottom"/>
            <w:hideMark/>
          </w:tcPr>
          <w:p w:rsidR="00656BF7" w:rsidRPr="00375D9E" w:rsidRDefault="00656BF7" w:rsidP="00387350">
            <w:pPr>
              <w:pStyle w:val="NormalWeb"/>
              <w:jc w:val="both"/>
            </w:pPr>
            <w:r w:rsidRPr="00375D9E">
              <w:t>-1.6</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Italia</w:t>
            </w:r>
          </w:p>
        </w:tc>
        <w:tc>
          <w:tcPr>
            <w:tcW w:w="1065" w:type="dxa"/>
            <w:noWrap/>
            <w:vAlign w:val="bottom"/>
            <w:hideMark/>
          </w:tcPr>
          <w:p w:rsidR="00656BF7" w:rsidRPr="00375D9E" w:rsidRDefault="00656BF7" w:rsidP="00387350">
            <w:pPr>
              <w:pStyle w:val="NormalWeb"/>
              <w:jc w:val="both"/>
            </w:pPr>
            <w:r w:rsidRPr="00375D9E">
              <w:t>-0.3</w:t>
            </w:r>
          </w:p>
        </w:tc>
        <w:tc>
          <w:tcPr>
            <w:tcW w:w="675" w:type="dxa"/>
            <w:noWrap/>
            <w:vAlign w:val="bottom"/>
            <w:hideMark/>
          </w:tcPr>
          <w:p w:rsidR="00656BF7" w:rsidRPr="00375D9E" w:rsidRDefault="00656BF7" w:rsidP="00387350">
            <w:pPr>
              <w:pStyle w:val="NormalWeb"/>
              <w:jc w:val="both"/>
            </w:pPr>
            <w:r w:rsidRPr="00375D9E">
              <w:t>0.5</w:t>
            </w:r>
          </w:p>
        </w:tc>
        <w:tc>
          <w:tcPr>
            <w:tcW w:w="675" w:type="dxa"/>
            <w:noWrap/>
            <w:vAlign w:val="bottom"/>
            <w:hideMark/>
          </w:tcPr>
          <w:p w:rsidR="00656BF7" w:rsidRPr="00375D9E" w:rsidRDefault="00656BF7" w:rsidP="00387350">
            <w:pPr>
              <w:pStyle w:val="NormalWeb"/>
              <w:jc w:val="both"/>
            </w:pPr>
            <w:r w:rsidRPr="00375D9E">
              <w:t>2.4</w:t>
            </w:r>
          </w:p>
        </w:tc>
        <w:tc>
          <w:tcPr>
            <w:tcW w:w="1305" w:type="dxa"/>
            <w:noWrap/>
            <w:vAlign w:val="bottom"/>
            <w:hideMark/>
          </w:tcPr>
          <w:p w:rsidR="00656BF7" w:rsidRPr="00375D9E" w:rsidRDefault="00656BF7" w:rsidP="00387350">
            <w:pPr>
              <w:pStyle w:val="NormalWeb"/>
              <w:jc w:val="both"/>
            </w:pPr>
            <w:r w:rsidRPr="00375D9E">
              <w:t>2.1</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España</w:t>
            </w:r>
          </w:p>
        </w:tc>
        <w:tc>
          <w:tcPr>
            <w:tcW w:w="1065" w:type="dxa"/>
            <w:noWrap/>
            <w:vAlign w:val="bottom"/>
            <w:hideMark/>
          </w:tcPr>
          <w:p w:rsidR="00656BF7" w:rsidRPr="00375D9E" w:rsidRDefault="00656BF7" w:rsidP="00387350">
            <w:pPr>
              <w:pStyle w:val="NormalWeb"/>
              <w:jc w:val="both"/>
            </w:pPr>
            <w:r w:rsidRPr="00375D9E">
              <w:t>4.1</w:t>
            </w:r>
          </w:p>
        </w:tc>
        <w:tc>
          <w:tcPr>
            <w:tcW w:w="675" w:type="dxa"/>
            <w:noWrap/>
            <w:vAlign w:val="bottom"/>
            <w:hideMark/>
          </w:tcPr>
          <w:p w:rsidR="00656BF7" w:rsidRPr="00375D9E" w:rsidRDefault="00656BF7" w:rsidP="00387350">
            <w:pPr>
              <w:pStyle w:val="NormalWeb"/>
              <w:jc w:val="both"/>
            </w:pPr>
            <w:r w:rsidRPr="00375D9E">
              <w:t>4.9</w:t>
            </w:r>
          </w:p>
        </w:tc>
        <w:tc>
          <w:tcPr>
            <w:tcW w:w="675" w:type="dxa"/>
            <w:noWrap/>
            <w:vAlign w:val="bottom"/>
            <w:hideMark/>
          </w:tcPr>
          <w:p w:rsidR="00656BF7" w:rsidRPr="00375D9E" w:rsidRDefault="00656BF7" w:rsidP="00387350">
            <w:pPr>
              <w:pStyle w:val="NormalWeb"/>
              <w:jc w:val="both"/>
            </w:pPr>
            <w:r w:rsidRPr="00375D9E">
              <w:t>5.9</w:t>
            </w:r>
          </w:p>
        </w:tc>
        <w:tc>
          <w:tcPr>
            <w:tcW w:w="1305" w:type="dxa"/>
            <w:noWrap/>
            <w:vAlign w:val="bottom"/>
            <w:hideMark/>
          </w:tcPr>
          <w:p w:rsidR="00656BF7" w:rsidRPr="00375D9E" w:rsidRDefault="00656BF7" w:rsidP="00387350">
            <w:pPr>
              <w:pStyle w:val="NormalWeb"/>
              <w:jc w:val="both"/>
            </w:pPr>
            <w:r w:rsidRPr="00375D9E">
              <w:t>5.7</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Francia</w:t>
            </w:r>
          </w:p>
        </w:tc>
        <w:tc>
          <w:tcPr>
            <w:tcW w:w="1065" w:type="dxa"/>
            <w:noWrap/>
            <w:vAlign w:val="bottom"/>
            <w:hideMark/>
          </w:tcPr>
          <w:p w:rsidR="00656BF7" w:rsidRPr="00375D9E" w:rsidRDefault="00656BF7" w:rsidP="00387350">
            <w:pPr>
              <w:pStyle w:val="NormalWeb"/>
              <w:jc w:val="both"/>
            </w:pPr>
            <w:r w:rsidRPr="00375D9E">
              <w:t>2.7</w:t>
            </w:r>
          </w:p>
        </w:tc>
        <w:tc>
          <w:tcPr>
            <w:tcW w:w="675" w:type="dxa"/>
            <w:noWrap/>
            <w:vAlign w:val="bottom"/>
            <w:hideMark/>
          </w:tcPr>
          <w:p w:rsidR="00656BF7" w:rsidRPr="00375D9E" w:rsidRDefault="00656BF7" w:rsidP="00387350">
            <w:pPr>
              <w:pStyle w:val="NormalWeb"/>
              <w:jc w:val="both"/>
            </w:pPr>
            <w:r w:rsidRPr="00375D9E">
              <w:t>4.2</w:t>
            </w:r>
          </w:p>
        </w:tc>
        <w:tc>
          <w:tcPr>
            <w:tcW w:w="675" w:type="dxa"/>
            <w:noWrap/>
            <w:vAlign w:val="bottom"/>
            <w:hideMark/>
          </w:tcPr>
          <w:p w:rsidR="00656BF7" w:rsidRPr="00375D9E" w:rsidRDefault="00656BF7" w:rsidP="00387350">
            <w:pPr>
              <w:pStyle w:val="NormalWeb"/>
              <w:jc w:val="both"/>
            </w:pPr>
            <w:r w:rsidRPr="00375D9E">
              <w:t>5.7</w:t>
            </w:r>
          </w:p>
        </w:tc>
        <w:tc>
          <w:tcPr>
            <w:tcW w:w="1305" w:type="dxa"/>
            <w:noWrap/>
            <w:vAlign w:val="bottom"/>
            <w:hideMark/>
          </w:tcPr>
          <w:p w:rsidR="00656BF7" w:rsidRPr="00375D9E" w:rsidRDefault="00656BF7" w:rsidP="00387350">
            <w:pPr>
              <w:pStyle w:val="NormalWeb"/>
              <w:jc w:val="both"/>
            </w:pPr>
            <w:r w:rsidRPr="00375D9E">
              <w:t>3.0</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Grecia</w:t>
            </w:r>
          </w:p>
        </w:tc>
        <w:tc>
          <w:tcPr>
            <w:tcW w:w="1065" w:type="dxa"/>
            <w:noWrap/>
            <w:vAlign w:val="bottom"/>
            <w:hideMark/>
          </w:tcPr>
          <w:p w:rsidR="00656BF7" w:rsidRPr="00375D9E" w:rsidRDefault="00656BF7" w:rsidP="00387350">
            <w:pPr>
              <w:pStyle w:val="NormalWeb"/>
              <w:jc w:val="both"/>
            </w:pPr>
            <w:r w:rsidRPr="00375D9E">
              <w:t>1.7</w:t>
            </w:r>
          </w:p>
        </w:tc>
        <w:tc>
          <w:tcPr>
            <w:tcW w:w="675" w:type="dxa"/>
            <w:noWrap/>
            <w:vAlign w:val="bottom"/>
            <w:hideMark/>
          </w:tcPr>
          <w:p w:rsidR="00656BF7" w:rsidRPr="00375D9E" w:rsidRDefault="00656BF7" w:rsidP="00387350">
            <w:pPr>
              <w:pStyle w:val="NormalWeb"/>
              <w:jc w:val="both"/>
            </w:pPr>
            <w:r w:rsidRPr="00375D9E">
              <w:t>2.7</w:t>
            </w:r>
          </w:p>
        </w:tc>
        <w:tc>
          <w:tcPr>
            <w:tcW w:w="675" w:type="dxa"/>
            <w:noWrap/>
            <w:vAlign w:val="bottom"/>
            <w:hideMark/>
          </w:tcPr>
          <w:p w:rsidR="00656BF7" w:rsidRPr="00375D9E" w:rsidRDefault="00656BF7" w:rsidP="00387350">
            <w:pPr>
              <w:pStyle w:val="NormalWeb"/>
              <w:jc w:val="both"/>
            </w:pPr>
            <w:r w:rsidRPr="00375D9E">
              <w:t>5.6</w:t>
            </w:r>
          </w:p>
        </w:tc>
        <w:tc>
          <w:tcPr>
            <w:tcW w:w="1305" w:type="dxa"/>
            <w:noWrap/>
            <w:vAlign w:val="bottom"/>
            <w:hideMark/>
          </w:tcPr>
          <w:p w:rsidR="00656BF7" w:rsidRPr="00375D9E" w:rsidRDefault="00656BF7" w:rsidP="00387350">
            <w:pPr>
              <w:pStyle w:val="NormalWeb"/>
              <w:jc w:val="both"/>
            </w:pPr>
            <w:r w:rsidRPr="00375D9E">
              <w:t>33.1</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Portugal</w:t>
            </w:r>
          </w:p>
        </w:tc>
        <w:tc>
          <w:tcPr>
            <w:tcW w:w="1065" w:type="dxa"/>
            <w:noWrap/>
            <w:vAlign w:val="bottom"/>
            <w:hideMark/>
          </w:tcPr>
          <w:p w:rsidR="00656BF7" w:rsidRPr="00375D9E" w:rsidRDefault="00656BF7" w:rsidP="00387350">
            <w:pPr>
              <w:pStyle w:val="NormalWeb"/>
              <w:jc w:val="both"/>
            </w:pPr>
            <w:r w:rsidRPr="00375D9E">
              <w:t>3.9</w:t>
            </w:r>
          </w:p>
        </w:tc>
        <w:tc>
          <w:tcPr>
            <w:tcW w:w="675" w:type="dxa"/>
            <w:noWrap/>
            <w:vAlign w:val="bottom"/>
            <w:hideMark/>
          </w:tcPr>
          <w:p w:rsidR="00656BF7" w:rsidRPr="00375D9E" w:rsidRDefault="00656BF7" w:rsidP="00387350">
            <w:pPr>
              <w:pStyle w:val="NormalWeb"/>
              <w:jc w:val="both"/>
            </w:pPr>
            <w:r w:rsidRPr="00375D9E">
              <w:t>2.9</w:t>
            </w:r>
          </w:p>
        </w:tc>
        <w:tc>
          <w:tcPr>
            <w:tcW w:w="675" w:type="dxa"/>
            <w:noWrap/>
            <w:vAlign w:val="bottom"/>
            <w:hideMark/>
          </w:tcPr>
          <w:p w:rsidR="00656BF7" w:rsidRPr="00375D9E" w:rsidRDefault="00656BF7" w:rsidP="00387350">
            <w:pPr>
              <w:pStyle w:val="NormalWeb"/>
              <w:jc w:val="both"/>
            </w:pPr>
            <w:r w:rsidRPr="00375D9E">
              <w:t>5.1</w:t>
            </w:r>
          </w:p>
        </w:tc>
        <w:tc>
          <w:tcPr>
            <w:tcW w:w="1305" w:type="dxa"/>
            <w:noWrap/>
            <w:vAlign w:val="bottom"/>
            <w:hideMark/>
          </w:tcPr>
          <w:p w:rsidR="00656BF7" w:rsidRPr="00375D9E" w:rsidRDefault="00656BF7" w:rsidP="00387350">
            <w:pPr>
              <w:pStyle w:val="NormalWeb"/>
              <w:jc w:val="both"/>
            </w:pPr>
            <w:r w:rsidRPr="00375D9E">
              <w:t>9.7</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Irlanda</w:t>
            </w:r>
          </w:p>
        </w:tc>
        <w:tc>
          <w:tcPr>
            <w:tcW w:w="1065" w:type="dxa"/>
            <w:noWrap/>
            <w:vAlign w:val="bottom"/>
            <w:hideMark/>
          </w:tcPr>
          <w:p w:rsidR="00656BF7" w:rsidRPr="00375D9E" w:rsidRDefault="00656BF7" w:rsidP="00387350">
            <w:pPr>
              <w:pStyle w:val="NormalWeb"/>
              <w:jc w:val="both"/>
            </w:pPr>
            <w:r w:rsidRPr="00375D9E">
              <w:t>9.4</w:t>
            </w:r>
          </w:p>
        </w:tc>
        <w:tc>
          <w:tcPr>
            <w:tcW w:w="675" w:type="dxa"/>
            <w:noWrap/>
            <w:vAlign w:val="bottom"/>
            <w:hideMark/>
          </w:tcPr>
          <w:p w:rsidR="00656BF7" w:rsidRPr="00375D9E" w:rsidRDefault="00656BF7" w:rsidP="00387350">
            <w:pPr>
              <w:pStyle w:val="NormalWeb"/>
              <w:jc w:val="both"/>
            </w:pPr>
            <w:r w:rsidRPr="00375D9E">
              <w:t>7.5</w:t>
            </w:r>
          </w:p>
        </w:tc>
        <w:tc>
          <w:tcPr>
            <w:tcW w:w="675" w:type="dxa"/>
            <w:noWrap/>
            <w:vAlign w:val="bottom"/>
            <w:hideMark/>
          </w:tcPr>
          <w:p w:rsidR="00656BF7" w:rsidRPr="00375D9E" w:rsidRDefault="00656BF7" w:rsidP="00387350">
            <w:pPr>
              <w:pStyle w:val="NormalWeb"/>
              <w:jc w:val="both"/>
            </w:pPr>
            <w:r w:rsidRPr="00375D9E">
              <w:t>9.1</w:t>
            </w:r>
          </w:p>
        </w:tc>
        <w:tc>
          <w:tcPr>
            <w:tcW w:w="1305" w:type="dxa"/>
            <w:noWrap/>
            <w:vAlign w:val="bottom"/>
            <w:hideMark/>
          </w:tcPr>
          <w:p w:rsidR="00656BF7" w:rsidRPr="00375D9E" w:rsidRDefault="00656BF7" w:rsidP="00387350">
            <w:pPr>
              <w:pStyle w:val="NormalWeb"/>
              <w:jc w:val="both"/>
            </w:pPr>
            <w:r w:rsidRPr="00375D9E">
              <w:t>10.2</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p>
        </w:tc>
        <w:tc>
          <w:tcPr>
            <w:tcW w:w="3720" w:type="dxa"/>
            <w:gridSpan w:val="4"/>
            <w:noWrap/>
            <w:vAlign w:val="bottom"/>
            <w:hideMark/>
          </w:tcPr>
          <w:p w:rsidR="00656BF7" w:rsidRPr="00375D9E" w:rsidRDefault="00656BF7" w:rsidP="00387350">
            <w:pPr>
              <w:pStyle w:val="NormalWeb"/>
              <w:jc w:val="both"/>
            </w:pPr>
            <w:r w:rsidRPr="00375D9E">
              <w:t>Ajuste base déficit 2010</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Alemania</w:t>
            </w:r>
          </w:p>
        </w:tc>
        <w:tc>
          <w:tcPr>
            <w:tcW w:w="1065" w:type="dxa"/>
            <w:noWrap/>
            <w:vAlign w:val="bottom"/>
            <w:hideMark/>
          </w:tcPr>
          <w:p w:rsidR="00656BF7" w:rsidRPr="00375D9E" w:rsidRDefault="00656BF7" w:rsidP="00387350">
            <w:pPr>
              <w:pStyle w:val="NormalWeb"/>
              <w:jc w:val="both"/>
            </w:pPr>
            <w:r w:rsidRPr="00375D9E">
              <w:t>1.0</w:t>
            </w:r>
          </w:p>
        </w:tc>
        <w:tc>
          <w:tcPr>
            <w:tcW w:w="675" w:type="dxa"/>
            <w:noWrap/>
            <w:vAlign w:val="bottom"/>
            <w:hideMark/>
          </w:tcPr>
          <w:p w:rsidR="00656BF7" w:rsidRPr="00375D9E" w:rsidRDefault="00656BF7" w:rsidP="00387350">
            <w:pPr>
              <w:pStyle w:val="NormalWeb"/>
              <w:jc w:val="both"/>
            </w:pPr>
            <w:r w:rsidRPr="00375D9E">
              <w:t>1.7</w:t>
            </w:r>
          </w:p>
        </w:tc>
        <w:tc>
          <w:tcPr>
            <w:tcW w:w="675" w:type="dxa"/>
            <w:noWrap/>
            <w:vAlign w:val="bottom"/>
            <w:hideMark/>
          </w:tcPr>
          <w:p w:rsidR="00656BF7" w:rsidRPr="00375D9E" w:rsidRDefault="00656BF7" w:rsidP="00387350">
            <w:pPr>
              <w:pStyle w:val="NormalWeb"/>
              <w:jc w:val="both"/>
            </w:pPr>
            <w:r w:rsidRPr="00375D9E">
              <w:t>2.9</w:t>
            </w:r>
          </w:p>
        </w:tc>
        <w:tc>
          <w:tcPr>
            <w:tcW w:w="1305" w:type="dxa"/>
            <w:noWrap/>
            <w:vAlign w:val="bottom"/>
            <w:hideMark/>
          </w:tcPr>
          <w:p w:rsidR="00656BF7" w:rsidRPr="00375D9E" w:rsidRDefault="00656BF7" w:rsidP="00387350">
            <w:pPr>
              <w:pStyle w:val="NormalWeb"/>
              <w:jc w:val="both"/>
            </w:pPr>
            <w:r w:rsidRPr="00375D9E">
              <w:t>-0.1</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Italia</w:t>
            </w:r>
          </w:p>
        </w:tc>
        <w:tc>
          <w:tcPr>
            <w:tcW w:w="1065" w:type="dxa"/>
            <w:noWrap/>
            <w:vAlign w:val="bottom"/>
            <w:hideMark/>
          </w:tcPr>
          <w:p w:rsidR="00656BF7" w:rsidRPr="00375D9E" w:rsidRDefault="00656BF7" w:rsidP="00387350">
            <w:pPr>
              <w:pStyle w:val="NormalWeb"/>
              <w:jc w:val="both"/>
            </w:pPr>
            <w:r w:rsidRPr="00375D9E">
              <w:t>0.6</w:t>
            </w:r>
          </w:p>
        </w:tc>
        <w:tc>
          <w:tcPr>
            <w:tcW w:w="675" w:type="dxa"/>
            <w:noWrap/>
            <w:vAlign w:val="bottom"/>
            <w:hideMark/>
          </w:tcPr>
          <w:p w:rsidR="00656BF7" w:rsidRPr="00375D9E" w:rsidRDefault="00656BF7" w:rsidP="00387350">
            <w:pPr>
              <w:pStyle w:val="NormalWeb"/>
              <w:jc w:val="both"/>
            </w:pPr>
            <w:r w:rsidRPr="00375D9E">
              <w:t>1.3</w:t>
            </w:r>
          </w:p>
        </w:tc>
        <w:tc>
          <w:tcPr>
            <w:tcW w:w="675" w:type="dxa"/>
            <w:noWrap/>
            <w:vAlign w:val="bottom"/>
            <w:hideMark/>
          </w:tcPr>
          <w:p w:rsidR="00656BF7" w:rsidRPr="00375D9E" w:rsidRDefault="00656BF7" w:rsidP="00387350">
            <w:pPr>
              <w:pStyle w:val="NormalWeb"/>
              <w:jc w:val="both"/>
            </w:pPr>
            <w:r w:rsidRPr="00375D9E">
              <w:t>3.3</w:t>
            </w:r>
          </w:p>
        </w:tc>
        <w:tc>
          <w:tcPr>
            <w:tcW w:w="1305" w:type="dxa"/>
            <w:noWrap/>
            <w:vAlign w:val="bottom"/>
            <w:hideMark/>
          </w:tcPr>
          <w:p w:rsidR="00656BF7" w:rsidRPr="00375D9E" w:rsidRDefault="00656BF7" w:rsidP="00387350">
            <w:pPr>
              <w:pStyle w:val="NormalWeb"/>
              <w:jc w:val="both"/>
            </w:pPr>
            <w:r w:rsidRPr="00375D9E">
              <w:t>3.0</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España</w:t>
            </w:r>
          </w:p>
        </w:tc>
        <w:tc>
          <w:tcPr>
            <w:tcW w:w="1065" w:type="dxa"/>
            <w:noWrap/>
            <w:vAlign w:val="bottom"/>
            <w:hideMark/>
          </w:tcPr>
          <w:p w:rsidR="00656BF7" w:rsidRPr="00375D9E" w:rsidRDefault="00656BF7" w:rsidP="00387350">
            <w:pPr>
              <w:pStyle w:val="NormalWeb"/>
              <w:jc w:val="both"/>
            </w:pPr>
            <w:r w:rsidRPr="00375D9E">
              <w:t>7.5</w:t>
            </w:r>
          </w:p>
        </w:tc>
        <w:tc>
          <w:tcPr>
            <w:tcW w:w="675" w:type="dxa"/>
            <w:noWrap/>
            <w:vAlign w:val="bottom"/>
            <w:hideMark/>
          </w:tcPr>
          <w:p w:rsidR="00656BF7" w:rsidRPr="00375D9E" w:rsidRDefault="00656BF7" w:rsidP="00387350">
            <w:pPr>
              <w:pStyle w:val="NormalWeb"/>
              <w:jc w:val="both"/>
            </w:pPr>
            <w:r w:rsidRPr="00375D9E">
              <w:t>8.3</w:t>
            </w:r>
          </w:p>
        </w:tc>
        <w:tc>
          <w:tcPr>
            <w:tcW w:w="675" w:type="dxa"/>
            <w:noWrap/>
            <w:vAlign w:val="bottom"/>
            <w:hideMark/>
          </w:tcPr>
          <w:p w:rsidR="00656BF7" w:rsidRPr="00375D9E" w:rsidRDefault="00656BF7" w:rsidP="00387350">
            <w:pPr>
              <w:pStyle w:val="NormalWeb"/>
              <w:jc w:val="both"/>
            </w:pPr>
            <w:r w:rsidRPr="00375D9E">
              <w:t>9.3</w:t>
            </w:r>
          </w:p>
        </w:tc>
        <w:tc>
          <w:tcPr>
            <w:tcW w:w="1305" w:type="dxa"/>
            <w:noWrap/>
            <w:vAlign w:val="bottom"/>
            <w:hideMark/>
          </w:tcPr>
          <w:p w:rsidR="00656BF7" w:rsidRPr="00375D9E" w:rsidRDefault="00656BF7" w:rsidP="00387350">
            <w:pPr>
              <w:pStyle w:val="NormalWeb"/>
              <w:jc w:val="both"/>
            </w:pPr>
            <w:r w:rsidRPr="00375D9E">
              <w:t>9.1</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Francia</w:t>
            </w:r>
          </w:p>
        </w:tc>
        <w:tc>
          <w:tcPr>
            <w:tcW w:w="1065" w:type="dxa"/>
            <w:noWrap/>
            <w:vAlign w:val="bottom"/>
            <w:hideMark/>
          </w:tcPr>
          <w:p w:rsidR="00656BF7" w:rsidRPr="00375D9E" w:rsidRDefault="00656BF7" w:rsidP="00387350">
            <w:pPr>
              <w:pStyle w:val="NormalWeb"/>
              <w:jc w:val="both"/>
            </w:pPr>
            <w:r w:rsidRPr="00375D9E">
              <w:t>4.2</w:t>
            </w:r>
          </w:p>
        </w:tc>
        <w:tc>
          <w:tcPr>
            <w:tcW w:w="675" w:type="dxa"/>
            <w:noWrap/>
            <w:vAlign w:val="bottom"/>
            <w:hideMark/>
          </w:tcPr>
          <w:p w:rsidR="00656BF7" w:rsidRPr="00375D9E" w:rsidRDefault="00656BF7" w:rsidP="00387350">
            <w:pPr>
              <w:pStyle w:val="NormalWeb"/>
              <w:jc w:val="both"/>
            </w:pPr>
            <w:r w:rsidRPr="00375D9E">
              <w:t>5.6</w:t>
            </w:r>
          </w:p>
        </w:tc>
        <w:tc>
          <w:tcPr>
            <w:tcW w:w="675" w:type="dxa"/>
            <w:noWrap/>
            <w:vAlign w:val="bottom"/>
            <w:hideMark/>
          </w:tcPr>
          <w:p w:rsidR="00656BF7" w:rsidRPr="00375D9E" w:rsidRDefault="00656BF7" w:rsidP="00387350">
            <w:pPr>
              <w:pStyle w:val="NormalWeb"/>
              <w:jc w:val="both"/>
            </w:pPr>
            <w:r w:rsidRPr="00375D9E">
              <w:t>7.1</w:t>
            </w:r>
          </w:p>
        </w:tc>
        <w:tc>
          <w:tcPr>
            <w:tcW w:w="1305" w:type="dxa"/>
            <w:noWrap/>
            <w:vAlign w:val="bottom"/>
            <w:hideMark/>
          </w:tcPr>
          <w:p w:rsidR="00656BF7" w:rsidRPr="00375D9E" w:rsidRDefault="00656BF7" w:rsidP="00387350">
            <w:pPr>
              <w:pStyle w:val="NormalWeb"/>
              <w:jc w:val="both"/>
            </w:pPr>
            <w:r w:rsidRPr="00375D9E">
              <w:t>4.4</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Grecia</w:t>
            </w:r>
          </w:p>
        </w:tc>
        <w:tc>
          <w:tcPr>
            <w:tcW w:w="1065" w:type="dxa"/>
            <w:noWrap/>
            <w:vAlign w:val="bottom"/>
            <w:hideMark/>
          </w:tcPr>
          <w:p w:rsidR="00656BF7" w:rsidRPr="00375D9E" w:rsidRDefault="00656BF7" w:rsidP="00387350">
            <w:pPr>
              <w:pStyle w:val="NormalWeb"/>
              <w:jc w:val="both"/>
            </w:pPr>
            <w:r w:rsidRPr="00375D9E">
              <w:t>5.4</w:t>
            </w:r>
          </w:p>
        </w:tc>
        <w:tc>
          <w:tcPr>
            <w:tcW w:w="675" w:type="dxa"/>
            <w:noWrap/>
            <w:vAlign w:val="bottom"/>
            <w:hideMark/>
          </w:tcPr>
          <w:p w:rsidR="00656BF7" w:rsidRPr="00375D9E" w:rsidRDefault="00656BF7" w:rsidP="00387350">
            <w:pPr>
              <w:pStyle w:val="NormalWeb"/>
              <w:jc w:val="both"/>
            </w:pPr>
            <w:r w:rsidRPr="00375D9E">
              <w:t>6.4</w:t>
            </w:r>
          </w:p>
        </w:tc>
        <w:tc>
          <w:tcPr>
            <w:tcW w:w="675" w:type="dxa"/>
            <w:noWrap/>
            <w:vAlign w:val="bottom"/>
            <w:hideMark/>
          </w:tcPr>
          <w:p w:rsidR="00656BF7" w:rsidRPr="00375D9E" w:rsidRDefault="00656BF7" w:rsidP="00387350">
            <w:pPr>
              <w:pStyle w:val="NormalWeb"/>
              <w:jc w:val="both"/>
            </w:pPr>
            <w:r w:rsidRPr="00375D9E">
              <w:t>9.2</w:t>
            </w:r>
          </w:p>
        </w:tc>
        <w:tc>
          <w:tcPr>
            <w:tcW w:w="1305" w:type="dxa"/>
            <w:noWrap/>
            <w:vAlign w:val="bottom"/>
            <w:hideMark/>
          </w:tcPr>
          <w:p w:rsidR="00656BF7" w:rsidRPr="00375D9E" w:rsidRDefault="00656BF7" w:rsidP="00387350">
            <w:pPr>
              <w:pStyle w:val="NormalWeb"/>
              <w:jc w:val="both"/>
            </w:pPr>
            <w:r w:rsidRPr="00375D9E">
              <w:t>36.8</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Portugal</w:t>
            </w:r>
          </w:p>
        </w:tc>
        <w:tc>
          <w:tcPr>
            <w:tcW w:w="1065" w:type="dxa"/>
            <w:noWrap/>
            <w:vAlign w:val="bottom"/>
            <w:hideMark/>
          </w:tcPr>
          <w:p w:rsidR="00656BF7" w:rsidRPr="00375D9E" w:rsidRDefault="00656BF7" w:rsidP="00387350">
            <w:pPr>
              <w:pStyle w:val="NormalWeb"/>
              <w:jc w:val="both"/>
            </w:pPr>
            <w:r w:rsidRPr="00375D9E">
              <w:t>1.9</w:t>
            </w:r>
          </w:p>
        </w:tc>
        <w:tc>
          <w:tcPr>
            <w:tcW w:w="675" w:type="dxa"/>
            <w:noWrap/>
            <w:vAlign w:val="bottom"/>
            <w:hideMark/>
          </w:tcPr>
          <w:p w:rsidR="00656BF7" w:rsidRPr="00375D9E" w:rsidRDefault="00656BF7" w:rsidP="00387350">
            <w:pPr>
              <w:pStyle w:val="NormalWeb"/>
              <w:jc w:val="both"/>
            </w:pPr>
            <w:r w:rsidRPr="00375D9E">
              <w:t>0.9</w:t>
            </w:r>
          </w:p>
        </w:tc>
        <w:tc>
          <w:tcPr>
            <w:tcW w:w="675" w:type="dxa"/>
            <w:noWrap/>
            <w:vAlign w:val="bottom"/>
            <w:hideMark/>
          </w:tcPr>
          <w:p w:rsidR="00656BF7" w:rsidRPr="00375D9E" w:rsidRDefault="00656BF7" w:rsidP="00387350">
            <w:pPr>
              <w:pStyle w:val="NormalWeb"/>
              <w:jc w:val="both"/>
            </w:pPr>
            <w:r w:rsidRPr="00375D9E">
              <w:t>3.1</w:t>
            </w:r>
          </w:p>
        </w:tc>
        <w:tc>
          <w:tcPr>
            <w:tcW w:w="1305" w:type="dxa"/>
            <w:noWrap/>
            <w:vAlign w:val="bottom"/>
            <w:hideMark/>
          </w:tcPr>
          <w:p w:rsidR="00656BF7" w:rsidRPr="00375D9E" w:rsidRDefault="00656BF7" w:rsidP="00387350">
            <w:pPr>
              <w:pStyle w:val="NormalWeb"/>
              <w:jc w:val="both"/>
            </w:pPr>
            <w:r w:rsidRPr="00375D9E">
              <w:t>7.8</w:t>
            </w:r>
          </w:p>
        </w:tc>
      </w:tr>
      <w:tr w:rsidR="00656BF7" w:rsidRPr="00375D9E" w:rsidTr="00055DEF">
        <w:trPr>
          <w:tblCellSpacing w:w="0" w:type="dxa"/>
        </w:trPr>
        <w:tc>
          <w:tcPr>
            <w:tcW w:w="1125" w:type="dxa"/>
            <w:vAlign w:val="bottom"/>
            <w:hideMark/>
          </w:tcPr>
          <w:p w:rsidR="00656BF7" w:rsidRPr="00375D9E" w:rsidRDefault="00656BF7" w:rsidP="00387350">
            <w:pPr>
              <w:spacing w:line="240" w:lineRule="auto"/>
              <w:jc w:val="both"/>
              <w:rPr>
                <w:rFonts w:ascii="Times New Roman" w:hAnsi="Times New Roman"/>
                <w:sz w:val="24"/>
                <w:szCs w:val="24"/>
              </w:rPr>
            </w:pPr>
            <w:r w:rsidRPr="00375D9E">
              <w:rPr>
                <w:rFonts w:ascii="Times New Roman" w:hAnsi="Times New Roman"/>
                <w:sz w:val="24"/>
                <w:szCs w:val="24"/>
              </w:rPr>
              <w:t>Irlanda</w:t>
            </w:r>
          </w:p>
        </w:tc>
        <w:tc>
          <w:tcPr>
            <w:tcW w:w="1065" w:type="dxa"/>
            <w:noWrap/>
            <w:vAlign w:val="bottom"/>
            <w:hideMark/>
          </w:tcPr>
          <w:p w:rsidR="00656BF7" w:rsidRPr="00375D9E" w:rsidRDefault="00656BF7" w:rsidP="00387350">
            <w:pPr>
              <w:pStyle w:val="NormalWeb"/>
              <w:jc w:val="both"/>
            </w:pPr>
            <w:r w:rsidRPr="00375D9E">
              <w:t>31.5</w:t>
            </w:r>
          </w:p>
        </w:tc>
        <w:tc>
          <w:tcPr>
            <w:tcW w:w="675" w:type="dxa"/>
            <w:noWrap/>
            <w:vAlign w:val="bottom"/>
            <w:hideMark/>
          </w:tcPr>
          <w:p w:rsidR="00656BF7" w:rsidRPr="00375D9E" w:rsidRDefault="00656BF7" w:rsidP="00387350">
            <w:pPr>
              <w:pStyle w:val="NormalWeb"/>
              <w:jc w:val="both"/>
            </w:pPr>
            <w:r w:rsidRPr="00375D9E">
              <w:t>29.6</w:t>
            </w:r>
          </w:p>
        </w:tc>
        <w:tc>
          <w:tcPr>
            <w:tcW w:w="675" w:type="dxa"/>
            <w:noWrap/>
            <w:vAlign w:val="bottom"/>
            <w:hideMark/>
          </w:tcPr>
          <w:p w:rsidR="00656BF7" w:rsidRPr="00375D9E" w:rsidRDefault="00656BF7" w:rsidP="00387350">
            <w:pPr>
              <w:pStyle w:val="NormalWeb"/>
              <w:jc w:val="both"/>
            </w:pPr>
            <w:r w:rsidRPr="00375D9E">
              <w:t>31.2</w:t>
            </w:r>
          </w:p>
        </w:tc>
        <w:tc>
          <w:tcPr>
            <w:tcW w:w="1305" w:type="dxa"/>
            <w:noWrap/>
            <w:vAlign w:val="bottom"/>
            <w:hideMark/>
          </w:tcPr>
          <w:p w:rsidR="00656BF7" w:rsidRPr="00375D9E" w:rsidRDefault="00656BF7" w:rsidP="00387350">
            <w:pPr>
              <w:pStyle w:val="NormalWeb"/>
              <w:jc w:val="both"/>
            </w:pPr>
            <w:r w:rsidRPr="00375D9E">
              <w:t>32.3</w:t>
            </w:r>
          </w:p>
        </w:tc>
      </w:tr>
    </w:tbl>
    <w:p w:rsidR="00656BF7" w:rsidRDefault="00656BF7" w:rsidP="00387350">
      <w:pPr>
        <w:pStyle w:val="NormalWeb"/>
        <w:jc w:val="both"/>
      </w:pPr>
      <w:r w:rsidRPr="00375D9E">
        <w:t>Mirando esta tabla vemos que Alemania aun con una tasa de interés nominal del 7% tiene que hacer un ajuste muy moderado (sólo el 1.3% del PIB). Italia, también tiene una situación fiscal sana, aunque su abultada deuda la hace muy sensible a la tasa de interés. Da ahí que se diga que Italia es solvente pero enfrenta problemas de liquidez. España y Francia tienen una situación más delicada por sus abultados déficits fiscales. Si el BCE pone un techo del 5% a sus tasas de interés el esfuerzo fiscal se agranda a 5.6% del PIB en Francia y a 8.3% en España.</w:t>
      </w:r>
    </w:p>
    <w:p w:rsidR="0052410D" w:rsidRDefault="0052410D" w:rsidP="00387350">
      <w:pPr>
        <w:pStyle w:val="NormalWeb"/>
        <w:jc w:val="both"/>
      </w:pPr>
    </w:p>
    <w:p w:rsidR="00854453" w:rsidRPr="00D80E9A" w:rsidRDefault="00854453" w:rsidP="00387350">
      <w:pPr>
        <w:pStyle w:val="NormalWeb"/>
        <w:jc w:val="both"/>
      </w:pPr>
    </w:p>
    <w:p w:rsidR="003E20D7" w:rsidRPr="00D80E9A" w:rsidRDefault="0060367E" w:rsidP="00387350">
      <w:pPr>
        <w:spacing w:line="240" w:lineRule="auto"/>
        <w:jc w:val="both"/>
        <w:rPr>
          <w:rFonts w:ascii="Times New Roman" w:hAnsi="Times New Roman" w:cs="Times New Roman"/>
          <w:sz w:val="24"/>
          <w:szCs w:val="24"/>
          <w:u w:val="single"/>
        </w:rPr>
      </w:pPr>
      <w:r>
        <w:rPr>
          <w:rFonts w:ascii="Times New Roman" w:hAnsi="Times New Roman"/>
          <w:sz w:val="24"/>
          <w:szCs w:val="24"/>
          <w:u w:val="single"/>
        </w:rPr>
        <w:lastRenderedPageBreak/>
        <w:t>En e</w:t>
      </w:r>
      <w:r w:rsidRPr="0060367E">
        <w:rPr>
          <w:rFonts w:ascii="Times New Roman" w:hAnsi="Times New Roman"/>
          <w:sz w:val="24"/>
          <w:szCs w:val="24"/>
          <w:u w:val="single"/>
        </w:rPr>
        <w:t>l Día de “Acción de Gracias”</w:t>
      </w:r>
      <w:r>
        <w:rPr>
          <w:rFonts w:ascii="Times New Roman" w:hAnsi="Times New Roman"/>
          <w:sz w:val="24"/>
          <w:szCs w:val="24"/>
          <w:u w:val="single"/>
        </w:rPr>
        <w:t xml:space="preserve"> en los</w:t>
      </w:r>
      <w:r w:rsidRPr="00F11031">
        <w:rPr>
          <w:rFonts w:ascii="Times New Roman" w:hAnsi="Times New Roman"/>
          <w:sz w:val="24"/>
          <w:szCs w:val="24"/>
          <w:u w:val="single"/>
        </w:rPr>
        <w:t xml:space="preserve"> EEUU</w:t>
      </w:r>
      <w:r>
        <w:rPr>
          <w:rFonts w:ascii="Times New Roman" w:hAnsi="Times New Roman"/>
          <w:sz w:val="24"/>
          <w:szCs w:val="24"/>
        </w:rPr>
        <w:t xml:space="preserve"> (Fuente: </w:t>
      </w:r>
      <w:r w:rsidRPr="0060367E">
        <w:rPr>
          <w:rFonts w:ascii="Times New Roman" w:hAnsi="Times New Roman" w:cs="Times New Roman"/>
          <w:sz w:val="24"/>
          <w:szCs w:val="24"/>
        </w:rPr>
        <w:t xml:space="preserve">El Confidencial - </w:t>
      </w:r>
      <w:r w:rsidRPr="0060367E">
        <w:rPr>
          <w:rFonts w:ascii="Times New Roman" w:hAnsi="Times New Roman" w:cs="Times New Roman"/>
          <w:b/>
          <w:sz w:val="24"/>
          <w:szCs w:val="24"/>
        </w:rPr>
        <w:t>24/11/11</w:t>
      </w:r>
      <w:r>
        <w:rPr>
          <w:rFonts w:ascii="Times New Roman" w:hAnsi="Times New Roman" w:cs="Times New Roman"/>
          <w:sz w:val="24"/>
          <w:szCs w:val="24"/>
        </w:rPr>
        <w:t>)</w:t>
      </w:r>
    </w:p>
    <w:p w:rsidR="003E20D7" w:rsidRPr="0017436A" w:rsidRDefault="00D80E9A" w:rsidP="00387350">
      <w:pPr>
        <w:spacing w:after="240" w:line="240" w:lineRule="auto"/>
        <w:jc w:val="both"/>
        <w:rPr>
          <w:rFonts w:ascii="Times New Roman" w:hAnsi="Times New Roman"/>
          <w:sz w:val="24"/>
          <w:szCs w:val="24"/>
        </w:rPr>
      </w:pPr>
      <w:r>
        <w:rPr>
          <w:rFonts w:ascii="Times New Roman" w:hAnsi="Times New Roman"/>
          <w:sz w:val="24"/>
          <w:szCs w:val="24"/>
        </w:rPr>
        <w:t xml:space="preserve">      </w:t>
      </w:r>
      <w:r w:rsidR="0060367E">
        <w:rPr>
          <w:noProof/>
          <w:lang w:eastAsia="es-ES"/>
        </w:rPr>
        <w:drawing>
          <wp:inline distT="0" distB="0" distL="0" distR="0" wp14:anchorId="60265772" wp14:editId="39F5A680">
            <wp:extent cx="4732934" cy="2699309"/>
            <wp:effectExtent l="0" t="0" r="0" b="6350"/>
            <wp:docPr id="183" name="Imagen 183" descr="2011112355grafic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1112355grafico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40275" cy="2703496"/>
                    </a:xfrm>
                    <a:prstGeom prst="rect">
                      <a:avLst/>
                    </a:prstGeom>
                    <a:noFill/>
                    <a:ln>
                      <a:noFill/>
                    </a:ln>
                  </pic:spPr>
                </pic:pic>
              </a:graphicData>
            </a:graphic>
          </wp:inline>
        </w:drawing>
      </w:r>
    </w:p>
    <w:p w:rsidR="0060367E" w:rsidRDefault="0060367E" w:rsidP="00387350">
      <w:pPr>
        <w:spacing w:after="0" w:line="240" w:lineRule="auto"/>
        <w:rPr>
          <w:rFonts w:ascii="Times New Roman" w:eastAsia="Times New Roman" w:hAnsi="Times New Roman"/>
          <w:sz w:val="24"/>
          <w:szCs w:val="24"/>
          <w:lang w:val="en-US" w:eastAsia="es-ES"/>
        </w:rPr>
      </w:pPr>
      <w:r w:rsidRPr="005D4EEB">
        <w:rPr>
          <w:rFonts w:ascii="Times New Roman" w:eastAsia="Times New Roman" w:hAnsi="Times New Roman"/>
          <w:sz w:val="24"/>
          <w:szCs w:val="24"/>
          <w:lang w:val="en-US" w:eastAsia="es-ES"/>
        </w:rPr>
        <w:t>Chart 1: Household, Corporate &amp; Government Debt as % of Nominal GDP</w:t>
      </w:r>
    </w:p>
    <w:p w:rsidR="0060367E" w:rsidRDefault="0060367E" w:rsidP="00387350">
      <w:pPr>
        <w:spacing w:after="0" w:line="240" w:lineRule="auto"/>
        <w:rPr>
          <w:rFonts w:ascii="Times New Roman" w:eastAsia="Times New Roman" w:hAnsi="Times New Roman"/>
          <w:sz w:val="24"/>
          <w:szCs w:val="24"/>
          <w:lang w:val="en-US" w:eastAsia="es-ES"/>
        </w:rPr>
      </w:pPr>
    </w:p>
    <w:p w:rsidR="00854453" w:rsidRPr="00B036D0" w:rsidRDefault="00854453" w:rsidP="00387350">
      <w:pPr>
        <w:pStyle w:val="figcaption"/>
        <w:jc w:val="both"/>
        <w:rPr>
          <w:lang w:val="en-US"/>
        </w:rPr>
      </w:pPr>
    </w:p>
    <w:p w:rsidR="0060367E" w:rsidRDefault="0060367E" w:rsidP="00387350">
      <w:pPr>
        <w:pStyle w:val="figcaption"/>
        <w:jc w:val="both"/>
      </w:pPr>
      <w:r w:rsidRPr="005D4EEB">
        <w:t>Pero, ¿qué ocurre cuando se incluyen los compromisos derivados de los respectivos sistemas de pensiones? Pues que, en casi todos los casos, el porcentaje de deuda estatal respecto al PIB crece exponencialmente</w:t>
      </w:r>
      <w:r>
        <w:t>.</w:t>
      </w:r>
    </w:p>
    <w:p w:rsidR="0060367E" w:rsidRDefault="0060367E" w:rsidP="00387350">
      <w:pPr>
        <w:pStyle w:val="figcaption"/>
        <w:jc w:val="both"/>
      </w:pPr>
    </w:p>
    <w:p w:rsidR="0060367E" w:rsidRDefault="0060367E" w:rsidP="00387350">
      <w:pPr>
        <w:pStyle w:val="figcaption"/>
        <w:jc w:val="both"/>
      </w:pPr>
    </w:p>
    <w:p w:rsidR="0060367E" w:rsidRDefault="0060367E" w:rsidP="00387350">
      <w:pPr>
        <w:pStyle w:val="figcaption"/>
        <w:jc w:val="both"/>
      </w:pPr>
      <w:r>
        <w:rPr>
          <w:noProof/>
        </w:rPr>
        <w:drawing>
          <wp:anchor distT="0" distB="0" distL="0" distR="0" simplePos="0" relativeHeight="251665408" behindDoc="0" locked="0" layoutInCell="1" allowOverlap="0" wp14:anchorId="20016088" wp14:editId="6FE107B0">
            <wp:simplePos x="0" y="0"/>
            <wp:positionH relativeFrom="column">
              <wp:posOffset>1499235</wp:posOffset>
            </wp:positionH>
            <wp:positionV relativeFrom="line">
              <wp:posOffset>24130</wp:posOffset>
            </wp:positionV>
            <wp:extent cx="1781175" cy="1752600"/>
            <wp:effectExtent l="0" t="0" r="9525" b="0"/>
            <wp:wrapSquare wrapText="bothSides"/>
            <wp:docPr id="185" name="Imagen 185" descr="2011112372grafic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1112372grafico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781175"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367E" w:rsidRDefault="0060367E" w:rsidP="00387350">
      <w:pPr>
        <w:pStyle w:val="figcaption"/>
        <w:jc w:val="both"/>
      </w:pPr>
      <w:r>
        <w:tab/>
      </w:r>
      <w:r>
        <w:tab/>
      </w:r>
      <w:r>
        <w:tab/>
      </w:r>
    </w:p>
    <w:p w:rsidR="0060367E" w:rsidRDefault="0060367E" w:rsidP="00387350">
      <w:pPr>
        <w:spacing w:line="240" w:lineRule="auto"/>
        <w:jc w:val="both"/>
        <w:rPr>
          <w:rFonts w:ascii="Times New Roman" w:hAnsi="Times New Roman" w:cs="Times New Roman"/>
          <w:sz w:val="24"/>
          <w:szCs w:val="24"/>
        </w:rPr>
      </w:pPr>
    </w:p>
    <w:p w:rsidR="0060367E" w:rsidRDefault="0060367E" w:rsidP="00387350">
      <w:pPr>
        <w:spacing w:line="240" w:lineRule="auto"/>
        <w:jc w:val="both"/>
        <w:rPr>
          <w:rFonts w:ascii="Times New Roman" w:hAnsi="Times New Roman" w:cs="Times New Roman"/>
          <w:sz w:val="24"/>
          <w:szCs w:val="24"/>
        </w:rPr>
      </w:pPr>
    </w:p>
    <w:p w:rsidR="0060367E" w:rsidRDefault="0060367E" w:rsidP="00387350">
      <w:pPr>
        <w:spacing w:line="240" w:lineRule="auto"/>
        <w:jc w:val="both"/>
        <w:rPr>
          <w:rFonts w:ascii="Times New Roman" w:hAnsi="Times New Roman" w:cs="Times New Roman"/>
          <w:sz w:val="24"/>
          <w:szCs w:val="24"/>
        </w:rPr>
      </w:pPr>
    </w:p>
    <w:p w:rsidR="003E20D7" w:rsidRDefault="003E20D7" w:rsidP="00387350">
      <w:pPr>
        <w:pStyle w:val="NormalWeb"/>
        <w:jc w:val="both"/>
      </w:pPr>
    </w:p>
    <w:p w:rsidR="00854453" w:rsidRDefault="00854453" w:rsidP="00387350">
      <w:pPr>
        <w:pStyle w:val="NormalWeb"/>
        <w:jc w:val="both"/>
      </w:pPr>
    </w:p>
    <w:p w:rsidR="00854453" w:rsidRPr="00D80E9A" w:rsidRDefault="00854453" w:rsidP="00387350">
      <w:pPr>
        <w:pStyle w:val="Ttulo1"/>
        <w:spacing w:line="240" w:lineRule="auto"/>
        <w:jc w:val="both"/>
        <w:rPr>
          <w:rFonts w:ascii="Times New Roman" w:hAnsi="Times New Roman"/>
          <w:b w:val="0"/>
          <w:color w:val="auto"/>
          <w:sz w:val="24"/>
          <w:szCs w:val="24"/>
        </w:rPr>
      </w:pPr>
      <w:r w:rsidRPr="003C5C38">
        <w:rPr>
          <w:rFonts w:ascii="Times New Roman" w:hAnsi="Times New Roman"/>
          <w:b w:val="0"/>
          <w:color w:val="auto"/>
          <w:sz w:val="24"/>
          <w:szCs w:val="24"/>
          <w:u w:val="single"/>
        </w:rPr>
        <w:t>España: Hasta la crisis, sobresaliente en Maastricht</w:t>
      </w:r>
      <w:r w:rsidRPr="003C5C38">
        <w:rPr>
          <w:rFonts w:ascii="Times New Roman" w:hAnsi="Times New Roman"/>
          <w:b w:val="0"/>
          <w:color w:val="auto"/>
          <w:sz w:val="24"/>
          <w:szCs w:val="24"/>
        </w:rPr>
        <w:t xml:space="preserve"> (</w:t>
      </w:r>
      <w:r>
        <w:rPr>
          <w:rFonts w:ascii="Times New Roman" w:hAnsi="Times New Roman"/>
          <w:b w:val="0"/>
          <w:color w:val="auto"/>
          <w:sz w:val="24"/>
          <w:szCs w:val="24"/>
        </w:rPr>
        <w:t xml:space="preserve">Fuente: </w:t>
      </w:r>
      <w:r w:rsidRPr="003C5C38">
        <w:rPr>
          <w:rFonts w:ascii="Times New Roman" w:hAnsi="Times New Roman"/>
          <w:b w:val="0"/>
          <w:color w:val="auto"/>
          <w:sz w:val="24"/>
          <w:szCs w:val="24"/>
        </w:rPr>
        <w:t xml:space="preserve">Fedea - </w:t>
      </w:r>
      <w:r w:rsidRPr="003C5C38">
        <w:rPr>
          <w:rFonts w:ascii="Times New Roman" w:hAnsi="Times New Roman"/>
          <w:color w:val="auto"/>
          <w:sz w:val="24"/>
          <w:szCs w:val="24"/>
        </w:rPr>
        <w:t>12/12/11</w:t>
      </w:r>
      <w:r w:rsidRPr="003C5C38">
        <w:rPr>
          <w:rFonts w:ascii="Times New Roman" w:hAnsi="Times New Roman"/>
          <w:b w:val="0"/>
          <w:color w:val="auto"/>
          <w:sz w:val="24"/>
          <w:szCs w:val="24"/>
        </w:rPr>
        <w:t>)</w:t>
      </w:r>
    </w:p>
    <w:p w:rsidR="00854453" w:rsidRPr="00D80E9A" w:rsidRDefault="00854453" w:rsidP="00387350">
      <w:pPr>
        <w:pStyle w:val="headlinemeta"/>
        <w:jc w:val="both"/>
      </w:pPr>
      <w:r w:rsidRPr="00D80E9A">
        <w:t>Comentábamos en uno de los posts sobre la cumbre que el déficit y deuda pública no hubieran servido para predecir que Irlanda y España iban a tener problemas. De hecho, fueron de los mejores alumnos de la clase.</w:t>
      </w:r>
    </w:p>
    <w:p w:rsidR="00854453" w:rsidRDefault="00854453" w:rsidP="00387350">
      <w:pPr>
        <w:pStyle w:val="NormalWeb"/>
        <w:jc w:val="both"/>
      </w:pPr>
      <w:r w:rsidRPr="00D80E9A">
        <w:t>Algunos lectores protestaron, así que aquí va la prueba. Estos gráficos muestran    (h/t FTAlphaville, NakedCapitalism) que España tuvo, hasta que vino la crisis, un comportamiento más que impecable en los dos criterios clave, al contrario que Alemania o Francia.</w:t>
      </w:r>
    </w:p>
    <w:p w:rsidR="00656BF7" w:rsidRDefault="00656BF7" w:rsidP="00387350">
      <w:pPr>
        <w:pStyle w:val="NormalWeb"/>
        <w:jc w:val="both"/>
      </w:pPr>
      <w:r>
        <w:lastRenderedPageBreak/>
        <w:t xml:space="preserve">          </w:t>
      </w:r>
      <w:r>
        <w:rPr>
          <w:noProof/>
        </w:rPr>
        <w:drawing>
          <wp:inline distT="0" distB="0" distL="0" distR="0" wp14:anchorId="26F0D351" wp14:editId="7FE77EF2">
            <wp:extent cx="4535021" cy="4059936"/>
            <wp:effectExtent l="0" t="0" r="0" b="0"/>
            <wp:docPr id="193" name="Imagen 193" descr="debt%20GDP%20rat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bt%20GDP%20ratio"/>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35170" cy="4060070"/>
                    </a:xfrm>
                    <a:prstGeom prst="rect">
                      <a:avLst/>
                    </a:prstGeom>
                    <a:noFill/>
                    <a:ln>
                      <a:noFill/>
                    </a:ln>
                  </pic:spPr>
                </pic:pic>
              </a:graphicData>
            </a:graphic>
          </wp:inline>
        </w:drawing>
      </w:r>
    </w:p>
    <w:p w:rsidR="00656BF7" w:rsidRDefault="00656BF7" w:rsidP="00387350">
      <w:pPr>
        <w:pStyle w:val="NormalWeb"/>
        <w:jc w:val="both"/>
      </w:pPr>
      <w:r>
        <w:t xml:space="preserve">           </w:t>
      </w:r>
      <w:r>
        <w:rPr>
          <w:noProof/>
        </w:rPr>
        <w:drawing>
          <wp:inline distT="0" distB="0" distL="0" distR="0" wp14:anchorId="6EFE16C7" wp14:editId="24BCBCB7">
            <wp:extent cx="4542738" cy="4528109"/>
            <wp:effectExtent l="0" t="0" r="0" b="6350"/>
            <wp:docPr id="192" name="Imagen 192" descr="deficit%20GDP%20rat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ficit%20GDP%20ratio"/>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42790" cy="4528160"/>
                    </a:xfrm>
                    <a:prstGeom prst="rect">
                      <a:avLst/>
                    </a:prstGeom>
                    <a:noFill/>
                    <a:ln>
                      <a:noFill/>
                    </a:ln>
                  </pic:spPr>
                </pic:pic>
              </a:graphicData>
            </a:graphic>
          </wp:inline>
        </w:drawing>
      </w:r>
    </w:p>
    <w:p w:rsidR="00D80E9A" w:rsidRPr="00D80E9A" w:rsidRDefault="00D80E9A" w:rsidP="00387350">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w:t>
      </w:r>
      <w:r w:rsidRPr="00D80E9A">
        <w:rPr>
          <w:rFonts w:ascii="Times New Roman" w:eastAsia="Times New Roman" w:hAnsi="Times New Roman"/>
          <w:sz w:val="24"/>
          <w:szCs w:val="24"/>
          <w:lang w:eastAsia="es-ES"/>
        </w:rPr>
        <w:t>Mientras desde el Viejo Continente nos llegan noticias cada vez peores, son muchos los que han empezado a preguntarse cuánto tardará nuestro Estado de Bienestar en poner rumbo al despeñadero. La mala noticia ya está aquí: puede que ya estemos en la senda.</w:t>
      </w:r>
    </w:p>
    <w:p w:rsidR="00D80E9A" w:rsidRPr="00D80E9A" w:rsidRDefault="00031595" w:rsidP="00387350">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Este año -</w:t>
      </w:r>
      <w:r w:rsidR="00D80E9A" w:rsidRPr="00D80E9A">
        <w:rPr>
          <w:rFonts w:ascii="Times New Roman" w:eastAsia="Times New Roman" w:hAnsi="Times New Roman"/>
          <w:sz w:val="24"/>
          <w:szCs w:val="24"/>
          <w:lang w:eastAsia="es-ES"/>
        </w:rPr>
        <w:t xml:space="preserve">ya son cuatro los ejercicios consecutivos en que hemos pedido prestado más de un billón de </w:t>
      </w:r>
      <w:r>
        <w:rPr>
          <w:rFonts w:ascii="Times New Roman" w:eastAsia="Times New Roman" w:hAnsi="Times New Roman"/>
          <w:sz w:val="24"/>
          <w:szCs w:val="24"/>
          <w:lang w:eastAsia="es-ES"/>
        </w:rPr>
        <w:t>dólares para sostener el Estado-</w:t>
      </w:r>
      <w:r w:rsidR="00D80E9A" w:rsidRPr="00D80E9A">
        <w:rPr>
          <w:rFonts w:ascii="Times New Roman" w:eastAsia="Times New Roman" w:hAnsi="Times New Roman"/>
          <w:sz w:val="24"/>
          <w:szCs w:val="24"/>
          <w:lang w:eastAsia="es-ES"/>
        </w:rPr>
        <w:t xml:space="preserve">, el déficit presupuestario superará los 1,3 billones de dólares, el 8,7% del PIB. Si cree que eso suena mal, es porque es malo. De hecho, solo dos países europeos, Grecia e Irlanda, tienen un déficit superior. </w:t>
      </w:r>
    </w:p>
    <w:p w:rsidR="00D80E9A" w:rsidRPr="00D80E9A" w:rsidRDefault="00D80E9A" w:rsidP="00387350">
      <w:pPr>
        <w:spacing w:line="240" w:lineRule="auto"/>
        <w:jc w:val="both"/>
        <w:rPr>
          <w:rFonts w:ascii="Times New Roman" w:eastAsia="Times New Roman" w:hAnsi="Times New Roman"/>
          <w:sz w:val="24"/>
          <w:szCs w:val="24"/>
          <w:lang w:eastAsia="es-ES"/>
        </w:rPr>
      </w:pPr>
      <w:r w:rsidRPr="00D80E9A">
        <w:rPr>
          <w:rFonts w:ascii="Times New Roman" w:eastAsia="Times New Roman" w:hAnsi="Times New Roman"/>
          <w:sz w:val="24"/>
          <w:szCs w:val="24"/>
          <w:lang w:eastAsia="es-ES"/>
        </w:rPr>
        <w:t xml:space="preserve">En cuanto a nuestra deuda, supera los 15,3 billones de dólares, equivalente al 102% del PIB. Solamente cuatro países europeos tienen deudas superiores: Grecia, Irlanda, Portugal e Italia. Esto quiere decir que nuestro Gobierno es fiscalmente menos responsable que los de países como Francia, Bélgica o España. </w:t>
      </w:r>
    </w:p>
    <w:p w:rsidR="00D80E9A" w:rsidRDefault="00D80E9A" w:rsidP="00387350">
      <w:pPr>
        <w:spacing w:line="240" w:lineRule="auto"/>
        <w:jc w:val="both"/>
        <w:rPr>
          <w:rFonts w:ascii="Times New Roman" w:eastAsia="Times New Roman" w:hAnsi="Times New Roman"/>
          <w:sz w:val="24"/>
          <w:szCs w:val="24"/>
          <w:lang w:eastAsia="es-ES"/>
        </w:rPr>
      </w:pPr>
      <w:r w:rsidRPr="00D80E9A">
        <w:rPr>
          <w:rFonts w:ascii="Times New Roman" w:eastAsia="Times New Roman" w:hAnsi="Times New Roman"/>
          <w:sz w:val="24"/>
          <w:szCs w:val="24"/>
          <w:lang w:eastAsia="es-ES"/>
        </w:rPr>
        <w:t>Si las cosas están mal ahora, en el futuro pueden estar aún peor. Si a la deuda oficial añadimos las obligaciones de pago de la Seguridad Social y Medicare en concepto de pensiones y demás, en realidad debemos entre 72 y 137 billones (la primera cifra tiene en cuenta el ahorro en el Medicare que según el Gobierno podría suponer el Obamacare). O sea, entre un 480 y un estupefaciente 911% del PIB. Aplicando los mismos baremos, la nación más endeudada de Europa es Grecia, que debería el 875% del PIB. O sea, sí, menos que nosotros. Francia, el segundo peor país europeo en esta lista, debe sólo el 549% del PIB. Incluso en el escenario más optimista, EEUU debe más que paradigmas de la irresponsabilidad fiscal como Irlanda, Italia, Portugal y España</w:t>
      </w:r>
      <w:r>
        <w:rPr>
          <w:rFonts w:ascii="Times New Roman" w:eastAsia="Times New Roman" w:hAnsi="Times New Roman"/>
          <w:sz w:val="24"/>
          <w:szCs w:val="24"/>
          <w:lang w:eastAsia="es-ES"/>
        </w:rPr>
        <w:t>…</w:t>
      </w:r>
    </w:p>
    <w:p w:rsidR="00D80E9A" w:rsidRPr="00D80E9A" w:rsidRDefault="00D80E9A" w:rsidP="00387350">
      <w:pPr>
        <w:spacing w:line="240" w:lineRule="auto"/>
        <w:jc w:val="both"/>
        <w:rPr>
          <w:rFonts w:ascii="Times New Roman" w:eastAsia="Times New Roman" w:hAnsi="Times New Roman"/>
          <w:sz w:val="24"/>
          <w:szCs w:val="24"/>
          <w:lang w:eastAsia="es-ES"/>
        </w:rPr>
      </w:pPr>
      <w:r w:rsidRPr="00D80E9A">
        <w:rPr>
          <w:rFonts w:ascii="Times New Roman" w:eastAsia="Times New Roman" w:hAnsi="Times New Roman"/>
          <w:sz w:val="24"/>
          <w:szCs w:val="24"/>
          <w:lang w:eastAsia="es-ES"/>
        </w:rPr>
        <w:t xml:space="preserve">Tal vez podamos obtener algún consuelo del hecho de que nuestro Estado de Bienestar aún no es tan grande como el europeo. Pero la palabra clave aquí es aún. Hoy en día, el Gobierno federal gasta más del 24% del PIB. Añada el gasto de todas las demás administraciones y verá que el Estado consume más del 43% de todo lo que produce el país. Una cifra altísima, sí, pero aún es inferior a la europea, donde el promedio está por encima del 50% del PIB. Ahora bien, la Oficina de Presupuesto del Congreso proyecta que el gasto del Gobierno federal supere el 42% del PIB allá por el 2050. El gasto público total excederá el 59% del PIB, según ese cálculo. </w:t>
      </w:r>
    </w:p>
    <w:p w:rsidR="00D80E9A" w:rsidRPr="00D80E9A" w:rsidRDefault="00D80E9A" w:rsidP="00387350">
      <w:pPr>
        <w:spacing w:line="240" w:lineRule="auto"/>
        <w:jc w:val="both"/>
        <w:rPr>
          <w:rFonts w:ascii="Times New Roman" w:eastAsia="Times New Roman" w:hAnsi="Times New Roman"/>
          <w:sz w:val="24"/>
          <w:szCs w:val="24"/>
          <w:lang w:eastAsia="es-ES"/>
        </w:rPr>
      </w:pPr>
      <w:r w:rsidRPr="00D80E9A">
        <w:rPr>
          <w:rFonts w:ascii="Times New Roman" w:eastAsia="Times New Roman" w:hAnsi="Times New Roman"/>
          <w:sz w:val="24"/>
          <w:szCs w:val="24"/>
          <w:lang w:eastAsia="es-ES"/>
        </w:rPr>
        <w:t>A modo de comparación, hoy en día Irlanda es el único país de Europa con un Estado más grande de lo que sería el de EEUU en 2050. Para entonces podríamos tener un Estado mayor que el de paradigmas del asistencialismo como Dinamarca o Suecia.</w:t>
      </w:r>
    </w:p>
    <w:p w:rsidR="00D80E9A" w:rsidRPr="00D80E9A" w:rsidRDefault="00D80E9A" w:rsidP="00387350">
      <w:pPr>
        <w:spacing w:line="240" w:lineRule="auto"/>
        <w:jc w:val="both"/>
        <w:rPr>
          <w:rFonts w:ascii="Times New Roman" w:eastAsia="Times New Roman" w:hAnsi="Times New Roman"/>
          <w:sz w:val="24"/>
          <w:szCs w:val="24"/>
          <w:lang w:eastAsia="es-ES"/>
        </w:rPr>
      </w:pPr>
      <w:r w:rsidRPr="00D80E9A">
        <w:rPr>
          <w:rFonts w:ascii="Times New Roman" w:eastAsia="Times New Roman" w:hAnsi="Times New Roman"/>
          <w:sz w:val="24"/>
          <w:szCs w:val="24"/>
          <w:lang w:eastAsia="es-ES"/>
        </w:rPr>
        <w:t xml:space="preserve"> Llegados a ese punto, ¿dejará EEUU de ser EEUU?</w:t>
      </w:r>
    </w:p>
    <w:p w:rsidR="00D80E9A" w:rsidRDefault="00D80E9A" w:rsidP="00387350">
      <w:pPr>
        <w:spacing w:line="240" w:lineRule="auto"/>
        <w:jc w:val="both"/>
        <w:rPr>
          <w:rFonts w:ascii="Times New Roman" w:eastAsia="Times New Roman" w:hAnsi="Times New Roman"/>
          <w:sz w:val="24"/>
          <w:szCs w:val="24"/>
          <w:lang w:eastAsia="es-ES"/>
        </w:rPr>
      </w:pPr>
      <w:r w:rsidRPr="00D80E9A">
        <w:rPr>
          <w:rFonts w:ascii="Times New Roman" w:eastAsia="Times New Roman" w:hAnsi="Times New Roman"/>
          <w:sz w:val="24"/>
          <w:szCs w:val="24"/>
          <w:lang w:eastAsia="es-ES"/>
        </w:rPr>
        <w:t>¿Puede nuestra economía sobrevivir a la carga de gasto público, impuestos y deuda que soporta?</w:t>
      </w:r>
      <w:r>
        <w:rPr>
          <w:rFonts w:ascii="Times New Roman" w:eastAsia="Times New Roman" w:hAnsi="Times New Roman"/>
          <w:sz w:val="24"/>
          <w:szCs w:val="24"/>
          <w:lang w:eastAsia="es-ES"/>
        </w:rPr>
        <w:t xml:space="preserve">”… </w:t>
      </w:r>
      <w:r w:rsidRPr="00E07DE4">
        <w:rPr>
          <w:rFonts w:ascii="Times New Roman" w:eastAsia="Times New Roman" w:hAnsi="Times New Roman"/>
          <w:sz w:val="24"/>
          <w:szCs w:val="24"/>
          <w:u w:val="single"/>
          <w:lang w:eastAsia="es-ES"/>
        </w:rPr>
        <w:t>Estados Unidos</w:t>
      </w:r>
      <w:r>
        <w:rPr>
          <w:rFonts w:ascii="Times New Roman" w:eastAsia="Times New Roman" w:hAnsi="Times New Roman"/>
          <w:sz w:val="24"/>
          <w:szCs w:val="24"/>
          <w:lang w:eastAsia="es-ES"/>
        </w:rPr>
        <w:t xml:space="preserve"> - </w:t>
      </w:r>
      <w:r w:rsidRPr="00603650">
        <w:rPr>
          <w:rFonts w:ascii="Times New Roman" w:eastAsia="Times New Roman" w:hAnsi="Times New Roman"/>
          <w:sz w:val="24"/>
          <w:szCs w:val="24"/>
          <w:u w:val="single"/>
          <w:lang w:eastAsia="es-ES"/>
        </w:rPr>
        <w:t>Ya somos como Europa</w:t>
      </w:r>
      <w:r>
        <w:rPr>
          <w:rFonts w:ascii="Times New Roman" w:eastAsia="Times New Roman" w:hAnsi="Times New Roman"/>
          <w:sz w:val="24"/>
          <w:szCs w:val="24"/>
          <w:lang w:eastAsia="es-ES"/>
        </w:rPr>
        <w:t xml:space="preserve"> (Libertad Digital - </w:t>
      </w:r>
      <w:r>
        <w:rPr>
          <w:rFonts w:ascii="Times New Roman" w:eastAsia="Times New Roman" w:hAnsi="Times New Roman"/>
          <w:b/>
          <w:sz w:val="24"/>
          <w:szCs w:val="24"/>
          <w:lang w:eastAsia="es-ES"/>
        </w:rPr>
        <w:t>12</w:t>
      </w:r>
      <w:r w:rsidRPr="00603650">
        <w:rPr>
          <w:rFonts w:ascii="Times New Roman" w:eastAsia="Times New Roman" w:hAnsi="Times New Roman"/>
          <w:b/>
          <w:sz w:val="24"/>
          <w:szCs w:val="24"/>
          <w:lang w:eastAsia="es-ES"/>
        </w:rPr>
        <w:t>/3/12</w:t>
      </w:r>
      <w:r>
        <w:rPr>
          <w:rFonts w:ascii="Times New Roman" w:eastAsia="Times New Roman" w:hAnsi="Times New Roman"/>
          <w:sz w:val="24"/>
          <w:szCs w:val="24"/>
          <w:lang w:eastAsia="es-ES"/>
        </w:rPr>
        <w:t>) (</w:t>
      </w:r>
      <w:r w:rsidRPr="00222501">
        <w:rPr>
          <w:rFonts w:ascii="Times New Roman" w:eastAsia="Times New Roman" w:hAnsi="Times New Roman"/>
          <w:sz w:val="24"/>
          <w:szCs w:val="24"/>
          <w:lang w:eastAsia="es-ES"/>
        </w:rPr>
        <w:t>© El Cato</w:t>
      </w:r>
      <w:r>
        <w:rPr>
          <w:rFonts w:ascii="Times New Roman" w:eastAsia="Times New Roman" w:hAnsi="Times New Roman"/>
          <w:sz w:val="24"/>
          <w:szCs w:val="24"/>
          <w:lang w:eastAsia="es-ES"/>
        </w:rPr>
        <w:t xml:space="preserve"> - </w:t>
      </w:r>
      <w:r w:rsidRPr="00222501">
        <w:rPr>
          <w:rFonts w:ascii="Times New Roman" w:eastAsia="Times New Roman" w:hAnsi="Times New Roman"/>
          <w:sz w:val="24"/>
          <w:szCs w:val="24"/>
          <w:lang w:eastAsia="es-ES"/>
        </w:rPr>
        <w:t>M</w:t>
      </w:r>
      <w:r>
        <w:rPr>
          <w:rFonts w:ascii="Times New Roman" w:eastAsia="Times New Roman" w:hAnsi="Times New Roman"/>
          <w:sz w:val="24"/>
          <w:szCs w:val="24"/>
          <w:lang w:eastAsia="es-ES"/>
        </w:rPr>
        <w:t>ichael D. Tanner</w:t>
      </w:r>
      <w:r w:rsidRPr="00222501">
        <w:rPr>
          <w:rFonts w:ascii="Times New Roman" w:eastAsia="Times New Roman" w:hAnsi="Times New Roman"/>
          <w:sz w:val="24"/>
          <w:szCs w:val="24"/>
          <w:lang w:eastAsia="es-ES"/>
        </w:rPr>
        <w:t>, director del Proyecto del Cato Institute para la Priva</w:t>
      </w:r>
      <w:r>
        <w:rPr>
          <w:rFonts w:ascii="Times New Roman" w:eastAsia="Times New Roman" w:hAnsi="Times New Roman"/>
          <w:sz w:val="24"/>
          <w:szCs w:val="24"/>
          <w:lang w:eastAsia="es-ES"/>
        </w:rPr>
        <w:t>tización de la Seguridad Social)</w:t>
      </w:r>
    </w:p>
    <w:p w:rsidR="00854453" w:rsidRDefault="00854453" w:rsidP="00387350">
      <w:pPr>
        <w:spacing w:line="240" w:lineRule="auto"/>
        <w:jc w:val="both"/>
        <w:rPr>
          <w:rFonts w:ascii="Times New Roman" w:eastAsia="Times New Roman" w:hAnsi="Times New Roman"/>
          <w:sz w:val="24"/>
          <w:szCs w:val="24"/>
          <w:lang w:eastAsia="es-ES"/>
        </w:rPr>
      </w:pPr>
    </w:p>
    <w:p w:rsidR="00854453" w:rsidRDefault="00854453" w:rsidP="00387350">
      <w:pPr>
        <w:spacing w:line="240" w:lineRule="auto"/>
        <w:jc w:val="both"/>
        <w:rPr>
          <w:rFonts w:ascii="Times New Roman" w:eastAsia="Times New Roman" w:hAnsi="Times New Roman"/>
          <w:sz w:val="24"/>
          <w:szCs w:val="24"/>
          <w:lang w:eastAsia="es-ES"/>
        </w:rPr>
      </w:pPr>
    </w:p>
    <w:p w:rsidR="00854453" w:rsidRDefault="00854453" w:rsidP="00387350">
      <w:pPr>
        <w:spacing w:line="240" w:lineRule="auto"/>
        <w:jc w:val="both"/>
        <w:rPr>
          <w:rFonts w:ascii="Times New Roman" w:eastAsia="Times New Roman" w:hAnsi="Times New Roman"/>
          <w:sz w:val="24"/>
          <w:szCs w:val="24"/>
          <w:lang w:eastAsia="es-ES"/>
        </w:rPr>
      </w:pPr>
    </w:p>
    <w:p w:rsidR="005A1A1C" w:rsidRDefault="00E07DE4" w:rsidP="00387350">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u w:val="single"/>
          <w:lang w:eastAsia="es-ES"/>
        </w:rPr>
        <w:lastRenderedPageBreak/>
        <w:t>Ratios de deuda</w:t>
      </w:r>
      <w:r w:rsidR="005A1A1C" w:rsidRPr="005A1A1C">
        <w:rPr>
          <w:rFonts w:ascii="Times New Roman" w:eastAsia="Times New Roman" w:hAnsi="Times New Roman"/>
          <w:sz w:val="24"/>
          <w:szCs w:val="24"/>
          <w:u w:val="single"/>
          <w:lang w:eastAsia="es-ES"/>
        </w:rPr>
        <w:t xml:space="preserve"> de</w:t>
      </w:r>
      <w:r>
        <w:rPr>
          <w:rFonts w:ascii="Times New Roman" w:eastAsia="Times New Roman" w:hAnsi="Times New Roman"/>
          <w:sz w:val="24"/>
          <w:szCs w:val="24"/>
          <w:u w:val="single"/>
          <w:lang w:eastAsia="es-ES"/>
        </w:rPr>
        <w:t xml:space="preserve"> las Administraciones Públicas</w:t>
      </w:r>
      <w:r w:rsidR="005A1A1C" w:rsidRPr="005A1A1C">
        <w:rPr>
          <w:rFonts w:ascii="Times New Roman" w:eastAsia="Times New Roman" w:hAnsi="Times New Roman"/>
          <w:sz w:val="24"/>
          <w:szCs w:val="24"/>
          <w:u w:val="single"/>
          <w:lang w:eastAsia="es-ES"/>
        </w:rPr>
        <w:t xml:space="preserve"> l</w:t>
      </w:r>
      <w:r w:rsidR="005A1A1C">
        <w:rPr>
          <w:rFonts w:ascii="Times New Roman" w:eastAsia="Times New Roman" w:hAnsi="Times New Roman"/>
          <w:sz w:val="24"/>
          <w:szCs w:val="24"/>
          <w:u w:val="single"/>
          <w:lang w:eastAsia="es-ES"/>
        </w:rPr>
        <w:t xml:space="preserve">os países de la zona euro, 2007 </w:t>
      </w:r>
      <w:r>
        <w:rPr>
          <w:rFonts w:ascii="Times New Roman" w:eastAsia="Times New Roman" w:hAnsi="Times New Roman"/>
          <w:sz w:val="24"/>
          <w:szCs w:val="24"/>
          <w:u w:val="single"/>
          <w:lang w:eastAsia="es-ES"/>
        </w:rPr>
        <w:t>-</w:t>
      </w:r>
      <w:r w:rsidR="005A1A1C">
        <w:rPr>
          <w:rFonts w:ascii="Times New Roman" w:eastAsia="Times New Roman" w:hAnsi="Times New Roman"/>
          <w:sz w:val="24"/>
          <w:szCs w:val="24"/>
          <w:u w:val="single"/>
          <w:lang w:eastAsia="es-ES"/>
        </w:rPr>
        <w:t xml:space="preserve"> </w:t>
      </w:r>
      <w:r w:rsidR="005A1A1C" w:rsidRPr="005A1A1C">
        <w:rPr>
          <w:rFonts w:ascii="Times New Roman" w:eastAsia="Times New Roman" w:hAnsi="Times New Roman"/>
          <w:sz w:val="24"/>
          <w:szCs w:val="24"/>
          <w:u w:val="single"/>
          <w:lang w:eastAsia="es-ES"/>
        </w:rPr>
        <w:t>2011</w:t>
      </w:r>
      <w:r>
        <w:rPr>
          <w:rFonts w:ascii="Times New Roman" w:eastAsia="Times New Roman" w:hAnsi="Times New Roman"/>
          <w:sz w:val="24"/>
          <w:szCs w:val="24"/>
          <w:u w:val="single"/>
          <w:lang w:eastAsia="es-ES"/>
        </w:rPr>
        <w:t xml:space="preserve"> y Necesidades brutas de financiación soberana</w:t>
      </w:r>
      <w:r w:rsidR="005A1A1C">
        <w:rPr>
          <w:rFonts w:ascii="Times New Roman" w:eastAsia="Times New Roman" w:hAnsi="Times New Roman"/>
          <w:sz w:val="24"/>
          <w:szCs w:val="24"/>
          <w:lang w:eastAsia="es-ES"/>
        </w:rPr>
        <w:t xml:space="preserve"> (Fuente: El Confidencial - </w:t>
      </w:r>
      <w:r w:rsidR="005A1A1C" w:rsidRPr="005A1A1C">
        <w:rPr>
          <w:rFonts w:ascii="Times New Roman" w:eastAsia="Times New Roman" w:hAnsi="Times New Roman"/>
          <w:b/>
          <w:sz w:val="24"/>
          <w:szCs w:val="24"/>
          <w:lang w:eastAsia="es-ES"/>
        </w:rPr>
        <w:t>13/4/12</w:t>
      </w:r>
      <w:r w:rsidR="005A1A1C">
        <w:rPr>
          <w:rFonts w:ascii="Times New Roman" w:eastAsia="Times New Roman" w:hAnsi="Times New Roman"/>
          <w:sz w:val="24"/>
          <w:szCs w:val="24"/>
          <w:lang w:eastAsia="es-ES"/>
        </w:rPr>
        <w:t xml:space="preserve">)  </w:t>
      </w:r>
    </w:p>
    <w:p w:rsidR="005A1A1C" w:rsidRDefault="005A1A1C" w:rsidP="00387350">
      <w:pPr>
        <w:spacing w:line="240" w:lineRule="auto"/>
        <w:jc w:val="both"/>
        <w:rPr>
          <w:rFonts w:ascii="Times New Roman" w:eastAsia="Times New Roman" w:hAnsi="Times New Roman"/>
          <w:sz w:val="24"/>
          <w:szCs w:val="24"/>
          <w:lang w:eastAsia="es-ES"/>
        </w:rPr>
      </w:pPr>
    </w:p>
    <w:p w:rsidR="005A1A1C" w:rsidRDefault="005A1A1C" w:rsidP="00387350">
      <w:pPr>
        <w:spacing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77A08C06" wp14:editId="6528B053">
            <wp:extent cx="5244998" cy="3378661"/>
            <wp:effectExtent l="0" t="0" r="0" b="0"/>
            <wp:docPr id="463" name="Imagen 463" descr="El BCE coloca a la deuda pública española en zona de alta vulnerabil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l BCE coloca a la deuda pública española en zona de alta vulnerabilida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46582" cy="3379681"/>
                    </a:xfrm>
                    <a:prstGeom prst="rect">
                      <a:avLst/>
                    </a:prstGeom>
                    <a:noFill/>
                    <a:ln>
                      <a:noFill/>
                    </a:ln>
                  </pic:spPr>
                </pic:pic>
              </a:graphicData>
            </a:graphic>
          </wp:inline>
        </w:drawing>
      </w:r>
    </w:p>
    <w:p w:rsidR="005A1A1C" w:rsidRDefault="005A1A1C" w:rsidP="00387350">
      <w:pPr>
        <w:spacing w:line="240" w:lineRule="auto"/>
        <w:jc w:val="both"/>
        <w:rPr>
          <w:rFonts w:ascii="Times New Roman" w:eastAsia="Times New Roman" w:hAnsi="Times New Roman"/>
          <w:sz w:val="24"/>
          <w:szCs w:val="24"/>
          <w:lang w:eastAsia="es-ES"/>
        </w:rPr>
      </w:pPr>
    </w:p>
    <w:p w:rsidR="005A1A1C" w:rsidRDefault="005A1A1C" w:rsidP="00387350">
      <w:pPr>
        <w:spacing w:line="240" w:lineRule="auto"/>
        <w:jc w:val="both"/>
        <w:rPr>
          <w:rFonts w:ascii="Times New Roman" w:eastAsia="Times New Roman" w:hAnsi="Times New Roman"/>
          <w:sz w:val="24"/>
          <w:szCs w:val="24"/>
          <w:lang w:eastAsia="es-ES"/>
        </w:rPr>
      </w:pPr>
    </w:p>
    <w:p w:rsidR="005A1A1C" w:rsidRDefault="005A1A1C" w:rsidP="00387350">
      <w:pPr>
        <w:spacing w:line="240" w:lineRule="auto"/>
        <w:jc w:val="both"/>
        <w:rPr>
          <w:rFonts w:ascii="Times New Roman" w:eastAsia="Times New Roman" w:hAnsi="Times New Roman"/>
          <w:sz w:val="24"/>
          <w:szCs w:val="24"/>
          <w:lang w:eastAsia="es-ES"/>
        </w:rPr>
      </w:pPr>
    </w:p>
    <w:p w:rsidR="005A1A1C" w:rsidRDefault="005A1A1C" w:rsidP="00387350">
      <w:pPr>
        <w:spacing w:line="240" w:lineRule="auto"/>
        <w:jc w:val="both"/>
        <w:rPr>
          <w:rFonts w:ascii="Times New Roman" w:eastAsia="Times New Roman" w:hAnsi="Times New Roman"/>
          <w:sz w:val="24"/>
          <w:szCs w:val="24"/>
          <w:lang w:eastAsia="es-ES"/>
        </w:rPr>
      </w:pPr>
    </w:p>
    <w:p w:rsidR="005A1A1C" w:rsidRDefault="005A1A1C" w:rsidP="00387350">
      <w:pPr>
        <w:spacing w:line="240" w:lineRule="auto"/>
        <w:jc w:val="both"/>
        <w:rPr>
          <w:rFonts w:ascii="Times New Roman" w:eastAsia="Times New Roman" w:hAnsi="Times New Roman"/>
          <w:sz w:val="24"/>
          <w:szCs w:val="24"/>
          <w:lang w:eastAsia="es-ES"/>
        </w:rPr>
      </w:pPr>
      <w:r>
        <w:rPr>
          <w:noProof/>
          <w:lang w:eastAsia="es-ES"/>
        </w:rPr>
        <w:drawing>
          <wp:anchor distT="0" distB="0" distL="0" distR="0" simplePos="0" relativeHeight="251667456" behindDoc="0" locked="0" layoutInCell="1" allowOverlap="0" wp14:anchorId="65013A97" wp14:editId="7B3195E8">
            <wp:simplePos x="0" y="0"/>
            <wp:positionH relativeFrom="column">
              <wp:posOffset>356235</wp:posOffset>
            </wp:positionH>
            <wp:positionV relativeFrom="line">
              <wp:posOffset>-603885</wp:posOffset>
            </wp:positionV>
            <wp:extent cx="4806315" cy="3992880"/>
            <wp:effectExtent l="0" t="0" r="0" b="7620"/>
            <wp:wrapSquare wrapText="bothSides"/>
            <wp:docPr id="34" name="Imagen 34" descr="2012041223grafic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2041223grafico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06315" cy="3992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06E4" w:rsidRDefault="008606E4" w:rsidP="00387350">
      <w:pPr>
        <w:spacing w:line="240" w:lineRule="auto"/>
        <w:rPr>
          <w:rFonts w:ascii="Times New Roman" w:hAnsi="Times New Roman" w:cs="Times New Roman"/>
          <w:b/>
          <w:sz w:val="24"/>
          <w:szCs w:val="24"/>
        </w:rPr>
      </w:pPr>
    </w:p>
    <w:p w:rsidR="005A1A1C" w:rsidRDefault="005A1A1C" w:rsidP="00387350">
      <w:pPr>
        <w:spacing w:line="240" w:lineRule="auto"/>
        <w:rPr>
          <w:rFonts w:ascii="Times New Roman" w:hAnsi="Times New Roman" w:cs="Times New Roman"/>
          <w:b/>
          <w:sz w:val="24"/>
          <w:szCs w:val="24"/>
        </w:rPr>
      </w:pPr>
    </w:p>
    <w:p w:rsidR="005A1A1C" w:rsidRDefault="005A1A1C" w:rsidP="00387350">
      <w:pPr>
        <w:spacing w:line="240" w:lineRule="auto"/>
        <w:rPr>
          <w:rFonts w:ascii="Times New Roman" w:hAnsi="Times New Roman" w:cs="Times New Roman"/>
          <w:b/>
          <w:sz w:val="24"/>
          <w:szCs w:val="24"/>
        </w:rPr>
      </w:pPr>
    </w:p>
    <w:p w:rsidR="005A1A1C" w:rsidRDefault="005A1A1C" w:rsidP="00387350">
      <w:pPr>
        <w:spacing w:line="240" w:lineRule="auto"/>
        <w:rPr>
          <w:rFonts w:ascii="Times New Roman" w:hAnsi="Times New Roman" w:cs="Times New Roman"/>
          <w:b/>
          <w:sz w:val="24"/>
          <w:szCs w:val="24"/>
        </w:rPr>
      </w:pPr>
    </w:p>
    <w:p w:rsidR="005A1A1C" w:rsidRDefault="005A1A1C" w:rsidP="00387350">
      <w:pPr>
        <w:spacing w:line="240" w:lineRule="auto"/>
        <w:rPr>
          <w:rFonts w:ascii="Times New Roman" w:hAnsi="Times New Roman" w:cs="Times New Roman"/>
          <w:b/>
          <w:sz w:val="24"/>
          <w:szCs w:val="24"/>
        </w:rPr>
      </w:pPr>
    </w:p>
    <w:p w:rsidR="005A1A1C" w:rsidRDefault="005A1A1C" w:rsidP="00387350">
      <w:pPr>
        <w:spacing w:line="240" w:lineRule="auto"/>
        <w:rPr>
          <w:rFonts w:ascii="Times New Roman" w:hAnsi="Times New Roman" w:cs="Times New Roman"/>
          <w:b/>
          <w:sz w:val="24"/>
          <w:szCs w:val="24"/>
        </w:rPr>
      </w:pPr>
    </w:p>
    <w:p w:rsidR="005A1A1C" w:rsidRDefault="005A1A1C" w:rsidP="00387350">
      <w:pPr>
        <w:spacing w:line="240" w:lineRule="auto"/>
        <w:rPr>
          <w:rFonts w:ascii="Times New Roman" w:hAnsi="Times New Roman" w:cs="Times New Roman"/>
          <w:b/>
          <w:sz w:val="24"/>
          <w:szCs w:val="24"/>
        </w:rPr>
      </w:pPr>
    </w:p>
    <w:p w:rsidR="005A1A1C" w:rsidRDefault="005A1A1C" w:rsidP="00387350">
      <w:pPr>
        <w:spacing w:line="240" w:lineRule="auto"/>
        <w:rPr>
          <w:rFonts w:ascii="Times New Roman" w:hAnsi="Times New Roman" w:cs="Times New Roman"/>
          <w:b/>
          <w:sz w:val="24"/>
          <w:szCs w:val="24"/>
        </w:rPr>
      </w:pPr>
    </w:p>
    <w:p w:rsidR="005A1A1C" w:rsidRDefault="005A1A1C" w:rsidP="00387350">
      <w:pPr>
        <w:spacing w:line="240" w:lineRule="auto"/>
        <w:rPr>
          <w:rFonts w:ascii="Times New Roman" w:hAnsi="Times New Roman" w:cs="Times New Roman"/>
          <w:b/>
          <w:sz w:val="24"/>
          <w:szCs w:val="24"/>
        </w:rPr>
      </w:pPr>
    </w:p>
    <w:p w:rsidR="00031595" w:rsidRDefault="00031595" w:rsidP="00387350">
      <w:pPr>
        <w:spacing w:line="240" w:lineRule="auto"/>
        <w:jc w:val="both"/>
        <w:rPr>
          <w:rFonts w:ascii="Times New Roman" w:hAnsi="Times New Roman"/>
          <w:sz w:val="24"/>
          <w:szCs w:val="24"/>
          <w:u w:val="single"/>
        </w:rPr>
      </w:pPr>
    </w:p>
    <w:p w:rsidR="005A1A1C" w:rsidRPr="005A1A1C" w:rsidRDefault="005A1A1C" w:rsidP="00387350">
      <w:pPr>
        <w:spacing w:line="240" w:lineRule="auto"/>
        <w:jc w:val="both"/>
        <w:rPr>
          <w:rFonts w:ascii="Times New Roman" w:hAnsi="Times New Roman"/>
          <w:sz w:val="24"/>
          <w:szCs w:val="24"/>
        </w:rPr>
      </w:pPr>
      <w:r w:rsidRPr="0060200A">
        <w:rPr>
          <w:rFonts w:ascii="Times New Roman" w:hAnsi="Times New Roman"/>
          <w:sz w:val="24"/>
          <w:szCs w:val="24"/>
          <w:u w:val="single"/>
        </w:rPr>
        <w:lastRenderedPageBreak/>
        <w:t xml:space="preserve">La deuda externa británica, la bomba de relojería de la </w:t>
      </w:r>
      <w:r>
        <w:rPr>
          <w:rFonts w:ascii="Times New Roman" w:hAnsi="Times New Roman"/>
          <w:sz w:val="24"/>
          <w:szCs w:val="24"/>
          <w:u w:val="single"/>
        </w:rPr>
        <w:t>“City”</w:t>
      </w:r>
      <w:r w:rsidR="00E07DE4">
        <w:rPr>
          <w:rFonts w:ascii="Times New Roman" w:hAnsi="Times New Roman"/>
          <w:sz w:val="24"/>
          <w:szCs w:val="24"/>
        </w:rPr>
        <w:t xml:space="preserve"> (</w:t>
      </w:r>
      <w:r>
        <w:rPr>
          <w:rFonts w:ascii="Times New Roman" w:hAnsi="Times New Roman"/>
          <w:sz w:val="24"/>
          <w:szCs w:val="24"/>
        </w:rPr>
        <w:t xml:space="preserve">Fuente: Vozpópuli - </w:t>
      </w:r>
      <w:r w:rsidRPr="0060200A">
        <w:rPr>
          <w:rFonts w:ascii="Times New Roman" w:hAnsi="Times New Roman"/>
          <w:b/>
          <w:sz w:val="24"/>
          <w:szCs w:val="24"/>
        </w:rPr>
        <w:t>17/6/12</w:t>
      </w:r>
      <w:r>
        <w:rPr>
          <w:rFonts w:ascii="Times New Roman" w:hAnsi="Times New Roman"/>
          <w:sz w:val="24"/>
          <w:szCs w:val="24"/>
        </w:rPr>
        <w:t>)</w:t>
      </w:r>
    </w:p>
    <w:p w:rsidR="005A1A1C" w:rsidRDefault="005A1A1C" w:rsidP="00387350">
      <w:pPr>
        <w:spacing w:line="240" w:lineRule="auto"/>
        <w:rPr>
          <w:rFonts w:ascii="Times New Roman" w:hAnsi="Times New Roman" w:cs="Times New Roman"/>
          <w:b/>
          <w:sz w:val="24"/>
          <w:szCs w:val="24"/>
        </w:rPr>
      </w:pPr>
      <w:r>
        <w:rPr>
          <w:noProof/>
          <w:lang w:eastAsia="es-ES"/>
        </w:rPr>
        <w:drawing>
          <wp:inline distT="0" distB="0" distL="0" distR="0" wp14:anchorId="3850EA6E" wp14:editId="133E4F43">
            <wp:extent cx="5398617" cy="3438144"/>
            <wp:effectExtent l="0" t="0" r="0" b="0"/>
            <wp:docPr id="464" name="Imagen 4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ag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40" cy="3439050"/>
                    </a:xfrm>
                    <a:prstGeom prst="rect">
                      <a:avLst/>
                    </a:prstGeom>
                    <a:noFill/>
                    <a:ln>
                      <a:noFill/>
                    </a:ln>
                  </pic:spPr>
                </pic:pic>
              </a:graphicData>
            </a:graphic>
          </wp:inline>
        </w:drawing>
      </w:r>
    </w:p>
    <w:p w:rsidR="008F0A8D" w:rsidRDefault="008F0A8D" w:rsidP="00387350">
      <w:pPr>
        <w:pStyle w:val="NormalWeb"/>
        <w:jc w:val="both"/>
      </w:pPr>
      <w:r w:rsidRPr="007A47FA">
        <w:rPr>
          <w:u w:val="single"/>
        </w:rPr>
        <w:t xml:space="preserve">El sector público Norteamericano en tres gráficos - </w:t>
      </w:r>
      <w:r w:rsidRPr="008F0A8D">
        <w:rPr>
          <w:u w:val="single"/>
        </w:rPr>
        <w:t>EEUU ha incrementado más de un 100% su deuda pública en el último siglo</w:t>
      </w:r>
      <w:r>
        <w:t xml:space="preserve"> (Fuente: Negocios.com - </w:t>
      </w:r>
      <w:r w:rsidRPr="007A47FA">
        <w:rPr>
          <w:b/>
        </w:rPr>
        <w:t>12/7/12</w:t>
      </w:r>
      <w:r>
        <w:t>)</w:t>
      </w:r>
    </w:p>
    <w:p w:rsidR="008F0A8D" w:rsidRPr="008F0A8D" w:rsidRDefault="008F0A8D" w:rsidP="00387350">
      <w:pPr>
        <w:pStyle w:val="NormalWeb"/>
        <w:jc w:val="both"/>
      </w:pPr>
      <w:r w:rsidRPr="008F0A8D">
        <w:t>También ha aumentado el gasto público del 17,18% del PIB hasta el 44%.</w:t>
      </w:r>
    </w:p>
    <w:p w:rsidR="008F0A8D" w:rsidRPr="008F0A8D" w:rsidRDefault="008F0A8D" w:rsidP="00387350">
      <w:pPr>
        <w:pStyle w:val="NormalWeb"/>
        <w:jc w:val="both"/>
      </w:pPr>
      <w:r w:rsidRPr="008F0A8D">
        <w:t>Al inicio del siglo XX, en 1903, el gasto público de EEUU suponía la cifra moderada del 17,18% respecto al PIB. En 1950, el porcentaje aumentó hasta el 23.95, y desde esa fecha, hasta 2011, el dato se ha duplicado alcanzando actualmente más del 44% del PIB.</w:t>
      </w:r>
    </w:p>
    <w:p w:rsidR="008F0A8D" w:rsidRPr="007A47FA" w:rsidRDefault="008F0A8D" w:rsidP="00387350">
      <w:pPr>
        <w:shd w:val="clear" w:color="auto" w:fill="FFFFFF"/>
        <w:spacing w:before="100" w:beforeAutospacing="1" w:after="100" w:afterAutospacing="1" w:line="240" w:lineRule="auto"/>
        <w:rPr>
          <w:rFonts w:ascii="Arial" w:eastAsia="Times New Roman" w:hAnsi="Arial" w:cs="Arial"/>
          <w:color w:val="666666"/>
          <w:sz w:val="23"/>
          <w:szCs w:val="23"/>
          <w:lang w:eastAsia="es-ES"/>
        </w:rPr>
      </w:pPr>
      <w:r>
        <w:rPr>
          <w:rFonts w:ascii="Arial" w:eastAsia="Times New Roman" w:hAnsi="Arial" w:cs="Arial"/>
          <w:noProof/>
          <w:color w:val="666666"/>
          <w:sz w:val="23"/>
          <w:szCs w:val="23"/>
          <w:lang w:eastAsia="es-ES"/>
        </w:rPr>
        <w:drawing>
          <wp:inline distT="0" distB="0" distL="0" distR="0" wp14:anchorId="587373E3" wp14:editId="6031AE4B">
            <wp:extent cx="4762500" cy="2874645"/>
            <wp:effectExtent l="0" t="0" r="0" b="1905"/>
            <wp:docPr id="77" name="Imagen 77" descr="Dibuj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ibujo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62500" cy="2874645"/>
                    </a:xfrm>
                    <a:prstGeom prst="rect">
                      <a:avLst/>
                    </a:prstGeom>
                    <a:noFill/>
                    <a:ln>
                      <a:noFill/>
                    </a:ln>
                  </pic:spPr>
                </pic:pic>
              </a:graphicData>
            </a:graphic>
          </wp:inline>
        </w:drawing>
      </w:r>
    </w:p>
    <w:p w:rsidR="008F0A8D" w:rsidRPr="008F0A8D" w:rsidRDefault="008F0A8D" w:rsidP="00387350">
      <w:pPr>
        <w:pStyle w:val="NormalWeb"/>
        <w:jc w:val="both"/>
      </w:pPr>
      <w:r w:rsidRPr="008F0A8D">
        <w:lastRenderedPageBreak/>
        <w:t>Lo mismo ocurre con la emisión de deuda. El Estado ha ido generando un agujero a sus contribuyentes cada vez más grande. En 1903, los títulos de deuda suponían tan sólo un 6,79% del PIB, y ahora sobrepasan el 100%, llegando al 122,78% en 2012.</w:t>
      </w:r>
    </w:p>
    <w:p w:rsidR="008F0A8D" w:rsidRPr="007A47FA" w:rsidRDefault="008F0A8D" w:rsidP="00387350">
      <w:pPr>
        <w:shd w:val="clear" w:color="auto" w:fill="FFFFFF"/>
        <w:spacing w:before="100" w:beforeAutospacing="1" w:after="100" w:afterAutospacing="1" w:line="240" w:lineRule="auto"/>
        <w:rPr>
          <w:rFonts w:ascii="Arial" w:eastAsia="Times New Roman" w:hAnsi="Arial" w:cs="Arial"/>
          <w:color w:val="666666"/>
          <w:sz w:val="23"/>
          <w:szCs w:val="23"/>
          <w:lang w:eastAsia="es-ES"/>
        </w:rPr>
      </w:pPr>
      <w:r>
        <w:rPr>
          <w:rFonts w:ascii="Arial" w:eastAsia="Times New Roman" w:hAnsi="Arial" w:cs="Arial"/>
          <w:noProof/>
          <w:color w:val="666666"/>
          <w:sz w:val="23"/>
          <w:szCs w:val="23"/>
          <w:lang w:eastAsia="es-ES"/>
        </w:rPr>
        <w:drawing>
          <wp:inline distT="0" distB="0" distL="0" distR="0" wp14:anchorId="6CF8637C" wp14:editId="100D9000">
            <wp:extent cx="4762500" cy="2903855"/>
            <wp:effectExtent l="0" t="0" r="0" b="0"/>
            <wp:docPr id="76" name="Imagen 76" descr="Dibuj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ibujo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62500" cy="2903855"/>
                    </a:xfrm>
                    <a:prstGeom prst="rect">
                      <a:avLst/>
                    </a:prstGeom>
                    <a:noFill/>
                    <a:ln>
                      <a:noFill/>
                    </a:ln>
                  </pic:spPr>
                </pic:pic>
              </a:graphicData>
            </a:graphic>
          </wp:inline>
        </w:drawing>
      </w:r>
    </w:p>
    <w:p w:rsidR="008F0A8D" w:rsidRPr="008F0A8D" w:rsidRDefault="008F0A8D" w:rsidP="00387350">
      <w:pPr>
        <w:pStyle w:val="NormalWeb"/>
        <w:jc w:val="both"/>
      </w:pPr>
      <w:r w:rsidRPr="008F0A8D">
        <w:t>El Gobierno Federal se ha aprovechado de su divisa, que por el momento, es la empleada como reserva de valor y como moneda generalmente aceptada en las transacciones comerciales internacionales, para incrementar su despilfarro.</w:t>
      </w:r>
    </w:p>
    <w:p w:rsidR="008F0A8D" w:rsidRPr="008F0A8D" w:rsidRDefault="008F0A8D" w:rsidP="00387350">
      <w:pPr>
        <w:pStyle w:val="NormalWeb"/>
        <w:jc w:val="both"/>
      </w:pPr>
      <w:r w:rsidRPr="008F0A8D">
        <w:t>Este tercer gráfico muestra cómo la masa monetaria de dólares ha sido incrementada incesantemente por la Reserva Federal para sustentar este mastodóntico ente público.</w:t>
      </w:r>
      <w:r w:rsidRPr="008F0A8D">
        <w:rPr>
          <w:rFonts w:ascii="Arial" w:hAnsi="Arial" w:cs="Arial"/>
          <w:sz w:val="23"/>
          <w:szCs w:val="23"/>
        </w:rPr>
        <w:t>.</w:t>
      </w:r>
    </w:p>
    <w:p w:rsidR="008F0A8D" w:rsidRDefault="008F0A8D" w:rsidP="00387350">
      <w:pPr>
        <w:shd w:val="clear" w:color="auto" w:fill="FFFFFF"/>
        <w:spacing w:before="100" w:beforeAutospacing="1" w:after="100" w:afterAutospacing="1" w:line="240" w:lineRule="auto"/>
        <w:rPr>
          <w:rFonts w:ascii="Arial" w:eastAsia="Times New Roman" w:hAnsi="Arial" w:cs="Arial"/>
          <w:color w:val="666666"/>
          <w:sz w:val="23"/>
          <w:szCs w:val="23"/>
          <w:lang w:eastAsia="es-ES"/>
        </w:rPr>
      </w:pPr>
      <w:r>
        <w:rPr>
          <w:rFonts w:ascii="Arial" w:eastAsia="Times New Roman" w:hAnsi="Arial" w:cs="Arial"/>
          <w:noProof/>
          <w:color w:val="666666"/>
          <w:sz w:val="23"/>
          <w:szCs w:val="23"/>
          <w:lang w:eastAsia="es-ES"/>
        </w:rPr>
        <w:drawing>
          <wp:inline distT="0" distB="0" distL="0" distR="0" wp14:anchorId="7359FE87" wp14:editId="5E867987">
            <wp:extent cx="4762500" cy="2860040"/>
            <wp:effectExtent l="0" t="0" r="0" b="0"/>
            <wp:docPr id="75" name="Imagen 75" descr="Dibuj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ibujo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62500" cy="2860040"/>
                    </a:xfrm>
                    <a:prstGeom prst="rect">
                      <a:avLst/>
                    </a:prstGeom>
                    <a:noFill/>
                    <a:ln>
                      <a:noFill/>
                    </a:ln>
                  </pic:spPr>
                </pic:pic>
              </a:graphicData>
            </a:graphic>
          </wp:inline>
        </w:drawing>
      </w:r>
    </w:p>
    <w:p w:rsidR="00854453" w:rsidRDefault="00854453" w:rsidP="00387350">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p>
    <w:p w:rsidR="00854453" w:rsidRDefault="00854453" w:rsidP="00387350">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p>
    <w:p w:rsidR="008F0A8D" w:rsidRPr="008F0A8D" w:rsidRDefault="008F0A8D" w:rsidP="00387350">
      <w:pPr>
        <w:spacing w:before="100" w:beforeAutospacing="1" w:after="100" w:afterAutospacing="1" w:line="240" w:lineRule="auto"/>
        <w:jc w:val="both"/>
        <w:rPr>
          <w:rFonts w:ascii="Times New Roman" w:eastAsia="Times New Roman" w:hAnsi="Times New Roman"/>
          <w:sz w:val="24"/>
          <w:szCs w:val="24"/>
          <w:lang w:eastAsia="es-ES"/>
        </w:rPr>
      </w:pPr>
      <w:r w:rsidRPr="008F0A8D">
        <w:rPr>
          <w:rFonts w:ascii="Times New Roman" w:eastAsia="Times New Roman" w:hAnsi="Times New Roman" w:cs="Times New Roman"/>
          <w:sz w:val="24"/>
          <w:szCs w:val="24"/>
          <w:u w:val="single"/>
          <w:lang w:eastAsia="es-ES"/>
        </w:rPr>
        <w:lastRenderedPageBreak/>
        <w:t>El endeudamiento público en la Unión Europea</w:t>
      </w:r>
      <w:r w:rsidRPr="008F0A8D">
        <w:rPr>
          <w:rFonts w:ascii="Times New Roman" w:eastAsia="Times New Roman" w:hAnsi="Times New Roman" w:cs="Times New Roman"/>
          <w:sz w:val="24"/>
          <w:szCs w:val="24"/>
          <w:lang w:eastAsia="es-ES"/>
        </w:rPr>
        <w:t xml:space="preserve"> (Fuente:</w:t>
      </w:r>
      <w:r>
        <w:rPr>
          <w:rFonts w:ascii="Times New Roman" w:eastAsia="Times New Roman" w:hAnsi="Times New Roman" w:cs="Times New Roman"/>
          <w:sz w:val="24"/>
          <w:szCs w:val="24"/>
          <w:lang w:eastAsia="es-ES"/>
        </w:rPr>
        <w:t xml:space="preserve"> </w:t>
      </w:r>
      <w:r>
        <w:rPr>
          <w:rFonts w:ascii="Times New Roman" w:eastAsia="Times New Roman" w:hAnsi="Times New Roman"/>
          <w:sz w:val="24"/>
          <w:szCs w:val="24"/>
          <w:lang w:eastAsia="es-ES"/>
        </w:rPr>
        <w:t xml:space="preserve">El País - </w:t>
      </w:r>
      <w:r w:rsidRPr="006C7D91">
        <w:rPr>
          <w:rFonts w:ascii="Times New Roman" w:eastAsia="Times New Roman" w:hAnsi="Times New Roman"/>
          <w:b/>
          <w:sz w:val="24"/>
          <w:szCs w:val="24"/>
          <w:lang w:eastAsia="es-ES"/>
        </w:rPr>
        <w:t>25/7/12</w:t>
      </w:r>
      <w:r>
        <w:rPr>
          <w:rFonts w:ascii="Times New Roman" w:eastAsia="Times New Roman" w:hAnsi="Times New Roman"/>
          <w:sz w:val="24"/>
          <w:szCs w:val="24"/>
          <w:lang w:eastAsia="es-ES"/>
        </w:rPr>
        <w:t>)</w:t>
      </w:r>
      <w:r w:rsidRPr="00044923">
        <w:rPr>
          <w:rFonts w:ascii="Times New Roman" w:eastAsia="Times New Roman" w:hAnsi="Times New Roman"/>
          <w:sz w:val="24"/>
          <w:szCs w:val="24"/>
          <w:lang w:eastAsia="es-ES"/>
        </w:rPr>
        <w:t xml:space="preserve"> </w:t>
      </w:r>
      <w:r w:rsidRPr="008F0A8D">
        <w:rPr>
          <w:rFonts w:ascii="Times New Roman" w:eastAsia="Times New Roman" w:hAnsi="Times New Roman" w:cs="Times New Roman"/>
          <w:sz w:val="24"/>
          <w:szCs w:val="24"/>
          <w:lang w:eastAsia="es-ES"/>
        </w:rPr>
        <w:t xml:space="preserve"> </w:t>
      </w:r>
    </w:p>
    <w:p w:rsidR="008F0A8D" w:rsidRDefault="008F0A8D" w:rsidP="00387350">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67F10CE1" wp14:editId="2587EF9A">
            <wp:extent cx="5398617" cy="3299155"/>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8770" cy="3299249"/>
                    </a:xfrm>
                    <a:prstGeom prst="rect">
                      <a:avLst/>
                    </a:prstGeom>
                    <a:noFill/>
                    <a:ln>
                      <a:noFill/>
                    </a:ln>
                  </pic:spPr>
                </pic:pic>
              </a:graphicData>
            </a:graphic>
          </wp:inline>
        </w:drawing>
      </w:r>
    </w:p>
    <w:p w:rsidR="008F0A8D" w:rsidRDefault="008F0A8D" w:rsidP="00387350">
      <w:pPr>
        <w:spacing w:line="240" w:lineRule="auto"/>
        <w:jc w:val="both"/>
        <w:rPr>
          <w:rFonts w:ascii="Times New Roman" w:hAnsi="Times New Roman"/>
          <w:sz w:val="24"/>
          <w:szCs w:val="24"/>
        </w:rPr>
      </w:pPr>
      <w:r w:rsidRPr="0016018C">
        <w:rPr>
          <w:rFonts w:ascii="Times New Roman" w:hAnsi="Times New Roman"/>
          <w:sz w:val="24"/>
          <w:szCs w:val="24"/>
          <w:u w:val="single"/>
        </w:rPr>
        <w:t>Bruselas alerta a España: la deuda pública superará con creces el 100% del PIB en 2020</w:t>
      </w:r>
      <w:r>
        <w:rPr>
          <w:rFonts w:ascii="Times New Roman" w:hAnsi="Times New Roman"/>
          <w:sz w:val="24"/>
          <w:szCs w:val="24"/>
        </w:rPr>
        <w:t xml:space="preserve"> (Fuente: El Confidencial - </w:t>
      </w:r>
      <w:r w:rsidRPr="0016018C">
        <w:rPr>
          <w:rFonts w:ascii="Times New Roman" w:hAnsi="Times New Roman"/>
          <w:b/>
          <w:sz w:val="24"/>
          <w:szCs w:val="24"/>
        </w:rPr>
        <w:t>26/7/12</w:t>
      </w:r>
      <w:r>
        <w:rPr>
          <w:rFonts w:ascii="Times New Roman" w:hAnsi="Times New Roman"/>
          <w:sz w:val="24"/>
          <w:szCs w:val="24"/>
        </w:rPr>
        <w:t>)</w:t>
      </w:r>
    </w:p>
    <w:p w:rsidR="008F0A8D" w:rsidRDefault="008F0A8D" w:rsidP="00387350">
      <w:pPr>
        <w:spacing w:line="240" w:lineRule="auto"/>
        <w:jc w:val="both"/>
        <w:rPr>
          <w:rFonts w:ascii="Times New Roman" w:hAnsi="Times New Roman"/>
          <w:sz w:val="24"/>
          <w:szCs w:val="24"/>
        </w:rPr>
      </w:pPr>
      <w:r>
        <w:rPr>
          <w:noProof/>
          <w:lang w:eastAsia="es-ES"/>
        </w:rPr>
        <w:drawing>
          <wp:inline distT="0" distB="0" distL="0" distR="0" wp14:anchorId="6AFFB4F2" wp14:editId="6ECD851F">
            <wp:extent cx="5398617" cy="3196742"/>
            <wp:effectExtent l="0" t="0" r="0" b="3810"/>
            <wp:docPr id="81" name="Imagen 81" descr="2012072538grafico2_am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12072538grafico2_ampl"/>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040" cy="3197585"/>
                    </a:xfrm>
                    <a:prstGeom prst="rect">
                      <a:avLst/>
                    </a:prstGeom>
                    <a:noFill/>
                    <a:ln>
                      <a:noFill/>
                    </a:ln>
                  </pic:spPr>
                </pic:pic>
              </a:graphicData>
            </a:graphic>
          </wp:inline>
        </w:drawing>
      </w:r>
    </w:p>
    <w:p w:rsidR="008F0A8D" w:rsidRPr="008F0A8D" w:rsidRDefault="008F0A8D" w:rsidP="00387350">
      <w:pPr>
        <w:spacing w:line="240" w:lineRule="auto"/>
        <w:jc w:val="both"/>
        <w:rPr>
          <w:rFonts w:ascii="Times New Roman" w:hAnsi="Times New Roman"/>
          <w:sz w:val="24"/>
          <w:szCs w:val="24"/>
        </w:rPr>
      </w:pPr>
      <w:r>
        <w:rPr>
          <w:rFonts w:ascii="Times New Roman" w:hAnsi="Times New Roman"/>
          <w:sz w:val="24"/>
          <w:szCs w:val="24"/>
        </w:rPr>
        <w:t>“</w:t>
      </w:r>
      <w:r w:rsidRPr="008F0A8D">
        <w:rPr>
          <w:rFonts w:ascii="Times New Roman" w:hAnsi="Times New Roman"/>
          <w:sz w:val="24"/>
          <w:szCs w:val="24"/>
        </w:rPr>
        <w:t>Es curioso que el fortísimo aumento del endeudamiento de EEUU, en los últimos 4 años, haya ido en paralelo con una progresiva disminución de los tipos de interés a diez años de los bonos del Gobierno Federal. Esta situación solo se explica por el papel de valor refugio que cumplen esos bonos en estos momentos de incertidumbre.</w:t>
      </w:r>
    </w:p>
    <w:p w:rsidR="008F0A8D" w:rsidRPr="00854453" w:rsidRDefault="00265CC7" w:rsidP="00387350">
      <w:pPr>
        <w:shd w:val="clear" w:color="auto" w:fill="FFFFFF"/>
        <w:spacing w:before="100" w:beforeAutospacing="1" w:after="100" w:afterAutospacing="1" w:line="240" w:lineRule="auto"/>
        <w:rPr>
          <w:rFonts w:ascii="Arial" w:eastAsia="Times New Roman" w:hAnsi="Arial" w:cs="Arial"/>
          <w:color w:val="666666"/>
          <w:sz w:val="23"/>
          <w:szCs w:val="23"/>
          <w:lang w:eastAsia="es-ES"/>
        </w:rPr>
      </w:pPr>
      <w:r>
        <w:rPr>
          <w:rFonts w:ascii="Times New Roman" w:hAnsi="Times New Roman"/>
          <w:sz w:val="24"/>
          <w:szCs w:val="24"/>
        </w:rPr>
        <w:lastRenderedPageBreak/>
        <w:t xml:space="preserve">      </w:t>
      </w:r>
      <w:r w:rsidR="008F0A8D" w:rsidRPr="00362C1B">
        <w:rPr>
          <w:rFonts w:ascii="Times New Roman" w:hAnsi="Times New Roman"/>
          <w:sz w:val="24"/>
          <w:szCs w:val="24"/>
        </w:rPr>
        <w:t xml:space="preserve"> </w:t>
      </w:r>
      <w:r w:rsidR="008F0A8D">
        <w:rPr>
          <w:rFonts w:ascii="Arial" w:eastAsia="Times New Roman" w:hAnsi="Arial" w:cs="Arial"/>
          <w:noProof/>
          <w:color w:val="666666"/>
          <w:sz w:val="23"/>
          <w:szCs w:val="23"/>
          <w:lang w:eastAsia="es-ES"/>
        </w:rPr>
        <w:drawing>
          <wp:inline distT="0" distB="0" distL="0" distR="0" wp14:anchorId="5D78F4F7" wp14:editId="045A8791">
            <wp:extent cx="4762500" cy="2999105"/>
            <wp:effectExtent l="0" t="0" r="0" b="0"/>
            <wp:docPr id="465" name="Imagen 465" descr="http://www.intereconomia.com/sites/default/files/imagecache/galeria_500/49791/cck_images/bo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http://www.intereconomia.com/sites/default/files/imagecache/galeria_500/49791/cck_images/bonos.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62500" cy="2999105"/>
                    </a:xfrm>
                    <a:prstGeom prst="rect">
                      <a:avLst/>
                    </a:prstGeom>
                    <a:noFill/>
                    <a:ln>
                      <a:noFill/>
                    </a:ln>
                  </pic:spPr>
                </pic:pic>
              </a:graphicData>
            </a:graphic>
          </wp:inline>
        </w:drawing>
      </w:r>
    </w:p>
    <w:p w:rsidR="008F0A8D" w:rsidRDefault="008F0A8D" w:rsidP="00387350">
      <w:pPr>
        <w:spacing w:line="240" w:lineRule="auto"/>
        <w:jc w:val="both"/>
        <w:rPr>
          <w:rFonts w:ascii="Times New Roman" w:hAnsi="Times New Roman"/>
          <w:sz w:val="24"/>
          <w:szCs w:val="24"/>
        </w:rPr>
      </w:pPr>
      <w:r w:rsidRPr="00362C1B">
        <w:rPr>
          <w:rFonts w:ascii="Times New Roman" w:hAnsi="Times New Roman"/>
          <w:sz w:val="24"/>
          <w:szCs w:val="24"/>
        </w:rPr>
        <w:t>Lo mismo ha sucedido en los últimos años con los rendimientos de los bonos alemanes (ver cuadro 2). Algunos de los compradores de los bonos alemanes y norteamericanos son inversores italianos y españoles que huyen del riesgo que supone invertir en sus mercados internos</w:t>
      </w:r>
      <w:r>
        <w:rPr>
          <w:rFonts w:ascii="Times New Roman" w:hAnsi="Times New Roman"/>
          <w:sz w:val="24"/>
          <w:szCs w:val="24"/>
        </w:rPr>
        <w:t>”..</w:t>
      </w:r>
      <w:r w:rsidRPr="00362C1B">
        <w:rPr>
          <w:rFonts w:ascii="Times New Roman" w:hAnsi="Times New Roman"/>
          <w:sz w:val="24"/>
          <w:szCs w:val="24"/>
        </w:rPr>
        <w:t>.</w:t>
      </w:r>
      <w:r>
        <w:rPr>
          <w:rFonts w:ascii="Times New Roman" w:hAnsi="Times New Roman"/>
          <w:sz w:val="24"/>
          <w:szCs w:val="24"/>
        </w:rPr>
        <w:t xml:space="preserve"> </w:t>
      </w:r>
      <w:r w:rsidRPr="00362C1B">
        <w:rPr>
          <w:rFonts w:ascii="Times New Roman" w:hAnsi="Times New Roman"/>
          <w:sz w:val="24"/>
          <w:szCs w:val="24"/>
          <w:u w:val="single"/>
        </w:rPr>
        <w:t>El mercado de bonos a 10 años: una perspectiva de 150 años</w:t>
      </w:r>
      <w:r>
        <w:rPr>
          <w:rFonts w:ascii="Times New Roman" w:hAnsi="Times New Roman"/>
          <w:sz w:val="24"/>
          <w:szCs w:val="24"/>
        </w:rPr>
        <w:t xml:space="preserve"> (Negocios.com - </w:t>
      </w:r>
      <w:r w:rsidRPr="00362C1B">
        <w:rPr>
          <w:rFonts w:ascii="Times New Roman" w:hAnsi="Times New Roman"/>
          <w:b/>
          <w:sz w:val="24"/>
          <w:szCs w:val="24"/>
        </w:rPr>
        <w:t>1/8/12</w:t>
      </w:r>
      <w:r>
        <w:rPr>
          <w:rFonts w:ascii="Times New Roman" w:hAnsi="Times New Roman"/>
          <w:sz w:val="24"/>
          <w:szCs w:val="24"/>
        </w:rPr>
        <w:t>)</w:t>
      </w:r>
    </w:p>
    <w:p w:rsidR="008F0A8D" w:rsidRDefault="008F0A8D" w:rsidP="00387350">
      <w:pPr>
        <w:spacing w:line="240" w:lineRule="auto"/>
        <w:jc w:val="both"/>
        <w:rPr>
          <w:rFonts w:ascii="Times New Roman" w:hAnsi="Times New Roman"/>
          <w:sz w:val="24"/>
          <w:szCs w:val="24"/>
        </w:rPr>
      </w:pPr>
      <w:r>
        <w:rPr>
          <w:rFonts w:ascii="Arial" w:eastAsia="Times New Roman" w:hAnsi="Arial" w:cs="Arial"/>
          <w:noProof/>
          <w:color w:val="666666"/>
          <w:sz w:val="23"/>
          <w:szCs w:val="23"/>
          <w:lang w:eastAsia="es-ES"/>
        </w:rPr>
        <w:drawing>
          <wp:inline distT="0" distB="0" distL="0" distR="0" wp14:anchorId="200F855E" wp14:editId="0E7C29C3">
            <wp:extent cx="5237683" cy="3057754"/>
            <wp:effectExtent l="0" t="0" r="1270" b="9525"/>
            <wp:docPr id="74" name="Imagen 74" descr="http://www.intereconomia.com/sites/default/files/imagecache/galeria_500/49791/cck_images/bon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http://www.intereconomia.com/sites/default/files/imagecache/galeria_500/49791/cck_images/bonos2.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38018" cy="3057950"/>
                    </a:xfrm>
                    <a:prstGeom prst="rect">
                      <a:avLst/>
                    </a:prstGeom>
                    <a:noFill/>
                    <a:ln>
                      <a:noFill/>
                    </a:ln>
                  </pic:spPr>
                </pic:pic>
              </a:graphicData>
            </a:graphic>
          </wp:inline>
        </w:drawing>
      </w:r>
    </w:p>
    <w:p w:rsidR="00265CC7" w:rsidRPr="00265CC7" w:rsidRDefault="00265CC7" w:rsidP="00387350">
      <w:pPr>
        <w:spacing w:before="100" w:beforeAutospacing="1" w:after="100" w:afterAutospacing="1" w:line="240" w:lineRule="auto"/>
        <w:jc w:val="both"/>
        <w:rPr>
          <w:rFonts w:ascii="Times New Roman" w:eastAsia="Times New Roman" w:hAnsi="Times New Roman"/>
          <w:sz w:val="24"/>
          <w:szCs w:val="24"/>
          <w:lang w:eastAsia="es-ES"/>
        </w:rPr>
      </w:pPr>
      <w:r w:rsidRPr="00265CC7">
        <w:rPr>
          <w:rFonts w:ascii="Times New Roman" w:eastAsia="Times New Roman" w:hAnsi="Times New Roman"/>
          <w:sz w:val="24"/>
          <w:szCs w:val="24"/>
          <w:lang w:eastAsia="es-ES"/>
        </w:rPr>
        <w:t>“La deuda pública ha alcanzado el 100% del PIB en la OCDE, ha aumentado en 22 puntos porcentuales en la Eurozona desde 2007 hasta situarse en el 88% en 2011 y en España vamos disparados hacia esos valores. El 100% no tiene únicamente un significado simbólico sino que a partir de estos valores el efecto negativo de la deuda sobre el crecimiento empieza a ser significativo -</w:t>
      </w:r>
      <w:hyperlink r:id="rId85" w:history="1">
        <w:r w:rsidRPr="00265CC7">
          <w:rPr>
            <w:rFonts w:ascii="Times New Roman" w:eastAsia="Times New Roman" w:hAnsi="Times New Roman"/>
            <w:sz w:val="24"/>
            <w:szCs w:val="24"/>
            <w:lang w:eastAsia="es-ES"/>
          </w:rPr>
          <w:t>Baum, Checherita-Westphal y Rother</w:t>
        </w:r>
      </w:hyperlink>
      <w:r w:rsidRPr="00265CC7">
        <w:rPr>
          <w:rFonts w:ascii="Times New Roman" w:eastAsia="Times New Roman" w:hAnsi="Times New Roman"/>
          <w:sz w:val="24"/>
          <w:szCs w:val="24"/>
          <w:lang w:eastAsia="es-ES"/>
        </w:rPr>
        <w:t xml:space="preserve">. El FMI acaba de publicar en el </w:t>
      </w:r>
      <w:hyperlink r:id="rId86" w:history="1">
        <w:r w:rsidRPr="00925765">
          <w:rPr>
            <w:rFonts w:ascii="Times New Roman" w:eastAsia="Times New Roman" w:hAnsi="Times New Roman"/>
            <w:i/>
            <w:sz w:val="24"/>
            <w:szCs w:val="24"/>
            <w:lang w:eastAsia="es-ES"/>
          </w:rPr>
          <w:t>World Economic Outlook</w:t>
        </w:r>
      </w:hyperlink>
      <w:r w:rsidRPr="00265CC7">
        <w:rPr>
          <w:rFonts w:ascii="Times New Roman" w:eastAsia="Times New Roman" w:hAnsi="Times New Roman"/>
          <w:sz w:val="24"/>
          <w:szCs w:val="24"/>
          <w:lang w:eastAsia="es-ES"/>
        </w:rPr>
        <w:t xml:space="preserve"> un análisis de diversos episodios de deuda pública muy elevada en países desarrollados y de los factores que han favorecido una consolidación sostenida. A la luz de estas experiencias, la estrategia </w:t>
      </w:r>
      <w:r w:rsidRPr="00265CC7">
        <w:rPr>
          <w:rFonts w:ascii="Times New Roman" w:eastAsia="Times New Roman" w:hAnsi="Times New Roman"/>
          <w:sz w:val="24"/>
          <w:szCs w:val="24"/>
          <w:lang w:eastAsia="es-ES"/>
        </w:rPr>
        <w:lastRenderedPageBreak/>
        <w:t>fiscal del gobierno español tiene aciertos pero también deficiencias que ponen en peligro la propia reducción de la deuda a medio plazo o que pueden hacerla más ineficiente y costosa en términos de actividad y empleo. </w:t>
      </w:r>
    </w:p>
    <w:p w:rsidR="00265CC7" w:rsidRDefault="00265CC7" w:rsidP="00387350">
      <w:pPr>
        <w:spacing w:line="240" w:lineRule="auto"/>
        <w:jc w:val="both"/>
        <w:rPr>
          <w:rFonts w:ascii="Times New Roman" w:hAnsi="Times New Roman"/>
          <w:sz w:val="24"/>
          <w:szCs w:val="24"/>
        </w:rPr>
      </w:pPr>
      <w:r>
        <w:rPr>
          <w:rFonts w:ascii="Times New Roman" w:eastAsia="Times New Roman" w:hAnsi="Times New Roman"/>
          <w:noProof/>
          <w:color w:val="0000FF"/>
          <w:sz w:val="24"/>
          <w:szCs w:val="24"/>
          <w:lang w:eastAsia="es-ES"/>
        </w:rPr>
        <w:drawing>
          <wp:inline distT="0" distB="0" distL="0" distR="0" wp14:anchorId="4C5AE3AC" wp14:editId="55DD2269">
            <wp:extent cx="5354725" cy="2852928"/>
            <wp:effectExtent l="0" t="0" r="0" b="5080"/>
            <wp:docPr id="466" name="Imagen 466" descr="deuda1">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uda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54626" cy="2852875"/>
                    </a:xfrm>
                    <a:prstGeom prst="rect">
                      <a:avLst/>
                    </a:prstGeom>
                    <a:noFill/>
                    <a:ln>
                      <a:noFill/>
                    </a:ln>
                  </pic:spPr>
                </pic:pic>
              </a:graphicData>
            </a:graphic>
          </wp:inline>
        </w:drawing>
      </w:r>
    </w:p>
    <w:p w:rsidR="00265CC7" w:rsidRPr="00FE26E5" w:rsidRDefault="00265CC7" w:rsidP="00387350">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sidRPr="00265CC7">
        <w:rPr>
          <w:rFonts w:ascii="Times New Roman" w:eastAsia="Times New Roman" w:hAnsi="Times New Roman"/>
          <w:sz w:val="24"/>
          <w:szCs w:val="24"/>
          <w:lang w:eastAsia="es-ES"/>
        </w:rPr>
        <w:t>La primera conclusión del FMI es que no hay consolidación sin una reducción sustancial del déficit, y que las que han tenido éxito se han caracterizado por un superávit primario sostenido claramente superior al alcanzado en consolidaciones fallidas. Incluso en los casos más favorables la reducción de la deuda lleva tiempo; se tarda más de una década en dar la vuelta al déficit primario -un cambio que con alguna excepción apenas supera los 6 puntos porcentuales- con lo que la ratio deuda/PIB tarda en promedio más de quince años en caer 10 puntos</w:t>
      </w:r>
      <w:r>
        <w:rPr>
          <w:rFonts w:ascii="Times New Roman" w:eastAsia="Times New Roman" w:hAnsi="Times New Roman"/>
          <w:sz w:val="24"/>
          <w:szCs w:val="24"/>
          <w:lang w:eastAsia="es-ES"/>
        </w:rPr>
        <w:t>”..</w:t>
      </w:r>
      <w:r w:rsidRPr="00265CC7">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FE26E5">
        <w:rPr>
          <w:rFonts w:ascii="Times New Roman" w:eastAsia="Times New Roman" w:hAnsi="Times New Roman"/>
          <w:bCs/>
          <w:kern w:val="36"/>
          <w:sz w:val="24"/>
          <w:szCs w:val="24"/>
          <w:u w:val="single"/>
          <w:lang w:eastAsia="es-ES"/>
        </w:rPr>
        <w:t>¿Cómo se reduce la deuda pública cuando supera el 100% del PIB?</w:t>
      </w:r>
      <w:r>
        <w:rPr>
          <w:rFonts w:ascii="Times New Roman" w:eastAsia="Times New Roman" w:hAnsi="Times New Roman"/>
          <w:bCs/>
          <w:kern w:val="36"/>
          <w:sz w:val="24"/>
          <w:szCs w:val="24"/>
          <w:lang w:eastAsia="es-ES"/>
        </w:rPr>
        <w:t xml:space="preserve"> (Fedea - </w:t>
      </w:r>
      <w:r w:rsidRPr="00FE26E5">
        <w:rPr>
          <w:rFonts w:ascii="Times New Roman" w:eastAsia="Times New Roman" w:hAnsi="Times New Roman"/>
          <w:b/>
          <w:bCs/>
          <w:kern w:val="36"/>
          <w:sz w:val="24"/>
          <w:szCs w:val="24"/>
          <w:lang w:eastAsia="es-ES"/>
        </w:rPr>
        <w:t>11/10/12</w:t>
      </w:r>
      <w:r>
        <w:rPr>
          <w:rFonts w:ascii="Times New Roman" w:eastAsia="Times New Roman" w:hAnsi="Times New Roman"/>
          <w:bCs/>
          <w:kern w:val="36"/>
          <w:sz w:val="24"/>
          <w:szCs w:val="24"/>
          <w:lang w:eastAsia="es-ES"/>
        </w:rPr>
        <w:t>)</w:t>
      </w:r>
    </w:p>
    <w:p w:rsidR="00265CC7" w:rsidRPr="00265CC7" w:rsidRDefault="00265CC7" w:rsidP="00387350">
      <w:pPr>
        <w:spacing w:line="240" w:lineRule="auto"/>
        <w:jc w:val="both"/>
        <w:rPr>
          <w:rFonts w:ascii="Times New Roman" w:hAnsi="Times New Roman"/>
          <w:sz w:val="24"/>
          <w:szCs w:val="24"/>
        </w:rPr>
      </w:pPr>
      <w:r>
        <w:rPr>
          <w:rFonts w:ascii="Times New Roman" w:hAnsi="Times New Roman"/>
          <w:sz w:val="24"/>
          <w:szCs w:val="24"/>
        </w:rPr>
        <w:t>“</w:t>
      </w:r>
      <w:r w:rsidRPr="00265CC7">
        <w:rPr>
          <w:rFonts w:ascii="Times New Roman" w:hAnsi="Times New Roman"/>
          <w:sz w:val="24"/>
          <w:szCs w:val="24"/>
        </w:rPr>
        <w:t>La economía mundial navega en un mar de deudas. La suma de la deuda estatal, provincial, municipal, individual, hipotecaria, corporativa, financiera y bancaria sugiere que en cualquier momento la nave puede naufragar o estrellarse contra el témpano de lo impagable.</w:t>
      </w:r>
    </w:p>
    <w:p w:rsidR="00265CC7" w:rsidRPr="00265CC7" w:rsidRDefault="00265CC7" w:rsidP="00387350">
      <w:pPr>
        <w:spacing w:line="240" w:lineRule="auto"/>
        <w:jc w:val="both"/>
        <w:rPr>
          <w:rFonts w:ascii="Times New Roman" w:hAnsi="Times New Roman"/>
          <w:sz w:val="24"/>
          <w:szCs w:val="24"/>
        </w:rPr>
      </w:pPr>
      <w:r w:rsidRPr="00265CC7">
        <w:rPr>
          <w:rFonts w:ascii="Times New Roman" w:hAnsi="Times New Roman"/>
          <w:sz w:val="24"/>
          <w:szCs w:val="24"/>
        </w:rPr>
        <w:t>Un colosal estudio comparativo de la consultora Mc Kinsey Global Institute mostró que en 2009 la deuda total de Japón -la má</w:t>
      </w:r>
      <w:r>
        <w:rPr>
          <w:rFonts w:ascii="Times New Roman" w:hAnsi="Times New Roman"/>
          <w:sz w:val="24"/>
          <w:szCs w:val="24"/>
        </w:rPr>
        <w:t>s grande del mundo desarrollado-</w:t>
      </w:r>
      <w:r w:rsidRPr="00265CC7">
        <w:rPr>
          <w:rFonts w:ascii="Times New Roman" w:hAnsi="Times New Roman"/>
          <w:sz w:val="24"/>
          <w:szCs w:val="24"/>
        </w:rPr>
        <w:t xml:space="preserve"> era de un 471% de su PIB (es decir, de todo lo que produce su economía en un año). Le seguía Reino Uni</w:t>
      </w:r>
      <w:r>
        <w:rPr>
          <w:rFonts w:ascii="Times New Roman" w:hAnsi="Times New Roman"/>
          <w:sz w:val="24"/>
          <w:szCs w:val="24"/>
        </w:rPr>
        <w:t>do con un 466%. Estados Unidos “apenas”</w:t>
      </w:r>
      <w:r w:rsidRPr="00265CC7">
        <w:rPr>
          <w:rFonts w:ascii="Times New Roman" w:hAnsi="Times New Roman"/>
          <w:sz w:val="24"/>
          <w:szCs w:val="24"/>
        </w:rPr>
        <w:t xml:space="preserve"> tenía un 300%.</w:t>
      </w:r>
    </w:p>
    <w:p w:rsidR="00265CC7" w:rsidRPr="00265CC7" w:rsidRDefault="00265CC7" w:rsidP="00387350">
      <w:pPr>
        <w:spacing w:line="240" w:lineRule="auto"/>
        <w:jc w:val="both"/>
        <w:rPr>
          <w:rFonts w:ascii="Times New Roman" w:hAnsi="Times New Roman"/>
          <w:sz w:val="24"/>
          <w:szCs w:val="24"/>
        </w:rPr>
      </w:pPr>
      <w:r w:rsidRPr="00265CC7">
        <w:rPr>
          <w:rFonts w:ascii="Times New Roman" w:hAnsi="Times New Roman"/>
          <w:sz w:val="24"/>
          <w:szCs w:val="24"/>
        </w:rPr>
        <w:t>Muchos economistas opinan que esta gigantesca desproporción entre la riqueza anual que produce un país y lo que adeuda se explica por un mecanismo que en las últimas tres décadas ha cambiado la faz del capitalismo actual: la financialización.</w:t>
      </w:r>
    </w:p>
    <w:p w:rsidR="00265CC7" w:rsidRPr="00265CC7" w:rsidRDefault="00265CC7" w:rsidP="00387350">
      <w:pPr>
        <w:spacing w:line="240" w:lineRule="auto"/>
        <w:jc w:val="both"/>
        <w:rPr>
          <w:rFonts w:ascii="Times New Roman" w:hAnsi="Times New Roman"/>
          <w:sz w:val="24"/>
          <w:szCs w:val="24"/>
        </w:rPr>
      </w:pPr>
      <w:r>
        <w:rPr>
          <w:rFonts w:ascii="Times New Roman" w:hAnsi="Times New Roman"/>
          <w:sz w:val="24"/>
          <w:szCs w:val="24"/>
        </w:rPr>
        <w:t>“</w:t>
      </w:r>
      <w:r w:rsidRPr="00265CC7">
        <w:rPr>
          <w:rFonts w:ascii="Times New Roman" w:hAnsi="Times New Roman"/>
          <w:sz w:val="24"/>
          <w:szCs w:val="24"/>
        </w:rPr>
        <w:t>Es una manera de conceptualizar la creciente importancia de actores e instituciones financieros en la economía y de las finanzas como fuente de ganancias. Esto explica el crecimiento del crédito en la década de 2000 y</w:t>
      </w:r>
      <w:r>
        <w:rPr>
          <w:rFonts w:ascii="Times New Roman" w:hAnsi="Times New Roman"/>
          <w:sz w:val="24"/>
          <w:szCs w:val="24"/>
        </w:rPr>
        <w:t xml:space="preserve"> las causas de la actual crisis”</w:t>
      </w:r>
      <w:r w:rsidRPr="00265CC7">
        <w:rPr>
          <w:rFonts w:ascii="Times New Roman" w:hAnsi="Times New Roman"/>
          <w:sz w:val="24"/>
          <w:szCs w:val="24"/>
        </w:rPr>
        <w:t xml:space="preserve">, le explicó a </w:t>
      </w:r>
      <w:r w:rsidRPr="00925765">
        <w:rPr>
          <w:rFonts w:ascii="Times New Roman" w:hAnsi="Times New Roman"/>
          <w:i/>
          <w:sz w:val="24"/>
          <w:szCs w:val="24"/>
        </w:rPr>
        <w:t>BBC Mundo</w:t>
      </w:r>
      <w:r w:rsidRPr="00265CC7">
        <w:rPr>
          <w:rFonts w:ascii="Times New Roman" w:hAnsi="Times New Roman"/>
          <w:sz w:val="24"/>
          <w:szCs w:val="24"/>
        </w:rPr>
        <w:t xml:space="preserve"> Adam Leaver, autor de tres libros sobre el tema e investigador y miembro de CRESC (Centro de Investigación del Cambio Socio-Cultural) de Manchester.</w:t>
      </w:r>
    </w:p>
    <w:p w:rsidR="00265CC7" w:rsidRPr="00265CC7" w:rsidRDefault="00265CC7" w:rsidP="00387350">
      <w:pPr>
        <w:spacing w:line="240" w:lineRule="auto"/>
        <w:jc w:val="both"/>
        <w:rPr>
          <w:rFonts w:ascii="Times New Roman" w:hAnsi="Times New Roman"/>
          <w:sz w:val="24"/>
          <w:szCs w:val="24"/>
        </w:rPr>
      </w:pPr>
      <w:r w:rsidRPr="00265CC7">
        <w:rPr>
          <w:rFonts w:ascii="Times New Roman" w:hAnsi="Times New Roman"/>
          <w:sz w:val="24"/>
          <w:szCs w:val="24"/>
        </w:rPr>
        <w:lastRenderedPageBreak/>
        <w:t>En el capitalismo tradicional, los bancos le prestaban a la industria que producía ganancias con el consumo de sus productos, dinero con el que pagaba su crédito, alegraba la vida de sus accionistas y reinvertía para ampliar el proceso productivo.</w:t>
      </w:r>
    </w:p>
    <w:p w:rsidR="00265CC7" w:rsidRDefault="00265CC7" w:rsidP="00387350">
      <w:pPr>
        <w:spacing w:line="240" w:lineRule="auto"/>
        <w:jc w:val="both"/>
        <w:rPr>
          <w:rFonts w:ascii="Times New Roman" w:hAnsi="Times New Roman"/>
          <w:sz w:val="24"/>
          <w:szCs w:val="24"/>
        </w:rPr>
      </w:pPr>
      <w:r w:rsidRPr="00265CC7">
        <w:rPr>
          <w:rFonts w:ascii="Times New Roman" w:hAnsi="Times New Roman"/>
          <w:sz w:val="24"/>
          <w:szCs w:val="24"/>
        </w:rPr>
        <w:t>En el capitalismo de las últimas tres décadas se produce una explosión de lo que en inglés se denomina con la sigla FIRE (Financiamiento, seguro y sector inmobiliario) que ha crecido tanto en proporción al PIB como en detrimento de la economía productiva</w:t>
      </w:r>
      <w:r>
        <w:rPr>
          <w:rFonts w:ascii="Times New Roman" w:hAnsi="Times New Roman"/>
          <w:sz w:val="24"/>
          <w:szCs w:val="24"/>
        </w:rPr>
        <w:t>”..</w:t>
      </w:r>
      <w:r w:rsidRPr="00265CC7">
        <w:rPr>
          <w:rFonts w:ascii="Times New Roman" w:hAnsi="Times New Roman"/>
          <w:sz w:val="24"/>
          <w:szCs w:val="24"/>
        </w:rPr>
        <w:t>.</w:t>
      </w:r>
      <w:r>
        <w:rPr>
          <w:rFonts w:ascii="Times New Roman" w:hAnsi="Times New Roman"/>
          <w:sz w:val="24"/>
          <w:szCs w:val="24"/>
        </w:rPr>
        <w:t xml:space="preserve"> </w:t>
      </w:r>
      <w:r w:rsidRPr="008B77CE">
        <w:rPr>
          <w:rFonts w:ascii="Times New Roman" w:hAnsi="Times New Roman"/>
          <w:sz w:val="24"/>
          <w:szCs w:val="24"/>
          <w:u w:val="single"/>
        </w:rPr>
        <w:t>Un tsunami de deudas ahoga a la economía mundial</w:t>
      </w:r>
      <w:r>
        <w:rPr>
          <w:rFonts w:ascii="Times New Roman" w:hAnsi="Times New Roman"/>
          <w:sz w:val="24"/>
          <w:szCs w:val="24"/>
        </w:rPr>
        <w:t xml:space="preserve"> (BBCMundo - </w:t>
      </w:r>
      <w:r w:rsidRPr="008B77CE">
        <w:rPr>
          <w:rFonts w:ascii="Times New Roman" w:hAnsi="Times New Roman"/>
          <w:b/>
          <w:sz w:val="24"/>
          <w:szCs w:val="24"/>
        </w:rPr>
        <w:t>2/11/12</w:t>
      </w:r>
      <w:r>
        <w:rPr>
          <w:rFonts w:ascii="Times New Roman" w:hAnsi="Times New Roman"/>
          <w:sz w:val="24"/>
          <w:szCs w:val="24"/>
        </w:rPr>
        <w:t>)</w:t>
      </w:r>
    </w:p>
    <w:p w:rsidR="00265CC7" w:rsidRPr="00265CC7" w:rsidRDefault="00265CC7" w:rsidP="00387350">
      <w:pPr>
        <w:spacing w:line="240" w:lineRule="auto"/>
        <w:jc w:val="both"/>
      </w:pPr>
      <w:r>
        <w:rPr>
          <w:rFonts w:ascii="Times New Roman" w:hAnsi="Times New Roman" w:cs="Times New Roman"/>
          <w:sz w:val="24"/>
          <w:szCs w:val="24"/>
        </w:rPr>
        <w:t>“</w:t>
      </w:r>
      <w:r w:rsidRPr="00265CC7">
        <w:rPr>
          <w:rFonts w:ascii="Times New Roman" w:hAnsi="Times New Roman" w:cs="Times New Roman"/>
          <w:sz w:val="24"/>
          <w:szCs w:val="24"/>
        </w:rPr>
        <w:t xml:space="preserve">La voz de </w:t>
      </w:r>
      <w:r w:rsidRPr="00265CC7">
        <w:rPr>
          <w:rFonts w:ascii="Times New Roman" w:hAnsi="Times New Roman" w:cs="Times New Roman"/>
          <w:bCs/>
          <w:sz w:val="24"/>
          <w:szCs w:val="24"/>
        </w:rPr>
        <w:t xml:space="preserve">alerta </w:t>
      </w:r>
      <w:r w:rsidRPr="00265CC7">
        <w:rPr>
          <w:rFonts w:ascii="Times New Roman" w:hAnsi="Times New Roman" w:cs="Times New Roman"/>
          <w:sz w:val="24"/>
          <w:szCs w:val="24"/>
        </w:rPr>
        <w:t xml:space="preserve">la ha dado el gobernador del Banco de Noruega. </w:t>
      </w:r>
      <w:r w:rsidRPr="00265CC7">
        <w:rPr>
          <w:rFonts w:ascii="Times New Roman" w:hAnsi="Times New Roman" w:cs="Times New Roman"/>
          <w:bCs/>
          <w:sz w:val="24"/>
          <w:szCs w:val="24"/>
        </w:rPr>
        <w:t>Oystein Olsen</w:t>
      </w:r>
      <w:r w:rsidRPr="00265CC7">
        <w:rPr>
          <w:rFonts w:ascii="Times New Roman" w:hAnsi="Times New Roman" w:cs="Times New Roman"/>
          <w:sz w:val="24"/>
          <w:szCs w:val="24"/>
        </w:rPr>
        <w:t xml:space="preserve"> ha recordado en un </w:t>
      </w:r>
      <w:hyperlink r:id="rId89" w:history="1">
        <w:r w:rsidRPr="00265CC7">
          <w:rPr>
            <w:rStyle w:val="Hipervnculo"/>
            <w:rFonts w:ascii="Times New Roman" w:hAnsi="Times New Roman" w:cs="Times New Roman"/>
            <w:color w:val="auto"/>
            <w:sz w:val="24"/>
            <w:szCs w:val="24"/>
            <w:u w:val="none"/>
          </w:rPr>
          <w:t>reciente discurso</w:t>
        </w:r>
      </w:hyperlink>
      <w:r w:rsidRPr="00265CC7">
        <w:rPr>
          <w:rFonts w:ascii="Times New Roman" w:hAnsi="Times New Roman" w:cs="Times New Roman"/>
          <w:sz w:val="24"/>
          <w:szCs w:val="24"/>
        </w:rPr>
        <w:t xml:space="preserve"> distribuido por el </w:t>
      </w:r>
      <w:hyperlink r:id="rId90" w:history="1">
        <w:r w:rsidRPr="00265CC7">
          <w:rPr>
            <w:rStyle w:val="Hipervnculo"/>
            <w:rFonts w:ascii="Times New Roman" w:hAnsi="Times New Roman" w:cs="Times New Roman"/>
            <w:color w:val="auto"/>
            <w:sz w:val="24"/>
            <w:szCs w:val="24"/>
            <w:u w:val="none"/>
          </w:rPr>
          <w:t>BIS</w:t>
        </w:r>
      </w:hyperlink>
      <w:r w:rsidRPr="00265CC7">
        <w:rPr>
          <w:rFonts w:ascii="Times New Roman" w:hAnsi="Times New Roman" w:cs="Times New Roman"/>
          <w:sz w:val="24"/>
          <w:szCs w:val="24"/>
        </w:rPr>
        <w:t xml:space="preserve"> (Banco de Pagos Internacional por sus siglas en inglés) que el endeudamiento de las economías avanzadas está alcanzando </w:t>
      </w:r>
      <w:r w:rsidRPr="00265CC7">
        <w:rPr>
          <w:rFonts w:ascii="Times New Roman" w:hAnsi="Times New Roman" w:cs="Times New Roman"/>
          <w:bCs/>
          <w:sz w:val="24"/>
          <w:szCs w:val="24"/>
        </w:rPr>
        <w:t>cotas históricas</w:t>
      </w:r>
      <w:r w:rsidRPr="00265CC7">
        <w:rPr>
          <w:rFonts w:ascii="Times New Roman" w:hAnsi="Times New Roman" w:cs="Times New Roman"/>
          <w:sz w:val="24"/>
          <w:szCs w:val="24"/>
        </w:rPr>
        <w:t xml:space="preserve">. O dicho en términos más precisos: la deuda de las naciones más ricas del planeta está alcanzado niveles desconocidos desde 1945, al final de la II Guerra Mundial. Pero entonces, como sostiene Olsen, el mundo salía de una </w:t>
      </w:r>
      <w:r w:rsidRPr="00265CC7">
        <w:rPr>
          <w:rFonts w:ascii="Times New Roman" w:hAnsi="Times New Roman" w:cs="Times New Roman"/>
          <w:bCs/>
          <w:sz w:val="24"/>
          <w:szCs w:val="24"/>
        </w:rPr>
        <w:t>dolorosa contienda</w:t>
      </w:r>
      <w:r w:rsidRPr="00265CC7">
        <w:rPr>
          <w:rFonts w:ascii="Times New Roman" w:hAnsi="Times New Roman" w:cs="Times New Roman"/>
          <w:sz w:val="24"/>
          <w:szCs w:val="24"/>
        </w:rPr>
        <w:t xml:space="preserve"> que había provocado un aumento del </w:t>
      </w:r>
      <w:r w:rsidRPr="00265CC7">
        <w:rPr>
          <w:rFonts w:ascii="Times New Roman" w:hAnsi="Times New Roman" w:cs="Times New Roman"/>
          <w:bCs/>
          <w:sz w:val="24"/>
          <w:szCs w:val="24"/>
        </w:rPr>
        <w:t>gasto militar</w:t>
      </w:r>
      <w:r w:rsidRPr="00265CC7">
        <w:rPr>
          <w:rFonts w:ascii="Times New Roman" w:hAnsi="Times New Roman" w:cs="Times New Roman"/>
          <w:sz w:val="24"/>
          <w:szCs w:val="24"/>
        </w:rPr>
        <w:t xml:space="preserve"> sin precedentes.</w:t>
      </w:r>
    </w:p>
    <w:p w:rsidR="00265CC7" w:rsidRDefault="00265CC7" w:rsidP="00387350">
      <w:pPr>
        <w:pStyle w:val="NormalWeb"/>
        <w:jc w:val="both"/>
      </w:pPr>
      <w:r w:rsidRPr="00265CC7">
        <w:t xml:space="preserve">Ahora no hay guerra, pero lo cierto es que el </w:t>
      </w:r>
      <w:r w:rsidRPr="00265CC7">
        <w:rPr>
          <w:bCs/>
        </w:rPr>
        <w:t>endeudamiento público</w:t>
      </w:r>
      <w:r w:rsidR="00925765">
        <w:t xml:space="preserve"> (ver gráficos)</w:t>
      </w:r>
      <w:r w:rsidRPr="00265CC7">
        <w:t xml:space="preserve"> supera ya el 100% del PIB de los países avanzados. Es decir, más del doble que los niveles registrados hace apenas un par de décadas. En el caso de España, según los </w:t>
      </w:r>
      <w:r w:rsidRPr="00265CC7">
        <w:rPr>
          <w:bCs/>
        </w:rPr>
        <w:t>servicios técnicos</w:t>
      </w:r>
      <w:r w:rsidRPr="00265CC7">
        <w:t xml:space="preserve"> de la Comisión Europea, el nivel de deuda pública se situará en 2015 ya muy cerca del 100% del PIB (algo más de un billón de euros), lejos del 84% con que se cerró, según sus estimaciones, en 2012. Y ello, pese a al proceso de reducción del </w:t>
      </w:r>
      <w:r w:rsidRPr="00265CC7">
        <w:rPr>
          <w:bCs/>
        </w:rPr>
        <w:t>déficit público</w:t>
      </w:r>
      <w:r>
        <w:rPr>
          <w:bCs/>
        </w:rPr>
        <w:t>”..</w:t>
      </w:r>
      <w:r w:rsidRPr="00265CC7">
        <w:rPr>
          <w:bCs/>
        </w:rPr>
        <w:t>.</w:t>
      </w:r>
      <w:r w:rsidRPr="00265CC7">
        <w:t xml:space="preserve"> </w:t>
      </w:r>
      <w:r w:rsidRPr="0012465E">
        <w:rPr>
          <w:u w:val="single"/>
        </w:rPr>
        <w:t>Los banqueros alertan: la deuda de los países ricos alcanza niveles de 1945</w:t>
      </w:r>
      <w:r>
        <w:t xml:space="preserve"> (El Confidencial - </w:t>
      </w:r>
      <w:r w:rsidRPr="0012465E">
        <w:rPr>
          <w:b/>
        </w:rPr>
        <w:t>11/4/13</w:t>
      </w:r>
      <w:r>
        <w:t>)</w:t>
      </w:r>
    </w:p>
    <w:p w:rsidR="00854453" w:rsidRPr="008B77CE" w:rsidRDefault="00854453" w:rsidP="00387350">
      <w:pPr>
        <w:pStyle w:val="NormalWeb"/>
        <w:jc w:val="both"/>
      </w:pPr>
    </w:p>
    <w:p w:rsidR="00265CC7" w:rsidRDefault="00265CC7" w:rsidP="00387350">
      <w:pPr>
        <w:spacing w:line="240" w:lineRule="auto"/>
        <w:jc w:val="both"/>
        <w:rPr>
          <w:rFonts w:ascii="Times New Roman" w:hAnsi="Times New Roman"/>
          <w:sz w:val="24"/>
          <w:szCs w:val="24"/>
        </w:rPr>
      </w:pPr>
      <w:r>
        <w:rPr>
          <w:noProof/>
          <w:lang w:eastAsia="es-ES"/>
        </w:rPr>
        <w:drawing>
          <wp:inline distT="0" distB="0" distL="0" distR="0" wp14:anchorId="1F7E09B0" wp14:editId="41465BDC">
            <wp:extent cx="4967020" cy="2355495"/>
            <wp:effectExtent l="0" t="0" r="5080" b="6985"/>
            <wp:docPr id="65" name="Imagen 1" descr="Los banqueros alertan: la deuda de los países ricos alcanza niveles d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banqueros alertan: la deuda de los países ricos alcanza niveles de 1945"/>
                    <pic:cNvPicPr>
                      <a:picLocks noChangeAspect="1" noChangeArrowheads="1"/>
                    </pic:cNvPicPr>
                  </pic:nvPicPr>
                  <pic:blipFill>
                    <a:blip r:embed="rId91" cstate="print"/>
                    <a:srcRect/>
                    <a:stretch>
                      <a:fillRect/>
                    </a:stretch>
                  </pic:blipFill>
                  <pic:spPr bwMode="auto">
                    <a:xfrm>
                      <a:off x="0" y="0"/>
                      <a:ext cx="4969543" cy="2356691"/>
                    </a:xfrm>
                    <a:prstGeom prst="rect">
                      <a:avLst/>
                    </a:prstGeom>
                    <a:noFill/>
                    <a:ln w="9525">
                      <a:noFill/>
                      <a:miter lim="800000"/>
                      <a:headEnd/>
                      <a:tailEnd/>
                    </a:ln>
                  </pic:spPr>
                </pic:pic>
              </a:graphicData>
            </a:graphic>
          </wp:inline>
        </w:drawing>
      </w:r>
    </w:p>
    <w:p w:rsidR="002A3AA8" w:rsidRDefault="002A3AA8" w:rsidP="00387350">
      <w:pPr>
        <w:spacing w:line="240" w:lineRule="auto"/>
        <w:jc w:val="both"/>
        <w:rPr>
          <w:rFonts w:ascii="Times New Roman" w:hAnsi="Times New Roman"/>
          <w:sz w:val="24"/>
          <w:szCs w:val="24"/>
        </w:rPr>
      </w:pPr>
    </w:p>
    <w:p w:rsidR="00854453" w:rsidRDefault="00854453" w:rsidP="00387350">
      <w:pPr>
        <w:spacing w:line="240" w:lineRule="auto"/>
        <w:jc w:val="both"/>
        <w:rPr>
          <w:rFonts w:ascii="Times New Roman" w:hAnsi="Times New Roman" w:cs="Times New Roman"/>
          <w:sz w:val="24"/>
          <w:szCs w:val="24"/>
          <w:u w:val="single"/>
        </w:rPr>
      </w:pPr>
    </w:p>
    <w:p w:rsidR="00854453" w:rsidRDefault="00854453" w:rsidP="00387350">
      <w:pPr>
        <w:spacing w:line="240" w:lineRule="auto"/>
        <w:jc w:val="both"/>
        <w:rPr>
          <w:rFonts w:ascii="Times New Roman" w:hAnsi="Times New Roman" w:cs="Times New Roman"/>
          <w:sz w:val="24"/>
          <w:szCs w:val="24"/>
          <w:u w:val="single"/>
        </w:rPr>
      </w:pPr>
    </w:p>
    <w:p w:rsidR="00854453" w:rsidRDefault="00854453" w:rsidP="00387350">
      <w:pPr>
        <w:spacing w:line="240" w:lineRule="auto"/>
        <w:jc w:val="both"/>
        <w:rPr>
          <w:rFonts w:ascii="Times New Roman" w:hAnsi="Times New Roman" w:cs="Times New Roman"/>
          <w:sz w:val="24"/>
          <w:szCs w:val="24"/>
          <w:u w:val="single"/>
        </w:rPr>
      </w:pPr>
    </w:p>
    <w:p w:rsidR="0093491E" w:rsidRDefault="0093491E" w:rsidP="00387350">
      <w:pPr>
        <w:spacing w:line="240" w:lineRule="auto"/>
        <w:jc w:val="both"/>
        <w:rPr>
          <w:rFonts w:ascii="Times New Roman" w:hAnsi="Times New Roman" w:cs="Times New Roman"/>
          <w:sz w:val="24"/>
          <w:szCs w:val="24"/>
          <w:u w:val="single"/>
        </w:rPr>
      </w:pPr>
    </w:p>
    <w:p w:rsidR="002A3AA8" w:rsidRPr="000370D6" w:rsidRDefault="002A3AA8" w:rsidP="00387350">
      <w:pPr>
        <w:spacing w:line="240" w:lineRule="auto"/>
        <w:jc w:val="both"/>
        <w:rPr>
          <w:rFonts w:ascii="Times New Roman" w:hAnsi="Times New Roman" w:cs="Times New Roman"/>
          <w:sz w:val="24"/>
          <w:szCs w:val="24"/>
        </w:rPr>
      </w:pPr>
      <w:r w:rsidRPr="006E49DE">
        <w:rPr>
          <w:rFonts w:ascii="Times New Roman" w:hAnsi="Times New Roman" w:cs="Times New Roman"/>
          <w:sz w:val="24"/>
          <w:szCs w:val="24"/>
          <w:u w:val="single"/>
        </w:rPr>
        <w:lastRenderedPageBreak/>
        <w:t>Mapa mundial del endeudamiento público y privado</w:t>
      </w:r>
      <w:r>
        <w:rPr>
          <w:rFonts w:ascii="Times New Roman" w:hAnsi="Times New Roman" w:cs="Times New Roman"/>
          <w:sz w:val="24"/>
          <w:szCs w:val="24"/>
        </w:rPr>
        <w:t xml:space="preserve"> (Fuente: El Confidencial - </w:t>
      </w:r>
      <w:r w:rsidRPr="006E49DE">
        <w:rPr>
          <w:rFonts w:ascii="Times New Roman" w:hAnsi="Times New Roman" w:cs="Times New Roman"/>
          <w:b/>
          <w:sz w:val="24"/>
          <w:szCs w:val="24"/>
        </w:rPr>
        <w:t>5/6/13</w:t>
      </w:r>
      <w:r w:rsidR="000370D6">
        <w:rPr>
          <w:rFonts w:ascii="Times New Roman" w:hAnsi="Times New Roman" w:cs="Times New Roman"/>
          <w:sz w:val="24"/>
          <w:szCs w:val="24"/>
        </w:rPr>
        <w:t>)</w:t>
      </w:r>
    </w:p>
    <w:p w:rsidR="00265CC7" w:rsidRDefault="002A3AA8" w:rsidP="00387350">
      <w:pPr>
        <w:spacing w:before="100" w:beforeAutospacing="1" w:after="100" w:afterAutospacing="1" w:line="240" w:lineRule="auto"/>
        <w:jc w:val="both"/>
        <w:rPr>
          <w:rFonts w:ascii="Times New Roman" w:eastAsia="Times New Roman" w:hAnsi="Times New Roman"/>
          <w:sz w:val="24"/>
          <w:szCs w:val="24"/>
          <w:lang w:eastAsia="es-ES"/>
        </w:rPr>
      </w:pPr>
      <w:r>
        <w:rPr>
          <w:noProof/>
          <w:lang w:eastAsia="es-ES"/>
        </w:rPr>
        <w:drawing>
          <wp:inline distT="0" distB="0" distL="0" distR="0" wp14:anchorId="433EE63B" wp14:editId="5F134112">
            <wp:extent cx="5186476" cy="3650285"/>
            <wp:effectExtent l="0" t="0" r="0" b="7620"/>
            <wp:docPr id="476" name="Imagen 476" descr="http://www.cotizalia.com/archivos/cz/2013060477ma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otizalia.com/archivos/cz/2013060477marc.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86680" cy="3650429"/>
                    </a:xfrm>
                    <a:prstGeom prst="rect">
                      <a:avLst/>
                    </a:prstGeom>
                    <a:noFill/>
                    <a:ln>
                      <a:noFill/>
                    </a:ln>
                  </pic:spPr>
                </pic:pic>
              </a:graphicData>
            </a:graphic>
          </wp:inline>
        </w:drawing>
      </w:r>
    </w:p>
    <w:p w:rsidR="002A3AA8" w:rsidRDefault="002A3AA8" w:rsidP="00387350">
      <w:pPr>
        <w:spacing w:before="100" w:beforeAutospacing="1" w:after="100" w:afterAutospacing="1" w:line="240" w:lineRule="auto"/>
        <w:jc w:val="both"/>
        <w:rPr>
          <w:rFonts w:ascii="Times New Roman" w:eastAsia="Times New Roman" w:hAnsi="Times New Roman"/>
          <w:sz w:val="24"/>
          <w:szCs w:val="24"/>
          <w:lang w:eastAsia="es-ES"/>
        </w:rPr>
      </w:pPr>
    </w:p>
    <w:p w:rsidR="002A3AA8" w:rsidRDefault="002A3AA8"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hAnsi="Times New Roman" w:cs="Times New Roman"/>
          <w:noProof/>
          <w:sz w:val="24"/>
          <w:szCs w:val="24"/>
          <w:lang w:eastAsia="es-ES"/>
        </w:rPr>
        <w:drawing>
          <wp:inline distT="0" distB="0" distL="0" distR="0" wp14:anchorId="00B42F00" wp14:editId="1B7BD637">
            <wp:extent cx="5391150" cy="410400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1150" cy="4104005"/>
                    </a:xfrm>
                    <a:prstGeom prst="rect">
                      <a:avLst/>
                    </a:prstGeom>
                    <a:noFill/>
                    <a:ln>
                      <a:noFill/>
                    </a:ln>
                  </pic:spPr>
                </pic:pic>
              </a:graphicData>
            </a:graphic>
          </wp:inline>
        </w:drawing>
      </w:r>
    </w:p>
    <w:p w:rsidR="002A3AA8" w:rsidRDefault="002A3AA8"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hAnsi="Times New Roman" w:cs="Times New Roman"/>
          <w:noProof/>
          <w:sz w:val="24"/>
          <w:szCs w:val="24"/>
          <w:lang w:eastAsia="es-ES"/>
        </w:rPr>
        <w:lastRenderedPageBreak/>
        <w:drawing>
          <wp:inline distT="0" distB="0" distL="0" distR="0" wp14:anchorId="78D5ACD5" wp14:editId="38545D34">
            <wp:extent cx="5391150" cy="4125595"/>
            <wp:effectExtent l="0" t="0" r="0" b="825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1150" cy="4125595"/>
                    </a:xfrm>
                    <a:prstGeom prst="rect">
                      <a:avLst/>
                    </a:prstGeom>
                    <a:noFill/>
                    <a:ln>
                      <a:noFill/>
                    </a:ln>
                  </pic:spPr>
                </pic:pic>
              </a:graphicData>
            </a:graphic>
          </wp:inline>
        </w:drawing>
      </w:r>
    </w:p>
    <w:p w:rsidR="002A3AA8" w:rsidRDefault="002A3AA8" w:rsidP="00387350">
      <w:pPr>
        <w:spacing w:before="100" w:beforeAutospacing="1" w:after="100" w:afterAutospacing="1" w:line="240" w:lineRule="auto"/>
        <w:jc w:val="both"/>
        <w:rPr>
          <w:rFonts w:ascii="Times New Roman" w:eastAsia="Times New Roman" w:hAnsi="Times New Roman"/>
          <w:sz w:val="24"/>
          <w:szCs w:val="24"/>
          <w:lang w:eastAsia="es-ES"/>
        </w:rPr>
      </w:pPr>
    </w:p>
    <w:p w:rsidR="002A3AA8" w:rsidRDefault="002A3AA8" w:rsidP="00387350">
      <w:pPr>
        <w:spacing w:before="100" w:beforeAutospacing="1" w:after="100" w:afterAutospacing="1" w:line="240" w:lineRule="auto"/>
        <w:jc w:val="both"/>
        <w:rPr>
          <w:rFonts w:ascii="Times New Roman" w:eastAsia="Times New Roman" w:hAnsi="Times New Roman"/>
          <w:sz w:val="24"/>
          <w:szCs w:val="24"/>
          <w:lang w:eastAsia="es-ES"/>
        </w:rPr>
      </w:pPr>
      <w:r>
        <w:rPr>
          <w:noProof/>
          <w:lang w:eastAsia="es-ES"/>
        </w:rPr>
        <w:drawing>
          <wp:inline distT="0" distB="0" distL="0" distR="0" wp14:anchorId="178872D4" wp14:editId="68A9E7CF">
            <wp:extent cx="5398770" cy="4037965"/>
            <wp:effectExtent l="0" t="0" r="0" b="635"/>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8770" cy="4037965"/>
                    </a:xfrm>
                    <a:prstGeom prst="rect">
                      <a:avLst/>
                    </a:prstGeom>
                    <a:noFill/>
                    <a:ln>
                      <a:noFill/>
                    </a:ln>
                  </pic:spPr>
                </pic:pic>
              </a:graphicData>
            </a:graphic>
          </wp:inline>
        </w:drawing>
      </w:r>
    </w:p>
    <w:p w:rsidR="002A3AA8" w:rsidRPr="00265CC7" w:rsidRDefault="002A3AA8" w:rsidP="00387350">
      <w:pPr>
        <w:spacing w:before="100" w:beforeAutospacing="1" w:after="100" w:afterAutospacing="1" w:line="240" w:lineRule="auto"/>
        <w:jc w:val="both"/>
        <w:rPr>
          <w:rFonts w:ascii="Times New Roman" w:eastAsia="Times New Roman" w:hAnsi="Times New Roman"/>
          <w:sz w:val="24"/>
          <w:szCs w:val="24"/>
          <w:lang w:eastAsia="es-ES"/>
        </w:rPr>
      </w:pPr>
    </w:p>
    <w:p w:rsidR="00265CC7" w:rsidRPr="00265CC7" w:rsidRDefault="002A3AA8" w:rsidP="00387350">
      <w:pPr>
        <w:spacing w:line="240" w:lineRule="auto"/>
        <w:jc w:val="both"/>
        <w:rPr>
          <w:rFonts w:ascii="Times New Roman" w:hAnsi="Times New Roman"/>
          <w:sz w:val="24"/>
          <w:szCs w:val="24"/>
        </w:rPr>
      </w:pPr>
      <w:r>
        <w:rPr>
          <w:rFonts w:ascii="Times New Roman" w:hAnsi="Times New Roman" w:cs="Times New Roman"/>
          <w:noProof/>
          <w:sz w:val="24"/>
          <w:szCs w:val="24"/>
          <w:lang w:eastAsia="es-ES"/>
        </w:rPr>
        <w:drawing>
          <wp:inline distT="0" distB="0" distL="0" distR="0" wp14:anchorId="592EE443" wp14:editId="76F7C60A">
            <wp:extent cx="5391150" cy="3832860"/>
            <wp:effectExtent l="0" t="0" r="0" b="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1150" cy="3832860"/>
                    </a:xfrm>
                    <a:prstGeom prst="rect">
                      <a:avLst/>
                    </a:prstGeom>
                    <a:noFill/>
                    <a:ln>
                      <a:noFill/>
                    </a:ln>
                  </pic:spPr>
                </pic:pic>
              </a:graphicData>
            </a:graphic>
          </wp:inline>
        </w:drawing>
      </w:r>
    </w:p>
    <w:p w:rsidR="000370D6" w:rsidRDefault="000370D6" w:rsidP="00387350">
      <w:pPr>
        <w:pStyle w:val="NormalWeb"/>
        <w:jc w:val="both"/>
        <w:rPr>
          <w:u w:val="single"/>
        </w:rPr>
      </w:pPr>
    </w:p>
    <w:p w:rsidR="002A3AA8" w:rsidRDefault="002A3AA8" w:rsidP="00387350">
      <w:pPr>
        <w:pStyle w:val="NormalWeb"/>
        <w:jc w:val="both"/>
      </w:pPr>
      <w:r w:rsidRPr="00500B8D">
        <w:rPr>
          <w:u w:val="single"/>
        </w:rPr>
        <w:t>España será el país de la UE donde más crecerá la deuda pública hasta 2016</w:t>
      </w:r>
      <w:r>
        <w:t xml:space="preserve"> (Fuente: El Confidencial - </w:t>
      </w:r>
      <w:r w:rsidRPr="00500B8D">
        <w:rPr>
          <w:b/>
        </w:rPr>
        <w:t>18/6/13</w:t>
      </w:r>
      <w:r>
        <w:t>)</w:t>
      </w:r>
    </w:p>
    <w:p w:rsidR="002A3AA8" w:rsidRDefault="002A3AA8" w:rsidP="00387350">
      <w:pPr>
        <w:spacing w:line="240" w:lineRule="auto"/>
        <w:jc w:val="both"/>
        <w:rPr>
          <w:rFonts w:ascii="Times New Roman" w:hAnsi="Times New Roman"/>
          <w:sz w:val="24"/>
          <w:szCs w:val="24"/>
        </w:rPr>
      </w:pPr>
      <w:r>
        <w:rPr>
          <w:noProof/>
          <w:lang w:eastAsia="es-ES"/>
        </w:rPr>
        <w:drawing>
          <wp:inline distT="0" distB="0" distL="0" distR="0" wp14:anchorId="1A755676" wp14:editId="2282A4D7">
            <wp:extent cx="5493714" cy="2860243"/>
            <wp:effectExtent l="0" t="0" r="0" b="0"/>
            <wp:docPr id="98" name="Imagen 98" descr="http://www.elconfidencial.com/fotos/noticias_2011/2013061817cs_cent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lconfidencial.com/fotos/noticias_2011/2013061817cs_central.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93931" cy="2860356"/>
                    </a:xfrm>
                    <a:prstGeom prst="rect">
                      <a:avLst/>
                    </a:prstGeom>
                    <a:noFill/>
                    <a:ln>
                      <a:noFill/>
                    </a:ln>
                  </pic:spPr>
                </pic:pic>
              </a:graphicData>
            </a:graphic>
          </wp:inline>
        </w:drawing>
      </w:r>
    </w:p>
    <w:p w:rsidR="002A3AA8" w:rsidRDefault="002A3AA8" w:rsidP="00387350">
      <w:pPr>
        <w:spacing w:line="240" w:lineRule="auto"/>
        <w:jc w:val="both"/>
        <w:rPr>
          <w:rFonts w:ascii="Times New Roman" w:hAnsi="Times New Roman"/>
          <w:sz w:val="24"/>
          <w:szCs w:val="24"/>
        </w:rPr>
      </w:pPr>
      <w:r>
        <w:rPr>
          <w:noProof/>
          <w:lang w:eastAsia="es-ES"/>
        </w:rPr>
        <w:lastRenderedPageBreak/>
        <w:drawing>
          <wp:inline distT="0" distB="0" distL="0" distR="0" wp14:anchorId="08FA99E2" wp14:editId="10EE3B69">
            <wp:extent cx="5388773" cy="2713939"/>
            <wp:effectExtent l="0" t="0" r="2540" b="0"/>
            <wp:docPr id="102" name="Imagen 102" descr="http://www.elconfidencial.com/fotos/noticias_2011/201306186cs_amp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lconfidencial.com/fotos/noticias_2011/201306186cs_ampli.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00040" cy="2719613"/>
                    </a:xfrm>
                    <a:prstGeom prst="rect">
                      <a:avLst/>
                    </a:prstGeom>
                    <a:noFill/>
                    <a:ln>
                      <a:noFill/>
                    </a:ln>
                  </pic:spPr>
                </pic:pic>
              </a:graphicData>
            </a:graphic>
          </wp:inline>
        </w:drawing>
      </w:r>
    </w:p>
    <w:p w:rsidR="0093491E" w:rsidRDefault="0093491E" w:rsidP="00387350">
      <w:pPr>
        <w:pStyle w:val="NormalWeb"/>
        <w:jc w:val="both"/>
        <w:rPr>
          <w:color w:val="000000"/>
        </w:rPr>
      </w:pPr>
    </w:p>
    <w:p w:rsidR="002A3AA8" w:rsidRPr="002A3AA8" w:rsidRDefault="002A3AA8" w:rsidP="00387350">
      <w:pPr>
        <w:pStyle w:val="NormalWeb"/>
        <w:jc w:val="both"/>
        <w:rPr>
          <w:color w:val="000000"/>
        </w:rPr>
      </w:pPr>
      <w:r>
        <w:rPr>
          <w:color w:val="000000"/>
        </w:rPr>
        <w:t xml:space="preserve">- </w:t>
      </w:r>
      <w:r w:rsidRPr="000A14AA">
        <w:rPr>
          <w:color w:val="000000"/>
          <w:u w:val="single"/>
        </w:rPr>
        <w:t>Los banqueros centrales irrumpen en la polémica: a más deuda, menor crecimiento</w:t>
      </w:r>
      <w:r>
        <w:rPr>
          <w:color w:val="000000"/>
        </w:rPr>
        <w:t xml:space="preserve"> (Fuente: El Confidencial - </w:t>
      </w:r>
      <w:r w:rsidRPr="000A14AA">
        <w:rPr>
          <w:b/>
          <w:color w:val="000000"/>
        </w:rPr>
        <w:t>25/6/13</w:t>
      </w:r>
      <w:r>
        <w:rPr>
          <w:color w:val="000000"/>
        </w:rPr>
        <w:t>)</w:t>
      </w:r>
    </w:p>
    <w:p w:rsidR="002A3AA8" w:rsidRDefault="002A3AA8" w:rsidP="00387350">
      <w:pPr>
        <w:spacing w:line="240" w:lineRule="auto"/>
        <w:jc w:val="both"/>
        <w:rPr>
          <w:rFonts w:ascii="Times New Roman" w:hAnsi="Times New Roman"/>
          <w:sz w:val="24"/>
          <w:szCs w:val="24"/>
        </w:rPr>
      </w:pPr>
      <w:r>
        <w:rPr>
          <w:noProof/>
          <w:lang w:eastAsia="es-ES"/>
        </w:rPr>
        <w:drawing>
          <wp:inline distT="0" distB="0" distL="0" distR="0" wp14:anchorId="1E69E97D" wp14:editId="602F18AE">
            <wp:extent cx="5449824" cy="3189427"/>
            <wp:effectExtent l="0" t="0" r="0" b="0"/>
            <wp:docPr id="39" name="Imagen 39" descr="http://www.elconfidencial.com/archivos/ec/2013062411sanchez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elconfidencial.com/archivos/ec/2013062411sanchez3.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50194" cy="3189644"/>
                    </a:xfrm>
                    <a:prstGeom prst="rect">
                      <a:avLst/>
                    </a:prstGeom>
                    <a:noFill/>
                    <a:ln>
                      <a:noFill/>
                    </a:ln>
                  </pic:spPr>
                </pic:pic>
              </a:graphicData>
            </a:graphic>
          </wp:inline>
        </w:drawing>
      </w:r>
    </w:p>
    <w:p w:rsidR="000370D6" w:rsidRDefault="000370D6" w:rsidP="00387350">
      <w:pPr>
        <w:spacing w:line="240" w:lineRule="auto"/>
        <w:jc w:val="both"/>
        <w:rPr>
          <w:rFonts w:ascii="Times New Roman" w:hAnsi="Times New Roman"/>
          <w:sz w:val="24"/>
          <w:szCs w:val="24"/>
        </w:rPr>
      </w:pPr>
    </w:p>
    <w:p w:rsidR="000370D6" w:rsidRDefault="000370D6" w:rsidP="00387350">
      <w:pPr>
        <w:spacing w:line="240" w:lineRule="auto"/>
        <w:jc w:val="both"/>
        <w:rPr>
          <w:rFonts w:ascii="Times New Roman" w:hAnsi="Times New Roman"/>
          <w:sz w:val="24"/>
          <w:szCs w:val="24"/>
        </w:rPr>
      </w:pPr>
    </w:p>
    <w:p w:rsidR="000370D6" w:rsidRDefault="000370D6" w:rsidP="00387350">
      <w:pPr>
        <w:spacing w:line="240" w:lineRule="auto"/>
        <w:jc w:val="both"/>
        <w:rPr>
          <w:rFonts w:ascii="Times New Roman" w:hAnsi="Times New Roman"/>
          <w:sz w:val="24"/>
          <w:szCs w:val="24"/>
        </w:rPr>
      </w:pPr>
    </w:p>
    <w:p w:rsidR="000370D6" w:rsidRDefault="000370D6" w:rsidP="00387350">
      <w:pPr>
        <w:spacing w:line="240" w:lineRule="auto"/>
        <w:jc w:val="both"/>
        <w:rPr>
          <w:rFonts w:ascii="Times New Roman" w:hAnsi="Times New Roman"/>
          <w:sz w:val="24"/>
          <w:szCs w:val="24"/>
        </w:rPr>
      </w:pPr>
    </w:p>
    <w:p w:rsidR="000370D6" w:rsidRDefault="000370D6" w:rsidP="00387350">
      <w:pPr>
        <w:spacing w:line="240" w:lineRule="auto"/>
        <w:jc w:val="both"/>
        <w:rPr>
          <w:rFonts w:ascii="Times New Roman" w:hAnsi="Times New Roman"/>
          <w:sz w:val="24"/>
          <w:szCs w:val="24"/>
        </w:rPr>
      </w:pPr>
    </w:p>
    <w:p w:rsidR="000370D6" w:rsidRDefault="000370D6" w:rsidP="00387350">
      <w:pPr>
        <w:spacing w:line="240" w:lineRule="auto"/>
        <w:jc w:val="both"/>
        <w:rPr>
          <w:rFonts w:ascii="Times New Roman" w:hAnsi="Times New Roman"/>
          <w:sz w:val="24"/>
          <w:szCs w:val="24"/>
        </w:rPr>
      </w:pPr>
    </w:p>
    <w:p w:rsidR="000370D6" w:rsidRDefault="000370D6" w:rsidP="00387350">
      <w:pPr>
        <w:spacing w:line="240" w:lineRule="auto"/>
        <w:jc w:val="both"/>
        <w:rPr>
          <w:rFonts w:ascii="Times New Roman" w:hAnsi="Times New Roman"/>
          <w:b/>
          <w:sz w:val="24"/>
          <w:szCs w:val="24"/>
        </w:rPr>
      </w:pPr>
      <w:r>
        <w:rPr>
          <w:rFonts w:ascii="Times New Roman" w:hAnsi="Times New Roman"/>
          <w:b/>
          <w:sz w:val="24"/>
          <w:szCs w:val="24"/>
        </w:rPr>
        <w:lastRenderedPageBreak/>
        <w:t>Anexo II: Los causantes (esa gigantesca Casa de Apuestas)</w:t>
      </w:r>
    </w:p>
    <w:p w:rsidR="000370D6" w:rsidRDefault="000370D6" w:rsidP="00387350">
      <w:pPr>
        <w:spacing w:line="240" w:lineRule="auto"/>
        <w:jc w:val="both"/>
        <w:rPr>
          <w:rFonts w:ascii="Times New Roman" w:hAnsi="Times New Roman"/>
          <w:b/>
          <w:sz w:val="24"/>
          <w:szCs w:val="24"/>
        </w:rPr>
      </w:pPr>
      <w:r>
        <w:rPr>
          <w:rFonts w:ascii="Times New Roman" w:hAnsi="Times New Roman"/>
          <w:b/>
          <w:sz w:val="24"/>
          <w:szCs w:val="24"/>
        </w:rPr>
        <w:t xml:space="preserve">- </w:t>
      </w:r>
      <w:r w:rsidRPr="000370D6">
        <w:rPr>
          <w:rFonts w:ascii="Times New Roman" w:hAnsi="Times New Roman"/>
          <w:b/>
          <w:sz w:val="24"/>
          <w:szCs w:val="24"/>
        </w:rPr>
        <w:t>La encrucijada de los Bancos Centrales</w:t>
      </w:r>
      <w:r>
        <w:rPr>
          <w:rFonts w:ascii="Times New Roman" w:hAnsi="Times New Roman"/>
          <w:b/>
          <w:sz w:val="24"/>
          <w:szCs w:val="24"/>
        </w:rPr>
        <w:t xml:space="preserve"> (el QEternity)</w:t>
      </w:r>
      <w:r w:rsidRPr="000370D6">
        <w:rPr>
          <w:rFonts w:ascii="Times New Roman" w:hAnsi="Times New Roman"/>
          <w:b/>
          <w:sz w:val="24"/>
          <w:szCs w:val="24"/>
        </w:rPr>
        <w:t xml:space="preserve"> </w:t>
      </w:r>
    </w:p>
    <w:p w:rsidR="000370D6" w:rsidRDefault="000370D6" w:rsidP="00387350">
      <w:pPr>
        <w:spacing w:line="240" w:lineRule="auto"/>
        <w:jc w:val="both"/>
        <w:rPr>
          <w:rFonts w:ascii="Times New Roman" w:hAnsi="Times New Roman"/>
          <w:b/>
          <w:sz w:val="24"/>
          <w:szCs w:val="24"/>
        </w:rPr>
      </w:pPr>
      <w:r>
        <w:rPr>
          <w:rFonts w:ascii="Times New Roman" w:hAnsi="Times New Roman"/>
          <w:bCs/>
          <w:noProof/>
          <w:sz w:val="24"/>
          <w:szCs w:val="24"/>
          <w:lang w:eastAsia="es-ES"/>
        </w:rPr>
        <w:drawing>
          <wp:inline distT="0" distB="0" distL="0" distR="0" wp14:anchorId="09D2B4DD" wp14:editId="73713A1B">
            <wp:extent cx="5398459" cy="2282342"/>
            <wp:effectExtent l="0" t="0" r="0" b="381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8770" cy="2282474"/>
                    </a:xfrm>
                    <a:prstGeom prst="rect">
                      <a:avLst/>
                    </a:prstGeom>
                    <a:noFill/>
                    <a:ln>
                      <a:noFill/>
                    </a:ln>
                  </pic:spPr>
                </pic:pic>
              </a:graphicData>
            </a:graphic>
          </wp:inline>
        </w:drawing>
      </w:r>
    </w:p>
    <w:p w:rsidR="000370D6" w:rsidRPr="00271718" w:rsidRDefault="00271718" w:rsidP="00387350">
      <w:pPr>
        <w:spacing w:line="240" w:lineRule="auto"/>
        <w:jc w:val="both"/>
        <w:rPr>
          <w:rFonts w:ascii="Times New Roman" w:hAnsi="Times New Roman"/>
          <w:sz w:val="24"/>
          <w:szCs w:val="24"/>
        </w:rPr>
      </w:pPr>
      <w:r>
        <w:rPr>
          <w:rFonts w:ascii="Times New Roman" w:hAnsi="Times New Roman"/>
          <w:sz w:val="24"/>
          <w:szCs w:val="24"/>
        </w:rPr>
        <w:t>“</w:t>
      </w:r>
      <w:r w:rsidR="000370D6" w:rsidRPr="00271718">
        <w:rPr>
          <w:rFonts w:ascii="Times New Roman" w:hAnsi="Times New Roman"/>
          <w:sz w:val="24"/>
          <w:szCs w:val="24"/>
        </w:rPr>
        <w:t>Entre los factores que impulsaron esta crisis figuran una política monetaria expansiva que propició un aumento del endeudamiento, ya que los costes de las obligaciones financieras eran muy reducidos y la abundante liquidez hizo que los tipos de interés fueran inferiores a la inflación, con lo que los incentivos para ahorrar en vez de consumir eran menores. Una errónea evaluación del riesgo por parte de las agencias de rating y de una falta de regulación externa por parte de la Fed, y sobre todo por un exceso de avaricia por parte de los responsables de las entidades financieras.</w:t>
      </w:r>
    </w:p>
    <w:p w:rsidR="000370D6" w:rsidRPr="00271718" w:rsidRDefault="000370D6" w:rsidP="00387350">
      <w:pPr>
        <w:spacing w:line="240" w:lineRule="auto"/>
        <w:jc w:val="both"/>
        <w:rPr>
          <w:rFonts w:ascii="Times New Roman" w:hAnsi="Times New Roman"/>
          <w:sz w:val="24"/>
          <w:szCs w:val="24"/>
        </w:rPr>
      </w:pPr>
      <w:r w:rsidRPr="00271718">
        <w:rPr>
          <w:rFonts w:ascii="Times New Roman" w:hAnsi="Times New Roman"/>
          <w:sz w:val="24"/>
          <w:szCs w:val="24"/>
        </w:rPr>
        <w:t xml:space="preserve">El detonante fue la elevada morosidad de las hipotecas subprime desarrolladas a raíz del boom inmobiliario en EEUU y que se concedieron sin ningún control a clientes apodados como ninjas, personas sin renta, sin trabajo y sin activos (no income, no job, no assets). La pregunta es: ¿por qué los bancos concedieron créditos a gente que seguramente no podría pagar? Para seguir alimentando la máquina del dinero. El fin no era la concesión de créditos de vivienda en sí mismos, sino el deseo de otorgarlos para posteriormente emitir títulos respaldados por esos préstamos hipotecarios. </w:t>
      </w:r>
      <w:r w:rsidR="002E6E34" w:rsidRPr="00271718">
        <w:rPr>
          <w:rFonts w:ascii="Times New Roman" w:hAnsi="Times New Roman"/>
          <w:sz w:val="24"/>
          <w:szCs w:val="24"/>
        </w:rPr>
        <w:t>Cuantas más hipotecas</w:t>
      </w:r>
      <w:r w:rsidRPr="00271718">
        <w:rPr>
          <w:rFonts w:ascii="Times New Roman" w:hAnsi="Times New Roman"/>
          <w:sz w:val="24"/>
          <w:szCs w:val="24"/>
        </w:rPr>
        <w:t xml:space="preserve"> daban, más títulos podían emitir y mayor altura tomaban los precios de la vivienda, con el consiguiente efecto riqueza sobre la economía real. Sin embargo esto solo se podía sostener si el boom inmobiliario duraba indefinidamente, pero ninguna burbuja es eterna. Y ésta se desinfló el primer trimestre de 2007, cuando por la saturación del mercado cayeron los precios de la vivienda. Ante esta situación, algunos propietarios con bajo nivel de renta, al ver que el valor de la vivienda quedaba por debajo del valor hipotecado empezaron a no pagar los préstamos y a devolverles las llaves de las casas al banco. De este modo nacieron los activos tóxicos, en el sentido de que el valor subyacente de las titulizaciones de las hipotecas era mucho menor al de los bonos emitidos.</w:t>
      </w:r>
    </w:p>
    <w:p w:rsidR="000370D6" w:rsidRPr="00271718" w:rsidRDefault="000370D6" w:rsidP="00387350">
      <w:pPr>
        <w:spacing w:line="240" w:lineRule="auto"/>
        <w:jc w:val="both"/>
        <w:rPr>
          <w:rFonts w:ascii="Times New Roman" w:hAnsi="Times New Roman"/>
          <w:sz w:val="24"/>
          <w:szCs w:val="24"/>
        </w:rPr>
      </w:pPr>
      <w:r w:rsidRPr="00271718">
        <w:rPr>
          <w:rFonts w:ascii="Times New Roman" w:hAnsi="Times New Roman"/>
          <w:sz w:val="24"/>
          <w:szCs w:val="24"/>
        </w:rPr>
        <w:t xml:space="preserve">Pero, el principal problema vino a la hora de asumir e identificar el riesgo de los activos. Ya que, estas hipotecas una vez concedidas en títulos transferibles, se vendieron por todo el mundo. Quienes las contrataban en EEUU eran agentes a comisión, que cobraban en función del número de hipotecas colocadas. Los ejecutivos de estas empresas no se veían afectados por el creciente riesgo que el sistema financiero asumía. Su trabajo consistía en vender hipotecas y solo de ello dependía su sueldo. Por otra parte, los bancos a través de la titulización -convertir activos, generalmente préstamos en valores negociables en el mercado- tampoco fueron conscientes del riesgo ya que </w:t>
      </w:r>
      <w:r w:rsidRPr="00271718">
        <w:rPr>
          <w:rFonts w:ascii="Times New Roman" w:hAnsi="Times New Roman"/>
          <w:sz w:val="24"/>
          <w:szCs w:val="24"/>
        </w:rPr>
        <w:lastRenderedPageBreak/>
        <w:t xml:space="preserve">diseñaron unos instrumentos financieros llamados CDO (Collaterised Debt Obligations) con los que las entidades sacaban de sus balances activos provenientes de su negocio hipotecario, sustituyéndolos por dinero nuevo. En una operación opaca que hacía difícil saber quién era el tenedor final de ese título. Así, cuando estalló la crisis los mercados de capitales se secaron. Los bancos no sabían quiénes estaban contaminados con estas emisiones, ni en qué cuantía por lo que no prestaban dinero a nadie. </w:t>
      </w:r>
    </w:p>
    <w:p w:rsidR="000370D6" w:rsidRPr="00271718" w:rsidRDefault="000370D6" w:rsidP="00387350">
      <w:pPr>
        <w:spacing w:line="240" w:lineRule="auto"/>
        <w:jc w:val="both"/>
        <w:rPr>
          <w:rFonts w:ascii="Times New Roman" w:hAnsi="Times New Roman"/>
          <w:sz w:val="24"/>
          <w:szCs w:val="24"/>
        </w:rPr>
      </w:pPr>
      <w:r w:rsidRPr="00271718">
        <w:rPr>
          <w:rFonts w:ascii="Times New Roman" w:hAnsi="Times New Roman"/>
          <w:sz w:val="24"/>
          <w:szCs w:val="24"/>
        </w:rPr>
        <w:t>Como consecuencia de esta restricción del crédito muchos proyectos de inversión se cancelaron provocando pérdidas empresariales, caída del crecimiento económico y destrucción del empleo. Tenemos así cómo, en un tiempo récord una crisis en el sector hipotecario estadounidense se transforma en una crisis financiera y posteriormente en una crisis económica global.</w:t>
      </w:r>
    </w:p>
    <w:p w:rsidR="000370D6" w:rsidRPr="00271718" w:rsidRDefault="000370D6" w:rsidP="00387350">
      <w:pPr>
        <w:spacing w:line="240" w:lineRule="auto"/>
        <w:jc w:val="both"/>
        <w:rPr>
          <w:rFonts w:ascii="Times New Roman" w:hAnsi="Times New Roman"/>
          <w:sz w:val="24"/>
          <w:szCs w:val="24"/>
        </w:rPr>
      </w:pPr>
      <w:r w:rsidRPr="00271718">
        <w:rPr>
          <w:rFonts w:ascii="Times New Roman" w:hAnsi="Times New Roman"/>
          <w:sz w:val="24"/>
          <w:szCs w:val="24"/>
        </w:rPr>
        <w:t>Ante esta tesitura, los Estados intervinieron a través de estímulos fiscales y dando soporte de liquidez y apoyo a los bancos. Tanto en EEUU como en Europa el riesgo de quiebra del sistema financiero propició una rápida y desorganizada ayuda a los bancos, mientras que las respuestas en política fiscal y monetaria fueron más coordinadas. En Asia la respuesta fue más tradicional y, prioritariamente, se centró en expandir el crédito y dar estímulos en ciertos sectores.</w:t>
      </w:r>
    </w:p>
    <w:p w:rsidR="00271718" w:rsidRPr="00BF2A79" w:rsidRDefault="000370D6" w:rsidP="00387350">
      <w:pPr>
        <w:spacing w:line="240" w:lineRule="auto"/>
        <w:jc w:val="both"/>
        <w:rPr>
          <w:rFonts w:ascii="Times New Roman" w:hAnsi="Times New Roman"/>
          <w:sz w:val="24"/>
          <w:szCs w:val="24"/>
        </w:rPr>
      </w:pPr>
      <w:r w:rsidRPr="00271718">
        <w:rPr>
          <w:rFonts w:ascii="Times New Roman" w:hAnsi="Times New Roman"/>
          <w:sz w:val="24"/>
          <w:szCs w:val="24"/>
        </w:rPr>
        <w:t>Este esfuerzo que tuvieron que realizar algunas economías para evitar el colapso de su sistema financiero -nacionalizando inclu</w:t>
      </w:r>
      <w:r w:rsidR="00031595">
        <w:rPr>
          <w:rFonts w:ascii="Times New Roman" w:hAnsi="Times New Roman"/>
          <w:sz w:val="24"/>
          <w:szCs w:val="24"/>
        </w:rPr>
        <w:t>so entidades bancarias-,</w:t>
      </w:r>
      <w:r w:rsidRPr="00271718">
        <w:rPr>
          <w:rFonts w:ascii="Times New Roman" w:hAnsi="Times New Roman"/>
          <w:sz w:val="24"/>
          <w:szCs w:val="24"/>
        </w:rPr>
        <w:t xml:space="preserve"> y desatascar el estancamiento de su sector productivo hizo que los niveles de endeudamiento de estos países se incrementaran notablemente y en un breve periodo de tiempo. Todo ello, unido a un crecimiento prácticamente nulo de su PIB, hizo que en los mercados financieros comenzara a cuajar la idea de que algunos países podrían no ser capaces de hacer frente a su endeudamiento</w:t>
      </w:r>
      <w:r w:rsidR="00271718">
        <w:rPr>
          <w:rFonts w:ascii="Times New Roman" w:hAnsi="Times New Roman"/>
          <w:sz w:val="24"/>
          <w:szCs w:val="24"/>
        </w:rPr>
        <w:t>”..</w:t>
      </w:r>
      <w:r w:rsidRPr="00271718">
        <w:rPr>
          <w:rFonts w:ascii="Times New Roman" w:hAnsi="Times New Roman"/>
          <w:sz w:val="24"/>
          <w:szCs w:val="24"/>
        </w:rPr>
        <w:t>.</w:t>
      </w:r>
      <w:r w:rsidR="00271718">
        <w:rPr>
          <w:rFonts w:ascii="Times New Roman" w:hAnsi="Times New Roman"/>
          <w:sz w:val="24"/>
          <w:szCs w:val="24"/>
        </w:rPr>
        <w:t xml:space="preserve"> </w:t>
      </w:r>
      <w:r w:rsidR="00271718" w:rsidRPr="00BF2A79">
        <w:rPr>
          <w:rFonts w:ascii="Times New Roman" w:hAnsi="Times New Roman"/>
          <w:sz w:val="24"/>
          <w:szCs w:val="24"/>
          <w:u w:val="single"/>
        </w:rPr>
        <w:t>Las actuaciones del BCE y la Fed no evitaron una crisis que dura ya 4 años</w:t>
      </w:r>
      <w:r w:rsidR="00271718">
        <w:rPr>
          <w:rFonts w:ascii="Times New Roman" w:hAnsi="Times New Roman"/>
          <w:sz w:val="24"/>
          <w:szCs w:val="24"/>
        </w:rPr>
        <w:t xml:space="preserve"> (El Economista - </w:t>
      </w:r>
      <w:r w:rsidR="00271718" w:rsidRPr="00BF2A79">
        <w:rPr>
          <w:rFonts w:ascii="Times New Roman" w:hAnsi="Times New Roman"/>
          <w:b/>
          <w:sz w:val="24"/>
          <w:szCs w:val="24"/>
        </w:rPr>
        <w:t>8/8/11</w:t>
      </w:r>
      <w:r w:rsidR="00271718">
        <w:rPr>
          <w:rFonts w:ascii="Times New Roman" w:hAnsi="Times New Roman"/>
          <w:sz w:val="24"/>
          <w:szCs w:val="24"/>
        </w:rPr>
        <w:t>)</w:t>
      </w:r>
    </w:p>
    <w:p w:rsidR="000370D6" w:rsidRDefault="00271718" w:rsidP="00387350">
      <w:pPr>
        <w:spacing w:line="240" w:lineRule="auto"/>
        <w:jc w:val="both"/>
        <w:rPr>
          <w:rFonts w:ascii="Times New Roman" w:hAnsi="Times New Roman"/>
          <w:sz w:val="24"/>
          <w:szCs w:val="24"/>
        </w:rPr>
      </w:pPr>
      <w:r>
        <w:rPr>
          <w:noProof/>
          <w:color w:val="0000FF"/>
          <w:lang w:eastAsia="es-ES"/>
        </w:rPr>
        <w:drawing>
          <wp:inline distT="0" distB="0" distL="0" distR="0" wp14:anchorId="59CF0402" wp14:editId="75D9B7A3">
            <wp:extent cx="5398617" cy="3189427"/>
            <wp:effectExtent l="0" t="0" r="0" b="0"/>
            <wp:docPr id="109" name="Imagen 109" descr="bolsayqe">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olsayqe"/>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00040" cy="3190268"/>
                    </a:xfrm>
                    <a:prstGeom prst="rect">
                      <a:avLst/>
                    </a:prstGeom>
                    <a:noFill/>
                    <a:ln>
                      <a:noFill/>
                    </a:ln>
                  </pic:spPr>
                </pic:pic>
              </a:graphicData>
            </a:graphic>
          </wp:inline>
        </w:drawing>
      </w:r>
    </w:p>
    <w:p w:rsidR="00271718" w:rsidRDefault="00271718" w:rsidP="00387350">
      <w:pPr>
        <w:spacing w:line="240" w:lineRule="auto"/>
        <w:jc w:val="both"/>
        <w:rPr>
          <w:rFonts w:ascii="Times New Roman" w:hAnsi="Times New Roman"/>
          <w:sz w:val="24"/>
          <w:szCs w:val="24"/>
        </w:rPr>
      </w:pPr>
      <w:r>
        <w:rPr>
          <w:rFonts w:ascii="Times New Roman" w:hAnsi="Times New Roman"/>
          <w:sz w:val="24"/>
          <w:szCs w:val="24"/>
        </w:rPr>
        <w:t xml:space="preserve">(Fuente: Libertad Digital - </w:t>
      </w:r>
      <w:r w:rsidRPr="00271718">
        <w:rPr>
          <w:rFonts w:ascii="Times New Roman" w:hAnsi="Times New Roman"/>
          <w:b/>
          <w:sz w:val="24"/>
          <w:szCs w:val="24"/>
        </w:rPr>
        <w:t>10/8/11</w:t>
      </w:r>
      <w:r>
        <w:rPr>
          <w:rFonts w:ascii="Times New Roman" w:hAnsi="Times New Roman"/>
          <w:sz w:val="24"/>
          <w:szCs w:val="24"/>
        </w:rPr>
        <w:t>)</w:t>
      </w:r>
    </w:p>
    <w:p w:rsidR="000E0913" w:rsidRPr="000E0913" w:rsidRDefault="000E0913" w:rsidP="00387350">
      <w:pPr>
        <w:spacing w:line="240" w:lineRule="auto"/>
        <w:jc w:val="both"/>
        <w:rPr>
          <w:rFonts w:ascii="Times New Roman" w:hAnsi="Times New Roman"/>
          <w:sz w:val="24"/>
          <w:szCs w:val="24"/>
        </w:rPr>
      </w:pPr>
      <w:r>
        <w:rPr>
          <w:rFonts w:ascii="Times New Roman" w:hAnsi="Times New Roman"/>
          <w:sz w:val="24"/>
          <w:szCs w:val="24"/>
        </w:rPr>
        <w:t>“</w:t>
      </w:r>
      <w:r w:rsidRPr="000E0913">
        <w:rPr>
          <w:rFonts w:ascii="Times New Roman" w:hAnsi="Times New Roman"/>
          <w:sz w:val="24"/>
          <w:szCs w:val="24"/>
        </w:rPr>
        <w:t xml:space="preserve">En Europa se debate sobre las mayores o menores necesidades de capital, pero ya no sobre posibles problemas de liquidez del sistema financiero en el medio plazo, pese a </w:t>
      </w:r>
      <w:r w:rsidRPr="000E0913">
        <w:rPr>
          <w:rFonts w:ascii="Times New Roman" w:hAnsi="Times New Roman"/>
          <w:sz w:val="24"/>
          <w:szCs w:val="24"/>
        </w:rPr>
        <w:lastRenderedPageBreak/>
        <w:t>los elevados vencimientos que debe afrontar la banca el año que viene y la situación actual en la que se encuentran los mercados mayoristas de financiación. La razón: el Banco Central Europeo (BCE) ha puesto en marcha nuevas medidas que evitarán cualquier problema en este sentido.</w:t>
      </w:r>
    </w:p>
    <w:p w:rsidR="000E0913" w:rsidRDefault="000E0913" w:rsidP="00387350">
      <w:pPr>
        <w:spacing w:line="240" w:lineRule="auto"/>
        <w:jc w:val="both"/>
        <w:rPr>
          <w:rFonts w:ascii="Times New Roman" w:hAnsi="Times New Roman"/>
          <w:sz w:val="24"/>
          <w:szCs w:val="24"/>
        </w:rPr>
      </w:pPr>
      <w:r w:rsidRPr="000E0913">
        <w:rPr>
          <w:rFonts w:ascii="Times New Roman" w:hAnsi="Times New Roman"/>
          <w:sz w:val="24"/>
          <w:szCs w:val="24"/>
        </w:rPr>
        <w:t>La institución retoma este miércoles las subastas de liquidez a un plazo de un año. Prestará todo el dinero que le pidan los bancos europeos, con lo que podrán cubrir sus necesidades hasta octubre del año que viene. Pero, además, realizará otra subasta del mismo tipo el 21 de diciembre, a un plazo de trece meses</w:t>
      </w:r>
      <w:r>
        <w:rPr>
          <w:rFonts w:ascii="Times New Roman" w:hAnsi="Times New Roman"/>
          <w:sz w:val="24"/>
          <w:szCs w:val="24"/>
        </w:rPr>
        <w:t>”..</w:t>
      </w:r>
      <w:r w:rsidRPr="000E0913">
        <w:rPr>
          <w:rFonts w:ascii="Times New Roman" w:hAnsi="Times New Roman"/>
          <w:sz w:val="24"/>
          <w:szCs w:val="24"/>
        </w:rPr>
        <w:t>.</w:t>
      </w:r>
      <w:r>
        <w:rPr>
          <w:rFonts w:ascii="Times New Roman" w:hAnsi="Times New Roman"/>
          <w:sz w:val="24"/>
          <w:szCs w:val="24"/>
        </w:rPr>
        <w:t xml:space="preserve"> </w:t>
      </w:r>
      <w:r w:rsidRPr="00CF44DB">
        <w:rPr>
          <w:rFonts w:ascii="Times New Roman" w:hAnsi="Times New Roman"/>
          <w:sz w:val="24"/>
          <w:szCs w:val="24"/>
          <w:u w:val="single"/>
        </w:rPr>
        <w:t>El BCE inundará de liquidez el sistema financiero para poder afrontar 2012</w:t>
      </w:r>
      <w:r>
        <w:rPr>
          <w:rFonts w:ascii="Times New Roman" w:hAnsi="Times New Roman"/>
          <w:sz w:val="24"/>
          <w:szCs w:val="24"/>
        </w:rPr>
        <w:t xml:space="preserve"> (Expansión - </w:t>
      </w:r>
      <w:r w:rsidRPr="00CF44DB">
        <w:rPr>
          <w:rFonts w:ascii="Times New Roman" w:hAnsi="Times New Roman"/>
          <w:b/>
          <w:sz w:val="24"/>
          <w:szCs w:val="24"/>
        </w:rPr>
        <w:t>23/10/11</w:t>
      </w:r>
      <w:r>
        <w:rPr>
          <w:rFonts w:ascii="Times New Roman" w:hAnsi="Times New Roman"/>
          <w:sz w:val="24"/>
          <w:szCs w:val="24"/>
        </w:rPr>
        <w:t>)</w:t>
      </w:r>
    </w:p>
    <w:p w:rsidR="000E0913" w:rsidRPr="00BC2DC1" w:rsidRDefault="000E0913"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BC2DC1">
        <w:rPr>
          <w:rFonts w:ascii="Times New Roman" w:eastAsia="Times New Roman" w:hAnsi="Times New Roman"/>
          <w:sz w:val="24"/>
          <w:szCs w:val="24"/>
          <w:lang w:eastAsia="es-ES"/>
        </w:rPr>
        <w:t>La banca mundial recibió ayudas por valor de más de la mitad del PIB de EEUU sin el conocimiento del Congreso de EEUU, obteniendo con ellas un beneficio de 13.000 millones de dólares. Este rescate encubierto se organizó mediante préstamos secretos a intereses prácticamente inexistentes. Y mientras, las entidades mintieron públicamente sobre su salud financiera, se dedicaron a crecer y a seguir pagando a sus empleados salarios astronómicos.</w:t>
      </w:r>
    </w:p>
    <w:p w:rsidR="000E0913" w:rsidRPr="00BC2DC1" w:rsidRDefault="000E0913" w:rsidP="00387350">
      <w:pPr>
        <w:spacing w:after="0" w:line="240" w:lineRule="auto"/>
        <w:jc w:val="both"/>
        <w:rPr>
          <w:rFonts w:ascii="Times New Roman" w:eastAsia="Times New Roman" w:hAnsi="Times New Roman"/>
          <w:sz w:val="24"/>
          <w:szCs w:val="24"/>
          <w:lang w:eastAsia="es-ES"/>
        </w:rPr>
      </w:pPr>
    </w:p>
    <w:p w:rsidR="000E0913" w:rsidRPr="00BC2DC1" w:rsidRDefault="000E0913" w:rsidP="00387350">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Según recoge la revista Bloomberg Markets, la Fed llegó comprometer 7,77 billones de dólares entre 2007 y 2009, incluyendo garantías además de préstamos, para salvar al sistema financiero mundial. Entre los bancos que recibieron las ayudas se encuentran los españoles Santander y BBVA, que obtuvieron unos beneficios de 96,2 y 84,1 millones de dólares, respectivamente, gracias a ello. </w:t>
      </w:r>
    </w:p>
    <w:p w:rsidR="000E0913" w:rsidRPr="00BC2DC1" w:rsidRDefault="000E0913" w:rsidP="00387350">
      <w:pPr>
        <w:spacing w:after="0" w:line="240" w:lineRule="auto"/>
        <w:jc w:val="both"/>
        <w:rPr>
          <w:rFonts w:ascii="Times New Roman" w:eastAsia="Times New Roman" w:hAnsi="Times New Roman"/>
          <w:sz w:val="24"/>
          <w:szCs w:val="24"/>
          <w:lang w:eastAsia="es-ES"/>
        </w:rPr>
      </w:pPr>
    </w:p>
    <w:p w:rsidR="000E0913" w:rsidRPr="00BC2DC1" w:rsidRDefault="000E0913" w:rsidP="00387350">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A parte de esto estaba el rescate oficial del TARP (Trouble Asset Relief Program), que ascendió a 700.000 millones de dólares. </w:t>
      </w:r>
    </w:p>
    <w:p w:rsidR="000E0913" w:rsidRPr="00BC2DC1" w:rsidRDefault="000E0913" w:rsidP="00387350">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 xml:space="preserve"> </w:t>
      </w:r>
    </w:p>
    <w:p w:rsidR="000E0913" w:rsidRPr="00BC2DC1" w:rsidRDefault="000E0913" w:rsidP="00387350">
      <w:pPr>
        <w:spacing w:after="0" w:line="240" w:lineRule="auto"/>
        <w:jc w:val="both"/>
        <w:rPr>
          <w:rFonts w:ascii="Times New Roman" w:eastAsia="Times New Roman" w:hAnsi="Times New Roman"/>
          <w:sz w:val="24"/>
          <w:szCs w:val="24"/>
          <w:lang w:eastAsia="es-ES"/>
        </w:rPr>
      </w:pPr>
      <w:r w:rsidRPr="00BC2DC1">
        <w:rPr>
          <w:rFonts w:ascii="Times New Roman" w:eastAsia="Times New Roman" w:hAnsi="Times New Roman"/>
          <w:sz w:val="24"/>
          <w:szCs w:val="24"/>
          <w:lang w:eastAsia="es-ES"/>
        </w:rPr>
        <w:t>El día más terrible fue el 5 de diciembre de 2008, cuando la banca necesitó 1,2 billones de dólares. Aquel día, Wall Street cerró con subidas de más del 3% con una fuerte remontada a última hora liderada por el sector financiero, después de caer durante la mayor parte de la sesión. También en esa jornada se nombró a Ken Lewis, consejero delegado de Bank of America, banquero del año: unos días antes, el 26 de noviembre, su banco debía 86.000 millones encubiertos a la Fed y había necesitado préstamos de emergencia para completar la adquisición de Merrill Lynch</w:t>
      </w:r>
      <w:r>
        <w:rPr>
          <w:rFonts w:ascii="Times New Roman" w:eastAsia="Times New Roman" w:hAnsi="Times New Roman"/>
          <w:sz w:val="24"/>
          <w:szCs w:val="24"/>
          <w:lang w:eastAsia="es-ES"/>
        </w:rPr>
        <w:t>”..</w:t>
      </w:r>
      <w:r w:rsidRPr="00BC2DC1">
        <w:rPr>
          <w:rFonts w:ascii="Times New Roman" w:eastAsia="Times New Roman" w:hAnsi="Times New Roman"/>
          <w:sz w:val="24"/>
          <w:szCs w:val="24"/>
          <w:lang w:eastAsia="es-ES"/>
        </w:rPr>
        <w:t xml:space="preserve">. </w:t>
      </w:r>
      <w:r w:rsidRPr="00BC2DC1">
        <w:rPr>
          <w:rFonts w:ascii="Times New Roman" w:eastAsia="Times New Roman" w:hAnsi="Times New Roman"/>
          <w:sz w:val="24"/>
          <w:szCs w:val="24"/>
          <w:u w:val="single"/>
          <w:lang w:eastAsia="es-ES"/>
        </w:rPr>
        <w:t>La Fed orquestó el rescate secreto de los bancos inyectando 7,7 billones de dólares</w:t>
      </w:r>
      <w:r>
        <w:rPr>
          <w:rFonts w:ascii="Times New Roman" w:eastAsia="Times New Roman" w:hAnsi="Times New Roman"/>
          <w:sz w:val="24"/>
          <w:szCs w:val="24"/>
          <w:lang w:eastAsia="es-ES"/>
        </w:rPr>
        <w:t xml:space="preserve"> (El Economista - </w:t>
      </w:r>
      <w:r w:rsidRPr="00BC2DC1">
        <w:rPr>
          <w:rFonts w:ascii="Times New Roman" w:eastAsia="Times New Roman" w:hAnsi="Times New Roman"/>
          <w:b/>
          <w:sz w:val="24"/>
          <w:szCs w:val="24"/>
          <w:lang w:eastAsia="es-ES"/>
        </w:rPr>
        <w:t>27/11/11</w:t>
      </w:r>
      <w:r>
        <w:rPr>
          <w:rFonts w:ascii="Times New Roman" w:eastAsia="Times New Roman" w:hAnsi="Times New Roman"/>
          <w:sz w:val="24"/>
          <w:szCs w:val="24"/>
          <w:lang w:eastAsia="es-ES"/>
        </w:rPr>
        <w:t>)</w:t>
      </w:r>
    </w:p>
    <w:p w:rsidR="000E0913" w:rsidRDefault="000E0913" w:rsidP="00387350">
      <w:pPr>
        <w:spacing w:after="0" w:line="240" w:lineRule="auto"/>
        <w:jc w:val="both"/>
        <w:rPr>
          <w:rFonts w:ascii="Times New Roman" w:eastAsia="Times New Roman" w:hAnsi="Times New Roman"/>
          <w:sz w:val="24"/>
          <w:szCs w:val="24"/>
          <w:lang w:eastAsia="es-ES"/>
        </w:rPr>
      </w:pPr>
    </w:p>
    <w:p w:rsidR="000E0913" w:rsidRPr="000E0913" w:rsidRDefault="000E0913" w:rsidP="00387350">
      <w:pPr>
        <w:spacing w:line="240" w:lineRule="auto"/>
        <w:jc w:val="both"/>
        <w:rPr>
          <w:rFonts w:ascii="Times New Roman" w:hAnsi="Times New Roman"/>
          <w:sz w:val="24"/>
          <w:szCs w:val="24"/>
        </w:rPr>
      </w:pPr>
      <w:r>
        <w:rPr>
          <w:rFonts w:ascii="Times New Roman" w:hAnsi="Times New Roman"/>
          <w:sz w:val="24"/>
          <w:szCs w:val="24"/>
        </w:rPr>
        <w:t>“</w:t>
      </w:r>
      <w:r w:rsidRPr="000E0913">
        <w:rPr>
          <w:rFonts w:ascii="Times New Roman" w:hAnsi="Times New Roman"/>
          <w:sz w:val="24"/>
          <w:szCs w:val="24"/>
        </w:rPr>
        <w:t xml:space="preserve">Los bancos centrales de los países desarrollados anunciaron el miércoles una acción coordinada para impulsar el sistema financiero global, en un momento en que la crisis de deuda de Europa sigue afectando a los mercados. </w:t>
      </w:r>
    </w:p>
    <w:p w:rsidR="000E0913" w:rsidRPr="000E0913" w:rsidRDefault="00E07DE4" w:rsidP="00387350">
      <w:pPr>
        <w:spacing w:line="240" w:lineRule="auto"/>
        <w:jc w:val="both"/>
        <w:rPr>
          <w:rFonts w:ascii="Times New Roman" w:hAnsi="Times New Roman"/>
          <w:sz w:val="24"/>
          <w:szCs w:val="24"/>
        </w:rPr>
      </w:pPr>
      <w:r>
        <w:rPr>
          <w:rFonts w:ascii="Times New Roman" w:hAnsi="Times New Roman"/>
          <w:sz w:val="24"/>
          <w:szCs w:val="24"/>
        </w:rPr>
        <w:t>“</w:t>
      </w:r>
      <w:r w:rsidR="000E0913" w:rsidRPr="000E0913">
        <w:rPr>
          <w:rFonts w:ascii="Times New Roman" w:hAnsi="Times New Roman"/>
          <w:sz w:val="24"/>
          <w:szCs w:val="24"/>
        </w:rPr>
        <w:t>El propósito de estas acciones es relajar las tensiones de los mercados financieros y de este modo mitigar los efectos de esas tensiones sobre la oferta de crédito a los hogares y las empresas, y de este modo ayudar a a</w:t>
      </w:r>
      <w:r>
        <w:rPr>
          <w:rFonts w:ascii="Times New Roman" w:hAnsi="Times New Roman"/>
          <w:sz w:val="24"/>
          <w:szCs w:val="24"/>
        </w:rPr>
        <w:t>limentar la actividad económica”</w:t>
      </w:r>
      <w:r w:rsidR="000E0913" w:rsidRPr="000E0913">
        <w:rPr>
          <w:rFonts w:ascii="Times New Roman" w:hAnsi="Times New Roman"/>
          <w:sz w:val="24"/>
          <w:szCs w:val="24"/>
        </w:rPr>
        <w:t xml:space="preserve">, dijo la Reserva Federal de Estados Unidos en un comunicado. </w:t>
      </w:r>
    </w:p>
    <w:p w:rsidR="000E0913" w:rsidRPr="000E0913" w:rsidRDefault="000E0913" w:rsidP="00387350">
      <w:pPr>
        <w:spacing w:line="240" w:lineRule="auto"/>
        <w:jc w:val="both"/>
        <w:rPr>
          <w:rFonts w:ascii="Times New Roman" w:hAnsi="Times New Roman"/>
          <w:sz w:val="24"/>
          <w:szCs w:val="24"/>
        </w:rPr>
      </w:pPr>
      <w:r w:rsidRPr="000E0913">
        <w:rPr>
          <w:rFonts w:ascii="Times New Roman" w:hAnsi="Times New Roman"/>
          <w:sz w:val="24"/>
          <w:szCs w:val="24"/>
        </w:rPr>
        <w:t xml:space="preserve">La Fed, el Banco de Canadá, el Banco de Inglaterra, el Banco de Japón, el Banco Central Europeo y el Banco Nacional Suizo acordaron rebajar en 50 puntos básicos el precio de los actuales acuerdos temporales de canje de liquidez en dólares. Este recorte sitúa la nueva tasa de canje en el índice de canje de dólares a un día más 50 puntos básicos, dijeron la Fed y el BCE en sendos comunicados. </w:t>
      </w:r>
    </w:p>
    <w:p w:rsidR="000E0913" w:rsidRPr="000E0913" w:rsidRDefault="000E0913" w:rsidP="00387350">
      <w:pPr>
        <w:spacing w:line="240" w:lineRule="auto"/>
        <w:jc w:val="both"/>
        <w:rPr>
          <w:rFonts w:ascii="Times New Roman" w:hAnsi="Times New Roman"/>
          <w:sz w:val="24"/>
          <w:szCs w:val="24"/>
        </w:rPr>
      </w:pPr>
      <w:r w:rsidRPr="000E0913">
        <w:rPr>
          <w:rFonts w:ascii="Times New Roman" w:hAnsi="Times New Roman"/>
          <w:sz w:val="24"/>
          <w:szCs w:val="24"/>
        </w:rPr>
        <w:lastRenderedPageBreak/>
        <w:t xml:space="preserve">Este nuevo precio se aplicará a todas las operaciones que se realicen a partir del 5 de diciembre. La autorización para estos acuerdos de canje se ha ampliado hasta el 1 de febrero de 2013. </w:t>
      </w:r>
    </w:p>
    <w:p w:rsidR="000E0913" w:rsidRPr="008948F1" w:rsidRDefault="000E0913" w:rsidP="00387350">
      <w:pPr>
        <w:spacing w:line="240" w:lineRule="auto"/>
        <w:jc w:val="both"/>
        <w:rPr>
          <w:rFonts w:ascii="Times New Roman" w:hAnsi="Times New Roman"/>
          <w:sz w:val="24"/>
          <w:szCs w:val="24"/>
        </w:rPr>
      </w:pPr>
      <w:r w:rsidRPr="000E0913">
        <w:rPr>
          <w:rFonts w:ascii="Times New Roman" w:hAnsi="Times New Roman"/>
          <w:sz w:val="24"/>
          <w:szCs w:val="24"/>
        </w:rPr>
        <w:t>Los bancos centrales han acordado también el establecimiento de acuerdos bilaterales temporales de canje para asegurar que hay liquidez en cualquiera de esos mercados y en cualquiera de las monedas si las condiciones del mercado lo justifican, dijo la Fed</w:t>
      </w:r>
      <w:r>
        <w:rPr>
          <w:rFonts w:ascii="Times New Roman" w:hAnsi="Times New Roman"/>
          <w:sz w:val="24"/>
          <w:szCs w:val="24"/>
        </w:rPr>
        <w:t>”..</w:t>
      </w:r>
      <w:r w:rsidRPr="000E0913">
        <w:rPr>
          <w:rFonts w:ascii="Times New Roman" w:hAnsi="Times New Roman"/>
          <w:sz w:val="24"/>
          <w:szCs w:val="24"/>
        </w:rPr>
        <w:t xml:space="preserve">. </w:t>
      </w:r>
      <w:r w:rsidRPr="00205111">
        <w:rPr>
          <w:rFonts w:ascii="Times New Roman" w:hAnsi="Times New Roman"/>
          <w:sz w:val="24"/>
          <w:szCs w:val="24"/>
          <w:u w:val="single"/>
        </w:rPr>
        <w:t>Los principales bancos centrales del mundo lanzan una acción coordinada para apuntalar el sistema financiero</w:t>
      </w:r>
      <w:r>
        <w:rPr>
          <w:rFonts w:ascii="Times New Roman" w:hAnsi="Times New Roman"/>
          <w:sz w:val="24"/>
          <w:szCs w:val="24"/>
        </w:rPr>
        <w:t xml:space="preserve"> (The Wall Street Journal - </w:t>
      </w:r>
      <w:r w:rsidRPr="008948F1">
        <w:rPr>
          <w:rFonts w:ascii="Times New Roman" w:hAnsi="Times New Roman"/>
          <w:b/>
          <w:sz w:val="24"/>
          <w:szCs w:val="24"/>
        </w:rPr>
        <w:t>30/11/11</w:t>
      </w:r>
      <w:r>
        <w:rPr>
          <w:rFonts w:ascii="Times New Roman" w:hAnsi="Times New Roman"/>
          <w:sz w:val="24"/>
          <w:szCs w:val="24"/>
        </w:rPr>
        <w:t>)</w:t>
      </w:r>
    </w:p>
    <w:p w:rsidR="000E0913" w:rsidRDefault="000E0913" w:rsidP="00387350">
      <w:pPr>
        <w:spacing w:line="240" w:lineRule="auto"/>
        <w:jc w:val="both"/>
        <w:rPr>
          <w:rFonts w:ascii="Times New Roman" w:hAnsi="Times New Roman"/>
          <w:sz w:val="24"/>
          <w:szCs w:val="24"/>
        </w:rPr>
      </w:pPr>
      <w:r>
        <w:rPr>
          <w:noProof/>
          <w:lang w:eastAsia="es-ES"/>
        </w:rPr>
        <w:drawing>
          <wp:inline distT="0" distB="0" distL="0" distR="0" wp14:anchorId="3C66CC2B" wp14:editId="4EB37373">
            <wp:extent cx="5400040" cy="4829423"/>
            <wp:effectExtent l="0" t="0" r="0" b="9525"/>
            <wp:docPr id="191" name="Imagen 191" descr="011211-bancos-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11211-bancos-centrales"/>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00040" cy="4829423"/>
                    </a:xfrm>
                    <a:prstGeom prst="rect">
                      <a:avLst/>
                    </a:prstGeom>
                    <a:noFill/>
                    <a:ln>
                      <a:noFill/>
                    </a:ln>
                  </pic:spPr>
                </pic:pic>
              </a:graphicData>
            </a:graphic>
          </wp:inline>
        </w:drawing>
      </w:r>
    </w:p>
    <w:p w:rsidR="000E0913" w:rsidRDefault="000E0913" w:rsidP="00387350">
      <w:pPr>
        <w:spacing w:line="240" w:lineRule="auto"/>
        <w:jc w:val="both"/>
        <w:rPr>
          <w:rFonts w:ascii="Times New Roman" w:hAnsi="Times New Roman"/>
          <w:sz w:val="24"/>
          <w:szCs w:val="24"/>
        </w:rPr>
      </w:pPr>
      <w:r>
        <w:rPr>
          <w:rFonts w:ascii="Times New Roman" w:hAnsi="Times New Roman"/>
          <w:sz w:val="24"/>
          <w:szCs w:val="24"/>
        </w:rPr>
        <w:t xml:space="preserve">(Fuente: El Economista - </w:t>
      </w:r>
      <w:r w:rsidRPr="00AC1CB8">
        <w:rPr>
          <w:rFonts w:ascii="Times New Roman" w:hAnsi="Times New Roman"/>
          <w:b/>
          <w:sz w:val="24"/>
          <w:szCs w:val="24"/>
        </w:rPr>
        <w:t>30/11/11</w:t>
      </w:r>
      <w:r>
        <w:rPr>
          <w:rFonts w:ascii="Times New Roman" w:hAnsi="Times New Roman"/>
          <w:sz w:val="24"/>
          <w:szCs w:val="24"/>
        </w:rPr>
        <w:t>)</w:t>
      </w:r>
    </w:p>
    <w:p w:rsidR="000E0913" w:rsidRPr="000E0913" w:rsidRDefault="000E0913" w:rsidP="00387350">
      <w:pPr>
        <w:pStyle w:val="NormalWeb"/>
        <w:jc w:val="both"/>
      </w:pPr>
      <w:r>
        <w:t>“</w:t>
      </w:r>
      <w:r w:rsidRPr="000E0913">
        <w:t>Mario Draghi pone la alfombra roja de la liquidez a la banca, para facilitar que el crédito fluya. Dará barra libre de 36 meses, con lo que limpia de obstáculos los balances de las entidades durante tres años, y además aceptará más colaterales para dar esa liquidez.</w:t>
      </w:r>
    </w:p>
    <w:p w:rsidR="000E0913" w:rsidRPr="000E0913" w:rsidRDefault="000E0913" w:rsidP="00387350">
      <w:pPr>
        <w:pStyle w:val="NormalWeb"/>
        <w:jc w:val="both"/>
      </w:pPr>
      <w:r w:rsidRPr="000E0913">
        <w:t>Avalancha de liquidez para la banca de la mano del Banco Central Europeo (BCE). Mario Draghi ha cumplido las expectativas y ha presentado una batería de medidas para evitar que se produzca un colapso del sistema financiero de la zona euro.</w:t>
      </w:r>
    </w:p>
    <w:p w:rsidR="000E0913" w:rsidRPr="000E0913" w:rsidRDefault="000E0913" w:rsidP="00387350">
      <w:pPr>
        <w:pStyle w:val="NormalWeb"/>
        <w:jc w:val="both"/>
      </w:pPr>
      <w:r w:rsidRPr="000E0913">
        <w:lastRenderedPageBreak/>
        <w:t>Todas las fórmulas para tratar de evitar que la zona euro se suma en una recesión, todas se centran en apoyar el sistema financiero.</w:t>
      </w:r>
    </w:p>
    <w:p w:rsidR="000E0913" w:rsidRPr="000E0913" w:rsidRDefault="000E0913" w:rsidP="00387350">
      <w:pPr>
        <w:pStyle w:val="NormalWeb"/>
        <w:jc w:val="both"/>
      </w:pPr>
      <w:r w:rsidRPr="000E0913">
        <w:t>Primera medida, ampliará la barra libre de liquidez a la banca a periodos no vistos hasta el momento. Ha anunciado una subasta con vencimiento en 36 meses que se celebrará el próximo 21 de diciembre y que sustituye a la de 12 meses anunciada el pasado 6 de octubre por su antecesor Jean-Claude Trichet. Esta medida permitirá cubrir todos los vencimientos de las entidades financieras durante los próximos tres años.</w:t>
      </w:r>
    </w:p>
    <w:p w:rsidR="000E0913" w:rsidRDefault="000E0913" w:rsidP="00387350">
      <w:pPr>
        <w:pStyle w:val="NormalWeb"/>
        <w:jc w:val="both"/>
      </w:pPr>
      <w:r w:rsidRPr="000E0913">
        <w:t>Segunda medida. El BCE ha ampliado el abanico de los activos que admite como garantía para prestar la liquidez. Ahora admitirá titulizaciones con una nota de A (hasta ahora los aceptaba, pero tenían que tener triple A) y, la gran novedad, créditos hipotecarios y a pequeñas y medianas empresas y además abre la puerta a que otro tipo de créditos pueda ser aceptado siempre que hayan recibido el visto bueno del banco central del país de la entidad financiera; por ejemplo, el Banco de España en el caso de las entidades españolas</w:t>
      </w:r>
      <w:r>
        <w:t>”..</w:t>
      </w:r>
      <w:r w:rsidRPr="000E0913">
        <w:t>.</w:t>
      </w:r>
      <w:r>
        <w:t xml:space="preserve"> </w:t>
      </w:r>
      <w:r w:rsidRPr="0049312F">
        <w:rPr>
          <w:u w:val="single"/>
        </w:rPr>
        <w:t>Dragui arregla la liquidez de la banca para los próximos tres años</w:t>
      </w:r>
      <w:r>
        <w:t xml:space="preserve"> (Cinco días - </w:t>
      </w:r>
      <w:r w:rsidRPr="0049312F">
        <w:rPr>
          <w:b/>
        </w:rPr>
        <w:t>8/12/11</w:t>
      </w:r>
      <w:r>
        <w:t>)</w:t>
      </w:r>
    </w:p>
    <w:p w:rsidR="00F91E1C" w:rsidRPr="00F91E1C" w:rsidRDefault="00F91E1C" w:rsidP="00387350">
      <w:pPr>
        <w:pStyle w:val="NormalWeb"/>
        <w:jc w:val="both"/>
      </w:pPr>
      <w:r>
        <w:t>“</w:t>
      </w:r>
      <w:r w:rsidRPr="00F91E1C">
        <w:t>La crisis financiera ha expuesto la quiebra intelectual de los banqueros centrales del mundo. ¿Por qué? Los banqueros centrales rechazan el hecho de que los tipos de interés sean precios. Manipular estos precios a través de la expansión o contracción del crédito provoca efectos perjudiciales sobre la economía. Así, mientras el socialismo y la planificación centralizada de la economía han sido ampliamente rechazados por los economistas del libre mercado, el mito de que los bancos centrales son un componente necesario de las economías libres persiste.</w:t>
      </w:r>
    </w:p>
    <w:p w:rsidR="00F91E1C" w:rsidRDefault="00F91E1C" w:rsidP="00387350">
      <w:pPr>
        <w:pStyle w:val="NormalWeb"/>
        <w:jc w:val="both"/>
      </w:pPr>
      <w:r w:rsidRPr="00F91E1C">
        <w:t>Estos economistas entienden que la fijación de salarios y precios por parte del gobierno provocaría escasez y mala asignación de capital. Sin embargo, aceptan que los bancos centrales puedan determinar no solo la oferta de un bien concreto -el dinero- sino también el valor de dicho bien mediante el establecimiento de tipos de interés</w:t>
      </w:r>
      <w:r>
        <w:t>”..</w:t>
      </w:r>
      <w:r w:rsidRPr="00F91E1C">
        <w:t xml:space="preserve">. </w:t>
      </w:r>
      <w:r>
        <w:rPr>
          <w:u w:val="single"/>
        </w:rPr>
        <w:t>Ron Paul: “</w:t>
      </w:r>
      <w:r w:rsidRPr="00B2541E">
        <w:rPr>
          <w:u w:val="single"/>
        </w:rPr>
        <w:t>La banca central es un gra</w:t>
      </w:r>
      <w:r>
        <w:rPr>
          <w:u w:val="single"/>
        </w:rPr>
        <w:t>n peligro para todos”</w:t>
      </w:r>
      <w:r>
        <w:t xml:space="preserve"> (Libertad Digital - </w:t>
      </w:r>
      <w:r w:rsidRPr="00B2541E">
        <w:rPr>
          <w:b/>
        </w:rPr>
        <w:t>6/5/12</w:t>
      </w:r>
      <w:r>
        <w:t>)</w:t>
      </w:r>
    </w:p>
    <w:p w:rsidR="00F91E1C" w:rsidRPr="00F91E1C" w:rsidRDefault="00F91E1C" w:rsidP="00387350">
      <w:pPr>
        <w:spacing w:line="240" w:lineRule="auto"/>
        <w:jc w:val="both"/>
        <w:rPr>
          <w:rFonts w:ascii="Times New Roman" w:hAnsi="Times New Roman"/>
          <w:sz w:val="24"/>
          <w:szCs w:val="24"/>
        </w:rPr>
      </w:pPr>
      <w:r>
        <w:rPr>
          <w:rFonts w:ascii="Times New Roman" w:hAnsi="Times New Roman"/>
          <w:sz w:val="24"/>
          <w:szCs w:val="24"/>
        </w:rPr>
        <w:t>“</w:t>
      </w:r>
      <w:r w:rsidRPr="00F91E1C">
        <w:rPr>
          <w:rFonts w:ascii="Times New Roman" w:hAnsi="Times New Roman"/>
          <w:sz w:val="24"/>
          <w:szCs w:val="24"/>
        </w:rPr>
        <w:t>El presidente del Banco Central Europeo ha declarado esta mañana que hará lo que sea necesario para evitar la ruptura del euro.</w:t>
      </w:r>
    </w:p>
    <w:p w:rsidR="00F91E1C" w:rsidRPr="00F91E1C" w:rsidRDefault="00F91E1C" w:rsidP="00387350">
      <w:pPr>
        <w:spacing w:line="240" w:lineRule="auto"/>
        <w:jc w:val="both"/>
        <w:rPr>
          <w:rFonts w:ascii="Times New Roman" w:hAnsi="Times New Roman"/>
          <w:sz w:val="24"/>
          <w:szCs w:val="24"/>
        </w:rPr>
      </w:pPr>
      <w:r>
        <w:rPr>
          <w:rFonts w:ascii="Times New Roman" w:hAnsi="Times New Roman"/>
          <w:sz w:val="24"/>
          <w:szCs w:val="24"/>
        </w:rPr>
        <w:t>“</w:t>
      </w:r>
      <w:r w:rsidRPr="00F91E1C">
        <w:rPr>
          <w:rFonts w:ascii="Times New Roman" w:hAnsi="Times New Roman"/>
          <w:sz w:val="24"/>
          <w:szCs w:val="24"/>
        </w:rPr>
        <w:t>Durante nuestro mandato, el BCE está dispuesto a hacer lo que ha</w:t>
      </w:r>
      <w:r>
        <w:rPr>
          <w:rFonts w:ascii="Times New Roman" w:hAnsi="Times New Roman"/>
          <w:sz w:val="24"/>
          <w:szCs w:val="24"/>
        </w:rPr>
        <w:t>ga falta para preservar el euro”</w:t>
      </w:r>
      <w:r w:rsidRPr="00F91E1C">
        <w:rPr>
          <w:rFonts w:ascii="Times New Roman" w:hAnsi="Times New Roman"/>
          <w:sz w:val="24"/>
          <w:szCs w:val="24"/>
        </w:rPr>
        <w:t>, ha dicho el presidente del BCE, Mario Draghi, en unas declaraciones en Londres hoy. Draghi se ha co</w:t>
      </w:r>
      <w:r>
        <w:rPr>
          <w:rFonts w:ascii="Times New Roman" w:hAnsi="Times New Roman"/>
          <w:sz w:val="24"/>
          <w:szCs w:val="24"/>
        </w:rPr>
        <w:t>mprometido a luchar contra los “</w:t>
      </w:r>
      <w:r w:rsidRPr="00F91E1C">
        <w:rPr>
          <w:rFonts w:ascii="Times New Roman" w:hAnsi="Times New Roman"/>
          <w:sz w:val="24"/>
          <w:szCs w:val="24"/>
        </w:rPr>
        <w:t>ir</w:t>
      </w:r>
      <w:r>
        <w:rPr>
          <w:rFonts w:ascii="Times New Roman" w:hAnsi="Times New Roman"/>
          <w:sz w:val="24"/>
          <w:szCs w:val="24"/>
        </w:rPr>
        <w:t>racionalmente altos”</w:t>
      </w:r>
      <w:r w:rsidRPr="00F91E1C">
        <w:rPr>
          <w:rFonts w:ascii="Times New Roman" w:hAnsi="Times New Roman"/>
          <w:sz w:val="24"/>
          <w:szCs w:val="24"/>
        </w:rPr>
        <w:t xml:space="preserve"> costes de financiación de algunos Estados y ha señalado que la entidad que preside hará todo lo que esté en sus manos para evitar que se hunda el euro. </w:t>
      </w:r>
      <w:r>
        <w:rPr>
          <w:rFonts w:ascii="Times New Roman" w:hAnsi="Times New Roman"/>
          <w:sz w:val="24"/>
          <w:szCs w:val="24"/>
        </w:rPr>
        <w:t>“Y créanme, será suficiente”</w:t>
      </w:r>
      <w:r w:rsidRPr="00F91E1C">
        <w:rPr>
          <w:rFonts w:ascii="Times New Roman" w:hAnsi="Times New Roman"/>
          <w:sz w:val="24"/>
          <w:szCs w:val="24"/>
        </w:rPr>
        <w:t xml:space="preserve">, ha añadido. </w:t>
      </w:r>
    </w:p>
    <w:p w:rsidR="00F91E1C" w:rsidRDefault="00F91E1C" w:rsidP="00387350">
      <w:pPr>
        <w:spacing w:line="240" w:lineRule="auto"/>
        <w:jc w:val="both"/>
        <w:rPr>
          <w:rFonts w:ascii="Times New Roman" w:hAnsi="Times New Roman"/>
          <w:sz w:val="24"/>
          <w:szCs w:val="24"/>
        </w:rPr>
      </w:pPr>
      <w:r w:rsidRPr="00F91E1C">
        <w:rPr>
          <w:rFonts w:ascii="Times New Roman" w:hAnsi="Times New Roman"/>
          <w:sz w:val="24"/>
          <w:szCs w:val="24"/>
        </w:rPr>
        <w:t>Draghi ha reconocido que el problema de la crisis de la deuda soberana afecta a la política monetaria de la zona euro y que, por tanto, entra dentro de las competencias del BCE. Estas declaraciones suponen un giro en la política del órgano emisor. España e Italia, con sus primas de riesgo en máximos históricos, llevan semanas pidiendo que el BCE actúe para reducir sus costes de financiación. Draghi se ha negado repetidamente a actuar en este sentido y ha respondido que no es tarea del BCE solventar los problemas de liquidez de los Estados miembro de la zona euro</w:t>
      </w:r>
      <w:r>
        <w:rPr>
          <w:rFonts w:ascii="Times New Roman" w:hAnsi="Times New Roman"/>
          <w:sz w:val="24"/>
          <w:szCs w:val="24"/>
        </w:rPr>
        <w:t>”..</w:t>
      </w:r>
      <w:r w:rsidRPr="00F91E1C">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u w:val="single"/>
        </w:rPr>
        <w:t>Draghi: “</w:t>
      </w:r>
      <w:r w:rsidRPr="00831627">
        <w:rPr>
          <w:rFonts w:ascii="Times New Roman" w:hAnsi="Times New Roman"/>
          <w:sz w:val="24"/>
          <w:szCs w:val="24"/>
          <w:u w:val="single"/>
        </w:rPr>
        <w:t>Haré lo que haya que ha</w:t>
      </w:r>
      <w:r>
        <w:rPr>
          <w:rFonts w:ascii="Times New Roman" w:hAnsi="Times New Roman"/>
          <w:sz w:val="24"/>
          <w:szCs w:val="24"/>
          <w:u w:val="single"/>
        </w:rPr>
        <w:t>cer, y créanme, será suficiente”</w:t>
      </w:r>
      <w:r>
        <w:rPr>
          <w:rFonts w:ascii="Times New Roman" w:hAnsi="Times New Roman"/>
          <w:sz w:val="24"/>
          <w:szCs w:val="24"/>
        </w:rPr>
        <w:t xml:space="preserve"> (Cinco Días - </w:t>
      </w:r>
      <w:r w:rsidRPr="00831627">
        <w:rPr>
          <w:rFonts w:ascii="Times New Roman" w:hAnsi="Times New Roman"/>
          <w:b/>
          <w:sz w:val="24"/>
          <w:szCs w:val="24"/>
        </w:rPr>
        <w:t>26/7/12</w:t>
      </w:r>
      <w:r>
        <w:rPr>
          <w:rFonts w:ascii="Times New Roman" w:hAnsi="Times New Roman"/>
          <w:sz w:val="24"/>
          <w:szCs w:val="24"/>
        </w:rPr>
        <w:t>)</w:t>
      </w:r>
    </w:p>
    <w:p w:rsidR="00F91E1C" w:rsidRDefault="00F91E1C" w:rsidP="00387350">
      <w:pPr>
        <w:spacing w:line="240" w:lineRule="auto"/>
        <w:jc w:val="both"/>
        <w:rPr>
          <w:rFonts w:ascii="Times New Roman" w:hAnsi="Times New Roman"/>
          <w:sz w:val="24"/>
          <w:szCs w:val="24"/>
        </w:rPr>
      </w:pPr>
      <w:r>
        <w:rPr>
          <w:noProof/>
          <w:lang w:eastAsia="es-ES"/>
        </w:rPr>
        <w:lastRenderedPageBreak/>
        <w:drawing>
          <wp:inline distT="0" distB="0" distL="0" distR="0" wp14:anchorId="5560D6D9" wp14:editId="7F1F1506">
            <wp:extent cx="5397172" cy="5106009"/>
            <wp:effectExtent l="0" t="0" r="0" b="0"/>
            <wp:docPr id="2" name="Imagen 2" descr="02-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2-BC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00040" cy="5108722"/>
                    </a:xfrm>
                    <a:prstGeom prst="rect">
                      <a:avLst/>
                    </a:prstGeom>
                    <a:noFill/>
                    <a:ln>
                      <a:noFill/>
                    </a:ln>
                  </pic:spPr>
                </pic:pic>
              </a:graphicData>
            </a:graphic>
          </wp:inline>
        </w:drawing>
      </w:r>
    </w:p>
    <w:p w:rsidR="00F91E1C" w:rsidRDefault="00F91E1C" w:rsidP="00387350">
      <w:pPr>
        <w:spacing w:line="240" w:lineRule="auto"/>
        <w:jc w:val="both"/>
        <w:rPr>
          <w:rFonts w:ascii="Times New Roman" w:hAnsi="Times New Roman"/>
          <w:sz w:val="24"/>
          <w:szCs w:val="24"/>
        </w:rPr>
      </w:pPr>
      <w:r>
        <w:rPr>
          <w:rFonts w:ascii="Times New Roman" w:hAnsi="Times New Roman"/>
          <w:sz w:val="24"/>
          <w:szCs w:val="24"/>
        </w:rPr>
        <w:t xml:space="preserve">(Fuente: El Economista - </w:t>
      </w:r>
      <w:r w:rsidRPr="000B61F1">
        <w:rPr>
          <w:rFonts w:ascii="Times New Roman" w:hAnsi="Times New Roman"/>
          <w:b/>
          <w:sz w:val="24"/>
          <w:szCs w:val="24"/>
        </w:rPr>
        <w:t>2/8/12</w:t>
      </w:r>
      <w:r>
        <w:rPr>
          <w:rFonts w:ascii="Times New Roman" w:hAnsi="Times New Roman"/>
          <w:sz w:val="24"/>
          <w:szCs w:val="24"/>
        </w:rPr>
        <w:t>)</w:t>
      </w:r>
    </w:p>
    <w:p w:rsidR="00F91E1C" w:rsidRPr="00F91E1C" w:rsidRDefault="005C764A"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F91E1C" w:rsidRPr="00F91E1C">
        <w:rPr>
          <w:rFonts w:ascii="Times New Roman" w:eastAsia="Times New Roman" w:hAnsi="Times New Roman"/>
          <w:sz w:val="24"/>
          <w:szCs w:val="24"/>
          <w:lang w:eastAsia="es-ES"/>
        </w:rPr>
        <w:t>La crisis económica mundial cumple su quinto aniversario en medio de una incertidumbre general con respecto a su futura evolución. El ojo del huracán se centra ahora en el futuro de la deuda soberana europea.</w:t>
      </w:r>
    </w:p>
    <w:p w:rsidR="00F91E1C" w:rsidRPr="00F91E1C" w:rsidRDefault="00F91E1C" w:rsidP="00387350">
      <w:pPr>
        <w:spacing w:before="100" w:beforeAutospacing="1" w:after="100" w:afterAutospacing="1" w:line="240" w:lineRule="auto"/>
        <w:jc w:val="both"/>
        <w:rPr>
          <w:rFonts w:ascii="Times New Roman" w:eastAsia="Times New Roman" w:hAnsi="Times New Roman"/>
          <w:sz w:val="24"/>
          <w:szCs w:val="24"/>
          <w:lang w:eastAsia="es-ES"/>
        </w:rPr>
      </w:pPr>
      <w:r w:rsidRPr="00F91E1C">
        <w:rPr>
          <w:rFonts w:ascii="Times New Roman" w:eastAsia="Times New Roman" w:hAnsi="Times New Roman"/>
          <w:sz w:val="24"/>
          <w:szCs w:val="24"/>
          <w:lang w:eastAsia="es-ES"/>
        </w:rPr>
        <w:t>Mañana es 9 de agosto. Una fecha clave para la crisis actual. Tal día como este, pero de hace cinco años, tuvo lugar una acción coordinada que marcó un antes y un después, al ser la primera actuación de organismos oficiales para hacer frente a una crisis que se sobrevenía y que ya cumple un lustro.</w:t>
      </w:r>
    </w:p>
    <w:p w:rsidR="00F91E1C" w:rsidRPr="00F91E1C" w:rsidRDefault="00F91E1C" w:rsidP="00387350">
      <w:pPr>
        <w:spacing w:before="100" w:beforeAutospacing="1" w:after="100" w:afterAutospacing="1" w:line="240" w:lineRule="auto"/>
        <w:jc w:val="both"/>
        <w:rPr>
          <w:rFonts w:ascii="Times New Roman" w:eastAsia="Times New Roman" w:hAnsi="Times New Roman"/>
          <w:sz w:val="24"/>
          <w:szCs w:val="24"/>
          <w:lang w:eastAsia="es-ES"/>
        </w:rPr>
      </w:pPr>
      <w:r w:rsidRPr="00F91E1C">
        <w:rPr>
          <w:rFonts w:ascii="Times New Roman" w:eastAsia="Times New Roman" w:hAnsi="Times New Roman"/>
          <w:sz w:val="24"/>
          <w:szCs w:val="24"/>
          <w:lang w:eastAsia="es-ES"/>
        </w:rPr>
        <w:t>Los dos principales bancos centrales del mundo respondieron a la llamada de auxilio de las entidades financieras privadas, que veían que no podían obtener recursos en el mercado interbancario ya que se había quedado seco.</w:t>
      </w:r>
      <w:r w:rsidRPr="00F91E1C">
        <w:rPr>
          <w:rFonts w:ascii="Times New Roman" w:eastAsia="Times New Roman" w:hAnsi="Times New Roman"/>
          <w:bCs/>
          <w:sz w:val="24"/>
          <w:szCs w:val="24"/>
          <w:lang w:eastAsia="es-ES"/>
        </w:rPr>
        <w:t xml:space="preserve"> Así, el 9 de agosto de 2007 tanto la Reserva Federal estadounidense (Fed) como el Banco Central Europeo (BCE) entraron en juego como </w:t>
      </w:r>
      <w:r w:rsidR="00031595">
        <w:rPr>
          <w:rFonts w:ascii="Times New Roman" w:eastAsia="Times New Roman" w:hAnsi="Times New Roman"/>
          <w:bCs/>
          <w:sz w:val="24"/>
          <w:szCs w:val="24"/>
          <w:lang w:eastAsia="es-ES"/>
        </w:rPr>
        <w:t>“</w:t>
      </w:r>
      <w:r w:rsidRPr="00031595">
        <w:rPr>
          <w:rFonts w:ascii="Times New Roman" w:eastAsia="Times New Roman" w:hAnsi="Times New Roman"/>
          <w:bCs/>
          <w:iCs/>
          <w:sz w:val="24"/>
          <w:szCs w:val="24"/>
          <w:lang w:eastAsia="es-ES"/>
        </w:rPr>
        <w:t>financiadores</w:t>
      </w:r>
      <w:r w:rsidR="00031595">
        <w:rPr>
          <w:rFonts w:ascii="Times New Roman" w:eastAsia="Times New Roman" w:hAnsi="Times New Roman"/>
          <w:bCs/>
          <w:iCs/>
          <w:sz w:val="24"/>
          <w:szCs w:val="24"/>
          <w:lang w:eastAsia="es-ES"/>
        </w:rPr>
        <w:t>”</w:t>
      </w:r>
      <w:r w:rsidRPr="00F91E1C">
        <w:rPr>
          <w:rFonts w:ascii="Times New Roman" w:eastAsia="Times New Roman" w:hAnsi="Times New Roman"/>
          <w:bCs/>
          <w:i/>
          <w:iCs/>
          <w:sz w:val="24"/>
          <w:szCs w:val="24"/>
          <w:lang w:eastAsia="es-ES"/>
        </w:rPr>
        <w:t xml:space="preserve"> </w:t>
      </w:r>
      <w:r w:rsidRPr="00F91E1C">
        <w:rPr>
          <w:rFonts w:ascii="Times New Roman" w:eastAsia="Times New Roman" w:hAnsi="Times New Roman"/>
          <w:bCs/>
          <w:sz w:val="24"/>
          <w:szCs w:val="24"/>
          <w:lang w:eastAsia="es-ES"/>
        </w:rPr>
        <w:t>de las entidades</w:t>
      </w:r>
      <w:r w:rsidRPr="00F91E1C">
        <w:rPr>
          <w:rFonts w:ascii="Times New Roman" w:eastAsia="Times New Roman" w:hAnsi="Times New Roman"/>
          <w:sz w:val="24"/>
          <w:szCs w:val="24"/>
          <w:lang w:eastAsia="es-ES"/>
        </w:rPr>
        <w:t>. La crisis había comenzado…</w:t>
      </w:r>
    </w:p>
    <w:p w:rsidR="00F91E1C" w:rsidRPr="00F91E1C" w:rsidRDefault="00F91E1C" w:rsidP="00387350">
      <w:pPr>
        <w:spacing w:before="100" w:beforeAutospacing="1" w:after="100" w:afterAutospacing="1" w:line="240" w:lineRule="auto"/>
        <w:jc w:val="both"/>
        <w:rPr>
          <w:rFonts w:ascii="Times New Roman" w:eastAsia="Times New Roman" w:hAnsi="Times New Roman"/>
          <w:sz w:val="24"/>
          <w:szCs w:val="24"/>
          <w:lang w:eastAsia="es-ES"/>
        </w:rPr>
      </w:pPr>
      <w:r w:rsidRPr="00F91E1C">
        <w:rPr>
          <w:rFonts w:ascii="Times New Roman" w:eastAsia="Times New Roman" w:hAnsi="Times New Roman"/>
          <w:sz w:val="24"/>
          <w:szCs w:val="24"/>
          <w:lang w:eastAsia="es-ES"/>
        </w:rPr>
        <w:t xml:space="preserve">Gran Bretaña 1945-1955; Latinoamérica, década de los 80; Japón, década de los 90. Son las décadas pérdidas por excelencia. Diez años de estabilidad, de crecimiento, perdidos por una última razón: el endeudamiento particular, empresarial y estatal de países que, </w:t>
      </w:r>
      <w:r w:rsidRPr="00F91E1C">
        <w:rPr>
          <w:rFonts w:ascii="Times New Roman" w:eastAsia="Times New Roman" w:hAnsi="Times New Roman"/>
          <w:sz w:val="24"/>
          <w:szCs w:val="24"/>
          <w:lang w:eastAsia="es-ES"/>
        </w:rPr>
        <w:lastRenderedPageBreak/>
        <w:t xml:space="preserve">alentados por unas expectativas ficticias, no supieron controlar una especulación que, como sentenciase John Kenneth Galbraith en su obra </w:t>
      </w:r>
      <w:r w:rsidRPr="00F91E1C">
        <w:rPr>
          <w:rFonts w:ascii="Times New Roman" w:eastAsia="Times New Roman" w:hAnsi="Times New Roman"/>
          <w:i/>
          <w:iCs/>
          <w:sz w:val="24"/>
          <w:szCs w:val="24"/>
          <w:lang w:eastAsia="es-ES"/>
        </w:rPr>
        <w:t>Breve historia de la euforia financiera</w:t>
      </w:r>
      <w:r w:rsidR="005C764A">
        <w:rPr>
          <w:rFonts w:ascii="Times New Roman" w:eastAsia="Times New Roman" w:hAnsi="Times New Roman"/>
          <w:sz w:val="24"/>
          <w:szCs w:val="24"/>
          <w:lang w:eastAsia="es-ES"/>
        </w:rPr>
        <w:t>, “</w:t>
      </w:r>
      <w:r w:rsidRPr="00F91E1C">
        <w:rPr>
          <w:rFonts w:ascii="Times New Roman" w:eastAsia="Times New Roman" w:hAnsi="Times New Roman"/>
          <w:sz w:val="24"/>
          <w:szCs w:val="24"/>
          <w:lang w:eastAsia="es-ES"/>
        </w:rPr>
        <w:t>se construye a sí misma y s</w:t>
      </w:r>
      <w:r w:rsidR="005C764A">
        <w:rPr>
          <w:rFonts w:ascii="Times New Roman" w:eastAsia="Times New Roman" w:hAnsi="Times New Roman"/>
          <w:sz w:val="24"/>
          <w:szCs w:val="24"/>
          <w:lang w:eastAsia="es-ES"/>
        </w:rPr>
        <w:t>e proporciona su propio impulso”</w:t>
      </w:r>
      <w:r w:rsidRPr="00F91E1C">
        <w:rPr>
          <w:rFonts w:ascii="Times New Roman" w:eastAsia="Times New Roman" w:hAnsi="Times New Roman"/>
          <w:sz w:val="24"/>
          <w:szCs w:val="24"/>
          <w:lang w:eastAsia="es-ES"/>
        </w:rPr>
        <w:t>. Hasta que ese impulso se acaba, y todo cae por su propio peso.</w:t>
      </w:r>
    </w:p>
    <w:p w:rsidR="00F91E1C" w:rsidRPr="00F91E1C" w:rsidRDefault="00F91E1C" w:rsidP="00387350">
      <w:pPr>
        <w:spacing w:before="100" w:beforeAutospacing="1" w:after="100" w:afterAutospacing="1" w:line="240" w:lineRule="auto"/>
        <w:jc w:val="both"/>
        <w:rPr>
          <w:rFonts w:ascii="Times New Roman" w:eastAsia="Times New Roman" w:hAnsi="Times New Roman"/>
          <w:sz w:val="24"/>
          <w:szCs w:val="24"/>
          <w:lang w:eastAsia="es-ES"/>
        </w:rPr>
      </w:pPr>
      <w:r w:rsidRPr="00F91E1C">
        <w:rPr>
          <w:rFonts w:ascii="Times New Roman" w:eastAsia="Times New Roman" w:hAnsi="Times New Roman"/>
          <w:sz w:val="24"/>
          <w:szCs w:val="24"/>
          <w:lang w:eastAsia="es-ES"/>
        </w:rPr>
        <w:t xml:space="preserve">La tormenta perfecta no se gestó en un día, ha sido fruto de una concatenación de prácticas y hábitos erróneos que se sucedieron y llevaron al nacimiento de un monstruo que hasta hoy no se ha podido parar. En los años precedentes al estallido de la crisis había políticas monetarias expansivas que propiciaron una escalada del endeudamiento, dado que las obligaciones financieras eran muy reducidas y alentaban a una gran liquidez. Los tipos de interés que se ofrecían, por debajo de la inflación, desincentivaban el ahorro de los particulares. Lo que a su vez propició que el endeudamiento de los agentes se disparara. </w:t>
      </w:r>
      <w:r w:rsidRPr="00F91E1C">
        <w:rPr>
          <w:rFonts w:ascii="Times New Roman" w:eastAsia="Times New Roman" w:hAnsi="Times New Roman"/>
          <w:bCs/>
          <w:sz w:val="24"/>
          <w:szCs w:val="24"/>
          <w:lang w:eastAsia="es-ES"/>
        </w:rPr>
        <w:t xml:space="preserve">De esta forma, el apalancamiento se convirtió en la piedra angular del crecimiento. </w:t>
      </w:r>
    </w:p>
    <w:p w:rsidR="005C764A" w:rsidRPr="00E3263B" w:rsidRDefault="00F91E1C" w:rsidP="00387350">
      <w:pPr>
        <w:spacing w:line="240" w:lineRule="auto"/>
        <w:jc w:val="both"/>
        <w:rPr>
          <w:rFonts w:ascii="Times New Roman" w:hAnsi="Times New Roman"/>
          <w:sz w:val="24"/>
          <w:szCs w:val="24"/>
        </w:rPr>
      </w:pPr>
      <w:r w:rsidRPr="00F91E1C">
        <w:rPr>
          <w:rFonts w:ascii="Times New Roman" w:eastAsia="Times New Roman" w:hAnsi="Times New Roman"/>
          <w:sz w:val="24"/>
          <w:szCs w:val="24"/>
          <w:lang w:eastAsia="es-ES"/>
        </w:rPr>
        <w:t>A esto se unió una falta de regulación externa por parte de la Fed y, cómo no, una desmedida avaricia por parte de los dirigentes de las entidades financieras y una mala evaluación de los riesgos. Todo esto desembocó en la explosión de la burbuja inmobiliaria de EEUU y la consiguiente crisis del sector hipotecario, que fue el germen que se desarrolló hasta convertirse en la actual crisis económica mundial</w:t>
      </w:r>
      <w:r w:rsidR="005C764A">
        <w:rPr>
          <w:rFonts w:ascii="Times New Roman" w:eastAsia="Times New Roman" w:hAnsi="Times New Roman"/>
          <w:sz w:val="24"/>
          <w:szCs w:val="24"/>
          <w:lang w:eastAsia="es-ES"/>
        </w:rPr>
        <w:t>”..</w:t>
      </w:r>
      <w:r w:rsidRPr="00F91E1C">
        <w:rPr>
          <w:rFonts w:ascii="Times New Roman" w:eastAsia="Times New Roman" w:hAnsi="Times New Roman"/>
          <w:sz w:val="24"/>
          <w:szCs w:val="24"/>
          <w:lang w:eastAsia="es-ES"/>
        </w:rPr>
        <w:t xml:space="preserve">. </w:t>
      </w:r>
      <w:r w:rsidR="005C764A" w:rsidRPr="001D24CA">
        <w:rPr>
          <w:rFonts w:ascii="Times New Roman" w:hAnsi="Times New Roman"/>
          <w:sz w:val="24"/>
          <w:szCs w:val="24"/>
          <w:u w:val="single"/>
        </w:rPr>
        <w:t>Cinco años después, el BCE y la Fed siguen si</w:t>
      </w:r>
      <w:r w:rsidR="005C764A">
        <w:rPr>
          <w:rFonts w:ascii="Times New Roman" w:hAnsi="Times New Roman"/>
          <w:sz w:val="24"/>
          <w:szCs w:val="24"/>
          <w:u w:val="single"/>
        </w:rPr>
        <w:t>n</w:t>
      </w:r>
      <w:r w:rsidR="005C764A" w:rsidRPr="001D24CA">
        <w:rPr>
          <w:rFonts w:ascii="Times New Roman" w:hAnsi="Times New Roman"/>
          <w:sz w:val="24"/>
          <w:szCs w:val="24"/>
          <w:u w:val="single"/>
        </w:rPr>
        <w:t xml:space="preserve"> dar con la respuesta a la crisis</w:t>
      </w:r>
      <w:r w:rsidR="005C764A">
        <w:rPr>
          <w:rFonts w:ascii="Times New Roman" w:hAnsi="Times New Roman"/>
          <w:sz w:val="24"/>
          <w:szCs w:val="24"/>
        </w:rPr>
        <w:t xml:space="preserve"> (El Economista - </w:t>
      </w:r>
      <w:r w:rsidR="005C764A" w:rsidRPr="001D24CA">
        <w:rPr>
          <w:rFonts w:ascii="Times New Roman" w:hAnsi="Times New Roman"/>
          <w:b/>
          <w:sz w:val="24"/>
          <w:szCs w:val="24"/>
        </w:rPr>
        <w:t>8/8/12</w:t>
      </w:r>
      <w:r w:rsidR="005C764A">
        <w:rPr>
          <w:rFonts w:ascii="Times New Roman" w:hAnsi="Times New Roman"/>
          <w:sz w:val="24"/>
          <w:szCs w:val="24"/>
        </w:rPr>
        <w:t>)</w:t>
      </w:r>
    </w:p>
    <w:p w:rsidR="00F91E1C" w:rsidRDefault="005C764A" w:rsidP="00387350">
      <w:pPr>
        <w:spacing w:before="100" w:beforeAutospacing="1" w:after="100" w:afterAutospacing="1" w:line="240" w:lineRule="auto"/>
        <w:jc w:val="both"/>
        <w:rPr>
          <w:rFonts w:ascii="Times New Roman" w:eastAsia="Times New Roman" w:hAnsi="Times New Roman"/>
          <w:sz w:val="24"/>
          <w:szCs w:val="24"/>
          <w:lang w:eastAsia="es-ES"/>
        </w:rPr>
      </w:pPr>
      <w:r>
        <w:rPr>
          <w:noProof/>
          <w:lang w:eastAsia="es-ES"/>
        </w:rPr>
        <w:drawing>
          <wp:inline distT="0" distB="0" distL="0" distR="0" wp14:anchorId="66769158" wp14:editId="6DB2DB12">
            <wp:extent cx="5391302" cy="3701492"/>
            <wp:effectExtent l="0" t="0" r="0" b="0"/>
            <wp:docPr id="113" name="Imagen 113" descr="OA-BA434_WSJAEC_NS_20120906193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OA-BA434_WSJAEC_NS_20120906193142[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91302" cy="3701492"/>
                    </a:xfrm>
                    <a:prstGeom prst="rect">
                      <a:avLst/>
                    </a:prstGeom>
                    <a:noFill/>
                    <a:ln>
                      <a:noFill/>
                    </a:ln>
                  </pic:spPr>
                </pic:pic>
              </a:graphicData>
            </a:graphic>
          </wp:inline>
        </w:drawing>
      </w:r>
    </w:p>
    <w:p w:rsidR="005C764A" w:rsidRPr="005C764A" w:rsidRDefault="005C764A" w:rsidP="00387350">
      <w:pPr>
        <w:pStyle w:val="NormalWeb"/>
        <w:jc w:val="both"/>
        <w:rPr>
          <w:lang w:val="en-US"/>
        </w:rPr>
      </w:pPr>
      <w:r w:rsidRPr="005C764A">
        <w:rPr>
          <w:lang w:val="en-US"/>
        </w:rPr>
        <w:t xml:space="preserve">(Fuente: The Wall Street Journal - </w:t>
      </w:r>
      <w:r w:rsidRPr="005C764A">
        <w:rPr>
          <w:b/>
          <w:lang w:val="en-US"/>
        </w:rPr>
        <w:t>7/9/12</w:t>
      </w:r>
      <w:r w:rsidRPr="005C764A">
        <w:rPr>
          <w:lang w:val="en-US"/>
        </w:rPr>
        <w:t>)</w:t>
      </w:r>
    </w:p>
    <w:p w:rsidR="005C764A" w:rsidRDefault="005C764A" w:rsidP="00387350">
      <w:pPr>
        <w:spacing w:line="240" w:lineRule="auto"/>
        <w:jc w:val="both"/>
        <w:rPr>
          <w:rFonts w:ascii="Times New Roman" w:hAnsi="Times New Roman"/>
          <w:sz w:val="24"/>
          <w:szCs w:val="24"/>
        </w:rPr>
      </w:pPr>
      <w:r>
        <w:rPr>
          <w:noProof/>
          <w:lang w:eastAsia="es-ES"/>
        </w:rPr>
        <w:lastRenderedPageBreak/>
        <w:drawing>
          <wp:inline distT="0" distB="0" distL="0" distR="0" wp14:anchorId="018B3648" wp14:editId="54AE1BA2">
            <wp:extent cx="5640019" cy="5230368"/>
            <wp:effectExtent l="0" t="0" r="0" b="8890"/>
            <wp:docPr id="116" name="Imagen 116" descr="2012090638grafic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2012090638grafico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54910" cy="5244177"/>
                    </a:xfrm>
                    <a:prstGeom prst="rect">
                      <a:avLst/>
                    </a:prstGeom>
                    <a:noFill/>
                    <a:ln>
                      <a:noFill/>
                    </a:ln>
                  </pic:spPr>
                </pic:pic>
              </a:graphicData>
            </a:graphic>
          </wp:inline>
        </w:drawing>
      </w:r>
    </w:p>
    <w:p w:rsidR="005C764A" w:rsidRDefault="005C764A" w:rsidP="00387350">
      <w:pPr>
        <w:spacing w:line="240" w:lineRule="auto"/>
        <w:jc w:val="both"/>
        <w:rPr>
          <w:rFonts w:ascii="Times New Roman" w:hAnsi="Times New Roman"/>
          <w:sz w:val="24"/>
          <w:szCs w:val="24"/>
        </w:rPr>
      </w:pPr>
      <w:r>
        <w:rPr>
          <w:rFonts w:ascii="Times New Roman" w:hAnsi="Times New Roman"/>
          <w:sz w:val="24"/>
          <w:szCs w:val="24"/>
        </w:rPr>
        <w:t xml:space="preserve">(Fuente: El Confidencial - </w:t>
      </w:r>
      <w:r w:rsidRPr="009646E4">
        <w:rPr>
          <w:rFonts w:ascii="Times New Roman" w:hAnsi="Times New Roman"/>
          <w:b/>
          <w:sz w:val="24"/>
          <w:szCs w:val="24"/>
        </w:rPr>
        <w:t>7/9/12</w:t>
      </w:r>
      <w:r>
        <w:rPr>
          <w:rFonts w:ascii="Times New Roman" w:hAnsi="Times New Roman"/>
          <w:sz w:val="24"/>
          <w:szCs w:val="24"/>
        </w:rPr>
        <w:t>)</w:t>
      </w:r>
    </w:p>
    <w:p w:rsidR="005C764A" w:rsidRPr="005C764A" w:rsidRDefault="005C764A" w:rsidP="00387350">
      <w:pPr>
        <w:spacing w:line="240" w:lineRule="auto"/>
        <w:jc w:val="both"/>
        <w:rPr>
          <w:rFonts w:ascii="Times New Roman" w:hAnsi="Times New Roman"/>
          <w:sz w:val="24"/>
          <w:szCs w:val="24"/>
        </w:rPr>
      </w:pPr>
      <w:r>
        <w:rPr>
          <w:rFonts w:ascii="Times New Roman" w:hAnsi="Times New Roman"/>
          <w:sz w:val="24"/>
          <w:szCs w:val="24"/>
        </w:rPr>
        <w:t>“</w:t>
      </w:r>
      <w:r w:rsidRPr="005C764A">
        <w:rPr>
          <w:rFonts w:ascii="Times New Roman" w:hAnsi="Times New Roman"/>
          <w:sz w:val="24"/>
          <w:szCs w:val="24"/>
        </w:rPr>
        <w:t xml:space="preserve">La Reserva Federal de Estados Unidos anunció el jueves que lanzará una importante nueva ronda de compra de bonos, con lo que extiende la batería de medidas poco convencionales que ha desplegado desde la crisis financiera para apuntalar la precaria recuperación económica. </w:t>
      </w:r>
    </w:p>
    <w:p w:rsidR="005C764A" w:rsidRPr="005C764A" w:rsidRDefault="005C764A" w:rsidP="00387350">
      <w:pPr>
        <w:spacing w:line="240" w:lineRule="auto"/>
        <w:jc w:val="both"/>
        <w:rPr>
          <w:rFonts w:ascii="Times New Roman" w:hAnsi="Times New Roman"/>
          <w:sz w:val="24"/>
          <w:szCs w:val="24"/>
        </w:rPr>
      </w:pPr>
      <w:r w:rsidRPr="005C764A">
        <w:rPr>
          <w:rFonts w:ascii="Times New Roman" w:hAnsi="Times New Roman"/>
          <w:sz w:val="24"/>
          <w:szCs w:val="24"/>
        </w:rPr>
        <w:t>Tras meses de cuidadosas señales, el Comité de Mercado Abierto de la Fed dijo el jueves que comprará US$</w:t>
      </w:r>
      <w:r>
        <w:rPr>
          <w:rFonts w:ascii="Times New Roman" w:hAnsi="Times New Roman"/>
          <w:sz w:val="24"/>
          <w:szCs w:val="24"/>
        </w:rPr>
        <w:t xml:space="preserve"> </w:t>
      </w:r>
      <w:r w:rsidRPr="005C764A">
        <w:rPr>
          <w:rFonts w:ascii="Times New Roman" w:hAnsi="Times New Roman"/>
          <w:sz w:val="24"/>
          <w:szCs w:val="24"/>
        </w:rPr>
        <w:t xml:space="preserve">40.000 millones al mes en títulos respaldados por hipotecas de manera indefinida, y agregó que podría extender esas compras y adquirir activos adicionales, si el mercado laboral no mejora. </w:t>
      </w:r>
    </w:p>
    <w:p w:rsidR="00910630" w:rsidRDefault="005C764A" w:rsidP="00387350">
      <w:pPr>
        <w:spacing w:line="240" w:lineRule="auto"/>
        <w:jc w:val="both"/>
        <w:rPr>
          <w:rFonts w:ascii="Times New Roman" w:hAnsi="Times New Roman"/>
          <w:sz w:val="24"/>
          <w:szCs w:val="24"/>
        </w:rPr>
      </w:pPr>
      <w:r>
        <w:rPr>
          <w:rFonts w:ascii="Times New Roman" w:hAnsi="Times New Roman"/>
          <w:sz w:val="24"/>
          <w:szCs w:val="24"/>
        </w:rPr>
        <w:t>“</w:t>
      </w:r>
      <w:r w:rsidRPr="005C764A">
        <w:rPr>
          <w:rFonts w:ascii="Times New Roman" w:hAnsi="Times New Roman"/>
          <w:sz w:val="24"/>
          <w:szCs w:val="24"/>
        </w:rPr>
        <w:t>Si el panorama del mercado laboral no mejora en forma sustancial, el Comité continuará con sus compras de valores respaldados por hipotecas, efectuará compras adicionales de activos y empleará sus otras herramientas de política según correspond</w:t>
      </w:r>
      <w:r>
        <w:rPr>
          <w:rFonts w:ascii="Times New Roman" w:hAnsi="Times New Roman"/>
          <w:sz w:val="24"/>
          <w:szCs w:val="24"/>
        </w:rPr>
        <w:t>a hasta que se logre tal mejora”</w:t>
      </w:r>
      <w:r w:rsidRPr="005C764A">
        <w:rPr>
          <w:rFonts w:ascii="Times New Roman" w:hAnsi="Times New Roman"/>
          <w:sz w:val="24"/>
          <w:szCs w:val="24"/>
        </w:rPr>
        <w:t xml:space="preserve">, dijo el FOMC en una declaración emitida al término de su reunión de dos días. </w:t>
      </w:r>
    </w:p>
    <w:p w:rsidR="005C764A" w:rsidRPr="005C764A" w:rsidRDefault="005C764A" w:rsidP="00387350">
      <w:pPr>
        <w:spacing w:line="240" w:lineRule="auto"/>
        <w:jc w:val="both"/>
        <w:rPr>
          <w:rFonts w:ascii="Times New Roman" w:hAnsi="Times New Roman"/>
          <w:sz w:val="24"/>
          <w:szCs w:val="24"/>
        </w:rPr>
      </w:pPr>
      <w:r w:rsidRPr="005C764A">
        <w:rPr>
          <w:rFonts w:ascii="Times New Roman" w:hAnsi="Times New Roman"/>
          <w:sz w:val="24"/>
          <w:szCs w:val="24"/>
        </w:rPr>
        <w:t>La Fed agregó que continuará</w:t>
      </w:r>
      <w:r>
        <w:rPr>
          <w:rFonts w:ascii="Times New Roman" w:hAnsi="Times New Roman"/>
          <w:sz w:val="24"/>
          <w:szCs w:val="24"/>
        </w:rPr>
        <w:t xml:space="preserve"> con el programa conocido como “Operación Twist”</w:t>
      </w:r>
      <w:r w:rsidRPr="005C764A">
        <w:rPr>
          <w:rFonts w:ascii="Times New Roman" w:hAnsi="Times New Roman"/>
          <w:sz w:val="24"/>
          <w:szCs w:val="24"/>
        </w:rPr>
        <w:t xml:space="preserve">, a través del cual el banco central vende bonos a corto plazo y usa los fondos para comprar bonos a largo plazo en un esfuerzo por reducir las tasas a largo plazo. </w:t>
      </w:r>
    </w:p>
    <w:p w:rsidR="00910630" w:rsidRDefault="005C764A" w:rsidP="00387350">
      <w:pPr>
        <w:spacing w:line="240" w:lineRule="auto"/>
        <w:jc w:val="both"/>
        <w:rPr>
          <w:rFonts w:ascii="Times New Roman" w:hAnsi="Times New Roman"/>
          <w:sz w:val="24"/>
          <w:szCs w:val="24"/>
        </w:rPr>
      </w:pPr>
      <w:r w:rsidRPr="005C764A">
        <w:rPr>
          <w:rFonts w:ascii="Times New Roman" w:hAnsi="Times New Roman"/>
          <w:sz w:val="24"/>
          <w:szCs w:val="24"/>
        </w:rPr>
        <w:lastRenderedPageBreak/>
        <w:t>En conjunto, la Fed comprará US$</w:t>
      </w:r>
      <w:r>
        <w:rPr>
          <w:rFonts w:ascii="Times New Roman" w:hAnsi="Times New Roman"/>
          <w:sz w:val="24"/>
          <w:szCs w:val="24"/>
        </w:rPr>
        <w:t xml:space="preserve"> </w:t>
      </w:r>
      <w:r w:rsidRPr="005C764A">
        <w:rPr>
          <w:rFonts w:ascii="Times New Roman" w:hAnsi="Times New Roman"/>
          <w:sz w:val="24"/>
          <w:szCs w:val="24"/>
        </w:rPr>
        <w:t>85.000 millones al mes en valores a largo plazo hasta fin de año, un aumento frente a los US$</w:t>
      </w:r>
      <w:r>
        <w:rPr>
          <w:rFonts w:ascii="Times New Roman" w:hAnsi="Times New Roman"/>
          <w:sz w:val="24"/>
          <w:szCs w:val="24"/>
        </w:rPr>
        <w:t xml:space="preserve"> </w:t>
      </w:r>
      <w:r w:rsidRPr="005C764A">
        <w:rPr>
          <w:rFonts w:ascii="Times New Roman" w:hAnsi="Times New Roman"/>
          <w:sz w:val="24"/>
          <w:szCs w:val="24"/>
        </w:rPr>
        <w:t>45.000 millones en bonos a largo plazo que compra todos los meses en la actualidad bajo la Operación Twist. También imprimirá más dinero para financiar sus compras de bonos respaldados por hipotecas, expandiendo el tamaño de su balance, que asciende a US$</w:t>
      </w:r>
      <w:r>
        <w:rPr>
          <w:rFonts w:ascii="Times New Roman" w:hAnsi="Times New Roman"/>
          <w:sz w:val="24"/>
          <w:szCs w:val="24"/>
        </w:rPr>
        <w:t xml:space="preserve"> </w:t>
      </w:r>
      <w:r w:rsidRPr="005C764A">
        <w:rPr>
          <w:rFonts w:ascii="Times New Roman" w:hAnsi="Times New Roman"/>
          <w:sz w:val="24"/>
          <w:szCs w:val="24"/>
        </w:rPr>
        <w:t>2,8 bi</w:t>
      </w:r>
      <w:r w:rsidR="00910630">
        <w:rPr>
          <w:rFonts w:ascii="Times New Roman" w:hAnsi="Times New Roman"/>
          <w:sz w:val="24"/>
          <w:szCs w:val="24"/>
        </w:rPr>
        <w:t>llones”…</w:t>
      </w:r>
      <w:r w:rsidRPr="005C764A">
        <w:rPr>
          <w:rFonts w:ascii="Times New Roman" w:hAnsi="Times New Roman"/>
          <w:sz w:val="24"/>
          <w:szCs w:val="24"/>
        </w:rPr>
        <w:t xml:space="preserve"> </w:t>
      </w:r>
      <w:r w:rsidR="00910630" w:rsidRPr="00285F46">
        <w:rPr>
          <w:rFonts w:ascii="Times New Roman" w:hAnsi="Times New Roman"/>
          <w:sz w:val="24"/>
          <w:szCs w:val="24"/>
          <w:u w:val="single"/>
        </w:rPr>
        <w:t>La Fed actúa con fuerza para estimular el crecimiento</w:t>
      </w:r>
      <w:r w:rsidR="00910630">
        <w:rPr>
          <w:rFonts w:ascii="Times New Roman" w:hAnsi="Times New Roman"/>
          <w:sz w:val="24"/>
          <w:szCs w:val="24"/>
        </w:rPr>
        <w:t xml:space="preserve"> (The Wall Street Journal - </w:t>
      </w:r>
      <w:r w:rsidR="00910630" w:rsidRPr="00285F46">
        <w:rPr>
          <w:rFonts w:ascii="Times New Roman" w:hAnsi="Times New Roman"/>
          <w:b/>
          <w:sz w:val="24"/>
          <w:szCs w:val="24"/>
        </w:rPr>
        <w:t>13/9/12</w:t>
      </w:r>
      <w:r w:rsidR="00910630">
        <w:rPr>
          <w:rFonts w:ascii="Times New Roman" w:hAnsi="Times New Roman"/>
          <w:sz w:val="24"/>
          <w:szCs w:val="24"/>
        </w:rPr>
        <w:t>)</w:t>
      </w:r>
    </w:p>
    <w:p w:rsidR="00557086" w:rsidRPr="00557086" w:rsidRDefault="00557086" w:rsidP="00387350">
      <w:pPr>
        <w:pStyle w:val="NormalWeb"/>
        <w:jc w:val="both"/>
        <w:rPr>
          <w:bCs/>
        </w:rPr>
      </w:pPr>
      <w:r>
        <w:t>“</w:t>
      </w:r>
      <w:r w:rsidRPr="00557086">
        <w:t xml:space="preserve">¿Han visto las bolsas? ¿Y las materias primas? ¿Los malvados especuladores? Ah, me había olvidado que los especuladores son solo a la baja, al alza somos inversores. ¿O tal vez ese dinero invertido en activos de riesgo sea consecuencia del efecto llamada creado por la destrucción masiva de dinero, por la actividad concertada de los bancos centrales que afecta a alimentos, materias primas y genera burbujas bajando el coste de capital artificialmente? Inyectar 9 billones de dólares en las economías globales para generar cero aumento marginal de PIB o empleo comparado con las expectativas iniciales es el gran “éxito” del plan de expansión eterna de los bancos centrales. </w:t>
      </w:r>
      <w:r w:rsidRPr="00557086">
        <w:rPr>
          <w:bCs/>
        </w:rPr>
        <w:t>Crear dinero de la nada, no justificado por la actividad económica real…</w:t>
      </w:r>
    </w:p>
    <w:p w:rsidR="00557086" w:rsidRPr="00557086" w:rsidRDefault="00557086" w:rsidP="00387350">
      <w:pPr>
        <w:pStyle w:val="NormalWeb"/>
        <w:jc w:val="both"/>
      </w:pPr>
      <w:r w:rsidRPr="00557086">
        <w:t>Estamos intentando recrear la misma burbuja que nos llevó a esta crisis</w:t>
      </w:r>
    </w:p>
    <w:p w:rsidR="00557086" w:rsidRPr="00557086" w:rsidRDefault="00557086" w:rsidP="00387350">
      <w:pPr>
        <w:pStyle w:val="NormalWeb"/>
        <w:jc w:val="both"/>
      </w:pPr>
      <w:r w:rsidRPr="00557086">
        <w:t xml:space="preserve">Si hay algo que me sorprende cada día es que se aplauda y celebre la expansión monetaria salvaje como algo bueno, cuando </w:t>
      </w:r>
      <w:r w:rsidRPr="00557086">
        <w:rPr>
          <w:bCs/>
        </w:rPr>
        <w:t>solo beneficia a las bolsas y a la inflación</w:t>
      </w:r>
      <w:r w:rsidRPr="00557086">
        <w:t xml:space="preserve">, especialmente en materias primas y oro. Luego la prensa buscará un culpable malvado en la OPEP o los especuladores o cualquier otro, pero el mercado a lo que se lanza es a protegerse de la destrucción del dinero por impresión masiva, el expolio a los ahorradores que supone mantener los tipos a mínimos históricos y el riesgo de inflación. Estamos viviendo </w:t>
      </w:r>
      <w:r w:rsidRPr="00557086">
        <w:rPr>
          <w:bCs/>
        </w:rPr>
        <w:t>un proceso de intentar reconstruir burbujas,</w:t>
      </w:r>
      <w:r w:rsidRPr="00557086">
        <w:t xml:space="preserve"> s</w:t>
      </w:r>
      <w:r>
        <w:t>ea en los mercados financieros -</w:t>
      </w:r>
      <w:r w:rsidRPr="00557086">
        <w:t>burbuja bursátil- o con los act</w:t>
      </w:r>
      <w:r>
        <w:t>ivos inmobiliarios -</w:t>
      </w:r>
      <w:r w:rsidRPr="00557086">
        <w:t xml:space="preserve">a través de bancos malos, bonos y paquetes hipotecarios (mortgage backed securities), </w:t>
      </w:r>
      <w:r w:rsidR="002E6E34" w:rsidRPr="00557086">
        <w:t>etc.</w:t>
      </w:r>
      <w:r w:rsidRPr="00557086">
        <w:t>-.</w:t>
      </w:r>
    </w:p>
    <w:p w:rsidR="00557086" w:rsidRDefault="00557086" w:rsidP="00387350">
      <w:pPr>
        <w:pStyle w:val="NormalWeb"/>
        <w:jc w:val="both"/>
      </w:pPr>
      <w:r w:rsidRPr="00557086">
        <w:t>Mientras la gente ve su renta disponible desaparecer, cuando comprobamos que la política monetaria indiscriminada no funciona, aceptamos el engaño con la justificación de que “hubiera sido peor” si no se hubiera puesto en marcha. Y a la vez nos preguntamos por qué no llegamos a fin de mes y nos decimos que todo que cuesta mucho más mientras la “inflación oficial” es supuestamente “muy baja”</w:t>
      </w:r>
      <w:r>
        <w:t>”…</w:t>
      </w:r>
      <w:r w:rsidRPr="00557086">
        <w:t xml:space="preserve"> </w:t>
      </w:r>
      <w:r w:rsidRPr="001664B1">
        <w:rPr>
          <w:u w:val="single"/>
        </w:rPr>
        <w:t>¿El timo de la estampita? Fed, QE3 y expansión monetaria ilimitada</w:t>
      </w:r>
      <w:r>
        <w:t xml:space="preserve"> (El Confidencial - </w:t>
      </w:r>
      <w:r w:rsidRPr="001664B1">
        <w:rPr>
          <w:b/>
        </w:rPr>
        <w:t>15/9/12</w:t>
      </w:r>
      <w:r>
        <w:t>)</w:t>
      </w:r>
    </w:p>
    <w:p w:rsidR="00557086" w:rsidRPr="00557086" w:rsidRDefault="00557086" w:rsidP="00387350">
      <w:pPr>
        <w:spacing w:line="240" w:lineRule="auto"/>
        <w:jc w:val="both"/>
        <w:rPr>
          <w:rFonts w:ascii="Times New Roman" w:hAnsi="Times New Roman"/>
          <w:sz w:val="24"/>
          <w:szCs w:val="24"/>
        </w:rPr>
      </w:pPr>
      <w:r>
        <w:rPr>
          <w:rFonts w:ascii="Times New Roman" w:hAnsi="Times New Roman"/>
          <w:sz w:val="24"/>
          <w:szCs w:val="24"/>
        </w:rPr>
        <w:t>“</w:t>
      </w:r>
      <w:r w:rsidRPr="00557086">
        <w:rPr>
          <w:rFonts w:ascii="Times New Roman" w:hAnsi="Times New Roman"/>
          <w:sz w:val="24"/>
          <w:szCs w:val="24"/>
        </w:rPr>
        <w:t>Después de cuatro años de rotundo fracaso, atacan de nuevo. La FED y el BCE desde 2007 han triplicado el tamaño de sus balances, sin que haya supuesto ello ningún revulsivo para la economía europea, ya en recesión, y la estadounidense, a punto de entrar en ella. Las expansiones cuantitativas de los Bancos Centrales, en plena trampa de la liquidez, sólo sirven para generar inflaciones o burbujas de activos…</w:t>
      </w:r>
    </w:p>
    <w:p w:rsidR="00557086" w:rsidRPr="00557086" w:rsidRDefault="00557086" w:rsidP="00387350">
      <w:pPr>
        <w:spacing w:line="240" w:lineRule="auto"/>
        <w:jc w:val="both"/>
        <w:rPr>
          <w:rFonts w:ascii="Times New Roman" w:hAnsi="Times New Roman"/>
          <w:sz w:val="24"/>
          <w:szCs w:val="24"/>
        </w:rPr>
      </w:pPr>
      <w:r w:rsidRPr="00557086">
        <w:rPr>
          <w:rFonts w:ascii="Times New Roman" w:hAnsi="Times New Roman"/>
          <w:sz w:val="24"/>
          <w:szCs w:val="24"/>
        </w:rPr>
        <w:t xml:space="preserve">Llama la atención el absoluto desconocimiento por parte de los distintos medios de comunicación y analistas sobre la actuación del BCE y de la FED, vamos que no se han leído los balances respectivos. El BCE ¡casi ha triplicado desde 2007 el tamaño de su balance, al igual que la FED! Otra cosa es que sí que hay profundas diferencias en dicha ampliación. </w:t>
      </w:r>
    </w:p>
    <w:p w:rsidR="00557086" w:rsidRPr="00557086" w:rsidRDefault="00557086" w:rsidP="00387350">
      <w:pPr>
        <w:spacing w:line="240" w:lineRule="auto"/>
        <w:jc w:val="both"/>
        <w:rPr>
          <w:rFonts w:ascii="Times New Roman" w:hAnsi="Times New Roman"/>
          <w:sz w:val="24"/>
          <w:szCs w:val="24"/>
        </w:rPr>
      </w:pPr>
      <w:r w:rsidRPr="00557086">
        <w:rPr>
          <w:rFonts w:ascii="Times New Roman" w:hAnsi="Times New Roman"/>
          <w:sz w:val="24"/>
          <w:szCs w:val="24"/>
        </w:rPr>
        <w:t xml:space="preserve">Mientras que en el caso de la FED se ha centrado en la compra de activos con la intención de disminuir los tipos de interés a largo plazo y reducir los diferenciales de crédito entre los sectores privados y público, en Europa el BCE, además de comprar </w:t>
      </w:r>
      <w:r w:rsidRPr="00557086">
        <w:rPr>
          <w:rFonts w:ascii="Times New Roman" w:hAnsi="Times New Roman"/>
          <w:sz w:val="24"/>
          <w:szCs w:val="24"/>
        </w:rPr>
        <w:lastRenderedPageBreak/>
        <w:t xml:space="preserve">deuda periférica, ha aumentado su balance especialmente mediante la concesión de préstamos a una banca europea insolvente. Obviamente entre ambas posiciones es preferible la de la FED. El BCE simplemente ha mantenido el statu quo de aquellos que nos han llevado a la situación actual. </w:t>
      </w:r>
    </w:p>
    <w:p w:rsidR="00557086" w:rsidRPr="00557086" w:rsidRDefault="00557086" w:rsidP="00387350">
      <w:pPr>
        <w:spacing w:line="240" w:lineRule="auto"/>
        <w:jc w:val="both"/>
        <w:rPr>
          <w:rFonts w:ascii="Times New Roman" w:hAnsi="Times New Roman"/>
          <w:sz w:val="24"/>
          <w:szCs w:val="24"/>
        </w:rPr>
      </w:pPr>
      <w:r w:rsidRPr="00557086">
        <w:rPr>
          <w:rFonts w:ascii="Times New Roman" w:hAnsi="Times New Roman"/>
          <w:sz w:val="24"/>
          <w:szCs w:val="24"/>
        </w:rPr>
        <w:t>El balance del BCE se ha incrementado desde los 1,16 billones de euros a principios de 2007, hasta los actuales 3,08 billones, según cifras de 31 de agosto de 2012. Por lo tanto, el crecimiento del tamaño del balance es del 166%. El nivel de apalancamiento, es decir, la proporción de la deuda del BCE respecto a sus fondos propios ha pasado de 17 veces a 36 veces. Desde el lado del activo las dos partidas que más han aumentado son la compra de deuda soberana desde los 80.000 millones a los 600.000 actuales, y, sobre todo los préstamos a la banca desde los 450.000 millones hasta los 1.210.000 actuales.</w:t>
      </w:r>
    </w:p>
    <w:p w:rsidR="00557086" w:rsidRPr="00557086" w:rsidRDefault="00557086" w:rsidP="00387350">
      <w:pPr>
        <w:spacing w:line="240" w:lineRule="auto"/>
        <w:jc w:val="both"/>
        <w:rPr>
          <w:rFonts w:ascii="Times New Roman" w:hAnsi="Times New Roman"/>
          <w:sz w:val="24"/>
          <w:szCs w:val="24"/>
        </w:rPr>
      </w:pPr>
      <w:r w:rsidRPr="00557086">
        <w:rPr>
          <w:rFonts w:ascii="Times New Roman" w:hAnsi="Times New Roman"/>
          <w:sz w:val="24"/>
          <w:szCs w:val="24"/>
        </w:rPr>
        <w:t>El balance de la FED también se ha expandido fuertemente en ese mismo período, pasando de los 911.198 millones de dólares a principios de 2007 a los 2,87 billones actuales, según cifras del 5 de septiembre de 2012. Es decir, el crecimiento del tamaño del balance ha sido del 215%. El nivel de apalancamiento ha pasado de 24 veces a 43 veces. Desde el lado del activo las dos partidas que más han aumentado son la compra de deuda soberana, cuyo volumen se ha incrementado en 853.118 millones de dólares, y deuda privada, cuya partida ha aumentado en 843.687 millones de dólares. Mientras los préstamos a la banca apenas han crecido en 2.000 millones de dólares, alcanzando la cifra actual de 2.435 millones de dólares, nada que ve con el más de 1 billón de euros del BCE.</w:t>
      </w:r>
    </w:p>
    <w:p w:rsidR="00557086" w:rsidRPr="009B5C65" w:rsidRDefault="00557086" w:rsidP="00387350">
      <w:pPr>
        <w:spacing w:line="240" w:lineRule="auto"/>
        <w:jc w:val="both"/>
        <w:rPr>
          <w:rFonts w:ascii="Times New Roman" w:hAnsi="Times New Roman"/>
          <w:sz w:val="24"/>
          <w:szCs w:val="24"/>
        </w:rPr>
      </w:pPr>
      <w:r w:rsidRPr="00557086">
        <w:rPr>
          <w:rFonts w:ascii="Times New Roman" w:hAnsi="Times New Roman"/>
          <w:sz w:val="24"/>
          <w:szCs w:val="24"/>
        </w:rPr>
        <w:t>Las expansiones de los balances de la FED o del BCE han generado un aumento de la propensión al riesgo, inflando los mercados financieros, sin que ello se traduzca en un aumento de la renta del país. La justificación académica de las expansiones cuantitativas de los Bancos Centrales está soportada académicamente por Ben Bernanke, bajo la idea de que la generación de nuevas burbujas de activos puede reactivar la economía. Sin embargo, este planteamiento económico se olvida de que la riqueza en relación al PIB es constante, de manera que si la riqueza crece muy por encima de las rentas se producirá una reversión a la media mediante un descenso del precio de los activos</w:t>
      </w:r>
      <w:r>
        <w:rPr>
          <w:rFonts w:ascii="Times New Roman" w:hAnsi="Times New Roman"/>
          <w:sz w:val="24"/>
          <w:szCs w:val="24"/>
        </w:rPr>
        <w:t>”..</w:t>
      </w:r>
      <w:r w:rsidRPr="00557086">
        <w:rPr>
          <w:rFonts w:ascii="Times New Roman" w:hAnsi="Times New Roman"/>
          <w:sz w:val="24"/>
          <w:szCs w:val="24"/>
        </w:rPr>
        <w:t xml:space="preserve">. </w:t>
      </w:r>
      <w:r w:rsidRPr="009B5C65">
        <w:rPr>
          <w:rFonts w:ascii="Times New Roman" w:hAnsi="Times New Roman"/>
          <w:sz w:val="24"/>
          <w:szCs w:val="24"/>
          <w:u w:val="single"/>
        </w:rPr>
        <w:t>BCE: mentiras y fracaso de la ortodoxia económica</w:t>
      </w:r>
      <w:r>
        <w:rPr>
          <w:rFonts w:ascii="Times New Roman" w:hAnsi="Times New Roman"/>
          <w:sz w:val="24"/>
          <w:szCs w:val="24"/>
        </w:rPr>
        <w:t xml:space="preserve"> (Vozpópuli - </w:t>
      </w:r>
      <w:r w:rsidRPr="009B5C65">
        <w:rPr>
          <w:rFonts w:ascii="Times New Roman" w:hAnsi="Times New Roman"/>
          <w:b/>
          <w:sz w:val="24"/>
          <w:szCs w:val="24"/>
        </w:rPr>
        <w:t>15/9/12</w:t>
      </w:r>
      <w:r>
        <w:rPr>
          <w:rFonts w:ascii="Times New Roman" w:hAnsi="Times New Roman"/>
          <w:sz w:val="24"/>
          <w:szCs w:val="24"/>
        </w:rPr>
        <w:t>)</w:t>
      </w:r>
    </w:p>
    <w:p w:rsidR="0068380F" w:rsidRPr="0068380F" w:rsidRDefault="0068380F" w:rsidP="00387350">
      <w:pPr>
        <w:pStyle w:val="NormalWeb"/>
        <w:jc w:val="both"/>
      </w:pPr>
      <w:r w:rsidRPr="0068380F">
        <w:t xml:space="preserve">“Si un helicóptero arrojara sobre una isla tantos sacos de dinero como para que se doblara la masa monetaria, ¿se volvería ésta el doble de rica? Éste fue el gráfico ejemplo utilizado por el economista americano </w:t>
      </w:r>
      <w:r w:rsidRPr="0068380F">
        <w:rPr>
          <w:bCs/>
        </w:rPr>
        <w:t>Milton Friedman</w:t>
      </w:r>
      <w:r w:rsidRPr="0068380F">
        <w:t xml:space="preserve"> en su libro </w:t>
      </w:r>
      <w:r w:rsidRPr="0068380F">
        <w:rPr>
          <w:i/>
          <w:iCs/>
        </w:rPr>
        <w:t>Money Mischief</w:t>
      </w:r>
      <w:r w:rsidRPr="0068380F">
        <w:t xml:space="preserve"> para ilustrar los efectos de la expansión monetaria. La conclusión fue que la isla no doblaría su riqueza. Seguirían produciendo lo mismo y su capacidad de consumo e inversión serían las mismas en términos reales. </w:t>
      </w:r>
      <w:r w:rsidRPr="0068380F">
        <w:rPr>
          <w:bCs/>
        </w:rPr>
        <w:t>El valor de la moneda simplemente pasaría a ser la mitad</w:t>
      </w:r>
      <w:r w:rsidRPr="0068380F">
        <w:t>, haciendo que los precios suban hasta reequilibrar los precios relativos.</w:t>
      </w:r>
    </w:p>
    <w:p w:rsidR="0068380F" w:rsidRPr="0068380F" w:rsidRDefault="0068380F" w:rsidP="00387350">
      <w:pPr>
        <w:pStyle w:val="NormalWeb"/>
        <w:jc w:val="both"/>
      </w:pPr>
      <w:r w:rsidRPr="0068380F">
        <w:rPr>
          <w:bCs/>
        </w:rPr>
        <w:t>Ben Bernanke</w:t>
      </w:r>
      <w:r w:rsidRPr="0068380F">
        <w:t xml:space="preserve">, actual presidente de la Reserva Federal, se ganó el apodo de </w:t>
      </w:r>
      <w:r w:rsidRPr="00031595">
        <w:rPr>
          <w:iCs/>
        </w:rPr>
        <w:t>“Helicopter Ben”</w:t>
      </w:r>
      <w:r w:rsidRPr="0068380F">
        <w:t xml:space="preserve"> tras utilizar este ejemplo en un discurso contra la deflación en 2002. Hay que decir que desde que en 2006 ocupó su cargo se ha hecho merecedor de tal nombre: la oferta de dinero (M2) ha crecido desde los aproximadamente 6.500 billones de dólares en 2006 hasta los más de 10.000 billones en diversos planes de expansión monetaria. Y su intención es la de seguir por la misma senda. Ahora, sin ir más lejos, se ha vuelto a subir </w:t>
      </w:r>
      <w:r w:rsidRPr="0068380F">
        <w:lastRenderedPageBreak/>
        <w:t>al helicóptero y ha anunciado que continuará arrojando dinero sobre la economía americana hasta que considere que está totalmente sana.</w:t>
      </w:r>
    </w:p>
    <w:p w:rsidR="0068380F" w:rsidRDefault="0068380F" w:rsidP="00387350">
      <w:pPr>
        <w:spacing w:line="240" w:lineRule="auto"/>
        <w:jc w:val="both"/>
        <w:rPr>
          <w:rFonts w:ascii="Times New Roman" w:hAnsi="Times New Roman"/>
          <w:sz w:val="24"/>
          <w:szCs w:val="24"/>
        </w:rPr>
      </w:pPr>
      <w:r w:rsidRPr="0068380F">
        <w:rPr>
          <w:rFonts w:ascii="Times New Roman" w:hAnsi="Times New Roman" w:cs="Times New Roman"/>
          <w:sz w:val="24"/>
          <w:szCs w:val="24"/>
        </w:rPr>
        <w:t xml:space="preserve">El plan recién aprobado por la Fed, bautizado como </w:t>
      </w:r>
      <w:r w:rsidR="00031595">
        <w:rPr>
          <w:rFonts w:ascii="Times New Roman" w:hAnsi="Times New Roman" w:cs="Times New Roman"/>
          <w:sz w:val="24"/>
          <w:szCs w:val="24"/>
        </w:rPr>
        <w:t>“</w:t>
      </w:r>
      <w:r w:rsidRPr="00031595">
        <w:rPr>
          <w:rFonts w:ascii="Times New Roman" w:hAnsi="Times New Roman" w:cs="Times New Roman"/>
          <w:iCs/>
          <w:sz w:val="24"/>
          <w:szCs w:val="24"/>
        </w:rPr>
        <w:t>Quantitative Easing 3</w:t>
      </w:r>
      <w:r w:rsidR="00031595">
        <w:rPr>
          <w:rFonts w:ascii="Times New Roman" w:hAnsi="Times New Roman" w:cs="Times New Roman"/>
          <w:iCs/>
          <w:sz w:val="24"/>
          <w:szCs w:val="24"/>
        </w:rPr>
        <w:t>”</w:t>
      </w:r>
      <w:r w:rsidRPr="0068380F">
        <w:rPr>
          <w:rFonts w:ascii="Times New Roman" w:hAnsi="Times New Roman" w:cs="Times New Roman"/>
          <w:sz w:val="24"/>
          <w:szCs w:val="24"/>
        </w:rPr>
        <w:t xml:space="preserve">, no es tan simple como imprimir y arrojar dinero desde el cielo. </w:t>
      </w:r>
      <w:r w:rsidRPr="0068380F">
        <w:rPr>
          <w:rFonts w:ascii="Times New Roman" w:hAnsi="Times New Roman" w:cs="Times New Roman"/>
          <w:bCs/>
          <w:sz w:val="24"/>
          <w:szCs w:val="24"/>
        </w:rPr>
        <w:t>Pero los efectos económicos son similares</w:t>
      </w:r>
      <w:r w:rsidRPr="0068380F">
        <w:rPr>
          <w:rFonts w:ascii="Times New Roman" w:hAnsi="Times New Roman" w:cs="Times New Roman"/>
          <w:sz w:val="24"/>
          <w:szCs w:val="24"/>
        </w:rPr>
        <w:t xml:space="preserve">. Desde el punto de vista técnico, se inyecta dinero mediante la compra masiva de titulizaciones hipotecarias denominadas </w:t>
      </w:r>
      <w:r w:rsidR="007852AF">
        <w:rPr>
          <w:rFonts w:ascii="Times New Roman" w:hAnsi="Times New Roman" w:cs="Times New Roman"/>
          <w:sz w:val="24"/>
          <w:szCs w:val="24"/>
        </w:rPr>
        <w:t>“</w:t>
      </w:r>
      <w:r w:rsidRPr="00031595">
        <w:rPr>
          <w:rFonts w:ascii="Times New Roman" w:hAnsi="Times New Roman" w:cs="Times New Roman"/>
          <w:iCs/>
          <w:sz w:val="24"/>
          <w:szCs w:val="24"/>
        </w:rPr>
        <w:t>Mortgage-Backed Securities</w:t>
      </w:r>
      <w:r w:rsidR="007852AF">
        <w:rPr>
          <w:rFonts w:ascii="Times New Roman" w:hAnsi="Times New Roman" w:cs="Times New Roman"/>
          <w:iCs/>
          <w:sz w:val="24"/>
          <w:szCs w:val="24"/>
        </w:rPr>
        <w:t>”</w:t>
      </w:r>
      <w:r w:rsidRPr="0068380F">
        <w:rPr>
          <w:rFonts w:ascii="Times New Roman" w:hAnsi="Times New Roman" w:cs="Times New Roman"/>
          <w:i/>
          <w:iCs/>
          <w:sz w:val="24"/>
          <w:szCs w:val="24"/>
        </w:rPr>
        <w:t xml:space="preserve"> </w:t>
      </w:r>
      <w:r w:rsidRPr="0068380F">
        <w:rPr>
          <w:rFonts w:ascii="Times New Roman" w:hAnsi="Times New Roman" w:cs="Times New Roman"/>
          <w:sz w:val="24"/>
          <w:szCs w:val="24"/>
        </w:rPr>
        <w:t>(MBS). Éstas no son otra cosa que bonos que se emitieron en la época de la burbuja crediticia para financiar grandes paquetes de hipotecas, liberando así los balances de los bancos</w:t>
      </w:r>
      <w:r>
        <w:rPr>
          <w:rFonts w:ascii="Times New Roman" w:hAnsi="Times New Roman" w:cs="Times New Roman"/>
          <w:sz w:val="24"/>
          <w:szCs w:val="24"/>
        </w:rPr>
        <w:t>”..</w:t>
      </w:r>
      <w:r w:rsidRPr="0068380F">
        <w:rPr>
          <w:rFonts w:ascii="Times New Roman" w:hAnsi="Times New Roman" w:cs="Times New Roman"/>
          <w:sz w:val="24"/>
          <w:szCs w:val="24"/>
        </w:rPr>
        <w:t>.</w:t>
      </w:r>
      <w:r>
        <w:rPr>
          <w:rFonts w:ascii="Times New Roman" w:hAnsi="Times New Roman" w:cs="Times New Roman"/>
          <w:sz w:val="24"/>
          <w:szCs w:val="24"/>
        </w:rPr>
        <w:t xml:space="preserve"> </w:t>
      </w:r>
      <w:r w:rsidRPr="00315A64">
        <w:rPr>
          <w:rFonts w:ascii="Times New Roman" w:hAnsi="Times New Roman"/>
          <w:sz w:val="24"/>
          <w:szCs w:val="24"/>
          <w:u w:val="single"/>
        </w:rPr>
        <w:t>El plan de Bernanke: más droga para el drogadicto</w:t>
      </w:r>
      <w:r>
        <w:rPr>
          <w:rFonts w:ascii="Times New Roman" w:hAnsi="Times New Roman"/>
          <w:sz w:val="24"/>
          <w:szCs w:val="24"/>
        </w:rPr>
        <w:t xml:space="preserve"> (El Confidencial - </w:t>
      </w:r>
      <w:r w:rsidRPr="00315A64">
        <w:rPr>
          <w:rFonts w:ascii="Times New Roman" w:hAnsi="Times New Roman"/>
          <w:b/>
          <w:sz w:val="24"/>
          <w:szCs w:val="24"/>
        </w:rPr>
        <w:t>21/9/12</w:t>
      </w:r>
      <w:r>
        <w:rPr>
          <w:rFonts w:ascii="Times New Roman" w:hAnsi="Times New Roman"/>
          <w:sz w:val="24"/>
          <w:szCs w:val="24"/>
        </w:rPr>
        <w:t>)</w:t>
      </w:r>
    </w:p>
    <w:p w:rsidR="00557086" w:rsidRDefault="0068380F"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68380F">
        <w:rPr>
          <w:rFonts w:ascii="Times New Roman" w:eastAsia="Times New Roman" w:hAnsi="Times New Roman"/>
          <w:sz w:val="24"/>
          <w:szCs w:val="24"/>
          <w:lang w:eastAsia="es-ES"/>
        </w:rPr>
        <w:t>Las dos inyecciones de liquidez (QE1 y QE2) y la compra de deuda han incrementado su balance desde 950.000 millones hasta casi 3 billones de dólares. La poca transparencia con la que actúa la Reserva Federal (FED) hace dudar de si sus actuaciones tienen en realidad algún efecto positivo sobre la economía de EEUU</w:t>
      </w:r>
      <w:r>
        <w:rPr>
          <w:rFonts w:ascii="Times New Roman" w:eastAsia="Times New Roman" w:hAnsi="Times New Roman"/>
          <w:sz w:val="24"/>
          <w:szCs w:val="24"/>
          <w:lang w:eastAsia="es-ES"/>
        </w:rPr>
        <w:t>”..</w:t>
      </w:r>
      <w:r w:rsidRPr="0068380F">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2E664A">
        <w:rPr>
          <w:rFonts w:ascii="Times New Roman" w:eastAsia="Times New Roman" w:hAnsi="Times New Roman"/>
          <w:sz w:val="24"/>
          <w:szCs w:val="24"/>
          <w:u w:val="single"/>
          <w:lang w:eastAsia="es-ES"/>
        </w:rPr>
        <w:t xml:space="preserve">La Reserva Federal de EEUU ya </w:t>
      </w:r>
      <w:r w:rsidR="00E07DE4">
        <w:rPr>
          <w:rFonts w:ascii="Times New Roman" w:eastAsia="Times New Roman" w:hAnsi="Times New Roman"/>
          <w:sz w:val="24"/>
          <w:szCs w:val="24"/>
          <w:u w:val="single"/>
          <w:lang w:eastAsia="es-ES"/>
        </w:rPr>
        <w:t>posee 2 billones de dólares en “deuda basura”</w:t>
      </w:r>
      <w:r>
        <w:rPr>
          <w:rFonts w:ascii="Times New Roman" w:eastAsia="Times New Roman" w:hAnsi="Times New Roman"/>
          <w:sz w:val="24"/>
          <w:szCs w:val="24"/>
          <w:lang w:eastAsia="es-ES"/>
        </w:rPr>
        <w:t xml:space="preserve"> (Libertad Digital - </w:t>
      </w:r>
      <w:r w:rsidRPr="002E664A">
        <w:rPr>
          <w:rFonts w:ascii="Times New Roman" w:eastAsia="Times New Roman" w:hAnsi="Times New Roman"/>
          <w:b/>
          <w:sz w:val="24"/>
          <w:szCs w:val="24"/>
          <w:lang w:eastAsia="es-ES"/>
        </w:rPr>
        <w:t>30/9/12</w:t>
      </w:r>
      <w:r>
        <w:rPr>
          <w:rFonts w:ascii="Times New Roman" w:eastAsia="Times New Roman" w:hAnsi="Times New Roman"/>
          <w:sz w:val="24"/>
          <w:szCs w:val="24"/>
          <w:lang w:eastAsia="es-ES"/>
        </w:rPr>
        <w:t>)</w:t>
      </w:r>
    </w:p>
    <w:p w:rsidR="0068380F" w:rsidRDefault="0068380F" w:rsidP="00387350">
      <w:pPr>
        <w:spacing w:line="240" w:lineRule="auto"/>
        <w:jc w:val="both"/>
        <w:rPr>
          <w:rFonts w:ascii="Times New Roman" w:hAnsi="Times New Roman" w:cs="Times New Roman"/>
          <w:sz w:val="24"/>
          <w:szCs w:val="24"/>
        </w:rPr>
      </w:pPr>
      <w:r>
        <w:rPr>
          <w:noProof/>
          <w:lang w:eastAsia="es-ES"/>
        </w:rPr>
        <w:drawing>
          <wp:inline distT="0" distB="0" distL="0" distR="0" wp14:anchorId="3666E787" wp14:editId="24CCE489">
            <wp:extent cx="5398616" cy="2523744"/>
            <wp:effectExtent l="0" t="0" r="0" b="0"/>
            <wp:docPr id="126" name="Imagen 126" descr="fed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edbalance"/>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524410"/>
                    </a:xfrm>
                    <a:prstGeom prst="rect">
                      <a:avLst/>
                    </a:prstGeom>
                    <a:noFill/>
                    <a:ln>
                      <a:noFill/>
                    </a:ln>
                  </pic:spPr>
                </pic:pic>
              </a:graphicData>
            </a:graphic>
          </wp:inline>
        </w:drawing>
      </w:r>
    </w:p>
    <w:p w:rsidR="004B0DED" w:rsidRPr="0068380F" w:rsidRDefault="0068380F" w:rsidP="00387350">
      <w:pPr>
        <w:spacing w:line="240" w:lineRule="auto"/>
        <w:jc w:val="both"/>
        <w:rPr>
          <w:rFonts w:ascii="Times New Roman" w:hAnsi="Times New Roman" w:cs="Times New Roman"/>
          <w:sz w:val="24"/>
          <w:szCs w:val="24"/>
        </w:rPr>
      </w:pPr>
      <w:r>
        <w:rPr>
          <w:noProof/>
          <w:lang w:eastAsia="es-ES"/>
        </w:rPr>
        <w:drawing>
          <wp:inline distT="0" distB="0" distL="0" distR="0" wp14:anchorId="636821FA" wp14:editId="2CEC553B">
            <wp:extent cx="5398617" cy="2611526"/>
            <wp:effectExtent l="0" t="0" r="0" b="0"/>
            <wp:docPr id="180" name="Imagen 180" descr="FED_superlu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FED_superlune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98617" cy="2611526"/>
                    </a:xfrm>
                    <a:prstGeom prst="rect">
                      <a:avLst/>
                    </a:prstGeom>
                    <a:noFill/>
                    <a:ln>
                      <a:noFill/>
                    </a:ln>
                  </pic:spPr>
                </pic:pic>
              </a:graphicData>
            </a:graphic>
          </wp:inline>
        </w:drawing>
      </w:r>
    </w:p>
    <w:p w:rsidR="004B0DED" w:rsidRDefault="004B0DED"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hAnsi="Times New Roman" w:cs="Times New Roman"/>
          <w:sz w:val="24"/>
          <w:szCs w:val="24"/>
        </w:rPr>
        <w:t xml:space="preserve">(Fuente: </w:t>
      </w:r>
      <w:r>
        <w:rPr>
          <w:rFonts w:ascii="Times New Roman" w:eastAsia="Times New Roman" w:hAnsi="Times New Roman"/>
          <w:sz w:val="24"/>
          <w:szCs w:val="24"/>
          <w:lang w:eastAsia="es-ES"/>
        </w:rPr>
        <w:t xml:space="preserve">El Economista - </w:t>
      </w:r>
      <w:r w:rsidRPr="00365171">
        <w:rPr>
          <w:rFonts w:ascii="Times New Roman" w:eastAsia="Times New Roman" w:hAnsi="Times New Roman"/>
          <w:b/>
          <w:sz w:val="24"/>
          <w:szCs w:val="24"/>
          <w:lang w:eastAsia="es-ES"/>
        </w:rPr>
        <w:t>10/12/12</w:t>
      </w:r>
      <w:r>
        <w:rPr>
          <w:rFonts w:ascii="Times New Roman" w:eastAsia="Times New Roman" w:hAnsi="Times New Roman"/>
          <w:sz w:val="24"/>
          <w:szCs w:val="24"/>
          <w:lang w:eastAsia="es-ES"/>
        </w:rPr>
        <w:t>)</w:t>
      </w:r>
    </w:p>
    <w:p w:rsidR="004B0DED" w:rsidRPr="004B0DED" w:rsidRDefault="004B0DED" w:rsidP="00387350">
      <w:pPr>
        <w:pStyle w:val="NormalWeb"/>
        <w:jc w:val="both"/>
      </w:pPr>
      <w:r>
        <w:lastRenderedPageBreak/>
        <w:t>“</w:t>
      </w:r>
      <w:r w:rsidRPr="004B0DED">
        <w:t xml:space="preserve">Lo evidente está por escrito. Los responsables de la Reserva Federal no vieron la gravedad de la crisis que se fraguaba en el sector financiero, como revela, cinco años después, la transcripción de las reuniones que la autoridad monetaria celebró en 2007. O al menos no reconocieron la amplitud del seísmo global que provocó el derrumbe de Lehman Brothers en otoño de 2008 y una crisis financiera y económica de enormes proporciones. </w:t>
      </w:r>
    </w:p>
    <w:p w:rsidR="004B0DED" w:rsidRPr="004B0DED" w:rsidRDefault="004B0DED" w:rsidP="00387350">
      <w:pPr>
        <w:pStyle w:val="NormalWeb"/>
        <w:jc w:val="both"/>
      </w:pPr>
      <w:r w:rsidRPr="004B0DED">
        <w:t>Ben Bernanke, su presidente, ya se encargó de restar dramatismo en sus intervenciones públicas de la época a los problemas que empezaron a aflorar en Bear Stearns, la entidad que meses después tuvo que ser rescatada por JP Morgan Chase con su asistencia. No era un intento por calmar los ánimos. El documento muestra que estuvieron más que lentos al ver lo que pasaba.</w:t>
      </w:r>
    </w:p>
    <w:p w:rsidR="004B0DED" w:rsidRPr="004B0DED" w:rsidRDefault="004B0DED" w:rsidP="00387350">
      <w:pPr>
        <w:pStyle w:val="NormalWeb"/>
        <w:jc w:val="both"/>
      </w:pPr>
      <w:r w:rsidRPr="004B0DED">
        <w:t>Es más, se hablaba en las reuniones de crecimiento moderado y de que lo peor se estaba dejando atrás cuando se referían a la marcha del mercado inmobiliario, donde la corrección de precios ya había comenzado en el verano de 2006. Lo que no fueron capaces de ver a tiempo es que las hipotecas basura habían intoxicado los balances de los grandes bancos del mundo…</w:t>
      </w:r>
    </w:p>
    <w:p w:rsidR="004B0DED" w:rsidRPr="004B0DED" w:rsidRDefault="004B0DED" w:rsidP="00387350">
      <w:pPr>
        <w:pStyle w:val="NormalWeb"/>
        <w:jc w:val="both"/>
      </w:pPr>
      <w:r w:rsidRPr="004B0DED">
        <w:t xml:space="preserve">Timothy Geithner, entonces presidente de la Fed de Nueva York y después convertido en secretario del Tesoro, aseguraba también ese mes que las grandes instituciones de Wall Street estaban bien. “No hay indicios de que estén sufriendo presiones del lado de la financiación”, comentó en una conversación telefónica de emergencia, “el dinero les sigue fluyendo”... </w:t>
      </w:r>
    </w:p>
    <w:p w:rsidR="004B0DED" w:rsidRDefault="004B0DED" w:rsidP="00387350">
      <w:pPr>
        <w:pStyle w:val="p"/>
        <w:jc w:val="both"/>
      </w:pPr>
      <w:r w:rsidRPr="004B0DED">
        <w:t>En diciembre, Janet Yellen, de la de Fed de San Francisco, señaló que veía riesgo de un colapso del crédito y una caída en recesión. Con todo, el propio Bernanke aún seguía despistado: “No espero problemas de solvencia entre las grandes entidades financieras”, decía. Al año siguiente quebró Lehman y el Tesoro rescató a buena parte de los grandes bancos</w:t>
      </w:r>
      <w:r>
        <w:t>”..</w:t>
      </w:r>
      <w:r w:rsidRPr="004B0DED">
        <w:t xml:space="preserve">. </w:t>
      </w:r>
      <w:r w:rsidRPr="00564260">
        <w:rPr>
          <w:u w:val="single"/>
        </w:rPr>
        <w:t>Las actas de la Reserva Federal muestran que no vio venir la gravedad de la crisis</w:t>
      </w:r>
      <w:r w:rsidRPr="00564260">
        <w:t xml:space="preserve"> (El País </w:t>
      </w:r>
      <w:r>
        <w:t xml:space="preserve">- </w:t>
      </w:r>
      <w:r w:rsidRPr="00564260">
        <w:rPr>
          <w:b/>
        </w:rPr>
        <w:t>20/1/13</w:t>
      </w:r>
      <w:r>
        <w:t>)</w:t>
      </w:r>
      <w:r w:rsidRPr="00564260">
        <w:t xml:space="preserve"> </w:t>
      </w:r>
    </w:p>
    <w:p w:rsidR="00787855" w:rsidRPr="00787855" w:rsidRDefault="00787855"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787855">
        <w:rPr>
          <w:rFonts w:ascii="Times New Roman" w:eastAsia="Times New Roman" w:hAnsi="Times New Roman"/>
          <w:sz w:val="24"/>
          <w:szCs w:val="24"/>
          <w:lang w:eastAsia="es-ES"/>
        </w:rPr>
        <w:t xml:space="preserve">El Banco Central Europeo (BCE) ha multiplicado su patrimonio por 2,5 veces desde 2007, mientras que la Reserva Federal estadounidense lo ha hecho en 3,1 veces. El dinero </w:t>
      </w:r>
      <w:r w:rsidRPr="00787855">
        <w:rPr>
          <w:rFonts w:ascii="Times New Roman" w:eastAsia="Times New Roman" w:hAnsi="Times New Roman"/>
          <w:i/>
          <w:iCs/>
          <w:sz w:val="24"/>
          <w:szCs w:val="24"/>
          <w:lang w:eastAsia="es-ES"/>
        </w:rPr>
        <w:t>creado</w:t>
      </w:r>
      <w:r w:rsidRPr="00787855">
        <w:rPr>
          <w:rFonts w:ascii="Times New Roman" w:eastAsia="Times New Roman" w:hAnsi="Times New Roman"/>
          <w:sz w:val="24"/>
          <w:szCs w:val="24"/>
          <w:lang w:eastAsia="es-ES"/>
        </w:rPr>
        <w:t xml:space="preserve"> por las entidades monetarias ha buscado sostener los mercados y la economía…</w:t>
      </w:r>
    </w:p>
    <w:p w:rsidR="00787855" w:rsidRPr="00787855" w:rsidRDefault="00787855" w:rsidP="00387350">
      <w:pPr>
        <w:spacing w:before="100" w:beforeAutospacing="1" w:after="100" w:afterAutospacing="1" w:line="240" w:lineRule="auto"/>
        <w:jc w:val="both"/>
        <w:rPr>
          <w:rFonts w:ascii="Times New Roman" w:eastAsia="Times New Roman" w:hAnsi="Times New Roman"/>
          <w:sz w:val="24"/>
          <w:szCs w:val="24"/>
          <w:lang w:eastAsia="es-ES"/>
        </w:rPr>
      </w:pPr>
      <w:r w:rsidRPr="00787855">
        <w:rPr>
          <w:rFonts w:ascii="Times New Roman" w:eastAsia="Times New Roman" w:hAnsi="Times New Roman"/>
          <w:sz w:val="24"/>
          <w:szCs w:val="24"/>
          <w:lang w:eastAsia="es-ES"/>
        </w:rPr>
        <w:t>Han recurrido a políticas heterodoxas de distinto signo, bien mediante inyecciones de liquidez bancaria, bien con compras directas de deuda pública y privada, unas prácticas nada convencionales que han desembocado en unos balances hipertrofiados, los mayores de siempre. De media, los de los gigantes de la banca central han crecido un 300 por ciento desde agosto de 2007.</w:t>
      </w:r>
    </w:p>
    <w:p w:rsidR="00787855" w:rsidRPr="00787855" w:rsidRDefault="00787855" w:rsidP="00387350">
      <w:pPr>
        <w:spacing w:before="100" w:beforeAutospacing="1" w:after="100" w:afterAutospacing="1" w:line="240" w:lineRule="auto"/>
        <w:jc w:val="both"/>
        <w:rPr>
          <w:rFonts w:ascii="Times New Roman" w:eastAsia="Times New Roman" w:hAnsi="Times New Roman"/>
          <w:sz w:val="24"/>
          <w:szCs w:val="24"/>
          <w:lang w:eastAsia="es-ES"/>
        </w:rPr>
      </w:pPr>
      <w:r w:rsidRPr="00787855">
        <w:rPr>
          <w:rFonts w:ascii="Times New Roman" w:eastAsia="Times New Roman" w:hAnsi="Times New Roman"/>
          <w:bCs/>
          <w:sz w:val="24"/>
          <w:szCs w:val="24"/>
          <w:lang w:eastAsia="es-ES"/>
        </w:rPr>
        <w:t>El más voluminoso de todos -ya lo era antes de la crisis- es el del Banco Central Europeo (BCE)</w:t>
      </w:r>
      <w:r w:rsidRPr="00787855">
        <w:rPr>
          <w:rFonts w:ascii="Times New Roman" w:eastAsia="Times New Roman" w:hAnsi="Times New Roman"/>
          <w:sz w:val="24"/>
          <w:szCs w:val="24"/>
          <w:lang w:eastAsia="es-ES"/>
        </w:rPr>
        <w:t xml:space="preserve">, que ha pasado en este periodo de los 1,19 a los 2,95 billones de euros, con periodos en los que ha superado los tres billones. Proporcionalmente, el que más ha crecido ha sido el de Suiza, puesto que ha engordado desde los 66.500 hasta los 412.000 millones de euros; es decir, se ha multiplicado por 6,2 veces. </w:t>
      </w:r>
    </w:p>
    <w:p w:rsidR="00787855" w:rsidRPr="003543A8" w:rsidRDefault="00787855" w:rsidP="00387350">
      <w:pPr>
        <w:spacing w:before="100" w:beforeAutospacing="1" w:after="100" w:afterAutospacing="1" w:line="240" w:lineRule="auto"/>
        <w:jc w:val="both"/>
        <w:rPr>
          <w:rFonts w:ascii="Times New Roman" w:eastAsia="Times New Roman" w:hAnsi="Times New Roman"/>
          <w:sz w:val="24"/>
          <w:szCs w:val="24"/>
          <w:lang w:eastAsia="es-ES"/>
        </w:rPr>
      </w:pPr>
      <w:r w:rsidRPr="00787855">
        <w:rPr>
          <w:rFonts w:ascii="Times New Roman" w:eastAsia="Times New Roman" w:hAnsi="Times New Roman"/>
          <w:sz w:val="24"/>
          <w:szCs w:val="24"/>
          <w:lang w:eastAsia="es-ES"/>
        </w:rPr>
        <w:lastRenderedPageBreak/>
        <w:t>Por su parte, las entidades que más dinero han creado mediante la compra de deuda en el mercado, la Reserva Federal (Fed) estadounidense y el Banco de Inglaterra, han sobredimensionado sus balances un 214 y un 306 por ciento, respectivamente. El quinto gran banco en discordia, el de Japón, también está ampliando su balance, aunque en su caso se trata de una política que comenzó antes de 2007</w:t>
      </w:r>
      <w:r>
        <w:rPr>
          <w:rFonts w:ascii="Times New Roman" w:eastAsia="Times New Roman" w:hAnsi="Times New Roman"/>
          <w:sz w:val="24"/>
          <w:szCs w:val="24"/>
          <w:lang w:eastAsia="es-ES"/>
        </w:rPr>
        <w:t>”..</w:t>
      </w:r>
      <w:r w:rsidRPr="00787855">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3543A8">
        <w:rPr>
          <w:rFonts w:ascii="Times New Roman" w:eastAsia="Times New Roman" w:hAnsi="Times New Roman"/>
          <w:sz w:val="24"/>
          <w:szCs w:val="24"/>
          <w:u w:val="single"/>
          <w:lang w:eastAsia="es-ES"/>
        </w:rPr>
        <w:t>El balance de los gigantes de la banca central se dispara un 300% en la crisis</w:t>
      </w:r>
      <w:r>
        <w:rPr>
          <w:rFonts w:ascii="Times New Roman" w:eastAsia="Times New Roman" w:hAnsi="Times New Roman"/>
          <w:sz w:val="24"/>
          <w:szCs w:val="24"/>
          <w:lang w:eastAsia="es-ES"/>
        </w:rPr>
        <w:t xml:space="preserve"> (El Economista - </w:t>
      </w:r>
      <w:r w:rsidRPr="003543A8">
        <w:rPr>
          <w:rFonts w:ascii="Times New Roman" w:eastAsia="Times New Roman" w:hAnsi="Times New Roman"/>
          <w:b/>
          <w:sz w:val="24"/>
          <w:szCs w:val="24"/>
          <w:lang w:eastAsia="es-ES"/>
        </w:rPr>
        <w:t>21/1/13</w:t>
      </w:r>
      <w:r>
        <w:rPr>
          <w:rFonts w:ascii="Times New Roman" w:eastAsia="Times New Roman" w:hAnsi="Times New Roman"/>
          <w:sz w:val="24"/>
          <w:szCs w:val="24"/>
          <w:lang w:eastAsia="es-ES"/>
        </w:rPr>
        <w:t>)</w:t>
      </w:r>
    </w:p>
    <w:p w:rsidR="00787855" w:rsidRPr="00787855" w:rsidRDefault="00787855" w:rsidP="00387350">
      <w:pPr>
        <w:pStyle w:val="NormalWeb"/>
        <w:jc w:val="both"/>
      </w:pPr>
      <w:r>
        <w:t>“</w:t>
      </w:r>
      <w:r w:rsidRPr="00787855">
        <w:t>El gobernador del Banco de Japón (BoJ), Haruhiko Kuroda, ha subrayado este martes la voluntad de la institución de utilizar todos los recursos a su disposición para alcanzar el objetivo de inflación del 2%, reforzando así las expectativas de nuevas y significativas medidas de estímulo monetario de cara a la reunión de la entidad esta semana, la primera presidida por Kuroda tras su designación.</w:t>
      </w:r>
    </w:p>
    <w:p w:rsidR="00787855" w:rsidRPr="00787855" w:rsidRDefault="00787855" w:rsidP="00387350">
      <w:pPr>
        <w:pStyle w:val="NormalWeb"/>
        <w:jc w:val="both"/>
      </w:pPr>
      <w:r w:rsidRPr="00787855">
        <w:t>En este sentido, el gobernador del BoJ expresó su intención de alcanzar dicho objetivo de inflación al término de los dos próximos años mediante la adopción de agresivas medidas de estímulo, tanto por el volumen como por el tipo de activos adquiridos.</w:t>
      </w:r>
    </w:p>
    <w:p w:rsidR="00787855" w:rsidRDefault="00787855" w:rsidP="00387350">
      <w:pPr>
        <w:pStyle w:val="NormalWeb"/>
        <w:jc w:val="both"/>
      </w:pPr>
      <w:r>
        <w:t>“</w:t>
      </w:r>
      <w:r w:rsidRPr="00787855">
        <w:t>No es fácil sobreponerse a la deflación, que se ha mantenido en Japón durante 15 años, pero el BoJ utilizará todas las opciones disponibles y hará cualquier cosa necesaria para mostrar a lo</w:t>
      </w:r>
      <w:r>
        <w:t>s mercados su fuerte compromiso”</w:t>
      </w:r>
      <w:r w:rsidRPr="00787855">
        <w:t>, dijo Kuroda en una comparecencia parlamentaria</w:t>
      </w:r>
      <w:r>
        <w:t>”..</w:t>
      </w:r>
      <w:r w:rsidRPr="00787855">
        <w:t>.</w:t>
      </w:r>
      <w:r>
        <w:t xml:space="preserve"> </w:t>
      </w:r>
      <w:r w:rsidRPr="002456D6">
        <w:rPr>
          <w:u w:val="single"/>
        </w:rPr>
        <w:t>El Banco de Japón asegura que usará todos los medios a su disposición para superar la deflación</w:t>
      </w:r>
      <w:r>
        <w:t xml:space="preserve"> (Expansión - </w:t>
      </w:r>
      <w:r w:rsidRPr="002456D6">
        <w:rPr>
          <w:b/>
        </w:rPr>
        <w:t>2/4/13</w:t>
      </w:r>
      <w:r>
        <w:t>)</w:t>
      </w:r>
    </w:p>
    <w:p w:rsidR="00787855" w:rsidRDefault="00787855" w:rsidP="003873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87855">
        <w:rPr>
          <w:rFonts w:ascii="Times New Roman" w:hAnsi="Times New Roman" w:cs="Times New Roman"/>
          <w:sz w:val="24"/>
          <w:szCs w:val="24"/>
        </w:rPr>
        <w:t>El Banco de Japón, que desde hace mucho ha sido el más conservador de los grandes bancos centrales, de repente ha salido a la ofensiva. Por ejemplo, su nuevo programa de compra de bonos, como porcentaje del Producto Interno Bruto, supera en más de 60% las adquisiciones mensuales de la Fed de deuda del Tesoro y valores respaldados por hipotecas, programa conocido como relajación cuantitativa</w:t>
      </w:r>
      <w:r>
        <w:rPr>
          <w:rFonts w:ascii="Times New Roman" w:hAnsi="Times New Roman" w:cs="Times New Roman"/>
          <w:sz w:val="24"/>
          <w:szCs w:val="24"/>
        </w:rPr>
        <w:t>”..</w:t>
      </w:r>
      <w:r w:rsidRPr="00787855">
        <w:rPr>
          <w:rFonts w:ascii="Times New Roman" w:hAnsi="Times New Roman" w:cs="Times New Roman"/>
          <w:sz w:val="24"/>
          <w:szCs w:val="24"/>
        </w:rPr>
        <w:t>.</w:t>
      </w:r>
      <w:r>
        <w:rPr>
          <w:rFonts w:ascii="Times New Roman" w:hAnsi="Times New Roman" w:cs="Times New Roman"/>
          <w:sz w:val="24"/>
          <w:szCs w:val="24"/>
        </w:rPr>
        <w:t xml:space="preserve"> </w:t>
      </w:r>
      <w:r w:rsidRPr="008C4901">
        <w:rPr>
          <w:rFonts w:ascii="Times New Roman" w:hAnsi="Times New Roman" w:cs="Times New Roman"/>
          <w:sz w:val="24"/>
          <w:szCs w:val="24"/>
          <w:u w:val="single"/>
        </w:rPr>
        <w:t>El Banco de Japón aplica a su economía la receta de la Fed</w:t>
      </w:r>
      <w:r>
        <w:rPr>
          <w:rFonts w:ascii="Times New Roman" w:hAnsi="Times New Roman" w:cs="Times New Roman"/>
          <w:sz w:val="24"/>
          <w:szCs w:val="24"/>
        </w:rPr>
        <w:t xml:space="preserve"> (The Wall Street Journal - </w:t>
      </w:r>
      <w:r w:rsidRPr="008C4901">
        <w:rPr>
          <w:rFonts w:ascii="Times New Roman" w:hAnsi="Times New Roman" w:cs="Times New Roman"/>
          <w:b/>
          <w:sz w:val="24"/>
          <w:szCs w:val="24"/>
        </w:rPr>
        <w:t>4/4/13</w:t>
      </w:r>
      <w:r>
        <w:rPr>
          <w:rFonts w:ascii="Times New Roman" w:hAnsi="Times New Roman" w:cs="Times New Roman"/>
          <w:sz w:val="24"/>
          <w:szCs w:val="24"/>
        </w:rPr>
        <w:t>)</w:t>
      </w:r>
      <w:r w:rsidRPr="008C4901">
        <w:rPr>
          <w:rFonts w:ascii="Times New Roman" w:hAnsi="Times New Roman" w:cs="Times New Roman"/>
          <w:sz w:val="24"/>
          <w:szCs w:val="24"/>
        </w:rPr>
        <w:t xml:space="preserve"> </w:t>
      </w:r>
    </w:p>
    <w:p w:rsidR="00787855" w:rsidRDefault="00787855" w:rsidP="00387350">
      <w:pPr>
        <w:spacing w:line="240" w:lineRule="auto"/>
        <w:jc w:val="both"/>
        <w:rPr>
          <w:rFonts w:ascii="Times New Roman" w:hAnsi="Times New Roman" w:cs="Times New Roman"/>
          <w:sz w:val="24"/>
          <w:szCs w:val="24"/>
        </w:rPr>
      </w:pPr>
      <w:r>
        <w:rPr>
          <w:rFonts w:ascii="Arial" w:hAnsi="Arial" w:cs="Arial"/>
          <w:noProof/>
          <w:color w:val="000000"/>
          <w:sz w:val="11"/>
          <w:szCs w:val="11"/>
          <w:lang w:eastAsia="es-ES"/>
        </w:rPr>
        <w:drawing>
          <wp:inline distT="0" distB="0" distL="0" distR="0" wp14:anchorId="018E7102" wp14:editId="50921286">
            <wp:extent cx="5400040" cy="2430780"/>
            <wp:effectExtent l="0" t="0" r="0" b="7620"/>
            <wp:docPr id="54" name="Imagen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09" cstate="print"/>
                    <a:srcRect/>
                    <a:stretch>
                      <a:fillRect/>
                    </a:stretch>
                  </pic:blipFill>
                  <pic:spPr bwMode="auto">
                    <a:xfrm>
                      <a:off x="0" y="0"/>
                      <a:ext cx="5400040" cy="2430780"/>
                    </a:xfrm>
                    <a:prstGeom prst="rect">
                      <a:avLst/>
                    </a:prstGeom>
                    <a:noFill/>
                    <a:ln w="9525">
                      <a:noFill/>
                      <a:miter lim="800000"/>
                      <a:headEnd/>
                      <a:tailEnd/>
                    </a:ln>
                  </pic:spPr>
                </pic:pic>
              </a:graphicData>
            </a:graphic>
          </wp:inline>
        </w:drawing>
      </w:r>
    </w:p>
    <w:p w:rsidR="00787855" w:rsidRPr="005D1E93" w:rsidRDefault="005D1E93" w:rsidP="00387350">
      <w:pPr>
        <w:spacing w:before="100" w:beforeAutospacing="1" w:after="100" w:afterAutospacing="1" w:line="240" w:lineRule="auto"/>
        <w:jc w:val="both"/>
        <w:rPr>
          <w:rFonts w:ascii="Times New Roman" w:eastAsia="Times New Roman" w:hAnsi="Times New Roman" w:cs="Times New Roman"/>
          <w:sz w:val="24"/>
          <w:szCs w:val="24"/>
        </w:rPr>
      </w:pPr>
      <w:r w:rsidRPr="005D1E93">
        <w:rPr>
          <w:rFonts w:ascii="Times New Roman" w:eastAsia="Times New Roman" w:hAnsi="Times New Roman" w:cs="Times New Roman"/>
          <w:sz w:val="24"/>
          <w:szCs w:val="24"/>
        </w:rPr>
        <w:t>“</w:t>
      </w:r>
      <w:r w:rsidR="00787855" w:rsidRPr="005D1E93">
        <w:rPr>
          <w:rFonts w:ascii="Times New Roman" w:eastAsia="Times New Roman" w:hAnsi="Times New Roman" w:cs="Times New Roman"/>
          <w:sz w:val="24"/>
          <w:szCs w:val="24"/>
        </w:rPr>
        <w:t xml:space="preserve">Las bajadas de las primas de riesgo generalizadas no son consecuencia de las exitosas políticas de nuestros gobiernos. Hemos visto como todas las estimaciones económicas han ido revisándose a la baja en los últimos meses. Es </w:t>
      </w:r>
      <w:r w:rsidR="00787855" w:rsidRPr="005D1E93">
        <w:rPr>
          <w:rFonts w:ascii="Times New Roman" w:eastAsia="Times New Roman" w:hAnsi="Times New Roman" w:cs="Times New Roman"/>
          <w:bCs/>
          <w:sz w:val="24"/>
          <w:szCs w:val="24"/>
        </w:rPr>
        <w:t>la “fiebre del bono”, que ocurre en todo el mundo</w:t>
      </w:r>
      <w:r w:rsidR="00787855" w:rsidRPr="005D1E93">
        <w:rPr>
          <w:rFonts w:ascii="Times New Roman" w:eastAsia="Times New Roman" w:hAnsi="Times New Roman" w:cs="Times New Roman"/>
          <w:sz w:val="24"/>
          <w:szCs w:val="24"/>
        </w:rPr>
        <w:t xml:space="preserve">… </w:t>
      </w:r>
    </w:p>
    <w:p w:rsidR="00787855" w:rsidRPr="005D1E93" w:rsidRDefault="00787855" w:rsidP="00387350">
      <w:pPr>
        <w:spacing w:before="100" w:beforeAutospacing="1" w:after="100" w:afterAutospacing="1" w:line="240" w:lineRule="auto"/>
        <w:jc w:val="both"/>
        <w:rPr>
          <w:rFonts w:ascii="Times New Roman" w:eastAsia="Times New Roman" w:hAnsi="Times New Roman" w:cs="Times New Roman"/>
          <w:sz w:val="24"/>
          <w:szCs w:val="24"/>
        </w:rPr>
      </w:pPr>
      <w:r w:rsidRPr="005D1E93">
        <w:rPr>
          <w:rFonts w:ascii="Times New Roman" w:eastAsia="Times New Roman" w:hAnsi="Times New Roman" w:cs="Times New Roman"/>
          <w:sz w:val="24"/>
          <w:szCs w:val="24"/>
        </w:rPr>
        <w:lastRenderedPageBreak/>
        <w:t xml:space="preserve">Los tipos bajos crean una carrera ciega a “buscar rentabilidad”, que siempre acaba mal. </w:t>
      </w:r>
      <w:r w:rsidRPr="005D1E93">
        <w:rPr>
          <w:rFonts w:ascii="Times New Roman" w:eastAsia="Times New Roman" w:hAnsi="Times New Roman" w:cs="Times New Roman"/>
          <w:bCs/>
          <w:sz w:val="24"/>
          <w:szCs w:val="24"/>
        </w:rPr>
        <w:t xml:space="preserve">Porque incentiva a los emisores a descuidarse y pensar que todo va bien </w:t>
      </w:r>
      <w:r w:rsidRPr="005D1E93">
        <w:rPr>
          <w:rFonts w:ascii="Times New Roman" w:eastAsia="Times New Roman" w:hAnsi="Times New Roman" w:cs="Times New Roman"/>
          <w:sz w:val="24"/>
          <w:szCs w:val="24"/>
        </w:rPr>
        <w:t xml:space="preserve">y anima, a su vez, a los bancos e inversores a cerrar los ojos y aceptar riesgos antes inaceptables. Luego, el destrozo lo paga usted. Porque vuelven los rescates y los “too big to fail”. Cortesía de los bancos centrales y sus políticas expansivas. </w:t>
      </w:r>
    </w:p>
    <w:p w:rsidR="00787855" w:rsidRPr="005D1E93" w:rsidRDefault="00787855" w:rsidP="00387350">
      <w:pPr>
        <w:spacing w:before="100" w:beforeAutospacing="1" w:after="100" w:afterAutospacing="1" w:line="240" w:lineRule="auto"/>
        <w:jc w:val="both"/>
        <w:rPr>
          <w:rFonts w:ascii="Times New Roman" w:eastAsia="Times New Roman" w:hAnsi="Times New Roman" w:cs="Times New Roman"/>
          <w:sz w:val="24"/>
          <w:szCs w:val="24"/>
        </w:rPr>
      </w:pPr>
      <w:r w:rsidRPr="005D1E93">
        <w:rPr>
          <w:rFonts w:ascii="Times New Roman" w:eastAsia="Times New Roman" w:hAnsi="Times New Roman" w:cs="Times New Roman"/>
          <w:sz w:val="24"/>
          <w:szCs w:val="24"/>
        </w:rPr>
        <w:t xml:space="preserve">Da la impresión de que </w:t>
      </w:r>
      <w:r w:rsidRPr="005D1E93">
        <w:rPr>
          <w:rFonts w:ascii="Times New Roman" w:eastAsia="Times New Roman" w:hAnsi="Times New Roman" w:cs="Times New Roman"/>
          <w:bCs/>
          <w:sz w:val="24"/>
          <w:szCs w:val="24"/>
        </w:rPr>
        <w:t>nuestros bancos centrales y estados no quieren evitar otra burbuja. Quieren replicarla.</w:t>
      </w:r>
    </w:p>
    <w:p w:rsidR="00787855" w:rsidRPr="00391C0A" w:rsidRDefault="00787855" w:rsidP="00387350">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S"/>
        </w:rPr>
        <w:drawing>
          <wp:inline distT="0" distB="0" distL="0" distR="0" wp14:anchorId="0EDD6C63" wp14:editId="5F93B867">
            <wp:extent cx="5186476" cy="2318918"/>
            <wp:effectExtent l="0" t="0" r="0" b="5715"/>
            <wp:docPr id="86" name="Imagen 86" descr="http://www.cotizalia.com/archivos/cz/2013051040l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otizalia.com/archivos/cz/2013051040la-1.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186680" cy="2319009"/>
                    </a:xfrm>
                    <a:prstGeom prst="rect">
                      <a:avLst/>
                    </a:prstGeom>
                    <a:noFill/>
                    <a:ln>
                      <a:noFill/>
                    </a:ln>
                  </pic:spPr>
                </pic:pic>
              </a:graphicData>
            </a:graphic>
          </wp:inline>
        </w:drawing>
      </w:r>
    </w:p>
    <w:p w:rsidR="005D1E93" w:rsidRDefault="005D1E93" w:rsidP="00387350">
      <w:pPr>
        <w:spacing w:line="240" w:lineRule="auto"/>
        <w:jc w:val="both"/>
        <w:rPr>
          <w:rFonts w:ascii="Times New Roman" w:hAnsi="Times New Roman" w:cs="Times New Roman"/>
          <w:sz w:val="24"/>
          <w:szCs w:val="24"/>
        </w:rPr>
      </w:pPr>
      <w:r>
        <w:rPr>
          <w:rFonts w:ascii="Times New Roman" w:eastAsia="Times New Roman" w:hAnsi="Times New Roman" w:cs="Times New Roman"/>
          <w:noProof/>
          <w:sz w:val="24"/>
          <w:szCs w:val="24"/>
          <w:lang w:eastAsia="es-ES"/>
        </w:rPr>
        <w:drawing>
          <wp:inline distT="0" distB="0" distL="0" distR="0" wp14:anchorId="4116283A" wp14:editId="0A1206A0">
            <wp:extent cx="5398770" cy="2186940"/>
            <wp:effectExtent l="0" t="0" r="0" b="381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8770" cy="2186940"/>
                    </a:xfrm>
                    <a:prstGeom prst="rect">
                      <a:avLst/>
                    </a:prstGeom>
                    <a:noFill/>
                    <a:ln>
                      <a:noFill/>
                    </a:ln>
                  </pic:spPr>
                </pic:pic>
              </a:graphicData>
            </a:graphic>
          </wp:inline>
        </w:drawing>
      </w:r>
    </w:p>
    <w:p w:rsidR="005D1E93" w:rsidRDefault="005D1E93" w:rsidP="00387350">
      <w:pPr>
        <w:spacing w:line="240" w:lineRule="auto"/>
        <w:jc w:val="both"/>
        <w:rPr>
          <w:rFonts w:ascii="Times New Roman" w:hAnsi="Times New Roman" w:cs="Times New Roman"/>
          <w:sz w:val="24"/>
          <w:szCs w:val="24"/>
        </w:rPr>
      </w:pPr>
      <w:r>
        <w:rPr>
          <w:rFonts w:ascii="Times New Roman" w:eastAsia="Times New Roman" w:hAnsi="Times New Roman" w:cs="Times New Roman"/>
          <w:noProof/>
          <w:sz w:val="24"/>
          <w:szCs w:val="24"/>
          <w:lang w:eastAsia="es-ES"/>
        </w:rPr>
        <w:drawing>
          <wp:inline distT="0" distB="0" distL="0" distR="0" wp14:anchorId="7094DB86" wp14:editId="19B694C0">
            <wp:extent cx="5186475" cy="2260396"/>
            <wp:effectExtent l="0" t="0" r="0" b="6985"/>
            <wp:docPr id="88" name="Imagen 88" descr="http://www.cotizalia.com/archivos/cz/2013051080l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otizalia.com/archivos/cz/2013051080la-3.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186680" cy="2260485"/>
                    </a:xfrm>
                    <a:prstGeom prst="rect">
                      <a:avLst/>
                    </a:prstGeom>
                    <a:noFill/>
                    <a:ln>
                      <a:noFill/>
                    </a:ln>
                  </pic:spPr>
                </pic:pic>
              </a:graphicData>
            </a:graphic>
          </wp:inline>
        </w:drawing>
      </w:r>
    </w:p>
    <w:p w:rsidR="005D1E93" w:rsidRPr="005D1E93" w:rsidRDefault="005D1E93" w:rsidP="00387350">
      <w:pPr>
        <w:spacing w:before="100" w:beforeAutospacing="1" w:after="100" w:afterAutospacing="1" w:line="240" w:lineRule="auto"/>
        <w:jc w:val="both"/>
        <w:rPr>
          <w:rFonts w:ascii="Times New Roman" w:eastAsia="Times New Roman" w:hAnsi="Times New Roman" w:cs="Times New Roman"/>
          <w:sz w:val="24"/>
          <w:szCs w:val="24"/>
        </w:rPr>
      </w:pPr>
      <w:r w:rsidRPr="005D1E93">
        <w:rPr>
          <w:rFonts w:ascii="Times New Roman" w:eastAsia="Times New Roman" w:hAnsi="Times New Roman" w:cs="Times New Roman"/>
          <w:sz w:val="24"/>
          <w:szCs w:val="24"/>
        </w:rPr>
        <w:lastRenderedPageBreak/>
        <w:t>Esto lleva a acumular riesgo</w:t>
      </w:r>
      <w:r>
        <w:rPr>
          <w:rFonts w:ascii="Times New Roman" w:eastAsia="Times New Roman" w:hAnsi="Times New Roman" w:cs="Times New Roman"/>
          <w:sz w:val="24"/>
          <w:szCs w:val="24"/>
        </w:rPr>
        <w:t>, aumentando el apalancamiento -</w:t>
      </w:r>
      <w:r w:rsidRPr="005D1E93">
        <w:rPr>
          <w:rFonts w:ascii="Times New Roman" w:eastAsia="Times New Roman" w:hAnsi="Times New Roman" w:cs="Times New Roman"/>
          <w:sz w:val="24"/>
          <w:szCs w:val="24"/>
        </w:rPr>
        <w:t xml:space="preserve">deuda- y aceptando activos de peor calidad a cambio de rentabilidades inferiores. </w:t>
      </w:r>
    </w:p>
    <w:p w:rsidR="005D1E93" w:rsidRDefault="005D1E93" w:rsidP="00387350">
      <w:pPr>
        <w:spacing w:line="240" w:lineRule="auto"/>
        <w:jc w:val="both"/>
        <w:rPr>
          <w:rFonts w:ascii="Times New Roman" w:hAnsi="Times New Roman" w:cs="Times New Roman"/>
          <w:sz w:val="24"/>
          <w:szCs w:val="24"/>
        </w:rPr>
      </w:pPr>
      <w:r w:rsidRPr="005D1E93">
        <w:rPr>
          <w:rFonts w:ascii="Times New Roman" w:eastAsia="Times New Roman" w:hAnsi="Times New Roman" w:cs="Times New Roman"/>
          <w:bCs/>
          <w:sz w:val="24"/>
          <w:szCs w:val="24"/>
        </w:rPr>
        <w:t>La cuestión no es “cómo termina”, que ya lo hemos visto en 2001 y 2007, sino “cuándo”</w:t>
      </w:r>
      <w:r>
        <w:rPr>
          <w:rFonts w:ascii="Times New Roman" w:eastAsia="Times New Roman" w:hAnsi="Times New Roman" w:cs="Times New Roman"/>
          <w:bCs/>
          <w:sz w:val="24"/>
          <w:szCs w:val="24"/>
        </w:rPr>
        <w:t xml:space="preserve">… </w:t>
      </w:r>
      <w:r w:rsidRPr="00391C0A">
        <w:rPr>
          <w:rFonts w:ascii="Times New Roman" w:hAnsi="Times New Roman" w:cs="Times New Roman"/>
          <w:sz w:val="24"/>
          <w:szCs w:val="24"/>
          <w:u w:val="single"/>
        </w:rPr>
        <w:t>La Gran Burbuja</w:t>
      </w:r>
      <w:r>
        <w:rPr>
          <w:rFonts w:ascii="Times New Roman" w:hAnsi="Times New Roman" w:cs="Times New Roman"/>
          <w:sz w:val="24"/>
          <w:szCs w:val="24"/>
        </w:rPr>
        <w:t xml:space="preserve"> (El Confidencial - </w:t>
      </w:r>
      <w:r w:rsidRPr="00391C0A">
        <w:rPr>
          <w:rFonts w:ascii="Times New Roman" w:hAnsi="Times New Roman" w:cs="Times New Roman"/>
          <w:b/>
          <w:sz w:val="24"/>
          <w:szCs w:val="24"/>
        </w:rPr>
        <w:t>11/5/13</w:t>
      </w:r>
      <w:r>
        <w:rPr>
          <w:rFonts w:ascii="Times New Roman" w:hAnsi="Times New Roman" w:cs="Times New Roman"/>
          <w:sz w:val="24"/>
          <w:szCs w:val="24"/>
        </w:rPr>
        <w:t>)</w:t>
      </w:r>
    </w:p>
    <w:p w:rsidR="005D1E93" w:rsidRDefault="005D1E93" w:rsidP="00387350">
      <w:pPr>
        <w:spacing w:line="240" w:lineRule="auto"/>
        <w:jc w:val="both"/>
        <w:rPr>
          <w:rFonts w:ascii="Times New Roman" w:hAnsi="Times New Roman" w:cs="Times New Roman"/>
          <w:sz w:val="24"/>
          <w:szCs w:val="24"/>
        </w:rPr>
      </w:pPr>
      <w:r>
        <w:rPr>
          <w:noProof/>
          <w:lang w:eastAsia="es-ES"/>
        </w:rPr>
        <w:drawing>
          <wp:inline distT="0" distB="0" distL="0" distR="0" wp14:anchorId="0C7540FA" wp14:editId="094A6548">
            <wp:extent cx="5400040" cy="4035434"/>
            <wp:effectExtent l="0" t="0" r="0" b="3175"/>
            <wp:docPr id="104" name="Imagen 104" descr="http://www.cotizalia.com/archivos/cz/2013061867reserva-nacio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otizalia.com/archivos/cz/2013061867reserva-nacional.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00040" cy="4035434"/>
                    </a:xfrm>
                    <a:prstGeom prst="rect">
                      <a:avLst/>
                    </a:prstGeom>
                    <a:noFill/>
                    <a:ln>
                      <a:noFill/>
                    </a:ln>
                  </pic:spPr>
                </pic:pic>
              </a:graphicData>
            </a:graphic>
          </wp:inline>
        </w:drawing>
      </w:r>
    </w:p>
    <w:p w:rsidR="005D1E93" w:rsidRDefault="005D1E93" w:rsidP="00387350">
      <w:pPr>
        <w:spacing w:line="240" w:lineRule="auto"/>
        <w:jc w:val="both"/>
        <w:rPr>
          <w:rFonts w:ascii="Times New Roman" w:hAnsi="Times New Roman" w:cs="Times New Roman"/>
          <w:b/>
          <w:color w:val="000000"/>
          <w:sz w:val="24"/>
          <w:szCs w:val="24"/>
        </w:rPr>
      </w:pPr>
      <w:r>
        <w:rPr>
          <w:rFonts w:ascii="Times New Roman" w:hAnsi="Times New Roman" w:cs="Times New Roman"/>
          <w:sz w:val="24"/>
          <w:szCs w:val="24"/>
        </w:rPr>
        <w:t xml:space="preserve">(Fuente: </w:t>
      </w:r>
      <w:r w:rsidRPr="005D1E93">
        <w:rPr>
          <w:rFonts w:ascii="Times New Roman" w:hAnsi="Times New Roman" w:cs="Times New Roman"/>
          <w:color w:val="000000"/>
          <w:sz w:val="24"/>
          <w:szCs w:val="24"/>
        </w:rPr>
        <w:t xml:space="preserve">El Confidencial - </w:t>
      </w:r>
      <w:r w:rsidRPr="005D1E93">
        <w:rPr>
          <w:rFonts w:ascii="Times New Roman" w:hAnsi="Times New Roman" w:cs="Times New Roman"/>
          <w:b/>
          <w:color w:val="000000"/>
          <w:sz w:val="24"/>
          <w:szCs w:val="24"/>
        </w:rPr>
        <w:t>19/6/13</w:t>
      </w:r>
      <w:r>
        <w:rPr>
          <w:rFonts w:ascii="Times New Roman" w:hAnsi="Times New Roman" w:cs="Times New Roman"/>
          <w:b/>
          <w:color w:val="000000"/>
          <w:sz w:val="24"/>
          <w:szCs w:val="24"/>
        </w:rPr>
        <w:t>)</w:t>
      </w:r>
    </w:p>
    <w:p w:rsidR="005D1E93" w:rsidRDefault="005D1E93" w:rsidP="00387350">
      <w:pPr>
        <w:spacing w:line="240" w:lineRule="auto"/>
        <w:jc w:val="both"/>
        <w:rPr>
          <w:rFonts w:ascii="Times New Roman" w:hAnsi="Times New Roman" w:cs="Times New Roman"/>
          <w:b/>
          <w:color w:val="000000"/>
          <w:sz w:val="24"/>
          <w:szCs w:val="24"/>
        </w:rPr>
      </w:pPr>
    </w:p>
    <w:p w:rsidR="005D1E93" w:rsidRDefault="005D1E93" w:rsidP="00387350">
      <w:pPr>
        <w:spacing w:line="240" w:lineRule="auto"/>
        <w:jc w:val="both"/>
        <w:rPr>
          <w:rFonts w:ascii="Times New Roman" w:hAnsi="Times New Roman" w:cs="Times New Roman"/>
          <w:sz w:val="24"/>
          <w:szCs w:val="24"/>
        </w:rPr>
      </w:pPr>
      <w:r>
        <w:rPr>
          <w:noProof/>
          <w:lang w:eastAsia="es-ES"/>
        </w:rPr>
        <w:drawing>
          <wp:inline distT="0" distB="0" distL="0" distR="0" wp14:anchorId="061C1FF3" wp14:editId="000267E0">
            <wp:extent cx="5398617" cy="2509113"/>
            <wp:effectExtent l="0" t="0" r="0" b="5715"/>
            <wp:docPr id="135" name="Imagen 135" descr="http://s.libertaddigital.com/fotos/noticias/grab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libertaddigital.com/fotos/noticias/grabc1.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400040" cy="2509774"/>
                    </a:xfrm>
                    <a:prstGeom prst="rect">
                      <a:avLst/>
                    </a:prstGeom>
                    <a:noFill/>
                    <a:ln>
                      <a:noFill/>
                    </a:ln>
                  </pic:spPr>
                </pic:pic>
              </a:graphicData>
            </a:graphic>
          </wp:inline>
        </w:drawing>
      </w:r>
    </w:p>
    <w:p w:rsidR="005D1E93" w:rsidRDefault="005D1E93" w:rsidP="00387350">
      <w:pPr>
        <w:spacing w:line="240" w:lineRule="auto"/>
        <w:jc w:val="both"/>
        <w:rPr>
          <w:rFonts w:ascii="Times New Roman" w:hAnsi="Times New Roman" w:cs="Times New Roman"/>
          <w:sz w:val="24"/>
          <w:szCs w:val="24"/>
        </w:rPr>
      </w:pPr>
    </w:p>
    <w:p w:rsidR="005D1E93" w:rsidRDefault="005D1E93" w:rsidP="00387350">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757B17F" wp14:editId="7A414D05">
            <wp:extent cx="5400040" cy="4333875"/>
            <wp:effectExtent l="0" t="0" r="0" b="9525"/>
            <wp:docPr id="136" name="Imagen 136" descr="http://s.libertaddigital.com/fotos/noticias/grab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libertaddigital.com/fotos/noticias/grabc2.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00040" cy="4333875"/>
                    </a:xfrm>
                    <a:prstGeom prst="rect">
                      <a:avLst/>
                    </a:prstGeom>
                    <a:noFill/>
                    <a:ln>
                      <a:noFill/>
                    </a:ln>
                  </pic:spPr>
                </pic:pic>
              </a:graphicData>
            </a:graphic>
          </wp:inline>
        </w:drawing>
      </w:r>
    </w:p>
    <w:p w:rsidR="005D1E93" w:rsidRPr="000F756D" w:rsidRDefault="005D1E93" w:rsidP="00387350">
      <w:pPr>
        <w:shd w:val="clear" w:color="auto" w:fill="FFFFFF"/>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 xml:space="preserve">(Fuente: </w:t>
      </w:r>
      <w:r>
        <w:rPr>
          <w:rFonts w:ascii="Times New Roman" w:eastAsia="Times New Roman" w:hAnsi="Times New Roman" w:cs="Times New Roman"/>
          <w:sz w:val="24"/>
          <w:szCs w:val="24"/>
        </w:rPr>
        <w:t xml:space="preserve">(Libertad Digital - </w:t>
      </w:r>
      <w:r w:rsidRPr="00A831D9">
        <w:rPr>
          <w:rFonts w:ascii="Times New Roman" w:eastAsia="Times New Roman" w:hAnsi="Times New Roman" w:cs="Times New Roman"/>
          <w:b/>
          <w:sz w:val="24"/>
          <w:szCs w:val="24"/>
        </w:rPr>
        <w:t>1/7/13</w:t>
      </w:r>
      <w:r>
        <w:rPr>
          <w:rFonts w:ascii="Times New Roman" w:eastAsia="Times New Roman" w:hAnsi="Times New Roman" w:cs="Times New Roman"/>
          <w:sz w:val="24"/>
          <w:szCs w:val="24"/>
        </w:rPr>
        <w:t>)</w:t>
      </w:r>
    </w:p>
    <w:p w:rsidR="005D1E93" w:rsidRDefault="005D1E93" w:rsidP="00387350">
      <w:pPr>
        <w:spacing w:line="240" w:lineRule="auto"/>
        <w:jc w:val="both"/>
        <w:rPr>
          <w:rFonts w:ascii="Times New Roman" w:hAnsi="Times New Roman" w:cs="Times New Roman"/>
          <w:sz w:val="24"/>
          <w:szCs w:val="24"/>
        </w:rPr>
      </w:pPr>
    </w:p>
    <w:p w:rsidR="00211209" w:rsidRDefault="00211209"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211209">
        <w:rPr>
          <w:rFonts w:ascii="Times New Roman" w:eastAsia="Times New Roman" w:hAnsi="Times New Roman" w:cs="Times New Roman"/>
          <w:sz w:val="24"/>
          <w:szCs w:val="24"/>
        </w:rPr>
        <w:t>“De nuevo los bancos centrales son protagonistas, y esta vez no han decepcionado. Si la semana pasada fue el presidente del Banco Central Europeo (BCE), Mario Draghi, el que alegró a los mercados al asegurar que está dispuesto a bajar más los tipos de interés, un mensaje que ha ratificado el boletín mensual de julio de la entidad, publicado hoy, en las últimas horas han sido la Reserva Federal (Fed) de Estados Unidos y el Banco de Japón (BOJ) los que han animado a los inversores. En definitiva, las tres autoridades monetarias coinciden en que las políticas de estímulo monetario están para quedarse durante más tiempo”…</w:t>
      </w:r>
      <w:r>
        <w:rPr>
          <w:rFonts w:ascii="Times New Roman" w:eastAsia="Times New Roman" w:hAnsi="Times New Roman" w:cs="Times New Roman"/>
          <w:sz w:val="24"/>
          <w:szCs w:val="24"/>
        </w:rPr>
        <w:t xml:space="preserve"> </w:t>
      </w:r>
      <w:r w:rsidRPr="000B03FC">
        <w:rPr>
          <w:rFonts w:ascii="Times New Roman" w:eastAsia="Times New Roman" w:hAnsi="Times New Roman" w:cs="Times New Roman"/>
          <w:sz w:val="24"/>
          <w:szCs w:val="24"/>
          <w:u w:val="single"/>
        </w:rPr>
        <w:t>Los bancos centrales se alinean para garantizar estímulos más tiempo</w:t>
      </w:r>
      <w:r>
        <w:rPr>
          <w:rFonts w:ascii="Times New Roman" w:eastAsia="Times New Roman" w:hAnsi="Times New Roman" w:cs="Times New Roman"/>
          <w:sz w:val="24"/>
          <w:szCs w:val="24"/>
        </w:rPr>
        <w:t xml:space="preserve"> (Cinco Días - </w:t>
      </w:r>
      <w:r>
        <w:rPr>
          <w:rFonts w:ascii="Times New Roman" w:eastAsia="Times New Roman" w:hAnsi="Times New Roman" w:cs="Times New Roman"/>
          <w:b/>
          <w:sz w:val="24"/>
          <w:szCs w:val="24"/>
        </w:rPr>
        <w:t>11</w:t>
      </w:r>
      <w:r w:rsidRPr="000B03FC">
        <w:rPr>
          <w:rFonts w:ascii="Times New Roman" w:eastAsia="Times New Roman" w:hAnsi="Times New Roman" w:cs="Times New Roman"/>
          <w:b/>
          <w:sz w:val="24"/>
          <w:szCs w:val="24"/>
        </w:rPr>
        <w:t>/7/13</w:t>
      </w:r>
      <w:r>
        <w:rPr>
          <w:rFonts w:ascii="Times New Roman" w:eastAsia="Times New Roman" w:hAnsi="Times New Roman" w:cs="Times New Roman"/>
          <w:sz w:val="24"/>
          <w:szCs w:val="24"/>
        </w:rPr>
        <w:t>)</w:t>
      </w:r>
    </w:p>
    <w:p w:rsidR="008B3730" w:rsidRDefault="008B3730" w:rsidP="00387350">
      <w:pPr>
        <w:shd w:val="clear" w:color="auto" w:fill="FFFFFF"/>
        <w:spacing w:before="100" w:beforeAutospacing="1" w:after="100" w:afterAutospacing="1" w:line="240" w:lineRule="auto"/>
        <w:jc w:val="both"/>
        <w:rPr>
          <w:rFonts w:ascii="Times New Roman" w:hAnsi="Times New Roman" w:cs="Times New Roman"/>
          <w:b/>
          <w:sz w:val="24"/>
          <w:szCs w:val="24"/>
        </w:rPr>
      </w:pPr>
      <w:r>
        <w:rPr>
          <w:rFonts w:ascii="Times New Roman" w:eastAsia="Times New Roman" w:hAnsi="Times New Roman" w:cs="Times New Roman"/>
          <w:b/>
          <w:sz w:val="24"/>
          <w:szCs w:val="24"/>
        </w:rPr>
        <w:t xml:space="preserve">“Tinta fresca”: últimos acontecimientos al “cierre” de la edición </w:t>
      </w:r>
      <w:r w:rsidR="007852AF">
        <w:rPr>
          <w:rFonts w:ascii="Times New Roman" w:hAnsi="Times New Roman" w:cs="Times New Roman"/>
          <w:b/>
          <w:sz w:val="24"/>
          <w:szCs w:val="24"/>
        </w:rPr>
        <w:t>(de hemeroteca 4º Trimestre</w:t>
      </w:r>
      <w:r>
        <w:rPr>
          <w:rFonts w:ascii="Times New Roman" w:hAnsi="Times New Roman" w:cs="Times New Roman"/>
          <w:b/>
          <w:sz w:val="24"/>
          <w:szCs w:val="24"/>
        </w:rPr>
        <w:t xml:space="preserve"> 2013)</w:t>
      </w:r>
    </w:p>
    <w:p w:rsidR="008B3730" w:rsidRPr="000B711D" w:rsidRDefault="008B3730" w:rsidP="00387350">
      <w:pPr>
        <w:pStyle w:val="NormalWeb"/>
        <w:jc w:val="both"/>
        <w:rPr>
          <w:rStyle w:val="Textoennegrita"/>
          <w:b w:val="0"/>
        </w:rPr>
      </w:pPr>
      <w:r w:rsidRPr="007852AF">
        <w:rPr>
          <w:rStyle w:val="Textoennegrita"/>
          <w:b w:val="0"/>
        </w:rPr>
        <w:t>-</w:t>
      </w:r>
      <w:r w:rsidRPr="000B711D">
        <w:rPr>
          <w:rStyle w:val="Textoennegrita"/>
        </w:rPr>
        <w:t xml:space="preserve"> </w:t>
      </w:r>
      <w:r w:rsidRPr="008B3730">
        <w:rPr>
          <w:rStyle w:val="Textoennegrita"/>
          <w:b w:val="0"/>
          <w:u w:val="single"/>
        </w:rPr>
        <w:t>Draghi “está preparado” para servir otra “superronda” de dinero a los bancos</w:t>
      </w:r>
      <w:r w:rsidRPr="008B3730">
        <w:rPr>
          <w:rStyle w:val="Textoennegrita"/>
          <w:b w:val="0"/>
        </w:rPr>
        <w:t xml:space="preserve"> (El Confidencial</w:t>
      </w:r>
      <w:r w:rsidRPr="000B711D">
        <w:rPr>
          <w:rStyle w:val="Textoennegrita"/>
        </w:rPr>
        <w:t xml:space="preserve"> </w:t>
      </w:r>
      <w:r w:rsidRPr="008B3730">
        <w:rPr>
          <w:rStyle w:val="Textoennegrita"/>
          <w:b w:val="0"/>
        </w:rPr>
        <w:t>-</w:t>
      </w:r>
      <w:r w:rsidRPr="000B711D">
        <w:rPr>
          <w:rStyle w:val="Textoennegrita"/>
        </w:rPr>
        <w:t xml:space="preserve"> 3/10/13)</w:t>
      </w:r>
    </w:p>
    <w:p w:rsidR="008B3730" w:rsidRDefault="008B3730" w:rsidP="00387350">
      <w:pPr>
        <w:pStyle w:val="NormalWeb"/>
        <w:jc w:val="both"/>
        <w:rPr>
          <w:bCs/>
        </w:rPr>
      </w:pPr>
      <w:r w:rsidRPr="000B711D">
        <w:t>París bien vale una reunión de política monetaria. Allí, en la capital francesa, el presidente del Banco Central Europeo (BCE), Mario Draghi, acaba de confirmar que los tipos de interés continuarán</w:t>
      </w:r>
      <w:r>
        <w:t xml:space="preserve"> en mínimos históricos durante “un largo periodo de tiempo”</w:t>
      </w:r>
      <w:r w:rsidRPr="000B711D">
        <w:t xml:space="preserve">. Es más, ha confirmado, como viene haciendo desde julio, que incluso podrían bajar más. Por el momento, hoy los ha mantenido en el 0,5%, el nivel más reducido de siempre. Tampoco ha tocado los intereses de la facilidad de depósito, que permanecen </w:t>
      </w:r>
      <w:r w:rsidRPr="000B711D">
        <w:lastRenderedPageBreak/>
        <w:t xml:space="preserve">en el 0% en el que están desde julio de 2011. Es más, el banquero italiano ha reconocido que el Consejo de Gobierno del BCE ha discutido hoy la posibilidad de recortar los tipos. Y que </w:t>
      </w:r>
      <w:r>
        <w:t>“</w:t>
      </w:r>
      <w:r w:rsidRPr="000B711D">
        <w:t>no excluye ninguna opción para ac</w:t>
      </w:r>
      <w:r>
        <w:t>tuar en los mercados monetarios”</w:t>
      </w:r>
      <w:r w:rsidRPr="000B711D">
        <w:t xml:space="preserve"> y que </w:t>
      </w:r>
      <w:r>
        <w:rPr>
          <w:bCs/>
        </w:rPr>
        <w:t>“</w:t>
      </w:r>
      <w:r w:rsidRPr="000B711D">
        <w:rPr>
          <w:bCs/>
        </w:rPr>
        <w:t>está preparado p</w:t>
      </w:r>
      <w:r>
        <w:rPr>
          <w:bCs/>
        </w:rPr>
        <w:t>ara actuar cuando sea necesario” con el propósito de evitar “un accidente de liquidez”</w:t>
      </w:r>
      <w:r w:rsidRPr="000B711D">
        <w:rPr>
          <w:bCs/>
        </w:rPr>
        <w:t xml:space="preserve"> que pueda dañar la recuperación.</w:t>
      </w:r>
    </w:p>
    <w:p w:rsidR="008B3730" w:rsidRPr="00322770" w:rsidRDefault="008B3730" w:rsidP="00387350">
      <w:pPr>
        <w:pStyle w:val="NormalWeb"/>
        <w:jc w:val="both"/>
        <w:rPr>
          <w:rStyle w:val="Textoennegrita"/>
          <w:b w:val="0"/>
        </w:rPr>
      </w:pPr>
      <w:r w:rsidRPr="007852AF">
        <w:rPr>
          <w:rStyle w:val="Textoennegrita"/>
          <w:b w:val="0"/>
        </w:rPr>
        <w:t>-</w:t>
      </w:r>
      <w:r w:rsidRPr="000B711D">
        <w:rPr>
          <w:rStyle w:val="Textoennegrita"/>
        </w:rPr>
        <w:t xml:space="preserve"> </w:t>
      </w:r>
      <w:r w:rsidRPr="008B3730">
        <w:rPr>
          <w:rStyle w:val="Textoennegrita"/>
          <w:b w:val="0"/>
          <w:u w:val="single"/>
        </w:rPr>
        <w:t>La continua inyección de dinero devaluará más al yen</w:t>
      </w:r>
      <w:r w:rsidRPr="008B3730">
        <w:rPr>
          <w:rStyle w:val="Textoennegrita"/>
          <w:b w:val="0"/>
        </w:rPr>
        <w:t xml:space="preserve"> (El Economista</w:t>
      </w:r>
      <w:r w:rsidRPr="000B711D">
        <w:rPr>
          <w:rStyle w:val="Textoennegrita"/>
        </w:rPr>
        <w:t xml:space="preserve"> </w:t>
      </w:r>
      <w:r w:rsidRPr="008B3730">
        <w:rPr>
          <w:rStyle w:val="Textoennegrita"/>
          <w:b w:val="0"/>
        </w:rPr>
        <w:t>-</w:t>
      </w:r>
      <w:r w:rsidRPr="000B711D">
        <w:rPr>
          <w:rStyle w:val="Textoennegrita"/>
        </w:rPr>
        <w:t xml:space="preserve"> 4/10/13)</w:t>
      </w:r>
    </w:p>
    <w:p w:rsidR="008B3730" w:rsidRPr="00AD137C" w:rsidRDefault="008B3730" w:rsidP="00387350">
      <w:pPr>
        <w:spacing w:before="100" w:beforeAutospacing="1" w:after="100" w:afterAutospacing="1" w:line="240" w:lineRule="auto"/>
        <w:jc w:val="both"/>
        <w:rPr>
          <w:rFonts w:ascii="Times New Roman" w:eastAsia="Times New Roman" w:hAnsi="Times New Roman" w:cs="Times New Roman"/>
          <w:sz w:val="24"/>
          <w:szCs w:val="24"/>
        </w:rPr>
      </w:pPr>
      <w:r w:rsidRPr="00AD137C">
        <w:rPr>
          <w:rFonts w:ascii="Times New Roman" w:eastAsia="Times New Roman" w:hAnsi="Times New Roman" w:cs="Times New Roman"/>
          <w:sz w:val="24"/>
          <w:szCs w:val="24"/>
        </w:rPr>
        <w:t xml:space="preserve">El </w:t>
      </w:r>
      <w:r w:rsidRPr="003A2F36">
        <w:rPr>
          <w:rFonts w:ascii="Times New Roman" w:eastAsia="Times New Roman" w:hAnsi="Times New Roman" w:cs="Times New Roman"/>
          <w:i/>
          <w:sz w:val="24"/>
          <w:szCs w:val="24"/>
        </w:rPr>
        <w:t>“</w:t>
      </w:r>
      <w:r w:rsidRPr="003A2F36">
        <w:rPr>
          <w:rFonts w:ascii="Times New Roman" w:eastAsia="Times New Roman" w:hAnsi="Times New Roman" w:cs="Times New Roman"/>
          <w:iCs/>
          <w:sz w:val="24"/>
          <w:szCs w:val="24"/>
        </w:rPr>
        <w:t>Abenomics”</w:t>
      </w:r>
      <w:r w:rsidRPr="00AD137C">
        <w:rPr>
          <w:rFonts w:ascii="Times New Roman" w:eastAsia="Times New Roman" w:hAnsi="Times New Roman" w:cs="Times New Roman"/>
          <w:i/>
          <w:iCs/>
          <w:sz w:val="24"/>
          <w:szCs w:val="24"/>
        </w:rPr>
        <w:t xml:space="preserve"> </w:t>
      </w:r>
      <w:r w:rsidRPr="00AD137C">
        <w:rPr>
          <w:rFonts w:ascii="Times New Roman" w:eastAsia="Times New Roman" w:hAnsi="Times New Roman" w:cs="Times New Roman"/>
          <w:sz w:val="24"/>
          <w:szCs w:val="24"/>
        </w:rPr>
        <w:t>todavía no ha acabado. Este es el nombre popular que se ha dado a la estrategia económica adoptada por el presidente de Japón, Shinzo Abe, desde su llegada a la presidencia a finales de 2012. En este periodo ha puesto en marcha una política muy expansiva, tanto desde el punto de vista fiscal como monetario, con el objetivo de llevar al país a una senda de crecimiento sostenido... Y todavía queda mucho recorrido hasta que el Banco de Japón consiga doblar su base monetaria, o un nivel de inflación de entre el 1 y el 2%, por lo que la inyección de liquidez de la entidad podría continuar durante más tiempo.</w:t>
      </w:r>
    </w:p>
    <w:p w:rsidR="008B3730" w:rsidRDefault="008B3730" w:rsidP="00387350">
      <w:pPr>
        <w:pStyle w:val="NormalWeb"/>
        <w:jc w:val="both"/>
      </w:pPr>
      <w:r>
        <w:t xml:space="preserve">- </w:t>
      </w:r>
      <w:r w:rsidRPr="004D1777">
        <w:rPr>
          <w:u w:val="single"/>
        </w:rPr>
        <w:t xml:space="preserve">Janet Yellen no </w:t>
      </w:r>
      <w:r>
        <w:rPr>
          <w:u w:val="single"/>
        </w:rPr>
        <w:t>anticipó la crisis financiera: “No vi nada hasta que sucedió”</w:t>
      </w:r>
      <w:r>
        <w:t xml:space="preserve"> (Libertad Digital - </w:t>
      </w:r>
      <w:r w:rsidRPr="004D1777">
        <w:rPr>
          <w:b/>
        </w:rPr>
        <w:t>10/10/13</w:t>
      </w:r>
      <w:r>
        <w:t>)</w:t>
      </w:r>
    </w:p>
    <w:p w:rsidR="008B3730" w:rsidRPr="008B3730" w:rsidRDefault="008B3730" w:rsidP="00387350">
      <w:pPr>
        <w:pStyle w:val="NormalWeb"/>
        <w:jc w:val="both"/>
        <w:rPr>
          <w:rStyle w:val="Textoennegrita"/>
          <w:b w:val="0"/>
        </w:rPr>
      </w:pPr>
      <w:r w:rsidRPr="00AD137C">
        <w:t>La futura presidenta de la FED admite que no vio venir la crisis. De hecho, en 2007, en pleno derrumbe inmobiliario, no atisbaba recesión…</w:t>
      </w:r>
      <w:r>
        <w:t xml:space="preserve"> </w:t>
      </w:r>
      <w:hyperlink r:id="rId116" w:tgtFrame="_blank" w:history="1">
        <w:r w:rsidRPr="008B3730">
          <w:rPr>
            <w:rStyle w:val="Textoennegrita"/>
            <w:b w:val="0"/>
          </w:rPr>
          <w:t>En 2010</w:t>
        </w:r>
      </w:hyperlink>
      <w:r w:rsidRPr="008B3730">
        <w:rPr>
          <w:b/>
        </w:rPr>
        <w:t>,</w:t>
      </w:r>
      <w:r w:rsidRPr="008B3730">
        <w:t xml:space="preserve"> durante su comparecencia ante la </w:t>
      </w:r>
      <w:r w:rsidRPr="008B3730">
        <w:rPr>
          <w:rStyle w:val="Textoennegrita"/>
          <w:b w:val="0"/>
        </w:rPr>
        <w:t>Comisión de Investigación</w:t>
      </w:r>
      <w:r w:rsidRPr="008B3730">
        <w:t xml:space="preserve"> sobre la Crisis Financiera en el Congreso de EEUU, afirmó lo siguiente: Por mi parte, </w:t>
      </w:r>
      <w:r w:rsidRPr="008B3730">
        <w:rPr>
          <w:rStyle w:val="Textoennegrita"/>
          <w:b w:val="0"/>
        </w:rPr>
        <w:t>no vi ni aprecié cuáles eran los riesgos</w:t>
      </w:r>
      <w:r w:rsidRPr="008B3730">
        <w:t xml:space="preserve"> sobre la titulización (de hipotecas subprime), las agencias de rating, la banca en la sombra, los SIV (productos estructurados) (…) </w:t>
      </w:r>
      <w:r w:rsidRPr="008B3730">
        <w:rPr>
          <w:rStyle w:val="Textoennegrita"/>
          <w:b w:val="0"/>
        </w:rPr>
        <w:t>Yo no vi venir nada de eso hasta que sucedió.</w:t>
      </w:r>
    </w:p>
    <w:p w:rsidR="008B3730" w:rsidRPr="00924EE0" w:rsidRDefault="008B3730" w:rsidP="00387350">
      <w:pPr>
        <w:pStyle w:val="NormalWeb"/>
        <w:jc w:val="both"/>
      </w:pPr>
      <w:r w:rsidRPr="00924EE0">
        <w:t xml:space="preserve">- </w:t>
      </w:r>
      <w:r w:rsidRPr="00566736">
        <w:rPr>
          <w:u w:val="single"/>
        </w:rPr>
        <w:t>El círculo vicioso entre estados y bancos sigue presente</w:t>
      </w:r>
      <w:r w:rsidRPr="00924EE0">
        <w:t xml:space="preserve"> (Expansión - WSJ Europe - </w:t>
      </w:r>
      <w:r w:rsidRPr="00924EE0">
        <w:rPr>
          <w:b/>
        </w:rPr>
        <w:t>14/10/13</w:t>
      </w:r>
      <w:r w:rsidRPr="00924EE0">
        <w:t xml:space="preserve">) </w:t>
      </w:r>
    </w:p>
    <w:p w:rsidR="008B3730" w:rsidRDefault="008B3730" w:rsidP="00387350">
      <w:pPr>
        <w:pStyle w:val="NormalWeb"/>
        <w:jc w:val="both"/>
      </w:pPr>
      <w:r w:rsidRPr="00AD137C">
        <w:t>Puede que los balances de los bancos se estén reduciendo, pero las entidades cada vez compran más bonos del Estado. La deuda soberana representaba el 5,6% de los activos totales de los bancos de la eurozona a finales de agosto, frente al 4,2% al acabar 2011, según los datos del Banco Central Europeo. En los países en dificultades, las cifras son más dramáticas. Los bancos italianos tienen en la actualidad el 10,1% de sus activos en deuda gubernamental nacional; en España, la ratio asciende al 9,0%. Las fuertes compras de bonos de los bancos han ayudado a reducir la rentabilidad de la deuda soberana en esos países. Pero esto implica que el denominado “círculo vicioso” entre los bancos y los gobiernos dista de estar roto. El propio BCE es en parte el culpable. Inyectó miles de millones de euros de financiación a medio plazo en los bancos a finales de 2011 a través de su operación de refinanciación a largo plazo (LTRO). Los bancos de países en una situación complicada como España e Italia usaron esos fondos para acumular deuda gubernamental nacional con altos rendimientos, una rentable operación de “carry trade”.</w:t>
      </w:r>
    </w:p>
    <w:p w:rsidR="007852AF" w:rsidRDefault="007852AF" w:rsidP="00387350">
      <w:pPr>
        <w:pStyle w:val="NormalWeb"/>
        <w:jc w:val="both"/>
      </w:pPr>
    </w:p>
    <w:p w:rsidR="007852AF" w:rsidRDefault="007852AF" w:rsidP="00387350">
      <w:pPr>
        <w:pStyle w:val="NormalWeb"/>
        <w:jc w:val="both"/>
      </w:pPr>
    </w:p>
    <w:p w:rsidR="007852AF" w:rsidRDefault="008B3730" w:rsidP="00387350">
      <w:pPr>
        <w:pStyle w:val="NormalWeb"/>
        <w:jc w:val="both"/>
      </w:pPr>
      <w:r>
        <w:lastRenderedPageBreak/>
        <w:t xml:space="preserve">- </w:t>
      </w:r>
      <w:r w:rsidRPr="00DF4678">
        <w:rPr>
          <w:u w:val="single"/>
        </w:rPr>
        <w:t>La Fed y otras agencias públicas acaparan el 40% de la deuda estadounidense</w:t>
      </w:r>
      <w:r>
        <w:t xml:space="preserve"> (El Confidencial - </w:t>
      </w:r>
      <w:r w:rsidRPr="00DF4678">
        <w:rPr>
          <w:b/>
        </w:rPr>
        <w:t>15/10/13</w:t>
      </w:r>
      <w:r>
        <w:t>)</w:t>
      </w:r>
    </w:p>
    <w:p w:rsidR="008B3730" w:rsidRDefault="008B3730" w:rsidP="00387350">
      <w:pPr>
        <w:pStyle w:val="NormalWeb"/>
        <w:jc w:val="both"/>
      </w:pPr>
      <w:r w:rsidRPr="00AD137C">
        <w:t xml:space="preserve">Todo queda en casa. Y si no todo, al menos una porción importante. Porque algo más del 40% de la deuda pública estadounidense en circulación está en manos de la Reserva Federal (Fed) y otras agencias u organismos públicos de la mayor economía del mundo. Por tanto, si Estados Unidos acaba incurriendo en una suspensión de pagos porque no amplía el límite de la deuda que puede emitir, situado ahora en los 16,7 billones de dólares, los cimientos financieros públicos norteamericanos temblarán por partida doble: el Tesoro lo hará porque no tendrá dinero para pagar los compromisos financieros adquiridos y la Fed y las otras agencias porque poseen casi 7 billones de dólares en títulos en sus balances. Más concretamente, y según los datos del Departamento del Tesoro, los brazos financieros de distintos organismos públicos estadounidenses tenían, con fecha 10 de octubre, </w:t>
      </w:r>
      <w:r w:rsidRPr="00AE55C3">
        <w:rPr>
          <w:rStyle w:val="Textoennegrita"/>
          <w:b w:val="0"/>
        </w:rPr>
        <w:t>4,81 billones de dólares en total</w:t>
      </w:r>
      <w:r w:rsidRPr="00AD137C">
        <w:t xml:space="preserve">. A partir de ahí, y ya de forma individual, emerge la figura de la Fed, que en estos momentos es el mayor tenedor de deuda pública estadounidense. Ningún otro inversor -público o privado; sea un país o una gestora- atesora tanto </w:t>
      </w:r>
      <w:r w:rsidR="00AE55C3">
        <w:t>“</w:t>
      </w:r>
      <w:r w:rsidRPr="003A2F36">
        <w:rPr>
          <w:rStyle w:val="nfasis"/>
          <w:i w:val="0"/>
        </w:rPr>
        <w:t>papel”</w:t>
      </w:r>
      <w:r w:rsidRPr="003A2F36">
        <w:rPr>
          <w:i/>
        </w:rPr>
        <w:t>.</w:t>
      </w:r>
    </w:p>
    <w:p w:rsidR="008B3730" w:rsidRDefault="008B3730" w:rsidP="00387350">
      <w:pPr>
        <w:pStyle w:val="NormalWeb"/>
        <w:jc w:val="both"/>
      </w:pPr>
      <w:r w:rsidRPr="006C5A18">
        <w:t xml:space="preserve">- </w:t>
      </w:r>
      <w:r w:rsidRPr="006C5A18">
        <w:rPr>
          <w:u w:val="single"/>
        </w:rPr>
        <w:t>Las mentes cautivas de la Reserva Federal</w:t>
      </w:r>
      <w:r w:rsidRPr="006C5A18">
        <w:tab/>
      </w:r>
      <w:r>
        <w:t xml:space="preserve">(L. Zingales - Project Syndicate - </w:t>
      </w:r>
      <w:r w:rsidRPr="006C5A18">
        <w:rPr>
          <w:b/>
        </w:rPr>
        <w:t>15/10/13</w:t>
      </w:r>
      <w:r>
        <w:t>)</w:t>
      </w:r>
    </w:p>
    <w:p w:rsidR="008B3730" w:rsidRDefault="008B3730" w:rsidP="00387350">
      <w:pPr>
        <w:pStyle w:val="NormalWeb"/>
        <w:jc w:val="both"/>
      </w:pPr>
      <w:r w:rsidRPr="00870F56">
        <w:t>En su intento por salvar del colapso al sistema financiero (y, más adelante, tratar de impulsar la recuperación económica), la Fed ha impulsado políticas muy activas: tasas de interés cercanas a cero, programas masivos de compras de activos, remuneración de las reservas de los bancos, y así siguiendo. Si bien en parte han logrado estimular la economía, estas políticas han tenido grandes efectos redistributivos: desde los pequeños ahorristas hacia los bancos, desde los propietarios de viviendas ahogados por las deudas hacia los inversionistas ricos, desde los jubilados hacia los financistas.</w:t>
      </w:r>
    </w:p>
    <w:p w:rsidR="008B3730" w:rsidRDefault="008B3730" w:rsidP="00387350">
      <w:pPr>
        <w:pStyle w:val="NormalWeb"/>
        <w:jc w:val="both"/>
      </w:pPr>
      <w:r>
        <w:t xml:space="preserve">- </w:t>
      </w:r>
      <w:r w:rsidRPr="00BE3E5C">
        <w:rPr>
          <w:u w:val="single"/>
        </w:rPr>
        <w:t>Alan Greenspan: Qué salió mal en la crisis financiera</w:t>
      </w:r>
      <w:r>
        <w:t xml:space="preserve"> (The Wall Street Journal - </w:t>
      </w:r>
      <w:r w:rsidRPr="00BE3E5C">
        <w:rPr>
          <w:b/>
        </w:rPr>
        <w:t>21/10/13</w:t>
      </w:r>
      <w:r>
        <w:t>)</w:t>
      </w:r>
    </w:p>
    <w:p w:rsidR="008B3730" w:rsidRDefault="008B3730" w:rsidP="00387350">
      <w:pPr>
        <w:pStyle w:val="NormalWeb"/>
        <w:jc w:val="both"/>
      </w:pPr>
      <w:r>
        <w:t xml:space="preserve">En su nuevo libro </w:t>
      </w:r>
      <w:r w:rsidRPr="007852AF">
        <w:rPr>
          <w:i/>
        </w:rPr>
        <w:t>“The map and the territory”</w:t>
      </w:r>
      <w:r>
        <w:t xml:space="preserve"> (que traducido sería “</w:t>
      </w:r>
      <w:r w:rsidRPr="00870F56">
        <w:t>El mapa y el territorio</w:t>
      </w:r>
      <w:r>
        <w:t>”</w:t>
      </w:r>
      <w:r w:rsidRPr="00870F56">
        <w:t>) el cual sa</w:t>
      </w:r>
      <w:r>
        <w:t>ldrá a la venta el martes en EEUU</w:t>
      </w:r>
      <w:r w:rsidRPr="00870F56">
        <w:t>, Greenspan, de 87 años, explora lo que ha salido mal en la política y la economía estadounidense… Indica que está desconcertado por toda la culpa que le echan encima. Desde la recesión, los críticos han dicho que la mayor oferta de dinero y las bajas tasas de interés durante su mandato en la Fed de 1987 a 2006 llevaron inversiones que se convirtieron en burbujas. Greenspan dice que escuchó esa teoría por primera vez en 2007 cuando John Taylor, un profesor de economía en la Universidad de Stanford que ha asesorado a republicanos, vinculó al dinero fáci</w:t>
      </w:r>
      <w:r>
        <w:t>l con la burbuja inmobiliaria. “</w:t>
      </w:r>
      <w:r w:rsidRPr="00870F56">
        <w:t xml:space="preserve">No tuvo absolutamente nada que </w:t>
      </w:r>
      <w:r>
        <w:t>ver con la burbuja inmobiliaria”, apunta. “Eso es ridículo”</w:t>
      </w:r>
      <w:r w:rsidRPr="00870F56">
        <w:t xml:space="preserve">. </w:t>
      </w:r>
    </w:p>
    <w:p w:rsidR="008B3730" w:rsidRDefault="008B3730" w:rsidP="00387350">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w:t>
      </w:r>
      <w:r w:rsidRPr="008D0451">
        <w:rPr>
          <w:rFonts w:ascii="Times New Roman" w:eastAsia="Times New Roman" w:hAnsi="Times New Roman" w:cs="Times New Roman"/>
          <w:sz w:val="24"/>
          <w:szCs w:val="24"/>
          <w:u w:val="single"/>
        </w:rPr>
        <w:t>Me niego a pedi</w:t>
      </w:r>
      <w:r>
        <w:rPr>
          <w:rFonts w:ascii="Times New Roman" w:eastAsia="Times New Roman" w:hAnsi="Times New Roman" w:cs="Times New Roman"/>
          <w:sz w:val="24"/>
          <w:szCs w:val="24"/>
          <w:u w:val="single"/>
        </w:rPr>
        <w:t>r disculpas por no ser Superman”</w:t>
      </w:r>
      <w:r w:rsidRPr="008D0451">
        <w:rPr>
          <w:rFonts w:ascii="Times New Roman" w:eastAsia="Times New Roman" w:hAnsi="Times New Roman" w:cs="Times New Roman"/>
          <w:sz w:val="24"/>
          <w:szCs w:val="24"/>
          <w:u w:val="single"/>
        </w:rPr>
        <w:t>: Alan Greenspan se defiende</w:t>
      </w:r>
      <w:r>
        <w:rPr>
          <w:rFonts w:ascii="Times New Roman" w:eastAsia="Times New Roman" w:hAnsi="Times New Roman" w:cs="Times New Roman"/>
          <w:sz w:val="24"/>
          <w:szCs w:val="24"/>
        </w:rPr>
        <w:t xml:space="preserve"> (El Economista - </w:t>
      </w:r>
      <w:r w:rsidRPr="008D0451">
        <w:rPr>
          <w:rFonts w:ascii="Times New Roman" w:eastAsia="Times New Roman" w:hAnsi="Times New Roman" w:cs="Times New Roman"/>
          <w:b/>
          <w:sz w:val="24"/>
          <w:szCs w:val="24"/>
        </w:rPr>
        <w:t>23/10/13</w:t>
      </w:r>
      <w:r>
        <w:rPr>
          <w:rFonts w:ascii="Times New Roman" w:eastAsia="Times New Roman" w:hAnsi="Times New Roman" w:cs="Times New Roman"/>
          <w:sz w:val="24"/>
          <w:szCs w:val="24"/>
        </w:rPr>
        <w:t>)</w:t>
      </w:r>
    </w:p>
    <w:p w:rsidR="008B3730" w:rsidRPr="00AE55C3" w:rsidRDefault="008B3730" w:rsidP="00387350">
      <w:pPr>
        <w:pStyle w:val="NormalWeb"/>
        <w:jc w:val="both"/>
      </w:pPr>
      <w:r w:rsidRPr="00870F56">
        <w:t xml:space="preserve">“No voy a disculparme, lo hice lo mejor que pude”. El expresidente de la Reserva Federal de Estados Unidos Alan Greenspan prefiere hacer caso omiso a las críticas recibidas desde distintos frentes por su gestión como jefe del banco central de EEUU y su falta de previsión económica. “Me niego a pedir disculpas por no ser Superman”, señala Greenspan en declaraciones a </w:t>
      </w:r>
      <w:r w:rsidRPr="003A2F36">
        <w:rPr>
          <w:iCs/>
        </w:rPr>
        <w:t>Bloomberg TV</w:t>
      </w:r>
      <w:r w:rsidRPr="00870F56">
        <w:t xml:space="preserve">. La última de estas críticas </w:t>
      </w:r>
      <w:hyperlink r:id="rId117" w:history="1">
        <w:r w:rsidRPr="00AE55C3">
          <w:rPr>
            <w:rStyle w:val="Hipervnculo"/>
            <w:color w:val="auto"/>
            <w:u w:val="none"/>
          </w:rPr>
          <w:t xml:space="preserve">ha </w:t>
        </w:r>
        <w:r w:rsidRPr="00AE55C3">
          <w:rPr>
            <w:rStyle w:val="Hipervnculo"/>
            <w:color w:val="auto"/>
            <w:u w:val="none"/>
          </w:rPr>
          <w:lastRenderedPageBreak/>
          <w:t>llegado del premio Nobel de Economía Paul Krugman</w:t>
        </w:r>
      </w:hyperlink>
      <w:r w:rsidRPr="00870F56">
        <w:t xml:space="preserve">, quien ha calificado al expresidente de la Fed, cargo que ocupó desde mediados de 1987 hasta enero de 2006, como “el peor ex banquero central del mundo”. Las predicciones de Greenspan han sido equivocadas desde el inicio de la crisis, señalaba hace unos días Krugman en su blog del </w:t>
      </w:r>
      <w:r w:rsidRPr="003A2F36">
        <w:rPr>
          <w:iCs/>
        </w:rPr>
        <w:t>New York Times</w:t>
      </w:r>
      <w:r w:rsidRPr="003A2F36">
        <w:t>.</w:t>
      </w:r>
    </w:p>
    <w:p w:rsidR="008B3730"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A43A0D">
        <w:rPr>
          <w:rFonts w:ascii="Times New Roman" w:hAnsi="Times New Roman"/>
          <w:sz w:val="24"/>
          <w:szCs w:val="24"/>
          <w:u w:val="single"/>
        </w:rPr>
        <w:t>Burbujas en la sopa</w:t>
      </w:r>
      <w:r>
        <w:rPr>
          <w:rFonts w:ascii="Times New Roman" w:hAnsi="Times New Roman"/>
          <w:sz w:val="24"/>
          <w:szCs w:val="24"/>
        </w:rPr>
        <w:t xml:space="preserve"> (</w:t>
      </w:r>
      <w:r w:rsidRPr="00D43663">
        <w:rPr>
          <w:rFonts w:ascii="Times New Roman" w:hAnsi="Times New Roman"/>
          <w:sz w:val="24"/>
          <w:szCs w:val="24"/>
        </w:rPr>
        <w:t>Nouriel Roubini</w:t>
      </w:r>
      <w:r>
        <w:rPr>
          <w:rFonts w:ascii="Times New Roman" w:hAnsi="Times New Roman"/>
          <w:sz w:val="24"/>
          <w:szCs w:val="24"/>
        </w:rPr>
        <w:t xml:space="preserve"> - Project Syndicate - </w:t>
      </w:r>
      <w:r w:rsidRPr="00A43A0D">
        <w:rPr>
          <w:rFonts w:ascii="Times New Roman" w:hAnsi="Times New Roman"/>
          <w:b/>
          <w:sz w:val="24"/>
          <w:szCs w:val="24"/>
        </w:rPr>
        <w:t>31/10/13</w:t>
      </w:r>
      <w:r>
        <w:rPr>
          <w:rFonts w:ascii="Times New Roman" w:hAnsi="Times New Roman"/>
          <w:sz w:val="24"/>
          <w:szCs w:val="24"/>
        </w:rPr>
        <w:t>)</w:t>
      </w:r>
    </w:p>
    <w:p w:rsidR="008B3730" w:rsidRDefault="008B3730" w:rsidP="00387350">
      <w:pPr>
        <w:spacing w:line="240" w:lineRule="auto"/>
        <w:jc w:val="both"/>
        <w:rPr>
          <w:rFonts w:ascii="Times New Roman" w:hAnsi="Times New Roman"/>
          <w:sz w:val="24"/>
          <w:szCs w:val="24"/>
        </w:rPr>
      </w:pPr>
      <w:r w:rsidRPr="00577410">
        <w:rPr>
          <w:rFonts w:ascii="Times New Roman" w:hAnsi="Times New Roman"/>
          <w:sz w:val="24"/>
          <w:szCs w:val="24"/>
        </w:rPr>
        <w:t>Mientras el crecimiento del PBI, inferior a su tendencia previa, y el elevado desempleo continúan afectando a las economías más avanzadas, sus bancos centrales han recurrido cada vez más a políticas monetarias no convencionales. Las medidas se sirvieron cual una sopa de letras: PTIC (política de tasa de interés cero); FC (flexibilización cuantitativa, o compras de bonos gubernamentales para reducir las tasas de largo plazo cuando las tasas de referencia de corto plazo son cero); FCr (flexibilización del crédito, o compras de activos privados orientadas a reducir el costo del capital para el sector privado); y OBPF (orientación basada en promesas sobre el futuro, o el compromiso de mantener la FC o la PTIC hasta, por ejemplo, que la tasa de desempleo alcance un cierto objetivo). Algunos incluso llegaron a proponer una PTIN (política de tasa de interés negativa). Sin embargo, las tasas de interés se han mantenido obcecadamente bajas y las de desempleo, inaceptablemente altas, en parte debido a que el aumento de la oferta monetaria posterior a la FC no condujo a la creación de crédito para financiar el consumo privado o la inversión. En lugar de ello, los bancos han acumulado el aumento de la base monetaria en forma de reservas excedentes ociosas. Hay una restricción crediticia, ya que los bancos con capital insuficiente no desean prestar a acreedores riesgosos y el lento crecimiento, junto con los elevados niveles de endeudamiento de los hogares, también ha deprimido la demanda de crédito.</w:t>
      </w:r>
    </w:p>
    <w:p w:rsidR="008B3730" w:rsidRPr="002341C5"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2341C5">
        <w:rPr>
          <w:rFonts w:ascii="Times New Roman" w:hAnsi="Times New Roman"/>
          <w:sz w:val="24"/>
          <w:szCs w:val="24"/>
          <w:u w:val="single"/>
        </w:rPr>
        <w:t>Gobernador de Banco de Japón califica la relajación de exitosa</w:t>
      </w:r>
      <w:r>
        <w:rPr>
          <w:rFonts w:ascii="Times New Roman" w:hAnsi="Times New Roman"/>
          <w:sz w:val="24"/>
          <w:szCs w:val="24"/>
        </w:rPr>
        <w:t xml:space="preserve"> (The Wall Street Journal - </w:t>
      </w:r>
      <w:r w:rsidRPr="002341C5">
        <w:rPr>
          <w:rFonts w:ascii="Times New Roman" w:hAnsi="Times New Roman"/>
          <w:b/>
          <w:sz w:val="24"/>
          <w:szCs w:val="24"/>
        </w:rPr>
        <w:t>5/11/13</w:t>
      </w:r>
      <w:r>
        <w:rPr>
          <w:rFonts w:ascii="Times New Roman" w:hAnsi="Times New Roman"/>
          <w:sz w:val="24"/>
          <w:szCs w:val="24"/>
        </w:rPr>
        <w:t>)</w:t>
      </w:r>
    </w:p>
    <w:p w:rsidR="008B3730" w:rsidRDefault="008B3730" w:rsidP="00387350">
      <w:pPr>
        <w:spacing w:line="240" w:lineRule="auto"/>
        <w:jc w:val="both"/>
        <w:rPr>
          <w:rFonts w:ascii="Times New Roman" w:hAnsi="Times New Roman"/>
          <w:sz w:val="24"/>
          <w:szCs w:val="24"/>
        </w:rPr>
      </w:pPr>
      <w:r w:rsidRPr="00577410">
        <w:rPr>
          <w:rFonts w:ascii="Times New Roman" w:hAnsi="Times New Roman"/>
          <w:sz w:val="24"/>
          <w:szCs w:val="24"/>
        </w:rPr>
        <w:t xml:space="preserve">Aproximadamente medio año después de que el Banco de Japón pusiera en marcha su programa de política monetaria a gran escala, el gobernador del banco central expresó su confianza en que esta ambiciosa apuesta está dando frutos, calificando los resultados hasta ahora de “un éxito”. En referencia al efecto más visible del intento del Banco de Japón por acabar con 15 años de caídas en los precios, Haruhiko Kuroda citó el martes el descenso de los tipos de interés reales como un desarrollo positivo que podría facilitar a las empresas incrementar el gasto y sostener la actual recuperación de la economía.  Aunque las enormes compras de deuda pública, equivalentes a 70% de los bonos de nueva emisión, han presionado fuertemente a la baja las tasas de interés nominales, Kuroda dijo en una conferencia en Osaka que “es innegable que las expectativas de inflación también han estado aumentando de forma gradual”. </w:t>
      </w:r>
    </w:p>
    <w:p w:rsidR="008B3730" w:rsidRDefault="008B3730" w:rsidP="00387350">
      <w:pPr>
        <w:spacing w:line="240" w:lineRule="auto"/>
        <w:jc w:val="both"/>
        <w:rPr>
          <w:rFonts w:ascii="Times New Roman" w:hAnsi="Times New Roman"/>
          <w:sz w:val="24"/>
          <w:szCs w:val="24"/>
        </w:rPr>
      </w:pPr>
      <w:r w:rsidRPr="00B14EBE">
        <w:rPr>
          <w:rFonts w:ascii="Times New Roman" w:hAnsi="Times New Roman"/>
          <w:sz w:val="24"/>
          <w:szCs w:val="24"/>
        </w:rPr>
        <w:t xml:space="preserve">- </w:t>
      </w:r>
      <w:r w:rsidRPr="00B14EBE">
        <w:rPr>
          <w:rFonts w:ascii="Times New Roman" w:hAnsi="Times New Roman"/>
          <w:sz w:val="24"/>
          <w:szCs w:val="24"/>
          <w:u w:val="single"/>
        </w:rPr>
        <w:t>El BCE baja por sorpresa los tipos de interés al 0,25%</w:t>
      </w:r>
      <w:r w:rsidRPr="00B14EBE">
        <w:rPr>
          <w:rFonts w:ascii="Times New Roman" w:hAnsi="Times New Roman"/>
          <w:sz w:val="24"/>
          <w:szCs w:val="24"/>
        </w:rPr>
        <w:t xml:space="preserve"> (Cinco Días </w:t>
      </w:r>
      <w:r>
        <w:rPr>
          <w:rFonts w:ascii="Times New Roman" w:hAnsi="Times New Roman"/>
          <w:sz w:val="24"/>
          <w:szCs w:val="24"/>
        </w:rPr>
        <w:t xml:space="preserve"> - </w:t>
      </w:r>
      <w:r w:rsidRPr="00B14EBE">
        <w:rPr>
          <w:rFonts w:ascii="Times New Roman" w:hAnsi="Times New Roman"/>
          <w:b/>
          <w:sz w:val="24"/>
          <w:szCs w:val="24"/>
        </w:rPr>
        <w:t>7/11/13</w:t>
      </w:r>
      <w:r w:rsidRPr="00B14EBE">
        <w:rPr>
          <w:rFonts w:ascii="Times New Roman" w:hAnsi="Times New Roman"/>
          <w:sz w:val="24"/>
          <w:szCs w:val="24"/>
        </w:rPr>
        <w:t>)</w:t>
      </w:r>
    </w:p>
    <w:p w:rsidR="008B3730" w:rsidRDefault="008B3730" w:rsidP="00387350">
      <w:pPr>
        <w:spacing w:line="240" w:lineRule="auto"/>
        <w:jc w:val="both"/>
        <w:rPr>
          <w:rFonts w:ascii="Times New Roman" w:hAnsi="Times New Roman"/>
          <w:sz w:val="24"/>
          <w:szCs w:val="24"/>
        </w:rPr>
      </w:pPr>
      <w:r w:rsidRPr="0049208C">
        <w:rPr>
          <w:rFonts w:ascii="Times New Roman" w:hAnsi="Times New Roman"/>
          <w:sz w:val="24"/>
          <w:szCs w:val="24"/>
        </w:rPr>
        <w:t>El Banco Central Europeo (BCE) ha dado hoy una sorpresa al mercado al recortar los tipos de interés de la zona euro en 25 puntos, hasta el 0,25%, lo que supone el nuevo mínimo histórico del tipo de intervención. La mayoría de analistas esperaba que esta rebaja se produjera en la próxima reunión de diciembre. Solo UBS, RBS y Merryll Lynch apostaban porque la institución moviera ficha este mismo jueves. La última vez que el BCE bajó los tipos de interés fue el pasado mes de mayo, del 0,75% al 0,50%.</w:t>
      </w:r>
      <w:r>
        <w:rPr>
          <w:rFonts w:ascii="Times New Roman" w:hAnsi="Times New Roman"/>
          <w:sz w:val="24"/>
          <w:szCs w:val="24"/>
        </w:rPr>
        <w:t xml:space="preserve"> </w:t>
      </w:r>
      <w:r w:rsidRPr="0049208C">
        <w:rPr>
          <w:rFonts w:ascii="Times New Roman" w:hAnsi="Times New Roman"/>
          <w:sz w:val="24"/>
          <w:szCs w:val="24"/>
        </w:rPr>
        <w:t xml:space="preserve">En opinión de los expertos, había dos circunstancias que podrían justificar una bajada del precio oficial del dinero este jueves. Una es la fortaleza del euro, que amenazaba la </w:t>
      </w:r>
      <w:r w:rsidRPr="0049208C">
        <w:rPr>
          <w:rFonts w:ascii="Times New Roman" w:hAnsi="Times New Roman"/>
          <w:sz w:val="24"/>
          <w:szCs w:val="24"/>
        </w:rPr>
        <w:lastRenderedPageBreak/>
        <w:t>recuperación al castigar a los exportadores, pues la divisa ha llegado a 1,38 dólares. De hecho, poco antes de la decisión de Draghi, la República Checa anunció la intervención de su banco central para devaluar la corona. Tras conocerse el recorte de tipos, el euro ha caído desde los 1,35 dólares hasta niveles de 1,33, lo q</w:t>
      </w:r>
      <w:r>
        <w:rPr>
          <w:rFonts w:ascii="Times New Roman" w:hAnsi="Times New Roman"/>
          <w:sz w:val="24"/>
          <w:szCs w:val="24"/>
        </w:rPr>
        <w:t xml:space="preserve">ue supone un descenso del 1,5%. </w:t>
      </w:r>
      <w:r w:rsidRPr="0049208C">
        <w:rPr>
          <w:rFonts w:ascii="Times New Roman" w:hAnsi="Times New Roman"/>
          <w:sz w:val="24"/>
          <w:szCs w:val="24"/>
        </w:rPr>
        <w:t>El otro aspecto clave es la baja inflación en la eurozona registrada en el mes de octubre (del 0,7% frente al 1,1% previsto). El mandato del BCE es mantener la inflación estable en torno al 2%. Eso significa no solo que no suba mucho sobre ese nivel, sino que también no baje demasiado.</w:t>
      </w:r>
    </w:p>
    <w:p w:rsidR="008B3730"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8D4E55">
        <w:rPr>
          <w:rFonts w:ascii="Times New Roman" w:hAnsi="Times New Roman"/>
          <w:sz w:val="24"/>
          <w:szCs w:val="24"/>
          <w:u w:val="single"/>
        </w:rPr>
        <w:t>Los seis martillazos con los que Draghi ha esculpido la nueva fisonomía del BCE</w:t>
      </w:r>
      <w:r>
        <w:rPr>
          <w:rFonts w:ascii="Times New Roman" w:hAnsi="Times New Roman"/>
          <w:sz w:val="24"/>
          <w:szCs w:val="24"/>
        </w:rPr>
        <w:t xml:space="preserve"> (El Confidencial - </w:t>
      </w:r>
      <w:r>
        <w:rPr>
          <w:rFonts w:ascii="Times New Roman" w:hAnsi="Times New Roman"/>
          <w:b/>
          <w:sz w:val="24"/>
          <w:szCs w:val="24"/>
        </w:rPr>
        <w:t>7</w:t>
      </w:r>
      <w:r w:rsidRPr="008D4E55">
        <w:rPr>
          <w:rFonts w:ascii="Times New Roman" w:hAnsi="Times New Roman"/>
          <w:b/>
          <w:sz w:val="24"/>
          <w:szCs w:val="24"/>
        </w:rPr>
        <w:t>/11/13</w:t>
      </w:r>
      <w:r>
        <w:rPr>
          <w:rFonts w:ascii="Times New Roman" w:hAnsi="Times New Roman"/>
          <w:sz w:val="24"/>
          <w:szCs w:val="24"/>
        </w:rPr>
        <w:t>)</w:t>
      </w:r>
    </w:p>
    <w:p w:rsidR="008B3730" w:rsidRDefault="008B3730" w:rsidP="00387350">
      <w:pPr>
        <w:pStyle w:val="NormalWeb"/>
        <w:jc w:val="both"/>
      </w:pPr>
      <w:r w:rsidRPr="0049208C">
        <w:t xml:space="preserve">Dicen que </w:t>
      </w:r>
      <w:r>
        <w:t>“</w:t>
      </w:r>
      <w:r w:rsidRPr="003A2F36">
        <w:rPr>
          <w:rStyle w:val="nfasis"/>
          <w:i w:val="0"/>
        </w:rPr>
        <w:t>cada maestrillo tiene su librillo</w:t>
      </w:r>
      <w:r>
        <w:rPr>
          <w:rStyle w:val="nfasis"/>
          <w:i w:val="0"/>
        </w:rPr>
        <w:t>”</w:t>
      </w:r>
      <w:r w:rsidRPr="0049208C">
        <w:t>. Pero es que lo de Mario Draghi es una enciclopedia entera. En sus dos años como presidente del Banco Central Europeo (BCE) ha mostrado un repertorio tan amplio y variado que ha modificado casi por completo el aspecto de la institución monetaria… Una nueva concepción del manejo de la política monetaria europea  que se ha esculpido principalmente con seis</w:t>
      </w:r>
      <w:r w:rsidRPr="0049208C">
        <w:rPr>
          <w:rStyle w:val="nfasis"/>
        </w:rPr>
        <w:t xml:space="preserve"> </w:t>
      </w:r>
      <w:r w:rsidRPr="003A2F36">
        <w:rPr>
          <w:rStyle w:val="nfasis"/>
          <w:i w:val="0"/>
        </w:rPr>
        <w:t>“martillazos</w:t>
      </w:r>
      <w:r>
        <w:t>”</w:t>
      </w:r>
      <w:r w:rsidRPr="0049208C">
        <w:t xml:space="preserve">. </w:t>
      </w:r>
      <w:r w:rsidRPr="00AE55C3">
        <w:rPr>
          <w:rStyle w:val="Textoennegrita"/>
          <w:b w:val="0"/>
        </w:rPr>
        <w:t>3 de noviembre de 2011: una rebaja de tipos como tarjeta de presentación… 8 de diciembre de 2011: “barra libre” de liquidez a 3 años…</w:t>
      </w:r>
      <w:r w:rsidRPr="00AE55C3">
        <w:rPr>
          <w:b/>
        </w:rPr>
        <w:t xml:space="preserve"> </w:t>
      </w:r>
      <w:r w:rsidRPr="00AE55C3">
        <w:rPr>
          <w:rStyle w:val="Textoennegrita"/>
          <w:b w:val="0"/>
        </w:rPr>
        <w:t>26 de julio de 2012: “Y créanme, será suficiente” (“Dentro de nuestro mandato, estamos preparados para hacer lo que sea necesario para proteger el euro. Y créanme, será suficiente”</w:t>
      </w:r>
      <w:r w:rsidRPr="00AE55C3">
        <w:rPr>
          <w:b/>
        </w:rPr>
        <w:t>)</w:t>
      </w:r>
      <w:r w:rsidRPr="00AE55C3">
        <w:rPr>
          <w:rStyle w:val="Textoennegrita"/>
          <w:b w:val="0"/>
        </w:rPr>
        <w:t>…</w:t>
      </w:r>
      <w:r w:rsidRPr="00AE55C3">
        <w:rPr>
          <w:b/>
        </w:rPr>
        <w:t xml:space="preserve"> </w:t>
      </w:r>
      <w:r w:rsidRPr="00AE55C3">
        <w:rPr>
          <w:rStyle w:val="Textoennegrita"/>
          <w:b w:val="0"/>
        </w:rPr>
        <w:t xml:space="preserve">6 de septiembre de 2012: el dique disuasorio de la OMT </w:t>
      </w:r>
      <w:r w:rsidRPr="0049208C">
        <w:t>(</w:t>
      </w:r>
      <w:r w:rsidRPr="003A2F36">
        <w:rPr>
          <w:rStyle w:val="nfasis"/>
          <w:i w:val="0"/>
        </w:rPr>
        <w:t>Outright Monetary Transactions</w:t>
      </w:r>
      <w:r w:rsidRPr="0049208C">
        <w:t xml:space="preserve">  u Operaciones Monetarias de Compraventa</w:t>
      </w:r>
      <w:r w:rsidRPr="00AE55C3">
        <w:rPr>
          <w:b/>
        </w:rPr>
        <w:t xml:space="preserve">)… </w:t>
      </w:r>
      <w:r w:rsidRPr="00AE55C3">
        <w:rPr>
          <w:rStyle w:val="Textoennegrita"/>
          <w:b w:val="0"/>
        </w:rPr>
        <w:t>4 de julio de 2013: una hoja de ruta para los tipos (“Los tipos de interés permanecerán en el nivel actual o más bajo durante un largo periodo de tiempo”</w:t>
      </w:r>
      <w:r w:rsidRPr="00AE55C3">
        <w:rPr>
          <w:b/>
        </w:rPr>
        <w:t xml:space="preserve">)… </w:t>
      </w:r>
      <w:r w:rsidRPr="00AE55C3">
        <w:rPr>
          <w:rStyle w:val="Textoennegrita"/>
          <w:b w:val="0"/>
        </w:rPr>
        <w:t>7 de noviembre de 2013: acción... reacción</w:t>
      </w:r>
      <w:r>
        <w:rPr>
          <w:rStyle w:val="Textoennegrita"/>
        </w:rPr>
        <w:t xml:space="preserve"> </w:t>
      </w:r>
      <w:r w:rsidRPr="0049208C">
        <w:t xml:space="preserve">(el último </w:t>
      </w:r>
      <w:r>
        <w:t>“</w:t>
      </w:r>
      <w:r w:rsidRPr="003A2F36">
        <w:rPr>
          <w:rStyle w:val="nfasis"/>
          <w:i w:val="0"/>
        </w:rPr>
        <w:t>martillazo</w:t>
      </w:r>
      <w:r>
        <w:rPr>
          <w:rStyle w:val="nfasis"/>
          <w:i w:val="0"/>
        </w:rPr>
        <w:t>”</w:t>
      </w:r>
      <w:r w:rsidRPr="0049208C">
        <w:rPr>
          <w:rStyle w:val="nfasis"/>
        </w:rPr>
        <w:t xml:space="preserve"> </w:t>
      </w:r>
      <w:r w:rsidRPr="0049208C">
        <w:t>de Draghi aún resuena. Una rebaja de los tipos de interés desde el 0,5% hasta el mínimo histórico del 0,25%).</w:t>
      </w:r>
    </w:p>
    <w:p w:rsidR="008B3730" w:rsidRPr="00F24FE4" w:rsidRDefault="008B3730" w:rsidP="00387350">
      <w:pPr>
        <w:pStyle w:val="NormalWeb"/>
        <w:jc w:val="both"/>
        <w:rPr>
          <w:color w:val="000000"/>
        </w:rPr>
      </w:pPr>
      <w:r>
        <w:rPr>
          <w:color w:val="000000"/>
        </w:rPr>
        <w:t xml:space="preserve">- </w:t>
      </w:r>
      <w:r w:rsidRPr="00F67BA7">
        <w:rPr>
          <w:color w:val="000000"/>
          <w:u w:val="single"/>
        </w:rPr>
        <w:t>Bernanke destaca las reformas adoptadas tras la crisis para limitar la toma de riesgos</w:t>
      </w:r>
      <w:r>
        <w:rPr>
          <w:color w:val="000000"/>
        </w:rPr>
        <w:t xml:space="preserve"> (Expansión - </w:t>
      </w:r>
      <w:r>
        <w:rPr>
          <w:b/>
          <w:color w:val="000000"/>
        </w:rPr>
        <w:t>9</w:t>
      </w:r>
      <w:r w:rsidRPr="00F67BA7">
        <w:rPr>
          <w:b/>
          <w:color w:val="000000"/>
        </w:rPr>
        <w:t>/11/13</w:t>
      </w:r>
      <w:r>
        <w:rPr>
          <w:color w:val="000000"/>
        </w:rPr>
        <w:t>)</w:t>
      </w:r>
    </w:p>
    <w:p w:rsidR="008B3730" w:rsidRDefault="008B3730" w:rsidP="00387350">
      <w:pPr>
        <w:pStyle w:val="NormalWeb"/>
        <w:jc w:val="both"/>
      </w:pPr>
      <w:r>
        <w:t>“</w:t>
      </w:r>
      <w:r w:rsidRPr="00F24FE4">
        <w:t>El problema del riesgo moral (moral hazard) no tiene una solución perfecta, pero se pued</w:t>
      </w:r>
      <w:r>
        <w:t>en tomar medidas para limitarlo”</w:t>
      </w:r>
      <w:r w:rsidRPr="00F24FE4">
        <w:t>, dijo Bernanke durante una conferencia en Washington organizada por el Fondo Monetario Internacional (FMI). Explicó que las acciones que emprenden los bancos centrales y otras autoridades para frenar un pánico a corto plazo pueden volverse contra la estabilidad a largo plazo, si los inversores y las empresas interpretan que nunca tendrán que soportar las consecuencias plenas de haber tomado riesgos excesivos. Según Bernanke, eso ocurría con la ausencia de un método para lidiar con los problemas de las instituciones financieras más importantes en 2008, lo que dejó a las autoridades reguladoras ante las</w:t>
      </w:r>
      <w:r>
        <w:t xml:space="preserve"> “</w:t>
      </w:r>
      <w:r w:rsidRPr="00F24FE4">
        <w:t xml:space="preserve">terribles opciones de un rescate o permitir un colapso </w:t>
      </w:r>
      <w:r>
        <w:t>po</w:t>
      </w:r>
      <w:r w:rsidR="007852AF">
        <w:t xml:space="preserve">tencialmente desestabilizador”. </w:t>
      </w:r>
      <w:r>
        <w:t>“</w:t>
      </w:r>
      <w:r w:rsidRPr="00F24FE4">
        <w:t>Un mecanismo creíble de resolución para las empresas de importancia sistémica será importante para reducir la incertidumbre y para la mejora de la disciplina del m</w:t>
      </w:r>
      <w:r>
        <w:t>ercado”</w:t>
      </w:r>
      <w:r w:rsidRPr="00F24FE4">
        <w:t xml:space="preserve">, anotó el presidente de la Fed. Bernanke indicó que se está avanzando por ese camino y puso como ejemplo la reforma financiera aprobada en EEUU en 2010, que da a los reguladores mejores herramientas para desmantelar una importante firma en problemas sin sacudir al sistema financiero en general. Además, anotó que las pruebas de resistencia realizadas por la Fed a los gigantes del sistema financiero también pueden ayudar a limitar los riesgos. </w:t>
      </w:r>
      <w:r>
        <w:t>“</w:t>
      </w:r>
      <w:r w:rsidRPr="00F24FE4">
        <w:t>Nuestro continuo desafío es hacer las crisis financieras menos probables y, si o</w:t>
      </w:r>
      <w:r>
        <w:t xml:space="preserve">curren, </w:t>
      </w:r>
      <w:r>
        <w:lastRenderedPageBreak/>
        <w:t>que sean menos costosas”</w:t>
      </w:r>
      <w:r w:rsidRPr="00F24FE4">
        <w:t xml:space="preserve">, reflexionó Bernanke, que concluirá en enero su gestión al frente del banco central estadounidense. </w:t>
      </w:r>
    </w:p>
    <w:p w:rsidR="008B3730"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w:t>
      </w:r>
      <w:r w:rsidRPr="001E67FA">
        <w:rPr>
          <w:rFonts w:ascii="Times New Roman" w:hAnsi="Times New Roman"/>
          <w:sz w:val="24"/>
          <w:szCs w:val="24"/>
          <w:u w:val="single"/>
        </w:rPr>
        <w:t>Monetary Sto</w:t>
      </w:r>
      <w:r>
        <w:rPr>
          <w:rFonts w:ascii="Times New Roman" w:hAnsi="Times New Roman"/>
          <w:sz w:val="24"/>
          <w:szCs w:val="24"/>
          <w:u w:val="single"/>
        </w:rPr>
        <w:t>ry”</w:t>
      </w:r>
      <w:r w:rsidRPr="001E67FA">
        <w:rPr>
          <w:rFonts w:ascii="Times New Roman" w:hAnsi="Times New Roman"/>
          <w:sz w:val="24"/>
          <w:szCs w:val="24"/>
          <w:u w:val="single"/>
        </w:rPr>
        <w:t>: la banca central se aferra a los tipos al 0% hasta el infinito y más allá</w:t>
      </w:r>
      <w:r>
        <w:rPr>
          <w:rFonts w:ascii="Times New Roman" w:hAnsi="Times New Roman"/>
          <w:sz w:val="24"/>
          <w:szCs w:val="24"/>
        </w:rPr>
        <w:t xml:space="preserve"> (El Confidencial - </w:t>
      </w:r>
      <w:r w:rsidRPr="001E67FA">
        <w:rPr>
          <w:rFonts w:ascii="Times New Roman" w:hAnsi="Times New Roman"/>
          <w:b/>
          <w:sz w:val="24"/>
          <w:szCs w:val="24"/>
        </w:rPr>
        <w:t>10/11/13</w:t>
      </w:r>
      <w:r>
        <w:rPr>
          <w:rFonts w:ascii="Times New Roman" w:hAnsi="Times New Roman"/>
          <w:sz w:val="24"/>
          <w:szCs w:val="24"/>
        </w:rPr>
        <w:t>)</w:t>
      </w:r>
    </w:p>
    <w:p w:rsidR="008B3730" w:rsidRPr="003A2F36" w:rsidRDefault="008B3730" w:rsidP="00387350">
      <w:pPr>
        <w:pStyle w:val="NormalWeb"/>
        <w:jc w:val="both"/>
      </w:pPr>
      <w:r w:rsidRPr="00F24FE4">
        <w:t>Las aventuras del vaquero Woody y el astronauta Buzz Lightyear resultan míticas. La trilogía de</w:t>
      </w:r>
      <w:r w:rsidRPr="00F24FE4">
        <w:rPr>
          <w:i/>
          <w:iCs/>
        </w:rPr>
        <w:t> </w:t>
      </w:r>
      <w:r w:rsidRPr="00F24FE4">
        <w:t xml:space="preserve"> </w:t>
      </w:r>
      <w:r>
        <w:t>“</w:t>
      </w:r>
      <w:r w:rsidRPr="003A2F36">
        <w:rPr>
          <w:rStyle w:val="nfasis"/>
          <w:i w:val="0"/>
        </w:rPr>
        <w:t>Toy Story</w:t>
      </w:r>
      <w:r>
        <w:rPr>
          <w:rStyle w:val="nfasis"/>
          <w:i w:val="0"/>
        </w:rPr>
        <w:t>”</w:t>
      </w:r>
      <w:r w:rsidRPr="00F24FE4">
        <w:t>, de la que son protagonistas, ha quedado grabada para siempre en la historia del cine. Tampoco se olvidará nunca lo que los banqueros centrales están haciendo durante esta crisis. También están viviendo unas aventuras únicas, sin precedentes, que les están conduciendo a territorios monetarios inexplorados, con dos actores principales al frente: Ben </w:t>
      </w:r>
      <w:r>
        <w:t>“</w:t>
      </w:r>
      <w:r w:rsidRPr="003A2F36">
        <w:rPr>
          <w:rStyle w:val="nfasis"/>
          <w:i w:val="0"/>
        </w:rPr>
        <w:t>Woody</w:t>
      </w:r>
      <w:r>
        <w:rPr>
          <w:rStyle w:val="nfasis"/>
          <w:i w:val="0"/>
        </w:rPr>
        <w:t>”</w:t>
      </w:r>
      <w:r w:rsidRPr="00F24FE4">
        <w:t xml:space="preserve"> </w:t>
      </w:r>
      <w:r w:rsidRPr="00F24FE4">
        <w:rPr>
          <w:i/>
          <w:iCs/>
        </w:rPr>
        <w:t> </w:t>
      </w:r>
      <w:r w:rsidRPr="00F24FE4">
        <w:t>Bernanke, el presidente de la Reserva Federal (Fed) estadounidense y el </w:t>
      </w:r>
      <w:r>
        <w:t>“</w:t>
      </w:r>
      <w:r w:rsidRPr="003A2F36">
        <w:rPr>
          <w:rStyle w:val="nfasis"/>
          <w:i w:val="0"/>
        </w:rPr>
        <w:t>gatillo</w:t>
      </w:r>
      <w:r>
        <w:rPr>
          <w:rStyle w:val="nfasis"/>
          <w:i w:val="0"/>
        </w:rPr>
        <w:t>”</w:t>
      </w:r>
      <w:r w:rsidRPr="00F24FE4">
        <w:t xml:space="preserve"> </w:t>
      </w:r>
      <w:r w:rsidRPr="00F24FE4">
        <w:rPr>
          <w:i/>
          <w:iCs/>
        </w:rPr>
        <w:t> </w:t>
      </w:r>
      <w:r w:rsidRPr="00F24FE4">
        <w:t>más rápido del Oeste monetario porque fue el primero en disparar y el que más veces lo ha hecho durante la crisis, y Mario </w:t>
      </w:r>
      <w:r>
        <w:t>“</w:t>
      </w:r>
      <w:r w:rsidRPr="003A2F36">
        <w:rPr>
          <w:rStyle w:val="nfasis"/>
          <w:i w:val="0"/>
        </w:rPr>
        <w:t>Buzz Lightyear</w:t>
      </w:r>
      <w:r>
        <w:rPr>
          <w:rStyle w:val="nfasis"/>
          <w:i w:val="0"/>
        </w:rPr>
        <w:t>”</w:t>
      </w:r>
      <w:r w:rsidRPr="003A2F36">
        <w:t xml:space="preserve"> </w:t>
      </w:r>
      <w:r w:rsidRPr="003A2F36">
        <w:rPr>
          <w:iCs/>
        </w:rPr>
        <w:t> </w:t>
      </w:r>
      <w:r w:rsidRPr="003A2F36">
        <w:t>Draghi, el </w:t>
      </w:r>
      <w:r>
        <w:t>“</w:t>
      </w:r>
      <w:r w:rsidRPr="003A2F36">
        <w:rPr>
          <w:rStyle w:val="nfasis"/>
          <w:i w:val="0"/>
        </w:rPr>
        <w:t>astronauta</w:t>
      </w:r>
      <w:r>
        <w:rPr>
          <w:rStyle w:val="nfasis"/>
          <w:i w:val="0"/>
        </w:rPr>
        <w:t>”</w:t>
      </w:r>
      <w:r w:rsidRPr="003A2F36">
        <w:t xml:space="preserve"> </w:t>
      </w:r>
      <w:r w:rsidRPr="003A2F36">
        <w:rPr>
          <w:iCs/>
        </w:rPr>
        <w:t> </w:t>
      </w:r>
      <w:r w:rsidRPr="003A2F36">
        <w:t xml:space="preserve">que pilota la nave del Banco Central Europeo (BCE) por terrenos donde nunca antes había estado. Ambos, como los protagonistas de </w:t>
      </w:r>
      <w:r>
        <w:t>“</w:t>
      </w:r>
      <w:r w:rsidRPr="003A2F36">
        <w:rPr>
          <w:rStyle w:val="nfasis"/>
          <w:i w:val="0"/>
        </w:rPr>
        <w:t>Toy Story</w:t>
      </w:r>
      <w:r>
        <w:rPr>
          <w:rStyle w:val="nfasis"/>
          <w:i w:val="0"/>
        </w:rPr>
        <w:t>”</w:t>
      </w:r>
      <w:r w:rsidRPr="003A2F36">
        <w:t>, se han comprometido a mantener una política monetaria históricamente expansiva, caracterizada por unos tipos de interés al 0% -o muy cerca- </w:t>
      </w:r>
      <w:r w:rsidRPr="003A2F36">
        <w:rPr>
          <w:iCs/>
        </w:rPr>
        <w:t>hasta el infinito y más allá</w:t>
      </w:r>
      <w:r w:rsidRPr="003A2F36">
        <w:t>.</w:t>
      </w:r>
    </w:p>
    <w:p w:rsidR="008B3730" w:rsidRDefault="008B3730" w:rsidP="00387350">
      <w:pPr>
        <w:pStyle w:val="NormalWeb"/>
        <w:jc w:val="both"/>
      </w:pPr>
      <w:r>
        <w:t xml:space="preserve">- </w:t>
      </w:r>
      <w:r w:rsidRPr="00E20509">
        <w:rPr>
          <w:u w:val="single"/>
        </w:rPr>
        <w:t>El futuro incierto del predominio de los bancos centrales</w:t>
      </w:r>
      <w:r>
        <w:t xml:space="preserve"> (</w:t>
      </w:r>
      <w:r w:rsidRPr="00E20509">
        <w:t>Mohamed A. El-Erian</w:t>
      </w:r>
      <w:r>
        <w:t xml:space="preserve"> - Project Syndicate - </w:t>
      </w:r>
      <w:r w:rsidRPr="00E20509">
        <w:rPr>
          <w:b/>
        </w:rPr>
        <w:t>11/11/13</w:t>
      </w:r>
      <w:r>
        <w:t>)</w:t>
      </w:r>
    </w:p>
    <w:p w:rsidR="008B3730" w:rsidRDefault="008B3730" w:rsidP="00387350">
      <w:pPr>
        <w:pStyle w:val="NormalWeb"/>
        <w:jc w:val="both"/>
      </w:pPr>
      <w:r w:rsidRPr="00F24FE4">
        <w:t xml:space="preserve">Al verse empujados a tomar una posición inhabitual de predominio en el diseño </w:t>
      </w:r>
      <w:r>
        <w:t>de políticas, bancos centrales -</w:t>
      </w:r>
      <w:r w:rsidRPr="00F24FE4">
        <w:t xml:space="preserve">y aquellos que se han hecho dependientes de su política ultra </w:t>
      </w:r>
      <w:r>
        <w:t>activista de toma de decisiones-</w:t>
      </w:r>
      <w:r w:rsidRPr="00F24FE4">
        <w:t xml:space="preserve"> harían bien en escuchar los consejos de lo que está por venir y qué hacer ahora para minimizar los riesgos asociados. Vistas las tendencias actuales, el prestigio de los bancos centrales dependerá cada v</w:t>
      </w:r>
      <w:r>
        <w:t>ez más de los agentes externos -</w:t>
      </w:r>
      <w:r w:rsidRPr="00F24FE4">
        <w:t>políticos en conflicto, otras instancias de toma de decisiones (menos receptivas) y mercados que han sobrestimado el poder de las autoridades monetarias. Empujados a adoptar una posición nada envidiable, la imagen ante la sociedad de bancos centrales de países avanzados no es lo único que está en riesgo. También, su independencia política y la credibilidad duramente ganada, que es necesaria para influenciar en la conducta del sector privado. A nadie le conviene la caída de estas instituciones cruciales.</w:t>
      </w:r>
    </w:p>
    <w:p w:rsidR="008B3730" w:rsidRPr="00951E4A"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w:t>
      </w:r>
      <w:r w:rsidRPr="00951E4A">
        <w:rPr>
          <w:rFonts w:ascii="Times New Roman" w:hAnsi="Times New Roman"/>
          <w:sz w:val="24"/>
          <w:szCs w:val="24"/>
          <w:u w:val="single"/>
        </w:rPr>
        <w:t>S</w:t>
      </w:r>
      <w:r>
        <w:rPr>
          <w:rFonts w:ascii="Times New Roman" w:hAnsi="Times New Roman"/>
          <w:sz w:val="24"/>
          <w:szCs w:val="24"/>
          <w:u w:val="single"/>
        </w:rPr>
        <w:t>olo puedo decir lo siento, EEUU”</w:t>
      </w:r>
      <w:r w:rsidRPr="00951E4A">
        <w:rPr>
          <w:rFonts w:ascii="Times New Roman" w:hAnsi="Times New Roman"/>
          <w:sz w:val="24"/>
          <w:szCs w:val="24"/>
          <w:u w:val="single"/>
        </w:rPr>
        <w:t>: se confiesa uno de los jefes de los estímulos de la Fed</w:t>
      </w:r>
      <w:r>
        <w:rPr>
          <w:rFonts w:ascii="Times New Roman" w:hAnsi="Times New Roman"/>
          <w:sz w:val="24"/>
          <w:szCs w:val="24"/>
        </w:rPr>
        <w:t xml:space="preserve"> (El Economista - </w:t>
      </w:r>
      <w:r w:rsidRPr="00951E4A">
        <w:rPr>
          <w:rFonts w:ascii="Times New Roman" w:hAnsi="Times New Roman"/>
          <w:b/>
          <w:sz w:val="24"/>
          <w:szCs w:val="24"/>
        </w:rPr>
        <w:t>12/11/13</w:t>
      </w:r>
      <w:r>
        <w:rPr>
          <w:rFonts w:ascii="Times New Roman" w:hAnsi="Times New Roman"/>
          <w:sz w:val="24"/>
          <w:szCs w:val="24"/>
        </w:rPr>
        <w:t>)</w:t>
      </w:r>
    </w:p>
    <w:p w:rsidR="008B3730" w:rsidRDefault="008B3730" w:rsidP="00387350">
      <w:pPr>
        <w:pStyle w:val="NormalWeb"/>
        <w:jc w:val="both"/>
        <w:rPr>
          <w:i/>
          <w:iCs/>
        </w:rPr>
      </w:pPr>
      <w:r w:rsidRPr="002E20B6">
        <w:t xml:space="preserve">“Sólo puedo decir: lo siento, Estados Unidos”. Son palabras que pronuncia Andrew Huszar, exfuncionario de la Reserva Federal de EEUU (Fed) y responsable del primero de los tres programas de estímulo económico orquestados por el organismo, conocidos como QE o </w:t>
      </w:r>
      <w:r>
        <w:t>“</w:t>
      </w:r>
      <w:r w:rsidRPr="003A2F36">
        <w:rPr>
          <w:iCs/>
        </w:rPr>
        <w:t>Quantitative Easing</w:t>
      </w:r>
      <w:r>
        <w:rPr>
          <w:iCs/>
        </w:rPr>
        <w:t>”</w:t>
      </w:r>
      <w:r w:rsidRPr="002E20B6">
        <w:t xml:space="preserve">. </w:t>
      </w:r>
      <w:r w:rsidRPr="002E20B6">
        <w:rPr>
          <w:bCs/>
        </w:rPr>
        <w:t xml:space="preserve">“El banco central sigue manteniendo estos estímulos como una herramienta para ayudar a la economía real. Pero el programa es lo que es: el mayor rescate </w:t>
      </w:r>
      <w:r>
        <w:rPr>
          <w:bCs/>
        </w:rPr>
        <w:t>“</w:t>
      </w:r>
      <w:r w:rsidRPr="003A2F36">
        <w:rPr>
          <w:bCs/>
          <w:iCs/>
        </w:rPr>
        <w:t>por la puerta de atrás</w:t>
      </w:r>
      <w:r>
        <w:rPr>
          <w:bCs/>
          <w:iCs/>
        </w:rPr>
        <w:t>”</w:t>
      </w:r>
      <w:r w:rsidRPr="002E20B6">
        <w:rPr>
          <w:bCs/>
        </w:rPr>
        <w:t xml:space="preserve"> de toda la historia de Wall Street</w:t>
      </w:r>
      <w:r w:rsidRPr="002E20B6">
        <w:t xml:space="preserve">”, en referencia al mercado e instituciones financieras estadounidenses. Estas declaraciones forman parte de un artículo de opinión firmado por el propio Huzsar y que recoge </w:t>
      </w:r>
      <w:r w:rsidRPr="00980A38">
        <w:rPr>
          <w:i/>
          <w:iCs/>
        </w:rPr>
        <w:t>The Wall Street Journal</w:t>
      </w:r>
      <w:r w:rsidRPr="00980A38">
        <w:rPr>
          <w:i/>
        </w:rPr>
        <w:t>,</w:t>
      </w:r>
      <w:r w:rsidRPr="002E20B6">
        <w:t xml:space="preserve"> bajo el título de </w:t>
      </w:r>
      <w:r>
        <w:t>“</w:t>
      </w:r>
      <w:r w:rsidRPr="00980A38">
        <w:rPr>
          <w:i/>
          <w:iCs/>
        </w:rPr>
        <w:t>Confesiones de un Quantitative Easer</w:t>
      </w:r>
      <w:r>
        <w:rPr>
          <w:iCs/>
        </w:rPr>
        <w:t>”</w:t>
      </w:r>
      <w:r w:rsidRPr="002E20B6">
        <w:rPr>
          <w:i/>
          <w:iCs/>
        </w:rPr>
        <w:t>.</w:t>
      </w:r>
    </w:p>
    <w:p w:rsidR="008B3730" w:rsidRPr="00E47549" w:rsidRDefault="008B3730" w:rsidP="00387350">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E47549">
        <w:rPr>
          <w:rFonts w:ascii="Times New Roman" w:hAnsi="Times New Roman"/>
          <w:sz w:val="24"/>
          <w:szCs w:val="24"/>
          <w:u w:val="single"/>
        </w:rPr>
        <w:t>El BCE podría adoptar tasas de interés negativas si es necesario, según funcionario</w:t>
      </w:r>
      <w:r>
        <w:rPr>
          <w:rFonts w:ascii="Times New Roman" w:hAnsi="Times New Roman"/>
          <w:sz w:val="24"/>
          <w:szCs w:val="24"/>
        </w:rPr>
        <w:t xml:space="preserve"> (The Wall Street Journal - </w:t>
      </w:r>
      <w:r w:rsidRPr="00E47549">
        <w:rPr>
          <w:rFonts w:ascii="Times New Roman" w:hAnsi="Times New Roman"/>
          <w:b/>
          <w:sz w:val="24"/>
          <w:szCs w:val="24"/>
        </w:rPr>
        <w:t>13/11/13</w:t>
      </w:r>
      <w:r>
        <w:rPr>
          <w:rFonts w:ascii="Times New Roman" w:hAnsi="Times New Roman"/>
          <w:sz w:val="24"/>
          <w:szCs w:val="24"/>
        </w:rPr>
        <w:t>)</w:t>
      </w:r>
    </w:p>
    <w:p w:rsidR="008B3730" w:rsidRDefault="008B3730" w:rsidP="00387350">
      <w:pPr>
        <w:spacing w:line="240" w:lineRule="auto"/>
        <w:jc w:val="both"/>
        <w:rPr>
          <w:rFonts w:ascii="Times New Roman" w:hAnsi="Times New Roman"/>
          <w:sz w:val="24"/>
          <w:szCs w:val="24"/>
        </w:rPr>
      </w:pPr>
      <w:r w:rsidRPr="002E20B6">
        <w:rPr>
          <w:rFonts w:ascii="Times New Roman" w:hAnsi="Times New Roman"/>
          <w:sz w:val="24"/>
          <w:szCs w:val="24"/>
        </w:rPr>
        <w:t>El Banco Central Europeo podría tomar medidas como tasas de interés negativas para sus depósitos o compras de activos a los bancos si fuera necesario para que la inflación se acerque a su objetivo, según un alto cargo del BCE, lo que aplaca los temores a que el banco central se pueda estar quedando sin herramienta</w:t>
      </w:r>
      <w:r>
        <w:rPr>
          <w:rFonts w:ascii="Times New Roman" w:hAnsi="Times New Roman"/>
          <w:sz w:val="24"/>
          <w:szCs w:val="24"/>
        </w:rPr>
        <w:t>s o que no quiera utilizarlas. “</w:t>
      </w:r>
      <w:r w:rsidRPr="002E20B6">
        <w:rPr>
          <w:rFonts w:ascii="Times New Roman" w:hAnsi="Times New Roman"/>
          <w:sz w:val="24"/>
          <w:szCs w:val="24"/>
        </w:rPr>
        <w:t>Si nuestro mandato está en riesgo, vamos a tomar todas las medidas que consideremos que debemos tomar para cumplir ese mand</w:t>
      </w:r>
      <w:r>
        <w:rPr>
          <w:rFonts w:ascii="Times New Roman" w:hAnsi="Times New Roman"/>
          <w:sz w:val="24"/>
          <w:szCs w:val="24"/>
        </w:rPr>
        <w:t>ato. Eso es una señal muy clara”</w:t>
      </w:r>
      <w:r w:rsidRPr="002E20B6">
        <w:rPr>
          <w:rFonts w:ascii="Times New Roman" w:hAnsi="Times New Roman"/>
          <w:sz w:val="24"/>
          <w:szCs w:val="24"/>
        </w:rPr>
        <w:t xml:space="preserve">, dijo el miembro del consejo ejecutivo Peter Praet en una entrevista con The Wall Street Journal. </w:t>
      </w:r>
    </w:p>
    <w:p w:rsidR="008B3730"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5F022E">
        <w:rPr>
          <w:rFonts w:ascii="Times New Roman" w:hAnsi="Times New Roman"/>
          <w:sz w:val="24"/>
          <w:szCs w:val="24"/>
          <w:u w:val="single"/>
        </w:rPr>
        <w:t>Bernanke dice que la Reserva Federal seguirá luchando contra la deflación</w:t>
      </w:r>
      <w:r>
        <w:rPr>
          <w:rFonts w:ascii="Times New Roman" w:hAnsi="Times New Roman"/>
          <w:sz w:val="24"/>
          <w:szCs w:val="24"/>
        </w:rPr>
        <w:t xml:space="preserve"> (Cinco Días - </w:t>
      </w:r>
      <w:r w:rsidRPr="005F022E">
        <w:rPr>
          <w:rFonts w:ascii="Times New Roman" w:hAnsi="Times New Roman"/>
          <w:b/>
          <w:sz w:val="24"/>
          <w:szCs w:val="24"/>
        </w:rPr>
        <w:t>14/11/13</w:t>
      </w:r>
      <w:r>
        <w:rPr>
          <w:rFonts w:ascii="Times New Roman" w:hAnsi="Times New Roman"/>
          <w:sz w:val="24"/>
          <w:szCs w:val="24"/>
        </w:rPr>
        <w:t>)</w:t>
      </w:r>
    </w:p>
    <w:p w:rsidR="008B3730" w:rsidRDefault="008B3730" w:rsidP="00387350">
      <w:pPr>
        <w:spacing w:line="240" w:lineRule="auto"/>
        <w:jc w:val="both"/>
        <w:rPr>
          <w:rFonts w:ascii="Times New Roman" w:hAnsi="Times New Roman"/>
          <w:sz w:val="24"/>
          <w:szCs w:val="24"/>
        </w:rPr>
      </w:pPr>
      <w:r w:rsidRPr="002E20B6">
        <w:rPr>
          <w:rFonts w:ascii="Times New Roman" w:hAnsi="Times New Roman"/>
          <w:sz w:val="24"/>
          <w:szCs w:val="24"/>
        </w:rPr>
        <w:t>El presidente de la Reserva Federal, Ben Bernanke, ha señalado que el banco central de EEUU se mantendrá alerta para evitar que inflación baje demasiado y se aleje de su objetivo del 2%. “Como ustedes saben, mi mandato llega a su fin dentro de unos meses”, señaló Bernanke, “y me gustaría haberme ido con una tasa de desempleo del 5% en lugar del 7%”, aseguró en una conferencia en Washington. “Pero lo que hemos hecho, creo, ha sido en buena medida para apoyar esta recuperación. Y es importante que sigamos prestando el apoyo necesario para ayudar a que la gente vuelva a trabajar e impedir que la inflación caiga demasiado bajo”, aseguró. El IPC estadounidense se sitúa en torno al 1% interanual. Bernanke argumentó que esa tasa es “demasiado baja”.</w:t>
      </w:r>
    </w:p>
    <w:p w:rsidR="008B3730"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844741">
        <w:rPr>
          <w:rFonts w:ascii="Times New Roman" w:hAnsi="Times New Roman"/>
          <w:sz w:val="24"/>
          <w:szCs w:val="24"/>
          <w:u w:val="single"/>
        </w:rPr>
        <w:t>Las diez afirmaciones de Janet Yellen que le perseguirán como su sombra en el futuro</w:t>
      </w:r>
      <w:r>
        <w:rPr>
          <w:rFonts w:ascii="Times New Roman" w:hAnsi="Times New Roman"/>
          <w:sz w:val="24"/>
          <w:szCs w:val="24"/>
        </w:rPr>
        <w:t xml:space="preserve"> (El Confidencial - </w:t>
      </w:r>
      <w:r w:rsidRPr="008469D2">
        <w:rPr>
          <w:rFonts w:ascii="Times New Roman" w:hAnsi="Times New Roman"/>
          <w:b/>
          <w:sz w:val="24"/>
          <w:szCs w:val="24"/>
        </w:rPr>
        <w:t>15/11/13</w:t>
      </w:r>
      <w:r>
        <w:rPr>
          <w:rFonts w:ascii="Times New Roman" w:hAnsi="Times New Roman"/>
          <w:sz w:val="24"/>
          <w:szCs w:val="24"/>
        </w:rPr>
        <w:t>)</w:t>
      </w:r>
    </w:p>
    <w:p w:rsidR="008B3730" w:rsidRPr="00AE55C3" w:rsidRDefault="008B3730" w:rsidP="00387350">
      <w:pPr>
        <w:pStyle w:val="NormalWeb"/>
        <w:jc w:val="both"/>
        <w:rPr>
          <w:rStyle w:val="Textoennegrita"/>
          <w:b w:val="0"/>
        </w:rPr>
      </w:pPr>
      <w:r w:rsidRPr="003A257D">
        <w:t xml:space="preserve">Ya está. </w:t>
      </w:r>
      <w:hyperlink r:id="rId118" w:history="1">
        <w:r w:rsidRPr="00AE55C3">
          <w:rPr>
            <w:rStyle w:val="Hipervnculo"/>
            <w:color w:val="auto"/>
            <w:u w:val="none"/>
          </w:rPr>
          <w:t>Janet Yellen hizo ayer su particular entrevista de trabajo ante el Comité de Asuntos Bancarios del Senado</w:t>
        </w:r>
      </w:hyperlink>
      <w:r w:rsidRPr="003A257D">
        <w:t>. Ahora falta conocer el resultado de la votación de los 22 miembros que lo componen. Como 12 de ellos son del mismo partido que Barack Obama, que es quien propuso en octubre a Yellen para relevar a Ben Bernanke al frente de la Reserva Federal (Fed) a partir de febrero, parece que tiene el respaldo asegurado. A la espera del veredicto, la batería de preguntas a la que se expuso ayer dio mucho de sí. Sobre todo, 10 afirmaciones que ya han quedado grabadas... y que perseguirán a Yellen como su sombra durante el futuro</w:t>
      </w:r>
      <w:r w:rsidRPr="003A257D">
        <w:rPr>
          <w:b/>
        </w:rPr>
        <w:t xml:space="preserve">… </w:t>
      </w:r>
      <w:r w:rsidRPr="00AE55C3">
        <w:rPr>
          <w:rStyle w:val="Textoennegrita"/>
          <w:b w:val="0"/>
        </w:rPr>
        <w:t>1. “No se deben retirar los estímulos cuando la recuperación es frágil”…</w:t>
      </w:r>
      <w:r w:rsidRPr="00AE55C3">
        <w:rPr>
          <w:b/>
        </w:rPr>
        <w:t xml:space="preserve"> </w:t>
      </w:r>
      <w:r w:rsidRPr="00AE55C3">
        <w:rPr>
          <w:rStyle w:val="Textoennegrita"/>
          <w:b w:val="0"/>
        </w:rPr>
        <w:t xml:space="preserve">2. “Los beneficios del </w:t>
      </w:r>
      <w:r w:rsidRPr="00AE55C3">
        <w:rPr>
          <w:rStyle w:val="Textoennegrita"/>
        </w:rPr>
        <w:t>“</w:t>
      </w:r>
      <w:r w:rsidRPr="00AE55C3">
        <w:rPr>
          <w:rStyle w:val="nfasis"/>
          <w:bCs/>
          <w:i w:val="0"/>
        </w:rPr>
        <w:t>QE”</w:t>
      </w:r>
      <w:r w:rsidRPr="00AE55C3">
        <w:rPr>
          <w:rStyle w:val="nfasis"/>
          <w:b/>
          <w:bCs/>
        </w:rPr>
        <w:t xml:space="preserve"> </w:t>
      </w:r>
      <w:r w:rsidRPr="00AE55C3">
        <w:rPr>
          <w:rStyle w:val="Textoennegrita"/>
          <w:b w:val="0"/>
        </w:rPr>
        <w:t>todavía son mayores que los costes”… 3. “La política monetaria será normal cuando la economía sea normal”… 4. “Los estímulos cuantitativos no pueden continuar para siempre”… 5. “(El objetivo de la Fed es) beneficiar a todos los americanos”…</w:t>
      </w:r>
      <w:r w:rsidRPr="00AE55C3">
        <w:rPr>
          <w:b/>
        </w:rPr>
        <w:t xml:space="preserve"> </w:t>
      </w:r>
      <w:r w:rsidRPr="00AE55C3">
        <w:rPr>
          <w:rStyle w:val="Textoennegrita"/>
          <w:b w:val="0"/>
        </w:rPr>
        <w:t>6. “La Fed no es prisionera de los mercados”</w:t>
      </w:r>
      <w:r w:rsidRPr="00AE55C3">
        <w:rPr>
          <w:b/>
        </w:rPr>
        <w:t xml:space="preserve">… </w:t>
      </w:r>
      <w:r w:rsidRPr="00AE55C3">
        <w:rPr>
          <w:rStyle w:val="Textoennegrita"/>
          <w:b w:val="0"/>
        </w:rPr>
        <w:t>7. “No hay una burbuja en las acciones”… 8. “La Fed tiene herramientas para evitar la emergencia de burbujas”… 9. “Estáis haciendo nuestro trabajo más difícil”… 10. “La supervisión es tan importante como la política monetaria”.</w:t>
      </w:r>
    </w:p>
    <w:p w:rsidR="008B3730" w:rsidRPr="008B3730" w:rsidRDefault="008B3730" w:rsidP="00387350">
      <w:pPr>
        <w:pStyle w:val="NormalWeb"/>
        <w:jc w:val="both"/>
      </w:pPr>
      <w:r>
        <w:t xml:space="preserve">- </w:t>
      </w:r>
      <w:r w:rsidRPr="00C11B24">
        <w:rPr>
          <w:u w:val="single"/>
        </w:rPr>
        <w:t>¿Son las burbujas de activos el único camino hacia el crecimiento?</w:t>
      </w:r>
      <w:r>
        <w:t xml:space="preserve"> </w:t>
      </w:r>
      <w:r w:rsidRPr="008B3730">
        <w:t xml:space="preserve">(The Wall Street Journal - </w:t>
      </w:r>
      <w:r w:rsidRPr="008B3730">
        <w:rPr>
          <w:b/>
        </w:rPr>
        <w:t>18/11/13</w:t>
      </w:r>
      <w:r w:rsidRPr="008B3730">
        <w:t>)</w:t>
      </w:r>
    </w:p>
    <w:p w:rsidR="008B3730" w:rsidRDefault="008B3730" w:rsidP="00387350">
      <w:pPr>
        <w:pStyle w:val="NormalWeb"/>
        <w:jc w:val="both"/>
      </w:pPr>
      <w:r w:rsidRPr="003A257D">
        <w:t xml:space="preserve">¿Son las burbujas de activos la única manera en que los bancos centrales pueden impulsar la demanda? Los principales economistas están empezando a preguntárselo. Y tanto los expertos como los gobernadores de bancos centrales se inclinan claramente a favor de mantener los precios de los activos al alza si esa es la única manera de lograr </w:t>
      </w:r>
      <w:r w:rsidRPr="003A257D">
        <w:lastRenderedPageBreak/>
        <w:t xml:space="preserve">que la economía siga adelante. Esto resultará ser, indudablemente, un error, aunque dadas las limitaciones con las que operan los gobernadores de los bancos centrales, es un error que probablemente crean que no tienen más remedio que cometer. </w:t>
      </w:r>
    </w:p>
    <w:p w:rsidR="008B3730" w:rsidRDefault="008B3730" w:rsidP="00387350">
      <w:pPr>
        <w:pStyle w:val="NormalWeb"/>
        <w:jc w:val="both"/>
      </w:pPr>
      <w:r>
        <w:t xml:space="preserve">- </w:t>
      </w:r>
      <w:r w:rsidRPr="004605A4">
        <w:rPr>
          <w:u w:val="single"/>
        </w:rPr>
        <w:t>Japón fracasa de nuevo: imprimir billetes no soluciona la crisis</w:t>
      </w:r>
      <w:r>
        <w:t xml:space="preserve"> (Libertad Digital - </w:t>
      </w:r>
      <w:r w:rsidRPr="004605A4">
        <w:rPr>
          <w:b/>
        </w:rPr>
        <w:t>23/11/13</w:t>
      </w:r>
      <w:r>
        <w:t>)</w:t>
      </w:r>
    </w:p>
    <w:p w:rsidR="008B3730" w:rsidRDefault="008B3730" w:rsidP="00387350">
      <w:pPr>
        <w:shd w:val="clear" w:color="auto" w:fill="FFFFFF"/>
        <w:spacing w:after="360" w:line="240" w:lineRule="auto"/>
        <w:jc w:val="both"/>
        <w:rPr>
          <w:rFonts w:ascii="Times New Roman" w:hAnsi="Times New Roman"/>
          <w:sz w:val="24"/>
          <w:szCs w:val="24"/>
        </w:rPr>
      </w:pPr>
      <w:r w:rsidRPr="00230AA7">
        <w:rPr>
          <w:rFonts w:ascii="Times New Roman" w:hAnsi="Times New Roman"/>
          <w:sz w:val="24"/>
          <w:szCs w:val="24"/>
        </w:rPr>
        <w:t xml:space="preserve">Con </w:t>
      </w:r>
      <w:r w:rsidRPr="00230AA7">
        <w:rPr>
          <w:rFonts w:ascii="Times New Roman" w:hAnsi="Times New Roman"/>
          <w:bCs/>
          <w:sz w:val="24"/>
          <w:szCs w:val="24"/>
        </w:rPr>
        <w:t>Haruhiko Kuroda</w:t>
      </w:r>
      <w:r w:rsidRPr="00230AA7">
        <w:rPr>
          <w:rFonts w:ascii="Times New Roman" w:hAnsi="Times New Roman"/>
          <w:sz w:val="24"/>
          <w:szCs w:val="24"/>
        </w:rPr>
        <w:t xml:space="preserve"> al frente, el BoJ se ha propuesto </w:t>
      </w:r>
      <w:r w:rsidRPr="00230AA7">
        <w:rPr>
          <w:rFonts w:ascii="Times New Roman" w:hAnsi="Times New Roman"/>
          <w:bCs/>
          <w:sz w:val="24"/>
          <w:szCs w:val="24"/>
        </w:rPr>
        <w:t xml:space="preserve">duplicar su base monetaria </w:t>
      </w:r>
      <w:r w:rsidRPr="00230AA7">
        <w:rPr>
          <w:rFonts w:ascii="Times New Roman" w:hAnsi="Times New Roman"/>
          <w:sz w:val="24"/>
          <w:szCs w:val="24"/>
        </w:rPr>
        <w:t>incrementando hasta cotas inéditas la compra de activos financieros y deuda pública, con el objetivo de situar la</w:t>
      </w:r>
      <w:r w:rsidRPr="00230AA7">
        <w:rPr>
          <w:rFonts w:ascii="Times New Roman" w:hAnsi="Times New Roman"/>
          <w:bCs/>
          <w:sz w:val="24"/>
          <w:szCs w:val="24"/>
        </w:rPr>
        <w:t xml:space="preserve"> inflación en el 2%</w:t>
      </w:r>
      <w:r w:rsidRPr="00230AA7">
        <w:rPr>
          <w:rFonts w:ascii="Times New Roman" w:hAnsi="Times New Roman"/>
          <w:sz w:val="24"/>
          <w:szCs w:val="24"/>
        </w:rPr>
        <w:t xml:space="preserve"> anual. Al mismo tiempo, el Gobierno de Abe aprobó un gasto público récord, próximo a 701.000 millones de euros, con el fin de disparar la inversión y ayudar a</w:t>
      </w:r>
      <w:r>
        <w:rPr>
          <w:rFonts w:ascii="Times New Roman" w:hAnsi="Times New Roman"/>
          <w:sz w:val="24"/>
          <w:szCs w:val="24"/>
        </w:rPr>
        <w:t xml:space="preserve"> las grandes empresas del país. </w:t>
      </w:r>
      <w:r w:rsidRPr="00230AA7">
        <w:rPr>
          <w:rFonts w:ascii="Times New Roman" w:hAnsi="Times New Roman"/>
          <w:sz w:val="24"/>
          <w:szCs w:val="24"/>
        </w:rPr>
        <w:t xml:space="preserve">Estas medidas, ambas de corte keynesiano, han sido </w:t>
      </w:r>
      <w:r w:rsidRPr="00230AA7">
        <w:rPr>
          <w:rFonts w:ascii="Times New Roman" w:hAnsi="Times New Roman"/>
          <w:bCs/>
          <w:sz w:val="24"/>
          <w:szCs w:val="24"/>
        </w:rPr>
        <w:t>ampliamente aplaudidas</w:t>
      </w:r>
      <w:r w:rsidRPr="00230AA7">
        <w:rPr>
          <w:rFonts w:ascii="Times New Roman" w:hAnsi="Times New Roman"/>
          <w:sz w:val="24"/>
          <w:szCs w:val="24"/>
        </w:rPr>
        <w:t xml:space="preserve"> por la comunidad internacional, salvo contadas excepciones. Pero, tras un año de aplicación, </w:t>
      </w:r>
      <w:r w:rsidRPr="00230AA7">
        <w:rPr>
          <w:rFonts w:ascii="Times New Roman" w:hAnsi="Times New Roman"/>
          <w:bCs/>
          <w:sz w:val="24"/>
          <w:szCs w:val="24"/>
        </w:rPr>
        <w:t>¿cuáles han sido sus resultados concretos?</w:t>
      </w:r>
      <w:r w:rsidRPr="00230AA7">
        <w:rPr>
          <w:rFonts w:ascii="Times New Roman" w:hAnsi="Times New Roman"/>
          <w:sz w:val="24"/>
          <w:szCs w:val="24"/>
        </w:rPr>
        <w:t xml:space="preserve"> El </w:t>
      </w:r>
      <w:r>
        <w:rPr>
          <w:rFonts w:ascii="Times New Roman" w:hAnsi="Times New Roman"/>
          <w:sz w:val="24"/>
          <w:szCs w:val="24"/>
        </w:rPr>
        <w:t>“</w:t>
      </w:r>
      <w:r w:rsidRPr="003A2F36">
        <w:rPr>
          <w:rFonts w:ascii="Times New Roman" w:hAnsi="Times New Roman"/>
          <w:iCs/>
          <w:sz w:val="24"/>
          <w:szCs w:val="24"/>
        </w:rPr>
        <w:t>Abenomics</w:t>
      </w:r>
      <w:r>
        <w:rPr>
          <w:rFonts w:ascii="Times New Roman" w:hAnsi="Times New Roman"/>
          <w:iCs/>
          <w:sz w:val="24"/>
          <w:szCs w:val="24"/>
        </w:rPr>
        <w:t>”</w:t>
      </w:r>
      <w:r w:rsidRPr="00230AA7">
        <w:rPr>
          <w:rFonts w:ascii="Times New Roman" w:hAnsi="Times New Roman"/>
          <w:sz w:val="24"/>
          <w:szCs w:val="24"/>
        </w:rPr>
        <w:t>, simplemente,</w:t>
      </w:r>
      <w:r w:rsidRPr="00230AA7">
        <w:rPr>
          <w:rFonts w:ascii="Times New Roman" w:hAnsi="Times New Roman"/>
          <w:bCs/>
          <w:sz w:val="24"/>
          <w:szCs w:val="24"/>
        </w:rPr>
        <w:t xml:space="preserve"> no está funcionando</w:t>
      </w:r>
      <w:r w:rsidRPr="00230AA7">
        <w:rPr>
          <w:rFonts w:ascii="Times New Roman" w:hAnsi="Times New Roman"/>
          <w:sz w:val="24"/>
          <w:szCs w:val="24"/>
        </w:rPr>
        <w:t>. El crédito no fluye hacia la economía real y, aunque es cierto que la inflación se ha situado en terreno positivo por primera vez en 15 años, la subida de precios no se debe a una incipiente y sólida recuperación económica sino a un muy perjudicial y contraproducente encarecimiento de las importaciones.</w:t>
      </w:r>
    </w:p>
    <w:p w:rsidR="008B3730" w:rsidRPr="00230AA7" w:rsidRDefault="008B3730" w:rsidP="0038735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2A69DC">
        <w:rPr>
          <w:rFonts w:ascii="Times New Roman" w:hAnsi="Times New Roman"/>
          <w:sz w:val="24"/>
          <w:szCs w:val="24"/>
          <w:u w:val="single"/>
        </w:rPr>
        <w:t>Hacia dónde corren los bancos centrales</w:t>
      </w:r>
      <w:r>
        <w:rPr>
          <w:rFonts w:ascii="Times New Roman" w:hAnsi="Times New Roman"/>
          <w:sz w:val="24"/>
          <w:szCs w:val="24"/>
        </w:rPr>
        <w:t xml:space="preserve"> (El Economista - </w:t>
      </w:r>
      <w:r w:rsidRPr="002A69DC">
        <w:rPr>
          <w:rFonts w:ascii="Times New Roman" w:hAnsi="Times New Roman"/>
          <w:b/>
          <w:sz w:val="24"/>
          <w:szCs w:val="24"/>
        </w:rPr>
        <w:t>24/11/13</w:t>
      </w:r>
      <w:r>
        <w:rPr>
          <w:rFonts w:ascii="Times New Roman" w:hAnsi="Times New Roman"/>
          <w:sz w:val="24"/>
          <w:szCs w:val="24"/>
        </w:rPr>
        <w:t>)</w:t>
      </w:r>
    </w:p>
    <w:p w:rsidR="008B3730" w:rsidRDefault="008B3730" w:rsidP="00387350">
      <w:pPr>
        <w:spacing w:before="100" w:beforeAutospacing="1" w:after="100" w:afterAutospacing="1" w:line="240" w:lineRule="auto"/>
        <w:jc w:val="both"/>
        <w:rPr>
          <w:rFonts w:ascii="Times New Roman" w:hAnsi="Times New Roman"/>
          <w:sz w:val="24"/>
          <w:szCs w:val="24"/>
        </w:rPr>
      </w:pPr>
      <w:r w:rsidRPr="00230AA7">
        <w:rPr>
          <w:rFonts w:ascii="Times New Roman" w:hAnsi="Times New Roman"/>
          <w:sz w:val="24"/>
          <w:szCs w:val="24"/>
        </w:rPr>
        <w:t>La crisis económica más grave desde la Gran Depresión ha puesto sobre la mesa el debate sobre las recetas monetarias apropiadas. Los bancos centrales que han sido más agresivos, los de EEUU y Reino Unido, estudian el momento adecuado para retirar sus estímulos sin que se generen desequilibrios económicos, mientras que los más retrasados, los de Europa y Japón, están acelerando.</w:t>
      </w:r>
      <w:r>
        <w:rPr>
          <w:rFonts w:ascii="Times New Roman" w:hAnsi="Times New Roman"/>
          <w:sz w:val="24"/>
          <w:szCs w:val="24"/>
        </w:rPr>
        <w:t xml:space="preserve"> </w:t>
      </w:r>
      <w:r w:rsidRPr="00230AA7">
        <w:rPr>
          <w:rFonts w:ascii="Times New Roman" w:hAnsi="Times New Roman"/>
          <w:sz w:val="24"/>
          <w:szCs w:val="24"/>
        </w:rPr>
        <w:t>Los libros de Historia recordarán en pocas décadas la difícil crisis económica que asoló a los países desarrollados entre 2008 y una fecha de salida que sólo el tiempo determinará. En esas páginas serán protagonistas, casi como nunca en la historia económica lo fueron, los bancos centrales. En estos años se han convertido en los auténticos salvadores de la economía.</w:t>
      </w:r>
      <w:r w:rsidRPr="00230AA7">
        <w:rPr>
          <w:rFonts w:ascii="Times New Roman" w:hAnsi="Times New Roman"/>
          <w:bCs/>
          <w:sz w:val="24"/>
          <w:szCs w:val="24"/>
        </w:rPr>
        <w:t xml:space="preserve"> En su función de prestamistas de última instancia, han evitado una crisis de liquidez que en 2008 amenazó con provocar una caída paulatina del sistema financiero mundial</w:t>
      </w:r>
      <w:r w:rsidRPr="00230AA7">
        <w:rPr>
          <w:rFonts w:ascii="Times New Roman" w:hAnsi="Times New Roman"/>
          <w:sz w:val="24"/>
          <w:szCs w:val="24"/>
        </w:rPr>
        <w:t xml:space="preserve">, como si </w:t>
      </w:r>
      <w:r>
        <w:rPr>
          <w:rFonts w:ascii="Times New Roman" w:hAnsi="Times New Roman"/>
          <w:sz w:val="24"/>
          <w:szCs w:val="24"/>
        </w:rPr>
        <w:t xml:space="preserve">de un efecto dominó se tratase. </w:t>
      </w:r>
      <w:r w:rsidRPr="00230AA7">
        <w:rPr>
          <w:rFonts w:ascii="Times New Roman" w:hAnsi="Times New Roman"/>
          <w:sz w:val="24"/>
          <w:szCs w:val="24"/>
        </w:rPr>
        <w:t xml:space="preserve">Estos protagonistas de la Historia económica del siglo XXI todavía tendrán que escribir cómo será la salida de la crisis con unas políticas monetarias que sólo el tiempo determinará si fueron o no acertadas. </w:t>
      </w:r>
      <w:r w:rsidRPr="00230AA7">
        <w:rPr>
          <w:rFonts w:ascii="Times New Roman" w:hAnsi="Times New Roman"/>
          <w:bCs/>
          <w:sz w:val="24"/>
          <w:szCs w:val="24"/>
        </w:rPr>
        <w:t>En EEUU o Reino Unido la estrategia seguida ha sido la de impulsar fuertes estímulos cuantitativos para estimular a la economía y ahora parece ser el momento de pensar en retirarlos.</w:t>
      </w:r>
      <w:r w:rsidRPr="00230AA7">
        <w:rPr>
          <w:rFonts w:ascii="Times New Roman" w:hAnsi="Times New Roman"/>
          <w:sz w:val="24"/>
          <w:szCs w:val="24"/>
        </w:rPr>
        <w:t xml:space="preserve"> Por el contrario, Japón y la eurozona, más retrasados en sus políticas expansivas, se ven tentados a pisar el acelerador para que los indicios de salida de la crisis sean algo más que un conjunto de pobres datos económicos positivos y mucha ilusión en su interpretación.</w:t>
      </w:r>
    </w:p>
    <w:p w:rsidR="008B3730" w:rsidRPr="003E7ACA" w:rsidRDefault="008B3730" w:rsidP="0038735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3E7ACA">
        <w:rPr>
          <w:rFonts w:ascii="Times New Roman" w:hAnsi="Times New Roman"/>
          <w:sz w:val="24"/>
          <w:szCs w:val="24"/>
          <w:u w:val="single"/>
        </w:rPr>
        <w:t>El impactante discurso de Larry Summers: ¿y si sólo podemos crecer creando burbujas?</w:t>
      </w:r>
      <w:r>
        <w:rPr>
          <w:rFonts w:ascii="Times New Roman" w:hAnsi="Times New Roman"/>
          <w:sz w:val="24"/>
          <w:szCs w:val="24"/>
        </w:rPr>
        <w:t xml:space="preserve"> (Vozpópuli - </w:t>
      </w:r>
      <w:r w:rsidRPr="003E7ACA">
        <w:rPr>
          <w:rFonts w:ascii="Times New Roman" w:hAnsi="Times New Roman"/>
          <w:b/>
          <w:sz w:val="24"/>
          <w:szCs w:val="24"/>
        </w:rPr>
        <w:t>24/11/13</w:t>
      </w:r>
      <w:r>
        <w:rPr>
          <w:rFonts w:ascii="Times New Roman" w:hAnsi="Times New Roman"/>
          <w:sz w:val="24"/>
          <w:szCs w:val="24"/>
        </w:rPr>
        <w:t>)</w:t>
      </w:r>
    </w:p>
    <w:p w:rsidR="008B3730" w:rsidRDefault="008B3730" w:rsidP="00387350">
      <w:pPr>
        <w:spacing w:before="100" w:beforeAutospacing="1" w:after="100" w:afterAutospacing="1" w:line="240" w:lineRule="auto"/>
        <w:jc w:val="both"/>
        <w:rPr>
          <w:rFonts w:ascii="Times New Roman" w:hAnsi="Times New Roman"/>
          <w:sz w:val="24"/>
          <w:szCs w:val="24"/>
        </w:rPr>
      </w:pPr>
      <w:r w:rsidRPr="00230AA7">
        <w:rPr>
          <w:rFonts w:ascii="Times New Roman" w:hAnsi="Times New Roman"/>
          <w:sz w:val="24"/>
          <w:szCs w:val="24"/>
        </w:rPr>
        <w:t xml:space="preserve">¿Qué pasaría si la crisis simplemente se hubiese acabado y en realidad nos estuviésemos enfrentando a un nuevo escenario en el que el escaso crecimiento es lo normal, una especie de estancamiento secular?, planteó el exsecretario del Tesoro estadounidense y asesor de Obama ante una selecta audiencia en un foro del FMI… ¿Qué pasaría si la </w:t>
      </w:r>
      <w:r w:rsidRPr="00230AA7">
        <w:rPr>
          <w:rFonts w:ascii="Times New Roman" w:hAnsi="Times New Roman"/>
          <w:sz w:val="24"/>
          <w:szCs w:val="24"/>
        </w:rPr>
        <w:lastRenderedPageBreak/>
        <w:t>crisis simplemente se hubiese acabado y en realidad nos estuviésemos enfrentando a un nuevo escenario en el que el escaso crecimiento es lo normal, una especie de estancamiento secular?, planteó Summers… Y para explicar por qué Summers se remonta a la década anterior a la crisis y se pregunta: ¿cómo pudo ser que en los años previos a la debacle hubiese tanta imprudencia financiera, tanto dinero fácil, y aun así todos esos excesos no se tradujesen en un aumento espectacular de la demanda, mayor empleo, un sobrecalentamiento de la economía y, al final, una oleada de inflación rampante? Es decir, incluso con una gran burbuja y todos esos estímulos artificiales, la demanda no se disparó demasiado. Supongamos, dice Summers, que los tipos de interés reales descontando la inflación ya fuesen antes negativos, y que ni siquiera así se logró el pleno empleo. ¿Acaso no será entonces que ya antes de la crisis no se podía crecer pero la actividad se mantuvo a fuerza de burbujas? Según Summers, cuando los tipos de interés están en positivo se pueden bajar y fomentar la demanda. Incluso con unos tipos a cero, se puede soportar la demanda inyectando dinero e inflando así algunos precios de activos. Pero una vez los tipos de interés descontada la inflación caen por debajo de cero, aunque se pueden mantener los tipos muy bajos para siempre, resulta mucho más difícil tomar medidas extraordinarias que fomenten la demanda durante mucho tiempo o incluso para siempre. Sin embargo, lamentablemente, “el problema de fondo puede estar ahí para siempre”, afirmó Summers… ¿Y qué significa lo dicho por Summers? Esta intervención se entiende como un aval para las políticas de estímulos justo ahora que la Reserva Federal estudia si debe rebajar sus inyecciones monetarias y que el BCE baraja si tomar o no nuevas medidas para alejar la amenaza de unas inflaciones muy bajas y, por consiguiente, unos crecimientos muy bajos. Si la teoría de Summers se cumple, se trata de escoger entre el riesgo de sufrir la inflación y nuevas burbujas o el de padecer muchos años con altas tasas de desempleo.</w:t>
      </w:r>
    </w:p>
    <w:p w:rsidR="008B3730" w:rsidRPr="00BA641E" w:rsidRDefault="008B3730" w:rsidP="0038735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6853D4">
        <w:rPr>
          <w:rFonts w:ascii="Times New Roman" w:hAnsi="Times New Roman"/>
          <w:sz w:val="24"/>
          <w:szCs w:val="24"/>
          <w:u w:val="single"/>
        </w:rPr>
        <w:t>¿Hay una burbuja en las acciones estadounidenses?</w:t>
      </w:r>
      <w:r>
        <w:rPr>
          <w:rFonts w:ascii="Times New Roman" w:hAnsi="Times New Roman"/>
          <w:sz w:val="24"/>
          <w:szCs w:val="24"/>
        </w:rPr>
        <w:t xml:space="preserve"> </w:t>
      </w:r>
      <w:r w:rsidRPr="00BA641E">
        <w:rPr>
          <w:rFonts w:ascii="Times New Roman" w:hAnsi="Times New Roman"/>
          <w:sz w:val="24"/>
          <w:szCs w:val="24"/>
        </w:rPr>
        <w:t xml:space="preserve">(The Wall Street Journal - </w:t>
      </w:r>
      <w:r w:rsidRPr="00BA641E">
        <w:rPr>
          <w:rFonts w:ascii="Times New Roman" w:hAnsi="Times New Roman"/>
          <w:b/>
          <w:sz w:val="24"/>
          <w:szCs w:val="24"/>
        </w:rPr>
        <w:t>25/11/13</w:t>
      </w:r>
      <w:r w:rsidRPr="00BA641E">
        <w:rPr>
          <w:rFonts w:ascii="Times New Roman" w:hAnsi="Times New Roman"/>
          <w:sz w:val="24"/>
          <w:szCs w:val="24"/>
        </w:rPr>
        <w:t xml:space="preserve">) </w:t>
      </w:r>
    </w:p>
    <w:p w:rsidR="008B3730" w:rsidRDefault="008B3730" w:rsidP="00387350">
      <w:pPr>
        <w:spacing w:before="100" w:beforeAutospacing="1" w:after="100" w:afterAutospacing="1" w:line="240" w:lineRule="auto"/>
        <w:jc w:val="both"/>
        <w:rPr>
          <w:rFonts w:ascii="Times New Roman" w:hAnsi="Times New Roman"/>
          <w:sz w:val="24"/>
          <w:szCs w:val="24"/>
        </w:rPr>
      </w:pPr>
      <w:r w:rsidRPr="00BA641E">
        <w:rPr>
          <w:rFonts w:ascii="Times New Roman" w:hAnsi="Times New Roman"/>
          <w:sz w:val="24"/>
          <w:szCs w:val="24"/>
        </w:rPr>
        <w:t xml:space="preserve">Los precios de algunas acciones populares crecieron a más del doble en lo que va del año, el mercado de salidas a bolsa se ha calentado y pequeños inversionistas vuelen a apostar en la renta variable. </w:t>
      </w:r>
      <w:r>
        <w:rPr>
          <w:rFonts w:ascii="Times New Roman" w:hAnsi="Times New Roman"/>
          <w:sz w:val="24"/>
          <w:szCs w:val="24"/>
        </w:rPr>
        <w:t>El “murmullo sobre la burbuja”</w:t>
      </w:r>
      <w:r w:rsidRPr="00BA641E">
        <w:rPr>
          <w:rFonts w:ascii="Times New Roman" w:hAnsi="Times New Roman"/>
          <w:sz w:val="24"/>
          <w:szCs w:val="24"/>
        </w:rPr>
        <w:t xml:space="preserve"> creció aún más luego de que Twitter debutara en la bolsa el 7 de noviembre, cuando las acciones del sitio de microblogueo se dispararon 73%. El fabricante de autos eléctricos Tesla Motors TSLA ha subido más de 250% en 2013 y el gigante minorista en línea Amazon.com ha trepado casi 50%. Hay tantos superlativos en el mercado bursátil que es fácil olvidar que el S&amp;P 500 ha establecido 36 récords este año durante su ascenso de 26%, o que la crisis sobre el límite de endeudamiento de Estados Unidos amenazó con sacudir la economía hace sólo un mes. Durante la reciente audiencia de confirmación en el Senado de Janet Yellen, la nominada para reemplazar a Ben Bernanke como presidente de la Reserva federal, el senador republicano Mike Johanns afirmó que cree que la política monetaria laxa del banco central está impulsando un alza de las acciones y los mercados de bienes raíces. </w:t>
      </w:r>
      <w:r>
        <w:rPr>
          <w:rFonts w:ascii="Times New Roman" w:hAnsi="Times New Roman"/>
          <w:sz w:val="24"/>
          <w:szCs w:val="24"/>
        </w:rPr>
        <w:t>“</w:t>
      </w:r>
      <w:r w:rsidRPr="00BA641E">
        <w:rPr>
          <w:rFonts w:ascii="Times New Roman" w:hAnsi="Times New Roman"/>
          <w:sz w:val="24"/>
          <w:szCs w:val="24"/>
        </w:rPr>
        <w:t>¿Q</w:t>
      </w:r>
      <w:r>
        <w:rPr>
          <w:rFonts w:ascii="Times New Roman" w:hAnsi="Times New Roman"/>
          <w:sz w:val="24"/>
          <w:szCs w:val="24"/>
        </w:rPr>
        <w:t>ué estoy pasando por alto aquí?”</w:t>
      </w:r>
      <w:r w:rsidRPr="00BA641E">
        <w:rPr>
          <w:rFonts w:ascii="Times New Roman" w:hAnsi="Times New Roman"/>
          <w:sz w:val="24"/>
          <w:szCs w:val="24"/>
        </w:rPr>
        <w:t>, p</w:t>
      </w:r>
      <w:r>
        <w:rPr>
          <w:rFonts w:ascii="Times New Roman" w:hAnsi="Times New Roman"/>
          <w:sz w:val="24"/>
          <w:szCs w:val="24"/>
        </w:rPr>
        <w:t>reguntó. “Veo burbujas de activos”</w:t>
      </w:r>
      <w:r w:rsidRPr="00BA641E">
        <w:rPr>
          <w:rFonts w:ascii="Times New Roman" w:hAnsi="Times New Roman"/>
          <w:sz w:val="24"/>
          <w:szCs w:val="24"/>
        </w:rPr>
        <w:t xml:space="preserve">. </w:t>
      </w:r>
      <w:r>
        <w:rPr>
          <w:rFonts w:ascii="Times New Roman" w:hAnsi="Times New Roman"/>
          <w:sz w:val="24"/>
          <w:szCs w:val="24"/>
        </w:rPr>
        <w:t>Yellen respondió: “</w:t>
      </w:r>
      <w:r w:rsidRPr="00BA641E">
        <w:rPr>
          <w:rFonts w:ascii="Times New Roman" w:hAnsi="Times New Roman"/>
          <w:sz w:val="24"/>
          <w:szCs w:val="24"/>
        </w:rPr>
        <w:t xml:space="preserve">Debemos observar esto con mucho cuidado, pero no lo </w:t>
      </w:r>
      <w:r>
        <w:rPr>
          <w:rFonts w:ascii="Times New Roman" w:hAnsi="Times New Roman"/>
          <w:sz w:val="24"/>
          <w:szCs w:val="24"/>
        </w:rPr>
        <w:t>veo como una burbuja de activos”</w:t>
      </w:r>
      <w:r w:rsidRPr="00BA641E">
        <w:rPr>
          <w:rFonts w:ascii="Times New Roman" w:hAnsi="Times New Roman"/>
          <w:sz w:val="24"/>
          <w:szCs w:val="24"/>
        </w:rPr>
        <w:t>.</w:t>
      </w:r>
    </w:p>
    <w:p w:rsidR="008B3730" w:rsidRPr="003E7FD4"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3E7FD4">
        <w:rPr>
          <w:rFonts w:ascii="Times New Roman" w:hAnsi="Times New Roman"/>
          <w:sz w:val="24"/>
          <w:szCs w:val="24"/>
          <w:u w:val="single"/>
        </w:rPr>
        <w:t>Estados Unidos, en alerta por una nueva burbuja inmobiliaria</w:t>
      </w:r>
      <w:r>
        <w:rPr>
          <w:rFonts w:ascii="Times New Roman" w:hAnsi="Times New Roman"/>
          <w:sz w:val="24"/>
          <w:szCs w:val="24"/>
        </w:rPr>
        <w:t xml:space="preserve"> (BBCMundo - </w:t>
      </w:r>
      <w:r w:rsidRPr="003E7FD4">
        <w:rPr>
          <w:rFonts w:ascii="Times New Roman" w:hAnsi="Times New Roman"/>
          <w:b/>
          <w:sz w:val="24"/>
          <w:szCs w:val="24"/>
        </w:rPr>
        <w:t>28/11/13</w:t>
      </w:r>
      <w:r>
        <w:rPr>
          <w:rFonts w:ascii="Times New Roman" w:hAnsi="Times New Roman"/>
          <w:sz w:val="24"/>
          <w:szCs w:val="24"/>
        </w:rPr>
        <w:t>)</w:t>
      </w:r>
    </w:p>
    <w:p w:rsidR="008B3730" w:rsidRPr="00AE55C3" w:rsidRDefault="008B3730" w:rsidP="00387350">
      <w:pPr>
        <w:spacing w:line="240" w:lineRule="auto"/>
        <w:jc w:val="both"/>
        <w:rPr>
          <w:rFonts w:ascii="Times New Roman" w:hAnsi="Times New Roman"/>
          <w:sz w:val="24"/>
          <w:szCs w:val="24"/>
        </w:rPr>
      </w:pPr>
      <w:r w:rsidRPr="00BA641E">
        <w:rPr>
          <w:rFonts w:ascii="Times New Roman" w:hAnsi="Times New Roman"/>
          <w:sz w:val="24"/>
          <w:szCs w:val="24"/>
        </w:rPr>
        <w:t xml:space="preserve">Estados Unidos está frente a la perspectiva de un nuevo auge de la especulación inmobiliaria. En septiembre, y en comparación con 2012, el aumento interanual de los </w:t>
      </w:r>
      <w:r w:rsidRPr="00BA641E">
        <w:rPr>
          <w:rFonts w:ascii="Times New Roman" w:hAnsi="Times New Roman"/>
          <w:sz w:val="24"/>
          <w:szCs w:val="24"/>
        </w:rPr>
        <w:lastRenderedPageBreak/>
        <w:t xml:space="preserve">precios fue de un 12,8%. En algunos estados como California o Nevada el alza ha sido de 20%. </w:t>
      </w:r>
      <w:r>
        <w:rPr>
          <w:rFonts w:ascii="Times New Roman" w:hAnsi="Times New Roman"/>
          <w:sz w:val="24"/>
          <w:szCs w:val="24"/>
        </w:rPr>
        <w:t>El índice Case Shiller -</w:t>
      </w:r>
      <w:r w:rsidRPr="00BA641E">
        <w:rPr>
          <w:rFonts w:ascii="Times New Roman" w:hAnsi="Times New Roman"/>
          <w:sz w:val="24"/>
          <w:szCs w:val="24"/>
        </w:rPr>
        <w:t>que elabora el recientemente galardonado premio Nobe</w:t>
      </w:r>
      <w:r>
        <w:rPr>
          <w:rFonts w:ascii="Times New Roman" w:hAnsi="Times New Roman"/>
          <w:sz w:val="24"/>
          <w:szCs w:val="24"/>
        </w:rPr>
        <w:t>l de Economía Robert J. Shiller-</w:t>
      </w:r>
      <w:r w:rsidRPr="00BA641E">
        <w:rPr>
          <w:rFonts w:ascii="Times New Roman" w:hAnsi="Times New Roman"/>
          <w:sz w:val="24"/>
          <w:szCs w:val="24"/>
        </w:rPr>
        <w:t xml:space="preserve"> hizo sonar la alarma en abril cuando calculó que el ritmo del aumento de la vivienda había alcanzado su nivel máximo desde el feroz estallido de la burbuja en 2007-2008.</w:t>
      </w:r>
    </w:p>
    <w:p w:rsidR="008B3730" w:rsidRPr="00804557"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0D0787">
        <w:rPr>
          <w:rFonts w:ascii="Times New Roman" w:hAnsi="Times New Roman"/>
          <w:sz w:val="24"/>
          <w:szCs w:val="24"/>
          <w:u w:val="single"/>
        </w:rPr>
        <w:t>Los inversionistas apuestan a que Janet Yellen seguirá apuntalando los mercados</w:t>
      </w:r>
      <w:r>
        <w:rPr>
          <w:rFonts w:ascii="Times New Roman" w:hAnsi="Times New Roman"/>
          <w:sz w:val="24"/>
          <w:szCs w:val="24"/>
        </w:rPr>
        <w:t xml:space="preserve"> (The Wall Street Journal - </w:t>
      </w:r>
      <w:r w:rsidRPr="000D0787">
        <w:rPr>
          <w:rFonts w:ascii="Times New Roman" w:hAnsi="Times New Roman"/>
          <w:b/>
          <w:sz w:val="24"/>
          <w:szCs w:val="24"/>
        </w:rPr>
        <w:t>2/12/13</w:t>
      </w:r>
      <w:r>
        <w:rPr>
          <w:rFonts w:ascii="Times New Roman" w:hAnsi="Times New Roman"/>
          <w:sz w:val="24"/>
          <w:szCs w:val="24"/>
        </w:rPr>
        <w:t>)</w:t>
      </w:r>
      <w:r w:rsidRPr="000D0787">
        <w:rPr>
          <w:rFonts w:ascii="Times New Roman" w:hAnsi="Times New Roman"/>
          <w:sz w:val="24"/>
          <w:szCs w:val="24"/>
        </w:rPr>
        <w:t xml:space="preserve"> </w:t>
      </w:r>
    </w:p>
    <w:p w:rsidR="008B3730" w:rsidRDefault="008B3730" w:rsidP="00387350">
      <w:pPr>
        <w:spacing w:line="240" w:lineRule="auto"/>
        <w:jc w:val="both"/>
        <w:rPr>
          <w:rFonts w:ascii="Times New Roman" w:hAnsi="Times New Roman"/>
          <w:sz w:val="24"/>
          <w:szCs w:val="24"/>
        </w:rPr>
      </w:pPr>
      <w:r w:rsidRPr="00C306B3">
        <w:rPr>
          <w:rFonts w:ascii="Times New Roman" w:hAnsi="Times New Roman"/>
          <w:sz w:val="24"/>
          <w:szCs w:val="24"/>
        </w:rPr>
        <w:t>Las teorías apocalípticas están en boga. Los analistas están preocupados por una posible burbuja en el mercado bursátil, otra en el mercado de bonos, el menor crecimiento de las ganancias de las empresas y el riesgo de una desaceleración en China. Todos estos temores son legítimos, pero en este momento lo que les quita el sueño a los inversionistas se conoce en inglés como WWJD, por las siglas de What Will Janet Do?, o ¿qué hará Janet?, en referencia a Janet Yellen, quien sustituirá a Ben Bernanke al mando de la Reserva Federal de Estados Unidos. De momento, eso significaría un auge continuo en los precios de las acciones. Durante más de cuatro años, el principal motor del mercado bursátil ha sido la disposición de la Fed a brindar varias formas de estímulo financiero, que actualmente consiste en un programa de compras de bonos por valor de US$ 85.000 millones mensuales. Se prevé que en algún momento el banco central de EEUU empiece a desmantelar esta ayuda. Pero con base en las tranquilizadoras declaraciones de Yellen durante sus testimonios de confirmación, muchos inversionistas creen que esperará más tiempo antes de empezar a reducir el programa y que lo hará con mayor lentitud que lo haría Bernanke. Yellen asumirá el cargo el primero de febrero, si recibe el visto bueno del Senado. Si el estímulo se prolonga, las inversiones más arriesgadas se vuelven más atractivas, lo que ayuda a explicar la reciente fortaleza de los mercados.</w:t>
      </w:r>
    </w:p>
    <w:p w:rsidR="008B3730" w:rsidRDefault="008B3730"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7A6510">
        <w:rPr>
          <w:rFonts w:ascii="Times New Roman" w:hAnsi="Times New Roman"/>
          <w:sz w:val="24"/>
          <w:szCs w:val="24"/>
          <w:u w:val="single"/>
        </w:rPr>
        <w:t>De nuevo las burbujas inmobiliarias</w:t>
      </w:r>
      <w:r>
        <w:rPr>
          <w:rFonts w:ascii="Times New Roman" w:hAnsi="Times New Roman"/>
          <w:sz w:val="24"/>
          <w:szCs w:val="24"/>
        </w:rPr>
        <w:t xml:space="preserve"> (</w:t>
      </w:r>
      <w:r w:rsidRPr="00BE3CC9">
        <w:rPr>
          <w:rFonts w:ascii="Times New Roman" w:hAnsi="Times New Roman"/>
          <w:sz w:val="24"/>
          <w:szCs w:val="24"/>
        </w:rPr>
        <w:t>Nouriel Roubini</w:t>
      </w:r>
      <w:r>
        <w:rPr>
          <w:rFonts w:ascii="Times New Roman" w:hAnsi="Times New Roman"/>
          <w:sz w:val="24"/>
          <w:szCs w:val="24"/>
        </w:rPr>
        <w:t xml:space="preserve"> - Project Syndicate - </w:t>
      </w:r>
      <w:r w:rsidRPr="007A6510">
        <w:rPr>
          <w:rFonts w:ascii="Times New Roman" w:hAnsi="Times New Roman"/>
          <w:b/>
          <w:sz w:val="24"/>
          <w:szCs w:val="24"/>
        </w:rPr>
        <w:t>29/11/13</w:t>
      </w:r>
      <w:r>
        <w:rPr>
          <w:rFonts w:ascii="Times New Roman" w:hAnsi="Times New Roman"/>
          <w:sz w:val="24"/>
          <w:szCs w:val="24"/>
        </w:rPr>
        <w:t>)</w:t>
      </w:r>
    </w:p>
    <w:p w:rsidR="008B3730" w:rsidRDefault="008B3730" w:rsidP="00387350">
      <w:pPr>
        <w:spacing w:line="240" w:lineRule="auto"/>
        <w:jc w:val="both"/>
        <w:rPr>
          <w:rFonts w:ascii="Times New Roman" w:hAnsi="Times New Roman"/>
          <w:sz w:val="24"/>
          <w:szCs w:val="24"/>
        </w:rPr>
      </w:pPr>
      <w:r w:rsidRPr="00172C12">
        <w:rPr>
          <w:rFonts w:ascii="Times New Roman" w:hAnsi="Times New Roman"/>
          <w:sz w:val="24"/>
          <w:szCs w:val="24"/>
        </w:rPr>
        <w:t>Existe un consenso generalizado en el sentido de que el desinflarse de una serie de burbujas inmobiliarias desencadenó la crisis financiera mundial de 2008-2009, junto con la grave recesión que siguió. Aunque el caso mejor conocido es el de los Estados Unidos, la combinación de una laxa reglamentación y supervisión de bancos y una política de tipos de interés bajos alimentó burbujas similares en el Reino Unido, España, Irlanda, Islandia y Dubái. Ahora, cinco años después, en los mercados inmobiliarios de Suiza, Suecia, Noruega, Finlandia, Francia, Alemania, el Cana</w:t>
      </w:r>
      <w:r>
        <w:rPr>
          <w:rFonts w:ascii="Times New Roman" w:hAnsi="Times New Roman"/>
          <w:sz w:val="24"/>
          <w:szCs w:val="24"/>
        </w:rPr>
        <w:t>dá, Australia, Nueva Zelanda y -de nuevo un bis-</w:t>
      </w:r>
      <w:r w:rsidRPr="00172C12">
        <w:rPr>
          <w:rFonts w:ascii="Times New Roman" w:hAnsi="Times New Roman"/>
          <w:sz w:val="24"/>
          <w:szCs w:val="24"/>
        </w:rPr>
        <w:t xml:space="preserve"> el Reino Unido (en fin, Londres) están reapareciendo señales de espuma, ya que no de burbujas del todo formadas. Sin embargo, en los mercados en ascenso, están apareciendo burbujas en Hong Kong, Singapur, China e Israel y en los más importantes centros urbanos de Turquía, la India, Indonesia y el Brasil. Entre las señales de que los precios de la vivienda en dichas economías están entrando en territorio de burbuja, figuran unos precios de la vivienda en rápido aumento, unas relaciones elevadas y en aumento entre los precios de la vivienda y los ingresos y altos niveles de deuda hipotecaria como porcentaje de la deuda de las familias. En la mayoría de las economías avanzadas, unos bajos tipos de interés a corto y a largo plazo están inflando las burbujas. En vista del anémico crecimiento del PIB, del abundante desempleo y la escasa inflación, un gran volumen de liquidez creado por la relajación monetaria ortodoxa y heterodoxa está haciendo subir los precios de los activos, empezando por los de la vivienda.</w:t>
      </w:r>
    </w:p>
    <w:p w:rsidR="008B3730" w:rsidRDefault="008B3730" w:rsidP="00387350">
      <w:pPr>
        <w:pStyle w:val="NormalWeb"/>
        <w:jc w:val="both"/>
      </w:pPr>
      <w:r>
        <w:lastRenderedPageBreak/>
        <w:t xml:space="preserve">- </w:t>
      </w:r>
      <w:r w:rsidRPr="00275922">
        <w:rPr>
          <w:u w:val="single"/>
        </w:rPr>
        <w:t>El nuevo club para bancos centrales de primera clase</w:t>
      </w:r>
      <w:r>
        <w:t xml:space="preserve"> (</w:t>
      </w:r>
      <w:r w:rsidRPr="0020747F">
        <w:t>Katharina Pistor</w:t>
      </w:r>
      <w:r>
        <w:t xml:space="preserve"> - Project Syndicate - </w:t>
      </w:r>
      <w:r w:rsidRPr="00275922">
        <w:rPr>
          <w:b/>
        </w:rPr>
        <w:t>2/12/13</w:t>
      </w:r>
      <w:r>
        <w:t xml:space="preserve">) </w:t>
      </w:r>
    </w:p>
    <w:p w:rsidR="008B3730" w:rsidRDefault="008B3730" w:rsidP="00387350">
      <w:pPr>
        <w:pStyle w:val="NormalWeb"/>
        <w:jc w:val="both"/>
      </w:pPr>
      <w:r w:rsidRPr="00172C12">
        <w:t>En la estala de la crisis financiera 2007-2008, los bancos centrales del mundo desempeñaron  un papel fundamental en el rescate del sistema financiero mundial. Intervinieron cuando los mercados privados se congelaron, haciendo las veces de prestamistas e intermediarios de última instancia, y proporcionaron liquidez adicional para engrasar las ruedas que hacen girar las finanzas. Estos bancos centrales ofrecieron sus servicios principalmente a los participantes nacionales, pero también extendieron su generosidad a las entidades privadas extranjeras. De hecho, incluso los Estados extranjeros se beneficiaron después de que los bancos centrales firmaron acuerdos de intercambio, llamados también acuerdos “swap”, proporcionándose entre ellos acceso ilimitado a sus respectivas monedas. Esta situación ha creado un precedente preocupante. Las líneas de intercambio también denominadas líneas “swap”, originalmente creadas como una solución temporal en el año 2007, y establecidas en dicho momento para vincular</w:t>
      </w:r>
      <w:r>
        <w:t xml:space="preserve"> a la Reserva Federal de los EEUU</w:t>
      </w:r>
      <w:r w:rsidRPr="00172C12">
        <w:t>, el Banco Central Europeo y el Banco Nacional de Suiza, se han ampliado en cada ocasión en la que una nueva crisis sacudió los mercados. Sin embargo hace muy poco tiempo atrás, seis bancos centrales anunciaron su determinación de constituir dichas líneas de intercambio de manera permanente. No obstante, ¿tenían estos bancos centrales la autoridad legal para hacerlo? Y, aunque la hubiesen tenido, ¿deberían haber hecho uso de la misma?</w:t>
      </w:r>
    </w:p>
    <w:p w:rsidR="008B3730" w:rsidRPr="00C073D3" w:rsidRDefault="008B3730" w:rsidP="0038735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8D4ABA">
        <w:rPr>
          <w:rFonts w:ascii="Times New Roman" w:hAnsi="Times New Roman"/>
          <w:sz w:val="24"/>
          <w:szCs w:val="24"/>
          <w:u w:val="single"/>
        </w:rPr>
        <w:t>Burbumanía</w:t>
      </w:r>
      <w:r>
        <w:rPr>
          <w:rFonts w:ascii="Times New Roman" w:hAnsi="Times New Roman"/>
          <w:sz w:val="24"/>
          <w:szCs w:val="24"/>
        </w:rPr>
        <w:t xml:space="preserve"> (El Confidencial - </w:t>
      </w:r>
      <w:r w:rsidRPr="008D4ABA">
        <w:rPr>
          <w:rFonts w:ascii="Times New Roman" w:hAnsi="Times New Roman"/>
          <w:b/>
          <w:sz w:val="24"/>
          <w:szCs w:val="24"/>
        </w:rPr>
        <w:t>9/12/13</w:t>
      </w:r>
      <w:r>
        <w:rPr>
          <w:rFonts w:ascii="Times New Roman" w:hAnsi="Times New Roman"/>
          <w:sz w:val="24"/>
          <w:szCs w:val="24"/>
        </w:rPr>
        <w:t>)</w:t>
      </w:r>
    </w:p>
    <w:p w:rsidR="008B3730" w:rsidRDefault="008B3730" w:rsidP="00387350">
      <w:pPr>
        <w:pStyle w:val="NormalWeb"/>
        <w:jc w:val="both"/>
      </w:pPr>
      <w:r w:rsidRPr="00172C12">
        <w:t>Vivimos en un mundo condicionado por una intervención monetaria sin precedentes en tamaño y forma: la Reserva Federal multiplicó por 4 su balance hasta los 4 billones de dólares, y el BCE por su parte lo multiplicó por 3 superando los 3 billones de euros en su punto álgido. Vivimos en un mundo que ha pasado por una crisis de gravedad similar a la del año 1929, e incluso peor si hacemos caso a los </w:t>
      </w:r>
      <w:hyperlink r:id="rId119" w:history="1">
        <w:r w:rsidRPr="00AE55C3">
          <w:rPr>
            <w:rStyle w:val="Hipervnculo"/>
            <w:color w:val="auto"/>
            <w:u w:val="none"/>
          </w:rPr>
          <w:t>datos mencionados en el famoso discurso de Larry Summers</w:t>
        </w:r>
      </w:hyperlink>
      <w:r w:rsidRPr="00AE55C3">
        <w:t>.</w:t>
      </w:r>
      <w:r w:rsidRPr="00172C12">
        <w:t xml:space="preserve"> No solo eso, vivimos en un mundo en donde se desconocen los límites y la verdadera estabilidad del sistema financiero creado tras Bretton Woods.</w:t>
      </w:r>
      <w:r>
        <w:t xml:space="preserve"> </w:t>
      </w:r>
      <w:r w:rsidRPr="00172C12">
        <w:t xml:space="preserve">Tanto es así que dos de los Premios Nobel de Economía de este año, </w:t>
      </w:r>
      <w:r w:rsidRPr="00AE55C3">
        <w:rPr>
          <w:rStyle w:val="Textoennegrita"/>
          <w:b w:val="0"/>
        </w:rPr>
        <w:t>Eugene Fama</w:t>
      </w:r>
      <w:r w:rsidRPr="00AE55C3">
        <w:rPr>
          <w:b/>
        </w:rPr>
        <w:t xml:space="preserve"> y </w:t>
      </w:r>
      <w:r w:rsidRPr="00AE55C3">
        <w:rPr>
          <w:rStyle w:val="Textoennegrita"/>
          <w:b w:val="0"/>
        </w:rPr>
        <w:t>Robert Shiller</w:t>
      </w:r>
      <w:r w:rsidRPr="00172C12">
        <w:t xml:space="preserve">, a pesar de sus discrepancias intelectuales, parecen ponerse de acuerdo en una cosa: </w:t>
      </w:r>
      <w:r w:rsidRPr="00AE55C3">
        <w:rPr>
          <w:rStyle w:val="Textoennegrita"/>
          <w:b w:val="0"/>
        </w:rPr>
        <w:t>existen motivos para preocuparse</w:t>
      </w:r>
      <w:r w:rsidRPr="00172C12">
        <w:t xml:space="preserve">. El primero, defensor de la Hipótesis de los Mercados Eficientes y por tanto contrario al concepto de “burbuja”, cree que existe riesgo de que los mercados financieros digan “no” a la financiación de los déficits públicos, </w:t>
      </w:r>
      <w:hyperlink r:id="rId120" w:history="1">
        <w:r w:rsidRPr="00AE55C3">
          <w:rPr>
            <w:rStyle w:val="Hipervnculo"/>
            <w:color w:val="auto"/>
            <w:u w:val="none"/>
          </w:rPr>
          <w:t xml:space="preserve">lo que provocaría una </w:t>
        </w:r>
        <w:r w:rsidRPr="00AE55C3">
          <w:rPr>
            <w:rStyle w:val="Textoennegrita"/>
            <w:b w:val="0"/>
          </w:rPr>
          <w:t>recesión global</w:t>
        </w:r>
        <w:r w:rsidRPr="00172C12">
          <w:rPr>
            <w:rStyle w:val="Textoennegrita"/>
          </w:rPr>
          <w:t xml:space="preserve"> </w:t>
        </w:r>
        <w:r w:rsidRPr="00AE55C3">
          <w:rPr>
            <w:rStyle w:val="Hipervnculo"/>
            <w:color w:val="auto"/>
            <w:u w:val="none"/>
          </w:rPr>
          <w:t>en 2014</w:t>
        </w:r>
      </w:hyperlink>
      <w:r w:rsidRPr="00172C12">
        <w:t xml:space="preserve">. El segundo, conocido defensor del concepto “burbuja”, dice estar </w:t>
      </w:r>
      <w:hyperlink r:id="rId121" w:history="1">
        <w:r w:rsidRPr="00AE55C3">
          <w:rPr>
            <w:rStyle w:val="Hipervnculo"/>
            <w:color w:val="auto"/>
            <w:u w:val="none"/>
          </w:rPr>
          <w:t>muy preocupado por el boom vivido por las acciones estadounidenses</w:t>
        </w:r>
      </w:hyperlink>
      <w:r w:rsidRPr="00172C12">
        <w:t xml:space="preserve"> y por el Real Estate en algunos países.</w:t>
      </w:r>
      <w:r>
        <w:t xml:space="preserve"> </w:t>
      </w:r>
      <w:r w:rsidRPr="00172C12">
        <w:t xml:space="preserve">Es solo un ejemplo del </w:t>
      </w:r>
      <w:r w:rsidRPr="00AE55C3">
        <w:rPr>
          <w:rStyle w:val="Textoennegrita"/>
          <w:b w:val="0"/>
        </w:rPr>
        <w:t>fenómeno “burbumanía”</w:t>
      </w:r>
      <w:r w:rsidRPr="00172C12">
        <w:rPr>
          <w:rStyle w:val="Textoennegrita"/>
        </w:rPr>
        <w:t xml:space="preserve"> </w:t>
      </w:r>
      <w:r w:rsidRPr="00172C12">
        <w:t xml:space="preserve">que estamos empezando a vivir. Podemos leer artículos sobre la </w:t>
      </w:r>
      <w:hyperlink r:id="rId122" w:anchor="q=%22bitcoin%20bubble%22" w:history="1">
        <w:r w:rsidRPr="00AE55C3">
          <w:rPr>
            <w:rStyle w:val="Hipervnculo"/>
            <w:color w:val="auto"/>
            <w:u w:val="none"/>
          </w:rPr>
          <w:t>burbuja del bitcoin</w:t>
        </w:r>
      </w:hyperlink>
      <w:r w:rsidRPr="00AE55C3">
        <w:t xml:space="preserve">, sobre la burbuja inmobiliaria de diversos países, sobre las malas perspectivas de algunas economías, </w:t>
      </w:r>
      <w:hyperlink r:id="rId123" w:anchor="q=%22stock%20bubble%22" w:history="1">
        <w:r w:rsidRPr="00AE55C3">
          <w:rPr>
            <w:rStyle w:val="Hipervnculo"/>
            <w:color w:val="auto"/>
            <w:u w:val="none"/>
          </w:rPr>
          <w:t>sobre las acciones</w:t>
        </w:r>
      </w:hyperlink>
      <w:r w:rsidRPr="00AE55C3">
        <w:t xml:space="preserve">, bonos, o </w:t>
      </w:r>
      <w:hyperlink r:id="rId124" w:history="1">
        <w:r w:rsidRPr="00AE55C3">
          <w:rPr>
            <w:rStyle w:val="Hipervnculo"/>
            <w:color w:val="auto"/>
            <w:u w:val="none"/>
          </w:rPr>
          <w:t>sobre prácticamente cualquier cosa</w:t>
        </w:r>
      </w:hyperlink>
      <w:r w:rsidRPr="00AE55C3">
        <w:t>.</w:t>
      </w:r>
      <w:r w:rsidRPr="00172C12">
        <w:t xml:space="preserve"> Y no lo digo como algo despectivo sino todo lo contrario, pues hoy más que nunca existen fragilidades en el sistema que justifican dicho análisis. </w:t>
      </w:r>
      <w:r w:rsidRPr="00AE55C3">
        <w:rPr>
          <w:rStyle w:val="Textoennegrita"/>
          <w:b w:val="0"/>
        </w:rPr>
        <w:t xml:space="preserve">La pregunta crucial es si esta “burbumanía” es algo “real” y estallará de un momento a otro, o si por la contra es un fenómeno psicológico </w:t>
      </w:r>
      <w:r w:rsidRPr="00172C12">
        <w:t>derivado del shock de la Gran Recesión.</w:t>
      </w:r>
    </w:p>
    <w:p w:rsidR="00AE55C3" w:rsidRDefault="00AE55C3" w:rsidP="00387350">
      <w:pPr>
        <w:pStyle w:val="NormalWeb"/>
        <w:jc w:val="both"/>
      </w:pPr>
    </w:p>
    <w:p w:rsidR="008B3730" w:rsidRPr="00D91272" w:rsidRDefault="008B3730" w:rsidP="00387350">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D91272">
        <w:rPr>
          <w:rFonts w:ascii="Times New Roman" w:hAnsi="Times New Roman"/>
          <w:sz w:val="24"/>
          <w:szCs w:val="24"/>
          <w:u w:val="single"/>
        </w:rPr>
        <w:t>La F</w:t>
      </w:r>
      <w:r>
        <w:rPr>
          <w:rFonts w:ascii="Times New Roman" w:hAnsi="Times New Roman"/>
          <w:sz w:val="24"/>
          <w:szCs w:val="24"/>
          <w:u w:val="single"/>
        </w:rPr>
        <w:t>ed da un voto de confianza a EEUU</w:t>
      </w:r>
      <w:r w:rsidRPr="00D91272">
        <w:rPr>
          <w:rFonts w:ascii="Times New Roman" w:hAnsi="Times New Roman"/>
          <w:sz w:val="24"/>
          <w:szCs w:val="24"/>
          <w:u w:val="single"/>
        </w:rPr>
        <w:t xml:space="preserve"> y empieza a reducir la compra de bonos</w:t>
      </w:r>
      <w:r>
        <w:rPr>
          <w:rFonts w:ascii="Times New Roman" w:hAnsi="Times New Roman"/>
          <w:sz w:val="24"/>
          <w:szCs w:val="24"/>
        </w:rPr>
        <w:t xml:space="preserve"> (The Wall Streeet Journal - </w:t>
      </w:r>
      <w:r>
        <w:rPr>
          <w:rFonts w:ascii="Times New Roman" w:hAnsi="Times New Roman"/>
          <w:b/>
          <w:sz w:val="24"/>
          <w:szCs w:val="24"/>
        </w:rPr>
        <w:t>19</w:t>
      </w:r>
      <w:r w:rsidRPr="00D91272">
        <w:rPr>
          <w:rFonts w:ascii="Times New Roman" w:hAnsi="Times New Roman"/>
          <w:b/>
          <w:sz w:val="24"/>
          <w:szCs w:val="24"/>
        </w:rPr>
        <w:t>/12/13</w:t>
      </w:r>
      <w:r>
        <w:rPr>
          <w:rFonts w:ascii="Times New Roman" w:hAnsi="Times New Roman"/>
          <w:sz w:val="24"/>
          <w:szCs w:val="24"/>
        </w:rPr>
        <w:t>)</w:t>
      </w:r>
    </w:p>
    <w:p w:rsidR="008B3730" w:rsidRDefault="008B3730" w:rsidP="00387350">
      <w:pPr>
        <w:spacing w:line="240" w:lineRule="auto"/>
        <w:jc w:val="both"/>
        <w:rPr>
          <w:rFonts w:ascii="Times New Roman" w:hAnsi="Times New Roman"/>
          <w:sz w:val="24"/>
          <w:szCs w:val="24"/>
        </w:rPr>
      </w:pPr>
      <w:r w:rsidRPr="00BA1D9F">
        <w:rPr>
          <w:rFonts w:ascii="Times New Roman" w:hAnsi="Times New Roman"/>
          <w:sz w:val="24"/>
          <w:szCs w:val="24"/>
        </w:rPr>
        <w:t xml:space="preserve">Ben Bernanke le dio un voto de confianza a la economía estadounidense un mes antes de dejar la presidencia de la Reserva Federal, al decidir que el banco central comience a reducir el programa de compra de bonos de US$ 85.000 millones al mes debido al aparente fortalecimiento del repunte…  El organismo, que lanzó la última ronda de compra de bonos en septiembre de 2012 en un intento por reactivar una débil recuperación, comprará a partir de enero US$ 75.000 millones al mes en bonos del Tesoro y valores hipotecarios, una reducción frente a los US$ 85.000 millones. También tratará de imponer recortes paulatinos de US$ 10.000 millones en el monto de las operaciones en las siguientes reuniones, informó Bernanke. A ese ritmo, la Fed cerraría el programa a fines de 2014 y se quedaría con una cartera del orden de los US$ 4,5 billones (millones de millones) en bonos, créditos y otros activos, casi seis veces superior a la que tenía cuando se desató la crisis financiera en 2008.  Si bien la entidad prevé disminuir el programa “en pasos mesurados” el próximo año, no hay ninguna garantía de que lo vaya a hacer. “El progreso continuo (en la economía) dista de estar garantizado”, dijo Bernanke. “Los pasos que adoptemos dependerán de las cifras”. </w:t>
      </w:r>
    </w:p>
    <w:p w:rsidR="008B3730" w:rsidRDefault="008B3730" w:rsidP="00387350">
      <w:pPr>
        <w:spacing w:line="240" w:lineRule="auto"/>
        <w:jc w:val="both"/>
        <w:rPr>
          <w:rFonts w:ascii="Times New Roman" w:hAnsi="Times New Roman"/>
          <w:sz w:val="24"/>
          <w:szCs w:val="24"/>
        </w:rPr>
      </w:pPr>
    </w:p>
    <w:p w:rsidR="008B3730" w:rsidRDefault="008B3730" w:rsidP="00387350">
      <w:pPr>
        <w:spacing w:line="240" w:lineRule="auto"/>
        <w:jc w:val="both"/>
        <w:rPr>
          <w:rFonts w:ascii="Times New Roman" w:hAnsi="Times New Roman"/>
          <w:sz w:val="24"/>
          <w:szCs w:val="24"/>
        </w:rPr>
      </w:pPr>
    </w:p>
    <w:p w:rsidR="008B3730" w:rsidRDefault="008B3730" w:rsidP="00387350">
      <w:pPr>
        <w:spacing w:line="240" w:lineRule="auto"/>
        <w:jc w:val="both"/>
        <w:rPr>
          <w:rFonts w:ascii="Times New Roman" w:hAnsi="Times New Roman"/>
          <w:sz w:val="24"/>
          <w:szCs w:val="24"/>
        </w:rPr>
      </w:pPr>
    </w:p>
    <w:p w:rsidR="008B3730" w:rsidRDefault="008B3730" w:rsidP="00387350">
      <w:pPr>
        <w:spacing w:line="240" w:lineRule="auto"/>
        <w:jc w:val="both"/>
        <w:rPr>
          <w:rFonts w:ascii="Times New Roman" w:hAnsi="Times New Roman"/>
          <w:sz w:val="24"/>
          <w:szCs w:val="24"/>
        </w:rPr>
      </w:pPr>
    </w:p>
    <w:p w:rsidR="008B3730" w:rsidRDefault="008B3730" w:rsidP="00387350">
      <w:pPr>
        <w:spacing w:line="240" w:lineRule="auto"/>
        <w:jc w:val="both"/>
        <w:rPr>
          <w:rFonts w:ascii="Times New Roman" w:hAnsi="Times New Roman"/>
          <w:sz w:val="24"/>
          <w:szCs w:val="24"/>
        </w:rPr>
      </w:pPr>
    </w:p>
    <w:p w:rsidR="008B3730" w:rsidRDefault="008B3730" w:rsidP="00387350">
      <w:pPr>
        <w:spacing w:line="240" w:lineRule="auto"/>
        <w:jc w:val="both"/>
        <w:rPr>
          <w:rFonts w:ascii="Times New Roman" w:hAnsi="Times New Roman"/>
          <w:sz w:val="24"/>
          <w:szCs w:val="24"/>
        </w:rPr>
      </w:pPr>
    </w:p>
    <w:p w:rsidR="008B3730" w:rsidRPr="008B3730" w:rsidRDefault="008B3730" w:rsidP="00387350">
      <w:pPr>
        <w:shd w:val="clear" w:color="auto" w:fill="FFFFFF"/>
        <w:spacing w:before="100" w:beforeAutospacing="1" w:after="100" w:afterAutospacing="1" w:line="240" w:lineRule="auto"/>
        <w:jc w:val="both"/>
        <w:rPr>
          <w:rFonts w:ascii="Times New Roman" w:eastAsia="Times New Roman" w:hAnsi="Times New Roman" w:cs="Times New Roman"/>
          <w:b/>
          <w:sz w:val="24"/>
          <w:szCs w:val="24"/>
        </w:rPr>
      </w:pPr>
    </w:p>
    <w:p w:rsidR="00211209" w:rsidRDefault="00211209"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p>
    <w:p w:rsidR="00C30D65" w:rsidRDefault="00C30D65"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p>
    <w:p w:rsidR="00C30D65" w:rsidRDefault="00C30D65"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p>
    <w:p w:rsidR="00C30D65" w:rsidRDefault="00C30D65"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p>
    <w:p w:rsidR="00C30D65" w:rsidRDefault="00C30D65"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p>
    <w:p w:rsidR="00C30D65" w:rsidRDefault="00C30D65"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p>
    <w:p w:rsidR="00AE55C3" w:rsidRDefault="00AE55C3" w:rsidP="00387350">
      <w:pPr>
        <w:pStyle w:val="NormalWeb"/>
        <w:jc w:val="both"/>
        <w:rPr>
          <w:b/>
        </w:rPr>
      </w:pPr>
    </w:p>
    <w:p w:rsidR="00AE55C3" w:rsidRDefault="00AE55C3" w:rsidP="00387350">
      <w:pPr>
        <w:pStyle w:val="NormalWeb"/>
        <w:jc w:val="both"/>
        <w:rPr>
          <w:b/>
        </w:rPr>
      </w:pPr>
    </w:p>
    <w:p w:rsidR="00AE55C3" w:rsidRDefault="00AE55C3" w:rsidP="00387350">
      <w:pPr>
        <w:pStyle w:val="NormalWeb"/>
        <w:jc w:val="both"/>
        <w:rPr>
          <w:b/>
        </w:rPr>
      </w:pPr>
    </w:p>
    <w:p w:rsidR="00AE55C3" w:rsidRDefault="00AE55C3" w:rsidP="00387350">
      <w:pPr>
        <w:pStyle w:val="NormalWeb"/>
        <w:jc w:val="both"/>
        <w:rPr>
          <w:b/>
        </w:rPr>
      </w:pPr>
    </w:p>
    <w:p w:rsidR="00C30D65" w:rsidRDefault="00C30D65" w:rsidP="00387350">
      <w:pPr>
        <w:pStyle w:val="NormalWeb"/>
        <w:jc w:val="both"/>
        <w:rPr>
          <w:b/>
        </w:rPr>
      </w:pPr>
      <w:r>
        <w:rPr>
          <w:b/>
        </w:rPr>
        <w:lastRenderedPageBreak/>
        <w:t>- La b</w:t>
      </w:r>
      <w:r w:rsidRPr="001F1A67">
        <w:rPr>
          <w:b/>
        </w:rPr>
        <w:t>anca &amp;</w:t>
      </w:r>
      <w:r>
        <w:rPr>
          <w:b/>
        </w:rPr>
        <w:t xml:space="preserve"> la b</w:t>
      </w:r>
      <w:r w:rsidRPr="001F1A67">
        <w:rPr>
          <w:b/>
        </w:rPr>
        <w:t xml:space="preserve">olsa </w:t>
      </w:r>
      <w:r w:rsidR="00071A17">
        <w:rPr>
          <w:b/>
        </w:rPr>
        <w:t>(sálvese quien pueda</w:t>
      </w:r>
      <w:r w:rsidRPr="001F1A67">
        <w:rPr>
          <w:b/>
        </w:rPr>
        <w:t xml:space="preserve">) </w:t>
      </w:r>
    </w:p>
    <w:p w:rsidR="00C30D65" w:rsidRDefault="00C30D65" w:rsidP="00387350">
      <w:pPr>
        <w:pStyle w:val="NormalWeb"/>
        <w:jc w:val="both"/>
        <w:rPr>
          <w:b/>
        </w:rPr>
      </w:pPr>
      <w:r>
        <w:rPr>
          <w:rFonts w:ascii="Arial" w:hAnsi="Arial" w:cs="Arial"/>
          <w:noProof/>
          <w:color w:val="333333"/>
          <w:sz w:val="23"/>
          <w:szCs w:val="23"/>
        </w:rPr>
        <w:drawing>
          <wp:inline distT="0" distB="0" distL="0" distR="0" wp14:anchorId="3634B892" wp14:editId="1F998757">
            <wp:extent cx="5340096" cy="2333549"/>
            <wp:effectExtent l="0" t="0" r="0" b="0"/>
            <wp:docPr id="3" name="Imagen 3" descr="¿La banca siempre g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a banca siempre gan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39998" cy="2333506"/>
                    </a:xfrm>
                    <a:prstGeom prst="rect">
                      <a:avLst/>
                    </a:prstGeom>
                    <a:noFill/>
                    <a:ln>
                      <a:noFill/>
                    </a:ln>
                  </pic:spPr>
                </pic:pic>
              </a:graphicData>
            </a:graphic>
          </wp:inline>
        </w:drawing>
      </w:r>
    </w:p>
    <w:p w:rsidR="00C30D65" w:rsidRDefault="00C30D65" w:rsidP="00387350">
      <w:pPr>
        <w:spacing w:line="240" w:lineRule="auto"/>
        <w:jc w:val="both"/>
        <w:rPr>
          <w:rFonts w:ascii="Times New Roman" w:hAnsi="Times New Roman" w:cs="Times New Roman"/>
          <w:i/>
          <w:sz w:val="24"/>
          <w:szCs w:val="24"/>
        </w:rPr>
      </w:pPr>
      <w:r w:rsidRPr="001F1A67">
        <w:rPr>
          <w:rFonts w:ascii="Times New Roman" w:eastAsia="Times New Roman" w:hAnsi="Times New Roman" w:cs="Times New Roman"/>
          <w:b/>
          <w:i/>
          <w:sz w:val="24"/>
          <w:szCs w:val="24"/>
          <w:lang w:eastAsia="es-ES"/>
        </w:rPr>
        <w:t>H</w:t>
      </w:r>
      <w:r w:rsidRPr="001F1A67">
        <w:rPr>
          <w:rFonts w:ascii="Times New Roman" w:hAnsi="Times New Roman" w:cs="Times New Roman"/>
          <w:i/>
          <w:sz w:val="24"/>
          <w:szCs w:val="24"/>
        </w:rPr>
        <w:t>ay que recordar las palabras del vigésimo sexto presidente de los Estados Unidos,</w:t>
      </w:r>
      <w:r w:rsidRPr="001F1A67">
        <w:rPr>
          <w:rStyle w:val="Textoennegrita"/>
          <w:rFonts w:ascii="Times New Roman" w:hAnsi="Times New Roman" w:cs="Times New Roman"/>
          <w:i/>
          <w:sz w:val="24"/>
          <w:szCs w:val="24"/>
        </w:rPr>
        <w:t xml:space="preserve"> Theodore Roosevelt</w:t>
      </w:r>
      <w:r w:rsidRPr="001F1A67">
        <w:rPr>
          <w:rFonts w:ascii="Times New Roman" w:hAnsi="Times New Roman" w:cs="Times New Roman"/>
          <w:i/>
          <w:sz w:val="24"/>
          <w:szCs w:val="24"/>
        </w:rPr>
        <w:t xml:space="preserve">, cuando afirmó: “Detrás del gobierno visible se halla entronizado un gobierno invisible que no debe lealtad a nadie y no conoce ninguna responsabilidad hacia el pueblo. Destruir este gobierno invisible, denunciar </w:t>
      </w:r>
      <w:r w:rsidRPr="001F1A67">
        <w:rPr>
          <w:rStyle w:val="Textoennegrita"/>
          <w:rFonts w:ascii="Times New Roman" w:hAnsi="Times New Roman" w:cs="Times New Roman"/>
          <w:i/>
          <w:sz w:val="24"/>
          <w:szCs w:val="24"/>
        </w:rPr>
        <w:t>la blasfema alianza entre la corrupción económica y la corrupción política</w:t>
      </w:r>
      <w:r w:rsidRPr="001F1A67">
        <w:rPr>
          <w:rFonts w:ascii="Times New Roman" w:hAnsi="Times New Roman" w:cs="Times New Roman"/>
          <w:i/>
          <w:sz w:val="24"/>
          <w:szCs w:val="24"/>
        </w:rPr>
        <w:t>, es la principal tarea de un estadista de nuestros días”</w:t>
      </w:r>
      <w:r>
        <w:rPr>
          <w:rFonts w:ascii="Times New Roman" w:hAnsi="Times New Roman" w:cs="Times New Roman"/>
          <w:i/>
          <w:sz w:val="24"/>
          <w:szCs w:val="24"/>
        </w:rPr>
        <w:t>.</w:t>
      </w:r>
    </w:p>
    <w:p w:rsidR="008E2CC5" w:rsidRPr="008E2CC5" w:rsidRDefault="008E2CC5" w:rsidP="00387350">
      <w:pPr>
        <w:spacing w:line="240" w:lineRule="auto"/>
        <w:jc w:val="both"/>
        <w:rPr>
          <w:rFonts w:ascii="Times New Roman" w:hAnsi="Times New Roman"/>
          <w:sz w:val="24"/>
          <w:szCs w:val="24"/>
        </w:rPr>
      </w:pPr>
      <w:r>
        <w:rPr>
          <w:rFonts w:ascii="Times New Roman" w:hAnsi="Times New Roman"/>
          <w:sz w:val="24"/>
          <w:szCs w:val="24"/>
        </w:rPr>
        <w:t>“</w:t>
      </w:r>
      <w:r w:rsidRPr="008E2CC5">
        <w:rPr>
          <w:rFonts w:ascii="Times New Roman" w:hAnsi="Times New Roman"/>
          <w:sz w:val="24"/>
          <w:szCs w:val="24"/>
        </w:rPr>
        <w:t>Una escalada de beneficios inaudita, no vista en más de un siglo. Las empresas del S&amp;P 500, el índice que agrupa a las compañías con una capitalización de más de 1.000 millones de dólares, se prepara para desplegar un registro inimaginable hasta hace pocas fechas: los beneficios empresariales se aproximan a los máximos históricos registrados en 2007 después de que se haya producido la recuperación más rápida desde 1900, según las cifras recopiladas por Bloomberg a partir de la base de datos de S&amp;P y  Schiller, de la Universidad de Yale.</w:t>
      </w:r>
    </w:p>
    <w:p w:rsidR="008E2CC5" w:rsidRDefault="008E2CC5" w:rsidP="00387350">
      <w:pPr>
        <w:spacing w:after="0" w:line="240" w:lineRule="auto"/>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noProof/>
          <w:sz w:val="24"/>
          <w:szCs w:val="24"/>
          <w:lang w:eastAsia="es-ES"/>
        </w:rPr>
        <w:drawing>
          <wp:inline distT="0" distB="0" distL="0" distR="0" wp14:anchorId="5FE9E753" wp14:editId="2B5C4960">
            <wp:extent cx="4725670" cy="2699385"/>
            <wp:effectExtent l="0" t="0" r="0" b="5715"/>
            <wp:docPr id="5" name="Imagen 5" descr="Las grandes empresas de EEUU viven la mayor subida de beneficios desd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s grandes empresas de EEUU viven la mayor subida de beneficios desde 190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725670" cy="2699385"/>
                    </a:xfrm>
                    <a:prstGeom prst="rect">
                      <a:avLst/>
                    </a:prstGeom>
                    <a:noFill/>
                    <a:ln>
                      <a:noFill/>
                    </a:ln>
                  </pic:spPr>
                </pic:pic>
              </a:graphicData>
            </a:graphic>
          </wp:inline>
        </w:drawing>
      </w:r>
    </w:p>
    <w:p w:rsidR="008E2CC5" w:rsidRDefault="008E2CC5" w:rsidP="00387350">
      <w:pPr>
        <w:spacing w:after="0" w:line="240" w:lineRule="auto"/>
        <w:rPr>
          <w:rFonts w:ascii="Times New Roman" w:eastAsia="Times New Roman" w:hAnsi="Times New Roman"/>
          <w:sz w:val="24"/>
          <w:szCs w:val="24"/>
          <w:lang w:eastAsia="es-ES"/>
        </w:rPr>
      </w:pPr>
    </w:p>
    <w:p w:rsidR="008E2CC5" w:rsidRPr="00B036D0" w:rsidRDefault="008E2CC5" w:rsidP="00387350">
      <w:pPr>
        <w:spacing w:after="0" w:line="240" w:lineRule="auto"/>
        <w:rPr>
          <w:rFonts w:ascii="Times New Roman" w:eastAsia="Times New Roman" w:hAnsi="Times New Roman"/>
          <w:sz w:val="24"/>
          <w:szCs w:val="24"/>
          <w:lang w:val="en-US" w:eastAsia="es-ES"/>
        </w:rPr>
      </w:pPr>
      <w:r w:rsidRPr="00C00DCA">
        <w:rPr>
          <w:rFonts w:ascii="Times New Roman" w:eastAsia="Times New Roman" w:hAnsi="Times New Roman"/>
          <w:sz w:val="24"/>
          <w:szCs w:val="24"/>
          <w:lang w:eastAsia="es-ES"/>
        </w:rPr>
        <w:t xml:space="preserve">Evolución del beneficio por acción en el S&amp;P 500 desde 1900. </w:t>
      </w:r>
      <w:r w:rsidRPr="00C00DCA">
        <w:rPr>
          <w:rFonts w:ascii="Times New Roman" w:eastAsia="Times New Roman" w:hAnsi="Times New Roman"/>
          <w:sz w:val="24"/>
          <w:szCs w:val="24"/>
          <w:lang w:val="en-US" w:eastAsia="es-ES"/>
        </w:rPr>
        <w:t>(Fuente: Bloomberg, Schiller, S&amp;P)</w:t>
      </w:r>
    </w:p>
    <w:p w:rsidR="008E2CC5" w:rsidRPr="008E2CC5" w:rsidRDefault="008E2CC5" w:rsidP="00387350">
      <w:pPr>
        <w:spacing w:line="240" w:lineRule="auto"/>
        <w:jc w:val="both"/>
        <w:rPr>
          <w:rFonts w:ascii="Times New Roman" w:hAnsi="Times New Roman"/>
          <w:sz w:val="24"/>
          <w:szCs w:val="24"/>
        </w:rPr>
      </w:pPr>
      <w:r w:rsidRPr="008E2CC5">
        <w:rPr>
          <w:rFonts w:ascii="Times New Roman" w:hAnsi="Times New Roman"/>
          <w:sz w:val="24"/>
          <w:szCs w:val="24"/>
        </w:rPr>
        <w:lastRenderedPageBreak/>
        <w:t>No es algo nuevo: los datos confirman que las grandes compañías se están convirtiendo en las grandes ganadoras de la crisis económica y financiera por su resistencia a la falta de crédito y la caída del consumo que se ha llevado por delante a decenas de miles de empresas occidentales. Así, mientras que la destrucción de empleo se ha cebado con gran parte de las grandes economías, los grandes grupos empresariales han multiplicado sus beneficios en apenas dos años hasta recuperar y superar las cifras previas a la crisis.</w:t>
      </w:r>
    </w:p>
    <w:p w:rsidR="008E2CC5" w:rsidRDefault="008E2CC5" w:rsidP="00387350">
      <w:pPr>
        <w:spacing w:line="240" w:lineRule="auto"/>
        <w:jc w:val="both"/>
        <w:rPr>
          <w:rFonts w:ascii="Times New Roman" w:hAnsi="Times New Roman"/>
          <w:sz w:val="24"/>
          <w:szCs w:val="24"/>
        </w:rPr>
      </w:pPr>
      <w:r w:rsidRPr="008E2CC5">
        <w:rPr>
          <w:rFonts w:ascii="Times New Roman" w:hAnsi="Times New Roman"/>
          <w:sz w:val="24"/>
          <w:szCs w:val="24"/>
        </w:rPr>
        <w:t>Según las estimaciones recopiladas por Bloomberg, el crecimiento de las ganancias en este grupo de empresas desde marzo de 2009 podría elevarse al 1.200%, al pasar de 7 dólares de beneficio por acción hasta los 90 que se marcarán en agosto. En este periodo el índice de bolsa S&amp;P 500 ha duplicado prácticamente su nivel, amasando el mejor periodo de ganan</w:t>
      </w:r>
      <w:r>
        <w:rPr>
          <w:rFonts w:ascii="Times New Roman" w:hAnsi="Times New Roman"/>
          <w:sz w:val="24"/>
          <w:szCs w:val="24"/>
        </w:rPr>
        <w:t xml:space="preserve">cias en bolsa desde los años 30”… </w:t>
      </w:r>
      <w:r w:rsidRPr="00C00DCA">
        <w:rPr>
          <w:rFonts w:ascii="Times New Roman" w:hAnsi="Times New Roman"/>
          <w:sz w:val="24"/>
          <w:szCs w:val="24"/>
          <w:u w:val="single"/>
        </w:rPr>
        <w:t>Las grandes empresas de EEUU viven la mayor subida de beneficios desde 1900</w:t>
      </w:r>
      <w:r>
        <w:rPr>
          <w:rFonts w:ascii="Times New Roman" w:hAnsi="Times New Roman"/>
          <w:sz w:val="24"/>
          <w:szCs w:val="24"/>
        </w:rPr>
        <w:t xml:space="preserve"> (El Confidencial - </w:t>
      </w:r>
      <w:r w:rsidRPr="00C00DCA">
        <w:rPr>
          <w:rFonts w:ascii="Times New Roman" w:hAnsi="Times New Roman"/>
          <w:b/>
          <w:sz w:val="24"/>
          <w:szCs w:val="24"/>
        </w:rPr>
        <w:t>5/4/11</w:t>
      </w:r>
      <w:r>
        <w:rPr>
          <w:rFonts w:ascii="Times New Roman" w:hAnsi="Times New Roman"/>
          <w:sz w:val="24"/>
          <w:szCs w:val="24"/>
        </w:rPr>
        <w:t>)</w:t>
      </w:r>
    </w:p>
    <w:p w:rsidR="008E2CC5" w:rsidRPr="00EB733C" w:rsidRDefault="00EB733C" w:rsidP="00387350">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8E2CC5" w:rsidRPr="00EB733C">
        <w:rPr>
          <w:rFonts w:ascii="Times New Roman" w:eastAsia="Times New Roman" w:hAnsi="Times New Roman"/>
          <w:sz w:val="24"/>
          <w:szCs w:val="24"/>
          <w:lang w:eastAsia="es-ES"/>
        </w:rPr>
        <w:t>2010 fue otro buen año para los millonarios, aunque el ritmo de crecimiento de sus fortunas se desaceleró. Según un nuevo informe de Boston Consulting Group divulgado el martes, la cantidad de familias millonarias en el mundo creció 12,2% en 2010, a 12,5 millones. (BCG define a los millonarios como aquellos con US$ 1 millón o más en activos invertibles, excluyendo viviendas, bienes de lujo y participación en su propia compañía).</w:t>
      </w:r>
    </w:p>
    <w:p w:rsidR="008E2CC5" w:rsidRPr="00EB733C" w:rsidRDefault="008E2CC5" w:rsidP="00387350">
      <w:pPr>
        <w:spacing w:line="240" w:lineRule="auto"/>
        <w:jc w:val="both"/>
        <w:rPr>
          <w:rFonts w:ascii="Times New Roman" w:eastAsia="Times New Roman" w:hAnsi="Times New Roman"/>
          <w:sz w:val="24"/>
          <w:szCs w:val="24"/>
          <w:lang w:eastAsia="es-ES"/>
        </w:rPr>
      </w:pPr>
      <w:r w:rsidRPr="00EB733C">
        <w:rPr>
          <w:rFonts w:ascii="Times New Roman" w:eastAsia="Times New Roman" w:hAnsi="Times New Roman"/>
          <w:sz w:val="24"/>
          <w:szCs w:val="24"/>
          <w:lang w:eastAsia="es-ES"/>
        </w:rPr>
        <w:t>Estados Unidos continúa liderando al mundo en cuanto a cantidad de millonarios, con 5,2 millones de hogares, seguido de Japón con 1,5 millones, China con 1,1 millones y el Reino Unido con 570.000. Singapur encabeza el mundo en “densidad de millonarios”, o sea el porcentaje que representan del total de la población, que está en 15,5%.</w:t>
      </w:r>
    </w:p>
    <w:p w:rsidR="008E2CC5" w:rsidRPr="00EB733C" w:rsidRDefault="008E2CC5" w:rsidP="00387350">
      <w:pPr>
        <w:spacing w:line="240" w:lineRule="auto"/>
        <w:jc w:val="both"/>
        <w:rPr>
          <w:rFonts w:ascii="Times New Roman" w:eastAsia="Times New Roman" w:hAnsi="Times New Roman"/>
          <w:sz w:val="24"/>
          <w:szCs w:val="24"/>
          <w:lang w:eastAsia="es-ES"/>
        </w:rPr>
      </w:pPr>
      <w:r w:rsidRPr="00EB733C">
        <w:rPr>
          <w:rFonts w:ascii="Times New Roman" w:eastAsia="Times New Roman" w:hAnsi="Times New Roman"/>
          <w:sz w:val="24"/>
          <w:szCs w:val="24"/>
          <w:lang w:eastAsia="es-ES"/>
        </w:rPr>
        <w:t>La tendencia más importante, sin embargo, es una que tiene que ver con la distribución global de la riqueza. De acuerdo con el reporte, los millonarios del mundo representan 0,9% de la población mundial pero controlan el 39% de su riqueza, por encima del 37% de 2009. Su riqueza hoy llega a US$</w:t>
      </w:r>
      <w:r w:rsidR="00EB733C" w:rsidRPr="00EB733C">
        <w:rPr>
          <w:rFonts w:ascii="Times New Roman" w:eastAsia="Times New Roman" w:hAnsi="Times New Roman"/>
          <w:sz w:val="24"/>
          <w:szCs w:val="24"/>
          <w:lang w:eastAsia="es-ES"/>
        </w:rPr>
        <w:t xml:space="preserve"> </w:t>
      </w:r>
      <w:r w:rsidRPr="00EB733C">
        <w:rPr>
          <w:rFonts w:ascii="Times New Roman" w:eastAsia="Times New Roman" w:hAnsi="Times New Roman"/>
          <w:sz w:val="24"/>
          <w:szCs w:val="24"/>
          <w:lang w:eastAsia="es-ES"/>
        </w:rPr>
        <w:t>47.400 billones (millones de millones) en riqueza invertible, por encima de los US$</w:t>
      </w:r>
      <w:r w:rsidR="00EB733C" w:rsidRPr="00EB733C">
        <w:rPr>
          <w:rFonts w:ascii="Times New Roman" w:eastAsia="Times New Roman" w:hAnsi="Times New Roman"/>
          <w:sz w:val="24"/>
          <w:szCs w:val="24"/>
          <w:lang w:eastAsia="es-ES"/>
        </w:rPr>
        <w:t xml:space="preserve"> </w:t>
      </w:r>
      <w:r w:rsidRPr="00EB733C">
        <w:rPr>
          <w:rFonts w:ascii="Times New Roman" w:eastAsia="Times New Roman" w:hAnsi="Times New Roman"/>
          <w:sz w:val="24"/>
          <w:szCs w:val="24"/>
          <w:lang w:eastAsia="es-ES"/>
        </w:rPr>
        <w:t>41.800 billones (millones de millones) de 2009.</w:t>
      </w:r>
    </w:p>
    <w:p w:rsidR="008E2CC5" w:rsidRPr="00EB733C" w:rsidRDefault="008E2CC5" w:rsidP="00387350">
      <w:pPr>
        <w:spacing w:line="240" w:lineRule="auto"/>
        <w:jc w:val="both"/>
        <w:rPr>
          <w:rFonts w:ascii="Times New Roman" w:eastAsia="Times New Roman" w:hAnsi="Times New Roman"/>
          <w:sz w:val="24"/>
          <w:szCs w:val="24"/>
          <w:lang w:eastAsia="es-ES"/>
        </w:rPr>
      </w:pPr>
      <w:r w:rsidRPr="00EB733C">
        <w:rPr>
          <w:rFonts w:ascii="Times New Roman" w:eastAsia="Times New Roman" w:hAnsi="Times New Roman"/>
          <w:sz w:val="24"/>
          <w:szCs w:val="24"/>
          <w:lang w:eastAsia="es-ES"/>
        </w:rPr>
        <w:t>Aquellos que están un escaño arriba también avanzaron. Quienes tienen US$</w:t>
      </w:r>
      <w:r w:rsidR="00EB733C" w:rsidRPr="00EB733C">
        <w:rPr>
          <w:rFonts w:ascii="Times New Roman" w:eastAsia="Times New Roman" w:hAnsi="Times New Roman"/>
          <w:sz w:val="24"/>
          <w:szCs w:val="24"/>
          <w:lang w:eastAsia="es-ES"/>
        </w:rPr>
        <w:t xml:space="preserve"> </w:t>
      </w:r>
      <w:r w:rsidRPr="00EB733C">
        <w:rPr>
          <w:rFonts w:ascii="Times New Roman" w:eastAsia="Times New Roman" w:hAnsi="Times New Roman"/>
          <w:sz w:val="24"/>
          <w:szCs w:val="24"/>
          <w:lang w:eastAsia="es-ES"/>
        </w:rPr>
        <w:t xml:space="preserve">5 millones o más, que representan 0,1% de la población, controlaron 22% de la riqueza mundial, frente al 20% de 2009. </w:t>
      </w:r>
    </w:p>
    <w:p w:rsidR="00EB733C" w:rsidRPr="0009493B" w:rsidRDefault="00EB733C" w:rsidP="00387350">
      <w:pPr>
        <w:spacing w:line="240" w:lineRule="auto"/>
        <w:jc w:val="both"/>
        <w:rPr>
          <w:rFonts w:ascii="Times New Roman" w:eastAsia="Times New Roman" w:hAnsi="Times New Roman"/>
          <w:sz w:val="24"/>
          <w:szCs w:val="24"/>
          <w:lang w:eastAsia="es-ES"/>
        </w:rPr>
      </w:pPr>
      <w:r w:rsidRPr="00EB733C">
        <w:rPr>
          <w:rFonts w:ascii="Times New Roman" w:eastAsia="Times New Roman" w:hAnsi="Times New Roman"/>
          <w:sz w:val="24"/>
          <w:szCs w:val="24"/>
          <w:lang w:eastAsia="es-ES"/>
        </w:rPr>
        <w:t>L</w:t>
      </w:r>
      <w:r w:rsidR="008E2CC5" w:rsidRPr="00EB733C">
        <w:rPr>
          <w:rFonts w:ascii="Times New Roman" w:eastAsia="Times New Roman" w:hAnsi="Times New Roman"/>
          <w:sz w:val="24"/>
          <w:szCs w:val="24"/>
          <w:lang w:eastAsia="es-ES"/>
        </w:rPr>
        <w:t>os datos evidencian una tendencia que se ha estado viendo durante años, el fortalecimiento de una economía en la que el ganador</w:t>
      </w:r>
      <w:r w:rsidRPr="00EB733C">
        <w:rPr>
          <w:rFonts w:ascii="Times New Roman" w:eastAsia="Times New Roman" w:hAnsi="Times New Roman"/>
          <w:sz w:val="24"/>
          <w:szCs w:val="24"/>
          <w:lang w:eastAsia="es-ES"/>
        </w:rPr>
        <w:t xml:space="preserve"> se lleva todo o la mayor parte”…</w:t>
      </w:r>
      <w:r>
        <w:rPr>
          <w:rFonts w:ascii="Times New Roman" w:eastAsia="Times New Roman" w:hAnsi="Times New Roman"/>
          <w:sz w:val="24"/>
          <w:szCs w:val="24"/>
          <w:lang w:eastAsia="es-ES"/>
        </w:rPr>
        <w:t xml:space="preserve"> </w:t>
      </w:r>
      <w:r w:rsidRPr="00523816">
        <w:rPr>
          <w:rFonts w:ascii="Times New Roman" w:eastAsia="Times New Roman" w:hAnsi="Times New Roman"/>
          <w:sz w:val="24"/>
          <w:szCs w:val="24"/>
          <w:u w:val="single"/>
          <w:lang w:eastAsia="es-ES"/>
        </w:rPr>
        <w:t>Los millonarios controlan 39% de la riqueza del mundo</w:t>
      </w:r>
      <w:r>
        <w:rPr>
          <w:rFonts w:ascii="Times New Roman" w:eastAsia="Times New Roman" w:hAnsi="Times New Roman"/>
          <w:sz w:val="24"/>
          <w:szCs w:val="24"/>
          <w:lang w:eastAsia="es-ES"/>
        </w:rPr>
        <w:t xml:space="preserve"> (The Wall Street Journal - </w:t>
      </w:r>
      <w:r w:rsidRPr="0009493B">
        <w:rPr>
          <w:rFonts w:ascii="Times New Roman" w:eastAsia="Times New Roman" w:hAnsi="Times New Roman"/>
          <w:b/>
          <w:sz w:val="24"/>
          <w:szCs w:val="24"/>
          <w:lang w:eastAsia="es-ES"/>
        </w:rPr>
        <w:t>1/6/11</w:t>
      </w:r>
      <w:r>
        <w:rPr>
          <w:rFonts w:ascii="Times New Roman" w:eastAsia="Times New Roman" w:hAnsi="Times New Roman"/>
          <w:sz w:val="24"/>
          <w:szCs w:val="24"/>
          <w:lang w:eastAsia="es-ES"/>
        </w:rPr>
        <w:t>)</w:t>
      </w:r>
    </w:p>
    <w:p w:rsidR="00EB733C" w:rsidRPr="00EB733C" w:rsidRDefault="00EB733C"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EB733C">
        <w:rPr>
          <w:rFonts w:ascii="Times New Roman" w:eastAsia="Times New Roman" w:hAnsi="Times New Roman"/>
          <w:sz w:val="24"/>
          <w:szCs w:val="24"/>
          <w:lang w:eastAsia="es-ES"/>
        </w:rPr>
        <w:t xml:space="preserve">Si estaba esperando que alguien le avisara cuando las computadoras se volvieran más inteligentes que nosotros, ponga cuidado… En realidad, nuestros amos electrónicos ya están tomando el control; y lo están haciendo de un modo mucho más sutil que el que sugiere la ciencia ficción… </w:t>
      </w:r>
    </w:p>
    <w:p w:rsidR="00EB733C" w:rsidRPr="00EB733C" w:rsidRDefault="00EB733C" w:rsidP="00387350">
      <w:pPr>
        <w:spacing w:before="100" w:beforeAutospacing="1" w:after="100" w:afterAutospacing="1" w:line="240" w:lineRule="auto"/>
        <w:jc w:val="both"/>
        <w:rPr>
          <w:rFonts w:ascii="Times New Roman" w:eastAsia="Times New Roman" w:hAnsi="Times New Roman"/>
          <w:sz w:val="24"/>
          <w:szCs w:val="24"/>
          <w:lang w:eastAsia="es-ES"/>
        </w:rPr>
      </w:pPr>
      <w:r w:rsidRPr="00EB733C">
        <w:rPr>
          <w:rFonts w:ascii="Times New Roman" w:eastAsia="Times New Roman" w:hAnsi="Times New Roman"/>
          <w:sz w:val="24"/>
          <w:szCs w:val="24"/>
          <w:lang w:eastAsia="es-ES"/>
        </w:rPr>
        <w:t>Su arma: el algoritmo. Detrás de todo ingenioso servicio web hay un aún más ingenioso código web: desde mayoristas en línea (que calculan qué libros y películas podríamos estar interesados en comprar) hasta el buscador de amigos Facebook y su servicio para etiquetar imágenes, pasando por los motores de búsqueda que guían nuestros pasos en la web.</w:t>
      </w:r>
    </w:p>
    <w:p w:rsidR="00EB733C" w:rsidRPr="00EB733C" w:rsidRDefault="00EB733C" w:rsidP="00387350">
      <w:pPr>
        <w:spacing w:before="100" w:beforeAutospacing="1" w:after="100" w:afterAutospacing="1" w:line="240" w:lineRule="auto"/>
        <w:jc w:val="both"/>
        <w:rPr>
          <w:rFonts w:ascii="Times New Roman" w:eastAsia="Times New Roman" w:hAnsi="Times New Roman"/>
          <w:sz w:val="24"/>
          <w:szCs w:val="24"/>
          <w:lang w:eastAsia="es-ES"/>
        </w:rPr>
      </w:pPr>
      <w:r w:rsidRPr="00EB733C">
        <w:rPr>
          <w:rFonts w:ascii="Times New Roman" w:eastAsia="Times New Roman" w:hAnsi="Times New Roman"/>
          <w:sz w:val="24"/>
          <w:szCs w:val="24"/>
          <w:lang w:eastAsia="es-ES"/>
        </w:rPr>
        <w:lastRenderedPageBreak/>
        <w:t>Son estos procesos computacionales invisibles los que cada vez controlan el modo en que interactuamos con nuestro mundo electrónico… En los mercados financieros, los programas informáticos se están volviendo los actores protagónicos, con sus algoritmos que procesan datos para decidir qué comprar y qué vender.</w:t>
      </w:r>
    </w:p>
    <w:p w:rsidR="00EB733C" w:rsidRPr="00541FFA" w:rsidRDefault="00EB733C" w:rsidP="00387350">
      <w:pPr>
        <w:spacing w:before="100" w:beforeAutospacing="1" w:after="100" w:afterAutospacing="1" w:line="240" w:lineRule="auto"/>
        <w:jc w:val="both"/>
        <w:rPr>
          <w:rFonts w:ascii="Times New Roman" w:eastAsia="Times New Roman" w:hAnsi="Times New Roman"/>
          <w:sz w:val="24"/>
          <w:szCs w:val="24"/>
          <w:lang w:eastAsia="es-ES"/>
        </w:rPr>
      </w:pPr>
      <w:r w:rsidRPr="00EB733C">
        <w:rPr>
          <w:rFonts w:ascii="Times New Roman" w:eastAsia="Times New Roman" w:hAnsi="Times New Roman"/>
          <w:sz w:val="24"/>
          <w:szCs w:val="24"/>
          <w:lang w:eastAsia="es-ES"/>
        </w:rPr>
        <w:t xml:space="preserve">Hasta el 70% de los intercambios de Wall Street son ejecutados por las llamadas black box (cajas negras) o algo-trading (intercambios basados en algoritmos). Esto implica que junto a los sabios muchachos de la bolsa, los bancos y empresas bursátiles emplean a miles </w:t>
      </w:r>
      <w:r>
        <w:rPr>
          <w:rFonts w:ascii="Times New Roman" w:eastAsia="Times New Roman" w:hAnsi="Times New Roman"/>
          <w:sz w:val="24"/>
          <w:szCs w:val="24"/>
          <w:lang w:eastAsia="es-ES"/>
        </w:rPr>
        <w:t xml:space="preserve">de sabios físicos y matemáticos”… </w:t>
      </w:r>
      <w:r w:rsidRPr="00515AAA">
        <w:rPr>
          <w:rFonts w:ascii="Times New Roman" w:eastAsia="Times New Roman" w:hAnsi="Times New Roman"/>
          <w:sz w:val="24"/>
          <w:szCs w:val="24"/>
          <w:u w:val="single"/>
          <w:lang w:eastAsia="es-ES"/>
        </w:rPr>
        <w:t>Los algoritmos que controlan nuestro mundo</w:t>
      </w:r>
      <w:r>
        <w:rPr>
          <w:rFonts w:ascii="Times New Roman" w:eastAsia="Times New Roman" w:hAnsi="Times New Roman"/>
          <w:sz w:val="24"/>
          <w:szCs w:val="24"/>
          <w:lang w:eastAsia="es-ES"/>
        </w:rPr>
        <w:t xml:space="preserve"> (BBCMundo - </w:t>
      </w:r>
      <w:r w:rsidRPr="00515AAA">
        <w:rPr>
          <w:rFonts w:ascii="Times New Roman" w:eastAsia="Times New Roman" w:hAnsi="Times New Roman"/>
          <w:b/>
          <w:sz w:val="24"/>
          <w:szCs w:val="24"/>
          <w:lang w:eastAsia="es-ES"/>
        </w:rPr>
        <w:t>23/8/11</w:t>
      </w:r>
      <w:r>
        <w:rPr>
          <w:rFonts w:ascii="Times New Roman" w:eastAsia="Times New Roman" w:hAnsi="Times New Roman"/>
          <w:sz w:val="24"/>
          <w:szCs w:val="24"/>
          <w:lang w:eastAsia="es-ES"/>
        </w:rPr>
        <w:t>)</w:t>
      </w:r>
    </w:p>
    <w:p w:rsidR="00EB733C" w:rsidRPr="0004022C" w:rsidRDefault="0004022C"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EB733C" w:rsidRPr="0004022C">
        <w:rPr>
          <w:rFonts w:ascii="Times New Roman" w:eastAsia="Times New Roman" w:hAnsi="Times New Roman"/>
          <w:sz w:val="24"/>
          <w:szCs w:val="24"/>
          <w:lang w:eastAsia="es-ES"/>
        </w:rPr>
        <w:t>En la búsqueda de la productividad y la eficiencia en el sector financiero, varias bolsas en el mundo realizan un significativo porcentaje de sus operaciones a través del llamado algorithmic trading. Se trata de un método que se base en los algoritmos, los cuales como explica Javier Santomá, profesor de Gerencia Financiera de IESE Business School, no son más que métodos matemáticos de resolución de problemas.</w:t>
      </w:r>
    </w:p>
    <w:p w:rsidR="00EB733C" w:rsidRPr="0004022C" w:rsidRDefault="00EB733C" w:rsidP="00387350">
      <w:pPr>
        <w:spacing w:after="0" w:line="240" w:lineRule="auto"/>
        <w:jc w:val="both"/>
        <w:rPr>
          <w:rFonts w:ascii="Times New Roman" w:eastAsia="Times New Roman" w:hAnsi="Times New Roman"/>
          <w:sz w:val="24"/>
          <w:szCs w:val="24"/>
          <w:lang w:eastAsia="es-ES"/>
        </w:rPr>
      </w:pPr>
    </w:p>
    <w:p w:rsidR="00EB733C" w:rsidRPr="0004022C" w:rsidRDefault="00EB733C" w:rsidP="00387350">
      <w:pPr>
        <w:spacing w:after="0" w:line="240" w:lineRule="auto"/>
        <w:jc w:val="both"/>
        <w:rPr>
          <w:rFonts w:ascii="Times New Roman" w:eastAsia="Times New Roman" w:hAnsi="Times New Roman"/>
          <w:sz w:val="24"/>
          <w:szCs w:val="24"/>
          <w:lang w:eastAsia="es-ES"/>
        </w:rPr>
      </w:pPr>
      <w:r w:rsidRPr="0004022C">
        <w:rPr>
          <w:rFonts w:ascii="Times New Roman" w:eastAsia="Times New Roman" w:hAnsi="Times New Roman"/>
          <w:sz w:val="24"/>
          <w:szCs w:val="24"/>
          <w:lang w:eastAsia="es-ES"/>
        </w:rPr>
        <w:t xml:space="preserve">Funcionan como programas de cómputo que han sido diseñados para enviar órdenes de compra y de venta de acciones. “Se introduce una serie de reglas en una computadora y se deja que se ejecuten automáticamente de acuerdo con parámetros que previamente se han establecido”, le explicó a </w:t>
      </w:r>
      <w:r w:rsidRPr="00980A38">
        <w:rPr>
          <w:rFonts w:ascii="Times New Roman" w:eastAsia="Times New Roman" w:hAnsi="Times New Roman"/>
          <w:i/>
          <w:sz w:val="24"/>
          <w:szCs w:val="24"/>
          <w:lang w:eastAsia="es-ES"/>
        </w:rPr>
        <w:t>BBC Mundo</w:t>
      </w:r>
      <w:r w:rsidRPr="0004022C">
        <w:rPr>
          <w:rFonts w:ascii="Times New Roman" w:eastAsia="Times New Roman" w:hAnsi="Times New Roman"/>
          <w:sz w:val="24"/>
          <w:szCs w:val="24"/>
          <w:lang w:eastAsia="es-ES"/>
        </w:rPr>
        <w:t>, Luis Raúl Rodríguez, director de análisis de la Casa de Bolsa Finamex.</w:t>
      </w:r>
    </w:p>
    <w:p w:rsidR="00EB733C" w:rsidRPr="0004022C" w:rsidRDefault="00EB733C" w:rsidP="00387350">
      <w:pPr>
        <w:spacing w:after="0" w:line="240" w:lineRule="auto"/>
        <w:jc w:val="both"/>
        <w:rPr>
          <w:rFonts w:ascii="Times New Roman" w:eastAsia="Times New Roman" w:hAnsi="Times New Roman"/>
          <w:sz w:val="24"/>
          <w:szCs w:val="24"/>
          <w:lang w:eastAsia="es-ES"/>
        </w:rPr>
      </w:pPr>
    </w:p>
    <w:p w:rsidR="00EB733C" w:rsidRDefault="00EB733C" w:rsidP="00387350">
      <w:pPr>
        <w:spacing w:after="0" w:line="240" w:lineRule="auto"/>
        <w:jc w:val="both"/>
        <w:rPr>
          <w:rFonts w:ascii="Times New Roman" w:eastAsia="Times New Roman" w:hAnsi="Times New Roman"/>
          <w:sz w:val="24"/>
          <w:szCs w:val="24"/>
          <w:lang w:eastAsia="es-ES"/>
        </w:rPr>
      </w:pPr>
      <w:r w:rsidRPr="0004022C">
        <w:rPr>
          <w:rFonts w:ascii="Times New Roman" w:eastAsia="Times New Roman" w:hAnsi="Times New Roman"/>
          <w:sz w:val="24"/>
          <w:szCs w:val="24"/>
          <w:lang w:eastAsia="es-ES"/>
        </w:rPr>
        <w:t xml:space="preserve">Las reglas pueden ser, por ejemplo, que si el precio de una acción X cae al nivel Y, hay que vender, o que si el precio del petróleo subió 3% hay que comprar 100.000 acciones de Z. La consigna es delegar las operaciones bursátiles a modelos informáticos en vez de a personas. “Estos algoritmos son capaces de escuchar, analizar y entender gran cantidad de información y pueden automáticamente responder a eventos del mercado en tiempo real en forma instantánea y continua”, señala en su página web Casa de Bolsa Finamex”… </w:t>
      </w:r>
      <w:r w:rsidRPr="007B7C74">
        <w:rPr>
          <w:rFonts w:ascii="Times New Roman" w:eastAsia="Times New Roman" w:hAnsi="Times New Roman"/>
          <w:sz w:val="24"/>
          <w:szCs w:val="24"/>
          <w:u w:val="single"/>
          <w:lang w:eastAsia="es-ES"/>
        </w:rPr>
        <w:t>La tecnología que mueve las bolsas</w:t>
      </w:r>
      <w:r>
        <w:rPr>
          <w:rFonts w:ascii="Times New Roman" w:eastAsia="Times New Roman" w:hAnsi="Times New Roman"/>
          <w:sz w:val="24"/>
          <w:szCs w:val="24"/>
          <w:lang w:eastAsia="es-ES"/>
        </w:rPr>
        <w:t xml:space="preserve"> (BBCMundo - </w:t>
      </w:r>
      <w:r w:rsidRPr="007B7C74">
        <w:rPr>
          <w:rFonts w:ascii="Times New Roman" w:eastAsia="Times New Roman" w:hAnsi="Times New Roman"/>
          <w:b/>
          <w:sz w:val="24"/>
          <w:szCs w:val="24"/>
          <w:lang w:eastAsia="es-ES"/>
        </w:rPr>
        <w:t>17/11/11</w:t>
      </w:r>
      <w:r>
        <w:rPr>
          <w:rFonts w:ascii="Times New Roman" w:eastAsia="Times New Roman" w:hAnsi="Times New Roman"/>
          <w:sz w:val="24"/>
          <w:szCs w:val="24"/>
          <w:lang w:eastAsia="es-ES"/>
        </w:rPr>
        <w:t>)</w:t>
      </w:r>
    </w:p>
    <w:p w:rsidR="0004022C" w:rsidRDefault="0004022C" w:rsidP="00387350">
      <w:pPr>
        <w:spacing w:after="0" w:line="240" w:lineRule="auto"/>
        <w:jc w:val="both"/>
        <w:rPr>
          <w:rFonts w:ascii="Times New Roman" w:eastAsia="Times New Roman" w:hAnsi="Times New Roman"/>
          <w:sz w:val="24"/>
          <w:szCs w:val="24"/>
          <w:lang w:eastAsia="es-ES"/>
        </w:rPr>
      </w:pPr>
    </w:p>
    <w:p w:rsidR="0004022C" w:rsidRPr="0004022C" w:rsidRDefault="0004022C"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04022C">
        <w:rPr>
          <w:rFonts w:ascii="Times New Roman" w:eastAsia="Times New Roman" w:hAnsi="Times New Roman"/>
          <w:sz w:val="24"/>
          <w:szCs w:val="24"/>
          <w:lang w:eastAsia="es-ES"/>
        </w:rPr>
        <w:t>A los mercados electrónicos se les siguen cruzando los cables y los inversionistas están cansados de recibir las descargas eléctricas. En el llamado “crash relámpago” del 6 de mayo de 2010, las acciones estadounidenses perdieron US$</w:t>
      </w:r>
      <w:r w:rsidR="00CE3A47">
        <w:rPr>
          <w:rFonts w:ascii="Times New Roman" w:eastAsia="Times New Roman" w:hAnsi="Times New Roman"/>
          <w:sz w:val="24"/>
          <w:szCs w:val="24"/>
          <w:lang w:eastAsia="es-ES"/>
        </w:rPr>
        <w:t xml:space="preserve"> </w:t>
      </w:r>
      <w:r w:rsidRPr="0004022C">
        <w:rPr>
          <w:rFonts w:ascii="Times New Roman" w:eastAsia="Times New Roman" w:hAnsi="Times New Roman"/>
          <w:sz w:val="24"/>
          <w:szCs w:val="24"/>
          <w:lang w:eastAsia="es-ES"/>
        </w:rPr>
        <w:t>1 billón (millón de millones) en alrededor de 20 minutos. Hace dos meses, BATS Global Markets, que opera el tercer mercado bursátil en Estados Unidos, suspendió su salida a bolsa cuando su plataforma electrónica no pudo ejecutar libremente transacciones de sus propias acciones. El debut de Facebook en el Nasdaq el 18 de mayo dejó por varias horas a innumerables inversionistas con la duda de si sus transacciones habían sido procesadas.</w:t>
      </w:r>
    </w:p>
    <w:p w:rsidR="0004022C" w:rsidRPr="0004022C" w:rsidRDefault="0004022C" w:rsidP="00387350">
      <w:pPr>
        <w:spacing w:after="0" w:line="240" w:lineRule="auto"/>
        <w:jc w:val="both"/>
        <w:rPr>
          <w:rFonts w:ascii="Times New Roman" w:eastAsia="Times New Roman" w:hAnsi="Times New Roman"/>
          <w:sz w:val="24"/>
          <w:szCs w:val="24"/>
          <w:lang w:eastAsia="es-ES"/>
        </w:rPr>
      </w:pPr>
    </w:p>
    <w:p w:rsidR="0004022C" w:rsidRPr="0004022C" w:rsidRDefault="0004022C" w:rsidP="00387350">
      <w:pPr>
        <w:spacing w:after="0" w:line="240" w:lineRule="auto"/>
        <w:jc w:val="both"/>
        <w:rPr>
          <w:rFonts w:ascii="Times New Roman" w:eastAsia="Times New Roman" w:hAnsi="Times New Roman"/>
          <w:sz w:val="24"/>
          <w:szCs w:val="24"/>
          <w:lang w:eastAsia="es-ES"/>
        </w:rPr>
      </w:pPr>
      <w:r w:rsidRPr="0004022C">
        <w:rPr>
          <w:rFonts w:ascii="Times New Roman" w:eastAsia="Times New Roman" w:hAnsi="Times New Roman"/>
          <w:sz w:val="24"/>
          <w:szCs w:val="24"/>
          <w:lang w:eastAsia="es-ES"/>
        </w:rPr>
        <w:t>Aún no está claro qué causó estos problemas, principalmente porque las transacciones computarizadas han superado con creces la habilidad de cualquiera de monitorearlas o controlarlas. “Hasta que no podamos entender estos problemas tanto de forma retrospectiva como proactiva, van a seguir pasando”, advierte David Leinweber, ingeniero de sistemas y ex gestor de inversión quien hoy dirige el Centro para la Tecnología Financiera Innovadora en el Laboratorio Nacional Lawrence Berkeley, en California.</w:t>
      </w:r>
    </w:p>
    <w:p w:rsidR="0004022C" w:rsidRPr="0004022C" w:rsidRDefault="0004022C" w:rsidP="00387350">
      <w:pPr>
        <w:spacing w:after="0" w:line="240" w:lineRule="auto"/>
        <w:jc w:val="both"/>
        <w:rPr>
          <w:rFonts w:ascii="Times New Roman" w:eastAsia="Times New Roman" w:hAnsi="Times New Roman"/>
          <w:sz w:val="24"/>
          <w:szCs w:val="24"/>
          <w:lang w:eastAsia="es-ES"/>
        </w:rPr>
      </w:pPr>
      <w:r w:rsidRPr="0004022C">
        <w:rPr>
          <w:rFonts w:ascii="Times New Roman" w:eastAsia="Times New Roman" w:hAnsi="Times New Roman"/>
          <w:sz w:val="24"/>
          <w:szCs w:val="24"/>
          <w:lang w:eastAsia="es-ES"/>
        </w:rPr>
        <w:t xml:space="preserve"> </w:t>
      </w:r>
    </w:p>
    <w:p w:rsidR="0004022C" w:rsidRPr="0004022C" w:rsidRDefault="0004022C" w:rsidP="00387350">
      <w:pPr>
        <w:spacing w:after="0" w:line="240" w:lineRule="auto"/>
        <w:jc w:val="both"/>
        <w:rPr>
          <w:rFonts w:ascii="Times New Roman" w:eastAsia="Times New Roman" w:hAnsi="Times New Roman"/>
          <w:sz w:val="24"/>
          <w:szCs w:val="24"/>
          <w:lang w:eastAsia="es-ES"/>
        </w:rPr>
      </w:pPr>
      <w:r w:rsidRPr="0004022C">
        <w:rPr>
          <w:rFonts w:ascii="Times New Roman" w:eastAsia="Times New Roman" w:hAnsi="Times New Roman"/>
          <w:sz w:val="24"/>
          <w:szCs w:val="24"/>
          <w:lang w:eastAsia="es-ES"/>
        </w:rPr>
        <w:t xml:space="preserve">Leinweber añade que mientras que los controladores aéreos hacen un seguimiento constante de los vuelos para salvaguardar la seguridad en el aire y los pronosticadores </w:t>
      </w:r>
      <w:r w:rsidRPr="0004022C">
        <w:rPr>
          <w:rFonts w:ascii="Times New Roman" w:eastAsia="Times New Roman" w:hAnsi="Times New Roman"/>
          <w:sz w:val="24"/>
          <w:szCs w:val="24"/>
          <w:lang w:eastAsia="es-ES"/>
        </w:rPr>
        <w:lastRenderedPageBreak/>
        <w:t>del estado del tiempo observan la trayectoria de los huracanes antes de que toquen tierra, los mercados financieros han crecido de una forma tan dispersa y compleja que es casi imposible que sean monitoreados por humanos. Hace unos 10 o 15 años, la mayoría de las acciones estadounidenses cambiaba de mano tanto en la Bolsa de Valores de Nueva York como en el Nasdaq. Hoy, los títulos vuelan a lo largo de decenas de bolsas y plataformas alternativas. Una transacción puede ser ejecutada en menos de 200 millonésimas de segundo, o unas 1.500 veces más rápido que lo que uno se demora en pestañear. Durante el primer día de cotización de Facebook, más de 570 millones de acciones cambiaron de manos, o 10% más que el volumen diario promedio de todas las acciones de la NYSE combinadas en 1997.</w:t>
      </w:r>
    </w:p>
    <w:p w:rsidR="0004022C" w:rsidRPr="0004022C" w:rsidRDefault="0004022C" w:rsidP="00387350">
      <w:pPr>
        <w:spacing w:after="0" w:line="240" w:lineRule="auto"/>
        <w:jc w:val="both"/>
        <w:rPr>
          <w:rFonts w:ascii="Times New Roman" w:eastAsia="Times New Roman" w:hAnsi="Times New Roman"/>
          <w:sz w:val="24"/>
          <w:szCs w:val="24"/>
          <w:lang w:eastAsia="es-ES"/>
        </w:rPr>
      </w:pPr>
      <w:r w:rsidRPr="0004022C">
        <w:rPr>
          <w:rFonts w:ascii="Times New Roman" w:eastAsia="Times New Roman" w:hAnsi="Times New Roman"/>
          <w:sz w:val="24"/>
          <w:szCs w:val="24"/>
          <w:lang w:eastAsia="es-ES"/>
        </w:rPr>
        <w:t xml:space="preserve"> </w:t>
      </w:r>
    </w:p>
    <w:p w:rsidR="0004022C" w:rsidRPr="0004022C" w:rsidRDefault="0004022C" w:rsidP="00387350">
      <w:pPr>
        <w:spacing w:after="0" w:line="240" w:lineRule="auto"/>
        <w:jc w:val="both"/>
        <w:rPr>
          <w:rFonts w:ascii="Times New Roman" w:eastAsia="Times New Roman" w:hAnsi="Times New Roman"/>
          <w:sz w:val="24"/>
          <w:szCs w:val="24"/>
          <w:lang w:eastAsia="es-ES"/>
        </w:rPr>
      </w:pPr>
      <w:r w:rsidRPr="0004022C">
        <w:rPr>
          <w:rFonts w:ascii="Times New Roman" w:eastAsia="Times New Roman" w:hAnsi="Times New Roman"/>
          <w:sz w:val="24"/>
          <w:szCs w:val="24"/>
          <w:lang w:eastAsia="es-ES"/>
        </w:rPr>
        <w:t>Toda esta actividad ha reducido significativamente el costo general de negociación. También ha generado un océano caótico de datos en el que puede ser difícil determinar quién negoció qué, cuándo y dónde”...</w:t>
      </w:r>
      <w:r>
        <w:rPr>
          <w:rFonts w:ascii="Times New Roman" w:eastAsia="Times New Roman" w:hAnsi="Times New Roman"/>
          <w:sz w:val="24"/>
          <w:szCs w:val="24"/>
          <w:lang w:eastAsia="es-ES"/>
        </w:rPr>
        <w:t xml:space="preserve"> </w:t>
      </w:r>
      <w:r w:rsidRPr="006C50F6">
        <w:rPr>
          <w:rFonts w:ascii="Times New Roman" w:eastAsia="Times New Roman" w:hAnsi="Times New Roman"/>
          <w:sz w:val="24"/>
          <w:szCs w:val="24"/>
          <w:u w:val="single"/>
          <w:lang w:eastAsia="es-ES"/>
        </w:rPr>
        <w:t>¿Se puede evitar una catástrofe técnica en la bolsa?</w:t>
      </w:r>
      <w:r>
        <w:rPr>
          <w:rFonts w:ascii="Times New Roman" w:eastAsia="Times New Roman" w:hAnsi="Times New Roman"/>
          <w:sz w:val="24"/>
          <w:szCs w:val="24"/>
          <w:lang w:eastAsia="es-ES"/>
        </w:rPr>
        <w:t xml:space="preserve"> </w:t>
      </w:r>
      <w:r w:rsidRPr="0004022C">
        <w:rPr>
          <w:rFonts w:ascii="Times New Roman" w:eastAsia="Times New Roman" w:hAnsi="Times New Roman"/>
          <w:sz w:val="24"/>
          <w:szCs w:val="24"/>
          <w:lang w:eastAsia="es-ES"/>
        </w:rPr>
        <w:t xml:space="preserve">(The Wall Street Journal - </w:t>
      </w:r>
      <w:r w:rsidRPr="0004022C">
        <w:rPr>
          <w:rFonts w:ascii="Times New Roman" w:eastAsia="Times New Roman" w:hAnsi="Times New Roman"/>
          <w:b/>
          <w:sz w:val="24"/>
          <w:szCs w:val="24"/>
          <w:lang w:eastAsia="es-ES"/>
        </w:rPr>
        <w:t>3/6/12</w:t>
      </w:r>
      <w:r w:rsidRPr="0004022C">
        <w:rPr>
          <w:rFonts w:ascii="Times New Roman" w:eastAsia="Times New Roman" w:hAnsi="Times New Roman"/>
          <w:sz w:val="24"/>
          <w:szCs w:val="24"/>
          <w:lang w:eastAsia="es-ES"/>
        </w:rPr>
        <w:t>)</w:t>
      </w:r>
    </w:p>
    <w:p w:rsidR="0004022C" w:rsidRPr="0004022C" w:rsidRDefault="0004022C" w:rsidP="00387350">
      <w:pPr>
        <w:pStyle w:val="ingress2"/>
        <w:spacing w:line="240" w:lineRule="auto"/>
        <w:jc w:val="both"/>
        <w:rPr>
          <w:b w:val="0"/>
          <w:sz w:val="24"/>
          <w:szCs w:val="24"/>
        </w:rPr>
      </w:pPr>
      <w:r w:rsidRPr="0004022C">
        <w:rPr>
          <w:rFonts w:cstheme="minorBidi"/>
          <w:b w:val="0"/>
          <w:bCs w:val="0"/>
          <w:sz w:val="24"/>
          <w:szCs w:val="24"/>
        </w:rPr>
        <w:t>““</w:t>
      </w:r>
      <w:r w:rsidRPr="0004022C">
        <w:rPr>
          <w:b w:val="0"/>
          <w:sz w:val="24"/>
          <w:szCs w:val="24"/>
        </w:rPr>
        <w:t>Los seres humanos no pueden competir</w:t>
      </w:r>
      <w:r w:rsidR="00E3208B">
        <w:rPr>
          <w:b w:val="0"/>
          <w:sz w:val="24"/>
          <w:szCs w:val="24"/>
        </w:rPr>
        <w:t xml:space="preserve"> en velocidad, es así de simple”</w:t>
      </w:r>
      <w:r w:rsidRPr="0004022C">
        <w:rPr>
          <w:b w:val="0"/>
          <w:sz w:val="24"/>
          <w:szCs w:val="24"/>
        </w:rPr>
        <w:t xml:space="preserve">. Hace diez años, John Coates era un operador de bolsa en Wall Street. Hoy es neurocientífico en la Universidad de Cambridge (Reino Unido) e invierte sus días supervisando el comportamiento de los operadores </w:t>
      </w:r>
      <w:r w:rsidR="00CE3A47">
        <w:rPr>
          <w:b w:val="0"/>
          <w:sz w:val="24"/>
          <w:szCs w:val="24"/>
        </w:rPr>
        <w:t>-“</w:t>
      </w:r>
      <w:r w:rsidRPr="00CE3A47">
        <w:rPr>
          <w:rStyle w:val="nfasis"/>
          <w:b w:val="0"/>
          <w:i w:val="0"/>
          <w:sz w:val="24"/>
          <w:szCs w:val="24"/>
        </w:rPr>
        <w:t>traders</w:t>
      </w:r>
      <w:r w:rsidR="00CE3A47">
        <w:rPr>
          <w:rStyle w:val="nfasis"/>
          <w:b w:val="0"/>
          <w:i w:val="0"/>
          <w:sz w:val="24"/>
          <w:szCs w:val="24"/>
        </w:rPr>
        <w:t>”</w:t>
      </w:r>
      <w:r w:rsidRPr="0004022C">
        <w:rPr>
          <w:b w:val="0"/>
          <w:sz w:val="24"/>
          <w:szCs w:val="24"/>
        </w:rPr>
        <w:t xml:space="preserve">- para descifrar qué los motiva. </w:t>
      </w:r>
    </w:p>
    <w:p w:rsidR="0004022C" w:rsidRPr="0004022C" w:rsidRDefault="0004022C" w:rsidP="00387350">
      <w:pPr>
        <w:spacing w:before="100" w:beforeAutospacing="1" w:after="35" w:line="240" w:lineRule="auto"/>
        <w:jc w:val="both"/>
        <w:rPr>
          <w:rFonts w:ascii="Times New Roman" w:hAnsi="Times New Roman" w:cs="Times New Roman"/>
          <w:sz w:val="24"/>
          <w:szCs w:val="24"/>
        </w:rPr>
      </w:pPr>
      <w:r w:rsidRPr="0004022C">
        <w:rPr>
          <w:rFonts w:ascii="Times New Roman" w:hAnsi="Times New Roman" w:cs="Times New Roman"/>
          <w:sz w:val="24"/>
          <w:szCs w:val="24"/>
        </w:rPr>
        <w:t>“Hay pruebas simples que uno puede hacer. Al ver una luz verde, hacer clic con el ratón. Lo más rápido que una persona puede hacerlo es en entre 100 y 120 milisegundos. Cualquier proceso cognitivo básico, entender algo, puede demorar entre 200 y 300 milisegundos”. “El problema es que las “cajas” (computadoras), la última vez que miré, estaban procesando una operación en 10 milisegundos, y hoy en día creo que tendríamos que hablar de millonésimas de segundo”.</w:t>
      </w:r>
    </w:p>
    <w:p w:rsidR="0004022C" w:rsidRPr="00980A38" w:rsidRDefault="0004022C" w:rsidP="00387350">
      <w:pPr>
        <w:spacing w:before="100" w:beforeAutospacing="1" w:after="35" w:line="240" w:lineRule="auto"/>
        <w:jc w:val="both"/>
        <w:rPr>
          <w:rFonts w:ascii="Times New Roman" w:hAnsi="Times New Roman" w:cs="Times New Roman"/>
          <w:sz w:val="24"/>
          <w:szCs w:val="24"/>
        </w:rPr>
      </w:pPr>
      <w:r w:rsidRPr="00980A38">
        <w:rPr>
          <w:rFonts w:ascii="Times New Roman" w:hAnsi="Times New Roman" w:cs="Times New Roman"/>
          <w:sz w:val="24"/>
          <w:szCs w:val="24"/>
        </w:rPr>
        <w:t>Las “cajas” de las que habla Coates son los operadores robot: equipos que toman sus propias decisiones sobre cuándo comprar y vender, pero mil veces más rápido que cualquier humano. Miremos la Bolsa de Valores de Nueva York. En estos días, la mayor parte de comercio no tiene lugar detrás de su famosa fachada neoclásica al lado de Wall Street, sino en la mucho menos glamorosa Nueva Jersey. Ahí es donde la Bolsa de Nueva York ha puesto en marcha un vasto sistema de operaciones electrónicas que ocupa cuatro hectáreas, con filas y filas de servidores. Y los servidores de las empresas que usan operadoras robot ocupan muchas más hectáreas…</w:t>
      </w:r>
    </w:p>
    <w:p w:rsidR="008E0827" w:rsidRDefault="0004022C" w:rsidP="00387350">
      <w:pPr>
        <w:spacing w:before="100" w:beforeAutospacing="1" w:after="35" w:line="240" w:lineRule="auto"/>
        <w:jc w:val="both"/>
        <w:rPr>
          <w:rFonts w:ascii="Times New Roman" w:hAnsi="Times New Roman"/>
          <w:sz w:val="24"/>
          <w:szCs w:val="24"/>
        </w:rPr>
      </w:pPr>
      <w:r w:rsidRPr="008E0827">
        <w:rPr>
          <w:rFonts w:ascii="Times New Roman" w:hAnsi="Times New Roman" w:cs="Times New Roman"/>
          <w:sz w:val="24"/>
          <w:szCs w:val="24"/>
        </w:rPr>
        <w:t>Los operadores de algoritmos utilizan estrategias muy diferentes. Pero todos comparten la necesidad de identificar las oportunidades comerciales: detectar las fugaces diferencias entre el precio de mercado disponible y el precio que la máquina considera que debería ser y reaccionar lo más rápido que nadie.</w:t>
      </w:r>
      <w:r w:rsidR="008E0827" w:rsidRPr="008E0827">
        <w:rPr>
          <w:rFonts w:ascii="Times New Roman" w:hAnsi="Times New Roman" w:cs="Times New Roman"/>
          <w:sz w:val="24"/>
          <w:szCs w:val="24"/>
        </w:rPr>
        <w:t xml:space="preserve"> Se llama la “carrera hacia cero”</w:t>
      </w:r>
      <w:r w:rsidRPr="008E0827">
        <w:rPr>
          <w:rFonts w:ascii="Times New Roman" w:hAnsi="Times New Roman" w:cs="Times New Roman"/>
          <w:sz w:val="24"/>
          <w:szCs w:val="24"/>
        </w:rPr>
        <w:t xml:space="preserve"> y ha generado inversiones por miles de millones de dólares gracias a computadoras más rápidas, más inteligentes y con las conexiones lo más rápidas posibles.</w:t>
      </w:r>
      <w:r w:rsidR="008E0827" w:rsidRPr="008E0827">
        <w:rPr>
          <w:rFonts w:ascii="Times New Roman" w:hAnsi="Times New Roman" w:cs="Times New Roman"/>
          <w:sz w:val="24"/>
          <w:szCs w:val="24"/>
        </w:rPr>
        <w:t xml:space="preserve"> </w:t>
      </w:r>
      <w:r w:rsidRPr="008E0827">
        <w:rPr>
          <w:rFonts w:ascii="Times New Roman" w:hAnsi="Times New Roman" w:cs="Times New Roman"/>
          <w:sz w:val="24"/>
          <w:szCs w:val="24"/>
        </w:rPr>
        <w:t>En las bolsas de valores en todo el planeta los op</w:t>
      </w:r>
      <w:r w:rsidR="008E0827" w:rsidRPr="008E0827">
        <w:rPr>
          <w:rFonts w:ascii="Times New Roman" w:hAnsi="Times New Roman" w:cs="Times New Roman"/>
          <w:sz w:val="24"/>
          <w:szCs w:val="24"/>
        </w:rPr>
        <w:t>eradores pagan altas sumas por “relocalizar”</w:t>
      </w:r>
      <w:r w:rsidRPr="008E0827">
        <w:rPr>
          <w:rFonts w:ascii="Times New Roman" w:hAnsi="Times New Roman" w:cs="Times New Roman"/>
          <w:sz w:val="24"/>
          <w:szCs w:val="24"/>
        </w:rPr>
        <w:t xml:space="preserve"> sus servidores directamente adond</w:t>
      </w:r>
      <w:r w:rsidR="008E0827" w:rsidRPr="008E0827">
        <w:rPr>
          <w:rFonts w:ascii="Times New Roman" w:hAnsi="Times New Roman" w:cs="Times New Roman"/>
          <w:sz w:val="24"/>
          <w:szCs w:val="24"/>
        </w:rPr>
        <w:t>e se producen las transacciones”…</w:t>
      </w:r>
      <w:r w:rsidR="008E0827">
        <w:rPr>
          <w:rFonts w:ascii="Times New Roman" w:hAnsi="Times New Roman" w:cs="Times New Roman"/>
          <w:sz w:val="24"/>
          <w:szCs w:val="24"/>
        </w:rPr>
        <w:t xml:space="preserve"> </w:t>
      </w:r>
      <w:r w:rsidR="008E0827" w:rsidRPr="0088235C">
        <w:rPr>
          <w:rFonts w:ascii="Times New Roman" w:hAnsi="Times New Roman"/>
          <w:sz w:val="24"/>
          <w:szCs w:val="24"/>
          <w:u w:val="single"/>
        </w:rPr>
        <w:t>Los robots que negocian acciones en la bolsa</w:t>
      </w:r>
      <w:r w:rsidR="008E0827" w:rsidRPr="0088235C">
        <w:rPr>
          <w:rFonts w:ascii="Times New Roman" w:hAnsi="Times New Roman"/>
          <w:sz w:val="24"/>
          <w:szCs w:val="24"/>
        </w:rPr>
        <w:t xml:space="preserve"> (BBCMundo - </w:t>
      </w:r>
      <w:r w:rsidR="008E0827" w:rsidRPr="008E0827">
        <w:rPr>
          <w:rFonts w:ascii="Times New Roman" w:hAnsi="Times New Roman"/>
          <w:b/>
          <w:sz w:val="24"/>
          <w:szCs w:val="24"/>
        </w:rPr>
        <w:t>15/7/13</w:t>
      </w:r>
      <w:r w:rsidR="008E0827" w:rsidRPr="0088235C">
        <w:rPr>
          <w:rFonts w:ascii="Times New Roman" w:hAnsi="Times New Roman"/>
          <w:sz w:val="24"/>
          <w:szCs w:val="24"/>
        </w:rPr>
        <w:t>)</w:t>
      </w:r>
    </w:p>
    <w:p w:rsidR="008E0827" w:rsidRPr="008E0827" w:rsidRDefault="008E0827" w:rsidP="00387350">
      <w:pPr>
        <w:pStyle w:val="NormalWeb"/>
        <w:jc w:val="both"/>
      </w:pPr>
      <w:r>
        <w:t>“</w:t>
      </w:r>
      <w:r w:rsidRPr="008E0827">
        <w:t xml:space="preserve">Para la economía americana -y para muchas otras economías desarrolladas-, el elefante en la habitación es la cantidad de dinero entregado a los banqueros en los cinco últimos años. En los Estados Unidos, la suma asciende a la asombrosa cifra de 2,2 billones de </w:t>
      </w:r>
      <w:r w:rsidRPr="008E0827">
        <w:lastRenderedPageBreak/>
        <w:t>dólares en el caso de los bancos registrados en la Comisión del Mercado de Valores de los EEUU. Si la extrapolamos al próximo decenio, la cifra se acercaría a los cinco billones de dólares, una cantidad muchísimo mayor que lo que el Gobierno del Presidente Barak Obama y sus oponentes republicanos parecen dispuestos a reducir de los próximos déficits gubernamentales.</w:t>
      </w:r>
    </w:p>
    <w:p w:rsidR="008E0827" w:rsidRPr="008E0827" w:rsidRDefault="008E0827" w:rsidP="00387350">
      <w:pPr>
        <w:pStyle w:val="NormalWeb"/>
        <w:jc w:val="both"/>
      </w:pPr>
      <w:r w:rsidRPr="008E0827">
        <w:t>Esos cinco billones de dólares no son dinero invertido en la construcción de carreteras, escuelas y otros proyectos a largo plazo, sino que se transfieren directamente de la economía americana a las cuentas personales de ejecutivos y  empleados de bancos. Semejantes transferencias representan para todos los demás el impuesto más artero que imaginarse pueda. Parece de lo más inicuo que los banqueros, después de haber contribuido a causar los problemas económicos y financieros actuales, sean la única clase que no está padeciendo sus consecuencias... y en muchos casos se está beneficiando, en realidad.</w:t>
      </w:r>
    </w:p>
    <w:p w:rsidR="008E0827" w:rsidRPr="008E0827" w:rsidRDefault="008E0827" w:rsidP="00387350">
      <w:pPr>
        <w:pStyle w:val="NormalWeb"/>
        <w:jc w:val="both"/>
      </w:pPr>
      <w:r w:rsidRPr="008E0827">
        <w:t>Los megabancos principales resultan desconcertantes en muchos sentidos. (Ya) no es un secreto que han funcionado hasta ahora como grandes y complejos planes de remuneración, que han ocultado las probabilidades de acontecimientos imprevistos que representan poco riesgo, pero tienen grandes repercusiones, y se han beneficiado del parapeto gratuito de las garantías públicas implícitas. Se ve claramente que a un apalancamiento excesivo y no a sus aptitudes es a lo que se deben sus beneficios resultantes, que después recaen desproporcionadamente en los empleados, y sus pérdidas, a veces en gran escala, que recaen sobre los accionistas y los contribuyentes.</w:t>
      </w:r>
    </w:p>
    <w:p w:rsidR="008E0827" w:rsidRPr="008E0827" w:rsidRDefault="008E0827" w:rsidP="00387350">
      <w:pPr>
        <w:pStyle w:val="NormalWeb"/>
        <w:jc w:val="both"/>
      </w:pPr>
      <w:r w:rsidRPr="008E0827">
        <w:t>Dicho de otro modo, los bancos corren riesgos, reciben los beneficios y después transfieren las pérdidas a los accionistas, los contribuyentes e incluso los jubilados. Para rescatar el sistema bancario, la Reserva Federal, por ejemplo, bajó los tipos de interés hasta unos niveles artificialmente bajos; como se ha sabido recientemente, también ha concedido préstamos secretos de 1,2 billones de dólares a los bancos. El efecto principal hasta ahora ha sido el de ayudar a los banqueros a conseguir primas (en lugar de atraer a prestatarios) ocultando los riesgos.</w:t>
      </w:r>
    </w:p>
    <w:p w:rsidR="008E0827" w:rsidRPr="001A7875" w:rsidRDefault="008E0827" w:rsidP="00387350">
      <w:pPr>
        <w:pStyle w:val="NormalWeb"/>
        <w:jc w:val="both"/>
      </w:pPr>
      <w:r w:rsidRPr="008E0827">
        <w:t>Los contribuyentes acaban pagando dichos riesgos, como también los jubilados y otros que dependen de los réditos de sus ahorros. Además, las políticas de bajos tipos de interés transfieren el riesgo de la inflación a todos los ahorradores y a las generaciones futuras. Así, pues, tal vez el mayor insulto a los contribuyentes es el de que el año pasado la remuneración de los banqueros volviera a alcanzar el nivel del período anterior a la crisis</w:t>
      </w:r>
      <w:r>
        <w:t>”..</w:t>
      </w:r>
      <w:r w:rsidRPr="008E0827">
        <w:t>.</w:t>
      </w:r>
      <w:r>
        <w:t xml:space="preserve"> </w:t>
      </w:r>
      <w:r w:rsidRPr="001A7875">
        <w:rPr>
          <w:u w:val="single"/>
        </w:rPr>
        <w:t>El gran robo bancario</w:t>
      </w:r>
      <w:r w:rsidRPr="001A7875">
        <w:t xml:space="preserve"> (Project Syndicate - </w:t>
      </w:r>
      <w:r w:rsidRPr="001A7875">
        <w:rPr>
          <w:b/>
        </w:rPr>
        <w:t>2/9/11</w:t>
      </w:r>
      <w:r w:rsidRPr="001A7875">
        <w:t>)</w:t>
      </w:r>
    </w:p>
    <w:p w:rsidR="008E0827" w:rsidRPr="008E0827" w:rsidRDefault="008E0827" w:rsidP="00387350">
      <w:pPr>
        <w:pStyle w:val="NormalWeb"/>
        <w:jc w:val="both"/>
      </w:pPr>
      <w:r>
        <w:t>“</w:t>
      </w:r>
      <w:r w:rsidRPr="008E0827">
        <w:t xml:space="preserve">Durante las últimas décadas se ha venido produciendo un cambio en las economías occidentales. </w:t>
      </w:r>
      <w:r w:rsidRPr="008E0827">
        <w:rPr>
          <w:bCs/>
        </w:rPr>
        <w:t>Del capitalismo industrial se ha pasado al financiero</w:t>
      </w:r>
      <w:r w:rsidRPr="008E0827">
        <w:t xml:space="preserve">, de la preeminencia de la actividad productiva a la crediticia y de mercados. </w:t>
      </w:r>
    </w:p>
    <w:p w:rsidR="008E0827" w:rsidRPr="008E0827" w:rsidRDefault="008E0827" w:rsidP="00387350">
      <w:pPr>
        <w:pStyle w:val="NormalWeb"/>
        <w:jc w:val="both"/>
      </w:pPr>
      <w:r w:rsidRPr="008E0827">
        <w:rPr>
          <w:bCs/>
        </w:rPr>
        <w:t>Acaba de concluir su primera fase</w:t>
      </w:r>
      <w:r w:rsidRPr="008E0827">
        <w:t xml:space="preserve"> </w:t>
      </w:r>
      <w:r w:rsidRPr="008E0827">
        <w:rPr>
          <w:bCs/>
        </w:rPr>
        <w:t xml:space="preserve">que ha implicado la casi desaparición de la economía “real” </w:t>
      </w:r>
      <w:r w:rsidRPr="008E0827">
        <w:t xml:space="preserve">en favor de la financiera y la concentración de poder en reducidas manos de este sector. Para ello se ha usado la </w:t>
      </w:r>
      <w:hyperlink r:id="rId127" w:history="1">
        <w:r w:rsidRPr="008E0827">
          <w:rPr>
            <w:rStyle w:val="Hipervnculo"/>
            <w:color w:val="auto"/>
            <w:u w:val="none"/>
          </w:rPr>
          <w:t>ilusión monetaria</w:t>
        </w:r>
      </w:hyperlink>
      <w:r w:rsidRPr="008E0827">
        <w:t xml:space="preserve"> que logró convencer a los ciudadanos que endeudarse significaba ser más rico, sin que, en realidad, se operara cambio alguno en su situación. Pero claro, cuanta más deuda, más dependencia del sector financiero. </w:t>
      </w:r>
    </w:p>
    <w:p w:rsidR="008E0827" w:rsidRDefault="008E0827" w:rsidP="00387350">
      <w:pPr>
        <w:pStyle w:val="NormalWeb"/>
        <w:jc w:val="both"/>
      </w:pPr>
      <w:r>
        <w:lastRenderedPageBreak/>
        <w:t xml:space="preserve">      </w:t>
      </w:r>
      <w:r>
        <w:rPr>
          <w:b/>
          <w:bCs/>
          <w:noProof/>
        </w:rPr>
        <w:drawing>
          <wp:inline distT="0" distB="0" distL="0" distR="0" wp14:anchorId="0E77A2C6" wp14:editId="1EAC3091">
            <wp:extent cx="4740275" cy="2918460"/>
            <wp:effectExtent l="0" t="0" r="3175" b="0"/>
            <wp:docPr id="121" name="Imagen 121" descr="201109138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11091384140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740275" cy="2918460"/>
                    </a:xfrm>
                    <a:prstGeom prst="rect">
                      <a:avLst/>
                    </a:prstGeom>
                    <a:noFill/>
                    <a:ln>
                      <a:noFill/>
                    </a:ln>
                  </pic:spPr>
                </pic:pic>
              </a:graphicData>
            </a:graphic>
          </wp:inline>
        </w:drawing>
      </w:r>
    </w:p>
    <w:p w:rsidR="008E0827" w:rsidRPr="008E0827" w:rsidRDefault="008E0827" w:rsidP="00387350">
      <w:pPr>
        <w:pStyle w:val="NormalWeb"/>
        <w:jc w:val="both"/>
      </w:pPr>
      <w:r w:rsidRPr="008E0827">
        <w:rPr>
          <w:bCs/>
        </w:rPr>
        <w:t xml:space="preserve">Ahora, con esta crisis, se está entrando en la segunda fase de esta transformación, la de la total ocupación de los fondos públicos. </w:t>
      </w:r>
      <w:r w:rsidRPr="008E0827">
        <w:t xml:space="preserve">¿Cómo lo logran? </w:t>
      </w:r>
    </w:p>
    <w:p w:rsidR="008E0827" w:rsidRPr="008E0827" w:rsidRDefault="008E0827" w:rsidP="00387350">
      <w:pPr>
        <w:pStyle w:val="NormalWeb"/>
        <w:jc w:val="both"/>
      </w:pPr>
      <w:r w:rsidRPr="008E0827">
        <w:t>Primero,</w:t>
      </w:r>
      <w:r w:rsidRPr="008E0827">
        <w:rPr>
          <w:bCs/>
        </w:rPr>
        <w:t xml:space="preserve"> a través del miedo</w:t>
      </w:r>
      <w:r w:rsidRPr="008E0827">
        <w:t xml:space="preserve">. Los trabajadores ven el despido tan cerca (según la </w:t>
      </w:r>
      <w:hyperlink r:id="rId129" w:history="1">
        <w:r w:rsidRPr="008E0827">
          <w:rPr>
            <w:rStyle w:val="Hipervnculo"/>
            <w:color w:val="auto"/>
            <w:u w:val="none"/>
          </w:rPr>
          <w:t>OIT</w:t>
        </w:r>
      </w:hyperlink>
      <w:r w:rsidRPr="008E0827">
        <w:t xml:space="preserve">, el desempleo está en su nivel más alto nunca registrado) y se encuentran con tan poco ahorro y tan escasas posibilidades de encontrar otro trabajo, que </w:t>
      </w:r>
      <w:r w:rsidRPr="008E0827">
        <w:rPr>
          <w:bCs/>
        </w:rPr>
        <w:t>aceptan cualquier medida económica por dañina que les resulte.</w:t>
      </w:r>
    </w:p>
    <w:p w:rsidR="008E0827" w:rsidRPr="008E0827" w:rsidRDefault="008E0827" w:rsidP="00387350">
      <w:pPr>
        <w:pStyle w:val="NormalWeb"/>
        <w:jc w:val="both"/>
      </w:pPr>
      <w:r w:rsidRPr="008E0827">
        <w:t xml:space="preserve">Empecemos por </w:t>
      </w:r>
      <w:r w:rsidRPr="008E0827">
        <w:rPr>
          <w:bCs/>
        </w:rPr>
        <w:t>el descenso de los costes salariales</w:t>
      </w:r>
      <w:r w:rsidRPr="008E0827">
        <w:t xml:space="preserve">. Según </w:t>
      </w:r>
      <w:hyperlink r:id="rId130" w:history="1">
        <w:r w:rsidRPr="008E0827">
          <w:rPr>
            <w:rStyle w:val="Hipervnculo"/>
            <w:color w:val="auto"/>
            <w:u w:val="none"/>
          </w:rPr>
          <w:t>Greenspan</w:t>
        </w:r>
      </w:hyperlink>
      <w:r w:rsidRPr="008E0827">
        <w:t xml:space="preserve">, la deuda “cura” el problema laboral y está en la génesis de la </w:t>
      </w:r>
      <w:hyperlink r:id="rId131" w:history="1">
        <w:r w:rsidRPr="008E0827">
          <w:rPr>
            <w:rStyle w:val="Hipervnculo"/>
            <w:color w:val="auto"/>
            <w:u w:val="none"/>
          </w:rPr>
          <w:t>contracción</w:t>
        </w:r>
      </w:hyperlink>
      <w:r w:rsidRPr="008E0827">
        <w:t xml:space="preserve"> de la </w:t>
      </w:r>
      <w:hyperlink r:id="rId132" w:history="1">
        <w:r w:rsidRPr="008E0827">
          <w:rPr>
            <w:rStyle w:val="Hipervnculo"/>
            <w:color w:val="auto"/>
            <w:u w:val="none"/>
          </w:rPr>
          <w:t>retribución a los empleados</w:t>
        </w:r>
      </w:hyperlink>
      <w:r w:rsidRPr="008E0827">
        <w:t>. Vaya, haber empezado por ahí cuando fue Presidente de la Reserva Federal.</w:t>
      </w:r>
    </w:p>
    <w:p w:rsidR="008E0827" w:rsidRDefault="008E0827" w:rsidP="00387350">
      <w:pPr>
        <w:pStyle w:val="NormalWeb"/>
        <w:jc w:val="both"/>
      </w:pPr>
      <w:r>
        <w:t xml:space="preserve">        </w:t>
      </w:r>
      <w:r>
        <w:rPr>
          <w:noProof/>
        </w:rPr>
        <w:drawing>
          <wp:inline distT="0" distB="0" distL="0" distR="0" wp14:anchorId="4ECFEBB7" wp14:editId="1992986F">
            <wp:extent cx="4740275" cy="2743200"/>
            <wp:effectExtent l="0" t="0" r="3175" b="0"/>
            <wp:docPr id="120" name="Imagen 120" descr="2011091347140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110913471409_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40275" cy="2743200"/>
                    </a:xfrm>
                    <a:prstGeom prst="rect">
                      <a:avLst/>
                    </a:prstGeom>
                    <a:noFill/>
                    <a:ln>
                      <a:noFill/>
                    </a:ln>
                  </pic:spPr>
                </pic:pic>
              </a:graphicData>
            </a:graphic>
          </wp:inline>
        </w:drawing>
      </w:r>
    </w:p>
    <w:p w:rsidR="008E0827" w:rsidRDefault="008E0827" w:rsidP="00387350">
      <w:pPr>
        <w:pStyle w:val="NormalWeb"/>
        <w:jc w:val="both"/>
      </w:pPr>
      <w:r w:rsidRPr="008E0827">
        <w:t xml:space="preserve">Sigamos con el </w:t>
      </w:r>
      <w:r w:rsidRPr="008E0827">
        <w:rPr>
          <w:bCs/>
        </w:rPr>
        <w:t>déficit público</w:t>
      </w:r>
      <w:r w:rsidRPr="008E0827">
        <w:t xml:space="preserve">. En los Estados Unidos, la </w:t>
      </w:r>
      <w:hyperlink r:id="rId134" w:history="1">
        <w:r w:rsidRPr="008E0827">
          <w:rPr>
            <w:rStyle w:val="Hipervnculo"/>
            <w:color w:val="auto"/>
            <w:u w:val="none"/>
          </w:rPr>
          <w:t>Comisión de Responsabilidad Fiscal</w:t>
        </w:r>
      </w:hyperlink>
      <w:r w:rsidRPr="008E0827">
        <w:t xml:space="preserve"> está más preocupada por el agujero presupuestario que por el crecimiento. El mismo título del estudio asusta: “</w:t>
      </w:r>
      <w:r w:rsidRPr="008E0827">
        <w:rPr>
          <w:i/>
          <w:iCs/>
        </w:rPr>
        <w:t>El Momento de la verdad</w:t>
      </w:r>
      <w:r w:rsidRPr="008E0827">
        <w:t xml:space="preserve">”. ¿De qué “verdad”? ¿La “verdad” de que su gobierno puede, siempre, pagar su deuda al endeudarse en su propia </w:t>
      </w:r>
      <w:r w:rsidRPr="008E0827">
        <w:lastRenderedPageBreak/>
        <w:t>moneda? ¿La “verdad” que Estados Unidos jamás entrara en bancarrota, a menos que así lo desee? ¿Qué es esto?</w:t>
      </w:r>
    </w:p>
    <w:p w:rsidR="008E0827" w:rsidRPr="008E0827" w:rsidRDefault="008E0827" w:rsidP="00387350">
      <w:pPr>
        <w:pStyle w:val="NormalWeb"/>
        <w:jc w:val="both"/>
      </w:pPr>
      <w:r w:rsidRPr="008E0827">
        <w:t>Se busca convencer a los ciudadanos de que la situación actual no permite el déficit del Estado, que son inviables las estructuras públicas de pensiones o de salud. No se explica que no todo el gasto de la administración es dispendio ni que la falta de superávit comercial implica déficit del sector privado o el público</w:t>
      </w:r>
      <w:r>
        <w:rPr>
          <w:i/>
          <w:iCs/>
        </w:rPr>
        <w:t>.</w:t>
      </w:r>
    </w:p>
    <w:p w:rsidR="008E0827" w:rsidRPr="008E0827" w:rsidRDefault="008E0827" w:rsidP="00387350">
      <w:pPr>
        <w:pStyle w:val="NormalWeb"/>
        <w:jc w:val="both"/>
      </w:pPr>
      <w:r w:rsidRPr="008E0827">
        <w:rPr>
          <w:bCs/>
        </w:rPr>
        <w:t>El resultado es que los ciudadanos han asimilado que si no aceptan las medidas de austeridad, sufrirán la mayor recesión de la Historia.</w:t>
      </w:r>
      <w:r w:rsidRPr="008E0827">
        <w:t xml:space="preserve"> Si no acatan resignadamente los recortes, el límite de la deuda USA no se podrá aprobar (dicho por el mismo partido que lo aumentó en </w:t>
      </w:r>
      <w:hyperlink r:id="rId135" w:history="1">
        <w:r w:rsidRPr="008E0827">
          <w:rPr>
            <w:rStyle w:val="Hipervnculo"/>
            <w:color w:val="auto"/>
            <w:u w:val="none"/>
          </w:rPr>
          <w:t>diez</w:t>
        </w:r>
      </w:hyperlink>
      <w:r w:rsidRPr="008E0827">
        <w:t xml:space="preserve"> ocasiones anteriores). Sin ajustes, sus pensiones corren peligro.</w:t>
      </w:r>
    </w:p>
    <w:p w:rsidR="008E0827" w:rsidRPr="008E0827" w:rsidRDefault="008E0827" w:rsidP="00387350">
      <w:pPr>
        <w:pStyle w:val="NormalWeb"/>
        <w:jc w:val="both"/>
      </w:pPr>
      <w:r w:rsidRPr="008E0827">
        <w:rPr>
          <w:bCs/>
        </w:rPr>
        <w:t>El objetivo es destinar los recursos públicos y el endeudamiento del Estado a apoyar el rescate de las entidades financieras y evitar minusvalías en las carteras de las entidades</w:t>
      </w:r>
      <w:r w:rsidRPr="008E0827">
        <w:t xml:space="preserve">. </w:t>
      </w:r>
    </w:p>
    <w:p w:rsidR="008E0827" w:rsidRPr="008E0827" w:rsidRDefault="008E0827" w:rsidP="00387350">
      <w:pPr>
        <w:pStyle w:val="NormalWeb"/>
        <w:jc w:val="both"/>
      </w:pPr>
      <w:r w:rsidRPr="008E0827">
        <w:rPr>
          <w:bCs/>
        </w:rPr>
        <w:t>El sector financiero sabe que el sistema no da más de sí</w:t>
      </w:r>
      <w:r w:rsidRPr="008E0827">
        <w:t xml:space="preserve">. Puede aguantar un poco más, coger el dinero del nuevo </w:t>
      </w:r>
      <w:hyperlink r:id="rId136" w:history="1">
        <w:r w:rsidRPr="008E0827">
          <w:rPr>
            <w:rStyle w:val="Hipervnculo"/>
            <w:color w:val="auto"/>
            <w:u w:val="none"/>
          </w:rPr>
          <w:t>QE</w:t>
        </w:r>
      </w:hyperlink>
      <w:r w:rsidRPr="008E0827">
        <w:t xml:space="preserve"> y moverlo hacia </w:t>
      </w:r>
      <w:hyperlink r:id="rId137" w:anchor="search=%22agreement%20singapore%20government%20american%20banks%22" w:history="1">
        <w:r w:rsidRPr="008E0827">
          <w:rPr>
            <w:rStyle w:val="Hipervnculo"/>
            <w:color w:val="auto"/>
            <w:u w:val="none"/>
          </w:rPr>
          <w:t>Asia</w:t>
        </w:r>
      </w:hyperlink>
      <w:r w:rsidRPr="008E0827">
        <w:t xml:space="preserve"> donde está el futuro gracias a una población ávida por </w:t>
      </w:r>
      <w:hyperlink r:id="rId138" w:history="1">
        <w:r w:rsidRPr="008E0827">
          <w:rPr>
            <w:rStyle w:val="Hipervnculo"/>
            <w:color w:val="auto"/>
            <w:u w:val="none"/>
          </w:rPr>
          <w:t>consumir</w:t>
        </w:r>
      </w:hyperlink>
      <w:r w:rsidRPr="008E0827">
        <w:t xml:space="preserve"> y endeudarse. Pero sabe que la deuda total, tanto en los </w:t>
      </w:r>
      <w:hyperlink r:id="rId139" w:history="1">
        <w:r w:rsidRPr="008E0827">
          <w:rPr>
            <w:rStyle w:val="Hipervnculo"/>
            <w:color w:val="auto"/>
            <w:u w:val="none"/>
          </w:rPr>
          <w:t>EEUU</w:t>
        </w:r>
      </w:hyperlink>
      <w:r w:rsidRPr="008E0827">
        <w:t xml:space="preserve"> como en la UE, no puede pagarse. </w:t>
      </w:r>
    </w:p>
    <w:p w:rsidR="008E0827" w:rsidRDefault="008E0827" w:rsidP="00387350">
      <w:pPr>
        <w:pStyle w:val="NormalWeb"/>
        <w:jc w:val="both"/>
      </w:pPr>
      <w:r w:rsidRPr="008E0827">
        <w:rPr>
          <w:bCs/>
        </w:rPr>
        <w:t>En esta operación, el papel del BCE es fundamental</w:t>
      </w:r>
      <w:r w:rsidRPr="008E0827">
        <w:t>. La labor principal de un banco central es la de financiar el gasto del Estado con la compra de su deuda. El BCE es diferente: tiene prohibido la compra en el mercado primario. Su tarea se limita a controlar la inflación</w:t>
      </w:r>
      <w:r>
        <w:t>”..</w:t>
      </w:r>
      <w:r w:rsidRPr="008E0827">
        <w:t xml:space="preserve">. </w:t>
      </w:r>
      <w:r w:rsidRPr="00F95C81">
        <w:rPr>
          <w:u w:val="single"/>
        </w:rPr>
        <w:t>Ganan las finanzas, pierde la economía real: el futuro ya está aquí</w:t>
      </w:r>
      <w:r>
        <w:t xml:space="preserve"> (El Confidencial - </w:t>
      </w:r>
      <w:r w:rsidRPr="00F95C81">
        <w:rPr>
          <w:b/>
        </w:rPr>
        <w:t>14/9/11</w:t>
      </w:r>
      <w:r>
        <w:t>)</w:t>
      </w:r>
    </w:p>
    <w:p w:rsidR="00793D52" w:rsidRPr="00793D52" w:rsidRDefault="00793D52" w:rsidP="00387350">
      <w:pPr>
        <w:spacing w:line="240" w:lineRule="auto"/>
        <w:jc w:val="both"/>
        <w:rPr>
          <w:rFonts w:ascii="Times New Roman" w:hAnsi="Times New Roman"/>
          <w:sz w:val="24"/>
          <w:szCs w:val="24"/>
        </w:rPr>
      </w:pPr>
      <w:r>
        <w:rPr>
          <w:rFonts w:ascii="Times New Roman" w:hAnsi="Times New Roman"/>
          <w:sz w:val="24"/>
          <w:szCs w:val="24"/>
        </w:rPr>
        <w:t>“</w:t>
      </w:r>
      <w:r w:rsidRPr="00793D52">
        <w:rPr>
          <w:rFonts w:ascii="Times New Roman" w:hAnsi="Times New Roman"/>
          <w:sz w:val="24"/>
          <w:szCs w:val="24"/>
        </w:rPr>
        <w:t>Los estadounidenses más acaudalados casi triplicaron sus ingresos en las tres décadas al 2007, mucho más que todos los otros segmentos de la población, informó el martes la Oficina de Presupuestos del Congreso, o CBO, de Estados Unidos. La entidad dijo que los ingresos tras impuestos crecieron en 62% durante el período de 30 años. Sin embargo, los ingresos del 1% de los estadounidenses más acaudalados ascendieron 275% en ese lapso, mientras que el ingreso posterior a impuestos de un quinto de los hogares de menores ingresos creció sólo 18% entre 1979 y 2007.</w:t>
      </w:r>
    </w:p>
    <w:p w:rsidR="00793D52" w:rsidRDefault="00793D52" w:rsidP="00387350">
      <w:pPr>
        <w:spacing w:line="240" w:lineRule="auto"/>
        <w:jc w:val="both"/>
        <w:rPr>
          <w:rFonts w:ascii="Times New Roman" w:hAnsi="Times New Roman"/>
          <w:sz w:val="24"/>
          <w:szCs w:val="24"/>
        </w:rPr>
      </w:pPr>
      <w:r w:rsidRPr="00793D52">
        <w:rPr>
          <w:rFonts w:ascii="Times New Roman" w:hAnsi="Times New Roman"/>
          <w:sz w:val="24"/>
          <w:szCs w:val="24"/>
        </w:rPr>
        <w:t>Para los estadounidenses más acaudalados, excluyendo al 1% en el tope, el ingreso por hogar creció en 65% durante el período, mientras que para el 60% en la mitad de la escala de ingresos, la expansión tras impuestos estuvo justo por debajo de 40%, según la CBO. Gran parte del crecimiento de esta brecha se debe el ingreso antes de impuesto y las transferencias del gobierno crecieron para los más acaudalados. El 1% de la población dio cuenta de todo el ingres</w:t>
      </w:r>
      <w:r>
        <w:rPr>
          <w:rFonts w:ascii="Times New Roman" w:hAnsi="Times New Roman"/>
          <w:sz w:val="24"/>
          <w:szCs w:val="24"/>
        </w:rPr>
        <w:t>o en 2007, frente a 50% en 1979”…</w:t>
      </w:r>
      <w:r w:rsidR="00E3208B">
        <w:rPr>
          <w:rFonts w:ascii="Times New Roman" w:hAnsi="Times New Roman"/>
          <w:sz w:val="24"/>
          <w:szCs w:val="24"/>
        </w:rPr>
        <w:t xml:space="preserve"> </w:t>
      </w:r>
      <w:r w:rsidRPr="00AA217E">
        <w:rPr>
          <w:rFonts w:ascii="Times New Roman" w:hAnsi="Times New Roman"/>
          <w:sz w:val="24"/>
          <w:szCs w:val="24"/>
          <w:u w:val="single"/>
        </w:rPr>
        <w:t>Los estadounidenses más ricos triplican sus ingresos en 30 años</w:t>
      </w:r>
      <w:r>
        <w:rPr>
          <w:rFonts w:ascii="Times New Roman" w:hAnsi="Times New Roman"/>
          <w:sz w:val="24"/>
          <w:szCs w:val="24"/>
        </w:rPr>
        <w:t xml:space="preserve"> (The Wall Street Journal - </w:t>
      </w:r>
      <w:r w:rsidRPr="00107984">
        <w:rPr>
          <w:rFonts w:ascii="Times New Roman" w:hAnsi="Times New Roman"/>
          <w:b/>
          <w:sz w:val="24"/>
          <w:szCs w:val="24"/>
        </w:rPr>
        <w:t>25/10/11</w:t>
      </w:r>
      <w:r>
        <w:rPr>
          <w:rFonts w:ascii="Times New Roman" w:hAnsi="Times New Roman"/>
          <w:sz w:val="24"/>
          <w:szCs w:val="24"/>
        </w:rPr>
        <w:t>)</w:t>
      </w:r>
    </w:p>
    <w:p w:rsidR="00CE3A47" w:rsidRPr="00CE3A47" w:rsidRDefault="00CE3A47" w:rsidP="00CE3A47">
      <w:pPr>
        <w:spacing w:line="240" w:lineRule="auto"/>
        <w:jc w:val="both"/>
        <w:rPr>
          <w:rFonts w:ascii="Times New Roman" w:hAnsi="Times New Roman"/>
          <w:sz w:val="24"/>
          <w:szCs w:val="24"/>
        </w:rPr>
      </w:pPr>
      <w:r>
        <w:rPr>
          <w:rFonts w:ascii="Times New Roman" w:hAnsi="Times New Roman"/>
          <w:sz w:val="24"/>
          <w:szCs w:val="24"/>
        </w:rPr>
        <w:t>“</w:t>
      </w:r>
      <w:r w:rsidRPr="00CE3A47">
        <w:rPr>
          <w:rFonts w:ascii="Times New Roman" w:hAnsi="Times New Roman"/>
          <w:sz w:val="24"/>
          <w:szCs w:val="24"/>
        </w:rPr>
        <w:t xml:space="preserve">La crisis no pasa por ellos, aunque sí deberán tomar alguna precaución para evitar perder algo de sus inmensas fortunas. Un informe de la consultora Wealth-X, afincada en Singapur y que trabaja para empresas y entidades financieras que tienen a los ultrarricos como objeto de negocio, revela que unos 25 billones de dólares están en manos de apenas 185.795 personas, y afirma que dicho volumen de dinero continuará aumentando de la mano de Asia, cuyo crecimiento económico le hará ser el continente </w:t>
      </w:r>
      <w:r w:rsidRPr="00CE3A47">
        <w:rPr>
          <w:rFonts w:ascii="Times New Roman" w:hAnsi="Times New Roman"/>
          <w:sz w:val="24"/>
          <w:szCs w:val="24"/>
        </w:rPr>
        <w:lastRenderedPageBreak/>
        <w:t>con más multimillonarios del mundo. En 2024 superará a Europa en el segundo peldaño y en 2032 har</w:t>
      </w:r>
      <w:r>
        <w:rPr>
          <w:rFonts w:ascii="Times New Roman" w:hAnsi="Times New Roman"/>
          <w:sz w:val="24"/>
          <w:szCs w:val="24"/>
        </w:rPr>
        <w:t>á lo propio con Estados Unidos.</w:t>
      </w:r>
    </w:p>
    <w:p w:rsidR="00CE3A47" w:rsidRPr="00CE3A47" w:rsidRDefault="00CE3A47" w:rsidP="00CE3A47">
      <w:pPr>
        <w:spacing w:line="240" w:lineRule="auto"/>
        <w:jc w:val="both"/>
        <w:rPr>
          <w:rFonts w:ascii="Times New Roman" w:hAnsi="Times New Roman"/>
          <w:sz w:val="24"/>
          <w:szCs w:val="24"/>
        </w:rPr>
      </w:pPr>
      <w:r w:rsidRPr="00CE3A47">
        <w:rPr>
          <w:rFonts w:ascii="Times New Roman" w:hAnsi="Times New Roman"/>
          <w:sz w:val="24"/>
          <w:szCs w:val="24"/>
        </w:rPr>
        <w:t>Esos 25 billones equivalen al 40% del Producto Interior Bruto mundial, y multiplica por sie</w:t>
      </w:r>
      <w:r>
        <w:rPr>
          <w:rFonts w:ascii="Times New Roman" w:hAnsi="Times New Roman"/>
          <w:sz w:val="24"/>
          <w:szCs w:val="24"/>
        </w:rPr>
        <w:t>te, por ejemplo, el PIB alemán.</w:t>
      </w:r>
    </w:p>
    <w:p w:rsidR="00CE3A47" w:rsidRPr="00CE3A47" w:rsidRDefault="00CE3A47" w:rsidP="00CE3A47">
      <w:pPr>
        <w:spacing w:line="240" w:lineRule="auto"/>
        <w:jc w:val="both"/>
        <w:rPr>
          <w:rFonts w:ascii="Times New Roman" w:hAnsi="Times New Roman"/>
          <w:sz w:val="24"/>
          <w:szCs w:val="24"/>
        </w:rPr>
      </w:pPr>
      <w:r w:rsidRPr="00CE3A47">
        <w:rPr>
          <w:rFonts w:ascii="Times New Roman" w:hAnsi="Times New Roman"/>
          <w:sz w:val="24"/>
          <w:szCs w:val="24"/>
        </w:rPr>
        <w:t>De esos más de 185.000 mega ricos, al menos 1.235 de ellos son milmillonarios, y acaparan una fortuna de 4,18 billones de dólares -tocarían a 3.300 millones cada uno-, mientras que el 97,5% del total poseen entre 30 y 500 millones. La última lista Forbes situaba a Carlos Slim como el hombre más rico del planeta, con 63.300 millones de dólares de riqueza, seguido por Bill Gates (59</w:t>
      </w:r>
      <w:r>
        <w:rPr>
          <w:rFonts w:ascii="Times New Roman" w:hAnsi="Times New Roman"/>
          <w:sz w:val="24"/>
          <w:szCs w:val="24"/>
        </w:rPr>
        <w:t>.000) y Warren Buffet (39.000)…</w:t>
      </w:r>
    </w:p>
    <w:p w:rsidR="00CE3A47" w:rsidRPr="00CE3A47" w:rsidRDefault="00CE3A47" w:rsidP="00CE3A47">
      <w:pPr>
        <w:spacing w:line="240" w:lineRule="auto"/>
        <w:jc w:val="both"/>
        <w:rPr>
          <w:rFonts w:ascii="Times New Roman" w:hAnsi="Times New Roman"/>
          <w:sz w:val="24"/>
          <w:szCs w:val="24"/>
        </w:rPr>
      </w:pPr>
      <w:r w:rsidRPr="00CE3A47">
        <w:rPr>
          <w:rFonts w:ascii="Times New Roman" w:hAnsi="Times New Roman"/>
          <w:sz w:val="24"/>
          <w:szCs w:val="24"/>
        </w:rPr>
        <w:t>Pero pese a la diversificación, Norteamérica, y concretamente Estados Unidos, continúan acaparando el mayor número de grandes fortunas. En este país se encurtan 57.860 de ellas, que representan 7,6 billones de dólares, el 30% del total. Sin embargo, Wealth-X advierte una tendencia más conservadora de los ricos estadounidenses, más centrados en conservar sus fortunas que en invertir para multiplicarlas. Para los gestores de riqueza, todavía existen oportunidades en los negocios familiares, liderados en su mayor parte por empresarios cercanos a la jubilación, por lo que se cree que en los próximos años se producirá la mayor trans</w:t>
      </w:r>
      <w:r>
        <w:rPr>
          <w:rFonts w:ascii="Times New Roman" w:hAnsi="Times New Roman"/>
          <w:sz w:val="24"/>
          <w:szCs w:val="24"/>
        </w:rPr>
        <w:t>misión generacional de riqueza.</w:t>
      </w:r>
    </w:p>
    <w:p w:rsidR="00793D52" w:rsidRPr="00CE3A47" w:rsidRDefault="00CE3A47" w:rsidP="00CE3A47">
      <w:pPr>
        <w:spacing w:line="240" w:lineRule="auto"/>
        <w:jc w:val="both"/>
        <w:rPr>
          <w:rFonts w:ascii="Times New Roman" w:hAnsi="Times New Roman"/>
          <w:sz w:val="24"/>
          <w:szCs w:val="24"/>
        </w:rPr>
      </w:pPr>
      <w:r w:rsidRPr="00CE3A47">
        <w:rPr>
          <w:rFonts w:ascii="Times New Roman" w:hAnsi="Times New Roman"/>
          <w:sz w:val="24"/>
          <w:szCs w:val="24"/>
        </w:rPr>
        <w:t>En Europa, 54.325 personas poseen fortunas superiores a los 30 millones de dólares, 1.875 de ellos en España. En total, reúnen 6,8 billones, mantienen su ritmo de vida pese a la crisis europea y miran al Este por su mayor “flexibilidad” impositiva para realizar sus inversiones. En nuestro continente hay 360 milmillonarios, que manejan 1/5 de los casi 7 billones que controlan las grandes fortunas europeas. El informe recomienda a quienes administran sus riquezas el buscar oportunidades fuera de Europa, dada</w:t>
      </w:r>
      <w:r>
        <w:rPr>
          <w:rFonts w:ascii="Times New Roman" w:hAnsi="Times New Roman"/>
          <w:sz w:val="24"/>
          <w:szCs w:val="24"/>
        </w:rPr>
        <w:t xml:space="preserve"> la situación en el continente…</w:t>
      </w:r>
    </w:p>
    <w:p w:rsidR="00793D52" w:rsidRPr="00793D52" w:rsidRDefault="00793D52" w:rsidP="00387350">
      <w:pPr>
        <w:spacing w:line="240" w:lineRule="auto"/>
        <w:jc w:val="both"/>
        <w:rPr>
          <w:rFonts w:ascii="Times New Roman" w:hAnsi="Times New Roman"/>
          <w:sz w:val="24"/>
          <w:szCs w:val="24"/>
        </w:rPr>
      </w:pPr>
      <w:r w:rsidRPr="00793D52">
        <w:rPr>
          <w:rFonts w:ascii="Times New Roman" w:hAnsi="Times New Roman"/>
          <w:sz w:val="24"/>
          <w:szCs w:val="24"/>
        </w:rPr>
        <w:t xml:space="preserve">Norteamérica y Europa continúan siendo las zonas con el mayor número de megarricos, pero la crisis económica provocará que, en unos años, Asia se convierta en el paraíso de las grandes fortunas, cada vez más numerosas y poderosas”... </w:t>
      </w:r>
      <w:r w:rsidRPr="00793D52">
        <w:rPr>
          <w:rFonts w:ascii="Times New Roman" w:hAnsi="Times New Roman"/>
          <w:sz w:val="24"/>
          <w:szCs w:val="24"/>
          <w:u w:val="single"/>
        </w:rPr>
        <w:t>25 billones de dólares, en manos de 185.000 megarricos</w:t>
      </w:r>
      <w:r w:rsidRPr="00793D52">
        <w:rPr>
          <w:rFonts w:ascii="Times New Roman" w:hAnsi="Times New Roman"/>
          <w:sz w:val="24"/>
          <w:szCs w:val="24"/>
        </w:rPr>
        <w:t xml:space="preserve"> (Cinco Días - </w:t>
      </w:r>
      <w:r w:rsidRPr="00793D52">
        <w:rPr>
          <w:rFonts w:ascii="Times New Roman" w:hAnsi="Times New Roman"/>
          <w:b/>
          <w:sz w:val="24"/>
          <w:szCs w:val="24"/>
        </w:rPr>
        <w:t>15/11/11</w:t>
      </w:r>
      <w:r w:rsidRPr="00793D52">
        <w:rPr>
          <w:rFonts w:ascii="Times New Roman" w:hAnsi="Times New Roman"/>
          <w:sz w:val="24"/>
          <w:szCs w:val="24"/>
        </w:rPr>
        <w:t>)</w:t>
      </w:r>
    </w:p>
    <w:p w:rsidR="00793D52" w:rsidRPr="00793D52" w:rsidRDefault="00793D52" w:rsidP="00387350">
      <w:pPr>
        <w:pStyle w:val="NormalWeb"/>
        <w:jc w:val="both"/>
      </w:pPr>
      <w:r>
        <w:t>“</w:t>
      </w:r>
      <w:r w:rsidRPr="00793D52">
        <w:t>En  el año 1950, según las estimaciones del Departamento de Comercio de EEUU, el sector financiero y de seguros en Estados Unidos representaba el 2,8% del PIB. Hasta el año 1960, dicha proporción había crecido hasta el 3,8% del PIB, y había alcanzado el 6% del PIB en el año 1990. En la actualidad representa el 8,4% del PIB, y dicha proporción no está en descenso. Justin Lahart de The Wall Street Journal informa que la proporción en el año 2010 fue mayor que la proporción pico del año 2006…</w:t>
      </w:r>
    </w:p>
    <w:p w:rsidR="00793D52" w:rsidRPr="00793D52" w:rsidRDefault="00793D52" w:rsidP="00387350">
      <w:pPr>
        <w:pStyle w:val="NormalWeb"/>
        <w:jc w:val="both"/>
      </w:pPr>
      <w:r w:rsidRPr="00793D52">
        <w:t>Sin embargo, en general, sigue siendo preocupante que no veamos los grandes beneficios obvios, ya sea a nivel micro o macro, en la eficiencia de la economía de EEUU, que podrían justificar gastar un 5,6% extra del PIB cada año en finanzas  y seguros. Lahart cita la conclusión a la que llegó Thomas Philippon de la Universidad de Nueva York que indica que el sector financiero de EEUU en la actualidad tiene una hipertrofia que se calcula que es de dos puntos porcentuales del PIB. Y es muy posible que la estimación Philippon de la magnitud de dicha hipertrofia del sector financiero de EEUU sea demasiado baja.</w:t>
      </w:r>
    </w:p>
    <w:p w:rsidR="008A6949" w:rsidRPr="008A6949" w:rsidRDefault="00793D52" w:rsidP="00387350">
      <w:pPr>
        <w:pStyle w:val="NormalWeb"/>
        <w:jc w:val="both"/>
      </w:pPr>
      <w:r w:rsidRPr="008A6949">
        <w:t xml:space="preserve">¿Por qué la devoción de una gran cantidad de habilidades y de emprendimientos en el sector financiero y de seguros no ha pagado los dividendos económicos obvios? Hay </w:t>
      </w:r>
      <w:r w:rsidRPr="008A6949">
        <w:lastRenderedPageBreak/>
        <w:t>dos maneras sostenibles de hacer dinero en el sector financiero: encontrar personas con riesgos que deben ser llevados a cabo y emparejar a dichas personas con personas que tienen una capacidad  aún no utilizada para soportar riesgos, o encontrar personas con tales riesgos y emparejarlas con las personas que no tienen ni idea, pero que sí tienen dinero. ¿Estamos seguros de que la mayor parte del crecimiento en el sector financiero proviene de una proporción creciente de profesionales de las finanzas que se avocan a la primera actividad descrita en lugar de la última citada?”</w:t>
      </w:r>
      <w:r w:rsidR="00CE3A47">
        <w:t>…</w:t>
      </w:r>
      <w:r w:rsidRPr="008A6949">
        <w:t xml:space="preserve"> </w:t>
      </w:r>
      <w:r w:rsidR="008A6949" w:rsidRPr="00CE3A47">
        <w:rPr>
          <w:u w:val="single"/>
        </w:rPr>
        <w:t>El leviatán financiero de EEUU</w:t>
      </w:r>
      <w:r w:rsidR="008A6949" w:rsidRPr="008A6949">
        <w:t xml:space="preserve"> (Project Syndicate - </w:t>
      </w:r>
      <w:r w:rsidR="008A6949" w:rsidRPr="00CE3A47">
        <w:rPr>
          <w:b/>
        </w:rPr>
        <w:t>30/12/11</w:t>
      </w:r>
      <w:r w:rsidR="008A6949" w:rsidRPr="008A6949">
        <w:t>)</w:t>
      </w:r>
    </w:p>
    <w:p w:rsidR="008A6949" w:rsidRPr="008A6949" w:rsidRDefault="008A6949" w:rsidP="00387350">
      <w:pPr>
        <w:spacing w:after="0" w:line="240" w:lineRule="auto"/>
        <w:jc w:val="both"/>
        <w:rPr>
          <w:rFonts w:ascii="Times New Roman" w:eastAsia="Times New Roman" w:hAnsi="Times New Roman"/>
          <w:sz w:val="24"/>
          <w:szCs w:val="24"/>
          <w:lang w:eastAsia="es-ES"/>
        </w:rPr>
      </w:pPr>
      <w:r w:rsidRPr="008A6949">
        <w:rPr>
          <w:rFonts w:ascii="Times New Roman" w:eastAsia="Times New Roman" w:hAnsi="Times New Roman"/>
          <w:sz w:val="24"/>
          <w:szCs w:val="24"/>
          <w:lang w:eastAsia="es-ES"/>
        </w:rPr>
        <w:t xml:space="preserve">“En 2010, el gigante de las comunicaciones </w:t>
      </w:r>
      <w:hyperlink r:id="rId140" w:tgtFrame="_blank" w:history="1">
        <w:r w:rsidRPr="008A6949">
          <w:rPr>
            <w:rFonts w:ascii="Times New Roman" w:eastAsia="Times New Roman" w:hAnsi="Times New Roman"/>
            <w:bCs/>
            <w:sz w:val="24"/>
            <w:szCs w:val="24"/>
            <w:lang w:eastAsia="es-ES"/>
          </w:rPr>
          <w:t>Verizon</w:t>
        </w:r>
      </w:hyperlink>
      <w:r w:rsidRPr="008A6949">
        <w:rPr>
          <w:rFonts w:ascii="Times New Roman" w:eastAsia="Times New Roman" w:hAnsi="Times New Roman"/>
          <w:sz w:val="24"/>
          <w:szCs w:val="24"/>
          <w:lang w:eastAsia="es-ES"/>
        </w:rPr>
        <w:t xml:space="preserve"> reportó un beneficio de 12 millones de dólares. La ley federal de sociedades norteamericana estipula que la compañía debería haber pagado un 35% (4,3 millones) de esa cantidad en impuestos. Sin embargo, según un informe del </w:t>
      </w:r>
      <w:hyperlink r:id="rId141" w:tgtFrame="_blank" w:history="1">
        <w:r w:rsidRPr="008A6949">
          <w:rPr>
            <w:rFonts w:ascii="Times New Roman" w:eastAsia="Times New Roman" w:hAnsi="Times New Roman"/>
            <w:sz w:val="24"/>
            <w:szCs w:val="24"/>
            <w:lang w:eastAsia="es-ES"/>
          </w:rPr>
          <w:t>Center for Tax Justice</w:t>
        </w:r>
      </w:hyperlink>
      <w:r w:rsidRPr="008A6949">
        <w:rPr>
          <w:rFonts w:ascii="Times New Roman" w:eastAsia="Times New Roman" w:hAnsi="Times New Roman"/>
          <w:sz w:val="24"/>
          <w:szCs w:val="24"/>
          <w:lang w:eastAsia="es-ES"/>
        </w:rPr>
        <w:t xml:space="preserve">, la empresa presentó una deuda tributaria negativa de </w:t>
      </w:r>
      <w:r w:rsidRPr="008A6949">
        <w:rPr>
          <w:rFonts w:ascii="Times New Roman" w:eastAsia="Times New Roman" w:hAnsi="Times New Roman"/>
          <w:bCs/>
          <w:sz w:val="24"/>
          <w:szCs w:val="24"/>
          <w:lang w:eastAsia="es-ES"/>
        </w:rPr>
        <w:t>703 millones</w:t>
      </w:r>
      <w:r w:rsidRPr="008A6949">
        <w:rPr>
          <w:rFonts w:ascii="Times New Roman" w:eastAsia="Times New Roman" w:hAnsi="Times New Roman"/>
          <w:sz w:val="24"/>
          <w:szCs w:val="24"/>
          <w:lang w:eastAsia="es-ES"/>
        </w:rPr>
        <w:t xml:space="preserve"> de dólares. Esto es, las arcas de Verizon salieron beneficiadas tras impuestos. </w:t>
      </w:r>
    </w:p>
    <w:p w:rsidR="008A6949" w:rsidRPr="008A6949" w:rsidRDefault="008A6949" w:rsidP="00387350">
      <w:pPr>
        <w:spacing w:after="0" w:line="240" w:lineRule="auto"/>
        <w:jc w:val="both"/>
        <w:rPr>
          <w:rFonts w:ascii="Times New Roman" w:eastAsia="Times New Roman" w:hAnsi="Times New Roman"/>
          <w:sz w:val="24"/>
          <w:szCs w:val="24"/>
          <w:lang w:eastAsia="es-ES"/>
        </w:rPr>
      </w:pPr>
    </w:p>
    <w:p w:rsidR="008A6949" w:rsidRPr="008A6949" w:rsidRDefault="008A6949" w:rsidP="00387350">
      <w:pPr>
        <w:spacing w:after="0" w:line="240" w:lineRule="auto"/>
        <w:jc w:val="both"/>
        <w:rPr>
          <w:rFonts w:ascii="Times New Roman" w:eastAsia="Times New Roman" w:hAnsi="Times New Roman"/>
          <w:sz w:val="24"/>
          <w:szCs w:val="24"/>
          <w:lang w:eastAsia="es-ES"/>
        </w:rPr>
      </w:pPr>
      <w:r w:rsidRPr="008A6949">
        <w:rPr>
          <w:rFonts w:ascii="Times New Roman" w:eastAsia="Times New Roman" w:hAnsi="Times New Roman"/>
          <w:sz w:val="24"/>
          <w:szCs w:val="24"/>
          <w:lang w:eastAsia="es-ES"/>
        </w:rPr>
        <w:t>No es el único caso, sino uno de los más representativos. El informe (</w:t>
      </w:r>
      <w:hyperlink r:id="rId142" w:tgtFrame="_blank" w:history="1">
        <w:r w:rsidRPr="008A6949">
          <w:rPr>
            <w:rFonts w:ascii="Times New Roman" w:eastAsia="Times New Roman" w:hAnsi="Times New Roman"/>
            <w:sz w:val="24"/>
            <w:szCs w:val="24"/>
            <w:lang w:eastAsia="es-ES"/>
          </w:rPr>
          <w:t>descargar en PDF</w:t>
        </w:r>
      </w:hyperlink>
      <w:r w:rsidRPr="008A6949">
        <w:rPr>
          <w:rFonts w:ascii="Times New Roman" w:eastAsia="Times New Roman" w:hAnsi="Times New Roman"/>
          <w:sz w:val="24"/>
          <w:szCs w:val="24"/>
          <w:lang w:eastAsia="es-ES"/>
        </w:rPr>
        <w:t xml:space="preserve">) ha estudiado a 280 corporaciones, todas ellas de las lista Fortune 500, para descubrir que </w:t>
      </w:r>
      <w:r w:rsidRPr="008A6949">
        <w:rPr>
          <w:rFonts w:ascii="Times New Roman" w:eastAsia="Times New Roman" w:hAnsi="Times New Roman"/>
          <w:bCs/>
          <w:sz w:val="24"/>
          <w:szCs w:val="24"/>
          <w:lang w:eastAsia="es-ES"/>
        </w:rPr>
        <w:t>treinta de ellas no tributaron un solo dólar al IRS entre 2008 y 2010</w:t>
      </w:r>
      <w:r w:rsidRPr="008A6949">
        <w:rPr>
          <w:rFonts w:ascii="Times New Roman" w:eastAsia="Times New Roman" w:hAnsi="Times New Roman"/>
          <w:sz w:val="24"/>
          <w:szCs w:val="24"/>
          <w:lang w:eastAsia="es-ES"/>
        </w:rPr>
        <w:t xml:space="preserve">. Es más, durante ese periodo ingresaron </w:t>
      </w:r>
      <w:r w:rsidRPr="008A6949">
        <w:rPr>
          <w:rFonts w:ascii="Times New Roman" w:eastAsia="Times New Roman" w:hAnsi="Times New Roman"/>
          <w:bCs/>
          <w:sz w:val="24"/>
          <w:szCs w:val="24"/>
          <w:lang w:eastAsia="es-ES"/>
        </w:rPr>
        <w:t>10.602 millones en devoluciones,</w:t>
      </w:r>
      <w:r w:rsidRPr="008A6949">
        <w:rPr>
          <w:rFonts w:ascii="Times New Roman" w:eastAsia="Times New Roman" w:hAnsi="Times New Roman"/>
          <w:sz w:val="24"/>
          <w:szCs w:val="24"/>
          <w:lang w:eastAsia="es-ES"/>
        </w:rPr>
        <w:t xml:space="preserve"> al tiempo que reportaron unas ganancias conjuntas por encima de los 160.000 millones. Especialmente llamativos son los casos de la</w:t>
      </w:r>
      <w:r w:rsidR="00E3208B">
        <w:rPr>
          <w:rFonts w:ascii="Times New Roman" w:eastAsia="Times New Roman" w:hAnsi="Times New Roman"/>
          <w:sz w:val="24"/>
          <w:szCs w:val="24"/>
          <w:lang w:eastAsia="es-ES"/>
        </w:rPr>
        <w:t>s</w:t>
      </w:r>
      <w:r w:rsidRPr="008A6949">
        <w:rPr>
          <w:rFonts w:ascii="Times New Roman" w:eastAsia="Times New Roman" w:hAnsi="Times New Roman"/>
          <w:sz w:val="24"/>
          <w:szCs w:val="24"/>
          <w:lang w:eastAsia="es-ES"/>
        </w:rPr>
        <w:t xml:space="preserve"> tecnológicas </w:t>
      </w:r>
      <w:hyperlink r:id="rId143" w:tgtFrame="_blank" w:history="1">
        <w:r w:rsidRPr="008A6949">
          <w:rPr>
            <w:rFonts w:ascii="Times New Roman" w:eastAsia="Times New Roman" w:hAnsi="Times New Roman"/>
            <w:sz w:val="24"/>
            <w:szCs w:val="24"/>
            <w:lang w:eastAsia="es-ES"/>
          </w:rPr>
          <w:t>Pepco Holdings</w:t>
        </w:r>
      </w:hyperlink>
      <w:r w:rsidRPr="008A6949">
        <w:rPr>
          <w:rFonts w:ascii="Times New Roman" w:eastAsia="Times New Roman" w:hAnsi="Times New Roman"/>
          <w:sz w:val="24"/>
          <w:szCs w:val="24"/>
          <w:lang w:eastAsia="es-ES"/>
        </w:rPr>
        <w:t xml:space="preserve"> y </w:t>
      </w:r>
      <w:hyperlink r:id="rId144" w:tgtFrame="_blank" w:history="1">
        <w:r w:rsidRPr="008A6949">
          <w:rPr>
            <w:rFonts w:ascii="Times New Roman" w:eastAsia="Times New Roman" w:hAnsi="Times New Roman"/>
            <w:sz w:val="24"/>
            <w:szCs w:val="24"/>
            <w:lang w:eastAsia="es-ES"/>
          </w:rPr>
          <w:t>General Electric</w:t>
        </w:r>
      </w:hyperlink>
      <w:r w:rsidRPr="008A6949">
        <w:rPr>
          <w:rFonts w:ascii="Times New Roman" w:eastAsia="Times New Roman" w:hAnsi="Times New Roman"/>
          <w:sz w:val="24"/>
          <w:szCs w:val="24"/>
          <w:lang w:eastAsia="es-ES"/>
        </w:rPr>
        <w:t xml:space="preserve">, que reciben un reembolso -vía cheque del Tesoro- del 58% y el 45% del total de sus impuestos federales. De esta lista </w:t>
      </w:r>
      <w:r w:rsidRPr="008A6949">
        <w:rPr>
          <w:rFonts w:ascii="Times New Roman" w:eastAsia="Times New Roman" w:hAnsi="Times New Roman"/>
          <w:bCs/>
          <w:sz w:val="24"/>
          <w:szCs w:val="24"/>
          <w:lang w:eastAsia="es-ES"/>
        </w:rPr>
        <w:t>solo FedEx</w:t>
      </w:r>
      <w:r w:rsidRPr="008A6949">
        <w:rPr>
          <w:rFonts w:ascii="Times New Roman" w:eastAsia="Times New Roman" w:hAnsi="Times New Roman"/>
          <w:sz w:val="24"/>
          <w:szCs w:val="24"/>
          <w:lang w:eastAsia="es-ES"/>
        </w:rPr>
        <w:t xml:space="preserve"> pagó 37 millones en concepto de impuestos federales... por unas ganancias netas de 4.247 millones. </w:t>
      </w:r>
    </w:p>
    <w:p w:rsidR="008A6949" w:rsidRPr="008A6949" w:rsidRDefault="008A6949" w:rsidP="00387350">
      <w:pPr>
        <w:spacing w:after="0" w:line="240" w:lineRule="auto"/>
        <w:jc w:val="both"/>
        <w:rPr>
          <w:rFonts w:ascii="Times New Roman" w:eastAsia="Times New Roman" w:hAnsi="Times New Roman"/>
          <w:sz w:val="24"/>
          <w:szCs w:val="24"/>
          <w:lang w:eastAsia="es-ES"/>
        </w:rPr>
      </w:pPr>
    </w:p>
    <w:p w:rsidR="008A6949" w:rsidRPr="008A6949" w:rsidRDefault="00980A38"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8A6949" w:rsidRPr="008A6949">
        <w:rPr>
          <w:rFonts w:ascii="Times New Roman" w:eastAsia="Times New Roman" w:hAnsi="Times New Roman"/>
          <w:sz w:val="24"/>
          <w:szCs w:val="24"/>
          <w:lang w:eastAsia="es-ES"/>
        </w:rPr>
        <w:t xml:space="preserve">Cada ciudadano paga </w:t>
      </w:r>
      <w:r w:rsidR="008A6949" w:rsidRPr="008A6949">
        <w:rPr>
          <w:rFonts w:ascii="Times New Roman" w:eastAsia="Times New Roman" w:hAnsi="Times New Roman"/>
          <w:bCs/>
          <w:sz w:val="24"/>
          <w:szCs w:val="24"/>
          <w:lang w:eastAsia="es-ES"/>
        </w:rPr>
        <w:t>exactamente la totalidad de sus impuestos federales</w:t>
      </w:r>
      <w:r w:rsidR="008A6949" w:rsidRPr="008A6949">
        <w:rPr>
          <w:rFonts w:ascii="Times New Roman" w:eastAsia="Times New Roman" w:hAnsi="Times New Roman"/>
          <w:sz w:val="24"/>
          <w:szCs w:val="24"/>
          <w:lang w:eastAsia="es-ES"/>
        </w:rPr>
        <w:t xml:space="preserve">, ¿por qué no las corporaciones de éxito? Se da la circunstancia de que </w:t>
      </w:r>
      <w:r w:rsidR="008A6949" w:rsidRPr="008A6949">
        <w:rPr>
          <w:rFonts w:ascii="Times New Roman" w:eastAsia="Times New Roman" w:hAnsi="Times New Roman"/>
          <w:bCs/>
          <w:sz w:val="24"/>
          <w:szCs w:val="24"/>
          <w:lang w:eastAsia="es-ES"/>
        </w:rPr>
        <w:t>un solo ciudadano, usted mismo, paga más al IRS que General Electric, Honeywell, Mattel, Boeing y Wells Fargo juntas</w:t>
      </w:r>
      <w:r>
        <w:rPr>
          <w:rFonts w:ascii="Times New Roman" w:eastAsia="Times New Roman" w:hAnsi="Times New Roman"/>
          <w:sz w:val="24"/>
          <w:szCs w:val="24"/>
          <w:lang w:eastAsia="es-ES"/>
        </w:rPr>
        <w:t>”</w:t>
      </w:r>
      <w:r w:rsidR="008A6949" w:rsidRPr="008A6949">
        <w:rPr>
          <w:rFonts w:ascii="Times New Roman" w:eastAsia="Times New Roman" w:hAnsi="Times New Roman"/>
          <w:sz w:val="24"/>
          <w:szCs w:val="24"/>
          <w:lang w:eastAsia="es-ES"/>
        </w:rPr>
        <w:t>, señalan los autores del estudio. En esta línea, desde el Center for Tax of Justice, se lamenta que la legislación norteamericana “tenga</w:t>
      </w:r>
      <w:r w:rsidR="008A6949" w:rsidRPr="008A6949">
        <w:rPr>
          <w:rFonts w:ascii="Times New Roman" w:eastAsia="Times New Roman" w:hAnsi="Times New Roman"/>
          <w:bCs/>
          <w:sz w:val="24"/>
          <w:szCs w:val="24"/>
          <w:lang w:eastAsia="es-ES"/>
        </w:rPr>
        <w:t xml:space="preserve"> tantas lagunas legales </w:t>
      </w:r>
      <w:r w:rsidR="008A6949" w:rsidRPr="008A6949">
        <w:rPr>
          <w:rFonts w:ascii="Times New Roman" w:eastAsia="Times New Roman" w:hAnsi="Times New Roman"/>
          <w:sz w:val="24"/>
          <w:szCs w:val="24"/>
          <w:lang w:eastAsia="es-ES"/>
        </w:rPr>
        <w:t xml:space="preserve">en materia fiscal y, sobre todo, que el Congreso no haya votado para acabar con ellas”. En 1986 la ratio de impuestos pagados por las grandes corporaciones en relación al PGB (Producto Geográfico Bruto) ascendía a 0,5%; </w:t>
      </w:r>
      <w:r w:rsidR="008A6949" w:rsidRPr="008A6949">
        <w:rPr>
          <w:rFonts w:ascii="Times New Roman" w:eastAsia="Times New Roman" w:hAnsi="Times New Roman"/>
          <w:bCs/>
          <w:sz w:val="24"/>
          <w:szCs w:val="24"/>
          <w:lang w:eastAsia="es-ES"/>
        </w:rPr>
        <w:t>en 2011 se sitúa en el 0,28%</w:t>
      </w:r>
      <w:r w:rsidR="008A6949" w:rsidRPr="008A6949">
        <w:rPr>
          <w:rFonts w:ascii="Times New Roman" w:eastAsia="Times New Roman" w:hAnsi="Times New Roman"/>
          <w:sz w:val="24"/>
          <w:szCs w:val="24"/>
          <w:lang w:eastAsia="es-ES"/>
        </w:rPr>
        <w:t>, un mínimo solo alcanzado en 2002. Todo esto sucede en un contexto en el que, desde 2008, el déficit federal se ha disparado y la situación económica de Estados Unidos se ha agravado notablemente.</w:t>
      </w:r>
    </w:p>
    <w:p w:rsidR="008A6949" w:rsidRPr="008A6949" w:rsidRDefault="008A6949" w:rsidP="00387350">
      <w:pPr>
        <w:pStyle w:val="NormalWeb"/>
        <w:jc w:val="both"/>
      </w:pPr>
      <w:r w:rsidRPr="008A6949">
        <w:t xml:space="preserve">Estas agresivas maniobras de evasión de impuestos, junto a sus intensas políticas de 'lobby', han sido suficientes para que la prensa norteamericana les haya colocado el sobrenombre de las “Dirty thirty”. Y es que entre todas </w:t>
      </w:r>
      <w:r w:rsidRPr="008A6949">
        <w:rPr>
          <w:bCs/>
        </w:rPr>
        <w:t>han gastado casi 500 millones en presionar al Congreso</w:t>
      </w:r>
      <w:r w:rsidRPr="008A6949">
        <w:t>, además de otros 22 en apoyo a campañas política</w:t>
      </w:r>
      <w:r w:rsidR="00E3208B">
        <w:t>s. El resultado es un gasto en “lobby”</w:t>
      </w:r>
      <w:r w:rsidRPr="008A6949">
        <w:t xml:space="preserve"> diario, incluyendo fines de semana</w:t>
      </w:r>
      <w:r>
        <w:t xml:space="preserve">, de 400.000 dólares”… </w:t>
      </w:r>
      <w:r w:rsidRPr="00A729B7">
        <w:rPr>
          <w:u w:val="single"/>
        </w:rPr>
        <w:t>Treinta de las principales empresas de EEUU gastan más en lobbies que en impuestos</w:t>
      </w:r>
      <w:r>
        <w:t xml:space="preserve"> (El Confidencial - </w:t>
      </w:r>
      <w:r w:rsidRPr="00A729B7">
        <w:rPr>
          <w:b/>
        </w:rPr>
        <w:t>30/1/12</w:t>
      </w:r>
      <w:r>
        <w:t>)</w:t>
      </w:r>
    </w:p>
    <w:p w:rsidR="008A6949" w:rsidRPr="008A6949" w:rsidRDefault="008A6949" w:rsidP="00387350">
      <w:pPr>
        <w:spacing w:after="0" w:line="240" w:lineRule="auto"/>
        <w:jc w:val="both"/>
        <w:rPr>
          <w:rFonts w:ascii="Times New Roman" w:eastAsia="Times New Roman" w:hAnsi="Times New Roman"/>
          <w:sz w:val="24"/>
          <w:szCs w:val="24"/>
          <w:lang w:eastAsia="es-ES"/>
        </w:rPr>
      </w:pPr>
    </w:p>
    <w:p w:rsidR="008A6949" w:rsidRDefault="008A6949"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        </w:t>
      </w:r>
      <w:r>
        <w:rPr>
          <w:rFonts w:ascii="Times New Roman" w:eastAsia="Times New Roman" w:hAnsi="Times New Roman"/>
          <w:noProof/>
          <w:sz w:val="24"/>
          <w:szCs w:val="24"/>
          <w:lang w:eastAsia="es-ES"/>
        </w:rPr>
        <w:drawing>
          <wp:inline distT="0" distB="0" distL="0" distR="0" wp14:anchorId="27EEA2B5" wp14:editId="08E4BF11">
            <wp:extent cx="4740111" cy="4330598"/>
            <wp:effectExtent l="0" t="0" r="3810" b="0"/>
            <wp:docPr id="6" name="Imagen 6" descr="201201252tabl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201252tablaca"/>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40275" cy="4330748"/>
                    </a:xfrm>
                    <a:prstGeom prst="rect">
                      <a:avLst/>
                    </a:prstGeom>
                    <a:noFill/>
                    <a:ln>
                      <a:noFill/>
                    </a:ln>
                  </pic:spPr>
                </pic:pic>
              </a:graphicData>
            </a:graphic>
          </wp:inline>
        </w:drawing>
      </w:r>
    </w:p>
    <w:p w:rsidR="008A6949" w:rsidRDefault="008A6949" w:rsidP="00387350">
      <w:pPr>
        <w:spacing w:after="0" w:line="240" w:lineRule="auto"/>
        <w:jc w:val="both"/>
        <w:rPr>
          <w:rFonts w:ascii="Times New Roman" w:eastAsia="Times New Roman" w:hAnsi="Times New Roman"/>
          <w:sz w:val="24"/>
          <w:szCs w:val="24"/>
          <w:lang w:eastAsia="es-ES"/>
        </w:rPr>
      </w:pPr>
    </w:p>
    <w:p w:rsidR="008A6949" w:rsidRPr="008A6949" w:rsidRDefault="008A6949"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8A6949">
        <w:rPr>
          <w:rFonts w:ascii="Times New Roman" w:eastAsia="Times New Roman" w:hAnsi="Times New Roman"/>
          <w:sz w:val="24"/>
          <w:szCs w:val="24"/>
          <w:lang w:eastAsia="es-ES"/>
        </w:rPr>
        <w:t xml:space="preserve">Los millonarios británicos llegan al año 2012 siendo aún más millonarios. Es la primera lectura que podemos hacer de la lista de los más ricos de Reino Unido elaborada anualmente por el rotativo </w:t>
      </w:r>
      <w:r w:rsidRPr="008A6949">
        <w:rPr>
          <w:rFonts w:ascii="Times New Roman" w:eastAsia="Times New Roman" w:hAnsi="Times New Roman"/>
          <w:i/>
          <w:iCs/>
          <w:sz w:val="24"/>
          <w:szCs w:val="24"/>
          <w:lang w:eastAsia="es-ES"/>
        </w:rPr>
        <w:t>The Sunday Times</w:t>
      </w:r>
      <w:r w:rsidRPr="008A6949">
        <w:rPr>
          <w:rFonts w:ascii="Times New Roman" w:eastAsia="Times New Roman" w:hAnsi="Times New Roman"/>
          <w:sz w:val="24"/>
          <w:szCs w:val="24"/>
          <w:lang w:eastAsia="es-ES"/>
        </w:rPr>
        <w:t xml:space="preserve">, que hoy reseña </w:t>
      </w:r>
      <w:r w:rsidRPr="008A6949">
        <w:rPr>
          <w:rFonts w:ascii="Times New Roman" w:eastAsia="Times New Roman" w:hAnsi="Times New Roman"/>
          <w:i/>
          <w:iCs/>
          <w:sz w:val="24"/>
          <w:szCs w:val="24"/>
          <w:lang w:eastAsia="es-ES"/>
        </w:rPr>
        <w:t>Reuters</w:t>
      </w:r>
      <w:r w:rsidRPr="008A6949">
        <w:rPr>
          <w:rFonts w:ascii="Times New Roman" w:eastAsia="Times New Roman" w:hAnsi="Times New Roman"/>
          <w:sz w:val="24"/>
          <w:szCs w:val="24"/>
          <w:lang w:eastAsia="es-ES"/>
        </w:rPr>
        <w:t xml:space="preserve">. Cuando los ingresos y ahorros de la mayoría de ciudadanos del país se ven comprometidos por la inflación y los bajos tipos de interés, los multimillonarios </w:t>
      </w:r>
      <w:r w:rsidRPr="008A6949">
        <w:rPr>
          <w:rFonts w:ascii="Times New Roman" w:eastAsia="Times New Roman" w:hAnsi="Times New Roman"/>
          <w:bCs/>
          <w:sz w:val="24"/>
          <w:szCs w:val="24"/>
          <w:lang w:eastAsia="es-ES"/>
        </w:rPr>
        <w:t>consiguen hacer todavía más dinero</w:t>
      </w:r>
      <w:r w:rsidRPr="008A6949">
        <w:rPr>
          <w:rFonts w:ascii="Times New Roman" w:eastAsia="Times New Roman" w:hAnsi="Times New Roman"/>
          <w:sz w:val="24"/>
          <w:szCs w:val="24"/>
          <w:lang w:eastAsia="es-ES"/>
        </w:rPr>
        <w:t xml:space="preserve">. </w:t>
      </w:r>
    </w:p>
    <w:p w:rsidR="008A6949" w:rsidRPr="008A6949" w:rsidRDefault="008A6949" w:rsidP="00387350">
      <w:pPr>
        <w:spacing w:after="0" w:line="240" w:lineRule="auto"/>
        <w:jc w:val="both"/>
        <w:rPr>
          <w:rFonts w:ascii="Times New Roman" w:eastAsia="Times New Roman" w:hAnsi="Times New Roman"/>
          <w:sz w:val="24"/>
          <w:szCs w:val="24"/>
          <w:lang w:eastAsia="es-ES"/>
        </w:rPr>
      </w:pPr>
    </w:p>
    <w:p w:rsidR="008A6949" w:rsidRDefault="008A6949" w:rsidP="00387350">
      <w:pPr>
        <w:spacing w:line="240" w:lineRule="auto"/>
        <w:jc w:val="both"/>
        <w:rPr>
          <w:rFonts w:ascii="Times New Roman" w:hAnsi="Times New Roman"/>
          <w:sz w:val="24"/>
          <w:szCs w:val="24"/>
        </w:rPr>
      </w:pPr>
      <w:r w:rsidRPr="008A6949">
        <w:rPr>
          <w:rFonts w:ascii="Times New Roman" w:eastAsia="Times New Roman" w:hAnsi="Times New Roman"/>
          <w:sz w:val="24"/>
          <w:szCs w:val="24"/>
          <w:lang w:eastAsia="es-ES"/>
        </w:rPr>
        <w:t>La riqueza combinada de los 1.000 británicos más ricos</w:t>
      </w:r>
      <w:r w:rsidRPr="008A6949">
        <w:rPr>
          <w:rFonts w:ascii="Times New Roman" w:eastAsia="Times New Roman" w:hAnsi="Times New Roman"/>
          <w:bCs/>
          <w:sz w:val="24"/>
          <w:szCs w:val="24"/>
          <w:lang w:eastAsia="es-ES"/>
        </w:rPr>
        <w:t xml:space="preserve"> creció casi un cinco por ciento,</w:t>
      </w:r>
      <w:r w:rsidRPr="008A6949">
        <w:rPr>
          <w:rFonts w:ascii="Times New Roman" w:eastAsia="Times New Roman" w:hAnsi="Times New Roman"/>
          <w:sz w:val="24"/>
          <w:szCs w:val="24"/>
          <w:lang w:eastAsia="es-ES"/>
        </w:rPr>
        <w:t xml:space="preserve"> hasta ponerse en más de 414.000 millones de libras (más de 462.000 millones de euros). Según </w:t>
      </w:r>
      <w:r w:rsidRPr="008A6949">
        <w:rPr>
          <w:rFonts w:ascii="Times New Roman" w:eastAsia="Times New Roman" w:hAnsi="Times New Roman"/>
          <w:i/>
          <w:iCs/>
          <w:sz w:val="24"/>
          <w:szCs w:val="24"/>
          <w:lang w:eastAsia="es-ES"/>
        </w:rPr>
        <w:t>The Sunday Times</w:t>
      </w:r>
      <w:r w:rsidRPr="008A6949">
        <w:rPr>
          <w:rFonts w:ascii="Times New Roman" w:eastAsia="Times New Roman" w:hAnsi="Times New Roman"/>
          <w:sz w:val="24"/>
          <w:szCs w:val="24"/>
          <w:lang w:eastAsia="es-ES"/>
        </w:rPr>
        <w:t>, es la cifra más alta desde que empezó a elaborarse la encuesta, hace 24 años. Hasta 77 miembros de la nómina de 2012, por otra parte, son milmillonarios. Dos más que en 2008, cuando se fijó la anterior marca.</w:t>
      </w:r>
      <w:r w:rsidRPr="008A6949">
        <w:rPr>
          <w:rFonts w:ascii="Times New Roman" w:eastAsia="Times New Roman" w:hAnsi="Times New Roman"/>
          <w:sz w:val="24"/>
          <w:szCs w:val="24"/>
          <w:lang w:eastAsia="es-ES"/>
        </w:rPr>
        <w:br/>
      </w:r>
      <w:r w:rsidRPr="008A6949">
        <w:rPr>
          <w:rFonts w:ascii="Times New Roman" w:eastAsia="Times New Roman" w:hAnsi="Times New Roman"/>
          <w:sz w:val="24"/>
          <w:szCs w:val="24"/>
          <w:lang w:eastAsia="es-ES"/>
        </w:rPr>
        <w:br/>
        <w:t>Así pues, los súper ricos</w:t>
      </w:r>
      <w:r w:rsidRPr="008A6949">
        <w:rPr>
          <w:rFonts w:ascii="Times New Roman" w:eastAsia="Times New Roman" w:hAnsi="Times New Roman"/>
          <w:i/>
          <w:iCs/>
          <w:sz w:val="24"/>
          <w:szCs w:val="24"/>
          <w:lang w:eastAsia="es-ES"/>
        </w:rPr>
        <w:t xml:space="preserve"> </w:t>
      </w:r>
      <w:r w:rsidRPr="008A6949">
        <w:rPr>
          <w:rFonts w:ascii="Times New Roman" w:eastAsia="Times New Roman" w:hAnsi="Times New Roman"/>
          <w:sz w:val="24"/>
          <w:szCs w:val="24"/>
          <w:lang w:eastAsia="es-ES"/>
        </w:rPr>
        <w:t xml:space="preserve">lo son más y sus fortunas, mayores. Sus buenos números </w:t>
      </w:r>
      <w:r w:rsidRPr="008A6949">
        <w:rPr>
          <w:rFonts w:ascii="Times New Roman" w:eastAsia="Times New Roman" w:hAnsi="Times New Roman"/>
          <w:bCs/>
          <w:sz w:val="24"/>
          <w:szCs w:val="24"/>
          <w:lang w:eastAsia="es-ES"/>
        </w:rPr>
        <w:t>contrastan con la situación económica de muchos británicos</w:t>
      </w:r>
      <w:r w:rsidRPr="008A6949">
        <w:rPr>
          <w:rFonts w:ascii="Times New Roman" w:eastAsia="Times New Roman" w:hAnsi="Times New Roman"/>
          <w:sz w:val="24"/>
          <w:szCs w:val="24"/>
          <w:lang w:eastAsia="es-ES"/>
        </w:rPr>
        <w:t>, cuyo poder adquisitivo se ve menguado por culpa de la recesión y que se enfrentan a cinco años de austeridad con el objetivo de reducir el déficit presupuestario, en un intento por recuperarse de la crisis financiera de 2008</w:t>
      </w:r>
      <w:r>
        <w:rPr>
          <w:rFonts w:ascii="Times New Roman" w:eastAsia="Times New Roman" w:hAnsi="Times New Roman"/>
          <w:sz w:val="24"/>
          <w:szCs w:val="24"/>
          <w:lang w:eastAsia="es-ES"/>
        </w:rPr>
        <w:t>”..</w:t>
      </w:r>
      <w:r w:rsidRPr="008A6949">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AD6609">
        <w:rPr>
          <w:rFonts w:ascii="Times New Roman" w:hAnsi="Times New Roman"/>
          <w:sz w:val="24"/>
          <w:szCs w:val="24"/>
          <w:u w:val="single"/>
        </w:rPr>
        <w:t>Las fortunas de los británicos más ricos marcan un nuevo récord</w:t>
      </w:r>
      <w:r>
        <w:rPr>
          <w:rFonts w:ascii="Times New Roman" w:hAnsi="Times New Roman"/>
          <w:sz w:val="24"/>
          <w:szCs w:val="24"/>
        </w:rPr>
        <w:t xml:space="preserve"> (El Confidencial - </w:t>
      </w:r>
      <w:r w:rsidRPr="00AD6609">
        <w:rPr>
          <w:rFonts w:ascii="Times New Roman" w:hAnsi="Times New Roman"/>
          <w:b/>
          <w:sz w:val="24"/>
          <w:szCs w:val="24"/>
        </w:rPr>
        <w:t>29/4/12</w:t>
      </w:r>
      <w:r>
        <w:rPr>
          <w:rFonts w:ascii="Times New Roman" w:hAnsi="Times New Roman"/>
          <w:sz w:val="24"/>
          <w:szCs w:val="24"/>
        </w:rPr>
        <w:t>)</w:t>
      </w:r>
    </w:p>
    <w:p w:rsidR="008A6949" w:rsidRDefault="008A6949" w:rsidP="00387350">
      <w:pPr>
        <w:pStyle w:val="NormalWeb"/>
        <w:jc w:val="both"/>
      </w:pPr>
      <w:r>
        <w:t>“</w:t>
      </w:r>
      <w:r w:rsidRPr="008A6949">
        <w:t xml:space="preserve">La crisis fue en origen </w:t>
      </w:r>
      <w:r w:rsidR="00E3208B">
        <w:t>financiera. Los Gobiernos de EE</w:t>
      </w:r>
      <w:r w:rsidRPr="008A6949">
        <w:t xml:space="preserve">UU, Alemania o Reino Unido no dudaron en inyectar capital en aquellas entidades que lo precisaron, nacionalizar parcial o totalmente algunas de ellas e incluso proceder a su liquidación. El caos bancario, -que se ha llevado por delante a al menos 760 bancos en la UE, según datos del BCE- se saldó con un volumen de ayudas equivalente a 1,7 billones de dólares (1,2 </w:t>
      </w:r>
      <w:r w:rsidRPr="008A6949">
        <w:lastRenderedPageBreak/>
        <w:t>billones de euros), de acuerdo con las estimaciones del FMI (Fondo Monetario Internacional). Para hacerse una idea de la magnitud de las ayudas, ese volumen equivale al 120% del PIB español. Estas ayudas han servido para la estabilizar el sistema financiero y algunos Gobiernos también han recuperado parte de la inversión e incluso han hecho importantes be</w:t>
      </w:r>
      <w:r>
        <w:t>neficios, como es el caso de EE</w:t>
      </w:r>
      <w:r w:rsidRPr="008A6949">
        <w:t>UU. Otros han incurrido en severas pérdidas, como Irlanda</w:t>
      </w:r>
      <w:r>
        <w:t>”..</w:t>
      </w:r>
      <w:r w:rsidRPr="008A6949">
        <w:t>.</w:t>
      </w:r>
      <w:r>
        <w:t xml:space="preserve"> </w:t>
      </w:r>
      <w:r w:rsidRPr="00245B47">
        <w:rPr>
          <w:u w:val="single"/>
        </w:rPr>
        <w:t>El FMI cifra en 1,2 billones el apoyo directo de los Estados a la banca</w:t>
      </w:r>
      <w:r>
        <w:t xml:space="preserve"> (Cinco Días - </w:t>
      </w:r>
      <w:r w:rsidRPr="00245B47">
        <w:rPr>
          <w:b/>
        </w:rPr>
        <w:t>25/5/12</w:t>
      </w:r>
      <w:r>
        <w:t>)</w:t>
      </w:r>
    </w:p>
    <w:p w:rsidR="008A6949" w:rsidRDefault="008A6949" w:rsidP="00387350">
      <w:pPr>
        <w:spacing w:after="0" w:line="240" w:lineRule="auto"/>
        <w:jc w:val="both"/>
        <w:rPr>
          <w:rFonts w:ascii="Times New Roman" w:eastAsia="Times New Roman" w:hAnsi="Times New Roman"/>
          <w:sz w:val="24"/>
          <w:szCs w:val="24"/>
          <w:lang w:eastAsia="es-ES"/>
        </w:rPr>
      </w:pPr>
      <w:r>
        <w:rPr>
          <w:noProof/>
          <w:lang w:eastAsia="es-ES"/>
        </w:rPr>
        <w:drawing>
          <wp:inline distT="0" distB="0" distL="0" distR="0" wp14:anchorId="4A82A353" wp14:editId="10C0912E">
            <wp:extent cx="5398617" cy="2604211"/>
            <wp:effectExtent l="0" t="0" r="0" b="571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98770" cy="2604285"/>
                    </a:xfrm>
                    <a:prstGeom prst="rect">
                      <a:avLst/>
                    </a:prstGeom>
                    <a:noFill/>
                    <a:ln>
                      <a:noFill/>
                    </a:ln>
                  </pic:spPr>
                </pic:pic>
              </a:graphicData>
            </a:graphic>
          </wp:inline>
        </w:drawing>
      </w:r>
    </w:p>
    <w:p w:rsidR="008A6949" w:rsidRDefault="008A6949" w:rsidP="00387350">
      <w:pPr>
        <w:spacing w:after="0" w:line="240" w:lineRule="auto"/>
        <w:jc w:val="both"/>
        <w:rPr>
          <w:rFonts w:ascii="Times New Roman" w:eastAsia="Times New Roman" w:hAnsi="Times New Roman"/>
          <w:sz w:val="24"/>
          <w:szCs w:val="24"/>
          <w:lang w:eastAsia="es-ES"/>
        </w:rPr>
      </w:pPr>
      <w:r>
        <w:rPr>
          <w:noProof/>
          <w:lang w:eastAsia="es-ES"/>
        </w:rPr>
        <w:drawing>
          <wp:inline distT="0" distB="0" distL="0" distR="0" wp14:anchorId="468E4603" wp14:editId="5B20B2AF">
            <wp:extent cx="5391185" cy="3503981"/>
            <wp:effectExtent l="0" t="0" r="0" b="127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91150" cy="3503958"/>
                    </a:xfrm>
                    <a:prstGeom prst="rect">
                      <a:avLst/>
                    </a:prstGeom>
                    <a:noFill/>
                    <a:ln>
                      <a:noFill/>
                    </a:ln>
                  </pic:spPr>
                </pic:pic>
              </a:graphicData>
            </a:graphic>
          </wp:inline>
        </w:drawing>
      </w:r>
    </w:p>
    <w:p w:rsidR="0085730C" w:rsidRPr="00FF4868" w:rsidRDefault="00E3208B" w:rsidP="00387350">
      <w:pPr>
        <w:pStyle w:val="NormalWeb"/>
        <w:jc w:val="both"/>
      </w:pPr>
      <w:r>
        <w:t xml:space="preserve">(Fuente: </w:t>
      </w:r>
      <w:r w:rsidR="0085730C">
        <w:t xml:space="preserve">El País - </w:t>
      </w:r>
      <w:r w:rsidR="0085730C" w:rsidRPr="00FF4868">
        <w:rPr>
          <w:b/>
        </w:rPr>
        <w:t>12/6/12</w:t>
      </w:r>
      <w:r w:rsidR="0085730C">
        <w:t>)</w:t>
      </w:r>
    </w:p>
    <w:p w:rsidR="0085730C" w:rsidRPr="0085730C" w:rsidRDefault="0085730C" w:rsidP="00387350">
      <w:pPr>
        <w:spacing w:line="240" w:lineRule="auto"/>
        <w:jc w:val="both"/>
        <w:rPr>
          <w:rFonts w:ascii="Times New Roman" w:hAnsi="Times New Roman"/>
          <w:sz w:val="24"/>
          <w:szCs w:val="24"/>
        </w:rPr>
      </w:pPr>
      <w:r>
        <w:rPr>
          <w:rFonts w:ascii="Times New Roman" w:hAnsi="Times New Roman"/>
          <w:sz w:val="24"/>
          <w:szCs w:val="24"/>
        </w:rPr>
        <w:t>“</w:t>
      </w:r>
      <w:r w:rsidRPr="0085730C">
        <w:rPr>
          <w:rFonts w:ascii="Times New Roman" w:hAnsi="Times New Roman"/>
          <w:sz w:val="24"/>
          <w:szCs w:val="24"/>
        </w:rPr>
        <w:t xml:space="preserve">La crisis de 2008 derrumbó economías, destrozó empleos y vidas, arrasó ahorros y expectativas y, peor aún, parece haber sucedido en vano. El sistema financiero sigue funcionando con los mismos parámetros que entonces. Los intentos de regulación se </w:t>
      </w:r>
      <w:r w:rsidRPr="0085730C">
        <w:rPr>
          <w:rFonts w:ascii="Times New Roman" w:hAnsi="Times New Roman"/>
          <w:sz w:val="24"/>
          <w:szCs w:val="24"/>
        </w:rPr>
        <w:lastRenderedPageBreak/>
        <w:t>han diluido en la nada y los escándalos se suceden a una velocidad de vértigo, raramente con juicios y condenas.</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En esa catedral histórica de las finanzas que es Reino Unido, la reputación de los banqueros está por el piso. Según la última encuesta, sólo un 10% de los británicos confía en sus bancos. Un sondeo similar en Estados Unidos da un resultado parecido: sólo el 21% tiene confianza en su sistema financiero (en 2005 era un 53%).</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 xml:space="preserve">Adam Leaver, miembro del centro interdisciplinario CRESC (Centre for Research on Socio-Cultural Change) y economista de la Escuela de Negocios de Manchester, le comentó a </w:t>
      </w:r>
      <w:r w:rsidRPr="00980A38">
        <w:rPr>
          <w:rFonts w:ascii="Times New Roman" w:hAnsi="Times New Roman"/>
          <w:i/>
          <w:sz w:val="24"/>
          <w:szCs w:val="24"/>
        </w:rPr>
        <w:t>BBC Mundo</w:t>
      </w:r>
      <w:r w:rsidRPr="0085730C">
        <w:rPr>
          <w:rFonts w:ascii="Times New Roman" w:hAnsi="Times New Roman"/>
          <w:sz w:val="24"/>
          <w:szCs w:val="24"/>
        </w:rPr>
        <w:t xml:space="preserve"> que el problema reside en los pilares del actual sistema. </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“El sistema financiero internacional que nació con la desregulación de los ochenta tiene problemas inextricables. El volumen de sus operaciones, superior al PIB de los países, la complejidad, interconexión y opacidad con que funciona lo vuelven una bomba de tiempo”, afirmó Leaver.</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Una investigación del CRESC compara la relación entre el Producto Interno Bruto (PIB) de Reino Unido, Alemania y Francia con los activos bancarios de las seis entidades más importantes de cada país. Los bancos son entre dos y cinco veces más grandes que el PIB, es decir, que todo lo que produce una nación en un año de trabajo.</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En casos de economías más pequeñas, como Islandia y la República de Irlanda, este desequilibrio entre bancos y el PIB terminó con los países en bancarrota.</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Un elemento fundamental de estos activos bancarios son los derivados, complejos contratos financieros sobre el valor futuro de divisas, bonos, precios de petróleo o soja. A fines de 2009, un año después del estallido de la crisis, el mercado de derivados tenía un valor superior al PIB mundial. Un rasgo esencial de los derivados es su opacidad que, a través de una compleja dinámica financiera, nubla la trayectoria del dinero y la identidad de sus dueños…</w:t>
      </w:r>
    </w:p>
    <w:p w:rsid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“Los vasos comunicantes entre el mundo político y el de las finanzas complican mucho la regulación del sector. Los mandatarios y ministros terminan muchas veces en el mundo de las finanzas. Y hasta se da el caso opuesto, en Estados Unidos, por ejemplo, en el que los financistas terminan en el gobierno”, dice Leaver</w:t>
      </w:r>
      <w:r>
        <w:rPr>
          <w:rFonts w:ascii="Times New Roman" w:hAnsi="Times New Roman"/>
          <w:sz w:val="24"/>
          <w:szCs w:val="24"/>
        </w:rPr>
        <w:t>”</w:t>
      </w:r>
      <w:r w:rsidRPr="0085730C">
        <w:rPr>
          <w:rFonts w:ascii="Times New Roman" w:hAnsi="Times New Roman"/>
          <w:sz w:val="24"/>
          <w:szCs w:val="24"/>
        </w:rPr>
        <w:t>…</w:t>
      </w:r>
      <w:r>
        <w:rPr>
          <w:rFonts w:ascii="Times New Roman" w:hAnsi="Times New Roman"/>
          <w:sz w:val="24"/>
          <w:szCs w:val="24"/>
        </w:rPr>
        <w:t xml:space="preserve"> </w:t>
      </w:r>
      <w:r w:rsidRPr="0006499A">
        <w:rPr>
          <w:rFonts w:ascii="Times New Roman" w:hAnsi="Times New Roman"/>
          <w:sz w:val="24"/>
          <w:szCs w:val="24"/>
          <w:u w:val="single"/>
        </w:rPr>
        <w:t>El riesgo de que la ruleta de los bancos siga girando</w:t>
      </w:r>
      <w:r>
        <w:rPr>
          <w:rFonts w:ascii="Times New Roman" w:hAnsi="Times New Roman"/>
          <w:sz w:val="24"/>
          <w:szCs w:val="24"/>
        </w:rPr>
        <w:t xml:space="preserve"> (BBCMundo - </w:t>
      </w:r>
      <w:r w:rsidRPr="0006499A">
        <w:rPr>
          <w:rFonts w:ascii="Times New Roman" w:hAnsi="Times New Roman"/>
          <w:b/>
          <w:sz w:val="24"/>
          <w:szCs w:val="24"/>
        </w:rPr>
        <w:t>16/8/12</w:t>
      </w:r>
      <w:r>
        <w:rPr>
          <w:rFonts w:ascii="Times New Roman" w:hAnsi="Times New Roman"/>
          <w:sz w:val="24"/>
          <w:szCs w:val="24"/>
        </w:rPr>
        <w:t xml:space="preserve">) </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“Los bancos que fueron rescatados durante la crisis (2008-2010) mantienen las prácticas de riesgos en sus operaciones de préstamos, que les llevaron a la crisis, según el último informe trimestral del Banco de Pagos Internacionales (BPI).</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El banco de los bancos centrales se pregunta “si los rescates acometidos durante la crisis financiera, redujeron el nivel de riesgo asumido por los bancos en sus operaciones de préstamo”.</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Para dar respuesta a la pregunta, el BPI, con sede en la ciudad suiza de Basilea, ha analizado los balances y las formalizaciones de préstamos sindicados de 87 grandes bancos con actividad internacional, de los cuales la mitad recibió apoyo financiero público durante la crisis.  Estos bancos cubren activos bancarios por valor de 54 billones de dólares (41 billones de euros), que corresponden a un 52 % de lo</w:t>
      </w:r>
      <w:r w:rsidR="00E3208B">
        <w:rPr>
          <w:rFonts w:ascii="Times New Roman" w:hAnsi="Times New Roman"/>
          <w:sz w:val="24"/>
          <w:szCs w:val="24"/>
        </w:rPr>
        <w:t xml:space="preserve">s activos bancarios mundiales. </w:t>
      </w:r>
      <w:r w:rsidRPr="0085730C">
        <w:rPr>
          <w:rFonts w:ascii="Times New Roman" w:hAnsi="Times New Roman"/>
          <w:sz w:val="24"/>
          <w:szCs w:val="24"/>
        </w:rPr>
        <w:t>De estos 87 bancos, 40 instituciones recibieron programas de recapitalización pública entre el tercer trimestre de 2008 y el segundo de 2010.</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lastRenderedPageBreak/>
        <w:t xml:space="preserve"> Estas recapitalizaciones se situaron en 350.000 millones de dólares (267.175 millones de euros) entre 2008 y 2010. La mayor parte de los fondos se inyectó en el cuarto trimestre de 2008 y en el primero de 2009, principalmente en EEUU y también en Francia, Alemania, Holanda y el Reino Unido.</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La recapitalización de los bancos con fondos públicos en los países del G10, más Austria, Australia, España, fue de 500.000 millones de dólares (381.680 millones de euros) en el periodo 2007-2010. Los bancos habían devuelto el 50 % de las inyecciones de capital en septiembre de 2010, principalmente en Francia y EEUU, según el BPI.</w:t>
      </w:r>
    </w:p>
    <w:p w:rsidR="0085730C" w:rsidRPr="0085730C"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 xml:space="preserve"> Concluye que “los bancos rescatados no redujeron el nivel de riesgo de sus nuevas carteras de préstamos significativamente más que los bancos que no recibieron ayuda pública”. Los bancos rescatados continuaron formalizando préstamos sindicados de riesgos, como se refleja en su participación en el segmento de préstamos apalancados y en los diferenciales sobre las facilidades que originaron.</w:t>
      </w:r>
    </w:p>
    <w:p w:rsidR="0085730C" w:rsidRPr="00A42E5E" w:rsidRDefault="0085730C" w:rsidP="00387350">
      <w:pPr>
        <w:spacing w:line="240" w:lineRule="auto"/>
        <w:jc w:val="both"/>
        <w:rPr>
          <w:rFonts w:ascii="Times New Roman" w:hAnsi="Times New Roman"/>
          <w:sz w:val="24"/>
          <w:szCs w:val="24"/>
        </w:rPr>
      </w:pPr>
      <w:r w:rsidRPr="0085730C">
        <w:rPr>
          <w:rFonts w:ascii="Times New Roman" w:hAnsi="Times New Roman"/>
          <w:sz w:val="24"/>
          <w:szCs w:val="24"/>
        </w:rPr>
        <w:t xml:space="preserve">Los bancos rescatados continuaron añadiendo préstamos apalancados en sus formalizaciones totales y también aumentaron el vencimiento medio y los diferenciales del Libor de sus nuevos créditos, dijo el BPI.  Los bancos rescatados ya habían asumido más riesgos que los no rescatados en estas dimensiones antes de la crisis”... </w:t>
      </w:r>
      <w:r w:rsidRPr="00A42E5E">
        <w:rPr>
          <w:rFonts w:ascii="Times New Roman" w:hAnsi="Times New Roman"/>
          <w:sz w:val="24"/>
          <w:szCs w:val="24"/>
          <w:u w:val="single"/>
        </w:rPr>
        <w:t>Los bancos rescatados mantienen los riesgos que les llevaron a la crisis</w:t>
      </w:r>
      <w:r>
        <w:rPr>
          <w:rFonts w:ascii="Times New Roman" w:hAnsi="Times New Roman"/>
          <w:sz w:val="24"/>
          <w:szCs w:val="24"/>
        </w:rPr>
        <w:t xml:space="preserve"> (Expansión - </w:t>
      </w:r>
      <w:r w:rsidRPr="00A42E5E">
        <w:rPr>
          <w:rFonts w:ascii="Times New Roman" w:hAnsi="Times New Roman"/>
          <w:b/>
          <w:sz w:val="24"/>
          <w:szCs w:val="24"/>
        </w:rPr>
        <w:t>14/9/12</w:t>
      </w:r>
      <w:r>
        <w:rPr>
          <w:rFonts w:ascii="Times New Roman" w:hAnsi="Times New Roman"/>
          <w:sz w:val="24"/>
          <w:szCs w:val="24"/>
        </w:rPr>
        <w:t>)</w:t>
      </w:r>
    </w:p>
    <w:p w:rsidR="001A70BA" w:rsidRPr="001A70BA" w:rsidRDefault="001A70BA" w:rsidP="00387350">
      <w:pPr>
        <w:pStyle w:val="NormalWeb"/>
        <w:jc w:val="both"/>
      </w:pPr>
      <w:r w:rsidRPr="001A70BA">
        <w:t xml:space="preserve">“Para la experiodista del </w:t>
      </w:r>
      <w:r w:rsidRPr="001A70BA">
        <w:rPr>
          <w:i/>
          <w:iCs/>
        </w:rPr>
        <w:t>Financial Times</w:t>
      </w:r>
      <w:r w:rsidRPr="001A70BA">
        <w:t xml:space="preserve"> y actual redactora jefe de Reuters, </w:t>
      </w:r>
      <w:r w:rsidRPr="001A70BA">
        <w:rPr>
          <w:bCs/>
        </w:rPr>
        <w:t>Chrystia Freeland</w:t>
      </w:r>
      <w:r w:rsidRPr="001A70BA">
        <w:t>, el hecho de que la brecha entre ricos y pobres sea la mayor desde la época dorada de la industrialización no es accidental:</w:t>
      </w:r>
      <w:r w:rsidRPr="001A70BA">
        <w:rPr>
          <w:bCs/>
        </w:rPr>
        <w:t xml:space="preserve"> “Ahora, como entonces, los titanes están buscando tener una mayor presencia en la política, que coincida con su poder económico.</w:t>
      </w:r>
      <w:r w:rsidRPr="001A70BA">
        <w:t xml:space="preserve"> Ahora, como entonces, el peligro inevitable reside en que van a confundir su propio interés con el del bien común”. Esta es la teoría que traza en su último libro, </w:t>
      </w:r>
      <w:r w:rsidRPr="001A70BA">
        <w:rPr>
          <w:i/>
          <w:iCs/>
        </w:rPr>
        <w:t xml:space="preserve">Plutocrats: The Rise of the New Global Super-Rich and the Fall of Everyone Else </w:t>
      </w:r>
      <w:r w:rsidRPr="001A70BA">
        <w:t xml:space="preserve">(“Plutócatras: el auge de los nuevos </w:t>
      </w:r>
      <w:r w:rsidR="002E6E34" w:rsidRPr="001A70BA">
        <w:t>súper</w:t>
      </w:r>
      <w:r w:rsidRPr="001A70BA">
        <w:t>-ricos globales y la caída del resto del mundo”, Pinguin Press)…</w:t>
      </w:r>
    </w:p>
    <w:p w:rsidR="001A70BA" w:rsidRPr="001A70BA" w:rsidRDefault="001A70BA" w:rsidP="00387350">
      <w:pPr>
        <w:pStyle w:val="NormalWeb"/>
        <w:jc w:val="both"/>
      </w:pPr>
      <w:r w:rsidRPr="001A70BA">
        <w:t xml:space="preserve">Para </w:t>
      </w:r>
      <w:r w:rsidRPr="001A70BA">
        <w:rPr>
          <w:bCs/>
        </w:rPr>
        <w:t>Thomas W. Volcho y Nathan J. Kelly</w:t>
      </w:r>
      <w:r w:rsidRPr="001A70BA">
        <w:t xml:space="preserve">, autores del estudio de la </w:t>
      </w:r>
      <w:r w:rsidRPr="001A70BA">
        <w:rPr>
          <w:i/>
          <w:iCs/>
        </w:rPr>
        <w:t>American Sociological Review</w:t>
      </w:r>
      <w:r w:rsidRPr="001A70BA">
        <w:t xml:space="preserve">, cuya tesis es similar a la de Freeman, el aumento de la desigualdad no es casual, y no tiene que ver con la crisis (aunque ésta ha aumentado la brecha), sino con unas determinadas decisiones políticas, fruto de la presión del 1% más rico. El fundamento teórico de su trabajo se basa en la Power Resource Theory (“la teoría de la fuente del poder”), según la cual </w:t>
      </w:r>
      <w:r w:rsidRPr="001A70BA">
        <w:rPr>
          <w:bCs/>
        </w:rPr>
        <w:t>la distribución de la riqueza y el poder se debe al éxito o fracaso de las distintas ideologías políticas.</w:t>
      </w:r>
      <w:r w:rsidRPr="001A70BA">
        <w:t xml:space="preserve"> En su opinión, los trabajadores y la clase media solo tienen dos formas de lograr una distribución progresiva de la riqueza: a través de la política y el mercado. Esta desigualdad iría de la mano, por tanto, del declive de los partidos de izquierda (que empujaban a favor de la redistribución de la riqueza en la esfera política) y los sindicatos (que </w:t>
      </w:r>
      <w:r w:rsidR="00CE3A47">
        <w:t>empujaban en el mercado). En EE</w:t>
      </w:r>
      <w:r w:rsidRPr="001A70BA">
        <w:t>UU, desde 1978, los tipos impositivos máximos han bajado del 39% al 15%, lo que en su opinión es decisivo para entender el aumento de la brecha entre ricos y pobres.</w:t>
      </w:r>
    </w:p>
    <w:p w:rsidR="001A70BA" w:rsidRDefault="001A70BA" w:rsidP="00387350">
      <w:pPr>
        <w:pStyle w:val="NormalWeb"/>
        <w:jc w:val="both"/>
      </w:pPr>
      <w:r w:rsidRPr="001A70BA">
        <w:t xml:space="preserve">En definitiva, lo que Kelly y Volcho quieren dejar claro es que, </w:t>
      </w:r>
      <w:r w:rsidRPr="001A70BA">
        <w:rPr>
          <w:bCs/>
        </w:rPr>
        <w:t xml:space="preserve">pese a lo que muchos piensan, la desigualdad no es fruto de los vaivenes del mercado, que se escapan del control, sino de unas determinadas decisiones políticas. </w:t>
      </w:r>
      <w:r w:rsidRPr="001A70BA">
        <w:t xml:space="preserve">Es cierto que el mercado influye en las decisiones gubernamentales (algo que se ha hecho evidente en los últimos tiempos), pero esas decisiones repercuten a su vez en la economía. Un círculo vicioso </w:t>
      </w:r>
      <w:r w:rsidRPr="001A70BA">
        <w:lastRenderedPageBreak/>
        <w:t xml:space="preserve">destinado a crear mayor desigualdad, si no se toman medidas para atajar la tendencia”... </w:t>
      </w:r>
      <w:r w:rsidRPr="001A70BA">
        <w:rPr>
          <w:u w:val="single"/>
        </w:rPr>
        <w:t>La rebelión de los ricos y su “teoría de la fuente del poder”</w:t>
      </w:r>
      <w:r w:rsidRPr="001A70BA">
        <w:t xml:space="preserve"> (El Confidencial - </w:t>
      </w:r>
      <w:r w:rsidRPr="001A70BA">
        <w:rPr>
          <w:b/>
        </w:rPr>
        <w:t>9/11/12</w:t>
      </w:r>
      <w:r w:rsidRPr="001A70BA">
        <w:t>)</w:t>
      </w:r>
    </w:p>
    <w:p w:rsidR="001A70BA" w:rsidRPr="008E7A82" w:rsidRDefault="008E7A82" w:rsidP="00387350">
      <w:pPr>
        <w:spacing w:line="240" w:lineRule="auto"/>
        <w:jc w:val="both"/>
        <w:rPr>
          <w:rFonts w:ascii="Times New Roman" w:hAnsi="Times New Roman" w:cs="Times New Roman"/>
          <w:sz w:val="24"/>
          <w:szCs w:val="24"/>
        </w:rPr>
      </w:pPr>
      <w:r w:rsidRPr="008E7A82">
        <w:rPr>
          <w:rFonts w:ascii="Times New Roman" w:hAnsi="Times New Roman" w:cs="Times New Roman"/>
          <w:sz w:val="24"/>
          <w:szCs w:val="24"/>
        </w:rPr>
        <w:t>“</w:t>
      </w:r>
      <w:r w:rsidR="001A70BA" w:rsidRPr="008E7A82">
        <w:rPr>
          <w:rFonts w:ascii="Times New Roman" w:hAnsi="Times New Roman" w:cs="Times New Roman"/>
          <w:sz w:val="24"/>
          <w:szCs w:val="24"/>
        </w:rPr>
        <w:t xml:space="preserve">Existe un mercado que es ajeno a la regulación tradicional y no está auditado por organismos como la SEC, allí los movimientos son anónimos y la información que trasciende al exterior es limitada y seleccionada. Un mercado donde nadie sabe muy bien qué ocurre pero que a pesar de ello crece sin parar, </w:t>
      </w:r>
      <w:r w:rsidR="001A70BA" w:rsidRPr="008E7A82">
        <w:rPr>
          <w:rFonts w:ascii="Times New Roman" w:hAnsi="Times New Roman" w:cs="Times New Roman"/>
          <w:bCs/>
          <w:sz w:val="24"/>
          <w:szCs w:val="24"/>
        </w:rPr>
        <w:t>pasando de un 3% del volumen de la bolsa estadounidense en 2007 al 15% en la actualidad</w:t>
      </w:r>
      <w:r w:rsidR="001A70BA" w:rsidRPr="008E7A82">
        <w:rPr>
          <w:rFonts w:ascii="Times New Roman" w:hAnsi="Times New Roman" w:cs="Times New Roman"/>
          <w:sz w:val="24"/>
          <w:szCs w:val="24"/>
        </w:rPr>
        <w:t>. Este es un mercado paralelo al tradicional, y en él se reúnen las manos más fuertes del mundo para operar sin miradas ajenas. ¿Creían que la bolsa era compleja? Esperen a conocer las “</w:t>
      </w:r>
      <w:r w:rsidR="001A70BA" w:rsidRPr="008E7A82">
        <w:rPr>
          <w:rFonts w:ascii="Times New Roman" w:hAnsi="Times New Roman" w:cs="Times New Roman"/>
          <w:bCs/>
          <w:sz w:val="24"/>
          <w:szCs w:val="24"/>
        </w:rPr>
        <w:t>Dark Pools</w:t>
      </w:r>
      <w:r w:rsidR="001A70BA" w:rsidRPr="008E7A82">
        <w:rPr>
          <w:rFonts w:ascii="Times New Roman" w:hAnsi="Times New Roman" w:cs="Times New Roman"/>
          <w:sz w:val="24"/>
          <w:szCs w:val="24"/>
        </w:rPr>
        <w:t>”, el mundo “matrix” que está por detrás de la bolsa que vemos todos los días…</w:t>
      </w:r>
    </w:p>
    <w:p w:rsidR="008E7A82" w:rsidRPr="008E7A82" w:rsidRDefault="008E7A82" w:rsidP="00387350">
      <w:pPr>
        <w:spacing w:line="240" w:lineRule="auto"/>
        <w:jc w:val="both"/>
        <w:rPr>
          <w:rFonts w:ascii="Times New Roman" w:hAnsi="Times New Roman" w:cs="Times New Roman"/>
          <w:sz w:val="24"/>
          <w:szCs w:val="24"/>
        </w:rPr>
      </w:pPr>
      <w:r w:rsidRPr="008E7A82">
        <w:rPr>
          <w:rFonts w:ascii="Times New Roman" w:hAnsi="Times New Roman" w:cs="Times New Roman"/>
          <w:sz w:val="24"/>
          <w:szCs w:val="24"/>
        </w:rPr>
        <w:t xml:space="preserve">Pues sí, existen algunos “problemillas”. </w:t>
      </w:r>
      <w:hyperlink r:id="rId148" w:history="1">
        <w:r w:rsidRPr="008E7A82">
          <w:rPr>
            <w:rStyle w:val="Hipervnculo"/>
            <w:rFonts w:ascii="Times New Roman" w:hAnsi="Times New Roman" w:cs="Times New Roman"/>
            <w:color w:val="auto"/>
            <w:sz w:val="24"/>
            <w:szCs w:val="24"/>
            <w:u w:val="none"/>
          </w:rPr>
          <w:t>Órdenes sin sentido</w:t>
        </w:r>
      </w:hyperlink>
      <w:r w:rsidRPr="008E7A82">
        <w:rPr>
          <w:rFonts w:ascii="Times New Roman" w:hAnsi="Times New Roman" w:cs="Times New Roman"/>
          <w:sz w:val="24"/>
          <w:szCs w:val="24"/>
        </w:rPr>
        <w:t xml:space="preserve"> provenientes de “Dark Pools” sobre las que nadie sabe nada porque, claro, son anónimas. </w:t>
      </w:r>
      <w:hyperlink r:id="rId149" w:history="1">
        <w:r w:rsidRPr="008E7A82">
          <w:rPr>
            <w:rStyle w:val="Hipervnculo"/>
            <w:rFonts w:ascii="Times New Roman" w:hAnsi="Times New Roman" w:cs="Times New Roman"/>
            <w:color w:val="auto"/>
            <w:sz w:val="24"/>
            <w:szCs w:val="24"/>
            <w:u w:val="none"/>
          </w:rPr>
          <w:t>“Flash Orders”</w:t>
        </w:r>
      </w:hyperlink>
      <w:r w:rsidRPr="008E7A82">
        <w:rPr>
          <w:rFonts w:ascii="Times New Roman" w:hAnsi="Times New Roman" w:cs="Times New Roman"/>
          <w:sz w:val="24"/>
          <w:szCs w:val="24"/>
        </w:rPr>
        <w:t xml:space="preserve"> que podrían otorgar información a unos pocos elegidos. “</w:t>
      </w:r>
      <w:hyperlink r:id="rId150" w:history="1">
        <w:r w:rsidRPr="008E7A82">
          <w:rPr>
            <w:rStyle w:val="Hipervnculo"/>
            <w:rFonts w:ascii="Times New Roman" w:hAnsi="Times New Roman" w:cs="Times New Roman"/>
            <w:color w:val="auto"/>
            <w:sz w:val="24"/>
            <w:szCs w:val="24"/>
            <w:u w:val="none"/>
          </w:rPr>
          <w:t>Dark Pools” que venden información al mejor postor</w:t>
        </w:r>
      </w:hyperlink>
      <w:r w:rsidRPr="008E7A82">
        <w:rPr>
          <w:rFonts w:ascii="Times New Roman" w:hAnsi="Times New Roman" w:cs="Times New Roman"/>
          <w:sz w:val="24"/>
          <w:szCs w:val="24"/>
        </w:rPr>
        <w:t xml:space="preserve"> mientras ofertan a sus clientes supuestamente opacidad. </w:t>
      </w:r>
      <w:hyperlink r:id="rId151" w:history="1">
        <w:r w:rsidRPr="008E7A82">
          <w:rPr>
            <w:rStyle w:val="Hipervnculo"/>
            <w:rFonts w:ascii="Times New Roman" w:hAnsi="Times New Roman" w:cs="Times New Roman"/>
            <w:color w:val="auto"/>
            <w:sz w:val="24"/>
            <w:szCs w:val="24"/>
            <w:u w:val="none"/>
          </w:rPr>
          <w:t>“Dark Pools” donde sus creadores explotan la información en su propio beneficio</w:t>
        </w:r>
      </w:hyperlink>
      <w:r w:rsidRPr="008E7A82">
        <w:rPr>
          <w:rFonts w:ascii="Times New Roman" w:hAnsi="Times New Roman" w:cs="Times New Roman"/>
          <w:sz w:val="24"/>
          <w:szCs w:val="24"/>
        </w:rPr>
        <w:t xml:space="preserve">… </w:t>
      </w:r>
      <w:r w:rsidRPr="008E7A82">
        <w:rPr>
          <w:rFonts w:ascii="Times New Roman" w:hAnsi="Times New Roman" w:cs="Times New Roman"/>
          <w:bCs/>
          <w:sz w:val="24"/>
          <w:szCs w:val="24"/>
        </w:rPr>
        <w:t xml:space="preserve">La FINRA, el auto-regulador privado financiero estadounidense, </w:t>
      </w:r>
      <w:hyperlink r:id="rId152" w:history="1">
        <w:r w:rsidRPr="008E7A82">
          <w:rPr>
            <w:rStyle w:val="Hipervnculo"/>
            <w:rFonts w:ascii="Times New Roman" w:hAnsi="Times New Roman" w:cs="Times New Roman"/>
            <w:bCs/>
            <w:color w:val="auto"/>
            <w:sz w:val="24"/>
            <w:szCs w:val="24"/>
            <w:u w:val="none"/>
          </w:rPr>
          <w:t>se ha visto obligado a iniciar una investigación sobre este fenómeno</w:t>
        </w:r>
      </w:hyperlink>
      <w:r w:rsidRPr="008E7A82">
        <w:rPr>
          <w:rFonts w:ascii="Times New Roman" w:hAnsi="Times New Roman" w:cs="Times New Roman"/>
          <w:bCs/>
          <w:sz w:val="24"/>
          <w:szCs w:val="24"/>
        </w:rPr>
        <w:t>,</w:t>
      </w:r>
      <w:r w:rsidRPr="008E7A82">
        <w:rPr>
          <w:rFonts w:ascii="Times New Roman" w:hAnsi="Times New Roman" w:cs="Times New Roman"/>
          <w:sz w:val="24"/>
          <w:szCs w:val="24"/>
        </w:rPr>
        <w:t xml:space="preserve"> se intuye un fallo estructural en la operativa y regulación futura.</w:t>
      </w:r>
    </w:p>
    <w:p w:rsidR="008E7A82" w:rsidRPr="008E7A82" w:rsidRDefault="008E7A82" w:rsidP="00387350">
      <w:pPr>
        <w:spacing w:line="240" w:lineRule="auto"/>
        <w:jc w:val="both"/>
        <w:rPr>
          <w:rFonts w:ascii="Times New Roman" w:hAnsi="Times New Roman" w:cs="Times New Roman"/>
          <w:sz w:val="24"/>
          <w:szCs w:val="24"/>
        </w:rPr>
      </w:pPr>
      <w:r w:rsidRPr="008E7A82">
        <w:rPr>
          <w:rFonts w:ascii="Times New Roman" w:hAnsi="Times New Roman" w:cs="Times New Roman"/>
          <w:sz w:val="24"/>
          <w:szCs w:val="24"/>
        </w:rPr>
        <w:t xml:space="preserve">Todo parece claro, estos instrumentos sirven para traficar con información, para favorecer la opacidad del mercado, para discriminar entre unos inversores y otros, para impedir la trazabilidad cuando algo va mal… ¡Pongámosle freno! Es cierto que </w:t>
      </w:r>
      <w:hyperlink r:id="rId153" w:history="1">
        <w:r w:rsidRPr="008E7A82">
          <w:rPr>
            <w:rStyle w:val="Hipervnculo"/>
            <w:rFonts w:ascii="Times New Roman" w:hAnsi="Times New Roman" w:cs="Times New Roman"/>
            <w:color w:val="auto"/>
            <w:sz w:val="24"/>
            <w:szCs w:val="24"/>
            <w:u w:val="none"/>
          </w:rPr>
          <w:t>a los gestores de las bolsas tradicionales les encanta esta versión</w:t>
        </w:r>
      </w:hyperlink>
      <w:r w:rsidRPr="008E7A82">
        <w:rPr>
          <w:rFonts w:ascii="Times New Roman" w:hAnsi="Times New Roman" w:cs="Times New Roman"/>
          <w:sz w:val="24"/>
          <w:szCs w:val="24"/>
        </w:rPr>
        <w:t xml:space="preserve"> y en algunos argumentos no les falta razón, pero desde luego no es la historia al completo. </w:t>
      </w:r>
      <w:r w:rsidRPr="008E7A82">
        <w:rPr>
          <w:rFonts w:ascii="Times New Roman" w:hAnsi="Times New Roman" w:cs="Times New Roman"/>
          <w:bCs/>
          <w:sz w:val="24"/>
          <w:szCs w:val="24"/>
        </w:rPr>
        <w:t>El mercado paralelo va mucho más allá y oculta una gran batalla interna entre las manos fuertes</w:t>
      </w:r>
      <w:r w:rsidRPr="008E7A82">
        <w:rPr>
          <w:rFonts w:ascii="Times New Roman" w:hAnsi="Times New Roman" w:cs="Times New Roman"/>
          <w:sz w:val="24"/>
          <w:szCs w:val="24"/>
        </w:rPr>
        <w:t>.</w:t>
      </w:r>
    </w:p>
    <w:p w:rsidR="008E7A82" w:rsidRPr="008E7A82" w:rsidRDefault="008E7A82" w:rsidP="00387350">
      <w:pPr>
        <w:spacing w:line="240" w:lineRule="auto"/>
        <w:jc w:val="both"/>
        <w:rPr>
          <w:rFonts w:ascii="Times New Roman" w:hAnsi="Times New Roman" w:cs="Times New Roman"/>
          <w:sz w:val="24"/>
          <w:szCs w:val="24"/>
        </w:rPr>
      </w:pPr>
      <w:r w:rsidRPr="008E7A82">
        <w:rPr>
          <w:rFonts w:ascii="Times New Roman" w:hAnsi="Times New Roman" w:cs="Times New Roman"/>
          <w:sz w:val="24"/>
          <w:szCs w:val="24"/>
        </w:rPr>
        <w:t>Nadie operaría en mercados no regulados, exponiendo información sensible con pocas garantías de seguridad, si no existiese una poderosa razón para ello</w:t>
      </w:r>
      <w:r w:rsidRPr="008E7A82">
        <w:rPr>
          <w:rFonts w:ascii="Times New Roman" w:hAnsi="Times New Roman" w:cs="Times New Roman"/>
          <w:bCs/>
          <w:sz w:val="24"/>
          <w:szCs w:val="24"/>
        </w:rPr>
        <w:t>. La gran ventaja de las “Dark Pools” es que permiten escapar a los inversores institucionales del “high frequency trading”</w:t>
      </w:r>
      <w:r w:rsidRPr="008E7A82">
        <w:rPr>
          <w:rFonts w:ascii="Times New Roman" w:hAnsi="Times New Roman" w:cs="Times New Roman"/>
          <w:sz w:val="24"/>
          <w:szCs w:val="24"/>
        </w:rPr>
        <w:t xml:space="preserve"> </w:t>
      </w:r>
      <w:r w:rsidRPr="008E7A82">
        <w:rPr>
          <w:rFonts w:ascii="Times New Roman" w:hAnsi="Times New Roman" w:cs="Times New Roman"/>
          <w:bCs/>
          <w:sz w:val="24"/>
          <w:szCs w:val="24"/>
        </w:rPr>
        <w:t>o HFT</w:t>
      </w:r>
      <w:r w:rsidRPr="008E7A82">
        <w:rPr>
          <w:rFonts w:ascii="Times New Roman" w:hAnsi="Times New Roman" w:cs="Times New Roman"/>
          <w:sz w:val="24"/>
          <w:szCs w:val="24"/>
        </w:rPr>
        <w:t xml:space="preserve">. ¿Creían que lo que buscaban las “manos fuertes” era sacar más </w:t>
      </w:r>
      <w:r w:rsidR="00CE3A47">
        <w:rPr>
          <w:rFonts w:ascii="Times New Roman" w:hAnsi="Times New Roman" w:cs="Times New Roman"/>
          <w:sz w:val="24"/>
          <w:szCs w:val="24"/>
        </w:rPr>
        <w:t>“</w:t>
      </w:r>
      <w:r w:rsidRPr="00CE3A47">
        <w:rPr>
          <w:rFonts w:ascii="Times New Roman" w:hAnsi="Times New Roman" w:cs="Times New Roman"/>
          <w:iCs/>
          <w:sz w:val="24"/>
          <w:szCs w:val="24"/>
        </w:rPr>
        <w:t>tajada</w:t>
      </w:r>
      <w:r w:rsidR="00CE3A47">
        <w:rPr>
          <w:rFonts w:ascii="Times New Roman" w:hAnsi="Times New Roman" w:cs="Times New Roman"/>
          <w:iCs/>
          <w:sz w:val="24"/>
          <w:szCs w:val="24"/>
        </w:rPr>
        <w:t>”</w:t>
      </w:r>
      <w:r w:rsidRPr="008E7A82">
        <w:rPr>
          <w:rFonts w:ascii="Times New Roman" w:hAnsi="Times New Roman" w:cs="Times New Roman"/>
          <w:sz w:val="24"/>
          <w:szCs w:val="24"/>
        </w:rPr>
        <w:t xml:space="preserve"> del pequeño inversor u ocultar posiciones ante la competencia? Pues no, el principal problema es que el HFT está diseñado para cazar “ballenas” o “manos fuertes”, cuando una decide invertir el HFT se adelanta comprando dicha acción barata y vendiéndola posteriormente más cara. El HFT da liquidez, sí, pero también se apropian de una rentabilidad que correspondería a otros.</w:t>
      </w:r>
    </w:p>
    <w:p w:rsidR="008E7A82" w:rsidRPr="003243ED" w:rsidRDefault="008E7A82" w:rsidP="00387350">
      <w:pPr>
        <w:pStyle w:val="NormalWeb"/>
        <w:jc w:val="both"/>
      </w:pPr>
      <w:r w:rsidRPr="008E7A82">
        <w:t>Si las “Dark Pools” han pasado del 3% al 15% del mercado en unos 5 años es simplemente porque el HFT ha “hackeado” el mercado convirtiéndose en dueño y señor del mismo, contando actualmente con un 50% del volumen</w:t>
      </w:r>
      <w:r>
        <w:t>”..</w:t>
      </w:r>
      <w:r w:rsidRPr="008E7A82">
        <w:rPr>
          <w:bCs/>
        </w:rPr>
        <w:t>.</w:t>
      </w:r>
      <w:r>
        <w:rPr>
          <w:bCs/>
        </w:rPr>
        <w:t xml:space="preserve"> </w:t>
      </w:r>
      <w:r>
        <w:rPr>
          <w:u w:val="single"/>
        </w:rPr>
        <w:t>“Dark pools”</w:t>
      </w:r>
      <w:r w:rsidRPr="003243ED">
        <w:rPr>
          <w:u w:val="single"/>
        </w:rPr>
        <w:t>: el mercado paralelo de las manos fuertes</w:t>
      </w:r>
      <w:r>
        <w:t xml:space="preserve"> (El Confidencial - </w:t>
      </w:r>
      <w:r w:rsidRPr="003243ED">
        <w:rPr>
          <w:b/>
        </w:rPr>
        <w:t>6/5/13</w:t>
      </w:r>
      <w:r>
        <w:t>)</w:t>
      </w:r>
    </w:p>
    <w:p w:rsidR="008E7A82" w:rsidRPr="008E7A82" w:rsidRDefault="008E7A82" w:rsidP="00387350">
      <w:pPr>
        <w:pStyle w:val="entradilla2"/>
        <w:shd w:val="clear" w:color="auto" w:fill="FFFFFF"/>
        <w:spacing w:line="240" w:lineRule="auto"/>
        <w:jc w:val="both"/>
        <w:rPr>
          <w:color w:val="auto"/>
          <w:sz w:val="24"/>
          <w:szCs w:val="24"/>
        </w:rPr>
      </w:pPr>
      <w:r>
        <w:rPr>
          <w:color w:val="auto"/>
          <w:sz w:val="24"/>
          <w:szCs w:val="24"/>
        </w:rPr>
        <w:t>“</w:t>
      </w:r>
      <w:r w:rsidRPr="008E7A82">
        <w:rPr>
          <w:color w:val="auto"/>
          <w:sz w:val="24"/>
          <w:szCs w:val="24"/>
        </w:rPr>
        <w:t>Hay once millones de personas en todo el mundo que tienen más de un millón de dólares. 144.600 de ellos están en España. La crisis no ha mermado el número de</w:t>
      </w:r>
      <w:r w:rsidRPr="008E7A82">
        <w:rPr>
          <w:rStyle w:val="Textoennegrita"/>
          <w:color w:val="auto"/>
          <w:sz w:val="24"/>
          <w:szCs w:val="24"/>
        </w:rPr>
        <w:t xml:space="preserve"> </w:t>
      </w:r>
      <w:r w:rsidRPr="008E7A82">
        <w:rPr>
          <w:rStyle w:val="Textoennegrita"/>
          <w:b w:val="0"/>
          <w:color w:val="auto"/>
          <w:sz w:val="24"/>
          <w:szCs w:val="24"/>
        </w:rPr>
        <w:t>ricos en el mundo</w:t>
      </w:r>
      <w:r w:rsidRPr="008E7A82">
        <w:rPr>
          <w:color w:val="auto"/>
          <w:sz w:val="24"/>
          <w:szCs w:val="24"/>
        </w:rPr>
        <w:t xml:space="preserve">. </w:t>
      </w:r>
      <w:r w:rsidRPr="008E7A82">
        <w:rPr>
          <w:b/>
          <w:color w:val="auto"/>
          <w:sz w:val="24"/>
          <w:szCs w:val="24"/>
        </w:rPr>
        <w:t xml:space="preserve">Los </w:t>
      </w:r>
      <w:r w:rsidRPr="008E7A82">
        <w:rPr>
          <w:rStyle w:val="Textoennegrita"/>
          <w:b w:val="0"/>
          <w:color w:val="auto"/>
          <w:sz w:val="24"/>
          <w:szCs w:val="24"/>
        </w:rPr>
        <w:t>millonarios</w:t>
      </w:r>
      <w:r w:rsidRPr="008E7A82">
        <w:rPr>
          <w:rStyle w:val="Textoennegrita"/>
          <w:color w:val="auto"/>
          <w:sz w:val="24"/>
          <w:szCs w:val="24"/>
        </w:rPr>
        <w:t xml:space="preserve"> </w:t>
      </w:r>
      <w:r w:rsidRPr="008E7A82">
        <w:rPr>
          <w:color w:val="auto"/>
          <w:sz w:val="24"/>
          <w:szCs w:val="24"/>
        </w:rPr>
        <w:t>continúan en aumento a pesar de las dificultades económicas que atraviesan la mayoría de los países.</w:t>
      </w:r>
    </w:p>
    <w:p w:rsidR="008E7A82" w:rsidRPr="008E7A82" w:rsidRDefault="008E7A82" w:rsidP="00387350">
      <w:pPr>
        <w:shd w:val="clear" w:color="auto" w:fill="FFFFFF"/>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el informe anual de la </w:t>
      </w:r>
      <w:r w:rsidRPr="00CE3A47">
        <w:rPr>
          <w:rFonts w:ascii="Times New Roman" w:hAnsi="Times New Roman" w:cs="Times New Roman"/>
          <w:i/>
          <w:sz w:val="24"/>
          <w:szCs w:val="24"/>
        </w:rPr>
        <w:t>“Riqueza en el Mundo de 2013”</w:t>
      </w:r>
      <w:r w:rsidRPr="008E7A82">
        <w:rPr>
          <w:rFonts w:ascii="Times New Roman" w:hAnsi="Times New Roman" w:cs="Times New Roman"/>
          <w:sz w:val="24"/>
          <w:szCs w:val="24"/>
        </w:rPr>
        <w:t xml:space="preserve"> elaborado por</w:t>
      </w:r>
      <w:r w:rsidRPr="008E7A82">
        <w:rPr>
          <w:rStyle w:val="nfasis"/>
          <w:rFonts w:ascii="Times New Roman" w:hAnsi="Times New Roman" w:cs="Times New Roman"/>
          <w:sz w:val="24"/>
          <w:szCs w:val="24"/>
        </w:rPr>
        <w:t xml:space="preserve"> </w:t>
      </w:r>
      <w:r w:rsidRPr="006828ED">
        <w:rPr>
          <w:rStyle w:val="nfasis"/>
          <w:rFonts w:ascii="Times New Roman" w:hAnsi="Times New Roman" w:cs="Times New Roman"/>
          <w:i w:val="0"/>
          <w:sz w:val="24"/>
          <w:szCs w:val="24"/>
        </w:rPr>
        <w:t>RBC Wealth Management y Capgemini</w:t>
      </w:r>
      <w:r w:rsidRPr="008E7A82">
        <w:rPr>
          <w:rFonts w:ascii="Times New Roman" w:hAnsi="Times New Roman" w:cs="Times New Roman"/>
          <w:sz w:val="24"/>
          <w:szCs w:val="24"/>
        </w:rPr>
        <w:t>, a nivel global, la riqueza de los individuos con grandes patrimonios aumentó un 10% en 2012, hasta alcanzar la cifra récord de</w:t>
      </w:r>
      <w:r w:rsidRPr="008E7A82">
        <w:rPr>
          <w:rStyle w:val="Textoennegrita"/>
          <w:rFonts w:ascii="Times New Roman" w:hAnsi="Times New Roman" w:cs="Times New Roman"/>
          <w:sz w:val="24"/>
          <w:szCs w:val="24"/>
        </w:rPr>
        <w:t xml:space="preserve"> </w:t>
      </w:r>
      <w:r w:rsidRPr="008E7A82">
        <w:rPr>
          <w:rStyle w:val="Textoennegrita"/>
          <w:rFonts w:ascii="Times New Roman" w:hAnsi="Times New Roman" w:cs="Times New Roman"/>
          <w:b w:val="0"/>
          <w:sz w:val="24"/>
          <w:szCs w:val="24"/>
        </w:rPr>
        <w:t xml:space="preserve">46,2 </w:t>
      </w:r>
      <w:r w:rsidRPr="008E7A82">
        <w:rPr>
          <w:rStyle w:val="Textoennegrita"/>
          <w:rFonts w:ascii="Times New Roman" w:hAnsi="Times New Roman" w:cs="Times New Roman"/>
          <w:b w:val="0"/>
          <w:sz w:val="24"/>
          <w:szCs w:val="24"/>
        </w:rPr>
        <w:lastRenderedPageBreak/>
        <w:t>billones de dólares</w:t>
      </w:r>
      <w:r w:rsidRPr="008E7A82">
        <w:rPr>
          <w:rFonts w:ascii="Times New Roman" w:hAnsi="Times New Roman" w:cs="Times New Roman"/>
          <w:b/>
          <w:sz w:val="24"/>
          <w:szCs w:val="24"/>
        </w:rPr>
        <w:t xml:space="preserve"> </w:t>
      </w:r>
      <w:r w:rsidRPr="008E7A82">
        <w:rPr>
          <w:rFonts w:ascii="Times New Roman" w:hAnsi="Times New Roman" w:cs="Times New Roman"/>
          <w:sz w:val="24"/>
          <w:szCs w:val="24"/>
        </w:rPr>
        <w:t>(34,5 billones de euros), después de la caída del 1,7% del año anterior.</w:t>
      </w:r>
      <w:r w:rsidR="00AF18F3">
        <w:rPr>
          <w:rFonts w:ascii="Times New Roman" w:hAnsi="Times New Roman" w:cs="Times New Roman"/>
          <w:sz w:val="24"/>
          <w:szCs w:val="24"/>
        </w:rPr>
        <w:t xml:space="preserve"> </w:t>
      </w:r>
      <w:r w:rsidRPr="008E7A82">
        <w:rPr>
          <w:rFonts w:ascii="Times New Roman" w:hAnsi="Times New Roman" w:cs="Times New Roman"/>
          <w:sz w:val="24"/>
          <w:szCs w:val="24"/>
        </w:rPr>
        <w:t>De acuerdo con la decimoséptima edición del informe, un</w:t>
      </w:r>
      <w:r w:rsidRPr="008E7A82">
        <w:rPr>
          <w:rStyle w:val="Textoennegrita"/>
          <w:rFonts w:ascii="Times New Roman" w:hAnsi="Times New Roman" w:cs="Times New Roman"/>
          <w:sz w:val="24"/>
          <w:szCs w:val="24"/>
        </w:rPr>
        <w:t xml:space="preserve"> </w:t>
      </w:r>
      <w:r w:rsidRPr="008E7A82">
        <w:rPr>
          <w:rStyle w:val="Textoennegrita"/>
          <w:rFonts w:ascii="Times New Roman" w:hAnsi="Times New Roman" w:cs="Times New Roman"/>
          <w:b w:val="0"/>
          <w:sz w:val="24"/>
          <w:szCs w:val="24"/>
        </w:rPr>
        <w:t>millón de personas</w:t>
      </w:r>
      <w:r w:rsidRPr="008E7A82">
        <w:rPr>
          <w:rStyle w:val="Textoennegrita"/>
          <w:rFonts w:ascii="Times New Roman" w:hAnsi="Times New Roman" w:cs="Times New Roman"/>
          <w:sz w:val="24"/>
          <w:szCs w:val="24"/>
        </w:rPr>
        <w:t xml:space="preserve"> </w:t>
      </w:r>
      <w:r w:rsidRPr="008E7A82">
        <w:rPr>
          <w:rFonts w:ascii="Times New Roman" w:hAnsi="Times New Roman" w:cs="Times New Roman"/>
          <w:sz w:val="24"/>
          <w:szCs w:val="24"/>
        </w:rPr>
        <w:t xml:space="preserve">se unieron a la población mundial de individuos con grandes patrimonios, hasta alcanzar los </w:t>
      </w:r>
      <w:r w:rsidRPr="008E7A82">
        <w:rPr>
          <w:rStyle w:val="Textoennegrita"/>
          <w:rFonts w:ascii="Times New Roman" w:hAnsi="Times New Roman" w:cs="Times New Roman"/>
          <w:b w:val="0"/>
          <w:sz w:val="24"/>
          <w:szCs w:val="24"/>
        </w:rPr>
        <w:t>12 millones</w:t>
      </w:r>
      <w:r w:rsidRPr="008E7A82">
        <w:rPr>
          <w:rFonts w:ascii="Times New Roman" w:hAnsi="Times New Roman" w:cs="Times New Roman"/>
          <w:b/>
          <w:sz w:val="24"/>
          <w:szCs w:val="24"/>
        </w:rPr>
        <w:t>,</w:t>
      </w:r>
      <w:r w:rsidRPr="008E7A82">
        <w:rPr>
          <w:rFonts w:ascii="Times New Roman" w:hAnsi="Times New Roman" w:cs="Times New Roman"/>
          <w:sz w:val="24"/>
          <w:szCs w:val="24"/>
        </w:rPr>
        <w:t xml:space="preserve"> lo que supone un aumento del 9,2%.</w:t>
      </w:r>
    </w:p>
    <w:p w:rsidR="008E7A82" w:rsidRPr="008E7A82" w:rsidRDefault="008E7A82" w:rsidP="00387350">
      <w:pPr>
        <w:shd w:val="clear" w:color="auto" w:fill="FFFFFF"/>
        <w:spacing w:after="0" w:line="240" w:lineRule="auto"/>
        <w:rPr>
          <w:rFonts w:ascii="Times New Roman" w:hAnsi="Times New Roman" w:cs="Times New Roman"/>
          <w:bCs/>
          <w:color w:val="000000"/>
          <w:sz w:val="24"/>
          <w:szCs w:val="24"/>
        </w:rPr>
      </w:pPr>
      <w:r w:rsidRPr="008E7A82">
        <w:rPr>
          <w:rFonts w:ascii="Times New Roman" w:hAnsi="Times New Roman" w:cs="Times New Roman"/>
          <w:sz w:val="24"/>
          <w:szCs w:val="24"/>
        </w:rPr>
        <w:t xml:space="preserve">Por regiones, </w:t>
      </w:r>
      <w:r w:rsidRPr="008E7A82">
        <w:rPr>
          <w:rStyle w:val="Textoennegrita"/>
          <w:rFonts w:ascii="Times New Roman" w:hAnsi="Times New Roman" w:cs="Times New Roman"/>
          <w:b w:val="0"/>
          <w:sz w:val="24"/>
          <w:szCs w:val="24"/>
        </w:rPr>
        <w:t>Norteaméric</w:t>
      </w:r>
      <w:r w:rsidRPr="008E7A82">
        <w:rPr>
          <w:rStyle w:val="Textoennegrita"/>
          <w:rFonts w:ascii="Times New Roman" w:hAnsi="Times New Roman" w:cs="Times New Roman"/>
          <w:sz w:val="24"/>
          <w:szCs w:val="24"/>
        </w:rPr>
        <w:t>a</w:t>
      </w:r>
      <w:r w:rsidRPr="008E7A82">
        <w:rPr>
          <w:rFonts w:ascii="Times New Roman" w:hAnsi="Times New Roman" w:cs="Times New Roman"/>
          <w:sz w:val="24"/>
          <w:szCs w:val="24"/>
        </w:rPr>
        <w:t xml:space="preserve">, que fue superada el pasado año por </w:t>
      </w:r>
      <w:r w:rsidRPr="008E7A82">
        <w:rPr>
          <w:rStyle w:val="Textoennegrita"/>
          <w:rFonts w:ascii="Times New Roman" w:hAnsi="Times New Roman" w:cs="Times New Roman"/>
          <w:b w:val="0"/>
          <w:sz w:val="24"/>
          <w:szCs w:val="24"/>
        </w:rPr>
        <w:t>Asia-Pacífico</w:t>
      </w:r>
      <w:r w:rsidRPr="008E7A82">
        <w:rPr>
          <w:rFonts w:ascii="Times New Roman" w:hAnsi="Times New Roman" w:cs="Times New Roman"/>
          <w:sz w:val="24"/>
          <w:szCs w:val="24"/>
        </w:rPr>
        <w:t>, recuperó su posición en 2012 y se sitúo como la región con mayor número de grandes fortunas.</w:t>
      </w:r>
      <w:r>
        <w:rPr>
          <w:rFonts w:ascii="Times New Roman" w:hAnsi="Times New Roman" w:cs="Times New Roman"/>
          <w:sz w:val="24"/>
          <w:szCs w:val="24"/>
        </w:rPr>
        <w:t xml:space="preserve">”… </w:t>
      </w:r>
      <w:r w:rsidRPr="008E7A82">
        <w:rPr>
          <w:rStyle w:val="titulo21"/>
          <w:rFonts w:ascii="Times New Roman" w:hAnsi="Times New Roman" w:cs="Times New Roman"/>
          <w:b w:val="0"/>
          <w:sz w:val="24"/>
          <w:szCs w:val="24"/>
          <w:u w:val="single"/>
        </w:rPr>
        <w:t>Ricos: ¿dónde están? ¿cuántos son?</w:t>
      </w:r>
      <w:r w:rsidRPr="008E7A82">
        <w:rPr>
          <w:rStyle w:val="titulo21"/>
          <w:rFonts w:ascii="Times New Roman" w:hAnsi="Times New Roman" w:cs="Times New Roman"/>
          <w:b w:val="0"/>
          <w:sz w:val="24"/>
          <w:szCs w:val="24"/>
        </w:rPr>
        <w:t xml:space="preserve"> (Negocios.com - </w:t>
      </w:r>
      <w:r w:rsidRPr="008E7A82">
        <w:rPr>
          <w:rStyle w:val="titulo21"/>
          <w:rFonts w:ascii="Times New Roman" w:hAnsi="Times New Roman" w:cs="Times New Roman"/>
          <w:sz w:val="24"/>
          <w:szCs w:val="24"/>
        </w:rPr>
        <w:t>26/6/13</w:t>
      </w:r>
      <w:r w:rsidRPr="008E7A82">
        <w:rPr>
          <w:rStyle w:val="titulo21"/>
          <w:rFonts w:ascii="Times New Roman" w:hAnsi="Times New Roman" w:cs="Times New Roman"/>
          <w:b w:val="0"/>
          <w:sz w:val="24"/>
          <w:szCs w:val="24"/>
        </w:rPr>
        <w:t>)</w:t>
      </w:r>
    </w:p>
    <w:p w:rsidR="008E7A82" w:rsidRPr="00AB5B13" w:rsidRDefault="008E7A82" w:rsidP="00387350">
      <w:pPr>
        <w:shd w:val="clear" w:color="auto" w:fill="FFFFFF"/>
        <w:spacing w:before="100" w:beforeAutospacing="1" w:after="100" w:afterAutospacing="1" w:line="240" w:lineRule="auto"/>
        <w:jc w:val="both"/>
        <w:rPr>
          <w:rFonts w:ascii="Times New Roman" w:hAnsi="Times New Roman" w:cs="Times New Roman"/>
          <w:sz w:val="24"/>
          <w:szCs w:val="24"/>
        </w:rPr>
      </w:pPr>
      <w:r w:rsidRPr="00AB5B13">
        <w:rPr>
          <w:rFonts w:ascii="Times New Roman" w:hAnsi="Times New Roman" w:cs="Times New Roman"/>
          <w:noProof/>
          <w:sz w:val="24"/>
          <w:szCs w:val="24"/>
          <w:lang w:eastAsia="es-ES"/>
        </w:rPr>
        <w:drawing>
          <wp:inline distT="0" distB="0" distL="0" distR="0" wp14:anchorId="1073DC5D" wp14:editId="47D987C5">
            <wp:extent cx="5515660" cy="1945843"/>
            <wp:effectExtent l="0" t="0" r="8890" b="0"/>
            <wp:docPr id="9" name="Imagen 9" descr="http://www.intereconomia.com/sites/default/files/imagecache/galeria_500/49791/cck_images/mil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intereconomia.com/sites/default/files/imagecache/galeria_500/49791/cck_images/millo.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516013" cy="1945968"/>
                    </a:xfrm>
                    <a:prstGeom prst="rect">
                      <a:avLst/>
                    </a:prstGeom>
                    <a:noFill/>
                    <a:ln>
                      <a:noFill/>
                    </a:ln>
                  </pic:spPr>
                </pic:pic>
              </a:graphicData>
            </a:graphic>
          </wp:inline>
        </w:drawing>
      </w:r>
    </w:p>
    <w:p w:rsidR="008E7A82" w:rsidRPr="0093491E" w:rsidRDefault="008E7A82" w:rsidP="00387350">
      <w:pPr>
        <w:shd w:val="clear" w:color="auto" w:fill="FFFFFF"/>
        <w:spacing w:before="100" w:beforeAutospacing="1" w:after="100" w:afterAutospacing="1" w:line="240" w:lineRule="auto"/>
        <w:jc w:val="both"/>
        <w:rPr>
          <w:rFonts w:ascii="Times New Roman" w:hAnsi="Times New Roman" w:cs="Times New Roman"/>
          <w:b/>
          <w:sz w:val="24"/>
          <w:szCs w:val="24"/>
        </w:rPr>
      </w:pPr>
      <w:r w:rsidRPr="00AB5B13">
        <w:rPr>
          <w:rFonts w:ascii="Times New Roman" w:hAnsi="Times New Roman" w:cs="Times New Roman"/>
          <w:sz w:val="24"/>
          <w:szCs w:val="24"/>
        </w:rPr>
        <w:t>En concreto, con una población de</w:t>
      </w:r>
      <w:r w:rsidRPr="00AB5B13">
        <w:rPr>
          <w:rStyle w:val="Textoennegrita"/>
          <w:rFonts w:ascii="Times New Roman" w:hAnsi="Times New Roman" w:cs="Times New Roman"/>
          <w:sz w:val="24"/>
          <w:szCs w:val="24"/>
        </w:rPr>
        <w:t xml:space="preserve"> </w:t>
      </w:r>
      <w:r w:rsidRPr="0093491E">
        <w:rPr>
          <w:rStyle w:val="Textoennegrita"/>
          <w:rFonts w:ascii="Times New Roman" w:hAnsi="Times New Roman" w:cs="Times New Roman"/>
          <w:b w:val="0"/>
          <w:sz w:val="24"/>
          <w:szCs w:val="24"/>
        </w:rPr>
        <w:t>3,73 millones</w:t>
      </w:r>
      <w:r w:rsidRPr="00AB5B13">
        <w:rPr>
          <w:rFonts w:ascii="Times New Roman" w:hAnsi="Times New Roman" w:cs="Times New Roman"/>
          <w:sz w:val="24"/>
          <w:szCs w:val="24"/>
        </w:rPr>
        <w:t xml:space="preserve"> de ciudadanos con grandes patrimonios, </w:t>
      </w:r>
      <w:r w:rsidRPr="0093491E">
        <w:rPr>
          <w:rStyle w:val="Textoennegrita"/>
          <w:rFonts w:ascii="Times New Roman" w:hAnsi="Times New Roman" w:cs="Times New Roman"/>
          <w:b w:val="0"/>
          <w:sz w:val="24"/>
          <w:szCs w:val="24"/>
        </w:rPr>
        <w:t>Norteamérica</w:t>
      </w:r>
      <w:r w:rsidRPr="00AB5B13">
        <w:rPr>
          <w:rStyle w:val="Textoennegrita"/>
          <w:rFonts w:ascii="Times New Roman" w:hAnsi="Times New Roman" w:cs="Times New Roman"/>
          <w:sz w:val="24"/>
          <w:szCs w:val="24"/>
        </w:rPr>
        <w:t xml:space="preserve"> </w:t>
      </w:r>
      <w:r w:rsidRPr="00AB5B13">
        <w:rPr>
          <w:rFonts w:ascii="Times New Roman" w:hAnsi="Times New Roman" w:cs="Times New Roman"/>
          <w:sz w:val="24"/>
          <w:szCs w:val="24"/>
        </w:rPr>
        <w:t xml:space="preserve">superó a </w:t>
      </w:r>
      <w:r w:rsidRPr="0093491E">
        <w:rPr>
          <w:rStyle w:val="Textoennegrita"/>
          <w:rFonts w:ascii="Times New Roman" w:hAnsi="Times New Roman" w:cs="Times New Roman"/>
          <w:b w:val="0"/>
          <w:sz w:val="24"/>
          <w:szCs w:val="24"/>
        </w:rPr>
        <w:t>Asia-Pacífico</w:t>
      </w:r>
      <w:r w:rsidRPr="00AB5B13">
        <w:rPr>
          <w:rFonts w:ascii="Times New Roman" w:hAnsi="Times New Roman" w:cs="Times New Roman"/>
          <w:sz w:val="24"/>
          <w:szCs w:val="24"/>
        </w:rPr>
        <w:t xml:space="preserve">, que alcanzó los </w:t>
      </w:r>
      <w:r w:rsidRPr="0093491E">
        <w:rPr>
          <w:rStyle w:val="Textoennegrita"/>
          <w:rFonts w:ascii="Times New Roman" w:hAnsi="Times New Roman" w:cs="Times New Roman"/>
          <w:b w:val="0"/>
          <w:sz w:val="24"/>
          <w:szCs w:val="24"/>
        </w:rPr>
        <w:t>3,68 millones</w:t>
      </w:r>
      <w:r w:rsidRPr="00AB5B13">
        <w:rPr>
          <w:rStyle w:val="Textoennegrita"/>
          <w:rFonts w:ascii="Times New Roman" w:hAnsi="Times New Roman" w:cs="Times New Roman"/>
          <w:sz w:val="24"/>
          <w:szCs w:val="24"/>
        </w:rPr>
        <w:t xml:space="preserve"> </w:t>
      </w:r>
      <w:r w:rsidRPr="00AB5B13">
        <w:rPr>
          <w:rFonts w:ascii="Times New Roman" w:hAnsi="Times New Roman" w:cs="Times New Roman"/>
          <w:sz w:val="24"/>
          <w:szCs w:val="24"/>
        </w:rPr>
        <w:t>de individuos ricos, mientras que su volumen de riqueza se situó en 12,7 billones de dólares (9,48 billones de euros), por encima de los 12 billones de dólares (8,95 billones de euros) en la región</w:t>
      </w:r>
      <w:r w:rsidRPr="00AB5B13">
        <w:rPr>
          <w:rStyle w:val="Textoennegrita"/>
          <w:rFonts w:ascii="Times New Roman" w:hAnsi="Times New Roman" w:cs="Times New Roman"/>
          <w:sz w:val="24"/>
          <w:szCs w:val="24"/>
        </w:rPr>
        <w:t xml:space="preserve"> </w:t>
      </w:r>
      <w:r w:rsidRPr="0093491E">
        <w:rPr>
          <w:rStyle w:val="Textoennegrita"/>
          <w:rFonts w:ascii="Times New Roman" w:hAnsi="Times New Roman" w:cs="Times New Roman"/>
          <w:b w:val="0"/>
          <w:sz w:val="24"/>
          <w:szCs w:val="24"/>
        </w:rPr>
        <w:t>Asia-Pacífico</w:t>
      </w:r>
      <w:r w:rsidRPr="0093491E">
        <w:rPr>
          <w:rFonts w:ascii="Times New Roman" w:hAnsi="Times New Roman" w:cs="Times New Roman"/>
          <w:b/>
          <w:sz w:val="24"/>
          <w:szCs w:val="24"/>
        </w:rPr>
        <w:t>.</w:t>
      </w:r>
    </w:p>
    <w:p w:rsidR="008E7A82" w:rsidRDefault="008E7A82" w:rsidP="00387350">
      <w:pPr>
        <w:spacing w:line="240" w:lineRule="auto"/>
        <w:jc w:val="both"/>
        <w:rPr>
          <w:rFonts w:ascii="Times New Roman" w:hAnsi="Times New Roman" w:cs="Times New Roman"/>
          <w:sz w:val="24"/>
          <w:szCs w:val="24"/>
        </w:rPr>
      </w:pPr>
      <w:r w:rsidRPr="00AB5B13">
        <w:rPr>
          <w:rFonts w:ascii="Times New Roman" w:hAnsi="Times New Roman" w:cs="Times New Roman"/>
          <w:noProof/>
          <w:sz w:val="24"/>
          <w:szCs w:val="24"/>
          <w:lang w:eastAsia="es-ES"/>
        </w:rPr>
        <w:drawing>
          <wp:inline distT="0" distB="0" distL="0" distR="0" wp14:anchorId="7F3A5BF1" wp14:editId="7CE62269">
            <wp:extent cx="5390889" cy="2889504"/>
            <wp:effectExtent l="0" t="0" r="635" b="6350"/>
            <wp:docPr id="122" name="Imagen 122" descr="http://www.intereconomia.com/sites/default/files/imagecache/galeria_500/49791/cck_images/millonari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ntereconomia.com/sites/default/files/imagecache/galeria_500/49791/cck_images/millonarios2.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00040" cy="2894409"/>
                    </a:xfrm>
                    <a:prstGeom prst="rect">
                      <a:avLst/>
                    </a:prstGeom>
                    <a:noFill/>
                    <a:ln>
                      <a:noFill/>
                    </a:ln>
                  </pic:spPr>
                </pic:pic>
              </a:graphicData>
            </a:graphic>
          </wp:inline>
        </w:drawing>
      </w:r>
    </w:p>
    <w:p w:rsidR="00AF18F3" w:rsidRPr="00AF18F3" w:rsidRDefault="00AF18F3" w:rsidP="00387350">
      <w:pPr>
        <w:pStyle w:val="NormalWeb"/>
        <w:shd w:val="clear" w:color="auto" w:fill="FFFFFF"/>
        <w:jc w:val="both"/>
      </w:pPr>
      <w:r w:rsidRPr="00AF18F3">
        <w:t>Casi cinco años después de la peor crisis financiera desde el decenio de 1930 y tres años después de la promulgación de las reformas financieras Dodd-Frank en los Estados Unidos, todo el mundo se hace una pregunta: ¿por qué hemos logrado tan pocos avances?</w:t>
      </w:r>
    </w:p>
    <w:p w:rsidR="00AF18F3" w:rsidRPr="00AF18F3" w:rsidRDefault="00AF18F3" w:rsidP="00387350">
      <w:pPr>
        <w:pStyle w:val="NormalWeb"/>
        <w:shd w:val="clear" w:color="auto" w:fill="FFFFFF"/>
        <w:jc w:val="both"/>
      </w:pPr>
      <w:r w:rsidRPr="00AF18F3">
        <w:lastRenderedPageBreak/>
        <w:t>Se han prometido nuevas normas, pero se han aplicado muy pocas en realidad. Aún no hay una “norma de Volcker” (que limite las operaciones de los bancos por cuenta propia), las normas sobre los derivados siguen en preparación y los fondos de inversión en el mercado monetario continúan sin haber sido reformados. Peor aún: nuestros bancos más grandes se han vuelto aún mayores. No hay señal de que hayan abandonado la estructura de incentivos que fomenta la adopción de medidas excesivamente arriesgadas y las grandes distorsiones provocadas por el principio de “demasiado grande para quebrar” se ciernen sobre muchas economías…</w:t>
      </w:r>
    </w:p>
    <w:p w:rsidR="00AF18F3" w:rsidRDefault="00AF18F3" w:rsidP="00387350">
      <w:pPr>
        <w:pStyle w:val="NormalWeb"/>
        <w:shd w:val="clear" w:color="auto" w:fill="FFFFFF"/>
        <w:jc w:val="both"/>
      </w:pPr>
      <w:r w:rsidRPr="00AF18F3">
        <w:t>Nos falta la última explicación: los encargados de la reforma financiera no querían en realidad lograr avances rápidos. Tanto en los Estados Unidos como en Europa, los dirigentes gubernamentales son presa de un pánico primordial: el de que sus economías vuelvan a deslizarse hasta la recesión... o algo peor. Los bancos grandes juegan con ese miedo, al sostener que la reforma financiera hará que dejen de ser rentables y les impida conceder préstamos o que haya alguna otra consecuencia nefasta e involuntaria. Ha habido una auténtica avalancha de cabildeo a ese respecto, a consecuencia de lo cual los altos funcionarios avanzan despacio por miedo a dañar la economía”...</w:t>
      </w:r>
      <w:r>
        <w:t xml:space="preserve"> </w:t>
      </w:r>
      <w:r w:rsidRPr="009A5997">
        <w:rPr>
          <w:u w:val="single"/>
        </w:rPr>
        <w:t>El factor miedo en la reformas bancaria</w:t>
      </w:r>
      <w:r>
        <w:t xml:space="preserve"> (Project Syndicate - </w:t>
      </w:r>
      <w:r w:rsidRPr="009A5997">
        <w:rPr>
          <w:b/>
        </w:rPr>
        <w:t>25/7/13</w:t>
      </w:r>
      <w:r>
        <w:t xml:space="preserve">) </w:t>
      </w:r>
    </w:p>
    <w:p w:rsidR="00AF18F3" w:rsidRPr="00AF18F3" w:rsidRDefault="00AF18F3" w:rsidP="00387350">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AF18F3">
        <w:rPr>
          <w:rFonts w:ascii="Times New Roman" w:eastAsia="Times New Roman" w:hAnsi="Times New Roman" w:cs="Times New Roman"/>
          <w:sz w:val="24"/>
          <w:szCs w:val="24"/>
        </w:rPr>
        <w:t>Es el mercado de los mercados. El que abre en la noche del domingo y no baja la persiana hasta la noche del viernes. El más global de todos. El más líquido del mundo. Y más tras conocer las últimas estadísticas que acaba de publicar el Banco Internacional de Pagos (BIS). Cada tres años, este organismo realiza una encuesta para analizar la negociación del mercado de divisas. Y hoy ha anunciado los resultados preliminares, que arrojan como principal referencia que el mercado de divisas negocia cada día 5,3 billones de dólares -unos 4,03 billones de euros, al cambio actual-, 1,3 billones más que en 2010 y 2 billones más que en 2007. O lo que es lo mismo, en solo 6 horas de actividad ve circular tanto dinero como el que es capaz de generar la economía española -el PIB- en todo un año. </w:t>
      </w:r>
    </w:p>
    <w:p w:rsidR="00AF18F3" w:rsidRDefault="00AF18F3" w:rsidP="00387350">
      <w:pPr>
        <w:spacing w:line="240" w:lineRule="auto"/>
        <w:jc w:val="both"/>
        <w:rPr>
          <w:rFonts w:ascii="Times New Roman" w:hAnsi="Times New Roman" w:cs="Times New Roman"/>
          <w:sz w:val="24"/>
          <w:szCs w:val="24"/>
        </w:rPr>
      </w:pPr>
      <w:r w:rsidRPr="00AF18F3">
        <w:rPr>
          <w:rFonts w:ascii="Times New Roman" w:eastAsia="Times New Roman" w:hAnsi="Times New Roman" w:cs="Times New Roman"/>
          <w:sz w:val="24"/>
          <w:szCs w:val="24"/>
        </w:rPr>
        <w:t xml:space="preserve">Esta última remesa de datos, cuyos resultados definitivos se publicarán el 9 de diciembre, confirman a su vez que </w:t>
      </w:r>
      <w:r w:rsidRPr="00AF18F3">
        <w:rPr>
          <w:rFonts w:ascii="Times New Roman" w:eastAsia="Times New Roman" w:hAnsi="Times New Roman" w:cs="Times New Roman"/>
          <w:bCs/>
          <w:sz w:val="24"/>
          <w:szCs w:val="24"/>
        </w:rPr>
        <w:t>el dólar continúa siendo el rey indiscutible del mercado de divisas</w:t>
      </w:r>
      <w:r w:rsidRPr="00AF18F3">
        <w:rPr>
          <w:rFonts w:ascii="Times New Roman" w:eastAsia="Times New Roman" w:hAnsi="Times New Roman" w:cs="Times New Roman"/>
          <w:sz w:val="24"/>
          <w:szCs w:val="24"/>
        </w:rPr>
        <w:t xml:space="preserve">, puesto que está presente en el 87% de las transacciones, por encima del 84,9% de 2010. </w:t>
      </w:r>
      <w:r w:rsidRPr="00AF18F3">
        <w:rPr>
          <w:rFonts w:ascii="Times New Roman" w:eastAsia="Times New Roman" w:hAnsi="Times New Roman" w:cs="Times New Roman"/>
          <w:bCs/>
          <w:sz w:val="24"/>
          <w:szCs w:val="24"/>
        </w:rPr>
        <w:t>A mucha distancia le sigue el euro</w:t>
      </w:r>
      <w:r w:rsidRPr="00AF18F3">
        <w:rPr>
          <w:rFonts w:ascii="Times New Roman" w:eastAsia="Times New Roman" w:hAnsi="Times New Roman" w:cs="Times New Roman"/>
          <w:sz w:val="24"/>
          <w:szCs w:val="24"/>
        </w:rPr>
        <w:t xml:space="preserve">, al que la crisis de la deuda soberana y la incertidumbre sobre su futuro en los momentos de mayor tensión ha pasado factura. Si hace tres años participaba en el 39,1% de las operaciones ahora su presencia se ve reducida hasta el 33,4%, que representa de hecho el peso más bajo desde el nacimiento de la </w:t>
      </w:r>
      <w:r w:rsidR="004D13CE">
        <w:rPr>
          <w:rFonts w:ascii="Times New Roman" w:eastAsia="Times New Roman" w:hAnsi="Times New Roman" w:cs="Times New Roman"/>
          <w:sz w:val="24"/>
          <w:szCs w:val="24"/>
        </w:rPr>
        <w:t>“</w:t>
      </w:r>
      <w:r w:rsidRPr="004D13CE">
        <w:rPr>
          <w:rFonts w:ascii="Times New Roman" w:eastAsia="Times New Roman" w:hAnsi="Times New Roman" w:cs="Times New Roman"/>
          <w:iCs/>
          <w:sz w:val="24"/>
          <w:szCs w:val="24"/>
        </w:rPr>
        <w:t>moneda única</w:t>
      </w:r>
      <w:r w:rsidR="004D13CE">
        <w:rPr>
          <w:rFonts w:ascii="Times New Roman" w:eastAsia="Times New Roman" w:hAnsi="Times New Roman" w:cs="Times New Roman"/>
          <w:iCs/>
          <w:sz w:val="24"/>
          <w:szCs w:val="24"/>
        </w:rPr>
        <w:t>”</w:t>
      </w:r>
      <w:r w:rsidRPr="00AF18F3">
        <w:rPr>
          <w:rFonts w:ascii="Times New Roman" w:eastAsia="Times New Roman" w:hAnsi="Times New Roman" w:cs="Times New Roman"/>
          <w:sz w:val="24"/>
          <w:szCs w:val="24"/>
        </w:rPr>
        <w:t xml:space="preserve"> en 1999. </w:t>
      </w:r>
      <w:r w:rsidRPr="00AF18F3">
        <w:rPr>
          <w:rFonts w:ascii="Times New Roman" w:eastAsia="Times New Roman" w:hAnsi="Times New Roman" w:cs="Times New Roman"/>
          <w:bCs/>
          <w:sz w:val="24"/>
          <w:szCs w:val="24"/>
        </w:rPr>
        <w:t>El yen japonés completa el pódium</w:t>
      </w:r>
      <w:r w:rsidRPr="00AF18F3">
        <w:rPr>
          <w:rFonts w:ascii="Times New Roman" w:eastAsia="Times New Roman" w:hAnsi="Times New Roman" w:cs="Times New Roman"/>
          <w:sz w:val="24"/>
          <w:szCs w:val="24"/>
        </w:rPr>
        <w:t>, y además con una progresión ascendente, al figurar en el 23% de las transacciones, frente al 19% de 2010</w:t>
      </w:r>
      <w:r>
        <w:rPr>
          <w:rFonts w:ascii="Times New Roman" w:eastAsia="Times New Roman" w:hAnsi="Times New Roman" w:cs="Times New Roman"/>
          <w:sz w:val="24"/>
          <w:szCs w:val="24"/>
        </w:rPr>
        <w:t>”..</w:t>
      </w:r>
      <w:r w:rsidRPr="00AF18F3">
        <w:rPr>
          <w:rFonts w:ascii="Times New Roman" w:eastAsia="Times New Roman" w:hAnsi="Times New Roman" w:cs="Times New Roman"/>
          <w:sz w:val="24"/>
          <w:szCs w:val="24"/>
        </w:rPr>
        <w:t>. </w:t>
      </w:r>
      <w:r w:rsidRPr="008511C9">
        <w:rPr>
          <w:rFonts w:ascii="Times New Roman" w:hAnsi="Times New Roman" w:cs="Times New Roman"/>
          <w:sz w:val="24"/>
          <w:szCs w:val="24"/>
          <w:u w:val="single"/>
        </w:rPr>
        <w:t>El mercado de divisas negocia en 6 horas todo lo que España produce en un año</w:t>
      </w:r>
      <w:r>
        <w:rPr>
          <w:rFonts w:ascii="Times New Roman" w:hAnsi="Times New Roman" w:cs="Times New Roman"/>
          <w:sz w:val="24"/>
          <w:szCs w:val="24"/>
        </w:rPr>
        <w:t xml:space="preserve"> (El Confidencial - </w:t>
      </w:r>
      <w:r>
        <w:rPr>
          <w:rFonts w:ascii="Times New Roman" w:hAnsi="Times New Roman" w:cs="Times New Roman"/>
          <w:b/>
          <w:sz w:val="24"/>
          <w:szCs w:val="24"/>
        </w:rPr>
        <w:t>5</w:t>
      </w:r>
      <w:r w:rsidRPr="008511C9">
        <w:rPr>
          <w:rFonts w:ascii="Times New Roman" w:hAnsi="Times New Roman" w:cs="Times New Roman"/>
          <w:b/>
          <w:sz w:val="24"/>
          <w:szCs w:val="24"/>
        </w:rPr>
        <w:t>/9/13</w:t>
      </w:r>
      <w:r>
        <w:rPr>
          <w:rFonts w:ascii="Times New Roman" w:hAnsi="Times New Roman" w:cs="Times New Roman"/>
          <w:sz w:val="24"/>
          <w:szCs w:val="24"/>
        </w:rPr>
        <w:t>)</w:t>
      </w:r>
    </w:p>
    <w:p w:rsidR="00AF18F3" w:rsidRPr="00AF18F3" w:rsidRDefault="00AF18F3" w:rsidP="00387350">
      <w:pPr>
        <w:pStyle w:val="NormalWeb"/>
        <w:jc w:val="both"/>
      </w:pPr>
      <w:r>
        <w:t>“</w:t>
      </w:r>
      <w:r w:rsidRPr="00AF18F3">
        <w:t>A cinco años del colapso de la banca de inversiones estadounidense Lehman Brothers, el mundo aún no ha resuelto el motivo fundamental de la subsiguiente crisis financiera: un exceso de deuda. Y por eso la recuperación económica ha avanzado mucho más lentamente de lo que cualquiera hubiera podido esperar (en algunos países, no ha llegado en absoluto).</w:t>
      </w:r>
    </w:p>
    <w:p w:rsidR="00AF18F3" w:rsidRPr="00AF18F3" w:rsidRDefault="00AF18F3" w:rsidP="00387350">
      <w:pPr>
        <w:pStyle w:val="NormalWeb"/>
        <w:jc w:val="both"/>
      </w:pPr>
      <w:r w:rsidRPr="00AF18F3">
        <w:t xml:space="preserve">La mayoría de los economistas, funcionarios de bancos centrales y reguladores no solo fueron incapaces de prever la crisis, sino que creyeron que la estabilidad financiera </w:t>
      </w:r>
      <w:r w:rsidRPr="00AF18F3">
        <w:lastRenderedPageBreak/>
        <w:t>estaba asegurada mientras la inflación fuese baja y estable. Y, una vez que la crisis inmediata fue contenida, no logramos prever lo doloroso de sus consecuencias.</w:t>
      </w:r>
    </w:p>
    <w:p w:rsidR="00AF18F3" w:rsidRPr="00AF18F3" w:rsidRDefault="00AF18F3" w:rsidP="00387350">
      <w:pPr>
        <w:pStyle w:val="NormalWeb"/>
        <w:jc w:val="both"/>
      </w:pPr>
      <w:r w:rsidRPr="00AF18F3">
        <w:t>Las previsiones oficiales de la primavera de 2009 no anticiparon ni una recuperación lenta ni que la crisis inicial, esencialmente confinada a Estados Unidos y al Reino Unido, rápidamente alimentaría una crisis en la zona del euro. Y las fuerzas del mercado ni se acercaron a predecir las tasas de interés cercanas a cero durante cinco años (y la situación aún continúa).</w:t>
      </w:r>
    </w:p>
    <w:p w:rsidR="00AF18F3" w:rsidRPr="004F6281" w:rsidRDefault="00AF18F3" w:rsidP="00387350">
      <w:pPr>
        <w:pStyle w:val="NormalWeb"/>
        <w:jc w:val="both"/>
      </w:pPr>
      <w:r w:rsidRPr="00AF18F3">
        <w:t>Uno de los motivos de esta falta de previsión fue la ciega admiración por la innovación financiera; otro fue la estructura inherentemente viciada de la zona del euro. Pero el motivo fundamental fue la incapacidad para entender que la elevada carga de la deuda, que aumentó incesantemente durante varias décadas -aún más en el sector privado que en el público- es una importante amenaza para la estabilidad económica</w:t>
      </w:r>
      <w:r>
        <w:t>”..</w:t>
      </w:r>
      <w:r w:rsidRPr="00AF18F3">
        <w:t>.</w:t>
      </w:r>
      <w:r>
        <w:t xml:space="preserve"> </w:t>
      </w:r>
      <w:r w:rsidRPr="004F6281">
        <w:rPr>
          <w:u w:val="single"/>
        </w:rPr>
        <w:t>El fracaso de las finanzas de libre mercado</w:t>
      </w:r>
      <w:r>
        <w:t xml:space="preserve"> (Project Syndicate - </w:t>
      </w:r>
      <w:r w:rsidRPr="004F6281">
        <w:rPr>
          <w:b/>
        </w:rPr>
        <w:t>4/9/13</w:t>
      </w:r>
      <w:r>
        <w:t xml:space="preserve">) </w:t>
      </w:r>
      <w:r w:rsidRPr="004F6281">
        <w:tab/>
      </w:r>
    </w:p>
    <w:p w:rsidR="00AF18F3" w:rsidRPr="008E3D8A" w:rsidRDefault="008E3D8A" w:rsidP="00387350">
      <w:pPr>
        <w:pStyle w:val="NormalWeb"/>
        <w:jc w:val="both"/>
      </w:pPr>
      <w:r w:rsidRPr="008E3D8A">
        <w:t>“</w:t>
      </w:r>
      <w:r w:rsidR="00AF18F3" w:rsidRPr="008E3D8A">
        <w:t xml:space="preserve">Seis años después de que estallara la crisis financiera en EEUU, parece que el sistema bancario está medianamente arreglado. Sin embargo, hay un gran peligro en la denominada </w:t>
      </w:r>
      <w:r w:rsidR="004D13CE">
        <w:t>“</w:t>
      </w:r>
      <w:r w:rsidR="00AF18F3" w:rsidRPr="004D13CE">
        <w:rPr>
          <w:iCs/>
        </w:rPr>
        <w:t>banca en la sombra</w:t>
      </w:r>
      <w:r w:rsidR="004D13CE">
        <w:rPr>
          <w:iCs/>
        </w:rPr>
        <w:t>”</w:t>
      </w:r>
      <w:r w:rsidR="00AF18F3" w:rsidRPr="008E3D8A">
        <w:t xml:space="preserve">: las prácticas financieras heterodoxas, utilizadas por la banca antes de la crisis y ahora abandonadas, han sido retomadas por otro tipo de establecimientos financieros, como </w:t>
      </w:r>
      <w:r w:rsidR="004D13CE">
        <w:t>“</w:t>
      </w:r>
      <w:r w:rsidR="00AF18F3" w:rsidRPr="004D13CE">
        <w:rPr>
          <w:iCs/>
        </w:rPr>
        <w:t>hedge funds</w:t>
      </w:r>
      <w:r w:rsidR="004D13CE">
        <w:rPr>
          <w:iCs/>
        </w:rPr>
        <w:t>”</w:t>
      </w:r>
      <w:r w:rsidR="00AF18F3" w:rsidRPr="008E3D8A">
        <w:rPr>
          <w:i/>
          <w:iCs/>
        </w:rPr>
        <w:t xml:space="preserve">. </w:t>
      </w:r>
      <w:r w:rsidR="00AF18F3" w:rsidRPr="008E3D8A">
        <w:t>Un sistema financiero paralelo, que está creciendo y puede suponer la próxima gran crisis…</w:t>
      </w:r>
    </w:p>
    <w:p w:rsidR="008E3D8A" w:rsidRPr="008E3D8A" w:rsidRDefault="008E3D8A" w:rsidP="00387350">
      <w:pPr>
        <w:pStyle w:val="NormalWeb"/>
        <w:jc w:val="both"/>
      </w:pPr>
      <w:r w:rsidRPr="008E3D8A">
        <w:t xml:space="preserve">Cinco años después de la quiebra de Lehman Brothers que desató el pánico mundial, estos bancos están reduciendo sus balances y abandonando estos mercados de crédito, traspasando cada vez más y más riesgo a estas firmas sin regular que conforman el </w:t>
      </w:r>
      <w:r w:rsidR="004D13CE">
        <w:t>“</w:t>
      </w:r>
      <w:r w:rsidRPr="004D13CE">
        <w:rPr>
          <w:iCs/>
        </w:rPr>
        <w:t>sector bancario en la sombra</w:t>
      </w:r>
      <w:r w:rsidR="004D13CE">
        <w:rPr>
          <w:iCs/>
        </w:rPr>
        <w:t>”</w:t>
      </w:r>
      <w:r w:rsidRPr="008E3D8A">
        <w:t>, con un volumen de 60 billones de dólares.</w:t>
      </w:r>
    </w:p>
    <w:p w:rsidR="008E3D8A" w:rsidRPr="008E3D8A" w:rsidRDefault="008E3D8A" w:rsidP="00387350">
      <w:pPr>
        <w:pStyle w:val="NormalWeb"/>
        <w:jc w:val="both"/>
      </w:pPr>
      <w:r w:rsidRPr="008E3D8A">
        <w:t xml:space="preserve">Esta banca en la sombra actúa de múltiples maneras, desde préstamos personales o webs de </w:t>
      </w:r>
      <w:r w:rsidR="004D13CE">
        <w:t>“</w:t>
      </w:r>
      <w:r w:rsidRPr="004D13CE">
        <w:rPr>
          <w:iCs/>
        </w:rPr>
        <w:t>crowfunding</w:t>
      </w:r>
      <w:r w:rsidR="004D13CE">
        <w:rPr>
          <w:iCs/>
        </w:rPr>
        <w:t>”</w:t>
      </w:r>
      <w:r w:rsidRPr="004D13CE">
        <w:t xml:space="preserve"> </w:t>
      </w:r>
      <w:r w:rsidRPr="008E3D8A">
        <w:t>hasta productos sofisticados titulizados, acuerdos de recompra (</w:t>
      </w:r>
      <w:r w:rsidR="004D13CE">
        <w:t>“</w:t>
      </w:r>
      <w:r w:rsidRPr="004D13CE">
        <w:rPr>
          <w:iCs/>
        </w:rPr>
        <w:t>repos</w:t>
      </w:r>
      <w:r w:rsidR="004D13CE">
        <w:rPr>
          <w:iCs/>
        </w:rPr>
        <w:t>”</w:t>
      </w:r>
      <w:r w:rsidRPr="008E3D8A">
        <w:t>) y fondos en los mercados monetarios. Abarca, por lo tanto, desde inversiones sofisticadas en Wall Street hasta crédito para el ciudadano corriente. </w:t>
      </w:r>
    </w:p>
    <w:p w:rsidR="008E3D8A" w:rsidRPr="008E3D8A" w:rsidRDefault="008E3D8A" w:rsidP="00387350">
      <w:pPr>
        <w:pStyle w:val="NormalWeb"/>
        <w:jc w:val="both"/>
      </w:pPr>
      <w:r w:rsidRPr="008E3D8A">
        <w:t xml:space="preserve">Habitualmente, los reguladores bancarios han prestado poca atención a este sector, pero la caída de Lehman mostró como este </w:t>
      </w:r>
      <w:r w:rsidR="004D13CE">
        <w:t>“</w:t>
      </w:r>
      <w:r w:rsidRPr="004D13CE">
        <w:rPr>
          <w:iCs/>
        </w:rPr>
        <w:t>shadow banking</w:t>
      </w:r>
      <w:r w:rsidR="004D13CE">
        <w:rPr>
          <w:iCs/>
        </w:rPr>
        <w:t>”</w:t>
      </w:r>
      <w:r w:rsidRPr="008E3D8A">
        <w:t xml:space="preserve"> intensificó los problemas, ya que se secaron los mercados monetarios y los de repos, provocando que bancos de inversión y empresas tuvieran problemas para financiarse. El sector financiero, tras años intentando evitar cualquier tipo de regulación, empezó a mendigar rescates públicos. </w:t>
      </w:r>
    </w:p>
    <w:p w:rsidR="008E3D8A" w:rsidRDefault="008E3D8A" w:rsidP="00387350">
      <w:pPr>
        <w:pStyle w:val="NormalWeb"/>
        <w:jc w:val="both"/>
      </w:pPr>
      <w:r w:rsidRPr="008E3D8A">
        <w:t xml:space="preserve">Los reguladores reconocen que deben arreglar también el </w:t>
      </w:r>
      <w:r w:rsidR="004D13CE">
        <w:t>“</w:t>
      </w:r>
      <w:r w:rsidRPr="004D13CE">
        <w:rPr>
          <w:iCs/>
        </w:rPr>
        <w:t>sector bancario en la sombra</w:t>
      </w:r>
      <w:r w:rsidR="004D13CE">
        <w:rPr>
          <w:iCs/>
        </w:rPr>
        <w:t>”</w:t>
      </w:r>
      <w:r w:rsidRPr="008E3D8A">
        <w:t xml:space="preserve"> como parte de la reforma global del sistema financiero. Pero apenas se han logrado progresos, a diferencia del sector bancario tradicional. Y peor aún, precisamente por ello, </w:t>
      </w:r>
      <w:r w:rsidRPr="008E3D8A">
        <w:rPr>
          <w:bCs/>
        </w:rPr>
        <w:t>este sector financiero en la sombra está creciendo cada día más, lo que podría estar sembrando la semilla de la próxima crisis financiera”…</w:t>
      </w:r>
      <w:r w:rsidRPr="008E3D8A">
        <w:rPr>
          <w:b/>
          <w:bCs/>
        </w:rPr>
        <w:t xml:space="preserve"> </w:t>
      </w:r>
      <w:r w:rsidRPr="008E3D8A">
        <w:rPr>
          <w:u w:val="single"/>
        </w:rPr>
        <w:t>La semilla de la próxima crisis: el shadow banking, una “bomba” de 60 billones de dólares</w:t>
      </w:r>
      <w:r w:rsidRPr="008E3D8A">
        <w:t xml:space="preserve"> (El Economista - </w:t>
      </w:r>
      <w:r w:rsidRPr="008E3D8A">
        <w:rPr>
          <w:b/>
        </w:rPr>
        <w:t>12/9/13</w:t>
      </w:r>
      <w:r w:rsidRPr="008E3D8A">
        <w:t>)</w:t>
      </w:r>
    </w:p>
    <w:p w:rsidR="008E3D8A" w:rsidRPr="008E3D8A" w:rsidRDefault="008E3D8A" w:rsidP="00387350">
      <w:pPr>
        <w:pStyle w:val="NormalWeb"/>
        <w:jc w:val="both"/>
      </w:pPr>
      <w:r>
        <w:t>“</w:t>
      </w:r>
      <w:r w:rsidRPr="008E3D8A">
        <w:t>Hace cinco años la agencia de calificaciones Standard &amp; Poor’s mantuvo la cali</w:t>
      </w:r>
      <w:r>
        <w:t>ficación de grado de inversión “A”</w:t>
      </w:r>
      <w:r w:rsidRPr="008E3D8A">
        <w:t xml:space="preserve"> para Lehman Brothers hasta seis días antes de que colapsara. Moody’s esperó aún más: redujo la calificación de Lehman un día </w:t>
      </w:r>
      <w:r w:rsidRPr="008E3D8A">
        <w:lastRenderedPageBreak/>
        <w:t>laborable antes de su derrumbe. ¿Cómo es posible que repu</w:t>
      </w:r>
      <w:r>
        <w:t>tadas agencias de calificación -y bancos de inversión-</w:t>
      </w:r>
      <w:r w:rsidRPr="008E3D8A">
        <w:t xml:space="preserve"> se equivoquen tanto en sus evaluaciones?</w:t>
      </w:r>
    </w:p>
    <w:p w:rsidR="008E3D8A" w:rsidRPr="008E3D8A" w:rsidRDefault="008E3D8A" w:rsidP="00387350">
      <w:pPr>
        <w:spacing w:after="0" w:line="240" w:lineRule="auto"/>
        <w:jc w:val="both"/>
        <w:rPr>
          <w:rFonts w:ascii="Times New Roman" w:eastAsia="Times New Roman" w:hAnsi="Times New Roman" w:cs="Times New Roman"/>
          <w:sz w:val="24"/>
          <w:szCs w:val="24"/>
        </w:rPr>
      </w:pPr>
      <w:r w:rsidRPr="008E3D8A">
        <w:rPr>
          <w:rFonts w:ascii="Times New Roman" w:eastAsia="Times New Roman" w:hAnsi="Times New Roman" w:cs="Times New Roman"/>
          <w:sz w:val="24"/>
          <w:szCs w:val="24"/>
        </w:rPr>
        <w:t>Los reguladores, banqueros y agencias de calificación son en gran parte culpables de la crisis. Pero esta cuasidebacle no fue tanto un fracaso del capitalismo como un fracaso de la capacidad de los modelos económicos contemporáneos para comprender el rol y el funcionamien</w:t>
      </w:r>
      <w:r>
        <w:rPr>
          <w:rFonts w:ascii="Times New Roman" w:eastAsia="Times New Roman" w:hAnsi="Times New Roman" w:cs="Times New Roman"/>
          <w:sz w:val="24"/>
          <w:szCs w:val="24"/>
        </w:rPr>
        <w:t>to de los mercados financieros -</w:t>
      </w:r>
      <w:r w:rsidRPr="008E3D8A">
        <w:rPr>
          <w:rFonts w:ascii="Times New Roman" w:eastAsia="Times New Roman" w:hAnsi="Times New Roman" w:cs="Times New Roman"/>
          <w:sz w:val="24"/>
          <w:szCs w:val="24"/>
        </w:rPr>
        <w:t>y, en términos más amplios, la inest</w:t>
      </w:r>
      <w:r>
        <w:rPr>
          <w:rFonts w:ascii="Times New Roman" w:eastAsia="Times New Roman" w:hAnsi="Times New Roman" w:cs="Times New Roman"/>
          <w:sz w:val="24"/>
          <w:szCs w:val="24"/>
        </w:rPr>
        <w:t>abilidad-</w:t>
      </w:r>
      <w:r w:rsidRPr="008E3D8A">
        <w:rPr>
          <w:rFonts w:ascii="Times New Roman" w:eastAsia="Times New Roman" w:hAnsi="Times New Roman" w:cs="Times New Roman"/>
          <w:sz w:val="24"/>
          <w:szCs w:val="24"/>
        </w:rPr>
        <w:t xml:space="preserve"> en las economías capitalistas.</w:t>
      </w:r>
    </w:p>
    <w:p w:rsidR="008E3D8A" w:rsidRPr="008E3D8A" w:rsidRDefault="008E3D8A" w:rsidP="00387350">
      <w:pPr>
        <w:spacing w:after="0" w:line="240" w:lineRule="auto"/>
        <w:jc w:val="both"/>
        <w:rPr>
          <w:rFonts w:ascii="Times New Roman" w:eastAsia="Times New Roman" w:hAnsi="Times New Roman" w:cs="Times New Roman"/>
          <w:sz w:val="24"/>
          <w:szCs w:val="24"/>
        </w:rPr>
      </w:pPr>
    </w:p>
    <w:p w:rsidR="008E3D8A" w:rsidRPr="008E3D8A" w:rsidRDefault="008E3D8A" w:rsidP="00387350">
      <w:pPr>
        <w:spacing w:after="0" w:line="240" w:lineRule="auto"/>
        <w:jc w:val="both"/>
        <w:rPr>
          <w:rFonts w:ascii="Times New Roman" w:eastAsia="Times New Roman" w:hAnsi="Times New Roman" w:cs="Times New Roman"/>
          <w:sz w:val="24"/>
          <w:szCs w:val="24"/>
        </w:rPr>
      </w:pPr>
      <w:r w:rsidRPr="008E3D8A">
        <w:rPr>
          <w:rFonts w:ascii="Times New Roman" w:eastAsia="Times New Roman" w:hAnsi="Times New Roman" w:cs="Times New Roman"/>
          <w:sz w:val="24"/>
          <w:szCs w:val="24"/>
        </w:rPr>
        <w:t xml:space="preserve">Estos modelos apuntalaron con supuesta cientificidad decisiones de política e innovaciones financieras que aumentaron en </w:t>
      </w:r>
      <w:r w:rsidR="00E1029C">
        <w:rPr>
          <w:rFonts w:ascii="Times New Roman" w:eastAsia="Times New Roman" w:hAnsi="Times New Roman" w:cs="Times New Roman"/>
          <w:sz w:val="24"/>
          <w:szCs w:val="24"/>
        </w:rPr>
        <w:t>gran medida las probabilidades -y tal vez tornaron inevitable-</w:t>
      </w:r>
      <w:r w:rsidRPr="008E3D8A">
        <w:rPr>
          <w:rFonts w:ascii="Times New Roman" w:eastAsia="Times New Roman" w:hAnsi="Times New Roman" w:cs="Times New Roman"/>
          <w:sz w:val="24"/>
          <w:szCs w:val="24"/>
        </w:rPr>
        <w:t xml:space="preserve"> la peor crisis desde la Gran Depresión. Después del colapso de Lehman el expresidente de la Reserva Federal, Alan Greenspan, declaró ante el Con</w:t>
      </w:r>
      <w:r>
        <w:rPr>
          <w:rFonts w:ascii="Times New Roman" w:eastAsia="Times New Roman" w:hAnsi="Times New Roman" w:cs="Times New Roman"/>
          <w:sz w:val="24"/>
          <w:szCs w:val="24"/>
        </w:rPr>
        <w:t>greso estadounidense que había “encontrado un defecto”</w:t>
      </w:r>
      <w:r w:rsidRPr="008E3D8A">
        <w:rPr>
          <w:rFonts w:ascii="Times New Roman" w:eastAsia="Times New Roman" w:hAnsi="Times New Roman" w:cs="Times New Roman"/>
          <w:sz w:val="24"/>
          <w:szCs w:val="24"/>
        </w:rPr>
        <w:t xml:space="preserve"> en la ideología que propone que el interés personal protegería a la sociedad contra los excesos del sistema financiero. Pero el daño ya estaba hecho.</w:t>
      </w:r>
    </w:p>
    <w:p w:rsidR="008E3D8A" w:rsidRPr="008E3D8A" w:rsidRDefault="008E3D8A" w:rsidP="00387350">
      <w:pPr>
        <w:spacing w:after="0" w:line="240" w:lineRule="auto"/>
        <w:jc w:val="both"/>
        <w:rPr>
          <w:rFonts w:ascii="Times New Roman" w:eastAsia="Times New Roman" w:hAnsi="Times New Roman" w:cs="Times New Roman"/>
          <w:sz w:val="24"/>
          <w:szCs w:val="24"/>
        </w:rPr>
      </w:pPr>
    </w:p>
    <w:p w:rsidR="008E3D8A" w:rsidRPr="008E3D8A" w:rsidRDefault="008E3D8A" w:rsidP="00387350">
      <w:pPr>
        <w:spacing w:after="0" w:line="240" w:lineRule="auto"/>
        <w:jc w:val="both"/>
        <w:rPr>
          <w:rFonts w:ascii="Times New Roman" w:eastAsia="Times New Roman" w:hAnsi="Times New Roman" w:cs="Times New Roman"/>
          <w:sz w:val="24"/>
          <w:szCs w:val="24"/>
        </w:rPr>
      </w:pPr>
      <w:r w:rsidRPr="008E3D8A">
        <w:rPr>
          <w:rFonts w:ascii="Times New Roman" w:eastAsia="Times New Roman" w:hAnsi="Times New Roman" w:cs="Times New Roman"/>
          <w:sz w:val="24"/>
          <w:szCs w:val="24"/>
        </w:rPr>
        <w:t>El origen de esa doctrina puede encontrarse en la teoría económica dominante sobre las causas de la inestabilidad del precio de los activos, una teoría que para explicar las variaciones en el riesgo y el precio de los activos postula que el futuro se deriva mecánicamente del pasado. Los modelos mecánicos de los economistas contemporáneos implican que quienes participan en el mercado y buscan su propio interés no harán subir los precios de las viviendas y otros activos hasta niveles claramente excesivos en el período previo a la crisis. Por lo tanto, esas fluctuaciones excesivas han sido consideradas como síntomas de la irracionalidad de los actores del mercado.</w:t>
      </w:r>
    </w:p>
    <w:p w:rsidR="008E3D8A" w:rsidRPr="008E3D8A" w:rsidRDefault="008E3D8A" w:rsidP="00387350">
      <w:pPr>
        <w:spacing w:after="0" w:line="240" w:lineRule="auto"/>
        <w:jc w:val="both"/>
        <w:rPr>
          <w:rFonts w:ascii="Times New Roman" w:eastAsia="Times New Roman" w:hAnsi="Times New Roman" w:cs="Times New Roman"/>
          <w:sz w:val="24"/>
          <w:szCs w:val="24"/>
        </w:rPr>
      </w:pPr>
    </w:p>
    <w:p w:rsidR="008E3D8A" w:rsidRPr="008E3D8A" w:rsidRDefault="008E3D8A" w:rsidP="0038735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Este supuesto erróneo -</w:t>
      </w:r>
      <w:r w:rsidRPr="008E3D8A">
        <w:rPr>
          <w:rFonts w:ascii="Times New Roman" w:eastAsia="Times New Roman" w:hAnsi="Times New Roman" w:cs="Times New Roman"/>
          <w:sz w:val="24"/>
          <w:szCs w:val="24"/>
        </w:rPr>
        <w:t>que las decisiones basadas en el interés propio puedan representarse ade</w:t>
      </w:r>
      <w:r>
        <w:rPr>
          <w:rFonts w:ascii="Times New Roman" w:eastAsia="Times New Roman" w:hAnsi="Times New Roman" w:cs="Times New Roman"/>
          <w:sz w:val="24"/>
          <w:szCs w:val="24"/>
        </w:rPr>
        <w:t>cuadamente con reglas mecánicas-</w:t>
      </w:r>
      <w:r w:rsidRPr="008E3D8A">
        <w:rPr>
          <w:rFonts w:ascii="Times New Roman" w:eastAsia="Times New Roman" w:hAnsi="Times New Roman" w:cs="Times New Roman"/>
          <w:sz w:val="24"/>
          <w:szCs w:val="24"/>
        </w:rPr>
        <w:t xml:space="preserve"> apuntaló la creación de instrumentos financieros sintéticos y legitimó, sobre bases supuestamente científicas, su comercialización a fondos de pensión y otras instituciones financieras en todo el mundo. Sorprendentemente, las economías emergentes con mercados financieros relativamente menos relacionados escaparon a muchas de las consecuencias más atroces de esas innovaciones.</w:t>
      </w:r>
    </w:p>
    <w:p w:rsidR="008E3D8A" w:rsidRPr="008E3D8A" w:rsidRDefault="008E3D8A" w:rsidP="00387350">
      <w:pPr>
        <w:spacing w:after="0" w:line="240" w:lineRule="auto"/>
        <w:jc w:val="both"/>
        <w:rPr>
          <w:rFonts w:ascii="Times New Roman" w:eastAsia="Times New Roman" w:hAnsi="Times New Roman" w:cs="Times New Roman"/>
          <w:sz w:val="24"/>
          <w:szCs w:val="24"/>
        </w:rPr>
      </w:pPr>
    </w:p>
    <w:p w:rsidR="008E3D8A" w:rsidRDefault="008E3D8A" w:rsidP="00387350">
      <w:pPr>
        <w:spacing w:after="0" w:line="240" w:lineRule="auto"/>
        <w:jc w:val="both"/>
        <w:rPr>
          <w:rFonts w:ascii="Times New Roman" w:eastAsia="Times New Roman" w:hAnsi="Times New Roman" w:cs="Times New Roman"/>
          <w:sz w:val="24"/>
          <w:szCs w:val="24"/>
        </w:rPr>
      </w:pPr>
      <w:r w:rsidRPr="008E3D8A">
        <w:rPr>
          <w:rFonts w:ascii="Times New Roman" w:eastAsia="Times New Roman" w:hAnsi="Times New Roman" w:cs="Times New Roman"/>
          <w:sz w:val="24"/>
          <w:szCs w:val="24"/>
        </w:rPr>
        <w:t>La confianza de los economistas contemporáneos en reglas mecánicas para ente</w:t>
      </w:r>
      <w:r>
        <w:rPr>
          <w:rFonts w:ascii="Times New Roman" w:eastAsia="Times New Roman" w:hAnsi="Times New Roman" w:cs="Times New Roman"/>
          <w:sz w:val="24"/>
          <w:szCs w:val="24"/>
        </w:rPr>
        <w:t>nder los resultados económicos -e influir sobre ellos-</w:t>
      </w:r>
      <w:r w:rsidRPr="008E3D8A">
        <w:rPr>
          <w:rFonts w:ascii="Times New Roman" w:eastAsia="Times New Roman" w:hAnsi="Times New Roman" w:cs="Times New Roman"/>
          <w:sz w:val="24"/>
          <w:szCs w:val="24"/>
        </w:rPr>
        <w:t xml:space="preserve"> se extiende también a la política macroeconómica y a </w:t>
      </w:r>
      <w:r>
        <w:rPr>
          <w:rFonts w:ascii="Times New Roman" w:eastAsia="Times New Roman" w:hAnsi="Times New Roman" w:cs="Times New Roman"/>
          <w:sz w:val="24"/>
          <w:szCs w:val="24"/>
        </w:rPr>
        <w:t>menudo recurre a una autoridad -John Maynard Keynes-</w:t>
      </w:r>
      <w:r w:rsidRPr="008E3D8A">
        <w:rPr>
          <w:rFonts w:ascii="Times New Roman" w:eastAsia="Times New Roman" w:hAnsi="Times New Roman" w:cs="Times New Roman"/>
          <w:sz w:val="24"/>
          <w:szCs w:val="24"/>
        </w:rPr>
        <w:t xml:space="preserve"> que hubiera rechazado su enfoque. Keynes entendió pronto la falacia que implica </w:t>
      </w:r>
      <w:r>
        <w:rPr>
          <w:rFonts w:ascii="Times New Roman" w:eastAsia="Times New Roman" w:hAnsi="Times New Roman" w:cs="Times New Roman"/>
          <w:sz w:val="24"/>
          <w:szCs w:val="24"/>
        </w:rPr>
        <w:t>aplicar esas reglas mecánicas. “</w:t>
      </w:r>
      <w:r w:rsidRPr="008E3D8A">
        <w:rPr>
          <w:rFonts w:ascii="Times New Roman" w:eastAsia="Times New Roman" w:hAnsi="Times New Roman" w:cs="Times New Roman"/>
          <w:sz w:val="24"/>
          <w:szCs w:val="24"/>
        </w:rPr>
        <w:t>Nos hemos</w:t>
      </w:r>
      <w:r>
        <w:rPr>
          <w:rFonts w:ascii="Times New Roman" w:eastAsia="Times New Roman" w:hAnsi="Times New Roman" w:cs="Times New Roman"/>
          <w:sz w:val="24"/>
          <w:szCs w:val="24"/>
        </w:rPr>
        <w:t xml:space="preserve"> sumergido en un enredo colosal”, previno, “</w:t>
      </w:r>
      <w:r w:rsidRPr="008E3D8A">
        <w:rPr>
          <w:rFonts w:ascii="Times New Roman" w:eastAsia="Times New Roman" w:hAnsi="Times New Roman" w:cs="Times New Roman"/>
          <w:sz w:val="24"/>
          <w:szCs w:val="24"/>
        </w:rPr>
        <w:t>nos equivocamos en el control de una delicada máquina, cuyo</w:t>
      </w:r>
      <w:r>
        <w:rPr>
          <w:rFonts w:ascii="Times New Roman" w:eastAsia="Times New Roman" w:hAnsi="Times New Roman" w:cs="Times New Roman"/>
          <w:sz w:val="24"/>
          <w:szCs w:val="24"/>
        </w:rPr>
        <w:t xml:space="preserve"> funcionamiento no comprendemos”…</w:t>
      </w:r>
    </w:p>
    <w:p w:rsidR="008E3D8A" w:rsidRDefault="008E3D8A" w:rsidP="00387350">
      <w:pPr>
        <w:spacing w:after="0" w:line="240" w:lineRule="auto"/>
        <w:jc w:val="both"/>
        <w:rPr>
          <w:rFonts w:ascii="Times New Roman" w:eastAsia="Times New Roman" w:hAnsi="Times New Roman" w:cs="Times New Roman"/>
          <w:sz w:val="24"/>
          <w:szCs w:val="24"/>
        </w:rPr>
      </w:pPr>
    </w:p>
    <w:p w:rsidR="008E3D8A" w:rsidRDefault="008E3D8A" w:rsidP="00387350">
      <w:pPr>
        <w:spacing w:after="0" w:line="240" w:lineRule="auto"/>
        <w:jc w:val="both"/>
        <w:rPr>
          <w:rFonts w:ascii="Times New Roman" w:eastAsia="Times New Roman" w:hAnsi="Times New Roman" w:cs="Times New Roman"/>
          <w:sz w:val="24"/>
          <w:szCs w:val="24"/>
        </w:rPr>
      </w:pPr>
      <w:r w:rsidRPr="008E3D8A">
        <w:rPr>
          <w:rFonts w:ascii="Times New Roman" w:eastAsia="Times New Roman" w:hAnsi="Times New Roman" w:cs="Times New Roman"/>
          <w:sz w:val="24"/>
          <w:szCs w:val="24"/>
        </w:rPr>
        <w:t>Pero, para decirlo sin rodeos, creer que el economista puede especificar anticipada y completamente el comportamien</w:t>
      </w:r>
      <w:r>
        <w:rPr>
          <w:rFonts w:ascii="Times New Roman" w:eastAsia="Times New Roman" w:hAnsi="Times New Roman" w:cs="Times New Roman"/>
          <w:sz w:val="24"/>
          <w:szCs w:val="24"/>
        </w:rPr>
        <w:t>to de los resultados agregados -</w:t>
      </w:r>
      <w:r w:rsidRPr="008E3D8A">
        <w:rPr>
          <w:rFonts w:ascii="Times New Roman" w:eastAsia="Times New Roman" w:hAnsi="Times New Roman" w:cs="Times New Roman"/>
          <w:sz w:val="24"/>
          <w:szCs w:val="24"/>
        </w:rPr>
        <w:t>y con ellos, el nivel p</w:t>
      </w:r>
      <w:r>
        <w:rPr>
          <w:rFonts w:ascii="Times New Roman" w:eastAsia="Times New Roman" w:hAnsi="Times New Roman" w:cs="Times New Roman"/>
          <w:sz w:val="24"/>
          <w:szCs w:val="24"/>
        </w:rPr>
        <w:t>otencial de actividad económica-</w:t>
      </w:r>
      <w:r w:rsidRPr="008E3D8A">
        <w:rPr>
          <w:rFonts w:ascii="Times New Roman" w:eastAsia="Times New Roman" w:hAnsi="Times New Roman" w:cs="Times New Roman"/>
          <w:sz w:val="24"/>
          <w:szCs w:val="24"/>
        </w:rPr>
        <w:t xml:space="preserve"> es falaz. Las proyecciones implicadas por el modelo macroeconométrico de la Fed relacionadas con los tiempos y efectos de los estímulos económicos de 2008 sobre el empleo, que resultaron notablemente eq</w:t>
      </w:r>
      <w:r>
        <w:rPr>
          <w:rFonts w:ascii="Times New Roman" w:eastAsia="Times New Roman" w:hAnsi="Times New Roman" w:cs="Times New Roman"/>
          <w:sz w:val="24"/>
          <w:szCs w:val="24"/>
        </w:rPr>
        <w:t xml:space="preserve">uivocadas, son un claro ejemplo”… </w:t>
      </w:r>
      <w:r w:rsidRPr="00DD77F8">
        <w:rPr>
          <w:rFonts w:ascii="Times New Roman" w:eastAsia="Times New Roman" w:hAnsi="Times New Roman" w:cs="Times New Roman"/>
          <w:sz w:val="24"/>
          <w:szCs w:val="24"/>
          <w:u w:val="single"/>
        </w:rPr>
        <w:t>¿Fracasó el capitalismo?</w:t>
      </w:r>
      <w:r>
        <w:rPr>
          <w:rFonts w:ascii="Times New Roman" w:eastAsia="Times New Roman" w:hAnsi="Times New Roman" w:cs="Times New Roman"/>
          <w:sz w:val="24"/>
          <w:szCs w:val="24"/>
        </w:rPr>
        <w:t xml:space="preserve"> </w:t>
      </w:r>
      <w:r w:rsidRPr="00CE3075">
        <w:rPr>
          <w:rFonts w:ascii="Times New Roman" w:eastAsia="Times New Roman" w:hAnsi="Times New Roman" w:cs="Times New Roman"/>
          <w:sz w:val="24"/>
          <w:szCs w:val="24"/>
        </w:rPr>
        <w:t xml:space="preserve">(Project Syndicate - </w:t>
      </w:r>
      <w:r w:rsidRPr="00CE3075">
        <w:rPr>
          <w:rFonts w:ascii="Times New Roman" w:eastAsia="Times New Roman" w:hAnsi="Times New Roman" w:cs="Times New Roman"/>
          <w:b/>
          <w:sz w:val="24"/>
          <w:szCs w:val="24"/>
        </w:rPr>
        <w:t>13/9/13</w:t>
      </w:r>
      <w:r w:rsidRPr="00CE3075">
        <w:rPr>
          <w:rFonts w:ascii="Times New Roman" w:eastAsia="Times New Roman" w:hAnsi="Times New Roman" w:cs="Times New Roman"/>
          <w:sz w:val="24"/>
          <w:szCs w:val="24"/>
        </w:rPr>
        <w:t>)</w:t>
      </w:r>
      <w:r w:rsidRPr="00CE3075">
        <w:rPr>
          <w:rFonts w:ascii="Times New Roman" w:eastAsia="Times New Roman" w:hAnsi="Times New Roman" w:cs="Times New Roman"/>
          <w:sz w:val="24"/>
          <w:szCs w:val="24"/>
        </w:rPr>
        <w:tab/>
      </w:r>
    </w:p>
    <w:p w:rsidR="008E3D8A" w:rsidRDefault="008E3D8A" w:rsidP="00387350">
      <w:pPr>
        <w:spacing w:after="0" w:line="240" w:lineRule="auto"/>
        <w:jc w:val="both"/>
        <w:rPr>
          <w:rFonts w:ascii="Times New Roman" w:eastAsia="Times New Roman" w:hAnsi="Times New Roman" w:cs="Times New Roman"/>
          <w:sz w:val="24"/>
          <w:szCs w:val="24"/>
        </w:rPr>
      </w:pPr>
    </w:p>
    <w:p w:rsidR="00E45EEE" w:rsidRPr="00E45EEE" w:rsidRDefault="00E3208B" w:rsidP="0038735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00E45EEE" w:rsidRPr="00E45EEE">
        <w:rPr>
          <w:rFonts w:ascii="Times New Roman" w:eastAsia="Times New Roman" w:hAnsi="Times New Roman" w:cs="Times New Roman"/>
          <w:sz w:val="24"/>
          <w:szCs w:val="24"/>
        </w:rPr>
        <w:t>Hace unos días, The New York Times publicaba un reportaje sobre una sociedad cuyos cimientos estaban siendo socavados por la desigualdad extrema. Esta sociedad proclama que recompensa a los mejores y más brillantes, independientemente de cuáles sean sus antecedentes familiares. En la práctica, sin embargo, los hijos de los ricos se benefician de oportunidades y relaciones inaccesibles para las criaturas de las clases media y trabajadora. Del artículo se desprende que la brecha entre la ideología meritocrática de la sociedad y su realidad cada vez más oligárquica está teniendo un efecto profundamente desmoralizador.</w:t>
      </w:r>
    </w:p>
    <w:p w:rsidR="00E45EEE" w:rsidRPr="00E45EEE" w:rsidRDefault="00E45EEE" w:rsidP="00387350">
      <w:pPr>
        <w:spacing w:after="0" w:line="240" w:lineRule="auto"/>
        <w:jc w:val="both"/>
        <w:rPr>
          <w:rFonts w:ascii="Times New Roman" w:eastAsia="Times New Roman" w:hAnsi="Times New Roman" w:cs="Times New Roman"/>
          <w:sz w:val="24"/>
          <w:szCs w:val="24"/>
        </w:rPr>
      </w:pPr>
    </w:p>
    <w:p w:rsidR="00E45EEE" w:rsidRPr="00E45EEE" w:rsidRDefault="00E45EEE" w:rsidP="00387350">
      <w:pPr>
        <w:spacing w:after="0" w:line="240" w:lineRule="auto"/>
        <w:jc w:val="both"/>
        <w:rPr>
          <w:rFonts w:ascii="Times New Roman" w:eastAsia="Times New Roman" w:hAnsi="Times New Roman" w:cs="Times New Roman"/>
          <w:sz w:val="24"/>
          <w:szCs w:val="24"/>
        </w:rPr>
      </w:pPr>
      <w:r w:rsidRPr="00E45EEE">
        <w:rPr>
          <w:rFonts w:ascii="Times New Roman" w:eastAsia="Times New Roman" w:hAnsi="Times New Roman" w:cs="Times New Roman"/>
          <w:sz w:val="24"/>
          <w:szCs w:val="24"/>
        </w:rPr>
        <w:t>El reportaje explicaba, en pocas palabras, por qué la desigualdad extrema es destructiva, por qué suena hueca la afirmación de que las desigualdades no son importantes siempre que haya igualdad de oportunidades. Si la diferencia entre los ricos y el resto de la gente es tal que los primeros viven en un universo social y material diferente, con esto basta para vaciar de sentido cualquier noción de igualdad de oportunidades…</w:t>
      </w:r>
    </w:p>
    <w:p w:rsidR="00E45EEE" w:rsidRPr="00E45EEE" w:rsidRDefault="00E45EEE" w:rsidP="00387350">
      <w:pPr>
        <w:spacing w:after="0" w:line="240" w:lineRule="auto"/>
        <w:jc w:val="both"/>
        <w:rPr>
          <w:rFonts w:ascii="Times New Roman" w:eastAsia="Times New Roman" w:hAnsi="Times New Roman" w:cs="Times New Roman"/>
          <w:sz w:val="24"/>
          <w:szCs w:val="24"/>
        </w:rPr>
      </w:pPr>
    </w:p>
    <w:p w:rsidR="00E45EEE" w:rsidRPr="00E45EEE" w:rsidRDefault="00E45EEE" w:rsidP="00387350">
      <w:pPr>
        <w:spacing w:after="0" w:line="240" w:lineRule="auto"/>
        <w:jc w:val="both"/>
        <w:rPr>
          <w:rFonts w:ascii="Times New Roman" w:eastAsia="Times New Roman" w:hAnsi="Times New Roman" w:cs="Times New Roman"/>
          <w:sz w:val="24"/>
          <w:szCs w:val="24"/>
        </w:rPr>
      </w:pPr>
      <w:r w:rsidRPr="00E45EEE">
        <w:rPr>
          <w:rFonts w:ascii="Times New Roman" w:eastAsia="Times New Roman" w:hAnsi="Times New Roman" w:cs="Times New Roman"/>
          <w:sz w:val="24"/>
          <w:szCs w:val="24"/>
        </w:rPr>
        <w:t>Los economistas Thomas Piketty y Emmanuel Sáez han recopilado esos datos durante la última década y han utilizado las cifras de la Hacienda estadounidense para calcular la concentración de renta en las clases altas estadounidenses. Según sus cálculos, la parte correspondiente a las rentas más altas sufrió un golpe durante la Gran Recesión, cuando cosas como las plusvalías o las primas de Wall Street decayeron temporalmente. Pero los ricos han vuelto con fuerza, hasta el punto de que el 95% de los ingresos de la recuperación económica desde 2009 han ido a parar al famoso “1%”. De hecho, más del 60% fue al 0,1% de la población con los ingresos más altos, gente cuyas rentas anuales superan los 1,9 millones de dólares.</w:t>
      </w:r>
    </w:p>
    <w:p w:rsidR="00E45EEE" w:rsidRPr="00E45EEE" w:rsidRDefault="00E45EEE" w:rsidP="00387350">
      <w:pPr>
        <w:spacing w:after="0" w:line="240" w:lineRule="auto"/>
        <w:jc w:val="both"/>
        <w:rPr>
          <w:rFonts w:ascii="Times New Roman" w:eastAsia="Times New Roman" w:hAnsi="Times New Roman" w:cs="Times New Roman"/>
          <w:sz w:val="24"/>
          <w:szCs w:val="24"/>
        </w:rPr>
      </w:pPr>
    </w:p>
    <w:p w:rsidR="00E45EEE" w:rsidRPr="00E45EEE" w:rsidRDefault="00E45EEE" w:rsidP="00387350">
      <w:pPr>
        <w:spacing w:after="0" w:line="240" w:lineRule="auto"/>
        <w:jc w:val="both"/>
        <w:rPr>
          <w:rFonts w:ascii="Times New Roman" w:eastAsia="Times New Roman" w:hAnsi="Times New Roman" w:cs="Times New Roman"/>
          <w:sz w:val="24"/>
          <w:szCs w:val="24"/>
        </w:rPr>
      </w:pPr>
      <w:r w:rsidRPr="00E45EEE">
        <w:rPr>
          <w:rFonts w:ascii="Times New Roman" w:eastAsia="Times New Roman" w:hAnsi="Times New Roman" w:cs="Times New Roman"/>
          <w:sz w:val="24"/>
          <w:szCs w:val="24"/>
        </w:rPr>
        <w:t>Básicamente, mientras que la gran mayoría de estadounidenses vive aún en una economía deprimida, los ricos han recuperado casi todas sus pérdidas y siguen avanzando posiciones</w:t>
      </w:r>
      <w:r>
        <w:rPr>
          <w:rFonts w:ascii="Times New Roman" w:eastAsia="Times New Roman" w:hAnsi="Times New Roman" w:cs="Times New Roman"/>
          <w:sz w:val="24"/>
          <w:szCs w:val="24"/>
        </w:rPr>
        <w:t>..</w:t>
      </w:r>
      <w:r w:rsidRPr="00E45EEE">
        <w:rPr>
          <w:rFonts w:ascii="Times New Roman" w:eastAsia="Times New Roman" w:hAnsi="Times New Roman" w:cs="Times New Roman"/>
          <w:sz w:val="24"/>
          <w:szCs w:val="24"/>
        </w:rPr>
        <w:t>.</w:t>
      </w:r>
    </w:p>
    <w:p w:rsidR="00E45EEE" w:rsidRDefault="00E45EEE" w:rsidP="00387350">
      <w:pPr>
        <w:spacing w:after="0" w:line="240" w:lineRule="auto"/>
        <w:jc w:val="both"/>
        <w:rPr>
          <w:rFonts w:ascii="Times New Roman" w:eastAsia="Times New Roman" w:hAnsi="Times New Roman" w:cs="Times New Roman"/>
          <w:sz w:val="24"/>
          <w:szCs w:val="24"/>
        </w:rPr>
      </w:pPr>
    </w:p>
    <w:p w:rsidR="00E45EEE" w:rsidRPr="00E45EEE" w:rsidRDefault="00E45EEE" w:rsidP="00387350">
      <w:pPr>
        <w:spacing w:after="0" w:line="240" w:lineRule="auto"/>
        <w:jc w:val="both"/>
        <w:rPr>
          <w:rFonts w:ascii="Times New Roman" w:eastAsia="Times New Roman" w:hAnsi="Times New Roman" w:cs="Times New Roman"/>
          <w:sz w:val="24"/>
          <w:szCs w:val="24"/>
        </w:rPr>
      </w:pPr>
      <w:r w:rsidRPr="00E45EEE">
        <w:rPr>
          <w:rFonts w:ascii="Times New Roman" w:eastAsia="Times New Roman" w:hAnsi="Times New Roman" w:cs="Times New Roman"/>
          <w:sz w:val="24"/>
          <w:szCs w:val="24"/>
        </w:rPr>
        <w:t>¿A qué se deben estos astronómicos ingresos de las clases más altas? Sobre este punto existe un intenso debate, en el que algunos economistas siguen afirmando que las rentas increíblemente altas reflejan contribuciones igualmente increíbles a la economía. Creo que ya he señalado que una gran parte de esas rentas superaltas procede del sector financiero que, como posiblemente recordarán, es el sector que los contribuyentes tuvieron que rescatar después de que su inminente quiebra amenazase con arrastrar al fondo a toda la economía.</w:t>
      </w:r>
    </w:p>
    <w:p w:rsidR="00E45EEE" w:rsidRPr="00E45EEE" w:rsidRDefault="00E45EEE" w:rsidP="00387350">
      <w:pPr>
        <w:spacing w:after="0" w:line="240" w:lineRule="auto"/>
        <w:jc w:val="both"/>
        <w:rPr>
          <w:rFonts w:ascii="Times New Roman" w:eastAsia="Times New Roman" w:hAnsi="Times New Roman" w:cs="Times New Roman"/>
          <w:sz w:val="24"/>
          <w:szCs w:val="24"/>
        </w:rPr>
      </w:pPr>
    </w:p>
    <w:p w:rsidR="00E45EEE" w:rsidRDefault="00E45EEE" w:rsidP="00387350">
      <w:pPr>
        <w:spacing w:after="0" w:line="240" w:lineRule="auto"/>
        <w:jc w:val="both"/>
        <w:rPr>
          <w:rFonts w:ascii="Times New Roman" w:eastAsia="Times New Roman" w:hAnsi="Times New Roman" w:cs="Times New Roman"/>
          <w:sz w:val="24"/>
          <w:szCs w:val="24"/>
        </w:rPr>
      </w:pPr>
      <w:r w:rsidRPr="00E45EEE">
        <w:rPr>
          <w:rFonts w:ascii="Times New Roman" w:eastAsia="Times New Roman" w:hAnsi="Times New Roman" w:cs="Times New Roman"/>
          <w:sz w:val="24"/>
          <w:szCs w:val="24"/>
        </w:rPr>
        <w:t>En todo caso, sea cual sea la causa de la concentración creciente de la renta en las clases más altas, el efecto es que está socavando todos los valores que definen a Estados Unidos. Año tras año nos vamos apartando de nuestros ideales. Los privilegios heredados están desplazando a la igualdad de oportunidades, y el poder del dinero está ocupando el lugar de la verdadera democracia</w:t>
      </w:r>
      <w:r>
        <w:rPr>
          <w:rFonts w:ascii="Times New Roman" w:eastAsia="Times New Roman" w:hAnsi="Times New Roman" w:cs="Times New Roman"/>
          <w:sz w:val="24"/>
          <w:szCs w:val="24"/>
        </w:rPr>
        <w:t>”..</w:t>
      </w:r>
      <w:r w:rsidRPr="00E45EEE">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4A2292">
        <w:rPr>
          <w:rFonts w:ascii="Times New Roman" w:eastAsia="Times New Roman" w:hAnsi="Times New Roman" w:cs="Times New Roman"/>
          <w:sz w:val="24"/>
          <w:szCs w:val="24"/>
          <w:u w:val="single"/>
        </w:rPr>
        <w:t>La recuperación de los ricos</w:t>
      </w:r>
      <w:r>
        <w:rPr>
          <w:rFonts w:ascii="Times New Roman" w:eastAsia="Times New Roman" w:hAnsi="Times New Roman" w:cs="Times New Roman"/>
          <w:sz w:val="24"/>
          <w:szCs w:val="24"/>
        </w:rPr>
        <w:t xml:space="preserve"> (El País - </w:t>
      </w:r>
      <w:r w:rsidRPr="004A2292">
        <w:rPr>
          <w:rFonts w:ascii="Times New Roman" w:eastAsia="Times New Roman" w:hAnsi="Times New Roman" w:cs="Times New Roman"/>
          <w:b/>
          <w:sz w:val="24"/>
          <w:szCs w:val="24"/>
        </w:rPr>
        <w:t>15/9/13</w:t>
      </w:r>
      <w:r>
        <w:rPr>
          <w:rFonts w:ascii="Times New Roman" w:eastAsia="Times New Roman" w:hAnsi="Times New Roman" w:cs="Times New Roman"/>
          <w:sz w:val="24"/>
          <w:szCs w:val="24"/>
        </w:rPr>
        <w:t>)</w:t>
      </w:r>
    </w:p>
    <w:p w:rsidR="00E45EEE" w:rsidRPr="00E45EEE" w:rsidRDefault="00E45EEE" w:rsidP="00387350">
      <w:pPr>
        <w:pStyle w:val="NormalWeb"/>
        <w:jc w:val="both"/>
      </w:pPr>
      <w:r w:rsidRPr="00E45EEE">
        <w:rPr>
          <w:lang w:eastAsia="en-US"/>
        </w:rPr>
        <w:t>“</w:t>
      </w:r>
      <w:r w:rsidRPr="00E45EEE">
        <w:t xml:space="preserve">Se estima que el PIB mundial en el año 2012 rondó los 70 billones de dólares en nomenclatura española, en concreto </w:t>
      </w:r>
      <w:hyperlink r:id="rId156" w:history="1">
        <w:r w:rsidRPr="00E45EEE">
          <w:rPr>
            <w:rStyle w:val="Hipervnculo"/>
            <w:color w:val="auto"/>
            <w:u w:val="none"/>
          </w:rPr>
          <w:t>unos 71,62 billones</w:t>
        </w:r>
      </w:hyperlink>
      <w:r w:rsidRPr="00E45EEE">
        <w:t xml:space="preserve">. Por su parte los derivados OTC </w:t>
      </w:r>
      <w:hyperlink r:id="rId157" w:history="1">
        <w:r w:rsidRPr="00E45EEE">
          <w:rPr>
            <w:rStyle w:val="Hipervnculo"/>
            <w:color w:val="auto"/>
            <w:u w:val="none"/>
          </w:rPr>
          <w:t>suponían según el BIS 632 billones de dólares</w:t>
        </w:r>
      </w:hyperlink>
      <w:r w:rsidRPr="00E45EEE">
        <w:t xml:space="preserve"> a finales de 2012. </w:t>
      </w:r>
      <w:r w:rsidRPr="00E45EEE">
        <w:rPr>
          <w:rStyle w:val="Textoennegrita"/>
          <w:rFonts w:eastAsiaTheme="minorEastAsia"/>
          <w:b w:val="0"/>
        </w:rPr>
        <w:t>Con un sencillo cálculo vemos que dichos derivados OTC ¡equivalen a 9 veces la economía mundial!</w:t>
      </w:r>
      <w:r w:rsidRPr="00E45EEE">
        <w:t xml:space="preserve"> Motivo por el cual muchas personas, inclusive en el mundo financiero, creen que de producirse una crisis que afecte a estos instrumentos sería el “acabose”. ¿Hasta qué </w:t>
      </w:r>
      <w:r w:rsidRPr="00E45EEE">
        <w:lastRenderedPageBreak/>
        <w:t>punto son fundados estos miedos? ¿Equivalen los derivados realmente a 9 veces la economía mundial?</w:t>
      </w:r>
    </w:p>
    <w:p w:rsidR="00E45EEE" w:rsidRPr="00E45EEE" w:rsidRDefault="00E45EEE" w:rsidP="00387350">
      <w:pPr>
        <w:pStyle w:val="NormalWeb"/>
        <w:jc w:val="both"/>
      </w:pPr>
      <w:r w:rsidRPr="00E45EEE">
        <w:rPr>
          <w:rStyle w:val="Textoennegrita"/>
          <w:rFonts w:eastAsiaTheme="minorEastAsia"/>
          <w:b w:val="0"/>
        </w:rPr>
        <w:t>La respuesta rápida es sí</w:t>
      </w:r>
      <w:r w:rsidRPr="00E45EEE">
        <w:t xml:space="preserve">, aun tratándose de estimaciones, el montante hipotético de derivados determinado por el BIS y su comparación con el PIB mundial no dejan lugar a dudas… pero también existe una respuesta lenta que matiza en gran parte lo anterior. En primer lugar, ¿qué es un derivado? Para simplificar diremos que un derivado es un producto financiero cuyo precio </w:t>
      </w:r>
      <w:r w:rsidR="004D13CE">
        <w:t>“</w:t>
      </w:r>
      <w:r w:rsidRPr="004D13CE">
        <w:rPr>
          <w:rStyle w:val="nfasis"/>
          <w:i w:val="0"/>
        </w:rPr>
        <w:t>se deriva</w:t>
      </w:r>
      <w:r w:rsidR="004D13CE">
        <w:rPr>
          <w:rStyle w:val="nfasis"/>
          <w:i w:val="0"/>
        </w:rPr>
        <w:t>”</w:t>
      </w:r>
      <w:r w:rsidRPr="00E45EEE">
        <w:t xml:space="preserve"> de otros productos; no son acciones, no son bonos, no son materias primas, pero su precio se basa en la evolución de los mismos, o de casi cualquier subyacente que nos imaginemos.</w:t>
      </w:r>
    </w:p>
    <w:p w:rsidR="00E45EEE" w:rsidRPr="00E45EEE" w:rsidRDefault="00E45EEE" w:rsidP="00387350">
      <w:pPr>
        <w:pStyle w:val="NormalWeb"/>
        <w:jc w:val="both"/>
      </w:pPr>
      <w:r w:rsidRPr="00E45EEE">
        <w:t>Al igual que las acciones, bonos, o materias primas, cuando hablamos de un montante total hablamos de un “</w:t>
      </w:r>
      <w:r w:rsidRPr="00E45EEE">
        <w:rPr>
          <w:rStyle w:val="Textoennegrita"/>
          <w:rFonts w:eastAsiaTheme="minorEastAsia"/>
          <w:b w:val="0"/>
        </w:rPr>
        <w:t>stock</w:t>
      </w:r>
      <w:r w:rsidRPr="00E45EEE">
        <w:t>” acumulado, algo que conviene diferenciar de un concepto como el PIB, donde hablamos de un “</w:t>
      </w:r>
      <w:r w:rsidRPr="00E45EEE">
        <w:rPr>
          <w:rStyle w:val="Textoennegrita"/>
          <w:rFonts w:eastAsiaTheme="minorEastAsia"/>
          <w:b w:val="0"/>
        </w:rPr>
        <w:t>flujo</w:t>
      </w:r>
      <w:r w:rsidRPr="00E45EEE">
        <w:t>” periódico. Hay quien cree que un montante total de derivados de 9 veces el PIB es lo mismo que decir 9 veces la riqueza mundial, y no es así. Es como comparar el patrimonio de una persona, su vivienda, sus depósitos bancarios, sus acciones… con su renta anual derivada de su trabajo o negocio, ¡nada que ver!</w:t>
      </w:r>
    </w:p>
    <w:p w:rsidR="00E45EEE" w:rsidRDefault="00E45EEE" w:rsidP="00387350">
      <w:pPr>
        <w:spacing w:after="0" w:line="240" w:lineRule="auto"/>
        <w:jc w:val="both"/>
        <w:rPr>
          <w:rFonts w:ascii="Times New Roman" w:eastAsia="Times New Roman" w:hAnsi="Times New Roman" w:cs="Times New Roman"/>
          <w:sz w:val="24"/>
          <w:szCs w:val="24"/>
        </w:rPr>
      </w:pPr>
      <w:r w:rsidRPr="00E45EEE">
        <w:rPr>
          <w:rFonts w:ascii="Times New Roman" w:hAnsi="Times New Roman" w:cs="Times New Roman"/>
          <w:sz w:val="24"/>
          <w:szCs w:val="24"/>
        </w:rPr>
        <w:t xml:space="preserve">Si bien, aquí, lo importante no es lo afortunado o desafortunado de la comparación, lo importante es… </w:t>
      </w:r>
      <w:r w:rsidRPr="00E45EEE">
        <w:rPr>
          <w:rStyle w:val="Textoennegrita"/>
          <w:rFonts w:ascii="Times New Roman" w:eastAsiaTheme="minorEastAsia" w:hAnsi="Times New Roman" w:cs="Times New Roman"/>
          <w:b w:val="0"/>
          <w:sz w:val="24"/>
          <w:szCs w:val="24"/>
        </w:rPr>
        <w:t>¡632 billones de dólares!</w:t>
      </w:r>
      <w:r w:rsidRPr="00E45EEE">
        <w:rPr>
          <w:rFonts w:ascii="Times New Roman" w:hAnsi="Times New Roman" w:cs="Times New Roman"/>
          <w:sz w:val="24"/>
          <w:szCs w:val="24"/>
        </w:rPr>
        <w:t xml:space="preserve"> La cifra es realmente imponente y da igual que lo comparemos con el PIB o con los </w:t>
      </w:r>
      <w:hyperlink r:id="rId158" w:history="1">
        <w:r w:rsidRPr="00E45EEE">
          <w:rPr>
            <w:rStyle w:val="Hipervnculo"/>
            <w:rFonts w:ascii="Times New Roman" w:hAnsi="Times New Roman" w:cs="Times New Roman"/>
            <w:color w:val="auto"/>
            <w:sz w:val="24"/>
            <w:szCs w:val="24"/>
            <w:u w:val="none"/>
          </w:rPr>
          <w:t>212 billones de activos financieros que McKinsey estima existen en el mundo</w:t>
        </w:r>
      </w:hyperlink>
      <w:r w:rsidRPr="00E45EEE">
        <w:rPr>
          <w:rFonts w:ascii="Times New Roman" w:hAnsi="Times New Roman" w:cs="Times New Roman"/>
          <w:sz w:val="24"/>
          <w:szCs w:val="24"/>
        </w:rPr>
        <w:t xml:space="preserve">, da igual si hacemos la comparación de forma agregada o la hacemos en un país particular como EEUU donde se calcula que se originan más de 1/3 de los derivados mundiales con un PIB que no llegó a los 17 billones en 2012. Hagamos la comparación que hagamos, la cifra asusta. </w:t>
      </w:r>
      <w:r w:rsidRPr="00E45EEE">
        <w:rPr>
          <w:rStyle w:val="Textoennegrita"/>
          <w:rFonts w:ascii="Times New Roman" w:eastAsiaTheme="minorEastAsia" w:hAnsi="Times New Roman" w:cs="Times New Roman"/>
          <w:b w:val="0"/>
          <w:sz w:val="24"/>
          <w:szCs w:val="24"/>
        </w:rPr>
        <w:t xml:space="preserve">Una simple pérdida del 11% sobre el valor hipotético del total de derivados OTC y el PIB mundial se volatilizaría, ¿estamos en peligro?”… </w:t>
      </w:r>
      <w:r w:rsidRPr="00E45EEE">
        <w:rPr>
          <w:rFonts w:ascii="Times New Roman" w:eastAsia="Times New Roman" w:hAnsi="Times New Roman" w:cs="Times New Roman"/>
          <w:sz w:val="24"/>
          <w:szCs w:val="24"/>
          <w:u w:val="single"/>
        </w:rPr>
        <w:t>¿Pueden los derivados equivaler a 9 veces la economía mundial?</w:t>
      </w:r>
      <w:r>
        <w:rPr>
          <w:rFonts w:ascii="Times New Roman" w:eastAsia="Times New Roman" w:hAnsi="Times New Roman" w:cs="Times New Roman"/>
          <w:sz w:val="24"/>
          <w:szCs w:val="24"/>
        </w:rPr>
        <w:t xml:space="preserve"> (El Confidencial -</w:t>
      </w:r>
      <w:r w:rsidRPr="00E45EEE">
        <w:rPr>
          <w:rFonts w:ascii="Times New Roman" w:eastAsia="Times New Roman" w:hAnsi="Times New Roman" w:cs="Times New Roman"/>
          <w:sz w:val="24"/>
          <w:szCs w:val="24"/>
        </w:rPr>
        <w:t xml:space="preserve"> </w:t>
      </w:r>
      <w:r w:rsidRPr="00E45EEE">
        <w:rPr>
          <w:rFonts w:ascii="Times New Roman" w:eastAsia="Times New Roman" w:hAnsi="Times New Roman" w:cs="Times New Roman"/>
          <w:b/>
          <w:sz w:val="24"/>
          <w:szCs w:val="24"/>
        </w:rPr>
        <w:t>16/9/13</w:t>
      </w:r>
      <w:r w:rsidRPr="00E45EEE">
        <w:rPr>
          <w:rFonts w:ascii="Times New Roman" w:eastAsia="Times New Roman" w:hAnsi="Times New Roman" w:cs="Times New Roman"/>
          <w:sz w:val="24"/>
          <w:szCs w:val="24"/>
        </w:rPr>
        <w:t>)</w:t>
      </w:r>
    </w:p>
    <w:p w:rsidR="00E45EEE" w:rsidRPr="00EA0B0F" w:rsidRDefault="00EA0B0F" w:rsidP="00387350">
      <w:pPr>
        <w:pStyle w:val="NormalWeb"/>
        <w:jc w:val="both"/>
      </w:pPr>
      <w:r>
        <w:t>“</w:t>
      </w:r>
      <w:r w:rsidR="00E45EEE" w:rsidRPr="00EA0B0F">
        <w:t>Cinco años después del inici</w:t>
      </w:r>
      <w:r w:rsidR="004D13CE">
        <w:t>o de la crisis financiera, los “superricos”</w:t>
      </w:r>
      <w:r w:rsidR="00E45EEE" w:rsidRPr="00EA0B0F">
        <w:t xml:space="preserve"> de América parecen haberse recuperado bastante bien de los estragos que pudiera haberles causado el balanceo económico. Según </w:t>
      </w:r>
      <w:hyperlink r:id="rId159" w:tgtFrame="_blank" w:history="1">
        <w:r w:rsidR="00E45EEE" w:rsidRPr="00EA0B0F">
          <w:rPr>
            <w:rStyle w:val="Hipervnculo"/>
            <w:color w:val="auto"/>
            <w:u w:val="none"/>
          </w:rPr>
          <w:t xml:space="preserve">la revista </w:t>
        </w:r>
        <w:r w:rsidR="00E45EEE" w:rsidRPr="00EA0B0F">
          <w:rPr>
            <w:rStyle w:val="nfasis"/>
          </w:rPr>
          <w:t>Forbes</w:t>
        </w:r>
      </w:hyperlink>
      <w:r w:rsidR="00E45EEE" w:rsidRPr="00EA0B0F">
        <w:t xml:space="preserve">, </w:t>
      </w:r>
      <w:r w:rsidR="00E45EEE" w:rsidRPr="00EA0B0F">
        <w:rPr>
          <w:rStyle w:val="Textoennegrita"/>
          <w:b w:val="0"/>
        </w:rPr>
        <w:t>los 400 americanos más ricos ganan más de 2 billones de dólares</w:t>
      </w:r>
      <w:r w:rsidR="00E45EEE" w:rsidRPr="00EA0B0F">
        <w:rPr>
          <w:b/>
        </w:rPr>
        <w:t>,</w:t>
      </w:r>
      <w:r w:rsidR="00E45EEE" w:rsidRPr="00EA0B0F">
        <w:t xml:space="preserve"> una fortuna algo mayor al producto interior bruto de Rusia. Estas ganancias doblan las registradas hace una década.</w:t>
      </w:r>
    </w:p>
    <w:p w:rsidR="00E45EEE" w:rsidRPr="00EA0B0F" w:rsidRDefault="00E45EEE" w:rsidP="00387350">
      <w:pPr>
        <w:pStyle w:val="NormalWeb"/>
        <w:jc w:val="both"/>
      </w:pPr>
      <w:r w:rsidRPr="00EA0B0F">
        <w:t xml:space="preserve">La cantidad media de ingresos de los miembros de la lista es de 5.000 millones de dólares, 800 millones más que hace un año. El mínimo ingreso neto que ha de obtenerse para entrar en la lista es de 1.300 millones de dólares. </w:t>
      </w:r>
      <w:r w:rsidRPr="00EA0B0F">
        <w:rPr>
          <w:rStyle w:val="Textoennegrita"/>
          <w:b w:val="0"/>
        </w:rPr>
        <w:t>La última vez que estos datos fueron tan elevados fue en 2007 y 2008</w:t>
      </w:r>
      <w:r w:rsidRPr="00EA0B0F">
        <w:rPr>
          <w:b/>
        </w:rPr>
        <w:t>,</w:t>
      </w:r>
      <w:r w:rsidRPr="00EA0B0F">
        <w:t xml:space="preserve"> justo antes de que la propiedad y los valores de mercado comenzaran a decaer. El corte es tan elevado que 62 multimillonarios americanos no lograron entrar en la lista.</w:t>
      </w:r>
    </w:p>
    <w:p w:rsidR="00EA0B0F" w:rsidRDefault="00E45EEE" w:rsidP="00387350">
      <w:pPr>
        <w:spacing w:line="240" w:lineRule="auto"/>
        <w:jc w:val="both"/>
        <w:rPr>
          <w:rFonts w:ascii="Times New Roman" w:hAnsi="Times New Roman" w:cs="Times New Roman"/>
          <w:sz w:val="24"/>
          <w:szCs w:val="24"/>
        </w:rPr>
      </w:pPr>
      <w:r w:rsidRPr="00EA0B0F">
        <w:rPr>
          <w:rFonts w:ascii="Times New Roman" w:hAnsi="Times New Roman" w:cs="Times New Roman"/>
          <w:sz w:val="24"/>
          <w:szCs w:val="24"/>
        </w:rPr>
        <w:t>A la luz de estos datos es inevitable la reflexión acerca de cómo las clases más elevadas no han sufrido los estragos de la crisis. De hecho, incluso en la clase alta los más r</w:t>
      </w:r>
      <w:r w:rsidR="00EA0B0F" w:rsidRPr="00EA0B0F">
        <w:rPr>
          <w:rFonts w:ascii="Times New Roman" w:hAnsi="Times New Roman" w:cs="Times New Roman"/>
          <w:sz w:val="24"/>
          <w:szCs w:val="24"/>
        </w:rPr>
        <w:t>icos se han distanciado de los “sólo”</w:t>
      </w:r>
      <w:r w:rsidRPr="00EA0B0F">
        <w:rPr>
          <w:rFonts w:ascii="Times New Roman" w:hAnsi="Times New Roman" w:cs="Times New Roman"/>
          <w:sz w:val="24"/>
          <w:szCs w:val="24"/>
        </w:rPr>
        <w:t xml:space="preserve"> ricos. </w:t>
      </w:r>
      <w:r w:rsidRPr="00EA0B0F">
        <w:rPr>
          <w:rStyle w:val="Textoennegrita"/>
          <w:rFonts w:ascii="Times New Roman" w:hAnsi="Times New Roman" w:cs="Times New Roman"/>
          <w:b w:val="0"/>
          <w:sz w:val="24"/>
          <w:szCs w:val="24"/>
        </w:rPr>
        <w:t>Los ricos cada vez son más ricos, los pobres cada vez son más pobres y, como consecuencia, se está produciendo la lenta muerte de la clase media</w:t>
      </w:r>
      <w:r w:rsidRPr="00EA0B0F">
        <w:rPr>
          <w:rFonts w:ascii="Times New Roman" w:hAnsi="Times New Roman" w:cs="Times New Roman"/>
          <w:sz w:val="24"/>
          <w:szCs w:val="24"/>
        </w:rPr>
        <w:t xml:space="preserve">, como constataba </w:t>
      </w:r>
      <w:r w:rsidRPr="00EA0B0F">
        <w:rPr>
          <w:rStyle w:val="nfasis"/>
          <w:rFonts w:ascii="Times New Roman" w:hAnsi="Times New Roman" w:cs="Times New Roman"/>
          <w:sz w:val="24"/>
          <w:szCs w:val="24"/>
        </w:rPr>
        <w:t>Forbes</w:t>
      </w:r>
      <w:r w:rsidRPr="00EA0B0F">
        <w:rPr>
          <w:rFonts w:ascii="Times New Roman" w:hAnsi="Times New Roman" w:cs="Times New Roman"/>
          <w:sz w:val="24"/>
          <w:szCs w:val="24"/>
        </w:rPr>
        <w:t xml:space="preserve"> en </w:t>
      </w:r>
      <w:hyperlink r:id="rId160" w:tgtFrame="_blank" w:history="1">
        <w:r w:rsidRPr="00EA0B0F">
          <w:rPr>
            <w:rStyle w:val="Hipervnculo"/>
            <w:rFonts w:ascii="Times New Roman" w:hAnsi="Times New Roman" w:cs="Times New Roman"/>
            <w:color w:val="auto"/>
            <w:sz w:val="24"/>
            <w:szCs w:val="24"/>
            <w:u w:val="none"/>
          </w:rPr>
          <w:t>otro artículo</w:t>
        </w:r>
      </w:hyperlink>
      <w:r w:rsidRPr="00EA0B0F">
        <w:rPr>
          <w:rFonts w:ascii="Times New Roman" w:hAnsi="Times New Roman" w:cs="Times New Roman"/>
          <w:sz w:val="24"/>
          <w:szCs w:val="24"/>
        </w:rPr>
        <w:t xml:space="preserve">. Si esto, efectivamente, así fuera, se estaría produciendo un retorno a un sistema más medieval, en que </w:t>
      </w:r>
      <w:r w:rsidRPr="00EA0B0F">
        <w:rPr>
          <w:rStyle w:val="Textoennegrita"/>
          <w:rFonts w:ascii="Times New Roman" w:hAnsi="Times New Roman" w:cs="Times New Roman"/>
          <w:b w:val="0"/>
          <w:sz w:val="24"/>
          <w:szCs w:val="24"/>
        </w:rPr>
        <w:t>la desigualdad de clases es muy acusada y la movilidad social se dificulta</w:t>
      </w:r>
      <w:r w:rsidRPr="00EA0B0F">
        <w:rPr>
          <w:rFonts w:ascii="Times New Roman" w:hAnsi="Times New Roman" w:cs="Times New Roman"/>
          <w:sz w:val="24"/>
          <w:szCs w:val="24"/>
        </w:rPr>
        <w:t xml:space="preserve"> en extremo</w:t>
      </w:r>
      <w:r w:rsidR="00EA0B0F" w:rsidRPr="00EA0B0F">
        <w:rPr>
          <w:rFonts w:ascii="Times New Roman" w:hAnsi="Times New Roman" w:cs="Times New Roman"/>
          <w:sz w:val="24"/>
          <w:szCs w:val="24"/>
        </w:rPr>
        <w:t>”..</w:t>
      </w:r>
      <w:r w:rsidRPr="00EA0B0F">
        <w:rPr>
          <w:rFonts w:ascii="Times New Roman" w:hAnsi="Times New Roman" w:cs="Times New Roman"/>
          <w:sz w:val="24"/>
          <w:szCs w:val="24"/>
        </w:rPr>
        <w:t>.</w:t>
      </w:r>
      <w:r w:rsidR="00EA0B0F">
        <w:t xml:space="preserve"> </w:t>
      </w:r>
      <w:r w:rsidR="00EA0B0F" w:rsidRPr="002A1124">
        <w:rPr>
          <w:rFonts w:ascii="Times New Roman" w:hAnsi="Times New Roman" w:cs="Times New Roman"/>
          <w:sz w:val="24"/>
          <w:szCs w:val="24"/>
          <w:u w:val="single"/>
        </w:rPr>
        <w:t xml:space="preserve">Los efectos </w:t>
      </w:r>
      <w:r w:rsidR="00EA0B0F" w:rsidRPr="002A1124">
        <w:rPr>
          <w:rFonts w:ascii="Times New Roman" w:hAnsi="Times New Roman" w:cs="Times New Roman"/>
          <w:sz w:val="24"/>
          <w:szCs w:val="24"/>
          <w:u w:val="single"/>
        </w:rPr>
        <w:lastRenderedPageBreak/>
        <w:t>reales de 5 años de crisis: los muy ricos se hacen aún más ricos</w:t>
      </w:r>
      <w:r w:rsidR="00EA0B0F">
        <w:rPr>
          <w:rFonts w:ascii="Times New Roman" w:hAnsi="Times New Roman" w:cs="Times New Roman"/>
          <w:sz w:val="24"/>
          <w:szCs w:val="24"/>
        </w:rPr>
        <w:t xml:space="preserve"> (El Confidencial - </w:t>
      </w:r>
      <w:r w:rsidR="00EA0B0F" w:rsidRPr="002A1124">
        <w:rPr>
          <w:rFonts w:ascii="Times New Roman" w:hAnsi="Times New Roman" w:cs="Times New Roman"/>
          <w:b/>
          <w:sz w:val="24"/>
          <w:szCs w:val="24"/>
        </w:rPr>
        <w:t>18/9/13</w:t>
      </w:r>
      <w:r w:rsidR="00EA0B0F">
        <w:rPr>
          <w:rFonts w:ascii="Times New Roman" w:hAnsi="Times New Roman" w:cs="Times New Roman"/>
          <w:sz w:val="24"/>
          <w:szCs w:val="24"/>
        </w:rPr>
        <w:t>)</w:t>
      </w:r>
    </w:p>
    <w:p w:rsidR="00EA0B0F" w:rsidRPr="00EA0B0F" w:rsidRDefault="00E3208B" w:rsidP="00387350">
      <w:pPr>
        <w:pStyle w:val="Ttulo1"/>
        <w:shd w:val="clear" w:color="auto" w:fill="FFFFFF"/>
        <w:spacing w:before="0" w:line="240" w:lineRule="auto"/>
        <w:jc w:val="both"/>
        <w:rPr>
          <w:rFonts w:ascii="Times New Roman" w:hAnsi="Times New Roman"/>
          <w:b w:val="0"/>
          <w:color w:val="000000"/>
          <w:sz w:val="24"/>
          <w:szCs w:val="24"/>
          <w:lang w:val="en-US"/>
        </w:rPr>
      </w:pPr>
      <w:r>
        <w:rPr>
          <w:rFonts w:ascii="Times New Roman" w:hAnsi="Times New Roman"/>
          <w:b w:val="0"/>
          <w:color w:val="000000"/>
          <w:sz w:val="24"/>
          <w:szCs w:val="24"/>
          <w:lang w:val="en-US"/>
        </w:rPr>
        <w:t xml:space="preserve">- </w:t>
      </w:r>
      <w:r w:rsidR="00EA0B0F" w:rsidRPr="00E3208B">
        <w:rPr>
          <w:rFonts w:ascii="Times New Roman" w:hAnsi="Times New Roman"/>
          <w:b w:val="0"/>
          <w:color w:val="000000"/>
          <w:sz w:val="24"/>
          <w:szCs w:val="24"/>
          <w:u w:val="single"/>
          <w:lang w:val="en-US"/>
        </w:rPr>
        <w:t>25 Fast Facts About The Federal Reserve</w:t>
      </w:r>
      <w:r w:rsidR="00EA0B0F" w:rsidRPr="00EA0B0F">
        <w:rPr>
          <w:rFonts w:ascii="Times New Roman" w:hAnsi="Times New Roman"/>
          <w:color w:val="000000"/>
          <w:sz w:val="24"/>
          <w:szCs w:val="24"/>
          <w:lang w:val="en-US"/>
        </w:rPr>
        <w:t xml:space="preserve"> </w:t>
      </w:r>
      <w:r w:rsidR="00EA0B0F" w:rsidRPr="00EA0B0F">
        <w:rPr>
          <w:rFonts w:ascii="Times New Roman" w:hAnsi="Times New Roman"/>
          <w:b w:val="0"/>
          <w:color w:val="000000"/>
          <w:sz w:val="24"/>
          <w:szCs w:val="24"/>
          <w:lang w:val="en-US"/>
        </w:rPr>
        <w:t xml:space="preserve">(Zero Hedge - </w:t>
      </w:r>
      <w:r w:rsidR="00EA0B0F" w:rsidRPr="00E3208B">
        <w:rPr>
          <w:rFonts w:ascii="Times New Roman" w:hAnsi="Times New Roman"/>
          <w:color w:val="000000"/>
          <w:sz w:val="24"/>
          <w:szCs w:val="24"/>
          <w:lang w:val="en-US"/>
        </w:rPr>
        <w:t>16/9/13</w:t>
      </w:r>
      <w:r w:rsidR="00EA0B0F" w:rsidRPr="00EA0B0F">
        <w:rPr>
          <w:rFonts w:ascii="Times New Roman" w:hAnsi="Times New Roman"/>
          <w:b w:val="0"/>
          <w:color w:val="000000"/>
          <w:sz w:val="24"/>
          <w:szCs w:val="24"/>
          <w:lang w:val="en-US"/>
        </w:rPr>
        <w:t>)</w:t>
      </w:r>
    </w:p>
    <w:p w:rsidR="00EA0B0F" w:rsidRPr="004D13CE" w:rsidRDefault="004D13CE" w:rsidP="00387350">
      <w:pPr>
        <w:shd w:val="clear" w:color="auto" w:fill="FFFFFF"/>
        <w:spacing w:before="60" w:after="180" w:line="240" w:lineRule="auto"/>
        <w:jc w:val="both"/>
        <w:rPr>
          <w:rFonts w:ascii="Times New Roman" w:hAnsi="Times New Roman" w:cs="Times New Roman"/>
          <w:i/>
          <w:sz w:val="24"/>
          <w:szCs w:val="24"/>
          <w:lang w:val="en"/>
        </w:rPr>
      </w:pPr>
      <w:r>
        <w:rPr>
          <w:rStyle w:val="nfasis"/>
          <w:rFonts w:ascii="Times New Roman" w:hAnsi="Times New Roman" w:cs="Times New Roman"/>
          <w:i w:val="0"/>
          <w:color w:val="000000"/>
          <w:sz w:val="24"/>
          <w:szCs w:val="24"/>
          <w:lang w:val="en"/>
        </w:rPr>
        <w:t>(</w:t>
      </w:r>
      <w:r w:rsidR="00EA0B0F" w:rsidRPr="004D13CE">
        <w:rPr>
          <w:rStyle w:val="nfasis"/>
          <w:rFonts w:ascii="Times New Roman" w:hAnsi="Times New Roman" w:cs="Times New Roman"/>
          <w:i w:val="0"/>
          <w:color w:val="000000"/>
          <w:sz w:val="24"/>
          <w:szCs w:val="24"/>
          <w:lang w:val="en"/>
        </w:rPr>
        <w:t xml:space="preserve">Submitted by Michael Snyder of </w:t>
      </w:r>
      <w:hyperlink r:id="rId161" w:history="1">
        <w:r w:rsidR="00EA0B0F" w:rsidRPr="004D13CE">
          <w:rPr>
            <w:rStyle w:val="Hipervnculo"/>
            <w:rFonts w:ascii="Times New Roman" w:hAnsi="Times New Roman" w:cs="Times New Roman"/>
            <w:i/>
            <w:iCs/>
            <w:color w:val="auto"/>
            <w:sz w:val="24"/>
            <w:szCs w:val="24"/>
            <w:lang w:val="en"/>
          </w:rPr>
          <w:t>The Economic Collapse blog</w:t>
        </w:r>
      </w:hyperlink>
      <w:r>
        <w:rPr>
          <w:rStyle w:val="nfasis"/>
          <w:rFonts w:ascii="Times New Roman" w:hAnsi="Times New Roman" w:cs="Times New Roman"/>
          <w:i w:val="0"/>
          <w:sz w:val="24"/>
          <w:szCs w:val="24"/>
          <w:lang w:val="en"/>
        </w:rPr>
        <w: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As we approach the 100 year anniversary of the creation of the Federal Reserve, it is absolutely imperative that the American people understand that the Fed is at the very heart of our economic problems.  It is a system of money that was created by the bankers and that operates for the benefit of the bankers. </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The American people like t</w:t>
      </w:r>
      <w:r>
        <w:rPr>
          <w:rFonts w:ascii="Times New Roman" w:hAnsi="Times New Roman" w:cs="Times New Roman"/>
          <w:color w:val="000000"/>
          <w:sz w:val="24"/>
          <w:szCs w:val="24"/>
          <w:lang w:val="en"/>
        </w:rPr>
        <w:t>o think that we have a “democratic system”, but there is nothing “democratic”</w:t>
      </w:r>
      <w:r w:rsidRPr="00D15BA0">
        <w:rPr>
          <w:rFonts w:ascii="Times New Roman" w:hAnsi="Times New Roman" w:cs="Times New Roman"/>
          <w:color w:val="000000"/>
          <w:sz w:val="24"/>
          <w:szCs w:val="24"/>
          <w:lang w:val="en"/>
        </w:rPr>
        <w:t xml:space="preserve"> about the Federal Reserve.  Unelected, unaccountable central planners from a private central bank run our financial system and manage our economy.  There is a reason why financial markets respond with a yawn when Barack Obama says something about the economy, but they swing wildly whenever Federal Reserve Chairman Ben Bernanke opens his mouth. </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The Federal Reserve has far more power over the U.S. economy than anyone else does by a huge margin.  The Fed is </w:t>
      </w:r>
      <w:hyperlink r:id="rId162" w:tooltip="the biggest Ponzi scheme in the history of the world" w:history="1">
        <w:r w:rsidRPr="00D15BA0">
          <w:rPr>
            <w:rStyle w:val="Hipervnculo"/>
            <w:rFonts w:ascii="Times New Roman" w:hAnsi="Times New Roman" w:cs="Times New Roman"/>
            <w:sz w:val="24"/>
            <w:szCs w:val="24"/>
            <w:lang w:val="en"/>
          </w:rPr>
          <w:t>the biggest Ponzi scheme in the history of the world</w:t>
        </w:r>
      </w:hyperlink>
      <w:r w:rsidRPr="00D15BA0">
        <w:rPr>
          <w:rFonts w:ascii="Times New Roman" w:hAnsi="Times New Roman" w:cs="Times New Roman"/>
          <w:color w:val="000000"/>
          <w:sz w:val="24"/>
          <w:szCs w:val="24"/>
          <w:lang w:val="en"/>
        </w:rPr>
        <w:t>, and if the American people truly understood how it really works, they would be screaming for it to be abolished immediately.  The following are 25 fast facts about the Federal Reserve that everyone should know...</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w:t>
      </w:r>
      <w:r w:rsidRPr="00D15BA0">
        <w:rPr>
          <w:rFonts w:ascii="Times New Roman" w:hAnsi="Times New Roman" w:cs="Times New Roman"/>
          <w:color w:val="000000"/>
          <w:sz w:val="24"/>
          <w:szCs w:val="24"/>
          <w:lang w:val="en"/>
        </w:rPr>
        <w:t xml:space="preserve"> The greatest period of economic growth in U.S. history was when </w:t>
      </w:r>
      <w:hyperlink r:id="rId163" w:tooltip="there was no central bank" w:history="1">
        <w:r w:rsidRPr="00D15BA0">
          <w:rPr>
            <w:rStyle w:val="Hipervnculo"/>
            <w:rFonts w:ascii="Times New Roman" w:hAnsi="Times New Roman" w:cs="Times New Roman"/>
            <w:sz w:val="24"/>
            <w:szCs w:val="24"/>
            <w:lang w:val="en"/>
          </w:rPr>
          <w:t>there was no central bank</w:t>
        </w:r>
      </w:hyperlink>
      <w:r w:rsidRPr="00D15BA0">
        <w:rPr>
          <w:rFonts w:ascii="Times New Roman" w:hAnsi="Times New Roman" w:cs="Times New Roman"/>
          <w:color w:val="000000"/>
          <w:sz w:val="24"/>
          <w:szCs w:val="24"/>
          <w:lang w:val="en"/>
        </w:rPr>
        <w: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w:t>
      </w:r>
      <w:r w:rsidRPr="00D15BA0">
        <w:rPr>
          <w:rFonts w:ascii="Times New Roman" w:hAnsi="Times New Roman" w:cs="Times New Roman"/>
          <w:color w:val="000000"/>
          <w:sz w:val="24"/>
          <w:szCs w:val="24"/>
          <w:lang w:val="en"/>
        </w:rPr>
        <w:t xml:space="preserve"> The United States never had a persistent, ongoing problem with inflation </w:t>
      </w:r>
      <w:hyperlink r:id="rId164" w:tgtFrame="_blank" w:tooltip="until the Federal Reserve was created" w:history="1">
        <w:r w:rsidRPr="00D15BA0">
          <w:rPr>
            <w:rStyle w:val="Hipervnculo"/>
            <w:rFonts w:ascii="Times New Roman" w:hAnsi="Times New Roman" w:cs="Times New Roman"/>
            <w:sz w:val="24"/>
            <w:szCs w:val="24"/>
            <w:lang w:val="en"/>
          </w:rPr>
          <w:t>until the Federal Reserve was created</w:t>
        </w:r>
      </w:hyperlink>
      <w:r w:rsidRPr="00D15BA0">
        <w:rPr>
          <w:rFonts w:ascii="Times New Roman" w:hAnsi="Times New Roman" w:cs="Times New Roman"/>
          <w:color w:val="000000"/>
          <w:sz w:val="24"/>
          <w:szCs w:val="24"/>
          <w:lang w:val="en"/>
        </w:rPr>
        <w:t xml:space="preserve">.  In the century before the Federal Reserve was created, the average annual rate of inflation was about half a percent.  In the century since the Federal Reserve was created, the average annual rate of inflation has been </w:t>
      </w:r>
      <w:hyperlink r:id="rId165" w:tgtFrame="_blank" w:tooltip="about 3.5 percent" w:history="1">
        <w:r w:rsidRPr="00D15BA0">
          <w:rPr>
            <w:rStyle w:val="Hipervnculo"/>
            <w:rFonts w:ascii="Times New Roman" w:hAnsi="Times New Roman" w:cs="Times New Roman"/>
            <w:sz w:val="24"/>
            <w:szCs w:val="24"/>
            <w:lang w:val="en"/>
          </w:rPr>
          <w:t>about 3.5 percent</w:t>
        </w:r>
      </w:hyperlink>
      <w:r w:rsidRPr="00D15BA0">
        <w:rPr>
          <w:rFonts w:ascii="Times New Roman" w:hAnsi="Times New Roman" w:cs="Times New Roman"/>
          <w:color w:val="000000"/>
          <w:sz w:val="24"/>
          <w:szCs w:val="24"/>
          <w:lang w:val="en"/>
        </w:rPr>
        <w:t xml:space="preserve">, and it would be even higher than that if the inflation numbers were not being so </w:t>
      </w:r>
      <w:hyperlink r:id="rId166" w:tgtFrame="_blank" w:tooltip="grossly manipulated" w:history="1">
        <w:r w:rsidRPr="00D15BA0">
          <w:rPr>
            <w:rStyle w:val="Hipervnculo"/>
            <w:rFonts w:ascii="Times New Roman" w:hAnsi="Times New Roman" w:cs="Times New Roman"/>
            <w:sz w:val="24"/>
            <w:szCs w:val="24"/>
            <w:lang w:val="en"/>
          </w:rPr>
          <w:t>grossly manipulated</w:t>
        </w:r>
      </w:hyperlink>
      <w:r w:rsidRPr="00D15BA0">
        <w:rPr>
          <w:rFonts w:ascii="Times New Roman" w:hAnsi="Times New Roman" w:cs="Times New Roman"/>
          <w:color w:val="000000"/>
          <w:sz w:val="24"/>
          <w:szCs w:val="24"/>
          <w:lang w:val="en"/>
        </w:rPr>
        <w: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#3</w:t>
      </w:r>
      <w:r w:rsidRPr="00D15BA0">
        <w:rPr>
          <w:rFonts w:ascii="Times New Roman" w:hAnsi="Times New Roman" w:cs="Times New Roman"/>
          <w:color w:val="000000"/>
          <w:sz w:val="24"/>
          <w:szCs w:val="24"/>
          <w:lang w:val="en"/>
        </w:rPr>
        <w:t xml:space="preserve"> Even using the official numbers, the value of the U.S. dollar has declined by more than 95 percent since the Federal Reserve was created nearly 100 years ago.</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#4</w:t>
      </w:r>
      <w:r w:rsidRPr="00D15BA0">
        <w:rPr>
          <w:rFonts w:ascii="Times New Roman" w:hAnsi="Times New Roman" w:cs="Times New Roman"/>
          <w:color w:val="000000"/>
          <w:sz w:val="24"/>
          <w:szCs w:val="24"/>
          <w:lang w:val="en"/>
        </w:rPr>
        <w:t xml:space="preserve"> The secret November 1910 gathering at Jekyll Island, Georgia during which the plan for the Federal Reserve was hatched was attended by U.S. Senator Nelson W. Aldrich, Assistant Secretary of the Treasury Department A.P. Andrews and a whole host of representatives from the upper crust of the Wall Street banking establishment.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#5</w:t>
      </w:r>
      <w:r w:rsidRPr="00D15BA0">
        <w:rPr>
          <w:rFonts w:ascii="Times New Roman" w:hAnsi="Times New Roman" w:cs="Times New Roman"/>
          <w:color w:val="000000"/>
          <w:sz w:val="24"/>
          <w:szCs w:val="24"/>
          <w:lang w:val="en"/>
        </w:rPr>
        <w:t xml:space="preserve"> In 1913, Congress was promised that if the Federal Reserve Act was passed that it would </w:t>
      </w:r>
      <w:hyperlink r:id="rId167" w:tgtFrame="_blank" w:tooltip="eliminate the business cycle" w:history="1">
        <w:r w:rsidRPr="00D15BA0">
          <w:rPr>
            <w:rStyle w:val="Hipervnculo"/>
            <w:rFonts w:ascii="Times New Roman" w:hAnsi="Times New Roman" w:cs="Times New Roman"/>
            <w:sz w:val="24"/>
            <w:szCs w:val="24"/>
            <w:lang w:val="en"/>
          </w:rPr>
          <w:t>eliminate the business cycle</w:t>
        </w:r>
      </w:hyperlink>
      <w:r w:rsidRPr="00D15BA0">
        <w:rPr>
          <w:rFonts w:ascii="Times New Roman" w:hAnsi="Times New Roman" w:cs="Times New Roman"/>
          <w:color w:val="000000"/>
          <w:sz w:val="24"/>
          <w:szCs w:val="24"/>
          <w:lang w:val="en"/>
        </w:rPr>
        <w: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#6</w:t>
      </w:r>
      <w:r w:rsidRPr="00D15BA0">
        <w:rPr>
          <w:rFonts w:ascii="Times New Roman" w:hAnsi="Times New Roman" w:cs="Times New Roman"/>
          <w:color w:val="000000"/>
          <w:sz w:val="24"/>
          <w:szCs w:val="24"/>
          <w:lang w:val="en"/>
        </w:rPr>
        <w:t xml:space="preserve"> The following comes directly from </w:t>
      </w:r>
      <w:hyperlink r:id="rId168" w:tgtFrame="_blank" w:tooltip="the Fed's official mission statement" w:history="1">
        <w:r w:rsidRPr="00D15BA0">
          <w:rPr>
            <w:rStyle w:val="Hipervnculo"/>
            <w:rFonts w:ascii="Times New Roman" w:hAnsi="Times New Roman" w:cs="Times New Roman"/>
            <w:sz w:val="24"/>
            <w:szCs w:val="24"/>
            <w:lang w:val="en"/>
          </w:rPr>
          <w:t>the Fed's official mission statement</w:t>
        </w:r>
      </w:hyperlink>
      <w:r>
        <w:rPr>
          <w:rFonts w:ascii="Times New Roman" w:hAnsi="Times New Roman" w:cs="Times New Roman"/>
          <w:color w:val="000000"/>
          <w:sz w:val="24"/>
          <w:szCs w:val="24"/>
          <w:lang w:val="en"/>
        </w:rPr>
        <w:t>: “</w:t>
      </w:r>
      <w:r w:rsidRPr="00D15BA0">
        <w:rPr>
          <w:rFonts w:ascii="Times New Roman" w:hAnsi="Times New Roman" w:cs="Times New Roman"/>
          <w:color w:val="000000"/>
          <w:sz w:val="24"/>
          <w:szCs w:val="24"/>
          <w:lang w:val="en"/>
        </w:rPr>
        <w:t>To provide the nation with a safer, more flexible, and more stable monetary and financial system. Over the years, its role in bankin</w:t>
      </w:r>
      <w:r>
        <w:rPr>
          <w:rFonts w:ascii="Times New Roman" w:hAnsi="Times New Roman" w:cs="Times New Roman"/>
          <w:color w:val="000000"/>
          <w:sz w:val="24"/>
          <w:szCs w:val="24"/>
          <w:lang w:val="en"/>
        </w:rPr>
        <w:t>g and the economy has expanded”.</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#7</w:t>
      </w:r>
      <w:r w:rsidRPr="00D15BA0">
        <w:rPr>
          <w:rFonts w:ascii="Times New Roman" w:hAnsi="Times New Roman" w:cs="Times New Roman"/>
          <w:color w:val="000000"/>
          <w:sz w:val="24"/>
          <w:szCs w:val="24"/>
          <w:lang w:val="en"/>
        </w:rPr>
        <w:t xml:space="preserve"> It was not an accident that a permanent income tax </w:t>
      </w:r>
      <w:hyperlink r:id="rId169" w:tgtFrame="_blank" w:tooltip="was also introduced the same year" w:history="1">
        <w:r w:rsidRPr="00D15BA0">
          <w:rPr>
            <w:rStyle w:val="Hipervnculo"/>
            <w:rFonts w:ascii="Times New Roman" w:hAnsi="Times New Roman" w:cs="Times New Roman"/>
            <w:sz w:val="24"/>
            <w:szCs w:val="24"/>
            <w:lang w:val="en"/>
          </w:rPr>
          <w:t>was also introduced the same year</w:t>
        </w:r>
      </w:hyperlink>
      <w:r w:rsidRPr="00D15BA0">
        <w:rPr>
          <w:rFonts w:ascii="Times New Roman" w:hAnsi="Times New Roman" w:cs="Times New Roman"/>
          <w:color w:val="000000"/>
          <w:sz w:val="24"/>
          <w:szCs w:val="24"/>
          <w:lang w:val="en"/>
        </w:rPr>
        <w:t xml:space="preserve"> when the Federal Reserve system was established.  The whole idea was to transfer wealth from our pockets to the federal government and from the federal government to the bankers.</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lastRenderedPageBreak/>
        <w:t>#8</w:t>
      </w:r>
      <w:r w:rsidRPr="00D15BA0">
        <w:rPr>
          <w:rFonts w:ascii="Times New Roman" w:hAnsi="Times New Roman" w:cs="Times New Roman"/>
          <w:color w:val="000000"/>
          <w:sz w:val="24"/>
          <w:szCs w:val="24"/>
          <w:lang w:val="en"/>
        </w:rPr>
        <w:t xml:space="preserve"> Within 20 years of the creation of the Federal Reserve, the U.S. economy was plunged into the Great Depression.</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#9</w:t>
      </w:r>
      <w:r w:rsidRPr="00D15BA0">
        <w:rPr>
          <w:rFonts w:ascii="Times New Roman" w:hAnsi="Times New Roman" w:cs="Times New Roman"/>
          <w:color w:val="000000"/>
          <w:sz w:val="24"/>
          <w:szCs w:val="24"/>
          <w:lang w:val="en"/>
        </w:rPr>
        <w:t xml:space="preserve"> If you can believe it, there have been </w:t>
      </w:r>
      <w:hyperlink r:id="rId170" w:tgtFrame="_blank" w:tooltip="10 different economic recessions" w:history="1">
        <w:r w:rsidRPr="00D15BA0">
          <w:rPr>
            <w:rStyle w:val="Hipervnculo"/>
            <w:rFonts w:ascii="Times New Roman" w:hAnsi="Times New Roman" w:cs="Times New Roman"/>
            <w:sz w:val="24"/>
            <w:szCs w:val="24"/>
            <w:lang w:val="en"/>
          </w:rPr>
          <w:t>10 different economic recessions</w:t>
        </w:r>
      </w:hyperlink>
      <w:r w:rsidRPr="00D15BA0">
        <w:rPr>
          <w:rFonts w:ascii="Times New Roman" w:hAnsi="Times New Roman" w:cs="Times New Roman"/>
          <w:color w:val="000000"/>
          <w:sz w:val="24"/>
          <w:szCs w:val="24"/>
          <w:lang w:val="en"/>
        </w:rPr>
        <w:t xml:space="preserve"> since 1950.  T</w:t>
      </w:r>
      <w:r>
        <w:rPr>
          <w:rFonts w:ascii="Times New Roman" w:hAnsi="Times New Roman" w:cs="Times New Roman"/>
          <w:color w:val="000000"/>
          <w:sz w:val="24"/>
          <w:szCs w:val="24"/>
          <w:lang w:val="en"/>
        </w:rPr>
        <w:t>he Federal Reserve created the “dotcom bubble”</w:t>
      </w:r>
      <w:r w:rsidRPr="00D15BA0">
        <w:rPr>
          <w:rFonts w:ascii="Times New Roman" w:hAnsi="Times New Roman" w:cs="Times New Roman"/>
          <w:color w:val="000000"/>
          <w:sz w:val="24"/>
          <w:szCs w:val="24"/>
          <w:lang w:val="en"/>
        </w:rPr>
        <w:t>, t</w:t>
      </w:r>
      <w:r>
        <w:rPr>
          <w:rFonts w:ascii="Times New Roman" w:hAnsi="Times New Roman" w:cs="Times New Roman"/>
          <w:color w:val="000000"/>
          <w:sz w:val="24"/>
          <w:szCs w:val="24"/>
          <w:lang w:val="en"/>
        </w:rPr>
        <w:t>he Federal Reserve created the “housing bubble”</w:t>
      </w:r>
      <w:r w:rsidRPr="00D15BA0">
        <w:rPr>
          <w:rFonts w:ascii="Times New Roman" w:hAnsi="Times New Roman" w:cs="Times New Roman"/>
          <w:color w:val="000000"/>
          <w:sz w:val="24"/>
          <w:szCs w:val="24"/>
          <w:lang w:val="en"/>
        </w:rPr>
        <w:t xml:space="preserve"> and now it has created </w:t>
      </w:r>
      <w:hyperlink r:id="rId171" w:tooltip="the largest bond bubble" w:history="1">
        <w:r w:rsidRPr="00D15BA0">
          <w:rPr>
            <w:rStyle w:val="Hipervnculo"/>
            <w:rFonts w:ascii="Times New Roman" w:hAnsi="Times New Roman" w:cs="Times New Roman"/>
            <w:sz w:val="24"/>
            <w:szCs w:val="24"/>
            <w:lang w:val="en"/>
          </w:rPr>
          <w:t>the largest bond bubble</w:t>
        </w:r>
      </w:hyperlink>
      <w:r w:rsidRPr="00D15BA0">
        <w:rPr>
          <w:rFonts w:ascii="Times New Roman" w:hAnsi="Times New Roman" w:cs="Times New Roman"/>
          <w:color w:val="000000"/>
          <w:sz w:val="24"/>
          <w:szCs w:val="24"/>
          <w:lang w:val="en"/>
        </w:rPr>
        <w:t xml:space="preserve"> in the history of the planet.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#10</w:t>
      </w:r>
      <w:r w:rsidRPr="00D15BA0">
        <w:rPr>
          <w:rFonts w:ascii="Times New Roman" w:hAnsi="Times New Roman" w:cs="Times New Roman"/>
          <w:color w:val="000000"/>
          <w:sz w:val="24"/>
          <w:szCs w:val="24"/>
          <w:lang w:val="en"/>
        </w:rPr>
        <w:t xml:space="preserve"> According to an official government report, the Federal Reserve made </w:t>
      </w:r>
      <w:hyperlink r:id="rId172" w:tooltip="16.1 trillion dollars" w:history="1">
        <w:r w:rsidRPr="00D15BA0">
          <w:rPr>
            <w:rStyle w:val="Hipervnculo"/>
            <w:rFonts w:ascii="Times New Roman" w:hAnsi="Times New Roman" w:cs="Times New Roman"/>
            <w:sz w:val="24"/>
            <w:szCs w:val="24"/>
            <w:lang w:val="en"/>
          </w:rPr>
          <w:t>16.1 trillion dollars</w:t>
        </w:r>
      </w:hyperlink>
      <w:r w:rsidRPr="00D15BA0">
        <w:rPr>
          <w:rFonts w:ascii="Times New Roman" w:hAnsi="Times New Roman" w:cs="Times New Roman"/>
          <w:color w:val="000000"/>
          <w:sz w:val="24"/>
          <w:szCs w:val="24"/>
          <w:lang w:val="en"/>
        </w:rPr>
        <w:t xml:space="preserve"> in secret loans to the big banks during the last financial crisis.  The following is a list of loan recipients that was taken directly from </w:t>
      </w:r>
      <w:hyperlink r:id="rId173" w:anchor="outer_page_144" w:tgtFrame="_blank" w:tooltip="page 131" w:history="1">
        <w:r w:rsidRPr="00D15BA0">
          <w:rPr>
            <w:rStyle w:val="Hipervnculo"/>
            <w:rFonts w:ascii="Times New Roman" w:hAnsi="Times New Roman" w:cs="Times New Roman"/>
            <w:sz w:val="24"/>
            <w:szCs w:val="24"/>
            <w:lang w:val="en"/>
          </w:rPr>
          <w:t>page 131</w:t>
        </w:r>
      </w:hyperlink>
      <w:r w:rsidRPr="00D15BA0">
        <w:rPr>
          <w:rFonts w:ascii="Times New Roman" w:hAnsi="Times New Roman" w:cs="Times New Roman"/>
          <w:color w:val="000000"/>
          <w:sz w:val="24"/>
          <w:szCs w:val="24"/>
          <w:lang w:val="en"/>
        </w:rPr>
        <w:t xml:space="preserve"> of the report...</w:t>
      </w:r>
    </w:p>
    <w:p w:rsidR="00EA0B0F" w:rsidRPr="00D15BA0" w:rsidRDefault="00EA0B0F" w:rsidP="00387350">
      <w:pPr>
        <w:shd w:val="clear" w:color="auto" w:fill="FFFFFF"/>
        <w:spacing w:before="60" w:after="180" w:line="240" w:lineRule="auto"/>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 xml:space="preserve">Citigroup - </w:t>
      </w:r>
      <w:r w:rsidRPr="00D15BA0">
        <w:rPr>
          <w:rStyle w:val="Textoennegrita"/>
          <w:rFonts w:ascii="Times New Roman" w:hAnsi="Times New Roman" w:cs="Times New Roman"/>
          <w:color w:val="000000"/>
          <w:sz w:val="24"/>
          <w:szCs w:val="24"/>
          <w:lang w:val="en"/>
        </w:rPr>
        <w:t>$2.513 trillion</w:t>
      </w:r>
      <w:r w:rsidRPr="00D15BA0">
        <w:rPr>
          <w:rFonts w:ascii="Times New Roman" w:hAnsi="Times New Roman" w:cs="Times New Roman"/>
          <w:color w:val="000000"/>
          <w:sz w:val="24"/>
          <w:szCs w:val="24"/>
          <w:lang w:val="en"/>
        </w:rPr>
        <w:br/>
        <w:t xml:space="preserve">Morgan Stanley - </w:t>
      </w:r>
      <w:r w:rsidRPr="00D15BA0">
        <w:rPr>
          <w:rStyle w:val="Textoennegrita"/>
          <w:rFonts w:ascii="Times New Roman" w:hAnsi="Times New Roman" w:cs="Times New Roman"/>
          <w:color w:val="000000"/>
          <w:sz w:val="24"/>
          <w:szCs w:val="24"/>
          <w:lang w:val="en"/>
        </w:rPr>
        <w:t>$2.041 trillion</w:t>
      </w:r>
      <w:r w:rsidRPr="00D15BA0">
        <w:rPr>
          <w:rFonts w:ascii="Times New Roman" w:hAnsi="Times New Roman" w:cs="Times New Roman"/>
          <w:color w:val="000000"/>
          <w:sz w:val="24"/>
          <w:szCs w:val="24"/>
          <w:lang w:val="en"/>
        </w:rPr>
        <w:br/>
        <w:t xml:space="preserve">Merrill Lynch - </w:t>
      </w:r>
      <w:r w:rsidRPr="00D15BA0">
        <w:rPr>
          <w:rStyle w:val="Textoennegrita"/>
          <w:rFonts w:ascii="Times New Roman" w:hAnsi="Times New Roman" w:cs="Times New Roman"/>
          <w:color w:val="000000"/>
          <w:sz w:val="24"/>
          <w:szCs w:val="24"/>
          <w:lang w:val="en"/>
        </w:rPr>
        <w:t>$1.949 trillion</w:t>
      </w:r>
      <w:r w:rsidRPr="00D15BA0">
        <w:rPr>
          <w:rFonts w:ascii="Times New Roman" w:hAnsi="Times New Roman" w:cs="Times New Roman"/>
          <w:color w:val="000000"/>
          <w:sz w:val="24"/>
          <w:szCs w:val="24"/>
          <w:lang w:val="en"/>
        </w:rPr>
        <w:br/>
        <w:t xml:space="preserve">Bank of America - </w:t>
      </w:r>
      <w:r w:rsidRPr="00D15BA0">
        <w:rPr>
          <w:rStyle w:val="Textoennegrita"/>
          <w:rFonts w:ascii="Times New Roman" w:hAnsi="Times New Roman" w:cs="Times New Roman"/>
          <w:color w:val="000000"/>
          <w:sz w:val="24"/>
          <w:szCs w:val="24"/>
          <w:lang w:val="en"/>
        </w:rPr>
        <w:t>$1.344 trillion</w:t>
      </w:r>
      <w:r w:rsidRPr="00D15BA0">
        <w:rPr>
          <w:rFonts w:ascii="Times New Roman" w:hAnsi="Times New Roman" w:cs="Times New Roman"/>
          <w:color w:val="000000"/>
          <w:sz w:val="24"/>
          <w:szCs w:val="24"/>
          <w:lang w:val="en"/>
        </w:rPr>
        <w:br/>
        <w:t xml:space="preserve">Barclays PLC - </w:t>
      </w:r>
      <w:r w:rsidRPr="00D15BA0">
        <w:rPr>
          <w:rStyle w:val="Textoennegrita"/>
          <w:rFonts w:ascii="Times New Roman" w:hAnsi="Times New Roman" w:cs="Times New Roman"/>
          <w:color w:val="000000"/>
          <w:sz w:val="24"/>
          <w:szCs w:val="24"/>
          <w:lang w:val="en"/>
        </w:rPr>
        <w:t>$868 billion</w:t>
      </w:r>
      <w:r w:rsidRPr="00D15BA0">
        <w:rPr>
          <w:rFonts w:ascii="Times New Roman" w:hAnsi="Times New Roman" w:cs="Times New Roman"/>
          <w:color w:val="000000"/>
          <w:sz w:val="24"/>
          <w:szCs w:val="24"/>
          <w:lang w:val="en"/>
        </w:rPr>
        <w:br/>
        <w:t xml:space="preserve">Bear Sterns - </w:t>
      </w:r>
      <w:r w:rsidRPr="00D15BA0">
        <w:rPr>
          <w:rStyle w:val="Textoennegrita"/>
          <w:rFonts w:ascii="Times New Roman" w:hAnsi="Times New Roman" w:cs="Times New Roman"/>
          <w:color w:val="000000"/>
          <w:sz w:val="24"/>
          <w:szCs w:val="24"/>
          <w:lang w:val="en"/>
        </w:rPr>
        <w:t>$853 billion</w:t>
      </w:r>
      <w:r w:rsidRPr="00D15BA0">
        <w:rPr>
          <w:rFonts w:ascii="Times New Roman" w:hAnsi="Times New Roman" w:cs="Times New Roman"/>
          <w:color w:val="000000"/>
          <w:sz w:val="24"/>
          <w:szCs w:val="24"/>
          <w:lang w:val="en"/>
        </w:rPr>
        <w:br/>
        <w:t xml:space="preserve">Goldman Sachs - </w:t>
      </w:r>
      <w:r w:rsidRPr="00D15BA0">
        <w:rPr>
          <w:rStyle w:val="Textoennegrita"/>
          <w:rFonts w:ascii="Times New Roman" w:hAnsi="Times New Roman" w:cs="Times New Roman"/>
          <w:color w:val="000000"/>
          <w:sz w:val="24"/>
          <w:szCs w:val="24"/>
          <w:lang w:val="en"/>
        </w:rPr>
        <w:t>$814 billion</w:t>
      </w:r>
      <w:r w:rsidRPr="00D15BA0">
        <w:rPr>
          <w:rFonts w:ascii="Times New Roman" w:hAnsi="Times New Roman" w:cs="Times New Roman"/>
          <w:color w:val="000000"/>
          <w:sz w:val="24"/>
          <w:szCs w:val="24"/>
          <w:lang w:val="en"/>
        </w:rPr>
        <w:br/>
        <w:t xml:space="preserve">Royal Bank of Scotland - </w:t>
      </w:r>
      <w:r w:rsidRPr="00D15BA0">
        <w:rPr>
          <w:rStyle w:val="Textoennegrita"/>
          <w:rFonts w:ascii="Times New Roman" w:hAnsi="Times New Roman" w:cs="Times New Roman"/>
          <w:color w:val="000000"/>
          <w:sz w:val="24"/>
          <w:szCs w:val="24"/>
          <w:lang w:val="en"/>
        </w:rPr>
        <w:t>$541 billion</w:t>
      </w:r>
      <w:r w:rsidRPr="00D15BA0">
        <w:rPr>
          <w:rFonts w:ascii="Times New Roman" w:hAnsi="Times New Roman" w:cs="Times New Roman"/>
          <w:color w:val="000000"/>
          <w:sz w:val="24"/>
          <w:szCs w:val="24"/>
          <w:lang w:val="en"/>
        </w:rPr>
        <w:br/>
        <w:t xml:space="preserve">JP Morgan Chase - </w:t>
      </w:r>
      <w:r w:rsidRPr="00D15BA0">
        <w:rPr>
          <w:rStyle w:val="Textoennegrita"/>
          <w:rFonts w:ascii="Times New Roman" w:hAnsi="Times New Roman" w:cs="Times New Roman"/>
          <w:color w:val="000000"/>
          <w:sz w:val="24"/>
          <w:szCs w:val="24"/>
          <w:lang w:val="en"/>
        </w:rPr>
        <w:t>$391 billion</w:t>
      </w:r>
      <w:r w:rsidRPr="00D15BA0">
        <w:rPr>
          <w:rFonts w:ascii="Times New Roman" w:hAnsi="Times New Roman" w:cs="Times New Roman"/>
          <w:color w:val="000000"/>
          <w:sz w:val="24"/>
          <w:szCs w:val="24"/>
          <w:lang w:val="en"/>
        </w:rPr>
        <w:br/>
        <w:t xml:space="preserve">Deutsche Bank - </w:t>
      </w:r>
      <w:r w:rsidRPr="00D15BA0">
        <w:rPr>
          <w:rStyle w:val="Textoennegrita"/>
          <w:rFonts w:ascii="Times New Roman" w:hAnsi="Times New Roman" w:cs="Times New Roman"/>
          <w:color w:val="000000"/>
          <w:sz w:val="24"/>
          <w:szCs w:val="24"/>
          <w:lang w:val="en"/>
        </w:rPr>
        <w:t>$354 billion</w:t>
      </w:r>
      <w:r w:rsidRPr="00D15BA0">
        <w:rPr>
          <w:rFonts w:ascii="Times New Roman" w:hAnsi="Times New Roman" w:cs="Times New Roman"/>
          <w:color w:val="000000"/>
          <w:sz w:val="24"/>
          <w:szCs w:val="24"/>
          <w:lang w:val="en"/>
        </w:rPr>
        <w:br/>
        <w:t xml:space="preserve">UBS - </w:t>
      </w:r>
      <w:r w:rsidRPr="00D15BA0">
        <w:rPr>
          <w:rStyle w:val="Textoennegrita"/>
          <w:rFonts w:ascii="Times New Roman" w:hAnsi="Times New Roman" w:cs="Times New Roman"/>
          <w:color w:val="000000"/>
          <w:sz w:val="24"/>
          <w:szCs w:val="24"/>
          <w:lang w:val="en"/>
        </w:rPr>
        <w:t>$287 billion</w:t>
      </w:r>
      <w:r w:rsidRPr="00D15BA0">
        <w:rPr>
          <w:rFonts w:ascii="Times New Roman" w:hAnsi="Times New Roman" w:cs="Times New Roman"/>
          <w:color w:val="000000"/>
          <w:sz w:val="24"/>
          <w:szCs w:val="24"/>
          <w:lang w:val="en"/>
        </w:rPr>
        <w:br/>
        <w:t xml:space="preserve">Credit Suisse - </w:t>
      </w:r>
      <w:r w:rsidRPr="00D15BA0">
        <w:rPr>
          <w:rStyle w:val="Textoennegrita"/>
          <w:rFonts w:ascii="Times New Roman" w:hAnsi="Times New Roman" w:cs="Times New Roman"/>
          <w:color w:val="000000"/>
          <w:sz w:val="24"/>
          <w:szCs w:val="24"/>
          <w:lang w:val="en"/>
        </w:rPr>
        <w:t>$262 billion</w:t>
      </w:r>
      <w:r w:rsidRPr="00D15BA0">
        <w:rPr>
          <w:rFonts w:ascii="Times New Roman" w:hAnsi="Times New Roman" w:cs="Times New Roman"/>
          <w:color w:val="000000"/>
          <w:sz w:val="24"/>
          <w:szCs w:val="24"/>
          <w:lang w:val="en"/>
        </w:rPr>
        <w:br/>
        <w:t xml:space="preserve">Lehman Brothers - </w:t>
      </w:r>
      <w:r w:rsidRPr="00D15BA0">
        <w:rPr>
          <w:rStyle w:val="Textoennegrita"/>
          <w:rFonts w:ascii="Times New Roman" w:hAnsi="Times New Roman" w:cs="Times New Roman"/>
          <w:color w:val="000000"/>
          <w:sz w:val="24"/>
          <w:szCs w:val="24"/>
          <w:lang w:val="en"/>
        </w:rPr>
        <w:t>$183 billion</w:t>
      </w:r>
      <w:r w:rsidRPr="00D15BA0">
        <w:rPr>
          <w:rFonts w:ascii="Times New Roman" w:hAnsi="Times New Roman" w:cs="Times New Roman"/>
          <w:color w:val="000000"/>
          <w:sz w:val="24"/>
          <w:szCs w:val="24"/>
          <w:lang w:val="en"/>
        </w:rPr>
        <w:br/>
        <w:t xml:space="preserve">Bank of Scotland - </w:t>
      </w:r>
      <w:r w:rsidRPr="00D15BA0">
        <w:rPr>
          <w:rStyle w:val="Textoennegrita"/>
          <w:rFonts w:ascii="Times New Roman" w:hAnsi="Times New Roman" w:cs="Times New Roman"/>
          <w:color w:val="000000"/>
          <w:sz w:val="24"/>
          <w:szCs w:val="24"/>
          <w:lang w:val="en"/>
        </w:rPr>
        <w:t>$181 billion</w:t>
      </w:r>
      <w:r w:rsidRPr="00D15BA0">
        <w:rPr>
          <w:rFonts w:ascii="Times New Roman" w:hAnsi="Times New Roman" w:cs="Times New Roman"/>
          <w:color w:val="000000"/>
          <w:sz w:val="24"/>
          <w:szCs w:val="24"/>
          <w:lang w:val="en"/>
        </w:rPr>
        <w:br/>
        <w:t xml:space="preserve">BNP Paribas - </w:t>
      </w:r>
      <w:r w:rsidRPr="00D15BA0">
        <w:rPr>
          <w:rStyle w:val="Textoennegrita"/>
          <w:rFonts w:ascii="Times New Roman" w:hAnsi="Times New Roman" w:cs="Times New Roman"/>
          <w:color w:val="000000"/>
          <w:sz w:val="24"/>
          <w:szCs w:val="24"/>
          <w:lang w:val="en"/>
        </w:rPr>
        <w:t>$175 billion</w:t>
      </w:r>
      <w:r w:rsidRPr="00D15BA0">
        <w:rPr>
          <w:rFonts w:ascii="Times New Roman" w:hAnsi="Times New Roman" w:cs="Times New Roman"/>
          <w:color w:val="000000"/>
          <w:sz w:val="24"/>
          <w:szCs w:val="24"/>
          <w:lang w:val="en"/>
        </w:rPr>
        <w:br/>
        <w:t xml:space="preserve">Wells Fargo - </w:t>
      </w:r>
      <w:r w:rsidRPr="00D15BA0">
        <w:rPr>
          <w:rStyle w:val="Textoennegrita"/>
          <w:rFonts w:ascii="Times New Roman" w:hAnsi="Times New Roman" w:cs="Times New Roman"/>
          <w:color w:val="000000"/>
          <w:sz w:val="24"/>
          <w:szCs w:val="24"/>
          <w:lang w:val="en"/>
        </w:rPr>
        <w:t>$159 billion</w:t>
      </w:r>
      <w:r w:rsidRPr="00D15BA0">
        <w:rPr>
          <w:rFonts w:ascii="Times New Roman" w:hAnsi="Times New Roman" w:cs="Times New Roman"/>
          <w:color w:val="000000"/>
          <w:sz w:val="24"/>
          <w:szCs w:val="24"/>
          <w:lang w:val="en"/>
        </w:rPr>
        <w:br/>
        <w:t xml:space="preserve">Dexia - </w:t>
      </w:r>
      <w:r w:rsidRPr="00D15BA0">
        <w:rPr>
          <w:rStyle w:val="Textoennegrita"/>
          <w:rFonts w:ascii="Times New Roman" w:hAnsi="Times New Roman" w:cs="Times New Roman"/>
          <w:color w:val="000000"/>
          <w:sz w:val="24"/>
          <w:szCs w:val="24"/>
          <w:lang w:val="en"/>
        </w:rPr>
        <w:t>$159 billion</w:t>
      </w:r>
      <w:r w:rsidRPr="00D15BA0">
        <w:rPr>
          <w:rFonts w:ascii="Times New Roman" w:hAnsi="Times New Roman" w:cs="Times New Roman"/>
          <w:color w:val="000000"/>
          <w:sz w:val="24"/>
          <w:szCs w:val="24"/>
          <w:lang w:val="en"/>
        </w:rPr>
        <w:br/>
        <w:t xml:space="preserve">Wachovia - </w:t>
      </w:r>
      <w:r w:rsidRPr="00D15BA0">
        <w:rPr>
          <w:rStyle w:val="Textoennegrita"/>
          <w:rFonts w:ascii="Times New Roman" w:hAnsi="Times New Roman" w:cs="Times New Roman"/>
          <w:color w:val="000000"/>
          <w:sz w:val="24"/>
          <w:szCs w:val="24"/>
          <w:lang w:val="en"/>
        </w:rPr>
        <w:t>$142 billion</w:t>
      </w:r>
      <w:r w:rsidRPr="00D15BA0">
        <w:rPr>
          <w:rFonts w:ascii="Times New Roman" w:hAnsi="Times New Roman" w:cs="Times New Roman"/>
          <w:color w:val="000000"/>
          <w:sz w:val="24"/>
          <w:szCs w:val="24"/>
          <w:lang w:val="en"/>
        </w:rPr>
        <w:br/>
        <w:t xml:space="preserve">Dresdner Bank - </w:t>
      </w:r>
      <w:r w:rsidRPr="00D15BA0">
        <w:rPr>
          <w:rStyle w:val="Textoennegrita"/>
          <w:rFonts w:ascii="Times New Roman" w:hAnsi="Times New Roman" w:cs="Times New Roman"/>
          <w:color w:val="000000"/>
          <w:sz w:val="24"/>
          <w:szCs w:val="24"/>
          <w:lang w:val="en"/>
        </w:rPr>
        <w:t>$135 billion</w:t>
      </w:r>
      <w:r w:rsidRPr="00D15BA0">
        <w:rPr>
          <w:rFonts w:ascii="Times New Roman" w:hAnsi="Times New Roman" w:cs="Times New Roman"/>
          <w:color w:val="000000"/>
          <w:sz w:val="24"/>
          <w:szCs w:val="24"/>
          <w:lang w:val="en"/>
        </w:rPr>
        <w:br/>
        <w:t xml:space="preserve">Societe Generale - </w:t>
      </w:r>
      <w:r w:rsidRPr="00D15BA0">
        <w:rPr>
          <w:rStyle w:val="Textoennegrita"/>
          <w:rFonts w:ascii="Times New Roman" w:hAnsi="Times New Roman" w:cs="Times New Roman"/>
          <w:color w:val="000000"/>
          <w:sz w:val="24"/>
          <w:szCs w:val="24"/>
          <w:lang w:val="en"/>
        </w:rPr>
        <w:t>$124 billion</w:t>
      </w:r>
      <w:r>
        <w:rPr>
          <w:rFonts w:ascii="Times New Roman" w:hAnsi="Times New Roman" w:cs="Times New Roman"/>
          <w:color w:val="000000"/>
          <w:sz w:val="24"/>
          <w:szCs w:val="24"/>
          <w:lang w:val="en"/>
        </w:rPr>
        <w:br/>
        <w:t>“All Other Borrowers”</w:t>
      </w:r>
      <w:r w:rsidRPr="00D15BA0">
        <w:rPr>
          <w:rFonts w:ascii="Times New Roman" w:hAnsi="Times New Roman" w:cs="Times New Roman"/>
          <w:color w:val="000000"/>
          <w:sz w:val="24"/>
          <w:szCs w:val="24"/>
          <w:lang w:val="en"/>
        </w:rPr>
        <w:t xml:space="preserve"> - </w:t>
      </w:r>
      <w:r w:rsidRPr="00D15BA0">
        <w:rPr>
          <w:rStyle w:val="Textoennegrita"/>
          <w:rFonts w:ascii="Times New Roman" w:hAnsi="Times New Roman" w:cs="Times New Roman"/>
          <w:color w:val="000000"/>
          <w:sz w:val="24"/>
          <w:szCs w:val="24"/>
          <w:lang w:val="en"/>
        </w:rPr>
        <w:t>$2.639 trillion</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#11</w:t>
      </w:r>
      <w:r w:rsidRPr="00D15BA0">
        <w:rPr>
          <w:rFonts w:ascii="Times New Roman" w:hAnsi="Times New Roman" w:cs="Times New Roman"/>
          <w:color w:val="000000"/>
          <w:sz w:val="24"/>
          <w:szCs w:val="24"/>
          <w:lang w:val="en"/>
        </w:rPr>
        <w:t xml:space="preserve"> The Federal Reserve also paid those big banks </w:t>
      </w:r>
      <w:hyperlink r:id="rId174" w:tgtFrame="_blank" w:tooltip="$659.4 million" w:history="1">
        <w:r w:rsidRPr="00D15BA0">
          <w:rPr>
            <w:rStyle w:val="Hipervnculo"/>
            <w:rFonts w:ascii="Times New Roman" w:hAnsi="Times New Roman" w:cs="Times New Roman"/>
            <w:sz w:val="24"/>
            <w:szCs w:val="24"/>
            <w:lang w:val="en"/>
          </w:rPr>
          <w:t>$659.4 million</w:t>
        </w:r>
      </w:hyperlink>
      <w:r w:rsidR="00BD49E1">
        <w:rPr>
          <w:rFonts w:ascii="Times New Roman" w:hAnsi="Times New Roman" w:cs="Times New Roman"/>
          <w:color w:val="000000"/>
          <w:sz w:val="24"/>
          <w:szCs w:val="24"/>
          <w:lang w:val="en"/>
        </w:rPr>
        <w:t xml:space="preserve"> in fees to help “administer”</w:t>
      </w:r>
      <w:r w:rsidRPr="00D15BA0">
        <w:rPr>
          <w:rFonts w:ascii="Times New Roman" w:hAnsi="Times New Roman" w:cs="Times New Roman"/>
          <w:color w:val="000000"/>
          <w:sz w:val="24"/>
          <w:szCs w:val="24"/>
          <w:lang w:val="en"/>
        </w:rPr>
        <w:t xml:space="preserve"> those secret loans.</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#12</w:t>
      </w:r>
      <w:r w:rsidRPr="00D15BA0">
        <w:rPr>
          <w:rFonts w:ascii="Times New Roman" w:hAnsi="Times New Roman" w:cs="Times New Roman"/>
          <w:color w:val="000000"/>
          <w:sz w:val="24"/>
          <w:szCs w:val="24"/>
          <w:lang w:val="en"/>
        </w:rPr>
        <w:t xml:space="preserve"> The Federal Reserve has created approximately </w:t>
      </w:r>
      <w:hyperlink r:id="rId175" w:tgtFrame="_blank" w:tooltip="2.75 trillion dollars" w:history="1">
        <w:r w:rsidRPr="00D15BA0">
          <w:rPr>
            <w:rStyle w:val="Hipervnculo"/>
            <w:rFonts w:ascii="Times New Roman" w:hAnsi="Times New Roman" w:cs="Times New Roman"/>
            <w:sz w:val="24"/>
            <w:szCs w:val="24"/>
            <w:lang w:val="en"/>
          </w:rPr>
          <w:t>2.75 trillion dollars</w:t>
        </w:r>
      </w:hyperlink>
      <w:r w:rsidRPr="00D15BA0">
        <w:rPr>
          <w:rFonts w:ascii="Times New Roman" w:hAnsi="Times New Roman" w:cs="Times New Roman"/>
          <w:color w:val="000000"/>
          <w:sz w:val="24"/>
          <w:szCs w:val="24"/>
          <w:lang w:val="en"/>
        </w:rPr>
        <w:t xml:space="preserve"> out of thin air and injected it into the financial system over the past five years.  This has allowed the stock market to soar to unprecedented heights, but it has also caused our financial system to become extremely unstable.</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#13</w:t>
      </w:r>
      <w:r w:rsidRPr="00D15BA0">
        <w:rPr>
          <w:rFonts w:ascii="Times New Roman" w:hAnsi="Times New Roman" w:cs="Times New Roman"/>
          <w:color w:val="000000"/>
          <w:sz w:val="24"/>
          <w:szCs w:val="24"/>
          <w:lang w:val="en"/>
        </w:rPr>
        <w:t xml:space="preserve"> We were told that the purpose of </w:t>
      </w:r>
      <w:r>
        <w:rPr>
          <w:rFonts w:ascii="Times New Roman" w:hAnsi="Times New Roman" w:cs="Times New Roman"/>
          <w:color w:val="000000"/>
          <w:sz w:val="24"/>
          <w:szCs w:val="24"/>
          <w:lang w:val="en"/>
        </w:rPr>
        <w:t>quantitative easing is to help “stimulate the economy”</w:t>
      </w:r>
      <w:r w:rsidRPr="00D15BA0">
        <w:rPr>
          <w:rFonts w:ascii="Times New Roman" w:hAnsi="Times New Roman" w:cs="Times New Roman"/>
          <w:color w:val="000000"/>
          <w:sz w:val="24"/>
          <w:szCs w:val="24"/>
          <w:lang w:val="en"/>
        </w:rPr>
        <w:t xml:space="preserve">, but today the Federal Reserve is actually paying the big banks </w:t>
      </w:r>
      <w:hyperlink r:id="rId176" w:tooltip="not to lend out 1.8 trillion dollars" w:history="1">
        <w:r w:rsidRPr="00D15BA0">
          <w:rPr>
            <w:rStyle w:val="Hipervnculo"/>
            <w:rFonts w:ascii="Times New Roman" w:hAnsi="Times New Roman" w:cs="Times New Roman"/>
            <w:sz w:val="24"/>
            <w:szCs w:val="24"/>
            <w:lang w:val="en"/>
          </w:rPr>
          <w:t>not to lend out 1.8 trillion dollars</w:t>
        </w:r>
      </w:hyperlink>
      <w:r>
        <w:rPr>
          <w:rFonts w:ascii="Times New Roman" w:hAnsi="Times New Roman" w:cs="Times New Roman"/>
          <w:color w:val="000000"/>
          <w:sz w:val="24"/>
          <w:szCs w:val="24"/>
          <w:lang w:val="en"/>
        </w:rPr>
        <w:t xml:space="preserve"> in “excess reserves”</w:t>
      </w:r>
      <w:r w:rsidRPr="00D15BA0">
        <w:rPr>
          <w:rFonts w:ascii="Times New Roman" w:hAnsi="Times New Roman" w:cs="Times New Roman"/>
          <w:color w:val="000000"/>
          <w:sz w:val="24"/>
          <w:szCs w:val="24"/>
          <w:lang w:val="en"/>
        </w:rPr>
        <w:t xml:space="preserve"> that they have parked at the Fed.</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#14</w:t>
      </w:r>
      <w:r w:rsidRPr="00D15BA0">
        <w:rPr>
          <w:rFonts w:ascii="Times New Roman" w:hAnsi="Times New Roman" w:cs="Times New Roman"/>
          <w:color w:val="000000"/>
          <w:sz w:val="24"/>
          <w:szCs w:val="24"/>
          <w:lang w:val="en"/>
        </w:rPr>
        <w:t xml:space="preserve"> Quantitative easing overwhelming benefits those that own stocks and other financial investments.  In other words, quantitative easing overwhelmingly favors the very wealthy.  </w:t>
      </w:r>
      <w:hyperlink r:id="rId177" w:tgtFrame="_blank" w:tooltip="Even Barack Obama has admitted" w:history="1">
        <w:r w:rsidRPr="00D15BA0">
          <w:rPr>
            <w:rStyle w:val="Hipervnculo"/>
            <w:rFonts w:ascii="Times New Roman" w:hAnsi="Times New Roman" w:cs="Times New Roman"/>
            <w:sz w:val="24"/>
            <w:szCs w:val="24"/>
            <w:lang w:val="en"/>
          </w:rPr>
          <w:t>Even Barack Obama has admitted</w:t>
        </w:r>
      </w:hyperlink>
      <w:r w:rsidRPr="00D15BA0">
        <w:rPr>
          <w:rFonts w:ascii="Times New Roman" w:hAnsi="Times New Roman" w:cs="Times New Roman"/>
          <w:color w:val="000000"/>
          <w:sz w:val="24"/>
          <w:szCs w:val="24"/>
          <w:lang w:val="en"/>
        </w:rPr>
        <w:t xml:space="preserve"> that 95 percent of the income gains since he has been president have gone to the top one percent of income earners.</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#15</w:t>
      </w:r>
      <w:r w:rsidRPr="00D15BA0">
        <w:rPr>
          <w:rFonts w:ascii="Times New Roman" w:hAnsi="Times New Roman" w:cs="Times New Roman"/>
          <w:color w:val="000000"/>
          <w:sz w:val="24"/>
          <w:szCs w:val="24"/>
          <w:lang w:val="en"/>
        </w:rPr>
        <w:t xml:space="preserve"> The gap between the top one percent and the rest of the country is now the greatest that it has been </w:t>
      </w:r>
      <w:hyperlink r:id="rId178" w:tgtFrame="_blank" w:tooltip="since the 1920s" w:history="1">
        <w:r w:rsidRPr="00D15BA0">
          <w:rPr>
            <w:rStyle w:val="Hipervnculo"/>
            <w:rFonts w:ascii="Times New Roman" w:hAnsi="Times New Roman" w:cs="Times New Roman"/>
            <w:sz w:val="24"/>
            <w:szCs w:val="24"/>
            <w:lang w:val="en"/>
          </w:rPr>
          <w:t>since the 1920s</w:t>
        </w:r>
      </w:hyperlink>
      <w:r w:rsidRPr="00D15BA0">
        <w:rPr>
          <w:rFonts w:ascii="Times New Roman" w:hAnsi="Times New Roman" w:cs="Times New Roman"/>
          <w:color w:val="000000"/>
          <w:sz w:val="24"/>
          <w:szCs w:val="24"/>
          <w:lang w:val="en"/>
        </w:rPr>
        <w: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lastRenderedPageBreak/>
        <w:t>#16</w:t>
      </w:r>
      <w:r w:rsidRPr="00D15BA0">
        <w:rPr>
          <w:rFonts w:ascii="Times New Roman" w:hAnsi="Times New Roman" w:cs="Times New Roman"/>
          <w:color w:val="000000"/>
          <w:sz w:val="24"/>
          <w:szCs w:val="24"/>
          <w:lang w:val="en"/>
        </w:rPr>
        <w:t xml:space="preserve"> The Federal Reserve has argued vehemently in federal court that it is </w:t>
      </w:r>
      <w:r w:rsidR="00BD49E1" w:rsidRPr="00BD49E1">
        <w:rPr>
          <w:rFonts w:ascii="Times New Roman" w:hAnsi="Times New Roman" w:cs="Times New Roman"/>
          <w:sz w:val="24"/>
          <w:szCs w:val="24"/>
          <w:lang w:val="en"/>
        </w:rPr>
        <w:t>“</w:t>
      </w:r>
      <w:r w:rsidR="00BD49E1">
        <w:rPr>
          <w:rFonts w:ascii="Times New Roman" w:hAnsi="Times New Roman" w:cs="Times New Roman"/>
          <w:sz w:val="24"/>
          <w:szCs w:val="24"/>
          <w:lang w:val="en"/>
        </w:rPr>
        <w:t>not an agency”</w:t>
      </w:r>
      <w:r w:rsidRPr="00D15BA0">
        <w:rPr>
          <w:rFonts w:ascii="Times New Roman" w:hAnsi="Times New Roman" w:cs="Times New Roman"/>
          <w:color w:val="000000"/>
          <w:sz w:val="24"/>
          <w:szCs w:val="24"/>
          <w:lang w:val="en"/>
        </w:rPr>
        <w:t xml:space="preserve"> of the federal government and therefore not subject to the Freedom of Information Act.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#17</w:t>
      </w:r>
      <w:r w:rsidRPr="00D15BA0">
        <w:rPr>
          <w:rFonts w:ascii="Times New Roman" w:hAnsi="Times New Roman" w:cs="Times New Roman"/>
          <w:color w:val="000000"/>
          <w:sz w:val="24"/>
          <w:szCs w:val="24"/>
          <w:lang w:val="en"/>
        </w:rPr>
        <w:t xml:space="preserve"> The Federal Reserve openly admits that the 12 regional Feder</w:t>
      </w:r>
      <w:r>
        <w:rPr>
          <w:rFonts w:ascii="Times New Roman" w:hAnsi="Times New Roman" w:cs="Times New Roman"/>
          <w:color w:val="000000"/>
          <w:sz w:val="24"/>
          <w:szCs w:val="24"/>
          <w:lang w:val="en"/>
        </w:rPr>
        <w:t>al Reserve banks are organized “</w:t>
      </w:r>
      <w:hyperlink r:id="rId179" w:tgtFrame="_blank" w:tooltip="much like private corporations" w:history="1">
        <w:r w:rsidRPr="00D15BA0">
          <w:rPr>
            <w:rStyle w:val="Hipervnculo"/>
            <w:rFonts w:ascii="Times New Roman" w:hAnsi="Times New Roman" w:cs="Times New Roman"/>
            <w:sz w:val="24"/>
            <w:szCs w:val="24"/>
            <w:lang w:val="en"/>
          </w:rPr>
          <w:t>much like private corporations</w:t>
        </w:r>
      </w:hyperlink>
      <w:r>
        <w:rPr>
          <w:rFonts w:ascii="Times New Roman" w:hAnsi="Times New Roman" w:cs="Times New Roman"/>
          <w:color w:val="000000"/>
          <w:sz w:val="24"/>
          <w:szCs w:val="24"/>
          <w:lang w:val="en"/>
        </w:rPr>
        <w:t>”</w:t>
      </w:r>
      <w:r w:rsidRPr="00D15BA0">
        <w:rPr>
          <w:rFonts w:ascii="Times New Roman" w:hAnsi="Times New Roman" w:cs="Times New Roman"/>
          <w:color w:val="000000"/>
          <w:sz w:val="24"/>
          <w:szCs w:val="24"/>
          <w:lang w:val="en"/>
        </w:rPr>
        <w: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#18</w:t>
      </w:r>
      <w:r w:rsidRPr="00D15BA0">
        <w:rPr>
          <w:rFonts w:ascii="Times New Roman" w:hAnsi="Times New Roman" w:cs="Times New Roman"/>
          <w:color w:val="000000"/>
          <w:sz w:val="24"/>
          <w:szCs w:val="24"/>
          <w:lang w:val="en"/>
        </w:rPr>
        <w:t xml:space="preserve"> The regional Federal Reserve banks </w:t>
      </w:r>
      <w:hyperlink r:id="rId180" w:tgtFrame="_blank" w:tooltip="issue shares of stock" w:history="1">
        <w:r w:rsidRPr="00D15BA0">
          <w:rPr>
            <w:rStyle w:val="Hipervnculo"/>
            <w:rFonts w:ascii="Times New Roman" w:hAnsi="Times New Roman" w:cs="Times New Roman"/>
            <w:sz w:val="24"/>
            <w:szCs w:val="24"/>
            <w:lang w:val="en"/>
          </w:rPr>
          <w:t>issue shares of stock</w:t>
        </w:r>
      </w:hyperlink>
      <w:r w:rsidR="00BD49E1">
        <w:rPr>
          <w:rFonts w:ascii="Times New Roman" w:hAnsi="Times New Roman" w:cs="Times New Roman"/>
          <w:color w:val="000000"/>
          <w:sz w:val="24"/>
          <w:szCs w:val="24"/>
          <w:lang w:val="en"/>
        </w:rPr>
        <w:t xml:space="preserve"> to the “member banks”</w:t>
      </w:r>
      <w:r w:rsidRPr="00D15BA0">
        <w:rPr>
          <w:rFonts w:ascii="Times New Roman" w:hAnsi="Times New Roman" w:cs="Times New Roman"/>
          <w:color w:val="000000"/>
          <w:sz w:val="24"/>
          <w:szCs w:val="24"/>
          <w:lang w:val="en"/>
        </w:rPr>
        <w:t xml:space="preserve"> that own them.</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#19</w:t>
      </w:r>
      <w:r w:rsidRPr="00D15BA0">
        <w:rPr>
          <w:rFonts w:ascii="Times New Roman" w:hAnsi="Times New Roman" w:cs="Times New Roman"/>
          <w:color w:val="000000"/>
          <w:sz w:val="24"/>
          <w:szCs w:val="24"/>
          <w:lang w:val="en"/>
        </w:rPr>
        <w:t xml:space="preserve"> The Federal Reserve system greatly favors the biggest banks.  Back in 1970, the five largest U.S. banks held </w:t>
      </w:r>
      <w:hyperlink r:id="rId181" w:tgtFrame="_blank" w:tooltip="17 percent" w:history="1">
        <w:r w:rsidRPr="00D15BA0">
          <w:rPr>
            <w:rStyle w:val="Hipervnculo"/>
            <w:rFonts w:ascii="Times New Roman" w:hAnsi="Times New Roman" w:cs="Times New Roman"/>
            <w:sz w:val="24"/>
            <w:szCs w:val="24"/>
            <w:lang w:val="en"/>
          </w:rPr>
          <w:t>17 percent</w:t>
        </w:r>
      </w:hyperlink>
      <w:r w:rsidRPr="00D15BA0">
        <w:rPr>
          <w:rFonts w:ascii="Times New Roman" w:hAnsi="Times New Roman" w:cs="Times New Roman"/>
          <w:color w:val="000000"/>
          <w:sz w:val="24"/>
          <w:szCs w:val="24"/>
          <w:lang w:val="en"/>
        </w:rPr>
        <w:t xml:space="preserve"> of all U.S. banking industry assets.  Today, the five largest U.S. banks hold </w:t>
      </w:r>
      <w:hyperlink r:id="rId182" w:tgtFrame="_blank" w:tooltip="52 percent" w:history="1">
        <w:r w:rsidRPr="00D15BA0">
          <w:rPr>
            <w:rStyle w:val="Hipervnculo"/>
            <w:rFonts w:ascii="Times New Roman" w:hAnsi="Times New Roman" w:cs="Times New Roman"/>
            <w:sz w:val="24"/>
            <w:szCs w:val="24"/>
            <w:lang w:val="en"/>
          </w:rPr>
          <w:t>52 percent</w:t>
        </w:r>
      </w:hyperlink>
      <w:r w:rsidRPr="00D15BA0">
        <w:rPr>
          <w:rFonts w:ascii="Times New Roman" w:hAnsi="Times New Roman" w:cs="Times New Roman"/>
          <w:color w:val="000000"/>
          <w:sz w:val="24"/>
          <w:szCs w:val="24"/>
          <w:lang w:val="en"/>
        </w:rPr>
        <w:t xml:space="preserve"> of all U.S. banking industry assets.</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#20</w:t>
      </w:r>
      <w:r w:rsidRPr="00D15BA0">
        <w:rPr>
          <w:rFonts w:ascii="Times New Roman" w:hAnsi="Times New Roman" w:cs="Times New Roman"/>
          <w:color w:val="000000"/>
          <w:sz w:val="24"/>
          <w:szCs w:val="24"/>
          <w:lang w:val="en"/>
        </w:rPr>
        <w:t xml:space="preserve"> The </w:t>
      </w:r>
      <w:r>
        <w:rPr>
          <w:rFonts w:ascii="Times New Roman" w:hAnsi="Times New Roman" w:cs="Times New Roman"/>
          <w:color w:val="000000"/>
          <w:sz w:val="24"/>
          <w:szCs w:val="24"/>
          <w:lang w:val="en"/>
        </w:rPr>
        <w:t>Federal Reserve is supposed to “regulate”</w:t>
      </w:r>
      <w:r w:rsidRPr="00D15BA0">
        <w:rPr>
          <w:rFonts w:ascii="Times New Roman" w:hAnsi="Times New Roman" w:cs="Times New Roman"/>
          <w:color w:val="000000"/>
          <w:sz w:val="24"/>
          <w:szCs w:val="24"/>
          <w:lang w:val="en"/>
        </w:rPr>
        <w:t xml:space="preserve"> the big banks, but it has done nothing to stop </w:t>
      </w:r>
      <w:hyperlink r:id="rId183" w:tooltip="a 441 trillion dollar interest rate derivatives bubble" w:history="1">
        <w:r w:rsidRPr="00D15BA0">
          <w:rPr>
            <w:rStyle w:val="Hipervnculo"/>
            <w:rFonts w:ascii="Times New Roman" w:hAnsi="Times New Roman" w:cs="Times New Roman"/>
            <w:sz w:val="24"/>
            <w:szCs w:val="24"/>
            <w:lang w:val="en"/>
          </w:rPr>
          <w:t>a 441 trillion dollar interest rate derivatives bubble</w:t>
        </w:r>
      </w:hyperlink>
      <w:r w:rsidRPr="00D15BA0">
        <w:rPr>
          <w:rFonts w:ascii="Times New Roman" w:hAnsi="Times New Roman" w:cs="Times New Roman"/>
          <w:color w:val="000000"/>
          <w:sz w:val="24"/>
          <w:szCs w:val="24"/>
          <w:lang w:val="en"/>
        </w:rPr>
        <w:t xml:space="preserve"> from inflating which could absolutely devastate our entire financial system.</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#21</w:t>
      </w:r>
      <w:r w:rsidRPr="00D15BA0">
        <w:rPr>
          <w:rFonts w:ascii="Times New Roman" w:hAnsi="Times New Roman" w:cs="Times New Roman"/>
          <w:color w:val="000000"/>
          <w:sz w:val="24"/>
          <w:szCs w:val="24"/>
          <w:lang w:val="en"/>
        </w:rPr>
        <w:t xml:space="preserve"> The Federal Reserve was designed to be </w:t>
      </w:r>
      <w:hyperlink r:id="rId184" w:tooltip="a perpetual debt machine" w:history="1">
        <w:r w:rsidRPr="00D15BA0">
          <w:rPr>
            <w:rStyle w:val="Hipervnculo"/>
            <w:rFonts w:ascii="Times New Roman" w:hAnsi="Times New Roman" w:cs="Times New Roman"/>
            <w:sz w:val="24"/>
            <w:szCs w:val="24"/>
            <w:lang w:val="en"/>
          </w:rPr>
          <w:t>a perpetual debt machine</w:t>
        </w:r>
      </w:hyperlink>
      <w:r w:rsidRPr="00D15BA0">
        <w:rPr>
          <w:rFonts w:ascii="Times New Roman" w:hAnsi="Times New Roman" w:cs="Times New Roman"/>
          <w:color w:val="000000"/>
          <w:sz w:val="24"/>
          <w:szCs w:val="24"/>
          <w:lang w:val="en"/>
        </w:rPr>
        <w:t>.  The bankers that designed it intended to trap the U.S. government in a perpetual debt spiral from which it could never possibly escape.  Since the Federal Reserve was established nearly 100 years ago, the U.S. national debt has gotten more than 5000 times larger.</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#22</w:t>
      </w:r>
      <w:r w:rsidRPr="00D15BA0">
        <w:rPr>
          <w:rFonts w:ascii="Times New Roman" w:hAnsi="Times New Roman" w:cs="Times New Roman"/>
          <w:color w:val="000000"/>
          <w:sz w:val="24"/>
          <w:szCs w:val="24"/>
          <w:lang w:val="en"/>
        </w:rPr>
        <w:t xml:space="preserve"> The U.S. government will spend </w:t>
      </w:r>
      <w:hyperlink r:id="rId185" w:tgtFrame="_blank" w:tooltip="more than 400 billion dollars" w:history="1">
        <w:r w:rsidRPr="00D15BA0">
          <w:rPr>
            <w:rStyle w:val="Hipervnculo"/>
            <w:rFonts w:ascii="Times New Roman" w:hAnsi="Times New Roman" w:cs="Times New Roman"/>
            <w:sz w:val="24"/>
            <w:szCs w:val="24"/>
            <w:lang w:val="en"/>
          </w:rPr>
          <w:t>more than 400 billion dollars</w:t>
        </w:r>
      </w:hyperlink>
      <w:r w:rsidRPr="00D15BA0">
        <w:rPr>
          <w:rFonts w:ascii="Times New Roman" w:hAnsi="Times New Roman" w:cs="Times New Roman"/>
          <w:color w:val="000000"/>
          <w:sz w:val="24"/>
          <w:szCs w:val="24"/>
          <w:lang w:val="en"/>
        </w:rPr>
        <w:t xml:space="preserve"> just on interest on the national debt this year.</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#23</w:t>
      </w:r>
      <w:r w:rsidRPr="00D15BA0">
        <w:rPr>
          <w:rFonts w:ascii="Times New Roman" w:hAnsi="Times New Roman" w:cs="Times New Roman"/>
          <w:color w:val="000000"/>
          <w:sz w:val="24"/>
          <w:szCs w:val="24"/>
          <w:lang w:val="en"/>
        </w:rPr>
        <w:t xml:space="preserve"> If the average rate of interest on U.S. government debt rises to just 6 percent (and it has been much higher than that in the past), we will be paying out more than a trillion dollars a year just in interest on the national debt.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#24</w:t>
      </w:r>
      <w:r w:rsidRPr="00D15BA0">
        <w:rPr>
          <w:rFonts w:ascii="Times New Roman" w:hAnsi="Times New Roman" w:cs="Times New Roman"/>
          <w:color w:val="000000"/>
          <w:sz w:val="24"/>
          <w:szCs w:val="24"/>
          <w:lang w:val="en"/>
        </w:rPr>
        <w:t xml:space="preserve"> According to </w:t>
      </w:r>
      <w:hyperlink r:id="rId186" w:anchor="A1Sec1" w:tgtFrame="_blank" w:tooltip="Article I, Section 8 of the U.S. Constitution" w:history="1">
        <w:r w:rsidRPr="00D15BA0">
          <w:rPr>
            <w:rStyle w:val="Hipervnculo"/>
            <w:rFonts w:ascii="Times New Roman" w:hAnsi="Times New Roman" w:cs="Times New Roman"/>
            <w:sz w:val="24"/>
            <w:szCs w:val="24"/>
            <w:lang w:val="en"/>
          </w:rPr>
          <w:t>Article I, Section 8 of the U.S. Constitution</w:t>
        </w:r>
      </w:hyperlink>
      <w:r w:rsidRPr="00D15BA0">
        <w:rPr>
          <w:rFonts w:ascii="Times New Roman" w:hAnsi="Times New Roman" w:cs="Times New Roman"/>
          <w:color w:val="000000"/>
          <w:sz w:val="24"/>
          <w:szCs w:val="24"/>
          <w:lang w:val="en"/>
        </w:rPr>
        <w:t>, the U.S. Congress is the one that is sup</w:t>
      </w:r>
      <w:r>
        <w:rPr>
          <w:rFonts w:ascii="Times New Roman" w:hAnsi="Times New Roman" w:cs="Times New Roman"/>
          <w:color w:val="000000"/>
          <w:sz w:val="24"/>
          <w:szCs w:val="24"/>
          <w:lang w:val="en"/>
        </w:rPr>
        <w:t>posed to have the authority to “</w:t>
      </w:r>
      <w:r w:rsidRPr="00D15BA0">
        <w:rPr>
          <w:rFonts w:ascii="Times New Roman" w:hAnsi="Times New Roman" w:cs="Times New Roman"/>
          <w:color w:val="000000"/>
          <w:sz w:val="24"/>
          <w:szCs w:val="24"/>
          <w:lang w:val="en"/>
        </w:rPr>
        <w:t>coin Money, regulate the Value thereof, and of foreign Coin, and fix the S</w:t>
      </w:r>
      <w:r>
        <w:rPr>
          <w:rFonts w:ascii="Times New Roman" w:hAnsi="Times New Roman" w:cs="Times New Roman"/>
          <w:color w:val="000000"/>
          <w:sz w:val="24"/>
          <w:szCs w:val="24"/>
          <w:lang w:val="en"/>
        </w:rPr>
        <w:t>tandard of Weights and Measures”</w:t>
      </w:r>
      <w:r w:rsidRPr="00D15BA0">
        <w:rPr>
          <w:rFonts w:ascii="Times New Roman" w:hAnsi="Times New Roman" w:cs="Times New Roman"/>
          <w:color w:val="000000"/>
          <w:sz w:val="24"/>
          <w:szCs w:val="24"/>
          <w:lang w:val="en"/>
        </w:rPr>
        <w:t>.  So exactly why is the Federal Reserve doing it?</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Style w:val="Textoennegrita"/>
          <w:rFonts w:ascii="Times New Roman" w:hAnsi="Times New Roman" w:cs="Times New Roman"/>
          <w:color w:val="000000"/>
          <w:sz w:val="24"/>
          <w:szCs w:val="24"/>
          <w:lang w:val="en"/>
        </w:rPr>
        <w:t>#25</w:t>
      </w:r>
      <w:r w:rsidRPr="00D15BA0">
        <w:rPr>
          <w:rFonts w:ascii="Times New Roman" w:hAnsi="Times New Roman" w:cs="Times New Roman"/>
          <w:color w:val="000000"/>
          <w:sz w:val="24"/>
          <w:szCs w:val="24"/>
          <w:lang w:val="en"/>
        </w:rPr>
        <w:t xml:space="preserve"> There are plenty of possible alternative financial systems, but at this point </w:t>
      </w:r>
      <w:hyperlink r:id="rId187" w:tgtFrame="_blank" w:tooltip="all 187 nations" w:history="1">
        <w:r w:rsidRPr="00D15BA0">
          <w:rPr>
            <w:rStyle w:val="Hipervnculo"/>
            <w:rFonts w:ascii="Times New Roman" w:hAnsi="Times New Roman" w:cs="Times New Roman"/>
            <w:sz w:val="24"/>
            <w:szCs w:val="24"/>
            <w:lang w:val="en"/>
          </w:rPr>
          <w:t>all 187 nations</w:t>
        </w:r>
      </w:hyperlink>
      <w:r w:rsidRPr="00D15BA0">
        <w:rPr>
          <w:rFonts w:ascii="Times New Roman" w:hAnsi="Times New Roman" w:cs="Times New Roman"/>
          <w:color w:val="000000"/>
          <w:sz w:val="24"/>
          <w:szCs w:val="24"/>
          <w:lang w:val="en"/>
        </w:rPr>
        <w:t xml:space="preserve"> that belong to the IMF have a central bank.  Are we supposed to believe that this is just some sort of a bizarre coincidence?</w:t>
      </w:r>
    </w:p>
    <w:p w:rsidR="00EA0B0F" w:rsidRPr="00E3208B" w:rsidRDefault="00E3208B" w:rsidP="00387350">
      <w:pPr>
        <w:shd w:val="clear" w:color="auto" w:fill="FFFFFF"/>
        <w:spacing w:before="60" w:after="180" w:line="240" w:lineRule="auto"/>
        <w:jc w:val="both"/>
        <w:rPr>
          <w:rFonts w:ascii="Times New Roman" w:hAnsi="Times New Roman" w:cs="Times New Roman"/>
          <w:color w:val="000000"/>
          <w:sz w:val="24"/>
          <w:szCs w:val="24"/>
          <w:u w:val="single"/>
          <w:lang w:val="en"/>
        </w:rPr>
      </w:pPr>
      <w:r>
        <w:rPr>
          <w:rFonts w:ascii="Times New Roman" w:hAnsi="Times New Roman" w:cs="Times New Roman"/>
          <w:b/>
          <w:color w:val="000000"/>
          <w:sz w:val="24"/>
          <w:szCs w:val="24"/>
          <w:lang w:val="en"/>
        </w:rPr>
        <w:t xml:space="preserve">- </w:t>
      </w:r>
      <w:r w:rsidR="00EA0B0F" w:rsidRPr="00D15BA0">
        <w:rPr>
          <w:rFonts w:ascii="Times New Roman" w:hAnsi="Times New Roman" w:cs="Times New Roman"/>
          <w:b/>
          <w:color w:val="000000"/>
          <w:sz w:val="24"/>
          <w:szCs w:val="24"/>
          <w:lang w:val="en"/>
        </w:rPr>
        <w:t> </w:t>
      </w:r>
      <w:r w:rsidR="00EA0B0F" w:rsidRPr="00E3208B">
        <w:rPr>
          <w:rFonts w:ascii="Times New Roman" w:hAnsi="Times New Roman" w:cs="Times New Roman"/>
          <w:color w:val="000000"/>
          <w:sz w:val="24"/>
          <w:szCs w:val="24"/>
          <w:u w:val="single"/>
          <w:lang w:val="en"/>
        </w:rPr>
        <w:t>The Biggest Ponzi Scheme In The History Of The World</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Pr>
          <w:rFonts w:ascii="Times New Roman" w:hAnsi="Times New Roman" w:cs="Times New Roman"/>
          <w:color w:val="000000"/>
          <w:sz w:val="24"/>
          <w:szCs w:val="24"/>
          <w:lang w:val="en"/>
        </w:rPr>
        <w:t>(</w:t>
      </w:r>
      <w:r w:rsidRPr="00D15BA0">
        <w:rPr>
          <w:rFonts w:ascii="Times New Roman" w:hAnsi="Times New Roman" w:cs="Times New Roman"/>
          <w:color w:val="000000"/>
          <w:sz w:val="24"/>
          <w:szCs w:val="24"/>
          <w:lang w:val="en"/>
        </w:rPr>
        <w:t xml:space="preserve">By Michael Snyder, on </w:t>
      </w:r>
      <w:r w:rsidRPr="00E3208B">
        <w:rPr>
          <w:rFonts w:ascii="Times New Roman" w:hAnsi="Times New Roman" w:cs="Times New Roman"/>
          <w:b/>
          <w:color w:val="000000"/>
          <w:sz w:val="24"/>
          <w:szCs w:val="24"/>
          <w:lang w:val="en"/>
        </w:rPr>
        <w:t>June 23rd, 2013</w:t>
      </w:r>
      <w:r>
        <w:rPr>
          <w:rFonts w:ascii="Times New Roman" w:hAnsi="Times New Roman" w:cs="Times New Roman"/>
          <w:color w:val="000000"/>
          <w:sz w:val="24"/>
          <w:szCs w:val="24"/>
          <w:lang w:val="en"/>
        </w:rPr>
        <w:t>)</w:t>
      </w:r>
      <w:r w:rsidRPr="00D15BA0">
        <w:rPr>
          <w:rFonts w:ascii="Times New Roman" w:hAnsi="Times New Roman" w:cs="Times New Roman"/>
          <w:color w:val="000000"/>
          <w:sz w:val="24"/>
          <w:szCs w:val="24"/>
          <w:lang w:val="en"/>
        </w:rPr>
        <w:t xml:space="preserve"> </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 xml:space="preserve">Did you know that you are involved in the most massive Ponzi scheme that has ever existed?  To illustrate my point, allow </w:t>
      </w:r>
      <w:r>
        <w:rPr>
          <w:rFonts w:ascii="Times New Roman" w:hAnsi="Times New Roman" w:cs="Times New Roman"/>
          <w:color w:val="000000"/>
          <w:sz w:val="24"/>
          <w:szCs w:val="24"/>
          <w:lang w:val="en"/>
        </w:rPr>
        <w:t xml:space="preserve">me to tell you a little story. </w:t>
      </w:r>
      <w:r w:rsidRPr="00D15BA0">
        <w:rPr>
          <w:rFonts w:ascii="Times New Roman" w:hAnsi="Times New Roman" w:cs="Times New Roman"/>
          <w:color w:val="000000"/>
          <w:sz w:val="24"/>
          <w:szCs w:val="24"/>
          <w:lang w:val="en"/>
        </w:rPr>
        <w:t>Once upon a ti</w:t>
      </w:r>
      <w:r>
        <w:rPr>
          <w:rFonts w:ascii="Times New Roman" w:hAnsi="Times New Roman" w:cs="Times New Roman"/>
          <w:color w:val="000000"/>
          <w:sz w:val="24"/>
          <w:szCs w:val="24"/>
          <w:lang w:val="en"/>
        </w:rPr>
        <w:t xml:space="preserve">me, there was a man named Sam. </w:t>
      </w:r>
      <w:r w:rsidRPr="00D15BA0">
        <w:rPr>
          <w:rFonts w:ascii="Times New Roman" w:hAnsi="Times New Roman" w:cs="Times New Roman"/>
          <w:color w:val="000000"/>
          <w:sz w:val="24"/>
          <w:szCs w:val="24"/>
          <w:lang w:val="en"/>
        </w:rPr>
        <w:t>When he was younger, he had been a very principled young man that had worked incredibly hard and that had built a large number of treme</w:t>
      </w:r>
      <w:r>
        <w:rPr>
          <w:rFonts w:ascii="Times New Roman" w:hAnsi="Times New Roman" w:cs="Times New Roman"/>
          <w:color w:val="000000"/>
          <w:sz w:val="24"/>
          <w:szCs w:val="24"/>
          <w:lang w:val="en"/>
        </w:rPr>
        <w:t xml:space="preserve">ndously successful businesses. </w:t>
      </w:r>
      <w:r w:rsidRPr="00D15BA0">
        <w:rPr>
          <w:rFonts w:ascii="Times New Roman" w:hAnsi="Times New Roman" w:cs="Times New Roman"/>
          <w:color w:val="000000"/>
          <w:sz w:val="24"/>
          <w:szCs w:val="24"/>
          <w:lang w:val="en"/>
        </w:rPr>
        <w:t>He became fabulously wealthy and he accumulated far more gold t</w:t>
      </w:r>
      <w:r w:rsidR="00BD49E1">
        <w:rPr>
          <w:rFonts w:ascii="Times New Roman" w:hAnsi="Times New Roman" w:cs="Times New Roman"/>
          <w:color w:val="000000"/>
          <w:sz w:val="24"/>
          <w:szCs w:val="24"/>
          <w:lang w:val="en"/>
        </w:rPr>
        <w:t xml:space="preserve">han anyone else on the planet. </w:t>
      </w:r>
      <w:r w:rsidRPr="00D15BA0">
        <w:rPr>
          <w:rFonts w:ascii="Times New Roman" w:hAnsi="Times New Roman" w:cs="Times New Roman"/>
          <w:color w:val="000000"/>
          <w:sz w:val="24"/>
          <w:szCs w:val="24"/>
          <w:lang w:val="en"/>
        </w:rPr>
        <w:t>But when he started to get a little older he forgo</w:t>
      </w:r>
      <w:r>
        <w:rPr>
          <w:rFonts w:ascii="Times New Roman" w:hAnsi="Times New Roman" w:cs="Times New Roman"/>
          <w:color w:val="000000"/>
          <w:sz w:val="24"/>
          <w:szCs w:val="24"/>
          <w:lang w:val="en"/>
        </w:rPr>
        <w:t xml:space="preserve">t the values of his youth. </w:t>
      </w:r>
      <w:r w:rsidRPr="00D15BA0">
        <w:rPr>
          <w:rFonts w:ascii="Times New Roman" w:hAnsi="Times New Roman" w:cs="Times New Roman"/>
          <w:color w:val="000000"/>
          <w:sz w:val="24"/>
          <w:szCs w:val="24"/>
          <w:lang w:val="en"/>
        </w:rPr>
        <w:t>He started making really bad decisions and some of his relatives sta</w:t>
      </w:r>
      <w:r w:rsidR="00BD49E1">
        <w:rPr>
          <w:rFonts w:ascii="Times New Roman" w:hAnsi="Times New Roman" w:cs="Times New Roman"/>
          <w:color w:val="000000"/>
          <w:sz w:val="24"/>
          <w:szCs w:val="24"/>
          <w:lang w:val="en"/>
        </w:rPr>
        <w:t xml:space="preserve">rted to take advantage of him. </w:t>
      </w:r>
      <w:r w:rsidRPr="00D15BA0">
        <w:rPr>
          <w:rFonts w:ascii="Times New Roman" w:hAnsi="Times New Roman" w:cs="Times New Roman"/>
          <w:color w:val="000000"/>
          <w:sz w:val="24"/>
          <w:szCs w:val="24"/>
          <w:lang w:val="en"/>
        </w:rPr>
        <w:t>One particularly devious rel</w:t>
      </w:r>
      <w:r>
        <w:rPr>
          <w:rFonts w:ascii="Times New Roman" w:hAnsi="Times New Roman" w:cs="Times New Roman"/>
          <w:color w:val="000000"/>
          <w:sz w:val="24"/>
          <w:szCs w:val="24"/>
          <w:lang w:val="en"/>
        </w:rPr>
        <w:t xml:space="preserve">ative was a nephew named Fred. </w:t>
      </w:r>
      <w:r w:rsidRPr="00D15BA0">
        <w:rPr>
          <w:rFonts w:ascii="Times New Roman" w:hAnsi="Times New Roman" w:cs="Times New Roman"/>
          <w:color w:val="000000"/>
          <w:sz w:val="24"/>
          <w:szCs w:val="24"/>
          <w:lang w:val="en"/>
        </w:rPr>
        <w:t>One day Fred approached his uncle Sam with a scheme that his friends</w:t>
      </w:r>
      <w:r>
        <w:rPr>
          <w:rFonts w:ascii="Times New Roman" w:hAnsi="Times New Roman" w:cs="Times New Roman"/>
          <w:color w:val="000000"/>
          <w:sz w:val="24"/>
          <w:szCs w:val="24"/>
          <w:lang w:val="en"/>
        </w:rPr>
        <w:t xml:space="preserve"> the bankers had come up with. </w:t>
      </w:r>
      <w:r w:rsidRPr="00D15BA0">
        <w:rPr>
          <w:rFonts w:ascii="Times New Roman" w:hAnsi="Times New Roman" w:cs="Times New Roman"/>
          <w:color w:val="000000"/>
          <w:sz w:val="24"/>
          <w:szCs w:val="24"/>
          <w:lang w:val="en"/>
        </w:rPr>
        <w:t>What happened next would change th</w:t>
      </w:r>
      <w:r>
        <w:rPr>
          <w:rFonts w:ascii="Times New Roman" w:hAnsi="Times New Roman" w:cs="Times New Roman"/>
          <w:color w:val="000000"/>
          <w:sz w:val="24"/>
          <w:szCs w:val="24"/>
          <w:lang w:val="en"/>
        </w:rPr>
        <w:t>e course of Sam's life forever.</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lastRenderedPageBreak/>
        <w:t>Even though Sam was the wealthiest man in the world by far, Fred convinced Sam that he could have an even higher standard of living by going into a little bit of debt.  In exchange for IOUs issued by his uncle Sam, Fred would give him paper notes that he prin</w:t>
      </w:r>
      <w:r>
        <w:rPr>
          <w:rFonts w:ascii="Times New Roman" w:hAnsi="Times New Roman" w:cs="Times New Roman"/>
          <w:color w:val="000000"/>
          <w:sz w:val="24"/>
          <w:szCs w:val="24"/>
          <w:lang w:val="en"/>
        </w:rPr>
        <w:t xml:space="preserve">ted off on his printing press. </w:t>
      </w:r>
      <w:r w:rsidRPr="00D15BA0">
        <w:rPr>
          <w:rFonts w:ascii="Times New Roman" w:hAnsi="Times New Roman" w:cs="Times New Roman"/>
          <w:color w:val="000000"/>
          <w:sz w:val="24"/>
          <w:szCs w:val="24"/>
          <w:lang w:val="en"/>
        </w:rPr>
        <w:t>Since the paper notes would be backed by the gold that Sam was holding, everyone would</w:t>
      </w:r>
      <w:r w:rsidR="00BD49E1">
        <w:rPr>
          <w:rFonts w:ascii="Times New Roman" w:hAnsi="Times New Roman" w:cs="Times New Roman"/>
          <w:color w:val="000000"/>
          <w:sz w:val="24"/>
          <w:szCs w:val="24"/>
          <w:lang w:val="en"/>
        </w:rPr>
        <w:t xml:space="preserve"> consider them to be valuable. </w:t>
      </w:r>
      <w:r w:rsidRPr="00D15BA0">
        <w:rPr>
          <w:rFonts w:ascii="Times New Roman" w:hAnsi="Times New Roman" w:cs="Times New Roman"/>
          <w:color w:val="000000"/>
          <w:sz w:val="24"/>
          <w:szCs w:val="24"/>
          <w:lang w:val="en"/>
        </w:rPr>
        <w:t xml:space="preserve">Sam could take those paper notes and spend them </w:t>
      </w:r>
      <w:r>
        <w:rPr>
          <w:rFonts w:ascii="Times New Roman" w:hAnsi="Times New Roman" w:cs="Times New Roman"/>
          <w:color w:val="000000"/>
          <w:sz w:val="24"/>
          <w:szCs w:val="24"/>
          <w:lang w:val="en"/>
        </w:rPr>
        <w:t xml:space="preserve">on whatever his heart desired. </w:t>
      </w:r>
      <w:r w:rsidRPr="00D15BA0">
        <w:rPr>
          <w:rFonts w:ascii="Times New Roman" w:hAnsi="Times New Roman" w:cs="Times New Roman"/>
          <w:color w:val="000000"/>
          <w:sz w:val="24"/>
          <w:szCs w:val="24"/>
          <w:lang w:val="en"/>
        </w:rPr>
        <w:t>Uncle Sam started to do this, and he started to become addicted to all of the nice things that t</w:t>
      </w:r>
      <w:r>
        <w:rPr>
          <w:rFonts w:ascii="Times New Roman" w:hAnsi="Times New Roman" w:cs="Times New Roman"/>
          <w:color w:val="000000"/>
          <w:sz w:val="24"/>
          <w:szCs w:val="24"/>
          <w:lang w:val="en"/>
        </w:rPr>
        <w:t>hose paper notes would buy him.</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Fred took the IOUs that he received from his uncle and he auctioned them off to the bank</w:t>
      </w:r>
      <w:r>
        <w:rPr>
          <w:rFonts w:ascii="Times New Roman" w:hAnsi="Times New Roman" w:cs="Times New Roman"/>
          <w:color w:val="000000"/>
          <w:sz w:val="24"/>
          <w:szCs w:val="24"/>
          <w:lang w:val="en"/>
        </w:rPr>
        <w:t xml:space="preserve">ers. But there was a problem. </w:t>
      </w:r>
      <w:r w:rsidRPr="00D15BA0">
        <w:rPr>
          <w:rFonts w:ascii="Times New Roman" w:hAnsi="Times New Roman" w:cs="Times New Roman"/>
          <w:color w:val="000000"/>
          <w:sz w:val="24"/>
          <w:szCs w:val="24"/>
          <w:lang w:val="en"/>
        </w:rPr>
        <w:t xml:space="preserve">The IOUs issued by Uncle Sam had </w:t>
      </w:r>
      <w:r>
        <w:rPr>
          <w:rFonts w:ascii="Times New Roman" w:hAnsi="Times New Roman" w:cs="Times New Roman"/>
          <w:color w:val="000000"/>
          <w:sz w:val="24"/>
          <w:szCs w:val="24"/>
          <w:lang w:val="en"/>
        </w:rPr>
        <w:t xml:space="preserve">to be paid back with interest. </w:t>
      </w:r>
      <w:r w:rsidRPr="00D15BA0">
        <w:rPr>
          <w:rFonts w:ascii="Times New Roman" w:hAnsi="Times New Roman" w:cs="Times New Roman"/>
          <w:color w:val="000000"/>
          <w:sz w:val="24"/>
          <w:szCs w:val="24"/>
          <w:lang w:val="en"/>
        </w:rPr>
        <w:t>When the time came to pay back the IOUs, Uncle Sam could not afford to pay back the debts, pay the interest on those debts, and buy all of t</w:t>
      </w:r>
      <w:r>
        <w:rPr>
          <w:rFonts w:ascii="Times New Roman" w:hAnsi="Times New Roman" w:cs="Times New Roman"/>
          <w:color w:val="000000"/>
          <w:sz w:val="24"/>
          <w:szCs w:val="24"/>
          <w:lang w:val="en"/>
        </w:rPr>
        <w:t xml:space="preserve">he nice things that he wanted. </w:t>
      </w:r>
      <w:r w:rsidRPr="00D15BA0">
        <w:rPr>
          <w:rFonts w:ascii="Times New Roman" w:hAnsi="Times New Roman" w:cs="Times New Roman"/>
          <w:color w:val="000000"/>
          <w:sz w:val="24"/>
          <w:szCs w:val="24"/>
          <w:lang w:val="en"/>
        </w:rPr>
        <w:t>So Uncle Sam issued even more IOUs than before so that he could get enou</w:t>
      </w:r>
      <w:r>
        <w:rPr>
          <w:rFonts w:ascii="Times New Roman" w:hAnsi="Times New Roman" w:cs="Times New Roman"/>
          <w:color w:val="000000"/>
          <w:sz w:val="24"/>
          <w:szCs w:val="24"/>
          <w:lang w:val="en"/>
        </w:rPr>
        <w:t xml:space="preserve">gh notes to pay off his debts. </w:t>
      </w:r>
      <w:r w:rsidRPr="00D15BA0">
        <w:rPr>
          <w:rFonts w:ascii="Times New Roman" w:hAnsi="Times New Roman" w:cs="Times New Roman"/>
          <w:color w:val="000000"/>
          <w:sz w:val="24"/>
          <w:szCs w:val="24"/>
          <w:lang w:val="en"/>
        </w:rPr>
        <w:t>As time rolled on, this p</w:t>
      </w:r>
      <w:r w:rsidR="00BD49E1">
        <w:rPr>
          <w:rFonts w:ascii="Times New Roman" w:hAnsi="Times New Roman" w:cs="Times New Roman"/>
          <w:color w:val="000000"/>
          <w:sz w:val="24"/>
          <w:szCs w:val="24"/>
          <w:lang w:val="en"/>
        </w:rPr>
        <w:t xml:space="preserve">attern just kept on repeating. </w:t>
      </w:r>
      <w:r w:rsidRPr="00D15BA0">
        <w:rPr>
          <w:rFonts w:ascii="Times New Roman" w:hAnsi="Times New Roman" w:cs="Times New Roman"/>
          <w:color w:val="000000"/>
          <w:sz w:val="24"/>
          <w:szCs w:val="24"/>
          <w:lang w:val="en"/>
        </w:rPr>
        <w:t>Uncle Sam repeatedly paid off his old debts by ta</w:t>
      </w:r>
      <w:r>
        <w:rPr>
          <w:rFonts w:ascii="Times New Roman" w:hAnsi="Times New Roman" w:cs="Times New Roman"/>
          <w:color w:val="000000"/>
          <w:sz w:val="24"/>
          <w:szCs w:val="24"/>
          <w:lang w:val="en"/>
        </w:rPr>
        <w:t>king out even larger new debts.</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Meanwhile, since the notes that Uncle Sam was using were backed by gold, everyone else in the world decided to start using t</w:t>
      </w:r>
      <w:r>
        <w:rPr>
          <w:rFonts w:ascii="Times New Roman" w:hAnsi="Times New Roman" w:cs="Times New Roman"/>
          <w:color w:val="000000"/>
          <w:sz w:val="24"/>
          <w:szCs w:val="24"/>
          <w:lang w:val="en"/>
        </w:rPr>
        <w:t xml:space="preserve">hem to trade with one another. </w:t>
      </w:r>
      <w:r w:rsidRPr="00D15BA0">
        <w:rPr>
          <w:rFonts w:ascii="Times New Roman" w:hAnsi="Times New Roman" w:cs="Times New Roman"/>
          <w:color w:val="000000"/>
          <w:sz w:val="24"/>
          <w:szCs w:val="24"/>
          <w:lang w:val="en"/>
        </w:rPr>
        <w:t>This was greatly beneficial to Uncle Sam, because the rest of the world was glad to send him oil, home electronics, plastic trinkets and anything else that Uncle Sam wanted in exch</w:t>
      </w:r>
      <w:r>
        <w:rPr>
          <w:rFonts w:ascii="Times New Roman" w:hAnsi="Times New Roman" w:cs="Times New Roman"/>
          <w:color w:val="000000"/>
          <w:sz w:val="24"/>
          <w:szCs w:val="24"/>
          <w:lang w:val="en"/>
        </w:rPr>
        <w:t>ange for his gold-backed notes.</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Eventually, however, the rest of the world started to suspect that the number of gold-backed notes that Uncle Sam was issuing far exceeded the amount of gol</w:t>
      </w:r>
      <w:r>
        <w:rPr>
          <w:rFonts w:ascii="Times New Roman" w:hAnsi="Times New Roman" w:cs="Times New Roman"/>
          <w:color w:val="000000"/>
          <w:sz w:val="24"/>
          <w:szCs w:val="24"/>
          <w:lang w:val="en"/>
        </w:rPr>
        <w:t xml:space="preserve">d that Uncle Sam actually had. </w:t>
      </w:r>
      <w:r w:rsidRPr="00D15BA0">
        <w:rPr>
          <w:rFonts w:ascii="Times New Roman" w:hAnsi="Times New Roman" w:cs="Times New Roman"/>
          <w:color w:val="000000"/>
          <w:sz w:val="24"/>
          <w:szCs w:val="24"/>
          <w:lang w:val="en"/>
        </w:rPr>
        <w:t>So the rest of the world started to</w:t>
      </w:r>
      <w:r>
        <w:rPr>
          <w:rFonts w:ascii="Times New Roman" w:hAnsi="Times New Roman" w:cs="Times New Roman"/>
          <w:color w:val="000000"/>
          <w:sz w:val="24"/>
          <w:szCs w:val="24"/>
          <w:lang w:val="en"/>
        </w:rPr>
        <w:t xml:space="preserve"> trade in their notes for gold.</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And by that time Uncle Sam definitely did not have enough gold to back up his notes.  Realizing that the scheme was starting to collapse, one day Uncle Sam announced that his notes would no longer be backed by</w:t>
      </w:r>
      <w:r>
        <w:rPr>
          <w:rFonts w:ascii="Times New Roman" w:hAnsi="Times New Roman" w:cs="Times New Roman"/>
          <w:color w:val="000000"/>
          <w:sz w:val="24"/>
          <w:szCs w:val="24"/>
          <w:lang w:val="en"/>
        </w:rPr>
        <w:t xml:space="preserve"> gold. </w:t>
      </w:r>
      <w:r w:rsidRPr="00D15BA0">
        <w:rPr>
          <w:rFonts w:ascii="Times New Roman" w:hAnsi="Times New Roman" w:cs="Times New Roman"/>
          <w:color w:val="000000"/>
          <w:sz w:val="24"/>
          <w:szCs w:val="24"/>
          <w:lang w:val="en"/>
        </w:rPr>
        <w:t>But he insisted that the rest of the world should continue using his notes because he was the wealthiest man on the planet and ev</w:t>
      </w:r>
      <w:r>
        <w:rPr>
          <w:rFonts w:ascii="Times New Roman" w:hAnsi="Times New Roman" w:cs="Times New Roman"/>
          <w:color w:val="000000"/>
          <w:sz w:val="24"/>
          <w:szCs w:val="24"/>
          <w:lang w:val="en"/>
        </w:rPr>
        <w:t>eryone should just trust him.</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And the rest of the world did continue to trust him, althoug</w:t>
      </w:r>
      <w:r>
        <w:rPr>
          <w:rFonts w:ascii="Times New Roman" w:hAnsi="Times New Roman" w:cs="Times New Roman"/>
          <w:color w:val="000000"/>
          <w:sz w:val="24"/>
          <w:szCs w:val="24"/>
          <w:lang w:val="en"/>
        </w:rPr>
        <w:t>h it wasn't the same as before.</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As Uncle Sam got greedier and greedier, he started to issue IOUs and spend notes at a rate tha</w:t>
      </w:r>
      <w:r>
        <w:rPr>
          <w:rFonts w:ascii="Times New Roman" w:hAnsi="Times New Roman" w:cs="Times New Roman"/>
          <w:color w:val="000000"/>
          <w:sz w:val="24"/>
          <w:szCs w:val="24"/>
          <w:lang w:val="en"/>
        </w:rPr>
        <w:t xml:space="preserve">t nobody ever dreamed possible. </w:t>
      </w:r>
      <w:r w:rsidRPr="00D15BA0">
        <w:rPr>
          <w:rFonts w:ascii="Times New Roman" w:hAnsi="Times New Roman" w:cs="Times New Roman"/>
          <w:color w:val="000000"/>
          <w:sz w:val="24"/>
          <w:szCs w:val="24"/>
          <w:lang w:val="en"/>
        </w:rPr>
        <w:t>The great businesses that Uncle Sam had built when he was younger were starting to decline, and Uncle Sam started buying far more stuff from the rest of the wo</w:t>
      </w:r>
      <w:r>
        <w:rPr>
          <w:rFonts w:ascii="Times New Roman" w:hAnsi="Times New Roman" w:cs="Times New Roman"/>
          <w:color w:val="000000"/>
          <w:sz w:val="24"/>
          <w:szCs w:val="24"/>
          <w:lang w:val="en"/>
        </w:rPr>
        <w:t xml:space="preserve">rld than they bought from him. </w:t>
      </w:r>
      <w:r w:rsidRPr="00D15BA0">
        <w:rPr>
          <w:rFonts w:ascii="Times New Roman" w:hAnsi="Times New Roman" w:cs="Times New Roman"/>
          <w:color w:val="000000"/>
          <w:sz w:val="24"/>
          <w:szCs w:val="24"/>
          <w:lang w:val="en"/>
        </w:rPr>
        <w:t>The rest of the world was still glad to take Uncle Sam's notes because they used them to trade with one another, but they started accumulating far more n</w:t>
      </w:r>
      <w:r>
        <w:rPr>
          <w:rFonts w:ascii="Times New Roman" w:hAnsi="Times New Roman" w:cs="Times New Roman"/>
          <w:color w:val="000000"/>
          <w:sz w:val="24"/>
          <w:szCs w:val="24"/>
          <w:lang w:val="en"/>
        </w:rPr>
        <w:t>otes than they actually needed.</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Not sure exactly what to do with mountains of these notes, the rest of the world started t</w:t>
      </w:r>
      <w:r>
        <w:rPr>
          <w:rFonts w:ascii="Times New Roman" w:hAnsi="Times New Roman" w:cs="Times New Roman"/>
          <w:color w:val="000000"/>
          <w:sz w:val="24"/>
          <w:szCs w:val="24"/>
          <w:lang w:val="en"/>
        </w:rPr>
        <w:t xml:space="preserve">o loan them back to Uncle Sam. </w:t>
      </w:r>
      <w:r w:rsidRPr="00D15BA0">
        <w:rPr>
          <w:rFonts w:ascii="Times New Roman" w:hAnsi="Times New Roman" w:cs="Times New Roman"/>
          <w:color w:val="000000"/>
          <w:sz w:val="24"/>
          <w:szCs w:val="24"/>
          <w:lang w:val="en"/>
        </w:rPr>
        <w:t>It eventually got to the point where Uncle Sam owed the rest of the w</w:t>
      </w:r>
      <w:r>
        <w:rPr>
          <w:rFonts w:ascii="Times New Roman" w:hAnsi="Times New Roman" w:cs="Times New Roman"/>
          <w:color w:val="000000"/>
          <w:sz w:val="24"/>
          <w:szCs w:val="24"/>
          <w:lang w:val="en"/>
        </w:rPr>
        <w:t xml:space="preserve">orld trillions of these notes. </w:t>
      </w:r>
      <w:r w:rsidRPr="00D15BA0">
        <w:rPr>
          <w:rFonts w:ascii="Times New Roman" w:hAnsi="Times New Roman" w:cs="Times New Roman"/>
          <w:color w:val="000000"/>
          <w:sz w:val="24"/>
          <w:szCs w:val="24"/>
          <w:lang w:val="en"/>
        </w:rPr>
        <w:t>Even though the notes were losing value at a rate of close to 10 percent a year, Uncle Sam somehow convinced the rest of the world to loan him notes at an average rate of interest</w:t>
      </w:r>
      <w:r>
        <w:rPr>
          <w:rFonts w:ascii="Times New Roman" w:hAnsi="Times New Roman" w:cs="Times New Roman"/>
          <w:color w:val="000000"/>
          <w:sz w:val="24"/>
          <w:szCs w:val="24"/>
          <w:lang w:val="en"/>
        </w:rPr>
        <w:t xml:space="preserve"> of less than 3 percent a year.</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One day Uncle Sam woke up and realized that the amount of debt that he owed was now more than 5000 times larger than it was when Fred had first approached h</w:t>
      </w:r>
      <w:r>
        <w:rPr>
          <w:rFonts w:ascii="Times New Roman" w:hAnsi="Times New Roman" w:cs="Times New Roman"/>
          <w:color w:val="000000"/>
          <w:sz w:val="24"/>
          <w:szCs w:val="24"/>
          <w:lang w:val="en"/>
        </w:rPr>
        <w:t xml:space="preserve">im with this ill-fated scheme. </w:t>
      </w:r>
      <w:r w:rsidRPr="00D15BA0">
        <w:rPr>
          <w:rFonts w:ascii="Times New Roman" w:hAnsi="Times New Roman" w:cs="Times New Roman"/>
          <w:color w:val="000000"/>
          <w:sz w:val="24"/>
          <w:szCs w:val="24"/>
          <w:lang w:val="en"/>
        </w:rPr>
        <w:t xml:space="preserve">Uncle Sam now owed more than 16 trillion notes to his creditors, and Uncle Sam had already made future financial commitments of 202 trillion notes that </w:t>
      </w:r>
      <w:r>
        <w:rPr>
          <w:rFonts w:ascii="Times New Roman" w:hAnsi="Times New Roman" w:cs="Times New Roman"/>
          <w:color w:val="000000"/>
          <w:sz w:val="24"/>
          <w:szCs w:val="24"/>
          <w:lang w:val="en"/>
        </w:rPr>
        <w:lastRenderedPageBreak/>
        <w:t xml:space="preserve">he would never be able to pay. </w:t>
      </w:r>
      <w:r w:rsidRPr="00D15BA0">
        <w:rPr>
          <w:rFonts w:ascii="Times New Roman" w:hAnsi="Times New Roman" w:cs="Times New Roman"/>
          <w:color w:val="000000"/>
          <w:sz w:val="24"/>
          <w:szCs w:val="24"/>
          <w:lang w:val="en"/>
        </w:rPr>
        <w:t>Meanwhile, the notes that Fred had been printing up for Uncle Sam were now worth less than 5 pe</w:t>
      </w:r>
      <w:r>
        <w:rPr>
          <w:rFonts w:ascii="Times New Roman" w:hAnsi="Times New Roman" w:cs="Times New Roman"/>
          <w:color w:val="000000"/>
          <w:sz w:val="24"/>
          <w:szCs w:val="24"/>
          <w:lang w:val="en"/>
        </w:rPr>
        <w:t xml:space="preserve">rcent of their original value. </w:t>
      </w:r>
      <w:r w:rsidRPr="00D15BA0">
        <w:rPr>
          <w:rFonts w:ascii="Times New Roman" w:hAnsi="Times New Roman" w:cs="Times New Roman"/>
          <w:color w:val="000000"/>
          <w:sz w:val="24"/>
          <w:szCs w:val="24"/>
          <w:lang w:val="en"/>
        </w:rPr>
        <w:t>Uncle Sam was becoming concerned because some of his other relatives were warning that this whol</w:t>
      </w:r>
      <w:r>
        <w:rPr>
          <w:rFonts w:ascii="Times New Roman" w:hAnsi="Times New Roman" w:cs="Times New Roman"/>
          <w:color w:val="000000"/>
          <w:sz w:val="24"/>
          <w:szCs w:val="24"/>
          <w:lang w:val="en"/>
        </w:rPr>
        <w:t>e scheme was about to collapse.</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Sadly, Unc</w:t>
      </w:r>
      <w:r>
        <w:rPr>
          <w:rFonts w:ascii="Times New Roman" w:hAnsi="Times New Roman" w:cs="Times New Roman"/>
          <w:color w:val="000000"/>
          <w:sz w:val="24"/>
          <w:szCs w:val="24"/>
          <w:lang w:val="en"/>
        </w:rPr>
        <w:t xml:space="preserve">le Sam did not listen to them. </w:t>
      </w:r>
      <w:r w:rsidRPr="00D15BA0">
        <w:rPr>
          <w:rFonts w:ascii="Times New Roman" w:hAnsi="Times New Roman" w:cs="Times New Roman"/>
          <w:color w:val="000000"/>
          <w:sz w:val="24"/>
          <w:szCs w:val="24"/>
          <w:lang w:val="en"/>
        </w:rPr>
        <w:t>Uncle Sam knew that if he admitted how fraudulent the financial scheme was, the rest of the world would quit sending him all of the things that he needed in exchange for his notes and they would quit lending his notes back to h</w:t>
      </w:r>
      <w:r>
        <w:rPr>
          <w:rFonts w:ascii="Times New Roman" w:hAnsi="Times New Roman" w:cs="Times New Roman"/>
          <w:color w:val="000000"/>
          <w:sz w:val="24"/>
          <w:szCs w:val="24"/>
          <w:lang w:val="en"/>
        </w:rPr>
        <w:t>im at super low interest rates.</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 xml:space="preserve">And if the rest of the world lost confidence in his notes and quit using them, Uncle Sam knew that his standard of </w:t>
      </w:r>
      <w:r>
        <w:rPr>
          <w:rFonts w:ascii="Times New Roman" w:hAnsi="Times New Roman" w:cs="Times New Roman"/>
          <w:color w:val="000000"/>
          <w:sz w:val="24"/>
          <w:szCs w:val="24"/>
          <w:lang w:val="en"/>
        </w:rPr>
        <w:t>living would go way, way do</w:t>
      </w:r>
      <w:r w:rsidR="00BD49E1">
        <w:rPr>
          <w:rFonts w:ascii="Times New Roman" w:hAnsi="Times New Roman" w:cs="Times New Roman"/>
          <w:color w:val="000000"/>
          <w:sz w:val="24"/>
          <w:szCs w:val="24"/>
          <w:lang w:val="en"/>
        </w:rPr>
        <w:t xml:space="preserve">wn. </w:t>
      </w:r>
      <w:r w:rsidRPr="00D15BA0">
        <w:rPr>
          <w:rFonts w:ascii="Times New Roman" w:hAnsi="Times New Roman" w:cs="Times New Roman"/>
          <w:color w:val="000000"/>
          <w:sz w:val="24"/>
          <w:szCs w:val="24"/>
          <w:lang w:val="en"/>
        </w:rPr>
        <w:t>That was something that Uncle Sam</w:t>
      </w:r>
      <w:r>
        <w:rPr>
          <w:rFonts w:ascii="Times New Roman" w:hAnsi="Times New Roman" w:cs="Times New Roman"/>
          <w:color w:val="000000"/>
          <w:sz w:val="24"/>
          <w:szCs w:val="24"/>
          <w:lang w:val="en"/>
        </w:rPr>
        <w:t xml:space="preserve"> could not bear to have happen.</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When a financial crisis almost caused the scheme to crash in 2008, a desperate Uncle Sam we</w:t>
      </w:r>
      <w:r>
        <w:rPr>
          <w:rFonts w:ascii="Times New Roman" w:hAnsi="Times New Roman" w:cs="Times New Roman"/>
          <w:color w:val="000000"/>
          <w:sz w:val="24"/>
          <w:szCs w:val="24"/>
          <w:lang w:val="en"/>
        </w:rPr>
        <w:t xml:space="preserve">nt to Fred and asked for help. </w:t>
      </w:r>
      <w:r w:rsidRPr="00D15BA0">
        <w:rPr>
          <w:rFonts w:ascii="Times New Roman" w:hAnsi="Times New Roman" w:cs="Times New Roman"/>
          <w:color w:val="000000"/>
          <w:sz w:val="24"/>
          <w:szCs w:val="24"/>
          <w:lang w:val="en"/>
        </w:rPr>
        <w:t>In response, Fred started printing up far more notes than ever before and started directly buying up large amounts of IOUs from Uncle Sam with the notes that he</w:t>
      </w:r>
      <w:r>
        <w:rPr>
          <w:rFonts w:ascii="Times New Roman" w:hAnsi="Times New Roman" w:cs="Times New Roman"/>
          <w:color w:val="000000"/>
          <w:sz w:val="24"/>
          <w:szCs w:val="24"/>
          <w:lang w:val="en"/>
        </w:rPr>
        <w:t xml:space="preserve"> was creating out of thin air. </w:t>
      </w:r>
      <w:r w:rsidRPr="00D15BA0">
        <w:rPr>
          <w:rFonts w:ascii="Times New Roman" w:hAnsi="Times New Roman" w:cs="Times New Roman"/>
          <w:color w:val="000000"/>
          <w:sz w:val="24"/>
          <w:szCs w:val="24"/>
          <w:lang w:val="en"/>
        </w:rPr>
        <w:t>Fred hoped that the rest of the world woul</w:t>
      </w:r>
      <w:r>
        <w:rPr>
          <w:rFonts w:ascii="Times New Roman" w:hAnsi="Times New Roman" w:cs="Times New Roman"/>
          <w:color w:val="000000"/>
          <w:sz w:val="24"/>
          <w:szCs w:val="24"/>
          <w:lang w:val="en"/>
        </w:rPr>
        <w:t>d not notice what he was doing.</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 xml:space="preserve">It seemed to work for a little while, but then an even worse financial crisis came along.  Once again, Uncle Sam started issuing massive amounts of new IOUs and Fred started printing up giant mountains of new notes to try to fix things, but their desperate attempts to keep the </w:t>
      </w:r>
      <w:r w:rsidR="00BD49E1">
        <w:rPr>
          <w:rFonts w:ascii="Times New Roman" w:hAnsi="Times New Roman" w:cs="Times New Roman"/>
          <w:color w:val="000000"/>
          <w:sz w:val="24"/>
          <w:szCs w:val="24"/>
          <w:lang w:val="en"/>
        </w:rPr>
        <w:t xml:space="preserve">system going were to no avail. </w:t>
      </w:r>
      <w:r w:rsidRPr="00D15BA0">
        <w:rPr>
          <w:rFonts w:ascii="Times New Roman" w:hAnsi="Times New Roman" w:cs="Times New Roman"/>
          <w:color w:val="000000"/>
          <w:sz w:val="24"/>
          <w:szCs w:val="24"/>
          <w:lang w:val="en"/>
        </w:rPr>
        <w:t>The rest of the world started to realize that they had been sucked into a massive Ponzi scheme, and they lost confidence in the n</w:t>
      </w:r>
      <w:r>
        <w:rPr>
          <w:rFonts w:ascii="Times New Roman" w:hAnsi="Times New Roman" w:cs="Times New Roman"/>
          <w:color w:val="000000"/>
          <w:sz w:val="24"/>
          <w:szCs w:val="24"/>
          <w:lang w:val="en"/>
        </w:rPr>
        <w:t xml:space="preserve">otes that Uncle Sam was using. </w:t>
      </w:r>
      <w:r w:rsidRPr="00D15BA0">
        <w:rPr>
          <w:rFonts w:ascii="Times New Roman" w:hAnsi="Times New Roman" w:cs="Times New Roman"/>
          <w:color w:val="000000"/>
          <w:sz w:val="24"/>
          <w:szCs w:val="24"/>
          <w:lang w:val="en"/>
        </w:rPr>
        <w:t>Suddenly nobody wanted to lend notes to Uncle Sam at super low interest rates anymore, and people started asking for far more notes in exchange for th</w:t>
      </w:r>
      <w:r>
        <w:rPr>
          <w:rFonts w:ascii="Times New Roman" w:hAnsi="Times New Roman" w:cs="Times New Roman"/>
          <w:color w:val="000000"/>
          <w:sz w:val="24"/>
          <w:szCs w:val="24"/>
          <w:lang w:val="en"/>
        </w:rPr>
        <w:t>e things that Uncle Sam wanted.</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Uncle Sam's standard o</w:t>
      </w:r>
      <w:r>
        <w:rPr>
          <w:rFonts w:ascii="Times New Roman" w:hAnsi="Times New Roman" w:cs="Times New Roman"/>
          <w:color w:val="000000"/>
          <w:sz w:val="24"/>
          <w:szCs w:val="24"/>
          <w:lang w:val="en"/>
        </w:rPr>
        <w:t xml:space="preserve">f living dropped dramatically. </w:t>
      </w:r>
      <w:r w:rsidRPr="00D15BA0">
        <w:rPr>
          <w:rFonts w:ascii="Times New Roman" w:hAnsi="Times New Roman" w:cs="Times New Roman"/>
          <w:color w:val="000000"/>
          <w:sz w:val="24"/>
          <w:szCs w:val="24"/>
          <w:lang w:val="en"/>
        </w:rPr>
        <w:t>Since he could no longer flood the world with his notes, Uncle Sam could not continue to consume far, far</w:t>
      </w:r>
      <w:r w:rsidR="00BD49E1">
        <w:rPr>
          <w:rFonts w:ascii="Times New Roman" w:hAnsi="Times New Roman" w:cs="Times New Roman"/>
          <w:color w:val="000000"/>
          <w:sz w:val="24"/>
          <w:szCs w:val="24"/>
          <w:lang w:val="en"/>
        </w:rPr>
        <w:t xml:space="preserve"> more wealth than he produced. </w:t>
      </w:r>
      <w:r w:rsidRPr="00D15BA0">
        <w:rPr>
          <w:rFonts w:ascii="Times New Roman" w:hAnsi="Times New Roman" w:cs="Times New Roman"/>
          <w:color w:val="000000"/>
          <w:sz w:val="24"/>
          <w:szCs w:val="24"/>
          <w:lang w:val="en"/>
        </w:rPr>
        <w:t>Uncle Sam sunk into a deep depression as he watched the sc</w:t>
      </w:r>
      <w:r>
        <w:rPr>
          <w:rFonts w:ascii="Times New Roman" w:hAnsi="Times New Roman" w:cs="Times New Roman"/>
          <w:color w:val="000000"/>
          <w:sz w:val="24"/>
          <w:szCs w:val="24"/>
          <w:lang w:val="en"/>
        </w:rPr>
        <w:t>heme fall apart all around him.</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Uncle Sam had once been the wealthiest man on the entire planet, but now he was a broke, tired old man that wa</w:t>
      </w:r>
      <w:r>
        <w:rPr>
          <w:rFonts w:ascii="Times New Roman" w:hAnsi="Times New Roman" w:cs="Times New Roman"/>
          <w:color w:val="000000"/>
          <w:sz w:val="24"/>
          <w:szCs w:val="24"/>
          <w:lang w:val="en"/>
        </w:rPr>
        <w:t xml:space="preserve">s absolutely drowning in debt. </w:t>
      </w:r>
      <w:r w:rsidRPr="00D15BA0">
        <w:rPr>
          <w:rFonts w:ascii="Times New Roman" w:hAnsi="Times New Roman" w:cs="Times New Roman"/>
          <w:color w:val="000000"/>
          <w:sz w:val="24"/>
          <w:szCs w:val="24"/>
          <w:lang w:val="en"/>
        </w:rPr>
        <w:t>Unfortunately, once he was down on his luck the rest of the world did not have any compassion for him.  In fact, much of the rest of the world celebr</w:t>
      </w:r>
      <w:r>
        <w:rPr>
          <w:rFonts w:ascii="Times New Roman" w:hAnsi="Times New Roman" w:cs="Times New Roman"/>
          <w:color w:val="000000"/>
          <w:sz w:val="24"/>
          <w:szCs w:val="24"/>
          <w:lang w:val="en"/>
        </w:rPr>
        <w:t>ated the downfall of Uncle Sam.</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 xml:space="preserve">All of this could have been avoided if Uncle Sam had never </w:t>
      </w:r>
      <w:r>
        <w:rPr>
          <w:rFonts w:ascii="Times New Roman" w:hAnsi="Times New Roman" w:cs="Times New Roman"/>
          <w:color w:val="000000"/>
          <w:sz w:val="24"/>
          <w:szCs w:val="24"/>
          <w:lang w:val="en"/>
        </w:rPr>
        <w:t xml:space="preserve">agreed to Fred's crazy scheme. </w:t>
      </w:r>
      <w:r w:rsidRPr="00D15BA0">
        <w:rPr>
          <w:rFonts w:ascii="Times New Roman" w:hAnsi="Times New Roman" w:cs="Times New Roman"/>
          <w:color w:val="000000"/>
          <w:sz w:val="24"/>
          <w:szCs w:val="24"/>
          <w:lang w:val="en"/>
        </w:rPr>
        <w:t>And once Uncle Sam made the decision to stop backing his notes with gold, it was only a matter of time before th</w:t>
      </w:r>
      <w:r>
        <w:rPr>
          <w:rFonts w:ascii="Times New Roman" w:hAnsi="Times New Roman" w:cs="Times New Roman"/>
          <w:color w:val="000000"/>
          <w:sz w:val="24"/>
          <w:szCs w:val="24"/>
          <w:lang w:val="en"/>
        </w:rPr>
        <w:t>e scheme was going to collapse.</w:t>
      </w:r>
    </w:p>
    <w:p w:rsidR="00EA0B0F" w:rsidRPr="00D15BA0"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Does this little story soun</w:t>
      </w:r>
      <w:r>
        <w:rPr>
          <w:rFonts w:ascii="Times New Roman" w:hAnsi="Times New Roman" w:cs="Times New Roman"/>
          <w:color w:val="000000"/>
          <w:sz w:val="24"/>
          <w:szCs w:val="24"/>
          <w:lang w:val="en"/>
        </w:rPr>
        <w:t xml:space="preserve">d crazy to you?  It shouldn't. </w:t>
      </w:r>
      <w:r w:rsidRPr="00D15BA0">
        <w:rPr>
          <w:rFonts w:ascii="Times New Roman" w:hAnsi="Times New Roman" w:cs="Times New Roman"/>
          <w:color w:val="000000"/>
          <w:sz w:val="24"/>
          <w:szCs w:val="24"/>
          <w:lang w:val="en"/>
        </w:rPr>
        <w:t>The truth is that you are involv</w:t>
      </w:r>
      <w:r>
        <w:rPr>
          <w:rFonts w:ascii="Times New Roman" w:hAnsi="Times New Roman" w:cs="Times New Roman"/>
          <w:color w:val="000000"/>
          <w:sz w:val="24"/>
          <w:szCs w:val="24"/>
          <w:lang w:val="en"/>
        </w:rPr>
        <w:t xml:space="preserve">ed in such a scheme right now. </w:t>
      </w:r>
      <w:r w:rsidRPr="00D15BA0">
        <w:rPr>
          <w:rFonts w:ascii="Times New Roman" w:hAnsi="Times New Roman" w:cs="Times New Roman"/>
          <w:color w:val="000000"/>
          <w:sz w:val="24"/>
          <w:szCs w:val="24"/>
          <w:lang w:val="en"/>
        </w:rPr>
        <w:t xml:space="preserve">In case you </w:t>
      </w:r>
      <w:r>
        <w:rPr>
          <w:rFonts w:ascii="Times New Roman" w:hAnsi="Times New Roman" w:cs="Times New Roman"/>
          <w:color w:val="000000"/>
          <w:sz w:val="24"/>
          <w:szCs w:val="24"/>
          <w:lang w:val="en"/>
        </w:rPr>
        <w:t>haven't figured it out, “Uncle Sam”</w:t>
      </w:r>
      <w:r w:rsidRPr="00D15BA0">
        <w:rPr>
          <w:rFonts w:ascii="Times New Roman" w:hAnsi="Times New Roman" w:cs="Times New Roman"/>
          <w:color w:val="000000"/>
          <w:sz w:val="24"/>
          <w:szCs w:val="24"/>
          <w:lang w:val="en"/>
        </w:rPr>
        <w:t xml:space="preserve"> is the United States, the</w:t>
      </w:r>
      <w:r>
        <w:rPr>
          <w:rFonts w:ascii="Times New Roman" w:hAnsi="Times New Roman" w:cs="Times New Roman"/>
          <w:color w:val="000000"/>
          <w:sz w:val="24"/>
          <w:szCs w:val="24"/>
          <w:lang w:val="en"/>
        </w:rPr>
        <w:t xml:space="preserve"> “notes” are U.S. dollars, and “Fred”</w:t>
      </w:r>
      <w:r w:rsidRPr="00D15BA0">
        <w:rPr>
          <w:rFonts w:ascii="Times New Roman" w:hAnsi="Times New Roman" w:cs="Times New Roman"/>
          <w:color w:val="000000"/>
          <w:sz w:val="24"/>
          <w:szCs w:val="24"/>
          <w:lang w:val="en"/>
        </w:rPr>
        <w:t xml:space="preserve"> is the Federal Reserve.</w:t>
      </w:r>
    </w:p>
    <w:p w:rsidR="00EA0B0F" w:rsidRDefault="00EA0B0F" w:rsidP="00387350">
      <w:pPr>
        <w:shd w:val="clear" w:color="auto" w:fill="FFFFFF"/>
        <w:spacing w:before="60" w:after="180" w:line="240" w:lineRule="auto"/>
        <w:jc w:val="both"/>
        <w:rPr>
          <w:rFonts w:ascii="Times New Roman" w:hAnsi="Times New Roman" w:cs="Times New Roman"/>
          <w:color w:val="000000"/>
          <w:sz w:val="24"/>
          <w:szCs w:val="24"/>
          <w:lang w:val="en"/>
        </w:rPr>
      </w:pPr>
      <w:r w:rsidRPr="00D15BA0">
        <w:rPr>
          <w:rFonts w:ascii="Times New Roman" w:hAnsi="Times New Roman" w:cs="Times New Roman"/>
          <w:color w:val="000000"/>
          <w:sz w:val="24"/>
          <w:szCs w:val="24"/>
          <w:lang w:val="en"/>
        </w:rPr>
        <w:t>Please share this story w</w:t>
      </w:r>
      <w:r>
        <w:rPr>
          <w:rFonts w:ascii="Times New Roman" w:hAnsi="Times New Roman" w:cs="Times New Roman"/>
          <w:color w:val="000000"/>
          <w:sz w:val="24"/>
          <w:szCs w:val="24"/>
          <w:lang w:val="en"/>
        </w:rPr>
        <w:t xml:space="preserve">ith as many people as you can. </w:t>
      </w:r>
      <w:r w:rsidRPr="00D15BA0">
        <w:rPr>
          <w:rFonts w:ascii="Times New Roman" w:hAnsi="Times New Roman" w:cs="Times New Roman"/>
          <w:color w:val="000000"/>
          <w:sz w:val="24"/>
          <w:szCs w:val="24"/>
          <w:lang w:val="en"/>
        </w:rPr>
        <w:t>Our country is headed for complete and total financial disaster, and we need to get people educated about this while there is still time.</w:t>
      </w:r>
    </w:p>
    <w:p w:rsidR="00AE55C3" w:rsidRDefault="00AE55C3" w:rsidP="00387350">
      <w:pPr>
        <w:shd w:val="clear" w:color="auto" w:fill="FFFFFF"/>
        <w:spacing w:before="60" w:after="180" w:line="240" w:lineRule="auto"/>
        <w:jc w:val="both"/>
        <w:rPr>
          <w:rFonts w:ascii="Times New Roman" w:hAnsi="Times New Roman" w:cs="Times New Roman"/>
          <w:color w:val="000000"/>
          <w:sz w:val="24"/>
          <w:szCs w:val="24"/>
          <w:lang w:val="en"/>
        </w:rPr>
      </w:pPr>
    </w:p>
    <w:p w:rsidR="00AE55C3" w:rsidRPr="00AE55C3" w:rsidRDefault="00AE55C3" w:rsidP="00387350">
      <w:pPr>
        <w:shd w:val="clear" w:color="auto" w:fill="FFFFFF"/>
        <w:spacing w:before="100" w:beforeAutospacing="1" w:after="100" w:afterAutospacing="1"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“Tinta fresca”: últimos acontecimientos al “cierre” de la edición </w:t>
      </w:r>
      <w:r w:rsidR="004D13CE">
        <w:rPr>
          <w:rFonts w:ascii="Times New Roman" w:hAnsi="Times New Roman" w:cs="Times New Roman"/>
          <w:b/>
          <w:sz w:val="24"/>
          <w:szCs w:val="24"/>
        </w:rPr>
        <w:t>(de hemeroteca 4º Trimestre</w:t>
      </w:r>
      <w:r>
        <w:rPr>
          <w:rFonts w:ascii="Times New Roman" w:hAnsi="Times New Roman" w:cs="Times New Roman"/>
          <w:b/>
          <w:sz w:val="24"/>
          <w:szCs w:val="24"/>
        </w:rPr>
        <w:t xml:space="preserve"> 2013)</w:t>
      </w:r>
    </w:p>
    <w:p w:rsidR="00AE55C3" w:rsidRDefault="00AE55C3" w:rsidP="00387350">
      <w:pPr>
        <w:pStyle w:val="NormalWeb"/>
        <w:jc w:val="both"/>
      </w:pPr>
      <w:r>
        <w:t xml:space="preserve"> - </w:t>
      </w:r>
      <w:r w:rsidRPr="00441637">
        <w:rPr>
          <w:u w:val="single"/>
        </w:rPr>
        <w:t>Cinco años en el limbo</w:t>
      </w:r>
      <w:r>
        <w:t xml:space="preserve"> (</w:t>
      </w:r>
      <w:r w:rsidRPr="00AD064B">
        <w:t>Joseph E. Stiglitz</w:t>
      </w:r>
      <w:r>
        <w:t xml:space="preserve"> - Project Syndicate - </w:t>
      </w:r>
      <w:r w:rsidRPr="00441637">
        <w:rPr>
          <w:b/>
        </w:rPr>
        <w:t>8/10/13</w:t>
      </w:r>
      <w:r>
        <w:t>)</w:t>
      </w:r>
      <w:r>
        <w:tab/>
      </w:r>
    </w:p>
    <w:p w:rsidR="00AE55C3" w:rsidRDefault="00AE55C3" w:rsidP="00387350">
      <w:pPr>
        <w:pStyle w:val="NormalWeb"/>
        <w:jc w:val="both"/>
      </w:pPr>
      <w:r w:rsidRPr="00CC42C6">
        <w:t>Aparentemente, cuando el banco de inversión estadounidense Lehman Brothers colapsó en 2008 y detonó la peor crisis financiera desde la Gran Depresión, se formó un amplio consenso sobre la causa de la crisis. Un sistema financiero inflado y disfuncional había asignado incorrectamente el capital y, en vez de gestionar el riesgo, lo creó.</w:t>
      </w:r>
      <w:r>
        <w:t xml:space="preserve"> La desregulación financiera -junto con el dinero barato-</w:t>
      </w:r>
      <w:r w:rsidRPr="00CC42C6">
        <w:t xml:space="preserve"> contribuyó a una excesiva toma de riesgos. Y la política monetaria sería relativamente ineficaz para revivir la economía, incluso si se lograba evitar el colapso total del sistema financiero con dinero más barato aún. Por lo tanto, sería necesaria una mayor dependencia de la política fiscal (un mayor gasto gubernamental).</w:t>
      </w:r>
      <w:r>
        <w:t xml:space="preserve"> </w:t>
      </w:r>
      <w:r w:rsidRPr="00CC42C6">
        <w:t>Cinco años más tarde, mientras algunos se felicitan a sí mismos por evitar otra depresión, nadie en Europa o Estados Unidos puede afirmar que la prosperidad ha regresado…</w:t>
      </w:r>
      <w:r>
        <w:t xml:space="preserve"> </w:t>
      </w:r>
      <w:r w:rsidRPr="00CC42C6">
        <w:t>Los banqueros presumen de haber pagado totalmente los fondos de rescate del gobierno que recibieron cuando comenzó la crisis. Pero nunca parecen mencionar que cualquiera que hubiera recibido enormes créditos gubernamentales a tasas de interés cercanas a cero podría haber ganado miles de millones con el mero hecho de prestar nuevamente ese dinero al gobierno. Tampoco mencionan los costos impuestos a</w:t>
      </w:r>
      <w:r>
        <w:t>l resto de la economía -</w:t>
      </w:r>
      <w:r w:rsidRPr="00CC42C6">
        <w:t>una pérdida acumula</w:t>
      </w:r>
      <w:r>
        <w:t>da del producto en Europa y EEUU</w:t>
      </w:r>
      <w:r w:rsidRPr="00CC42C6">
        <w:t xml:space="preserve"> que supera largamente los $</w:t>
      </w:r>
      <w:r>
        <w:t xml:space="preserve"> </w:t>
      </w:r>
      <w:r w:rsidRPr="00CC42C6">
        <w:t>5 billones.</w:t>
      </w:r>
      <w:r>
        <w:t xml:space="preserve"> </w:t>
      </w:r>
      <w:r w:rsidRPr="00CC42C6">
        <w:t>Mientras tanto, resultó que quienes sostuvieron que la política monetaria no sería suficiente estaban en lo cierto. Sí, todos fuimos keynesianas, pero por demasiado poco tiempo. El estímulo fiscal fue reemplazado por la austeridad, co</w:t>
      </w:r>
      <w:r>
        <w:t>n efectos adversos predecibles -y predichos-</w:t>
      </w:r>
      <w:r w:rsidRPr="00CC42C6">
        <w:t xml:space="preserve"> sobre el desempeño de la economía.</w:t>
      </w:r>
    </w:p>
    <w:p w:rsidR="00AE55C3" w:rsidRDefault="00AE55C3" w:rsidP="00387350">
      <w:pPr>
        <w:pStyle w:val="NormalWeb"/>
        <w:jc w:val="both"/>
      </w:pPr>
      <w:r>
        <w:t xml:space="preserve">- </w:t>
      </w:r>
      <w:r>
        <w:rPr>
          <w:u w:val="single"/>
        </w:rPr>
        <w:t>¿Cuántos “grandes tontos”</w:t>
      </w:r>
      <w:r w:rsidRPr="00A00159">
        <w:rPr>
          <w:u w:val="single"/>
        </w:rPr>
        <w:t xml:space="preserve"> se necesitan para inflar una burbuja financiera?</w:t>
      </w:r>
      <w:r>
        <w:t xml:space="preserve"> (The Wall Street Journal - </w:t>
      </w:r>
      <w:r w:rsidRPr="00A00159">
        <w:rPr>
          <w:b/>
        </w:rPr>
        <w:t>21/10/13</w:t>
      </w:r>
      <w:r>
        <w:t>)</w:t>
      </w:r>
    </w:p>
    <w:p w:rsidR="00AE55C3" w:rsidRPr="00AE55C3" w:rsidRDefault="00AE55C3" w:rsidP="00387350">
      <w:pPr>
        <w:pStyle w:val="NormalWeb"/>
        <w:jc w:val="both"/>
      </w:pPr>
      <w:r w:rsidRPr="00CC42C6">
        <w:t>¿De dónde vienen las burbujas del mercado? Un equipo de neurocientíficos y economistas ha producido la primera evidencia científica de algo en lo que los inversionistas prudentes han creído durante mucho tiempo: prestar atención excesiva a lo que el resto está haciendo es la forma más fácil de provocar un desbarajuste.</w:t>
      </w:r>
      <w:r>
        <w:t xml:space="preserve"> </w:t>
      </w:r>
      <w:r w:rsidRPr="00CC42C6">
        <w:t>El nuevo estudio no puede prevenir los contagios masivos que terminan en burbujas, pero podría ayudar a pensarlo dos veces antes de ser arrastrado por la siguiente.</w:t>
      </w:r>
      <w:r>
        <w:t xml:space="preserve"> </w:t>
      </w:r>
      <w:r w:rsidRPr="00CC42C6">
        <w:t>Los economistas no han podido explicar la razón por la que los mercados se transforman en manías. Algunos han negado la existencia de las burbujas mientras que otros han sostenido que las bu</w:t>
      </w:r>
      <w:r>
        <w:t>rbujas deben ser de algún modo “racionales”</w:t>
      </w:r>
      <w:r w:rsidRPr="00CC42C6">
        <w:t xml:space="preserve">. A menudo, el argumento es que las burbujas son </w:t>
      </w:r>
      <w:r>
        <w:t>provocadas por operadores “con poca información”</w:t>
      </w:r>
      <w:r w:rsidRPr="00CC42C6">
        <w:t xml:space="preserve"> o lo que se conoce e</w:t>
      </w:r>
      <w:r>
        <w:t>n la jerga de Wall Street como “dinero tonto”, mientras que el “</w:t>
      </w:r>
      <w:r w:rsidRPr="00CC42C6">
        <w:t>dinero i</w:t>
      </w:r>
      <w:r>
        <w:t>nteligente”</w:t>
      </w:r>
      <w:r w:rsidRPr="00CC42C6">
        <w:t xml:space="preserve"> se queda al margen.</w:t>
      </w:r>
      <w:r>
        <w:t xml:space="preserve"> </w:t>
      </w:r>
      <w:r w:rsidRPr="00CC42C6">
        <w:t>Sin embargo, el hallazgo más reciente sugiere que las burbujas pueden ser causadas no por falta de información, sino por los operadores que tienen un exceso de información</w:t>
      </w:r>
      <w:r>
        <w:t xml:space="preserve">… </w:t>
      </w:r>
      <w:r w:rsidRPr="00CC42C6">
        <w:t>Los resultados sugieren que los operadores prestan más atención a lo que otros están haciendo en medio de una burbuja que cuando reina la calma en los mercados. Además, los más propensos a participar en la burbuja, es decir que compran con más entusiasmo a medida que los precios se disparan y se alejan de su valor intrínseco, prestaron particular atención a las d</w:t>
      </w:r>
      <w:r>
        <w:t>ecisiones de otros operadores. “</w:t>
      </w:r>
      <w:r w:rsidRPr="00CC42C6">
        <w:t>La gente parece comprar porque cree que puede venderle a alguien más que no es capaz de controlarse tan bien como ellos mismos o no es tan clarivid</w:t>
      </w:r>
      <w:r>
        <w:t>ente como ellos”</w:t>
      </w:r>
      <w:r w:rsidRPr="00CC42C6">
        <w:t xml:space="preserve">, dice </w:t>
      </w:r>
      <w:r w:rsidRPr="00CC42C6">
        <w:lastRenderedPageBreak/>
        <w:t>Camerer.</w:t>
      </w:r>
      <w:r>
        <w:t xml:space="preserve"> </w:t>
      </w:r>
      <w:r w:rsidRPr="00CC42C6">
        <w:t>En otras palabras, conforme los precios suben y el inversionista inten</w:t>
      </w:r>
      <w:r>
        <w:t>sifica la búsqueda por alguien “más tonto”</w:t>
      </w:r>
      <w:r w:rsidRPr="00CC42C6">
        <w:t xml:space="preserve"> a quien le pueda vender, se puede distraer al extremo de no darse cuenta de que el mayor tonto es él.</w:t>
      </w:r>
    </w:p>
    <w:p w:rsidR="00AE55C3" w:rsidRDefault="00AE55C3"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231C8B">
        <w:rPr>
          <w:rFonts w:ascii="Times New Roman" w:hAnsi="Times New Roman"/>
          <w:sz w:val="24"/>
          <w:szCs w:val="24"/>
          <w:u w:val="single"/>
        </w:rPr>
        <w:t>El patrimonio de los multimillonarios se duplicó tras la quiebra de Lehman Brothers</w:t>
      </w:r>
      <w:r>
        <w:rPr>
          <w:rFonts w:ascii="Times New Roman" w:hAnsi="Times New Roman"/>
          <w:sz w:val="24"/>
          <w:szCs w:val="24"/>
        </w:rPr>
        <w:t xml:space="preserve"> (El Confidencial - </w:t>
      </w:r>
      <w:r w:rsidRPr="00502A5C">
        <w:rPr>
          <w:rFonts w:ascii="Times New Roman" w:hAnsi="Times New Roman"/>
          <w:b/>
          <w:sz w:val="24"/>
          <w:szCs w:val="24"/>
        </w:rPr>
        <w:t>7/11/13</w:t>
      </w:r>
      <w:r>
        <w:rPr>
          <w:rFonts w:ascii="Times New Roman" w:hAnsi="Times New Roman"/>
          <w:sz w:val="24"/>
          <w:szCs w:val="24"/>
        </w:rPr>
        <w:t>)</w:t>
      </w:r>
    </w:p>
    <w:p w:rsidR="00AE55C3" w:rsidRDefault="00AE55C3" w:rsidP="00387350">
      <w:pPr>
        <w:spacing w:before="100" w:beforeAutospacing="1" w:after="100" w:afterAutospacing="1" w:line="240" w:lineRule="auto"/>
        <w:jc w:val="both"/>
        <w:rPr>
          <w:rFonts w:ascii="Times New Roman" w:hAnsi="Times New Roman"/>
          <w:sz w:val="24"/>
          <w:szCs w:val="24"/>
        </w:rPr>
      </w:pPr>
      <w:r w:rsidRPr="003B3578">
        <w:rPr>
          <w:rFonts w:ascii="Times New Roman" w:hAnsi="Times New Roman"/>
          <w:sz w:val="24"/>
          <w:szCs w:val="24"/>
        </w:rPr>
        <w:t xml:space="preserve">La población mundial con rentas superiores a los mil millones de dólares (740 millones de euros) </w:t>
      </w:r>
      <w:r w:rsidRPr="003B3578">
        <w:rPr>
          <w:rFonts w:ascii="Times New Roman" w:hAnsi="Times New Roman"/>
          <w:bCs/>
          <w:sz w:val="24"/>
          <w:szCs w:val="24"/>
        </w:rPr>
        <w:t>se incrementó en un 0,5% entre julio del 2012 y julio del 2013</w:t>
      </w:r>
      <w:r w:rsidRPr="003B3578">
        <w:rPr>
          <w:rFonts w:ascii="Times New Roman" w:hAnsi="Times New Roman"/>
          <w:sz w:val="24"/>
          <w:szCs w:val="24"/>
        </w:rPr>
        <w:t>, hasta alcanzar las 2.170 personas. Los miembros de este selecto club suman en conjunto una fortuna que supera los 6.500 billones de dólares, según refleja el segundo informe sobre el censo mundial de multimillonarios elaborado por las consultoras en gestión de patrimonios Wealth-X y USB. Unos remanentes que superan el PIB de todos los países del mundo, a excepción de China y EEUU, aunque sería suficiente para financiar el déficit presupuestario del país no</w:t>
      </w:r>
      <w:r>
        <w:rPr>
          <w:rFonts w:ascii="Times New Roman" w:hAnsi="Times New Roman"/>
          <w:sz w:val="24"/>
          <w:szCs w:val="24"/>
        </w:rPr>
        <w:t xml:space="preserve">rteamericano hasta el año 2024. </w:t>
      </w:r>
      <w:r w:rsidRPr="003B3578">
        <w:rPr>
          <w:rFonts w:ascii="Times New Roman" w:hAnsi="Times New Roman"/>
          <w:sz w:val="24"/>
          <w:szCs w:val="24"/>
        </w:rPr>
        <w:t>La crisis financiera mundial no parece haber afectado a las grandes fortunas del planeta, más bien todo lo contrario. Desde marzo del 2009 su número y su riqueza se han duplicado. Un lustro en el que los activos totales de estos 2.170 multimillonarios</w:t>
      </w:r>
      <w:r w:rsidRPr="003B3578">
        <w:rPr>
          <w:rFonts w:ascii="Times New Roman" w:hAnsi="Times New Roman"/>
          <w:bCs/>
          <w:sz w:val="24"/>
          <w:szCs w:val="24"/>
        </w:rPr>
        <w:t xml:space="preserve"> pasaron de sumar 3,1 billones de dólares a 6,5</w:t>
      </w:r>
      <w:r w:rsidRPr="003B3578">
        <w:rPr>
          <w:rFonts w:ascii="Times New Roman" w:hAnsi="Times New Roman"/>
          <w:sz w:val="24"/>
          <w:szCs w:val="24"/>
        </w:rPr>
        <w:t>. Como subrayan los propios autores del informe, la crisis global está detrás de una serie de “cambios tectónicos en la distribución de la riqueza mundial”, que parece haber incrementado las brechas económicas entre los más ricos y los más pobres. Además, ha puesto en entredicho la existencia en el futuro de una clase media en la que pueda incluirse el grueso de la población.</w:t>
      </w:r>
    </w:p>
    <w:p w:rsidR="00AE55C3" w:rsidRDefault="00AE55C3" w:rsidP="00387350">
      <w:pPr>
        <w:pStyle w:val="NormalWeb"/>
        <w:jc w:val="both"/>
      </w:pPr>
      <w:r>
        <w:t xml:space="preserve">- </w:t>
      </w:r>
      <w:r w:rsidRPr="00E67705">
        <w:rPr>
          <w:u w:val="single"/>
        </w:rPr>
        <w:t>Nasdaq, el 4.000 a las puertas, ¿nueva amenaza de burbuja tecnológica?</w:t>
      </w:r>
      <w:r>
        <w:t xml:space="preserve"> (Cinco Días - </w:t>
      </w:r>
      <w:r>
        <w:rPr>
          <w:b/>
        </w:rPr>
        <w:t>23</w:t>
      </w:r>
      <w:r w:rsidRPr="00E67705">
        <w:rPr>
          <w:b/>
        </w:rPr>
        <w:t>/11/13</w:t>
      </w:r>
      <w:r>
        <w:t>)</w:t>
      </w:r>
    </w:p>
    <w:p w:rsidR="00AE55C3" w:rsidRDefault="00AE55C3" w:rsidP="00387350">
      <w:pPr>
        <w:pStyle w:val="NormalWeb"/>
        <w:jc w:val="both"/>
      </w:pPr>
      <w:r w:rsidRPr="003B3578">
        <w:t>El mercado más moderno del mundo vuelve a volar. En línea casi a como lo hacía en el año 2000, en plena burbuja del puntocom. No es para menos. El Nasdaq Composite cerró la sesión del viernes en 3.991,65 puntos tras haber alcanzado durante la semana los 3.994 puntos. Los 4.000 puntos están a un pequeño paso, una cota que no marca desde el año 2000. Eso sí, aún está lejos de los 5.048 puntos alcanzados en marzo de 2000, su récord histórico. Una cota desde la posteriormente se despeñó hasta los 3.000 puntos a final de ese mismo año. Para llegar a los 5.048 puntos, todavía debería subir en torno a otro 26%. En cualquier caso, mantiene una racha alcista imparable que devuelve los recuerdos a los momentos de la burbuja. Desde principios de año, el Nasdaq acumula una revalorización superior al 32%, por encima, por ejemplo, del Dow Jones, que gana un 22,5% y registra también máximos históricos. La política monetaria de la Reserva Federal de EEUU también ha acompañado a estos rallys.</w:t>
      </w:r>
    </w:p>
    <w:p w:rsidR="00AE55C3" w:rsidRDefault="00AE55C3" w:rsidP="00387350">
      <w:pPr>
        <w:pStyle w:val="NormalWeb"/>
        <w:jc w:val="both"/>
      </w:pPr>
      <w:r>
        <w:t xml:space="preserve">- </w:t>
      </w:r>
      <w:r w:rsidRPr="00876616">
        <w:rPr>
          <w:u w:val="single"/>
        </w:rPr>
        <w:t>El espejismo de Estados Unidos</w:t>
      </w:r>
      <w:r>
        <w:t xml:space="preserve"> (</w:t>
      </w:r>
      <w:r w:rsidRPr="003B3578">
        <w:t>Daniel Lacalle</w:t>
      </w:r>
      <w:r>
        <w:t xml:space="preserve"> - El Confidencial - </w:t>
      </w:r>
      <w:r w:rsidRPr="00876616">
        <w:rPr>
          <w:b/>
        </w:rPr>
        <w:t>23/11/13</w:t>
      </w:r>
      <w:r>
        <w:t>)</w:t>
      </w:r>
    </w:p>
    <w:p w:rsidR="00AE55C3" w:rsidRPr="003B3578" w:rsidRDefault="00AE55C3" w:rsidP="00387350">
      <w:pPr>
        <w:pStyle w:val="NormalWeb"/>
        <w:jc w:val="both"/>
      </w:pPr>
      <w:r w:rsidRPr="003B3578">
        <w:t>En 1982, </w:t>
      </w:r>
      <w:r w:rsidRPr="00AE55C3">
        <w:rPr>
          <w:rStyle w:val="Textoennegrita"/>
          <w:b w:val="0"/>
        </w:rPr>
        <w:t>Fleetwood Mac</w:t>
      </w:r>
      <w:r w:rsidRPr="003B3578">
        <w:t xml:space="preserve"> lanzaron un álbum llamado </w:t>
      </w:r>
      <w:r>
        <w:t>“</w:t>
      </w:r>
      <w:r w:rsidRPr="003A2F36">
        <w:rPr>
          <w:rStyle w:val="nfasis"/>
          <w:i w:val="0"/>
        </w:rPr>
        <w:t>Mirage</w:t>
      </w:r>
      <w:r>
        <w:rPr>
          <w:rStyle w:val="nfasis"/>
          <w:i w:val="0"/>
        </w:rPr>
        <w:t>”</w:t>
      </w:r>
      <w:r w:rsidRPr="003B3578">
        <w:t xml:space="preserve"> (espejismo) dando una falsa impresión de colaboración y compañerismo entre odios y rencillas. A pesar de todo, vendió varios millones de copias. El espejismo de nuestros días puede ser la expectativa de 2,9% de crecimiento de </w:t>
      </w:r>
      <w:r w:rsidRPr="00AE55C3">
        <w:rPr>
          <w:rStyle w:val="Textoennegrita"/>
          <w:b w:val="0"/>
        </w:rPr>
        <w:t>Estados Unidos</w:t>
      </w:r>
      <w:r w:rsidRPr="003B3578">
        <w:t xml:space="preserve"> en 2014. Y también vende mucho.</w:t>
      </w:r>
      <w:r>
        <w:t xml:space="preserve"> </w:t>
      </w:r>
      <w:r w:rsidRPr="003B3578">
        <w:t xml:space="preserve">Estados Unidos crece. Todo va bien. El desempleo es bajo. La política expansiva funciona. ¿No? No solo no es correcto, sino que ni los más importantes economistas de la </w:t>
      </w:r>
      <w:r w:rsidRPr="00AE55C3">
        <w:rPr>
          <w:rStyle w:val="Textoennegrita"/>
          <w:b w:val="0"/>
        </w:rPr>
        <w:t>Reserva Federal</w:t>
      </w:r>
      <w:r>
        <w:t xml:space="preserve"> lo creen. </w:t>
      </w:r>
      <w:r w:rsidRPr="003B3578">
        <w:t xml:space="preserve">La Reserva Federal reconocía el miércoles que los datos macroeconómicos son decepcionantes, el crecimiento raquítico y el </w:t>
      </w:r>
      <w:r w:rsidRPr="003B3578">
        <w:lastRenderedPageBreak/>
        <w:t>mercado laboral, débil. En este gráfico se muestra. Eso sí… ¡sube la bolsa! “Percepción de riqueza”, lo llaman.</w:t>
      </w:r>
    </w:p>
    <w:p w:rsidR="00AE55C3" w:rsidRPr="003B3578" w:rsidRDefault="00AE55C3" w:rsidP="00387350">
      <w:pPr>
        <w:pStyle w:val="NormalWeb"/>
        <w:jc w:val="both"/>
      </w:pPr>
      <w:r>
        <w:t xml:space="preserve">                </w:t>
      </w:r>
      <w:r w:rsidRPr="003B3578">
        <w:rPr>
          <w:noProof/>
        </w:rPr>
        <w:drawing>
          <wp:inline distT="0" distB="0" distL="0" distR="0" wp14:anchorId="23C30BB6" wp14:editId="0CA4F872">
            <wp:extent cx="4330700" cy="2428875"/>
            <wp:effectExtent l="0" t="0" r="0" b="9525"/>
            <wp:docPr id="507" name="Imagen 507" descr="http://www.ecestaticos.com/file/68a84ef2ab7db5514270a11234a848dd/13851335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www.ecestaticos.com/file/68a84ef2ab7db5514270a11234a848dd/1385133591.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330700" cy="2428875"/>
                    </a:xfrm>
                    <a:prstGeom prst="rect">
                      <a:avLst/>
                    </a:prstGeom>
                    <a:noFill/>
                    <a:ln>
                      <a:noFill/>
                    </a:ln>
                  </pic:spPr>
                </pic:pic>
              </a:graphicData>
            </a:graphic>
          </wp:inline>
        </w:drawing>
      </w:r>
    </w:p>
    <w:p w:rsidR="00AE55C3" w:rsidRPr="00AE55C3" w:rsidRDefault="00AE55C3" w:rsidP="00387350">
      <w:pPr>
        <w:pStyle w:val="NormalWeb"/>
        <w:jc w:val="both"/>
      </w:pPr>
      <w:r w:rsidRPr="003B3578">
        <w:t xml:space="preserve">El incentivo perverso de inundar los mercados de dinero fácil genera una economía masivamente apalancada, desplaza capital a los sectores financieros y hunde la inversión productiva. </w:t>
      </w:r>
      <w:r w:rsidRPr="00AE55C3">
        <w:rPr>
          <w:rStyle w:val="Textoennegrita"/>
          <w:b w:val="0"/>
        </w:rPr>
        <w:t xml:space="preserve">Un Producto Interior Bruto (PIB) que es cada vez más parecido a un </w:t>
      </w:r>
      <w:r>
        <w:rPr>
          <w:rStyle w:val="Textoennegrita"/>
        </w:rPr>
        <w:t>“</w:t>
      </w:r>
      <w:r w:rsidRPr="003A2F36">
        <w:rPr>
          <w:rStyle w:val="nfasis"/>
          <w:bCs/>
          <w:i w:val="0"/>
        </w:rPr>
        <w:t>soufflé</w:t>
      </w:r>
      <w:r>
        <w:rPr>
          <w:rStyle w:val="nfasis"/>
          <w:bCs/>
          <w:i w:val="0"/>
        </w:rPr>
        <w:t>”</w:t>
      </w:r>
      <w:r w:rsidRPr="003B3578">
        <w:rPr>
          <w:rStyle w:val="Textoennegrita"/>
        </w:rPr>
        <w:t xml:space="preserve">, </w:t>
      </w:r>
      <w:r w:rsidRPr="00AE55C3">
        <w:rPr>
          <w:rStyle w:val="Textoennegrita"/>
          <w:b w:val="0"/>
        </w:rPr>
        <w:t>lleno de aire</w:t>
      </w:r>
      <w:r w:rsidRPr="003B3578">
        <w:t>. No solo se invierte menos, sino que el dinero se utiliza para recomprar acciones, pagar di</w:t>
      </w:r>
      <w:r>
        <w:t>videndos e intercambiar cromos -</w:t>
      </w:r>
      <w:r w:rsidRPr="003B3578">
        <w:t xml:space="preserve">fusiones y adquisiciones-, no para </w:t>
      </w:r>
      <w:r>
        <w:t xml:space="preserve">inversión productiva. </w:t>
      </w:r>
      <w:r w:rsidRPr="003B3578">
        <w:t>Entre 1996 y 2006 las mayores empresas de EEUU (</w:t>
      </w:r>
      <w:r w:rsidRPr="004D13CE">
        <w:rPr>
          <w:rStyle w:val="Textoennegrita"/>
          <w:b w:val="0"/>
        </w:rPr>
        <w:t>S&amp;P 500</w:t>
      </w:r>
      <w:r w:rsidRPr="003B3578">
        <w:t>) invertían alrededor de un billón (trillón americano) de dólares al año, de los cuales un 70% se dedicaba a inversión productiva e I+D y un 30% a recompra de acciones y dividendos. Desde 2009 la cifra de capital anual invertido total se ha disparado hasta superar los 2,3 billones de dólares, pero el 45% se usa para recomprar acciones y pagar dividendos. De hecho, ni la cifra de inversión productiva ni la de I+D han aumentado práct</w:t>
      </w:r>
      <w:r>
        <w:t>icamente -</w:t>
      </w:r>
      <w:r w:rsidRPr="003B3578">
        <w:t>ajustada por inflación- d</w:t>
      </w:r>
      <w:r w:rsidR="000A4D85">
        <w:t>esde 1998. Es decir, el dinero “gratis”</w:t>
      </w:r>
      <w:r w:rsidRPr="003B3578">
        <w:t> de la política expansiva se usa para lo que sirve… para protegerse, reducir el número de acciones en circulación, intercambiar cromos y devolver dinero a los accionistas,</w:t>
      </w:r>
      <w:r w:rsidRPr="003B3578">
        <w:rPr>
          <w:rStyle w:val="Textoennegrita"/>
        </w:rPr>
        <w:t xml:space="preserve"> </w:t>
      </w:r>
      <w:r w:rsidRPr="00AE55C3">
        <w:rPr>
          <w:rStyle w:val="Textoennegrita"/>
          <w:b w:val="0"/>
        </w:rPr>
        <w:t>no para empleo y expandirse orgánicamente</w:t>
      </w:r>
      <w:r w:rsidRPr="003B3578">
        <w:rPr>
          <w:rStyle w:val="Textoennegrita"/>
        </w:rPr>
        <w:t> </w:t>
      </w:r>
      <w:r w:rsidRPr="003B3578">
        <w:t>(datos de Goldman Sachs, Morgan Stanley).</w:t>
      </w:r>
    </w:p>
    <w:p w:rsidR="00AE55C3" w:rsidRDefault="00AE55C3" w:rsidP="00387350">
      <w:pPr>
        <w:spacing w:line="240" w:lineRule="auto"/>
        <w:jc w:val="both"/>
        <w:rPr>
          <w:rFonts w:ascii="Times New Roman" w:hAnsi="Times New Roman"/>
          <w:sz w:val="24"/>
          <w:szCs w:val="24"/>
        </w:rPr>
      </w:pPr>
      <w:r w:rsidRPr="0047039E">
        <w:rPr>
          <w:rFonts w:ascii="Times New Roman" w:hAnsi="Times New Roman"/>
          <w:sz w:val="24"/>
          <w:szCs w:val="24"/>
        </w:rPr>
        <w:t xml:space="preserve">- </w:t>
      </w:r>
      <w:r w:rsidRPr="0047039E">
        <w:rPr>
          <w:rFonts w:ascii="Times New Roman" w:hAnsi="Times New Roman"/>
          <w:sz w:val="24"/>
          <w:szCs w:val="24"/>
          <w:u w:val="single"/>
        </w:rPr>
        <w:t>Los grandes bancos y su danza en la sombra</w:t>
      </w:r>
      <w:r>
        <w:rPr>
          <w:rFonts w:ascii="Times New Roman" w:hAnsi="Times New Roman"/>
          <w:sz w:val="24"/>
          <w:szCs w:val="24"/>
        </w:rPr>
        <w:t xml:space="preserve"> (</w:t>
      </w:r>
      <w:r w:rsidRPr="00293CC4">
        <w:rPr>
          <w:rFonts w:ascii="Times New Roman" w:hAnsi="Times New Roman"/>
          <w:color w:val="000000"/>
          <w:sz w:val="24"/>
          <w:szCs w:val="24"/>
        </w:rPr>
        <w:t>Simon Johnson</w:t>
      </w:r>
      <w:r>
        <w:rPr>
          <w:rFonts w:ascii="Times New Roman" w:hAnsi="Times New Roman"/>
          <w:sz w:val="24"/>
          <w:szCs w:val="24"/>
        </w:rPr>
        <w:t xml:space="preserve"> - Project Syndicate - </w:t>
      </w:r>
      <w:r>
        <w:rPr>
          <w:rFonts w:ascii="Times New Roman" w:hAnsi="Times New Roman"/>
          <w:b/>
          <w:sz w:val="24"/>
          <w:szCs w:val="24"/>
        </w:rPr>
        <w:t>29</w:t>
      </w:r>
      <w:r w:rsidRPr="0047039E">
        <w:rPr>
          <w:rFonts w:ascii="Times New Roman" w:hAnsi="Times New Roman"/>
          <w:b/>
          <w:sz w:val="24"/>
          <w:szCs w:val="24"/>
        </w:rPr>
        <w:t>/11/13</w:t>
      </w:r>
      <w:r>
        <w:rPr>
          <w:rFonts w:ascii="Times New Roman" w:hAnsi="Times New Roman"/>
          <w:sz w:val="24"/>
          <w:szCs w:val="24"/>
        </w:rPr>
        <w:t>)</w:t>
      </w:r>
    </w:p>
    <w:p w:rsidR="00AE55C3" w:rsidRDefault="00AE55C3" w:rsidP="00387350">
      <w:pPr>
        <w:spacing w:line="240" w:lineRule="auto"/>
        <w:jc w:val="both"/>
        <w:rPr>
          <w:rFonts w:ascii="Times New Roman" w:hAnsi="Times New Roman"/>
          <w:sz w:val="24"/>
          <w:szCs w:val="24"/>
        </w:rPr>
      </w:pPr>
      <w:r w:rsidRPr="00C26E61">
        <w:rPr>
          <w:rFonts w:ascii="Times New Roman" w:hAnsi="Times New Roman"/>
          <w:sz w:val="24"/>
          <w:szCs w:val="24"/>
        </w:rPr>
        <w:t>Uno de los grandes mitos difundido por las instituciones financieras muy grandes es que, si nuevamente se las regula de manera eficaz, muchos inversores y transacciones financieras huirán hacia la “banca en la sombra”… Basta de cuentos de hadas. En realidad, exi</w:t>
      </w:r>
      <w:r>
        <w:rPr>
          <w:rFonts w:ascii="Times New Roman" w:hAnsi="Times New Roman"/>
          <w:sz w:val="24"/>
          <w:szCs w:val="24"/>
        </w:rPr>
        <w:t>sten tres tipos de actividades “en la sombra”</w:t>
      </w:r>
      <w:r w:rsidRPr="00C26E61">
        <w:rPr>
          <w:rFonts w:ascii="Times New Roman" w:hAnsi="Times New Roman"/>
          <w:sz w:val="24"/>
          <w:szCs w:val="24"/>
        </w:rPr>
        <w:t xml:space="preserve">, todas son obvias y funcionan a plena luz del día, y pueden ser controladas de manera directa y responsable. Que tengamos la voluntad política de implementar controles eficaces es, como siempre, otra cosa; en gran medida porque los grandes bancos son muy poderosos y prefieren que las sombras se mantengan tan oscuras como en la actualidad. El primer conjunto de actividades en la sombra incluye a las efectuadas por los propios bancos, por ejemplo, como una forma para reducir la cantidad de capital accionario que necesitan. Quienes dirigen los grandes bancos son adeptos al apalancamiento: más dinero prestado (y menos propio) implica altas ganancias, en términos de un mayor rendimiento del capital, sin ajustes por riesgo. Cuando las cosas se vuelven en su contra, también implica mayores pérdidas. Pero por eso es bueno ser grande: se puede conseguir una </w:t>
      </w:r>
      <w:r w:rsidRPr="00C26E61">
        <w:rPr>
          <w:rFonts w:ascii="Times New Roman" w:hAnsi="Times New Roman"/>
          <w:sz w:val="24"/>
          <w:szCs w:val="24"/>
        </w:rPr>
        <w:lastRenderedPageBreak/>
        <w:t>mayor protección de la Reserva Federal o de otras fuentes oficiales contra las pérdidas… El segundo grupo de actividades en la sombra tiene que ver con operaciones de tipo bancario que en realidad se efectúan fuera de los bancos. El ejemplo más visible son los fondos comunes de inversión del mercado monetario. Estas entidades toman dinero de los inversores y compran diversos tipos de activos, algunos de los cuales pueden ser riesgosos, como la deuda corporativa de corto plazo… El tercer conjunto de actividades en la sombra incluye a las que aún están por venir. No debemos subestimar la creatividad que los financistas para escapar de los requisitos de capital y apalancarse… El enfoque adecuado es buscar y prevenir el riesgo sistémico excesivo, sea cual sea la forma en que se presente. Las autoridades estadounidenses ahora tienen el mandato legal para ello. ¿Serán capaces de resistir el poderoso cabildeo de los grandes bancos y sus umbríos aliados?</w:t>
      </w:r>
    </w:p>
    <w:p w:rsidR="00AE55C3" w:rsidRDefault="00AE55C3" w:rsidP="0038735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293CC4">
        <w:rPr>
          <w:rFonts w:ascii="Times New Roman" w:hAnsi="Times New Roman"/>
          <w:sz w:val="24"/>
          <w:szCs w:val="24"/>
          <w:u w:val="single"/>
        </w:rPr>
        <w:t>La ley de quiebras debe reformarse para incluir a los grandes bancos, dice miembro de la Fed</w:t>
      </w:r>
      <w:r>
        <w:rPr>
          <w:rFonts w:ascii="Times New Roman" w:hAnsi="Times New Roman"/>
          <w:sz w:val="24"/>
          <w:szCs w:val="24"/>
        </w:rPr>
        <w:t xml:space="preserve"> (The Wall Street Journal - </w:t>
      </w:r>
      <w:r w:rsidRPr="00293CC4">
        <w:rPr>
          <w:rFonts w:ascii="Times New Roman" w:hAnsi="Times New Roman"/>
          <w:b/>
          <w:sz w:val="24"/>
          <w:szCs w:val="24"/>
        </w:rPr>
        <w:t>4/12/13</w:t>
      </w:r>
      <w:r>
        <w:rPr>
          <w:rFonts w:ascii="Times New Roman" w:hAnsi="Times New Roman"/>
          <w:sz w:val="24"/>
          <w:szCs w:val="24"/>
        </w:rPr>
        <w:t>)</w:t>
      </w:r>
      <w:r w:rsidRPr="00293CC4">
        <w:rPr>
          <w:rFonts w:ascii="Times New Roman" w:hAnsi="Times New Roman"/>
          <w:sz w:val="24"/>
          <w:szCs w:val="24"/>
        </w:rPr>
        <w:t xml:space="preserve"> </w:t>
      </w:r>
    </w:p>
    <w:p w:rsidR="00AE55C3" w:rsidRPr="00293CC4" w:rsidRDefault="00AE55C3" w:rsidP="00387350">
      <w:pPr>
        <w:shd w:val="clear" w:color="auto" w:fill="FFFFFF"/>
        <w:spacing w:after="0" w:line="240" w:lineRule="auto"/>
        <w:jc w:val="both"/>
        <w:rPr>
          <w:rFonts w:ascii="Times New Roman" w:hAnsi="Times New Roman"/>
          <w:sz w:val="24"/>
          <w:szCs w:val="24"/>
        </w:rPr>
      </w:pPr>
      <w:r w:rsidRPr="00293CC4">
        <w:rPr>
          <w:rFonts w:ascii="Times New Roman" w:hAnsi="Times New Roman"/>
          <w:sz w:val="24"/>
          <w:szCs w:val="24"/>
        </w:rPr>
        <w:t xml:space="preserve"> </w:t>
      </w:r>
    </w:p>
    <w:p w:rsidR="00AE55C3" w:rsidRPr="00C26E61" w:rsidRDefault="00AE55C3" w:rsidP="00387350">
      <w:pPr>
        <w:shd w:val="clear" w:color="auto" w:fill="FFFFFF"/>
        <w:spacing w:after="0" w:line="240" w:lineRule="auto"/>
        <w:jc w:val="both"/>
        <w:rPr>
          <w:rFonts w:ascii="Times New Roman" w:hAnsi="Times New Roman"/>
          <w:sz w:val="24"/>
          <w:szCs w:val="24"/>
        </w:rPr>
      </w:pPr>
      <w:r w:rsidRPr="00C26E61">
        <w:rPr>
          <w:rFonts w:ascii="Times New Roman" w:hAnsi="Times New Roman"/>
          <w:sz w:val="24"/>
          <w:szCs w:val="24"/>
        </w:rPr>
        <w:t xml:space="preserve">Jeffrey Lacker, presidente de la Reserva Federal de Richmond, cree que habría que mejorar la ley de bancarrota en Estados Unidos para incluir la quiebra de grandes bancos, una alternativa que en su opinión es preferible al rescate de estas instituciones por parte del Gobierno federal. Lacker dijo que mejorar la ley de bancarrota fortalecería el sistema financiero al reducir las probabilidades de un rescate gubernamental, y a su vez impondría más disciplina en las instituciones financieras y sus acreedores. La participación del Gobierno a la hora de liquidar un banco con problemas “sería un camino mucho menos deseable” que la bancarrota, afirma. Los responsables de política monetaria han criticado la actual ley de bancarrota al considerarla ineficaz para las grandes instituciones financieras porque tarda demasiado tiempo y está centrada en proteger a los acreedores, en lugar de en la estabilidad financiera. </w:t>
      </w:r>
    </w:p>
    <w:p w:rsidR="00AE55C3" w:rsidRDefault="00AE55C3" w:rsidP="00387350">
      <w:pPr>
        <w:pStyle w:val="NormalWeb"/>
        <w:jc w:val="both"/>
      </w:pPr>
      <w:r>
        <w:t xml:space="preserve">- </w:t>
      </w:r>
      <w:r w:rsidRPr="00FA39C1">
        <w:rPr>
          <w:u w:val="single"/>
        </w:rPr>
        <w:t xml:space="preserve">Los reguladores de </w:t>
      </w:r>
      <w:r>
        <w:rPr>
          <w:u w:val="single"/>
        </w:rPr>
        <w:t>EEUU aprueban la “regla Volcker”</w:t>
      </w:r>
      <w:r>
        <w:t xml:space="preserve"> (The Wall Street Journal - </w:t>
      </w:r>
      <w:r w:rsidRPr="00FA39C1">
        <w:rPr>
          <w:b/>
        </w:rPr>
        <w:t>10/12/13</w:t>
      </w:r>
      <w:r>
        <w:t>)</w:t>
      </w:r>
    </w:p>
    <w:p w:rsidR="00AE55C3" w:rsidRDefault="00AE55C3" w:rsidP="00387350">
      <w:pPr>
        <w:pStyle w:val="NormalWeb"/>
        <w:jc w:val="both"/>
      </w:pPr>
      <w:r w:rsidRPr="00300FC3">
        <w:t xml:space="preserve">Los reguladores estadounidenses iniciaron el martes una nueva era de estrictas regulaciones bancarias que tocan el núcleo de las rentables operaciones de mercado y corretaje de Wall Street. La llamada “regla Volcker” creará nuevos obstáculos para los bancos que compran y venden valores a nombre de sus clientes, algo que se conoce como market marking y restringirá los acuerdos de remuneración que estimulen las apuestas riesgosas. Cinco agencias regulatorias estadounidenses aprobaron la regla, la cual prohíbe que los bancos realicen apuestas con su propio dinero y limita su habilidad para invertir en ciertos vehículos financieros como fondos de cobertura y de capital privado. La aprobación de las otras cuatro agencias completaría un esfuerzo de dos años y medio para cumplir con las directrices de la ley Dodd-Frank de 2010. Los reguladores le han indicado a las firmas que no esperan un cumplimiento estricto de la norma sino hasta 2015. La regla exige que los bancos provean un “análisis demostrable de demanda histórica de sus clientes” de activos financieros que compren y vendan a nombre de ellos. Eso, en esencia, requiere que una firma pruebe que ha llevado a cabo cierto tipo de corretaje en el pasado. Este es un esfuerzo por evitar que los bancos intenten disfrazar apuestas hechas con sus propios fondos, las cuales quedan prohibidas, como operaciones hechas para sus clientes. Múltiples requerimientos están diseñados para desalentar a los corredores de buscar tecnicismos a través de los cuales pudieran hacer apuestas con dinero del banco. Especifica que los “acuerdos de remuneración” deben </w:t>
      </w:r>
      <w:r w:rsidRPr="00300FC3">
        <w:lastRenderedPageBreak/>
        <w:t xml:space="preserve">ser diseñados para “no premiar o incentivar el corretaje con recursos propios”. Mientras tanto los ejecutivos bancarios tendrán que “declarar por escrito… que la entidad bancaria ha implementado procesos para establecer, mantener, hacer cumplir, revisar, probar y modificar el programa de cumplimiento” creado para la regla Volcker. </w:t>
      </w:r>
    </w:p>
    <w:p w:rsidR="00AE55C3" w:rsidRPr="002E2E95" w:rsidRDefault="00AE55C3" w:rsidP="00387350">
      <w:pPr>
        <w:pStyle w:val="NormalWeb"/>
        <w:jc w:val="both"/>
      </w:pPr>
      <w:r>
        <w:t xml:space="preserve">- </w:t>
      </w:r>
      <w:r w:rsidRPr="002E2E95">
        <w:rPr>
          <w:u w:val="single"/>
        </w:rPr>
        <w:t>La deuda soberana en poder de los bancos europeos será sometida a pruebas de resistencia</w:t>
      </w:r>
      <w:r>
        <w:t xml:space="preserve"> (The Wall Street Journal - </w:t>
      </w:r>
      <w:r w:rsidRPr="002E2E95">
        <w:rPr>
          <w:b/>
        </w:rPr>
        <w:t>12/12/13</w:t>
      </w:r>
      <w:r>
        <w:t>)</w:t>
      </w:r>
    </w:p>
    <w:p w:rsidR="00AE55C3" w:rsidRDefault="00AE55C3" w:rsidP="00387350">
      <w:pPr>
        <w:pStyle w:val="NormalWeb"/>
        <w:jc w:val="both"/>
      </w:pPr>
      <w:r w:rsidRPr="00300FC3">
        <w:t xml:space="preserve">Las carteras de deuda soberana que tienen los bancos serán sometidas a pruebas de resistencia como el resto de categorías de deuda en las pruebas de solvencia que el Banco Central Europeo planea para el año que viene, dijo el jueves el presidente de la institución, Mario Draghi. Pese a ello, Draghi indicó que la decisión sobre el riesgo con el que se debe ponderar a la deuda soberana no le corresponde al BCE. Antes de asumir la supervisión de los bancos de la eurozona en noviembre de 2014, el BCE llevará a cabo una revisión de los balances de las principales instituciones financieras de la región, en un intento por apuntalar la confianza en los bancos europeos e incentivar el crédito al sector privado. Esta revisión incluirá una valoración de riesgos, una valoración de los balances y unas pruebas de solvencia, llevadas a cabo por la Autoridad Bancaria Europea. En una comparecencia en la sede del Parlamento Europeo en Estrasburgo, Francia, Draghi quiso separar la forma en la que el BCE tratará la deuda soberana en las pruebas de esfuerzo del debate más amplio sobre cómo los bancos deberían respaldar sus carteras de deuda soberana con un nivel adecuado de capital. </w:t>
      </w:r>
    </w:p>
    <w:p w:rsidR="00AE55C3" w:rsidRDefault="00AE55C3" w:rsidP="00387350">
      <w:pPr>
        <w:pStyle w:val="NormalWeb"/>
        <w:jc w:val="both"/>
      </w:pPr>
      <w:r>
        <w:t xml:space="preserve">- </w:t>
      </w:r>
      <w:r w:rsidRPr="002E2E95">
        <w:rPr>
          <w:u w:val="single"/>
        </w:rPr>
        <w:t>La UE acuerda directrices para desmantelar bancos en quiebra</w:t>
      </w:r>
      <w:r>
        <w:t xml:space="preserve"> (The Wall Street Journal - </w:t>
      </w:r>
      <w:r w:rsidRPr="002E2E95">
        <w:rPr>
          <w:b/>
        </w:rPr>
        <w:t>12/12/13</w:t>
      </w:r>
      <w:r>
        <w:t>)</w:t>
      </w:r>
    </w:p>
    <w:p w:rsidR="00AE55C3" w:rsidRPr="00300FC3" w:rsidRDefault="00AE55C3" w:rsidP="00387350">
      <w:pPr>
        <w:pStyle w:val="NormalWeb"/>
        <w:jc w:val="both"/>
      </w:pPr>
      <w:r w:rsidRPr="00300FC3">
        <w:t xml:space="preserve">La Unión Europea acordó a última hora del miércoles un nuevo conjunto de normas para el desmantelamiento de bancos en quiebra que exigirán un mayor respaldo de los acreedores y un menor costo para los ciudadanos. En una reunión en Estrasburgo, los negociadores del Parlamento Europeo y los gobiernos nacionales alcanzaron un compromiso que adelanta la fecha de inicio del nuevo sistema en dos años, al 1 de enero de 2016. Pero el acuerdo deja la puerta abierta a la posibilidad de que se recurra al dinero de los contribuyentes en “circunstancias excepcionales”. La llamada directiva de resolución y recuperación bancaria busca garantizar que los accionistas y los bonistas de los bancos asuman pérdidas importantes antes de recurrir al dinero de los contribuyentes. En los últimos años, las crisis bancarias han llevado a varios países europeos al borde de la bancarrota. Las normas también deberían animar a los bancos a tomar más precauciones contra los riesgos y evitar el tipo de sacudidas a los mercados causadas por pérdidas inesperadas para los inversionistas y ahorradores, como ocurrió en España y Chipre el pasado año. Bajo los términos del acuerdo del miércoles, los dueños de depósitos inferiores a 100.000 euros estarán protegidos siempre, mientras que las pequeñas y medianas empresas y los grandes ahorradores sólo se verán afectados por las quiebras bancarias más graves. Para proteger aún más a los contribuyentes, los gobiernos tendrán que comenzar a crear fondos de resolución imponiendo tasas a los bancos. Estos fondos deberán ser del 1% de los depósitos cubiertos de los bancos de cada país dentro de 10 años, lo que supone un total de 70.000 millones de euros en la región, dijo un funcionario de la UE. Se permitirá a las autoridades nacionales utilizar el dinero de sus fondos de resolución o de las arcas públicas sólo después de que hayan impuesto pérdidas de al menos el 8% del pasivo total de un banco. Incluso tras esta primera ronda de pérdidas, los fondos nacionales de resolución bancaria podrán entrar </w:t>
      </w:r>
      <w:r w:rsidRPr="00300FC3">
        <w:lastRenderedPageBreak/>
        <w:t xml:space="preserve">en escena sólo para cubrir un máximo del 5% del total de pasivos de un banco. Los rescates financiados con fondos públicos sólo se permitirán en “situaciones de emergencia” y tras haber obligado a accionistas y bonistas a asumir el 8% del pasivo total del banco, señaló un funcionario de la UE. </w:t>
      </w:r>
    </w:p>
    <w:p w:rsidR="00AE55C3" w:rsidRDefault="00AE55C3"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AE4539">
        <w:rPr>
          <w:rFonts w:ascii="Times New Roman" w:hAnsi="Times New Roman"/>
          <w:sz w:val="24"/>
          <w:szCs w:val="24"/>
          <w:u w:val="single"/>
        </w:rPr>
        <w:t xml:space="preserve">Los ricos se hacen más ricos: ¿qué fortunas crecieron con más fuerza en 2013? </w:t>
      </w:r>
      <w:r>
        <w:rPr>
          <w:rFonts w:ascii="Times New Roman" w:hAnsi="Times New Roman"/>
          <w:sz w:val="24"/>
          <w:szCs w:val="24"/>
        </w:rPr>
        <w:t xml:space="preserve">(El Economista - </w:t>
      </w:r>
      <w:r w:rsidRPr="00AE4539">
        <w:rPr>
          <w:rFonts w:ascii="Times New Roman" w:hAnsi="Times New Roman"/>
          <w:b/>
          <w:sz w:val="24"/>
          <w:szCs w:val="24"/>
        </w:rPr>
        <w:t>19/12/13</w:t>
      </w:r>
      <w:r>
        <w:rPr>
          <w:rFonts w:ascii="Times New Roman" w:hAnsi="Times New Roman"/>
          <w:sz w:val="24"/>
          <w:szCs w:val="24"/>
        </w:rPr>
        <w:t>)</w:t>
      </w:r>
    </w:p>
    <w:p w:rsidR="00AE55C3" w:rsidRDefault="00AE55C3" w:rsidP="00387350">
      <w:pPr>
        <w:spacing w:before="100" w:beforeAutospacing="1" w:after="100" w:afterAutospacing="1" w:line="240" w:lineRule="auto"/>
        <w:jc w:val="both"/>
        <w:rPr>
          <w:rFonts w:ascii="Times New Roman" w:hAnsi="Times New Roman"/>
          <w:sz w:val="24"/>
          <w:szCs w:val="24"/>
        </w:rPr>
      </w:pPr>
      <w:r w:rsidRPr="00FC39EA">
        <w:rPr>
          <w:rFonts w:ascii="Times New Roman" w:hAnsi="Times New Roman"/>
          <w:sz w:val="24"/>
          <w:szCs w:val="24"/>
        </w:rPr>
        <w:t xml:space="preserve">La crisis no afecta a todos por igual. Es más, hay bolsillos que no solo no han notado sus efectos, sino que consiguen sacarle partido a la actual situación económica y ganar más dinero. Los nombres que figuran en esta lista son </w:t>
      </w:r>
      <w:r>
        <w:rPr>
          <w:rFonts w:ascii="Times New Roman" w:hAnsi="Times New Roman"/>
          <w:sz w:val="24"/>
          <w:szCs w:val="24"/>
        </w:rPr>
        <w:t>“</w:t>
      </w:r>
      <w:r w:rsidRPr="003A2F36">
        <w:rPr>
          <w:rFonts w:ascii="Times New Roman" w:hAnsi="Times New Roman"/>
          <w:iCs/>
          <w:sz w:val="24"/>
          <w:szCs w:val="24"/>
        </w:rPr>
        <w:t>ultrarricos</w:t>
      </w:r>
      <w:r>
        <w:rPr>
          <w:rFonts w:ascii="Times New Roman" w:hAnsi="Times New Roman"/>
          <w:iCs/>
          <w:sz w:val="24"/>
          <w:szCs w:val="24"/>
        </w:rPr>
        <w:t>”</w:t>
      </w:r>
      <w:r w:rsidRPr="00FC39EA">
        <w:rPr>
          <w:rFonts w:ascii="Times New Roman" w:hAnsi="Times New Roman"/>
          <w:sz w:val="24"/>
          <w:szCs w:val="24"/>
        </w:rPr>
        <w:t xml:space="preserve"> que han conseguido incrementar sus fortunas en estos doce meses a un ritmo vertiginoso… En conjunto, los diez millonarios que más dinero amasaron este año ganaron en conjunto 101.800 millones de dólares, lo que equivaldría a unos 10.200 millones de dólares por cabeza (si el reparto fuera equitativo). De media, habrían ganado unos 29 millones de dólares al día cada uno. </w:t>
      </w:r>
      <w:r w:rsidRPr="00FC39EA">
        <w:rPr>
          <w:rFonts w:ascii="Times New Roman" w:hAnsi="Times New Roman"/>
          <w:bCs/>
          <w:sz w:val="24"/>
          <w:szCs w:val="24"/>
        </w:rPr>
        <w:t>La suma de todos sus patrimonios asciende a 347.000 millones de dólares, lo que supone un incremento del 41,6%</w:t>
      </w:r>
      <w:r w:rsidRPr="00FC39EA">
        <w:rPr>
          <w:rFonts w:ascii="Times New Roman" w:hAnsi="Times New Roman"/>
          <w:sz w:val="24"/>
          <w:szCs w:val="24"/>
        </w:rPr>
        <w:t xml:space="preserve"> con respecto al dinero que atesoraban en enero de 2013. Solo por comparar, el S&amp;P 500 se anota una revalorización del 24% en el año.</w:t>
      </w: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Default="00AE55C3" w:rsidP="00387350">
      <w:pPr>
        <w:spacing w:before="100" w:beforeAutospacing="1" w:after="100" w:afterAutospacing="1" w:line="240" w:lineRule="auto"/>
        <w:jc w:val="both"/>
        <w:rPr>
          <w:rFonts w:ascii="Times New Roman" w:hAnsi="Times New Roman"/>
          <w:sz w:val="24"/>
          <w:szCs w:val="24"/>
        </w:rPr>
      </w:pPr>
    </w:p>
    <w:p w:rsidR="00AE55C3" w:rsidRPr="00AE55C3" w:rsidRDefault="00AE55C3" w:rsidP="00387350">
      <w:pPr>
        <w:shd w:val="clear" w:color="auto" w:fill="FFFFFF"/>
        <w:spacing w:before="60" w:after="180" w:line="240" w:lineRule="auto"/>
        <w:jc w:val="both"/>
        <w:rPr>
          <w:rFonts w:ascii="Times New Roman" w:hAnsi="Times New Roman" w:cs="Times New Roman"/>
          <w:color w:val="000000"/>
          <w:sz w:val="24"/>
          <w:szCs w:val="24"/>
        </w:rPr>
      </w:pPr>
    </w:p>
    <w:p w:rsidR="00B036D0" w:rsidRPr="00AE55C3" w:rsidRDefault="00B036D0" w:rsidP="00387350">
      <w:pPr>
        <w:shd w:val="clear" w:color="auto" w:fill="FFFFFF"/>
        <w:spacing w:before="60" w:after="180" w:line="240" w:lineRule="auto"/>
        <w:jc w:val="both"/>
        <w:rPr>
          <w:rFonts w:ascii="Times New Roman" w:hAnsi="Times New Roman" w:cs="Times New Roman"/>
          <w:color w:val="000000"/>
          <w:sz w:val="24"/>
          <w:szCs w:val="24"/>
        </w:rPr>
      </w:pPr>
    </w:p>
    <w:p w:rsidR="00FE47DA" w:rsidRPr="00AE55C3" w:rsidRDefault="00FE47DA" w:rsidP="00387350">
      <w:pPr>
        <w:shd w:val="clear" w:color="auto" w:fill="FFFFFF"/>
        <w:spacing w:before="60" w:after="180" w:line="240" w:lineRule="auto"/>
        <w:jc w:val="both"/>
        <w:rPr>
          <w:rFonts w:ascii="Times New Roman" w:hAnsi="Times New Roman" w:cs="Times New Roman"/>
          <w:color w:val="000000"/>
          <w:sz w:val="24"/>
          <w:szCs w:val="24"/>
        </w:rPr>
      </w:pPr>
    </w:p>
    <w:p w:rsidR="00AE55C3" w:rsidRDefault="00AE55C3" w:rsidP="00387350">
      <w:pPr>
        <w:shd w:val="clear" w:color="auto" w:fill="FFFFFF"/>
        <w:spacing w:before="60" w:after="180" w:line="240" w:lineRule="auto"/>
        <w:jc w:val="both"/>
        <w:rPr>
          <w:rFonts w:ascii="Times New Roman" w:hAnsi="Times New Roman" w:cs="Times New Roman"/>
          <w:b/>
          <w:color w:val="000000"/>
          <w:sz w:val="24"/>
          <w:szCs w:val="24"/>
        </w:rPr>
      </w:pPr>
    </w:p>
    <w:p w:rsidR="00B036D0" w:rsidRDefault="00B036D0" w:rsidP="00387350">
      <w:pPr>
        <w:shd w:val="clear" w:color="auto" w:fill="FFFFFF"/>
        <w:spacing w:before="60" w:after="180" w:line="240" w:lineRule="auto"/>
        <w:jc w:val="both"/>
        <w:rPr>
          <w:rFonts w:ascii="Times New Roman" w:hAnsi="Times New Roman" w:cs="Times New Roman"/>
          <w:b/>
          <w:color w:val="000000"/>
          <w:sz w:val="24"/>
          <w:szCs w:val="24"/>
        </w:rPr>
      </w:pPr>
      <w:r w:rsidRPr="00B036D0">
        <w:rPr>
          <w:rFonts w:ascii="Times New Roman" w:hAnsi="Times New Roman" w:cs="Times New Roman"/>
          <w:b/>
          <w:color w:val="000000"/>
          <w:sz w:val="24"/>
          <w:szCs w:val="24"/>
        </w:rPr>
        <w:lastRenderedPageBreak/>
        <w:t>Anexo III: Lo</w:t>
      </w:r>
      <w:r>
        <w:rPr>
          <w:rFonts w:ascii="Times New Roman" w:hAnsi="Times New Roman" w:cs="Times New Roman"/>
          <w:b/>
          <w:color w:val="000000"/>
          <w:sz w:val="24"/>
          <w:szCs w:val="24"/>
        </w:rPr>
        <w:t>s efectos (el largo proceso de devaluación interna</w:t>
      </w:r>
      <w:r w:rsidRPr="00B036D0">
        <w:rPr>
          <w:rFonts w:ascii="Times New Roman" w:hAnsi="Times New Roman" w:cs="Times New Roman"/>
          <w:b/>
          <w:color w:val="000000"/>
          <w:sz w:val="24"/>
          <w:szCs w:val="24"/>
        </w:rPr>
        <w:t>)</w:t>
      </w:r>
    </w:p>
    <w:p w:rsidR="00B036D0" w:rsidRDefault="00B036D0" w:rsidP="00387350">
      <w:pPr>
        <w:shd w:val="clear" w:color="auto" w:fill="FFFFFF"/>
        <w:spacing w:before="60" w:after="18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 </w:t>
      </w:r>
      <w:r w:rsidRPr="00B036D0">
        <w:rPr>
          <w:rFonts w:ascii="Times New Roman" w:hAnsi="Times New Roman" w:cs="Times New Roman"/>
          <w:b/>
          <w:color w:val="000000"/>
          <w:sz w:val="24"/>
          <w:szCs w:val="24"/>
        </w:rPr>
        <w:t>Empleo &amp; desempleo (la desigualdad osificada)</w:t>
      </w:r>
    </w:p>
    <w:p w:rsidR="00B036D0" w:rsidRDefault="00B036D0" w:rsidP="00387350">
      <w:pPr>
        <w:shd w:val="clear" w:color="auto" w:fill="FFFFFF"/>
        <w:spacing w:before="60" w:after="180" w:line="240" w:lineRule="auto"/>
        <w:jc w:val="both"/>
        <w:rPr>
          <w:rFonts w:ascii="Times New Roman" w:hAnsi="Times New Roman" w:cs="Times New Roman"/>
          <w:b/>
          <w:color w:val="000000"/>
          <w:sz w:val="24"/>
          <w:szCs w:val="24"/>
        </w:rPr>
      </w:pPr>
      <w:r>
        <w:rPr>
          <w:rFonts w:ascii="Arial" w:eastAsia="Times New Roman" w:hAnsi="Arial" w:cs="Arial"/>
          <w:noProof/>
          <w:color w:val="000000"/>
          <w:sz w:val="15"/>
          <w:szCs w:val="15"/>
          <w:lang w:eastAsia="es-ES"/>
        </w:rPr>
        <w:drawing>
          <wp:inline distT="0" distB="0" distL="0" distR="0" wp14:anchorId="2FDBF127" wp14:editId="23BF2070">
            <wp:extent cx="5398617" cy="2435961"/>
            <wp:effectExtent l="0" t="0" r="0" b="2540"/>
            <wp:docPr id="7" name="Imagen 7" descr="irelandb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relandbe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98899" cy="2436088"/>
                    </a:xfrm>
                    <a:prstGeom prst="rect">
                      <a:avLst/>
                    </a:prstGeom>
                    <a:noFill/>
                    <a:ln>
                      <a:noFill/>
                    </a:ln>
                  </pic:spPr>
                </pic:pic>
              </a:graphicData>
            </a:graphic>
          </wp:inline>
        </w:drawing>
      </w:r>
    </w:p>
    <w:p w:rsidR="00B036D0" w:rsidRPr="00B036D0" w:rsidRDefault="00B036D0" w:rsidP="00387350">
      <w:pPr>
        <w:pStyle w:val="NormalWeb"/>
        <w:rPr>
          <w:rStyle w:val="Textoennegrita"/>
          <w:rFonts w:eastAsiaTheme="majorEastAsia"/>
          <w:b w:val="0"/>
          <w:u w:val="single"/>
        </w:rPr>
      </w:pPr>
      <w:r w:rsidRPr="00B036D0">
        <w:rPr>
          <w:rStyle w:val="Textoennegrita"/>
          <w:rFonts w:eastAsiaTheme="majorEastAsia"/>
          <w:b w:val="0"/>
          <w:u w:val="single"/>
        </w:rPr>
        <w:t>Seis gráficos para una foto demoledora</w:t>
      </w:r>
    </w:p>
    <w:p w:rsidR="00B036D0" w:rsidRPr="00B036D0" w:rsidRDefault="00494A4C" w:rsidP="00387350">
      <w:pPr>
        <w:pStyle w:val="NormalWeb"/>
        <w:rPr>
          <w:b/>
        </w:rPr>
      </w:pPr>
      <w:r>
        <w:rPr>
          <w:rStyle w:val="Textoennegrita"/>
          <w:rFonts w:eastAsiaTheme="majorEastAsia"/>
          <w:b w:val="0"/>
        </w:rPr>
        <w:t>Gráfico 1</w:t>
      </w:r>
      <w:r w:rsidR="00B036D0" w:rsidRPr="00B036D0">
        <w:rPr>
          <w:rStyle w:val="Textoennegrita"/>
          <w:rFonts w:eastAsiaTheme="majorEastAsia"/>
          <w:b w:val="0"/>
        </w:rPr>
        <w:t>: Tasa de paro de los jóvenes entre 25 y 34 años, según nivel de educación (Fuente: Eurostat)</w:t>
      </w:r>
    </w:p>
    <w:p w:rsidR="00B036D0" w:rsidRDefault="00B036D0" w:rsidP="00387350">
      <w:pPr>
        <w:pStyle w:val="NormalWeb"/>
        <w:jc w:val="center"/>
      </w:pPr>
      <w:r>
        <w:rPr>
          <w:noProof/>
        </w:rPr>
        <w:drawing>
          <wp:inline distT="0" distB="0" distL="0" distR="0" wp14:anchorId="764C3629" wp14:editId="64C6BC0D">
            <wp:extent cx="4776826" cy="4308653"/>
            <wp:effectExtent l="0" t="0" r="5080" b="0"/>
            <wp:docPr id="10" name="Imagen 10" descr="universitarios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iversitarios_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776826" cy="4308653"/>
                    </a:xfrm>
                    <a:prstGeom prst="rect">
                      <a:avLst/>
                    </a:prstGeom>
                    <a:noFill/>
                    <a:ln>
                      <a:noFill/>
                    </a:ln>
                  </pic:spPr>
                </pic:pic>
              </a:graphicData>
            </a:graphic>
          </wp:inline>
        </w:drawing>
      </w:r>
    </w:p>
    <w:p w:rsidR="00B036D0" w:rsidRDefault="00B036D0" w:rsidP="00387350">
      <w:pPr>
        <w:pStyle w:val="NormalWeb"/>
        <w:rPr>
          <w:rStyle w:val="Textoennegrita"/>
          <w:rFonts w:eastAsiaTheme="majorEastAsia"/>
        </w:rPr>
      </w:pPr>
    </w:p>
    <w:p w:rsidR="00B036D0" w:rsidRDefault="00B036D0" w:rsidP="00387350">
      <w:pPr>
        <w:pStyle w:val="NormalWeb"/>
        <w:rPr>
          <w:rStyle w:val="Textoennegrita"/>
          <w:rFonts w:eastAsiaTheme="majorEastAsia"/>
        </w:rPr>
      </w:pPr>
    </w:p>
    <w:p w:rsidR="00494A4C" w:rsidRPr="00494A4C" w:rsidRDefault="00494A4C" w:rsidP="00387350">
      <w:pPr>
        <w:pStyle w:val="NormalWeb"/>
        <w:rPr>
          <w:rStyle w:val="Textoennegrita"/>
          <w:bCs w:val="0"/>
        </w:rPr>
      </w:pPr>
      <w:r>
        <w:rPr>
          <w:rStyle w:val="Textoennegrita"/>
          <w:rFonts w:eastAsiaTheme="majorEastAsia"/>
          <w:b w:val="0"/>
        </w:rPr>
        <w:t>Gráfico 2</w:t>
      </w:r>
      <w:r w:rsidR="00B036D0" w:rsidRPr="00B036D0">
        <w:rPr>
          <w:rStyle w:val="Textoennegrita"/>
          <w:rFonts w:eastAsiaTheme="majorEastAsia"/>
          <w:b w:val="0"/>
        </w:rPr>
        <w:t>: Población que ha alc</w:t>
      </w:r>
      <w:r w:rsidRPr="00B036D0">
        <w:rPr>
          <w:rStyle w:val="Textoennegrita"/>
          <w:rFonts w:eastAsiaTheme="majorEastAsia"/>
          <w:b w:val="0"/>
        </w:rPr>
        <w:t>anzado la educación terciaria (Fuente: OCDE)</w:t>
      </w:r>
    </w:p>
    <w:p w:rsidR="00B036D0" w:rsidRDefault="00B036D0" w:rsidP="00387350">
      <w:pPr>
        <w:pStyle w:val="NormalWeb"/>
        <w:rPr>
          <w:rStyle w:val="Textoennegrita"/>
          <w:bCs w:val="0"/>
        </w:rPr>
      </w:pPr>
      <w:r>
        <w:rPr>
          <w:noProof/>
        </w:rPr>
        <w:drawing>
          <wp:inline distT="0" distB="0" distL="0" distR="0" wp14:anchorId="372933FC" wp14:editId="42BC2EA7">
            <wp:extent cx="5400040" cy="2913106"/>
            <wp:effectExtent l="0" t="0" r="0" b="1905"/>
            <wp:docPr id="17" name="Imagen 17" descr="universitarios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iversitarios_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00040" cy="2913106"/>
                    </a:xfrm>
                    <a:prstGeom prst="rect">
                      <a:avLst/>
                    </a:prstGeom>
                    <a:noFill/>
                    <a:ln>
                      <a:noFill/>
                    </a:ln>
                  </pic:spPr>
                </pic:pic>
              </a:graphicData>
            </a:graphic>
          </wp:inline>
        </w:drawing>
      </w:r>
    </w:p>
    <w:p w:rsidR="00494A4C" w:rsidRDefault="00494A4C" w:rsidP="00387350">
      <w:pPr>
        <w:pStyle w:val="NormalWeb"/>
        <w:rPr>
          <w:rStyle w:val="Textoennegrita"/>
          <w:bCs w:val="0"/>
        </w:rPr>
      </w:pPr>
      <w:r w:rsidRPr="00494A4C">
        <w:rPr>
          <w:rStyle w:val="Textoennegrita"/>
          <w:rFonts w:eastAsiaTheme="majorEastAsia"/>
          <w:b w:val="0"/>
        </w:rPr>
        <w:t>Gráfico 3: Porcentaje de licenciados con un empleo de nivel inferior al de su titulación (Fuente: OCDE)</w:t>
      </w:r>
    </w:p>
    <w:p w:rsidR="00494A4C" w:rsidRDefault="00494A4C" w:rsidP="00387350">
      <w:pPr>
        <w:pStyle w:val="NormalWeb"/>
        <w:rPr>
          <w:rStyle w:val="Textoennegrita"/>
          <w:bCs w:val="0"/>
        </w:rPr>
      </w:pPr>
      <w:r>
        <w:rPr>
          <w:noProof/>
        </w:rPr>
        <w:drawing>
          <wp:inline distT="0" distB="0" distL="0" distR="0" wp14:anchorId="485689EB" wp14:editId="3AF5E0A0">
            <wp:extent cx="4879238" cy="4337913"/>
            <wp:effectExtent l="0" t="0" r="0" b="5715"/>
            <wp:docPr id="19" name="Imagen 19" descr="universitarios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iversitarios_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879340" cy="4338004"/>
                    </a:xfrm>
                    <a:prstGeom prst="rect">
                      <a:avLst/>
                    </a:prstGeom>
                    <a:noFill/>
                    <a:ln>
                      <a:noFill/>
                    </a:ln>
                  </pic:spPr>
                </pic:pic>
              </a:graphicData>
            </a:graphic>
          </wp:inline>
        </w:drawing>
      </w:r>
    </w:p>
    <w:p w:rsidR="00494A4C" w:rsidRDefault="00494A4C" w:rsidP="00387350">
      <w:pPr>
        <w:pStyle w:val="NormalWeb"/>
        <w:rPr>
          <w:rStyle w:val="Textoennegrita"/>
          <w:rFonts w:eastAsiaTheme="majorEastAsia"/>
          <w:b w:val="0"/>
        </w:rPr>
      </w:pPr>
      <w:r w:rsidRPr="00494A4C">
        <w:rPr>
          <w:rStyle w:val="Textoennegrita"/>
          <w:rFonts w:eastAsiaTheme="majorEastAsia"/>
          <w:b w:val="0"/>
        </w:rPr>
        <w:lastRenderedPageBreak/>
        <w:t>Gráfico 4:</w:t>
      </w:r>
      <w:r w:rsidRPr="00494A4C">
        <w:rPr>
          <w:b/>
        </w:rPr>
        <w:t xml:space="preserve"> </w:t>
      </w:r>
      <w:r w:rsidRPr="00494A4C">
        <w:rPr>
          <w:rStyle w:val="Textoennegrita"/>
          <w:rFonts w:eastAsiaTheme="majorEastAsia"/>
          <w:b w:val="0"/>
        </w:rPr>
        <w:t>Coste laboral de los universitarios europeos (Fuente: Fedea, con datos de OCDE y Eurostat)</w:t>
      </w:r>
    </w:p>
    <w:p w:rsidR="00494A4C" w:rsidRDefault="00494A4C" w:rsidP="00387350">
      <w:pPr>
        <w:pStyle w:val="NormalWeb"/>
        <w:rPr>
          <w:b/>
        </w:rPr>
      </w:pPr>
      <w:r>
        <w:rPr>
          <w:noProof/>
        </w:rPr>
        <w:drawing>
          <wp:inline distT="0" distB="0" distL="0" distR="0" wp14:anchorId="05B73551" wp14:editId="60851A13">
            <wp:extent cx="5398617" cy="3306470"/>
            <wp:effectExtent l="0" t="0" r="0" b="8255"/>
            <wp:docPr id="22" name="Imagen 22" descr="universitarios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iversitarios_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400040" cy="3307342"/>
                    </a:xfrm>
                    <a:prstGeom prst="rect">
                      <a:avLst/>
                    </a:prstGeom>
                    <a:noFill/>
                    <a:ln>
                      <a:noFill/>
                    </a:ln>
                  </pic:spPr>
                </pic:pic>
              </a:graphicData>
            </a:graphic>
          </wp:inline>
        </w:drawing>
      </w:r>
    </w:p>
    <w:p w:rsidR="00494A4C" w:rsidRDefault="00494A4C" w:rsidP="00387350">
      <w:pPr>
        <w:pStyle w:val="NormalWeb"/>
        <w:rPr>
          <w:rStyle w:val="Textoennegrita"/>
          <w:bCs w:val="0"/>
        </w:rPr>
      </w:pPr>
      <w:r w:rsidRPr="00494A4C">
        <w:rPr>
          <w:rStyle w:val="Textoennegrita"/>
          <w:rFonts w:eastAsiaTheme="majorEastAsia"/>
          <w:b w:val="0"/>
        </w:rPr>
        <w:t>Gráfico 5: Porcentaje de empleos temporales por edades (Fuente: Eurostat)</w:t>
      </w:r>
    </w:p>
    <w:p w:rsidR="00494A4C" w:rsidRDefault="00494A4C" w:rsidP="00387350">
      <w:pPr>
        <w:pStyle w:val="NormalWeb"/>
        <w:rPr>
          <w:rStyle w:val="Textoennegrita"/>
          <w:bCs w:val="0"/>
        </w:rPr>
      </w:pPr>
      <w:r>
        <w:rPr>
          <w:noProof/>
        </w:rPr>
        <w:drawing>
          <wp:inline distT="0" distB="0" distL="0" distR="0" wp14:anchorId="6D4626D6" wp14:editId="374CDB13">
            <wp:extent cx="4703587" cy="4250131"/>
            <wp:effectExtent l="0" t="0" r="1905" b="0"/>
            <wp:docPr id="23" name="Imagen 23" descr="universitarios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iversitarios_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703445" cy="4250003"/>
                    </a:xfrm>
                    <a:prstGeom prst="rect">
                      <a:avLst/>
                    </a:prstGeom>
                    <a:noFill/>
                    <a:ln>
                      <a:noFill/>
                    </a:ln>
                  </pic:spPr>
                </pic:pic>
              </a:graphicData>
            </a:graphic>
          </wp:inline>
        </w:drawing>
      </w:r>
    </w:p>
    <w:p w:rsidR="00494A4C" w:rsidRDefault="00494A4C" w:rsidP="00387350">
      <w:pPr>
        <w:pStyle w:val="NormalWeb"/>
        <w:rPr>
          <w:rStyle w:val="Textoennegrita"/>
          <w:bCs w:val="0"/>
        </w:rPr>
      </w:pPr>
      <w:r w:rsidRPr="00494A4C">
        <w:rPr>
          <w:rStyle w:val="Textoennegrita"/>
          <w:rFonts w:eastAsiaTheme="majorEastAsia"/>
          <w:b w:val="0"/>
        </w:rPr>
        <w:lastRenderedPageBreak/>
        <w:t>Gráfico 6: Edad media en la que abandonan el hogar</w:t>
      </w:r>
    </w:p>
    <w:p w:rsidR="00494A4C" w:rsidRDefault="00494A4C" w:rsidP="00387350">
      <w:pPr>
        <w:pStyle w:val="NormalWeb"/>
        <w:rPr>
          <w:rStyle w:val="Textoennegrita"/>
          <w:bCs w:val="0"/>
        </w:rPr>
      </w:pPr>
      <w:r>
        <w:rPr>
          <w:noProof/>
          <w:color w:val="0000FF"/>
        </w:rPr>
        <w:drawing>
          <wp:inline distT="0" distB="0" distL="0" distR="0" wp14:anchorId="1A7D4125" wp14:editId="5238E8BB">
            <wp:extent cx="5400040" cy="2675255"/>
            <wp:effectExtent l="0" t="0" r="0" b="0"/>
            <wp:docPr id="31" name="Imagen 31" descr="universitarios_6">
              <a:hlinkClick xmlns:a="http://schemas.openxmlformats.org/drawingml/2006/main" r:id="rId1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iversitarios_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rsidR="00494A4C" w:rsidRPr="00494A4C" w:rsidRDefault="00494A4C" w:rsidP="00387350">
      <w:pPr>
        <w:pStyle w:val="NormalWeb"/>
        <w:jc w:val="both"/>
        <w:rPr>
          <w:rStyle w:val="Textoennegrita"/>
          <w:b w:val="0"/>
          <w:bCs w:val="0"/>
        </w:rPr>
      </w:pPr>
      <w:r w:rsidRPr="00D466EC">
        <w:rPr>
          <w:u w:val="single"/>
        </w:rPr>
        <w:t>El mapa de los salarios mínimos en Europa</w:t>
      </w:r>
      <w:r>
        <w:t xml:space="preserve"> (</w:t>
      </w:r>
      <w:r w:rsidR="0024614F">
        <w:t xml:space="preserve">Fuente: </w:t>
      </w:r>
      <w:r>
        <w:t xml:space="preserve">Yahoo.es - </w:t>
      </w:r>
      <w:r w:rsidRPr="00D466EC">
        <w:rPr>
          <w:b/>
        </w:rPr>
        <w:t>14/2/11</w:t>
      </w:r>
      <w:r>
        <w:t xml:space="preserve">) </w:t>
      </w:r>
    </w:p>
    <w:p w:rsidR="00494A4C" w:rsidRDefault="00494A4C" w:rsidP="00387350">
      <w:pPr>
        <w:pStyle w:val="NormalWeb"/>
        <w:rPr>
          <w:rStyle w:val="Textoennegrita"/>
          <w:bCs w:val="0"/>
        </w:rPr>
      </w:pPr>
      <w:r>
        <w:rPr>
          <w:noProof/>
          <w:color w:val="0000FF"/>
        </w:rPr>
        <w:drawing>
          <wp:inline distT="0" distB="0" distL="0" distR="0" wp14:anchorId="6C4521ED" wp14:editId="333372B1">
            <wp:extent cx="5400040" cy="2625036"/>
            <wp:effectExtent l="0" t="0" r="0" b="4445"/>
            <wp:docPr id="46" name="Imagen 46" descr="Mapa de los salarios mínimos en Europa">
              <a:hlinkClick xmlns:a="http://schemas.openxmlformats.org/drawingml/2006/main" r:id="rId1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pa de los salarios mínimos en Europa"/>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400040" cy="2625036"/>
                    </a:xfrm>
                    <a:prstGeom prst="rect">
                      <a:avLst/>
                    </a:prstGeom>
                    <a:noFill/>
                    <a:ln>
                      <a:noFill/>
                    </a:ln>
                  </pic:spPr>
                </pic:pic>
              </a:graphicData>
            </a:graphic>
          </wp:inline>
        </w:drawing>
      </w:r>
    </w:p>
    <w:p w:rsidR="0024614F" w:rsidRDefault="00494A4C" w:rsidP="00387350">
      <w:pPr>
        <w:pStyle w:val="NormalWeb"/>
        <w:rPr>
          <w:rStyle w:val="Textoennegrita"/>
          <w:bCs w:val="0"/>
        </w:rPr>
      </w:pPr>
      <w:r>
        <w:rPr>
          <w:noProof/>
          <w:color w:val="0000FF"/>
        </w:rPr>
        <w:drawing>
          <wp:inline distT="0" distB="0" distL="0" distR="0" wp14:anchorId="57C3B1DD" wp14:editId="098B42A8">
            <wp:extent cx="5398616" cy="2318918"/>
            <wp:effectExtent l="0" t="0" r="0" b="5715"/>
            <wp:docPr id="47" name="Imagen 47" descr="mapasalarios2">
              <a:hlinkClick xmlns:a="http://schemas.openxmlformats.org/drawingml/2006/main" r:id="rId1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pasalarios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400040" cy="2319530"/>
                    </a:xfrm>
                    <a:prstGeom prst="rect">
                      <a:avLst/>
                    </a:prstGeom>
                    <a:noFill/>
                    <a:ln>
                      <a:noFill/>
                    </a:ln>
                  </pic:spPr>
                </pic:pic>
              </a:graphicData>
            </a:graphic>
          </wp:inline>
        </w:drawing>
      </w:r>
    </w:p>
    <w:p w:rsidR="0024614F" w:rsidRDefault="0024614F" w:rsidP="00387350">
      <w:pPr>
        <w:pStyle w:val="NormalWeb"/>
        <w:rPr>
          <w:rStyle w:val="Textoennegrita"/>
          <w:bCs w:val="0"/>
        </w:rPr>
      </w:pPr>
      <w:r>
        <w:rPr>
          <w:noProof/>
          <w:color w:val="0000FF"/>
        </w:rPr>
        <w:lastRenderedPageBreak/>
        <w:drawing>
          <wp:inline distT="0" distB="0" distL="0" distR="0" wp14:anchorId="3E88D291" wp14:editId="2202CC9C">
            <wp:extent cx="5398617" cy="2033625"/>
            <wp:effectExtent l="0" t="0" r="0" b="5080"/>
            <wp:docPr id="48" name="Imagen 48" descr="mapasalarios3">
              <a:hlinkClick xmlns:a="http://schemas.openxmlformats.org/drawingml/2006/main" r:id="rId2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pasalarios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398639" cy="2033633"/>
                    </a:xfrm>
                    <a:prstGeom prst="rect">
                      <a:avLst/>
                    </a:prstGeom>
                    <a:noFill/>
                    <a:ln>
                      <a:noFill/>
                    </a:ln>
                  </pic:spPr>
                </pic:pic>
              </a:graphicData>
            </a:graphic>
          </wp:inline>
        </w:drawing>
      </w:r>
    </w:p>
    <w:p w:rsidR="0024614F" w:rsidRPr="0024614F" w:rsidRDefault="0024614F" w:rsidP="00387350">
      <w:pPr>
        <w:pStyle w:val="Ttulo1"/>
        <w:spacing w:line="240" w:lineRule="auto"/>
        <w:jc w:val="both"/>
        <w:rPr>
          <w:rStyle w:val="Textoennegrita"/>
          <w:rFonts w:ascii="Times New Roman" w:hAnsi="Times New Roman" w:cs="Times New Roman"/>
          <w:bCs/>
          <w:color w:val="auto"/>
          <w:sz w:val="24"/>
          <w:szCs w:val="24"/>
        </w:rPr>
      </w:pPr>
      <w:r w:rsidRPr="00920CF2">
        <w:rPr>
          <w:rFonts w:ascii="Times New Roman" w:hAnsi="Times New Roman" w:cs="Times New Roman"/>
          <w:b w:val="0"/>
          <w:color w:val="auto"/>
          <w:sz w:val="24"/>
          <w:szCs w:val="24"/>
          <w:u w:val="single"/>
        </w:rPr>
        <w:t>España es el país con menor flexibilidad salarial de Europa</w:t>
      </w:r>
      <w:r w:rsidRPr="00920CF2">
        <w:rPr>
          <w:rFonts w:ascii="Times New Roman" w:hAnsi="Times New Roman" w:cs="Times New Roman"/>
          <w:b w:val="0"/>
          <w:color w:val="auto"/>
          <w:sz w:val="24"/>
          <w:szCs w:val="24"/>
        </w:rPr>
        <w:t xml:space="preserve"> (</w:t>
      </w:r>
      <w:r>
        <w:rPr>
          <w:rFonts w:ascii="Times New Roman" w:hAnsi="Times New Roman" w:cs="Times New Roman"/>
          <w:b w:val="0"/>
          <w:color w:val="auto"/>
          <w:sz w:val="24"/>
          <w:szCs w:val="24"/>
        </w:rPr>
        <w:t xml:space="preserve">Fuente: </w:t>
      </w:r>
      <w:r w:rsidRPr="00920CF2">
        <w:rPr>
          <w:rFonts w:ascii="Times New Roman" w:hAnsi="Times New Roman" w:cs="Times New Roman"/>
          <w:b w:val="0"/>
          <w:color w:val="auto"/>
          <w:sz w:val="24"/>
          <w:szCs w:val="24"/>
        </w:rPr>
        <w:t xml:space="preserve">Libertad Digital - </w:t>
      </w:r>
      <w:r w:rsidRPr="00920CF2">
        <w:rPr>
          <w:rFonts w:ascii="Times New Roman" w:hAnsi="Times New Roman" w:cs="Times New Roman"/>
          <w:color w:val="auto"/>
          <w:sz w:val="24"/>
          <w:szCs w:val="24"/>
        </w:rPr>
        <w:t>9/3/11</w:t>
      </w:r>
      <w:r w:rsidRPr="00920CF2">
        <w:rPr>
          <w:rFonts w:ascii="Times New Roman" w:hAnsi="Times New Roman" w:cs="Times New Roman"/>
          <w:b w:val="0"/>
          <w:color w:val="auto"/>
          <w:sz w:val="24"/>
          <w:szCs w:val="24"/>
        </w:rPr>
        <w:t>)</w:t>
      </w:r>
    </w:p>
    <w:p w:rsidR="0024614F" w:rsidRDefault="0024614F" w:rsidP="00387350">
      <w:pPr>
        <w:pStyle w:val="NormalWeb"/>
        <w:rPr>
          <w:rStyle w:val="Textoennegrita"/>
          <w:bCs w:val="0"/>
        </w:rPr>
      </w:pPr>
      <w:r>
        <w:rPr>
          <w:b/>
          <w:bCs/>
          <w:noProof/>
        </w:rPr>
        <w:drawing>
          <wp:inline distT="0" distB="0" distL="0" distR="0" wp14:anchorId="60703E88" wp14:editId="4D1BDAA5">
            <wp:extent cx="5398617" cy="2962656"/>
            <wp:effectExtent l="0" t="0" r="0" b="9525"/>
            <wp:docPr id="448" name="Imagen 448" descr="graf_fedea_flexibilidad_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raf_fedea_flexibilidad_europa"/>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400040" cy="2963437"/>
                    </a:xfrm>
                    <a:prstGeom prst="rect">
                      <a:avLst/>
                    </a:prstGeom>
                    <a:noFill/>
                    <a:ln>
                      <a:noFill/>
                    </a:ln>
                  </pic:spPr>
                </pic:pic>
              </a:graphicData>
            </a:graphic>
          </wp:inline>
        </w:drawing>
      </w:r>
    </w:p>
    <w:p w:rsidR="0024614F" w:rsidRPr="0024614F" w:rsidRDefault="0024614F" w:rsidP="00387350">
      <w:pPr>
        <w:pStyle w:val="NormalWeb"/>
        <w:rPr>
          <w:rStyle w:val="Textoennegrita"/>
          <w:b w:val="0"/>
          <w:bCs w:val="0"/>
        </w:rPr>
      </w:pPr>
      <w:r w:rsidRPr="0024614F">
        <w:rPr>
          <w:u w:val="single"/>
        </w:rPr>
        <w:t>Flexibilidad salarial e interna en las empresas</w:t>
      </w:r>
      <w:r w:rsidRPr="000B7330">
        <w:t xml:space="preserve"> (Fuente: Fedea)</w:t>
      </w:r>
    </w:p>
    <w:p w:rsidR="0024614F" w:rsidRDefault="0024614F" w:rsidP="00387350">
      <w:pPr>
        <w:pStyle w:val="NormalWeb"/>
        <w:rPr>
          <w:rStyle w:val="Textoennegrita"/>
          <w:bCs w:val="0"/>
        </w:rPr>
      </w:pPr>
      <w:r>
        <w:rPr>
          <w:noProof/>
        </w:rPr>
        <w:drawing>
          <wp:inline distT="0" distB="0" distL="0" distR="0" wp14:anchorId="409FD3B8" wp14:editId="4E8A0346">
            <wp:extent cx="5076498" cy="2421332"/>
            <wp:effectExtent l="0" t="0" r="0" b="0"/>
            <wp:docPr id="451" name="Imagen 451" descr="graf_fedea_costes_labo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raf_fedea_costes_laborales"/>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076825" cy="2421488"/>
                    </a:xfrm>
                    <a:prstGeom prst="rect">
                      <a:avLst/>
                    </a:prstGeom>
                    <a:noFill/>
                    <a:ln>
                      <a:noFill/>
                    </a:ln>
                  </pic:spPr>
                </pic:pic>
              </a:graphicData>
            </a:graphic>
          </wp:inline>
        </w:drawing>
      </w:r>
    </w:p>
    <w:p w:rsidR="0024614F" w:rsidRPr="0024614F" w:rsidRDefault="0024614F" w:rsidP="00387350">
      <w:pPr>
        <w:pStyle w:val="NormalWeb"/>
        <w:rPr>
          <w:rStyle w:val="Textoennegrita"/>
          <w:bCs w:val="0"/>
        </w:rPr>
      </w:pPr>
      <w:r w:rsidRPr="000B7330">
        <w:lastRenderedPageBreak/>
        <w:t>Costes laborales en España, Francia y Alemania (Fuente: Fedea)</w:t>
      </w:r>
    </w:p>
    <w:p w:rsidR="0024614F" w:rsidRDefault="0024614F" w:rsidP="00387350">
      <w:pPr>
        <w:pStyle w:val="NormalWeb"/>
        <w:rPr>
          <w:rStyle w:val="Textoennegrita"/>
          <w:bCs w:val="0"/>
        </w:rPr>
      </w:pPr>
      <w:r>
        <w:rPr>
          <w:noProof/>
        </w:rPr>
        <w:drawing>
          <wp:inline distT="0" distB="0" distL="0" distR="0" wp14:anchorId="1FAC6E92" wp14:editId="351A9E39">
            <wp:extent cx="4988966" cy="2450592"/>
            <wp:effectExtent l="0" t="0" r="2540" b="6985"/>
            <wp:docPr id="57" name="Imagen 57" descr="graf_fedea_empl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raf_fedea_empleo"/>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989195" cy="2450704"/>
                    </a:xfrm>
                    <a:prstGeom prst="rect">
                      <a:avLst/>
                    </a:prstGeom>
                    <a:noFill/>
                    <a:ln>
                      <a:noFill/>
                    </a:ln>
                  </pic:spPr>
                </pic:pic>
              </a:graphicData>
            </a:graphic>
          </wp:inline>
        </w:drawing>
      </w:r>
    </w:p>
    <w:p w:rsidR="00977761" w:rsidRPr="00977761" w:rsidRDefault="00977761" w:rsidP="00387350">
      <w:pPr>
        <w:pStyle w:val="NormalWeb"/>
        <w:jc w:val="both"/>
        <w:rPr>
          <w:rStyle w:val="Textoennegrita"/>
          <w:b w:val="0"/>
          <w:bCs w:val="0"/>
        </w:rPr>
      </w:pPr>
      <w:r w:rsidRPr="001450A8">
        <w:rPr>
          <w:u w:val="single"/>
        </w:rPr>
        <w:t>Desmontando el gran mito de la productividad española</w:t>
      </w:r>
      <w:r>
        <w:t xml:space="preserve"> (Fuente: El Confidencial - </w:t>
      </w:r>
      <w:r w:rsidRPr="001450A8">
        <w:rPr>
          <w:b/>
        </w:rPr>
        <w:t>28/3/11</w:t>
      </w:r>
      <w:r>
        <w:t>)</w:t>
      </w:r>
    </w:p>
    <w:p w:rsidR="0024614F" w:rsidRDefault="0024614F" w:rsidP="00387350">
      <w:pPr>
        <w:pStyle w:val="NormalWeb"/>
        <w:rPr>
          <w:rStyle w:val="Textoennegrita"/>
          <w:bCs w:val="0"/>
        </w:rPr>
      </w:pPr>
      <w:r>
        <w:rPr>
          <w:noProof/>
          <w:color w:val="0000FF"/>
        </w:rPr>
        <w:drawing>
          <wp:inline distT="0" distB="0" distL="0" distR="0" wp14:anchorId="5934B99C" wp14:editId="56C18BC2">
            <wp:extent cx="4762193" cy="2545689"/>
            <wp:effectExtent l="0" t="0" r="635" b="7620"/>
            <wp:docPr id="453" name="Imagen 453" descr="20110328100productividad1">
              <a:hlinkClick xmlns:a="http://schemas.openxmlformats.org/drawingml/2006/main" r:id="rId20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20110328100productividad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762500" cy="2545853"/>
                    </a:xfrm>
                    <a:prstGeom prst="rect">
                      <a:avLst/>
                    </a:prstGeom>
                    <a:noFill/>
                    <a:ln>
                      <a:noFill/>
                    </a:ln>
                  </pic:spPr>
                </pic:pic>
              </a:graphicData>
            </a:graphic>
          </wp:inline>
        </w:drawing>
      </w:r>
    </w:p>
    <w:p w:rsidR="0024614F" w:rsidRDefault="0024614F" w:rsidP="00387350">
      <w:pPr>
        <w:pStyle w:val="NormalWeb"/>
        <w:rPr>
          <w:rStyle w:val="Textoennegrita"/>
          <w:bCs w:val="0"/>
        </w:rPr>
      </w:pPr>
      <w:r>
        <w:rPr>
          <w:noProof/>
          <w:color w:val="0000FF"/>
        </w:rPr>
        <w:drawing>
          <wp:inline distT="0" distB="0" distL="0" distR="0" wp14:anchorId="5A1B7581" wp14:editId="6A77C282">
            <wp:extent cx="4751734" cy="2494483"/>
            <wp:effectExtent l="0" t="0" r="0" b="1270"/>
            <wp:docPr id="73" name="Imagen 73" descr="2011032860productividad2">
              <a:hlinkClick xmlns:a="http://schemas.openxmlformats.org/drawingml/2006/main" r:id="rId20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2011032860productividad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762500" cy="2500135"/>
                    </a:xfrm>
                    <a:prstGeom prst="rect">
                      <a:avLst/>
                    </a:prstGeom>
                    <a:noFill/>
                    <a:ln>
                      <a:noFill/>
                    </a:ln>
                  </pic:spPr>
                </pic:pic>
              </a:graphicData>
            </a:graphic>
          </wp:inline>
        </w:drawing>
      </w:r>
    </w:p>
    <w:p w:rsidR="0024614F" w:rsidRDefault="0024614F" w:rsidP="00387350">
      <w:pPr>
        <w:pStyle w:val="NormalWeb"/>
        <w:rPr>
          <w:rStyle w:val="Textoennegrita"/>
          <w:bCs w:val="0"/>
        </w:rPr>
      </w:pPr>
      <w:r>
        <w:rPr>
          <w:noProof/>
          <w:color w:val="0000FF"/>
        </w:rPr>
        <w:lastRenderedPageBreak/>
        <w:drawing>
          <wp:inline distT="0" distB="0" distL="0" distR="0" wp14:anchorId="0F6DDD9B" wp14:editId="04DB37C3">
            <wp:extent cx="4762092" cy="2340864"/>
            <wp:effectExtent l="0" t="0" r="635" b="2540"/>
            <wp:docPr id="72" name="Imagen 72" descr="2011032869productividad3">
              <a:hlinkClick xmlns:a="http://schemas.openxmlformats.org/drawingml/2006/main" r:id="rId2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2011032869productividad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762500" cy="2341065"/>
                    </a:xfrm>
                    <a:prstGeom prst="rect">
                      <a:avLst/>
                    </a:prstGeom>
                    <a:noFill/>
                    <a:ln>
                      <a:noFill/>
                    </a:ln>
                  </pic:spPr>
                </pic:pic>
              </a:graphicData>
            </a:graphic>
          </wp:inline>
        </w:drawing>
      </w:r>
    </w:p>
    <w:p w:rsidR="0024614F" w:rsidRDefault="0024614F" w:rsidP="00387350">
      <w:pPr>
        <w:pStyle w:val="NormalWeb"/>
        <w:rPr>
          <w:rStyle w:val="Textoennegrita"/>
          <w:bCs w:val="0"/>
        </w:rPr>
      </w:pPr>
      <w:r>
        <w:rPr>
          <w:noProof/>
          <w:color w:val="0000FF"/>
        </w:rPr>
        <w:drawing>
          <wp:inline distT="0" distB="0" distL="0" distR="0" wp14:anchorId="68F6ED02" wp14:editId="63EF5644">
            <wp:extent cx="4762195" cy="2553004"/>
            <wp:effectExtent l="0" t="0" r="635" b="0"/>
            <wp:docPr id="71" name="Imagen 71" descr="2011032820productividad4">
              <a:hlinkClick xmlns:a="http://schemas.openxmlformats.org/drawingml/2006/main" r:id="rId2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2011032820productividad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762500" cy="2553168"/>
                    </a:xfrm>
                    <a:prstGeom prst="rect">
                      <a:avLst/>
                    </a:prstGeom>
                    <a:noFill/>
                    <a:ln>
                      <a:noFill/>
                    </a:ln>
                  </pic:spPr>
                </pic:pic>
              </a:graphicData>
            </a:graphic>
          </wp:inline>
        </w:drawing>
      </w:r>
    </w:p>
    <w:p w:rsidR="00977761" w:rsidRPr="00977761" w:rsidRDefault="00977761" w:rsidP="00387350">
      <w:pPr>
        <w:pStyle w:val="NormalWeb"/>
        <w:jc w:val="both"/>
        <w:rPr>
          <w:rStyle w:val="Textoennegrita"/>
          <w:b w:val="0"/>
          <w:bCs w:val="0"/>
        </w:rPr>
      </w:pPr>
      <w:r w:rsidRPr="00B348FD">
        <w:rPr>
          <w:u w:val="single"/>
        </w:rPr>
        <w:t>¿Está perjudicando a España gravemente la política del BCE?</w:t>
      </w:r>
      <w:r>
        <w:t xml:space="preserve"> (Fuente: El Confidencial - </w:t>
      </w:r>
      <w:r w:rsidRPr="00B348FD">
        <w:rPr>
          <w:b/>
        </w:rPr>
        <w:t>31/3/11</w:t>
      </w:r>
      <w:r>
        <w:t>)</w:t>
      </w:r>
    </w:p>
    <w:p w:rsidR="0024614F" w:rsidRDefault="00977761" w:rsidP="00387350">
      <w:pPr>
        <w:pStyle w:val="NormalWeb"/>
        <w:rPr>
          <w:rStyle w:val="Textoennegrita"/>
          <w:bCs w:val="0"/>
        </w:rPr>
      </w:pPr>
      <w:r>
        <w:rPr>
          <w:noProof/>
          <w:color w:val="0000FF"/>
        </w:rPr>
        <w:drawing>
          <wp:inline distT="0" distB="0" distL="0" distR="0" wp14:anchorId="6FCD6829" wp14:editId="3621D798">
            <wp:extent cx="4762008" cy="2940710"/>
            <wp:effectExtent l="0" t="0" r="635" b="0"/>
            <wp:docPr id="78" name="Imagen 78" descr="2011033186cp">
              <a:hlinkClick xmlns:a="http://schemas.openxmlformats.org/drawingml/2006/main" r:id="rId2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2011033186cp"/>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762500" cy="2941014"/>
                    </a:xfrm>
                    <a:prstGeom prst="rect">
                      <a:avLst/>
                    </a:prstGeom>
                    <a:noFill/>
                    <a:ln>
                      <a:noFill/>
                    </a:ln>
                  </pic:spPr>
                </pic:pic>
              </a:graphicData>
            </a:graphic>
          </wp:inline>
        </w:drawing>
      </w:r>
    </w:p>
    <w:p w:rsidR="00B664AF" w:rsidRPr="00460EB0" w:rsidRDefault="00B664AF" w:rsidP="00387350">
      <w:pPr>
        <w:spacing w:line="240" w:lineRule="auto"/>
        <w:jc w:val="both"/>
        <w:rPr>
          <w:rFonts w:ascii="Times New Roman" w:hAnsi="Times New Roman"/>
          <w:sz w:val="24"/>
          <w:szCs w:val="24"/>
        </w:rPr>
      </w:pPr>
      <w:r w:rsidRPr="000540EF">
        <w:rPr>
          <w:rFonts w:ascii="Times New Roman" w:hAnsi="Times New Roman"/>
          <w:sz w:val="24"/>
          <w:szCs w:val="24"/>
          <w:u w:val="single"/>
        </w:rPr>
        <w:lastRenderedPageBreak/>
        <w:t>El sueño americano se está convirtiendo en pesadilla para la clase media de EEUU</w:t>
      </w:r>
      <w:r w:rsidR="00460EB0">
        <w:rPr>
          <w:rFonts w:ascii="Times New Roman" w:hAnsi="Times New Roman"/>
          <w:sz w:val="24"/>
          <w:szCs w:val="24"/>
          <w:u w:val="single"/>
        </w:rPr>
        <w:t xml:space="preserve"> </w:t>
      </w:r>
      <w:r w:rsidR="00460EB0" w:rsidRPr="00460EB0">
        <w:rPr>
          <w:rFonts w:ascii="Times New Roman" w:hAnsi="Times New Roman"/>
          <w:sz w:val="24"/>
          <w:szCs w:val="24"/>
        </w:rPr>
        <w:t>(</w:t>
      </w:r>
      <w:r w:rsidR="00460EB0">
        <w:rPr>
          <w:rFonts w:ascii="Times New Roman" w:hAnsi="Times New Roman"/>
          <w:b/>
          <w:sz w:val="24"/>
          <w:szCs w:val="24"/>
        </w:rPr>
        <w:t>Mayo 2011</w:t>
      </w:r>
      <w:r w:rsidR="00460EB0" w:rsidRPr="00460EB0">
        <w:rPr>
          <w:rFonts w:ascii="Times New Roman" w:hAnsi="Times New Roman"/>
          <w:sz w:val="24"/>
          <w:szCs w:val="24"/>
        </w:rPr>
        <w:t>)</w:t>
      </w:r>
      <w:r w:rsidRPr="00460EB0">
        <w:rPr>
          <w:rFonts w:ascii="Times New Roman" w:hAnsi="Times New Roman"/>
          <w:sz w:val="24"/>
          <w:szCs w:val="24"/>
        </w:rPr>
        <w:t xml:space="preserve"> </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t>La destrucción de empleo, el repunte del precio de los productos básicos, el encarecimiento de la gasolina y, por su fuera poco, los ajustes impulsados por el gobierno para reconducir sus cuentas públicas que, en última instancia, inciden sobre todos los ciudadanos. Toda una suma de factores que reducen cada vez más la riqueza de los hogares y, como muchos coinciden, hacen plantearse si la clase media está en peligro de extinción.</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t>“La clase media de Estados Unidos está siendo destrozada y sistemáticamente aniquilada”, asegura</w:t>
      </w:r>
      <w:r w:rsidR="00460EB0">
        <w:rPr>
          <w:rFonts w:ascii="Times New Roman" w:hAnsi="Times New Roman"/>
          <w:sz w:val="24"/>
          <w:szCs w:val="24"/>
        </w:rPr>
        <w:t xml:space="preserve"> </w:t>
      </w:r>
      <w:r w:rsidR="00460EB0" w:rsidRPr="00460EB0">
        <w:rPr>
          <w:rFonts w:ascii="Times New Roman" w:hAnsi="Times New Roman"/>
          <w:sz w:val="24"/>
          <w:szCs w:val="24"/>
        </w:rPr>
        <w:t>Michael Snyder</w:t>
      </w:r>
      <w:r w:rsidRPr="00460EB0">
        <w:rPr>
          <w:rFonts w:ascii="Times New Roman" w:hAnsi="Times New Roman"/>
          <w:sz w:val="24"/>
          <w:szCs w:val="24"/>
        </w:rPr>
        <w:t xml:space="preserve"> en un artículo el Business Insider</w:t>
      </w:r>
      <w:r w:rsidR="00460EB0">
        <w:rPr>
          <w:rFonts w:ascii="Times New Roman" w:hAnsi="Times New Roman"/>
          <w:sz w:val="24"/>
          <w:szCs w:val="24"/>
        </w:rPr>
        <w:t xml:space="preserve"> (adjunto</w:t>
      </w:r>
      <w:r w:rsidR="00460EB0" w:rsidRPr="00460EB0">
        <w:rPr>
          <w:rFonts w:ascii="Times New Roman" w:hAnsi="Times New Roman"/>
          <w:sz w:val="24"/>
          <w:szCs w:val="24"/>
        </w:rPr>
        <w:t>)</w:t>
      </w:r>
      <w:r w:rsidRPr="00460EB0">
        <w:rPr>
          <w:rFonts w:ascii="Times New Roman" w:hAnsi="Times New Roman"/>
          <w:sz w:val="24"/>
          <w:szCs w:val="24"/>
        </w:rPr>
        <w:t>. Tan sólo hace falta echar un vistazo a unas cuantas estadísticas para darse cuenta de que el sueño americano se está transformando en una auténtica pesadilla.</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t xml:space="preserve">No hace tanto tiempo, la mayoría de estadounidenses vivía en casas grandes, las familias tenían uno o dos coches, no tenían problemas para comprar la ropa y los alimentos que quisieran y, la mayoría, aspiraba a enviar a sus hijos a la universidad. Nada hacía prever que el camino que llevaba años siguiéndose iba a cambiar. </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t xml:space="preserve">La mayoría creció creyendo que si trabajaba duro no tendría ningún problema y que si hacía todo lo que el sistema establecía como bueno, habría un lugar para ellos en la clase media. Hasta que estalló la crisis y el sistema se desmoronó. Ya no hay suficientes buenos empleos para todos. De hecho, ni siquiera hay trabajos poco cualificados para la mayoría. </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t>Desde que estalló la recesión se han perdido 7,25 millones de empleos. A menos que se hagan cambios fundamentales en materia económica, financiera y política, los factores que están destruyendo a la clase media no remitirán.</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t>Según la Oficina de Estadísticas Laborales de Estados Unidos, el tiempo medio que un ciudadano está en paro es de 39 semanas. Pero los trabajos cualificados son cada vez más escasos y, de hecho, el país cuenta con un 10% menos de "puestos de trabajo de clase media" que hace una década.</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t xml:space="preserve">Según datos recogidos por The Wall Street Journal hay 5,5 millones de estadounidenses que están desempleados y, sin embargo, no reciben ninguna prestación por desempleo. Además, el número de empleos de baja remuneración ha aumentado de forma constante durante los últimos 30 años y ahora representan el 41% de todos los puestos de trabajo que hay en Estados Unidos. </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t xml:space="preserve">Si el panorama no es lo suficientemente desolador, hay más datos que certifican las dificultades a las que deben hacer frente los hogares. En los últimos 12 meses el precio medio de la gasolina en Estados Unidos se ha incrementado en un 30%. En este sentido, un conductor gastará alrededor de 750 dólares más por la gasolina en 2011 que en 2010. Por desgracia, parece probable que el precio del petróleo seguirá subiendo aún más. </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t>Lo más preocupante es cómo incide la crisis en los segmentos más vulnerables de la población, los niños y los ancianos. Según Alternet, en Estados Unidos, más del 20% de los niños vive en la pobreza. En el Reino Unido y en Francia la cifra es muy inferior, de un 10%. Y, según el censo de Estados Unidos, el número de niños que viven en la pobreza ha aumentado en alrededor de dos millones en los últimos 2 años.</w:t>
      </w:r>
    </w:p>
    <w:p w:rsidR="00B664AF" w:rsidRPr="00460EB0" w:rsidRDefault="00B664AF" w:rsidP="00387350">
      <w:pPr>
        <w:spacing w:line="240" w:lineRule="auto"/>
        <w:jc w:val="both"/>
        <w:rPr>
          <w:rFonts w:ascii="Times New Roman" w:hAnsi="Times New Roman"/>
          <w:sz w:val="24"/>
          <w:szCs w:val="24"/>
        </w:rPr>
      </w:pPr>
      <w:r w:rsidRPr="00460EB0">
        <w:rPr>
          <w:rFonts w:ascii="Times New Roman" w:hAnsi="Times New Roman"/>
          <w:sz w:val="24"/>
          <w:szCs w:val="24"/>
        </w:rPr>
        <w:lastRenderedPageBreak/>
        <w:t>Teniendo en cuenta todo este escenario, no extraña que el 59% de los estadounidenses estén recibiendo dinero del Gobierno en forma de subsidios de una forma u otra.</w:t>
      </w:r>
    </w:p>
    <w:p w:rsidR="00B664AF" w:rsidRPr="000540EF" w:rsidRDefault="00B664AF" w:rsidP="00387350">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C213EA">
        <w:rPr>
          <w:rFonts w:ascii="Times New Roman" w:hAnsi="Times New Roman"/>
          <w:sz w:val="24"/>
          <w:szCs w:val="24"/>
          <w:u w:val="single"/>
          <w:lang w:val="en-US"/>
        </w:rPr>
        <w:t>36 Facts Which Prove The American Dream Is Turning Into A Nightmare For The Middle Class</w:t>
      </w:r>
      <w:r>
        <w:rPr>
          <w:rFonts w:ascii="Times New Roman" w:hAnsi="Times New Roman"/>
          <w:sz w:val="24"/>
          <w:szCs w:val="24"/>
          <w:lang w:val="en-US"/>
        </w:rPr>
        <w:t xml:space="preserve"> (Business Insider - </w:t>
      </w:r>
      <w:r w:rsidRPr="00B664AF">
        <w:rPr>
          <w:rFonts w:ascii="Times New Roman" w:hAnsi="Times New Roman"/>
          <w:b/>
          <w:sz w:val="24"/>
          <w:szCs w:val="24"/>
          <w:lang w:val="en-US"/>
        </w:rPr>
        <w:t>4/5/11</w:t>
      </w:r>
      <w:r>
        <w:rPr>
          <w:rFonts w:ascii="Times New Roman" w:hAnsi="Times New Roman"/>
          <w:sz w:val="24"/>
          <w:szCs w:val="24"/>
          <w:lang w:val="en-US"/>
        </w:rPr>
        <w:t>)</w:t>
      </w:r>
    </w:p>
    <w:p w:rsidR="00B664AF" w:rsidRPr="000540EF" w:rsidRDefault="00B664AF" w:rsidP="00387350">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0540EF">
        <w:rPr>
          <w:rFonts w:ascii="Times New Roman" w:hAnsi="Times New Roman"/>
          <w:sz w:val="24"/>
          <w:szCs w:val="24"/>
          <w:lang w:val="en-US"/>
        </w:rPr>
        <w:t>Michael Snyder, The American Dream</w:t>
      </w:r>
      <w:r>
        <w:rPr>
          <w:rFonts w:ascii="Times New Roman" w:hAnsi="Times New Roman"/>
          <w:sz w:val="24"/>
          <w:szCs w:val="24"/>
          <w:lang w:val="en-US"/>
        </w:rPr>
        <w:t>)</w:t>
      </w:r>
    </w:p>
    <w:p w:rsidR="00B664AF" w:rsidRPr="00C213EA" w:rsidRDefault="00B664AF" w:rsidP="00387350">
      <w:pPr>
        <w:pStyle w:val="NormalWeb"/>
        <w:jc w:val="both"/>
        <w:rPr>
          <w:color w:val="000000"/>
          <w:lang w:val="en-US"/>
        </w:rPr>
      </w:pPr>
      <w:r w:rsidRPr="00C213EA">
        <w:rPr>
          <w:color w:val="000000"/>
          <w:lang w:val="en-US"/>
        </w:rPr>
        <w:t>The U.S. middle class is being shredded, ripped apar</w:t>
      </w:r>
      <w:r>
        <w:rPr>
          <w:color w:val="000000"/>
          <w:lang w:val="en-US"/>
        </w:rPr>
        <w:t xml:space="preserve">t and systematically wiped out. </w:t>
      </w:r>
      <w:r w:rsidRPr="00C213EA">
        <w:rPr>
          <w:color w:val="000000"/>
          <w:lang w:val="en-US"/>
        </w:rPr>
        <w:t xml:space="preserve">If you doubt this, just </w:t>
      </w:r>
      <w:r>
        <w:rPr>
          <w:color w:val="000000"/>
          <w:lang w:val="en-US"/>
        </w:rPr>
        <w:t xml:space="preserve">check out the statistics below. </w:t>
      </w:r>
      <w:r w:rsidRPr="00C213EA">
        <w:rPr>
          <w:color w:val="000000"/>
          <w:lang w:val="en-US"/>
        </w:rPr>
        <w:t xml:space="preserve">The American Dream is being transformed into an absolute nightmare. Once upon a time, the rest of the world knew that most Americans were able to live a middle class lifestyle. Most American families had nice homes, most American families had a car or two, most American families had nice clothes, most American families had an overabundance of food and most American families could even look forward to sending their children to college if that is what the kids wanted to do. There was an implicit promise that this was the way that it was always going to be. Most of us grew up believing that if we worked really hard in school and that if we stayed out of trouble and </w:t>
      </w:r>
      <w:r>
        <w:rPr>
          <w:color w:val="000000"/>
          <w:lang w:val="en-US"/>
        </w:rPr>
        <w:t>that if we did everything that “the system”</w:t>
      </w:r>
      <w:r w:rsidRPr="00C213EA">
        <w:rPr>
          <w:color w:val="000000"/>
          <w:lang w:val="en-US"/>
        </w:rPr>
        <w:t xml:space="preserve"> told us to do that there would be a place for us in the middle clas</w:t>
      </w:r>
      <w:r>
        <w:rPr>
          <w:color w:val="000000"/>
          <w:lang w:val="en-US"/>
        </w:rPr>
        <w:t>s too. Well, it turns out that “the system”</w:t>
      </w:r>
      <w:r w:rsidRPr="00C213EA">
        <w:rPr>
          <w:color w:val="000000"/>
          <w:lang w:val="en-US"/>
        </w:rPr>
        <w:t xml:space="preserve"> is breaking down. There aren't enough good jobs for all of us anymore. In fact, there aren't very many crappy jobs either. Millions are out of work, millions have lost their homes and nearly all of the long-term economic trends just keep getting worse and worse. So is there any hope for the U.S. middle class?</w:t>
      </w:r>
    </w:p>
    <w:p w:rsidR="00B664AF" w:rsidRPr="00C213EA" w:rsidRDefault="00B664AF" w:rsidP="00387350">
      <w:pPr>
        <w:pStyle w:val="NormalWeb"/>
        <w:jc w:val="both"/>
        <w:rPr>
          <w:color w:val="000000"/>
          <w:lang w:val="en-US"/>
        </w:rPr>
      </w:pPr>
      <w:r w:rsidRPr="00C213EA">
        <w:rPr>
          <w:color w:val="000000"/>
          <w:lang w:val="en-US"/>
        </w:rPr>
        <w:t>No, there is not.</w:t>
      </w:r>
    </w:p>
    <w:p w:rsidR="00B664AF" w:rsidRPr="00C213EA" w:rsidRDefault="00B664AF" w:rsidP="00387350">
      <w:pPr>
        <w:pStyle w:val="NormalWeb"/>
        <w:jc w:val="both"/>
        <w:rPr>
          <w:color w:val="000000"/>
          <w:lang w:val="en-US"/>
        </w:rPr>
      </w:pPr>
      <w:r w:rsidRPr="00C213EA">
        <w:rPr>
          <w:color w:val="000000"/>
          <w:lang w:val="en-US"/>
        </w:rPr>
        <w:t>Unless fundamental changes are made economically, financially and politically, the long-term trends that are destroying the U.S. middle class will continue to do so.</w:t>
      </w:r>
    </w:p>
    <w:p w:rsidR="00B664AF" w:rsidRPr="00C213EA" w:rsidRDefault="00B664AF" w:rsidP="00387350">
      <w:pPr>
        <w:pStyle w:val="NormalWeb"/>
        <w:jc w:val="both"/>
        <w:rPr>
          <w:color w:val="000000"/>
          <w:lang w:val="en-US"/>
        </w:rPr>
      </w:pPr>
      <w:r w:rsidRPr="00C213EA">
        <w:rPr>
          <w:color w:val="000000"/>
          <w:lang w:val="en-US"/>
        </w:rPr>
        <w:t xml:space="preserve">The number of good jobs has been declining for a long time. The good jobs that have been lost are being replaced by </w:t>
      </w:r>
      <w:r>
        <w:rPr>
          <w:color w:val="000000"/>
          <w:lang w:val="en-US"/>
        </w:rPr>
        <w:t>a smaller number of low paying “service jobs”</w:t>
      </w:r>
      <w:r w:rsidRPr="00C213EA">
        <w:rPr>
          <w:color w:val="000000"/>
          <w:lang w:val="en-US"/>
        </w:rPr>
        <w:t>.</w:t>
      </w:r>
    </w:p>
    <w:p w:rsidR="00B664AF" w:rsidRPr="00C213EA" w:rsidRDefault="00B664AF" w:rsidP="00387350">
      <w:pPr>
        <w:pStyle w:val="NormalWeb"/>
        <w:jc w:val="both"/>
        <w:rPr>
          <w:color w:val="000000"/>
          <w:lang w:val="en-US"/>
        </w:rPr>
      </w:pPr>
      <w:r w:rsidRPr="00C213EA">
        <w:rPr>
          <w:color w:val="000000"/>
          <w:lang w:val="en-US"/>
        </w:rPr>
        <w:t>Meanwhile, the cost of everything is going up. It is getting really hard for American families to be able to afford to put food on the table and to put gas in the tank. Health care costs are absolutely outrageous and college tuition is now out of reach for millions of American families.</w:t>
      </w:r>
    </w:p>
    <w:p w:rsidR="00B664AF" w:rsidRPr="00C213EA" w:rsidRDefault="00B664AF" w:rsidP="00387350">
      <w:pPr>
        <w:pStyle w:val="NormalWeb"/>
        <w:jc w:val="both"/>
        <w:rPr>
          <w:color w:val="000000"/>
          <w:lang w:val="en-US"/>
        </w:rPr>
      </w:pPr>
      <w:r w:rsidRPr="00C213EA">
        <w:rPr>
          <w:color w:val="000000"/>
          <w:lang w:val="en-US"/>
        </w:rPr>
        <w:t>Every single month more American families fall out of the middle class. Today there are 18 million more Americans on food stamps than there were just four years ago. More than one out of every five U.S. children is living in poverty. Things are getting really, really bad out there.</w:t>
      </w:r>
    </w:p>
    <w:p w:rsidR="00B664AF" w:rsidRPr="00C213EA" w:rsidRDefault="00B664AF" w:rsidP="00387350">
      <w:pPr>
        <w:pStyle w:val="NormalWeb"/>
        <w:jc w:val="both"/>
        <w:rPr>
          <w:color w:val="000000"/>
          <w:lang w:val="en-US"/>
        </w:rPr>
      </w:pPr>
      <w:r w:rsidRPr="00C213EA">
        <w:rPr>
          <w:color w:val="000000"/>
          <w:lang w:val="en-US"/>
        </w:rPr>
        <w:t>The following are 36 statistics which prove that the American Dream is turning into an absolute nightmare for the middle class....</w:t>
      </w:r>
    </w:p>
    <w:p w:rsidR="00B664AF" w:rsidRPr="00C213EA" w:rsidRDefault="00B664AF" w:rsidP="00387350">
      <w:pPr>
        <w:pStyle w:val="NormalWeb"/>
        <w:jc w:val="both"/>
        <w:rPr>
          <w:color w:val="000000"/>
          <w:lang w:val="en-US"/>
        </w:rPr>
      </w:pPr>
      <w:r w:rsidRPr="00C213EA">
        <w:rPr>
          <w:rStyle w:val="Textoennegrita"/>
          <w:color w:val="000000"/>
          <w:lang w:val="en-US"/>
        </w:rPr>
        <w:t>#1</w:t>
      </w:r>
      <w:r w:rsidRPr="00C213EA">
        <w:rPr>
          <w:color w:val="000000"/>
          <w:lang w:val="en-US"/>
        </w:rPr>
        <w:t xml:space="preserve"> The competition for decent jobs in America has gotten absolutely insane. There have been reports of people actually getting down on their knees and begging for jobs. Many Americans are starting to wonder if they will ever get a decent job again. According to the U.S. Bureau of Labor Statistics, the average duration of unemployment in the United States is now </w:t>
      </w:r>
      <w:hyperlink r:id="rId216" w:tgtFrame="_blank" w:tooltip="an all-time record 39 weeks" w:history="1">
        <w:r w:rsidRPr="00C213EA">
          <w:rPr>
            <w:rStyle w:val="Hipervnculo"/>
            <w:rFonts w:eastAsiaTheme="majorEastAsia"/>
            <w:lang w:val="en-US"/>
          </w:rPr>
          <w:t>an all-time record 39 weeks</w:t>
        </w:r>
      </w:hyperlink>
      <w:r w:rsidRPr="00C213EA">
        <w:rPr>
          <w:color w:val="000000"/>
          <w:lang w:val="en-US"/>
        </w:rPr>
        <w:t>....</w:t>
      </w:r>
    </w:p>
    <w:p w:rsidR="00B664AF" w:rsidRPr="00C213EA" w:rsidRDefault="00B664AF" w:rsidP="00387350">
      <w:pPr>
        <w:pStyle w:val="NormalWeb"/>
        <w:jc w:val="both"/>
        <w:rPr>
          <w:color w:val="000000"/>
        </w:rPr>
      </w:pPr>
      <w:r>
        <w:rPr>
          <w:b/>
          <w:bCs/>
          <w:noProof/>
          <w:color w:val="4F809E"/>
        </w:rPr>
        <w:lastRenderedPageBreak/>
        <w:drawing>
          <wp:inline distT="0" distB="0" distL="0" distR="0" wp14:anchorId="4B58AEDF" wp14:editId="243973E2">
            <wp:extent cx="4198620" cy="2523490"/>
            <wp:effectExtent l="0" t="0" r="0" b="0"/>
            <wp:docPr id="89" name="Imagen 89" descr="Duration-Of-Unemployment">
              <a:hlinkClick xmlns:a="http://schemas.openxmlformats.org/drawingml/2006/main" r:id="rId2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ration-Of-Unemployment"/>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198620" cy="2523490"/>
                    </a:xfrm>
                    <a:prstGeom prst="rect">
                      <a:avLst/>
                    </a:prstGeom>
                    <a:noFill/>
                    <a:ln>
                      <a:noFill/>
                    </a:ln>
                  </pic:spPr>
                </pic:pic>
              </a:graphicData>
            </a:graphic>
          </wp:inline>
        </w:drawing>
      </w:r>
    </w:p>
    <w:p w:rsidR="00B664AF" w:rsidRPr="00C213EA" w:rsidRDefault="00B664AF" w:rsidP="00387350">
      <w:pPr>
        <w:pStyle w:val="NormalWeb"/>
        <w:jc w:val="both"/>
        <w:rPr>
          <w:color w:val="000000"/>
          <w:lang w:val="en-US"/>
        </w:rPr>
      </w:pPr>
      <w:r w:rsidRPr="00C213EA">
        <w:rPr>
          <w:rStyle w:val="Textoennegrita"/>
          <w:color w:val="000000"/>
          <w:lang w:val="en-US"/>
        </w:rPr>
        <w:t>#2</w:t>
      </w:r>
      <w:r w:rsidRPr="00C213EA">
        <w:rPr>
          <w:color w:val="000000"/>
          <w:lang w:val="en-US"/>
        </w:rPr>
        <w:t xml:space="preserve"> According to the Wall Street Journal, there are </w:t>
      </w:r>
      <w:hyperlink r:id="rId219" w:tgtFrame="_blank" w:tooltip="5.5 million Americans" w:history="1">
        <w:r w:rsidRPr="00C213EA">
          <w:rPr>
            <w:rStyle w:val="Hipervnculo"/>
            <w:rFonts w:eastAsiaTheme="majorEastAsia"/>
            <w:lang w:val="en-US"/>
          </w:rPr>
          <w:t>5.5 million Americans</w:t>
        </w:r>
      </w:hyperlink>
      <w:r w:rsidRPr="00C213EA">
        <w:rPr>
          <w:color w:val="000000"/>
          <w:lang w:val="en-US"/>
        </w:rPr>
        <w:t xml:space="preserve"> that are unemployed and yet are </w:t>
      </w:r>
      <w:r w:rsidRPr="00B664AF">
        <w:rPr>
          <w:rStyle w:val="Textoennegrita"/>
          <w:b w:val="0"/>
          <w:color w:val="000000"/>
          <w:lang w:val="en-US"/>
        </w:rPr>
        <w:t>not</w:t>
      </w:r>
      <w:r w:rsidRPr="00C213EA">
        <w:rPr>
          <w:color w:val="000000"/>
          <w:lang w:val="en-US"/>
        </w:rPr>
        <w:t xml:space="preserve"> receiving unemployment benefits.</w:t>
      </w:r>
    </w:p>
    <w:p w:rsidR="00B664AF" w:rsidRPr="00C213EA" w:rsidRDefault="00B664AF" w:rsidP="00387350">
      <w:pPr>
        <w:pStyle w:val="NormalWeb"/>
        <w:jc w:val="both"/>
        <w:rPr>
          <w:color w:val="000000"/>
          <w:lang w:val="en-US"/>
        </w:rPr>
      </w:pPr>
      <w:r w:rsidRPr="00C213EA">
        <w:rPr>
          <w:rStyle w:val="Textoennegrita"/>
          <w:color w:val="000000"/>
          <w:lang w:val="en-US"/>
        </w:rPr>
        <w:t>#3</w:t>
      </w:r>
      <w:r>
        <w:rPr>
          <w:color w:val="000000"/>
          <w:lang w:val="en-US"/>
        </w:rPr>
        <w:t xml:space="preserve"> The number of “low income jobs”</w:t>
      </w:r>
      <w:r w:rsidRPr="00C213EA">
        <w:rPr>
          <w:color w:val="000000"/>
          <w:lang w:val="en-US"/>
        </w:rPr>
        <w:t xml:space="preserve"> in the U.S. has risen steadily over the past 30 years and they now account for </w:t>
      </w:r>
      <w:hyperlink r:id="rId220" w:anchor="-6" w:tgtFrame="_blank" w:tooltip="41 percent" w:history="1">
        <w:r w:rsidRPr="00C213EA">
          <w:rPr>
            <w:rStyle w:val="Hipervnculo"/>
            <w:rFonts w:eastAsiaTheme="majorEastAsia"/>
            <w:lang w:val="en-US"/>
          </w:rPr>
          <w:t>41 percent</w:t>
        </w:r>
      </w:hyperlink>
      <w:r w:rsidRPr="00C213EA">
        <w:rPr>
          <w:color w:val="000000"/>
          <w:lang w:val="en-US"/>
        </w:rPr>
        <w:t xml:space="preserve"> of all jobs in the United States.</w:t>
      </w:r>
    </w:p>
    <w:p w:rsidR="00B664AF" w:rsidRPr="00C213EA" w:rsidRDefault="00B664AF" w:rsidP="00387350">
      <w:pPr>
        <w:pStyle w:val="NormalWeb"/>
        <w:jc w:val="both"/>
        <w:rPr>
          <w:color w:val="000000"/>
          <w:lang w:val="en-US"/>
        </w:rPr>
      </w:pPr>
      <w:r w:rsidRPr="00C213EA">
        <w:rPr>
          <w:rStyle w:val="Textoennegrita"/>
          <w:color w:val="000000"/>
          <w:lang w:val="en-US"/>
        </w:rPr>
        <w:t>#4</w:t>
      </w:r>
      <w:r w:rsidRPr="00C213EA">
        <w:rPr>
          <w:color w:val="000000"/>
          <w:lang w:val="en-US"/>
        </w:rPr>
        <w:t xml:space="preserve"> Only </w:t>
      </w:r>
      <w:hyperlink r:id="rId221" w:tgtFrame="_blank" w:tooltip="66.8%" w:history="1">
        <w:r w:rsidRPr="00C213EA">
          <w:rPr>
            <w:rStyle w:val="Hipervnculo"/>
            <w:rFonts w:eastAsiaTheme="majorEastAsia"/>
            <w:lang w:val="en-US"/>
          </w:rPr>
          <w:t>66.8%</w:t>
        </w:r>
      </w:hyperlink>
      <w:r w:rsidRPr="00C213EA">
        <w:rPr>
          <w:color w:val="000000"/>
          <w:lang w:val="en-US"/>
        </w:rPr>
        <w:t xml:space="preserve"> of American men had a job last year. That was the lowest level that has ever been recorded in all of U.S. history.</w:t>
      </w:r>
    </w:p>
    <w:p w:rsidR="00B664AF" w:rsidRPr="00C213EA" w:rsidRDefault="00B664AF" w:rsidP="00387350">
      <w:pPr>
        <w:pStyle w:val="NormalWeb"/>
        <w:jc w:val="both"/>
        <w:rPr>
          <w:color w:val="000000"/>
          <w:lang w:val="en-US"/>
        </w:rPr>
      </w:pPr>
      <w:r w:rsidRPr="00C213EA">
        <w:rPr>
          <w:rStyle w:val="Textoennegrita"/>
          <w:color w:val="000000"/>
          <w:lang w:val="en-US"/>
        </w:rPr>
        <w:t>#5</w:t>
      </w:r>
      <w:r w:rsidRPr="00C213EA">
        <w:rPr>
          <w:color w:val="000000"/>
          <w:lang w:val="en-US"/>
        </w:rPr>
        <w:t xml:space="preserve"> Once upon a time, anyone could get hired at McDonald's. But today McDonald's turns away a higher percentage of applicants than Harvard does. Approximately </w:t>
      </w:r>
      <w:hyperlink r:id="rId222" w:tgtFrame="_blank" w:tooltip="7 percent" w:history="1">
        <w:r w:rsidRPr="00C213EA">
          <w:rPr>
            <w:rStyle w:val="Hipervnculo"/>
            <w:rFonts w:eastAsiaTheme="majorEastAsia"/>
            <w:lang w:val="en-US"/>
          </w:rPr>
          <w:t>7 percent</w:t>
        </w:r>
      </w:hyperlink>
      <w:r w:rsidRPr="00C213EA">
        <w:rPr>
          <w:color w:val="000000"/>
          <w:lang w:val="en-US"/>
        </w:rPr>
        <w:t xml:space="preserve"> of all those that apply to get into Harvard are accepted. At a recent "National Hiring Day" held by McDonald's only </w:t>
      </w:r>
      <w:hyperlink r:id="rId223" w:tgtFrame="_blank" w:tooltip="about 6.2 percent" w:history="1">
        <w:r w:rsidRPr="00C213EA">
          <w:rPr>
            <w:rStyle w:val="Hipervnculo"/>
            <w:rFonts w:eastAsiaTheme="majorEastAsia"/>
            <w:lang w:val="en-US"/>
          </w:rPr>
          <w:t>about 6.2 percent</w:t>
        </w:r>
      </w:hyperlink>
      <w:r w:rsidRPr="00C213EA">
        <w:rPr>
          <w:color w:val="000000"/>
          <w:lang w:val="en-US"/>
        </w:rPr>
        <w:t xml:space="preserve"> of the one million Americans that applied for a job were hired.</w:t>
      </w:r>
    </w:p>
    <w:p w:rsidR="00B664AF" w:rsidRPr="00C213EA" w:rsidRDefault="00B664AF" w:rsidP="00387350">
      <w:pPr>
        <w:pStyle w:val="NormalWeb"/>
        <w:jc w:val="both"/>
        <w:rPr>
          <w:color w:val="000000"/>
          <w:lang w:val="en-US"/>
        </w:rPr>
      </w:pPr>
      <w:r w:rsidRPr="00C213EA">
        <w:rPr>
          <w:rStyle w:val="Textoennegrita"/>
          <w:color w:val="000000"/>
          <w:lang w:val="en-US"/>
        </w:rPr>
        <w:t>#6</w:t>
      </w:r>
      <w:r w:rsidRPr="00C213EA">
        <w:rPr>
          <w:color w:val="000000"/>
          <w:lang w:val="en-US"/>
        </w:rPr>
        <w:t xml:space="preserve"> There are now about </w:t>
      </w:r>
      <w:hyperlink r:id="rId224" w:tgtFrame="_blank" w:tooltip="7.25 million fewer jobs" w:history="1">
        <w:r w:rsidRPr="00C213EA">
          <w:rPr>
            <w:rStyle w:val="Hipervnculo"/>
            <w:rFonts w:eastAsiaTheme="majorEastAsia"/>
            <w:lang w:val="en-US"/>
          </w:rPr>
          <w:t>7.25 million fewer jobs</w:t>
        </w:r>
      </w:hyperlink>
      <w:r w:rsidRPr="00C213EA">
        <w:rPr>
          <w:color w:val="000000"/>
          <w:lang w:val="en-US"/>
        </w:rPr>
        <w:t xml:space="preserve"> in America than when the recession began back in 2007.</w:t>
      </w:r>
    </w:p>
    <w:p w:rsidR="00B664AF" w:rsidRPr="00C213EA" w:rsidRDefault="00B664AF" w:rsidP="00387350">
      <w:pPr>
        <w:pStyle w:val="NormalWeb"/>
        <w:jc w:val="both"/>
        <w:rPr>
          <w:color w:val="000000"/>
          <w:lang w:val="en-US"/>
        </w:rPr>
      </w:pPr>
      <w:r w:rsidRPr="00C213EA">
        <w:rPr>
          <w:rStyle w:val="Textoennegrita"/>
          <w:color w:val="000000"/>
          <w:lang w:val="en-US"/>
        </w:rPr>
        <w:t>#7</w:t>
      </w:r>
      <w:r w:rsidRPr="00C213EA">
        <w:rPr>
          <w:color w:val="000000"/>
          <w:lang w:val="en-US"/>
        </w:rPr>
        <w:t xml:space="preserve"> The United States has lost an average of about 50,000 </w:t>
      </w:r>
      <w:hyperlink r:id="rId225" w:tgtFrame="_blank" w:tooltip="manufacturing jobs" w:history="1">
        <w:r w:rsidRPr="00C213EA">
          <w:rPr>
            <w:rStyle w:val="Hipervnculo"/>
            <w:rFonts w:eastAsiaTheme="majorEastAsia"/>
            <w:lang w:val="en-US"/>
          </w:rPr>
          <w:t>manufacturing jobs</w:t>
        </w:r>
      </w:hyperlink>
      <w:r w:rsidRPr="00C213EA">
        <w:rPr>
          <w:color w:val="000000"/>
          <w:lang w:val="en-US"/>
        </w:rPr>
        <w:t xml:space="preserve"> </w:t>
      </w:r>
      <w:r w:rsidRPr="004D13CE">
        <w:rPr>
          <w:rStyle w:val="nfasis"/>
          <w:i w:val="0"/>
          <w:color w:val="000000"/>
          <w:lang w:val="en-US"/>
        </w:rPr>
        <w:t>per month</w:t>
      </w:r>
      <w:r w:rsidRPr="00C213EA">
        <w:rPr>
          <w:color w:val="000000"/>
          <w:lang w:val="en-US"/>
        </w:rPr>
        <w:t xml:space="preserve"> since China joined the World Trade Organization in 2001.</w:t>
      </w:r>
    </w:p>
    <w:p w:rsidR="00B664AF" w:rsidRPr="00C213EA" w:rsidRDefault="00B664AF" w:rsidP="00387350">
      <w:pPr>
        <w:pStyle w:val="NormalWeb"/>
        <w:jc w:val="both"/>
        <w:rPr>
          <w:color w:val="000000"/>
          <w:lang w:val="en-US"/>
        </w:rPr>
      </w:pPr>
      <w:r w:rsidRPr="00C213EA">
        <w:rPr>
          <w:rStyle w:val="Textoennegrita"/>
          <w:color w:val="000000"/>
          <w:lang w:val="en-US"/>
        </w:rPr>
        <w:t>#8</w:t>
      </w:r>
      <w:r w:rsidRPr="00C213EA">
        <w:rPr>
          <w:color w:val="000000"/>
          <w:lang w:val="en-US"/>
        </w:rPr>
        <w:t xml:space="preserve"> A New York post analysis has found that the rate of inflation in New York City has been </w:t>
      </w:r>
      <w:hyperlink r:id="rId226" w:tgtFrame="_blank" w:tooltip="about 14 percent" w:history="1">
        <w:r w:rsidRPr="00C213EA">
          <w:rPr>
            <w:rStyle w:val="Hipervnculo"/>
            <w:rFonts w:eastAsiaTheme="majorEastAsia"/>
            <w:lang w:val="en-US"/>
          </w:rPr>
          <w:t>about 14 percent</w:t>
        </w:r>
      </w:hyperlink>
      <w:r w:rsidRPr="00C213EA">
        <w:rPr>
          <w:color w:val="000000"/>
          <w:lang w:val="en-US"/>
        </w:rPr>
        <w:t xml:space="preserve"> over the past year.</w:t>
      </w:r>
    </w:p>
    <w:p w:rsidR="00B664AF" w:rsidRPr="00C213EA" w:rsidRDefault="00B664AF" w:rsidP="00387350">
      <w:pPr>
        <w:pStyle w:val="NormalWeb"/>
        <w:jc w:val="both"/>
        <w:rPr>
          <w:color w:val="000000"/>
          <w:lang w:val="en-US"/>
        </w:rPr>
      </w:pPr>
      <w:r w:rsidRPr="00C213EA">
        <w:rPr>
          <w:rStyle w:val="Textoennegrita"/>
          <w:color w:val="000000"/>
          <w:lang w:val="en-US"/>
        </w:rPr>
        <w:t>#9</w:t>
      </w:r>
      <w:r w:rsidRPr="00C213EA">
        <w:rPr>
          <w:color w:val="000000"/>
          <w:lang w:val="en-US"/>
        </w:rPr>
        <w:t xml:space="preserve"> The average price of a gallon of gasoline in the United States is now up to </w:t>
      </w:r>
      <w:hyperlink r:id="rId227" w:tgtFrame="_blank" w:tooltip="$3.91 a gallon" w:history="1">
        <w:r w:rsidRPr="00C213EA">
          <w:rPr>
            <w:rStyle w:val="Hipervnculo"/>
            <w:rFonts w:eastAsiaTheme="majorEastAsia"/>
            <w:lang w:val="en-US"/>
          </w:rPr>
          <w:t>$</w:t>
        </w:r>
        <w:r w:rsidR="004D13CE">
          <w:rPr>
            <w:rStyle w:val="Hipervnculo"/>
            <w:rFonts w:eastAsiaTheme="majorEastAsia"/>
            <w:lang w:val="en-US"/>
          </w:rPr>
          <w:t xml:space="preserve"> </w:t>
        </w:r>
        <w:r w:rsidRPr="00C213EA">
          <w:rPr>
            <w:rStyle w:val="Hipervnculo"/>
            <w:rFonts w:eastAsiaTheme="majorEastAsia"/>
            <w:lang w:val="en-US"/>
          </w:rPr>
          <w:t>3.91 a gallon</w:t>
        </w:r>
      </w:hyperlink>
      <w:r w:rsidRPr="00C213EA">
        <w:rPr>
          <w:color w:val="000000"/>
          <w:lang w:val="en-US"/>
        </w:rPr>
        <w:t>.</w:t>
      </w:r>
    </w:p>
    <w:p w:rsidR="00B664AF" w:rsidRPr="00C213EA" w:rsidRDefault="00B664AF" w:rsidP="00387350">
      <w:pPr>
        <w:pStyle w:val="NormalWeb"/>
        <w:jc w:val="both"/>
        <w:rPr>
          <w:color w:val="000000"/>
          <w:lang w:val="en-US"/>
        </w:rPr>
      </w:pPr>
      <w:r w:rsidRPr="00C213EA">
        <w:rPr>
          <w:rStyle w:val="Textoennegrita"/>
          <w:color w:val="000000"/>
          <w:lang w:val="en-US"/>
        </w:rPr>
        <w:t>#10</w:t>
      </w:r>
      <w:r w:rsidRPr="00C213EA">
        <w:rPr>
          <w:color w:val="000000"/>
          <w:lang w:val="en-US"/>
        </w:rPr>
        <w:t xml:space="preserve"> Over the past 12 months the average price of gasoline in the United States has gone up </w:t>
      </w:r>
      <w:hyperlink r:id="rId228" w:tgtFrame="_blank" w:tooltip="by about 30%" w:history="1">
        <w:r w:rsidRPr="00C213EA">
          <w:rPr>
            <w:rStyle w:val="Hipervnculo"/>
            <w:rFonts w:eastAsiaTheme="majorEastAsia"/>
            <w:lang w:val="en-US"/>
          </w:rPr>
          <w:t>by about 30%</w:t>
        </w:r>
      </w:hyperlink>
      <w:r w:rsidRPr="00C213EA">
        <w:rPr>
          <w:color w:val="000000"/>
          <w:lang w:val="en-US"/>
        </w:rPr>
        <w:t>.</w:t>
      </w:r>
    </w:p>
    <w:p w:rsidR="00B664AF" w:rsidRPr="00C213EA" w:rsidRDefault="00B664AF" w:rsidP="00387350">
      <w:pPr>
        <w:pStyle w:val="NormalWeb"/>
        <w:jc w:val="both"/>
        <w:rPr>
          <w:color w:val="000000"/>
          <w:lang w:val="en-US"/>
        </w:rPr>
      </w:pPr>
      <w:r w:rsidRPr="00C213EA">
        <w:rPr>
          <w:rStyle w:val="Textoennegrita"/>
          <w:color w:val="000000"/>
          <w:lang w:val="en-US"/>
        </w:rPr>
        <w:t>#11</w:t>
      </w:r>
      <w:r w:rsidRPr="00C213EA">
        <w:rPr>
          <w:color w:val="000000"/>
          <w:lang w:val="en-US"/>
        </w:rPr>
        <w:t xml:space="preserve"> Spending on energy now accounts for more than 6 percent of all consumer spending. Every time this has happened since 1970 </w:t>
      </w:r>
      <w:hyperlink r:id="rId229" w:tgtFrame="_blank" w:tooltip="we have also had a recession that followed" w:history="1">
        <w:r w:rsidRPr="00C213EA">
          <w:rPr>
            <w:rStyle w:val="Hipervnculo"/>
            <w:rFonts w:eastAsiaTheme="majorEastAsia"/>
            <w:lang w:val="en-US"/>
          </w:rPr>
          <w:t>we have also had a recession that followed</w:t>
        </w:r>
      </w:hyperlink>
      <w:r w:rsidRPr="00C213EA">
        <w:rPr>
          <w:color w:val="000000"/>
          <w:lang w:val="en-US"/>
        </w:rPr>
        <w:t>.</w:t>
      </w:r>
    </w:p>
    <w:p w:rsidR="00B664AF" w:rsidRPr="00C213EA" w:rsidRDefault="00B664AF" w:rsidP="00387350">
      <w:pPr>
        <w:pStyle w:val="NormalWeb"/>
        <w:jc w:val="both"/>
        <w:rPr>
          <w:color w:val="000000"/>
          <w:lang w:val="en-US"/>
        </w:rPr>
      </w:pPr>
      <w:r w:rsidRPr="00C213EA">
        <w:rPr>
          <w:rStyle w:val="Textoennegrita"/>
          <w:color w:val="000000"/>
          <w:lang w:val="en-US"/>
        </w:rPr>
        <w:lastRenderedPageBreak/>
        <w:t>#12</w:t>
      </w:r>
      <w:r w:rsidRPr="00C213EA">
        <w:rPr>
          <w:color w:val="000000"/>
          <w:lang w:val="en-US"/>
        </w:rPr>
        <w:t xml:space="preserve"> The average American driver will spend somewhere around </w:t>
      </w:r>
      <w:hyperlink r:id="rId230" w:tgtFrame="_blank" w:tooltip="$750 more" w:history="1">
        <w:r w:rsidRPr="00C213EA">
          <w:rPr>
            <w:rStyle w:val="Hipervnculo"/>
            <w:rFonts w:eastAsiaTheme="majorEastAsia"/>
            <w:lang w:val="en-US"/>
          </w:rPr>
          <w:t>$</w:t>
        </w:r>
        <w:r w:rsidR="004D13CE">
          <w:rPr>
            <w:rStyle w:val="Hipervnculo"/>
            <w:rFonts w:eastAsiaTheme="majorEastAsia"/>
            <w:lang w:val="en-US"/>
          </w:rPr>
          <w:t xml:space="preserve"> </w:t>
        </w:r>
        <w:r w:rsidRPr="00C213EA">
          <w:rPr>
            <w:rStyle w:val="Hipervnculo"/>
            <w:rFonts w:eastAsiaTheme="majorEastAsia"/>
            <w:lang w:val="en-US"/>
          </w:rPr>
          <w:t>750 more</w:t>
        </w:r>
      </w:hyperlink>
      <w:r w:rsidRPr="00C213EA">
        <w:rPr>
          <w:color w:val="000000"/>
          <w:lang w:val="en-US"/>
        </w:rPr>
        <w:t xml:space="preserve"> for gasoline in 2011. Unfortunately, it seems likely that the price of oil is going to go up even higher. Already the price of oil is closing in on the all-time record....</w:t>
      </w:r>
    </w:p>
    <w:p w:rsidR="00B664AF" w:rsidRPr="00C213EA" w:rsidRDefault="00B664AF" w:rsidP="00387350">
      <w:pPr>
        <w:pStyle w:val="NormalWeb"/>
        <w:jc w:val="both"/>
        <w:rPr>
          <w:color w:val="000000"/>
        </w:rPr>
      </w:pPr>
      <w:r>
        <w:rPr>
          <w:b/>
          <w:bCs/>
          <w:noProof/>
          <w:color w:val="4F809E"/>
        </w:rPr>
        <w:drawing>
          <wp:inline distT="0" distB="0" distL="0" distR="0" wp14:anchorId="4B1F7AE5" wp14:editId="11BA7C36">
            <wp:extent cx="4198620" cy="2523490"/>
            <wp:effectExtent l="0" t="0" r="0" b="0"/>
            <wp:docPr id="455" name="Imagen 455" descr="Oil-Price">
              <a:hlinkClick xmlns:a="http://schemas.openxmlformats.org/drawingml/2006/main" r:id="rId2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il-Price"/>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198620" cy="2523490"/>
                    </a:xfrm>
                    <a:prstGeom prst="rect">
                      <a:avLst/>
                    </a:prstGeom>
                    <a:noFill/>
                    <a:ln>
                      <a:noFill/>
                    </a:ln>
                  </pic:spPr>
                </pic:pic>
              </a:graphicData>
            </a:graphic>
          </wp:inline>
        </w:drawing>
      </w:r>
    </w:p>
    <w:p w:rsidR="00B664AF" w:rsidRPr="00C213EA" w:rsidRDefault="00B664AF" w:rsidP="00387350">
      <w:pPr>
        <w:pStyle w:val="NormalWeb"/>
        <w:jc w:val="both"/>
        <w:rPr>
          <w:color w:val="000000"/>
          <w:lang w:val="en-US"/>
        </w:rPr>
      </w:pPr>
      <w:r w:rsidRPr="00C213EA">
        <w:rPr>
          <w:rStyle w:val="Textoennegrita"/>
          <w:color w:val="000000"/>
          <w:lang w:val="en-US"/>
        </w:rPr>
        <w:t>#13</w:t>
      </w:r>
      <w:r w:rsidRPr="00C213EA">
        <w:rPr>
          <w:color w:val="000000"/>
          <w:lang w:val="en-US"/>
        </w:rPr>
        <w:t xml:space="preserve"> In the United States, </w:t>
      </w:r>
      <w:hyperlink r:id="rId233" w:tgtFrame="_blank" w:tooltip="over 20 percent" w:history="1">
        <w:r w:rsidRPr="00C213EA">
          <w:rPr>
            <w:rStyle w:val="Hipervnculo"/>
            <w:rFonts w:eastAsiaTheme="majorEastAsia"/>
            <w:lang w:val="en-US"/>
          </w:rPr>
          <w:t>over 20 percent</w:t>
        </w:r>
      </w:hyperlink>
      <w:r w:rsidRPr="00C213EA">
        <w:rPr>
          <w:color w:val="000000"/>
          <w:lang w:val="en-US"/>
        </w:rPr>
        <w:t xml:space="preserve"> of all children are living in poverty. In the UK and in France that figure is well under 10 percent.</w:t>
      </w:r>
    </w:p>
    <w:p w:rsidR="00B664AF" w:rsidRPr="00C213EA" w:rsidRDefault="00B664AF" w:rsidP="00387350">
      <w:pPr>
        <w:pStyle w:val="NormalWeb"/>
        <w:jc w:val="both"/>
        <w:rPr>
          <w:color w:val="000000"/>
          <w:lang w:val="en-US"/>
        </w:rPr>
      </w:pPr>
      <w:r w:rsidRPr="00C213EA">
        <w:rPr>
          <w:rStyle w:val="Textoennegrita"/>
          <w:color w:val="000000"/>
          <w:lang w:val="en-US"/>
        </w:rPr>
        <w:t>#14</w:t>
      </w:r>
      <w:r w:rsidRPr="00C213EA">
        <w:rPr>
          <w:color w:val="000000"/>
          <w:lang w:val="en-US"/>
        </w:rPr>
        <w:t xml:space="preserve"> According to the U.S. Census, the number of children living in poverty has gone up </w:t>
      </w:r>
      <w:hyperlink r:id="rId234" w:tgtFrame="_blank" w:tooltip="by about 2 million" w:history="1">
        <w:r w:rsidRPr="00C213EA">
          <w:rPr>
            <w:rStyle w:val="Hipervnculo"/>
            <w:rFonts w:eastAsiaTheme="majorEastAsia"/>
            <w:lang w:val="en-US"/>
          </w:rPr>
          <w:t>by about 2 million</w:t>
        </w:r>
      </w:hyperlink>
      <w:r w:rsidRPr="00C213EA">
        <w:rPr>
          <w:color w:val="000000"/>
          <w:lang w:val="en-US"/>
        </w:rPr>
        <w:t xml:space="preserve"> in just the past 2 years.</w:t>
      </w:r>
    </w:p>
    <w:p w:rsidR="00B664AF" w:rsidRPr="00C213EA" w:rsidRDefault="00B664AF" w:rsidP="00387350">
      <w:pPr>
        <w:pStyle w:val="NormalWeb"/>
        <w:jc w:val="both"/>
        <w:rPr>
          <w:color w:val="000000"/>
          <w:lang w:val="en-US"/>
        </w:rPr>
      </w:pPr>
      <w:r w:rsidRPr="00C213EA">
        <w:rPr>
          <w:rStyle w:val="Textoennegrita"/>
          <w:color w:val="000000"/>
          <w:lang w:val="en-US"/>
        </w:rPr>
        <w:t>#15</w:t>
      </w:r>
      <w:r w:rsidRPr="00C213EA">
        <w:rPr>
          <w:color w:val="000000"/>
          <w:lang w:val="en-US"/>
        </w:rPr>
        <w:t xml:space="preserve"> The wealthiest 1% of all Americans now own </w:t>
      </w:r>
      <w:hyperlink r:id="rId235" w:anchor="half-of-america-owns-25-of-countrys-wealth-the-top-1-owns-a-third-of-it-2" w:tgtFrame="_blank" w:tooltip="more than a third" w:history="1">
        <w:r w:rsidRPr="00C213EA">
          <w:rPr>
            <w:rStyle w:val="Hipervnculo"/>
            <w:rFonts w:eastAsiaTheme="majorEastAsia"/>
            <w:lang w:val="en-US"/>
          </w:rPr>
          <w:t>more than a third</w:t>
        </w:r>
      </w:hyperlink>
      <w:r w:rsidRPr="00C213EA">
        <w:rPr>
          <w:color w:val="000000"/>
          <w:lang w:val="en-US"/>
        </w:rPr>
        <w:t xml:space="preserve"> of all the wealth in the United States.</w:t>
      </w:r>
    </w:p>
    <w:p w:rsidR="00B664AF" w:rsidRPr="00C213EA" w:rsidRDefault="00B664AF" w:rsidP="00387350">
      <w:pPr>
        <w:pStyle w:val="NormalWeb"/>
        <w:jc w:val="both"/>
        <w:rPr>
          <w:color w:val="000000"/>
          <w:lang w:val="en-US"/>
        </w:rPr>
      </w:pPr>
      <w:r w:rsidRPr="00C213EA">
        <w:rPr>
          <w:rStyle w:val="Textoennegrita"/>
          <w:color w:val="000000"/>
          <w:lang w:val="en-US"/>
        </w:rPr>
        <w:t>#16</w:t>
      </w:r>
      <w:r w:rsidRPr="00C213EA">
        <w:rPr>
          <w:color w:val="000000"/>
          <w:lang w:val="en-US"/>
        </w:rPr>
        <w:t xml:space="preserve"> The poorest 50% collectively own </w:t>
      </w:r>
      <w:hyperlink r:id="rId236" w:anchor="half-of-america-owns-25-of-countrys-wealth-the-top-1-owns-a-third-of-it-2" w:tgtFrame="_blank" w:tooltip="just 2.5%" w:history="1">
        <w:r w:rsidRPr="00C213EA">
          <w:rPr>
            <w:rStyle w:val="Hipervnculo"/>
            <w:rFonts w:eastAsiaTheme="majorEastAsia"/>
            <w:lang w:val="en-US"/>
          </w:rPr>
          <w:t>just 2.5%</w:t>
        </w:r>
      </w:hyperlink>
      <w:r w:rsidRPr="00C213EA">
        <w:rPr>
          <w:color w:val="000000"/>
          <w:lang w:val="en-US"/>
        </w:rPr>
        <w:t xml:space="preserve"> of all the wealth in the United States.</w:t>
      </w:r>
    </w:p>
    <w:p w:rsidR="00B664AF" w:rsidRPr="00C213EA" w:rsidRDefault="00B664AF" w:rsidP="00387350">
      <w:pPr>
        <w:pStyle w:val="NormalWeb"/>
        <w:jc w:val="both"/>
        <w:rPr>
          <w:color w:val="000000"/>
          <w:lang w:val="en-US"/>
        </w:rPr>
      </w:pPr>
      <w:r w:rsidRPr="00C213EA">
        <w:rPr>
          <w:rStyle w:val="Textoennegrita"/>
          <w:color w:val="000000"/>
          <w:lang w:val="en-US"/>
        </w:rPr>
        <w:t>#17</w:t>
      </w:r>
      <w:r w:rsidRPr="00C213EA">
        <w:rPr>
          <w:color w:val="000000"/>
          <w:lang w:val="en-US"/>
        </w:rPr>
        <w:t xml:space="preserve"> The wealthiest 1% of all Americans own </w:t>
      </w:r>
      <w:hyperlink r:id="rId237" w:anchor="half-of-america-owns-only-05-of-americas-stocks-and-bonds-the-top-1-owns-more-than-50-3" w:tgtFrame="_blank" w:tooltip="over 50%" w:history="1">
        <w:r w:rsidRPr="00C213EA">
          <w:rPr>
            <w:rStyle w:val="Hipervnculo"/>
            <w:rFonts w:eastAsiaTheme="majorEastAsia"/>
            <w:lang w:val="en-US"/>
          </w:rPr>
          <w:t>over 50%</w:t>
        </w:r>
      </w:hyperlink>
      <w:r w:rsidRPr="00C213EA">
        <w:rPr>
          <w:color w:val="000000"/>
          <w:lang w:val="en-US"/>
        </w:rPr>
        <w:t xml:space="preserve"> of all the stocks and bonds.</w:t>
      </w:r>
    </w:p>
    <w:p w:rsidR="00B664AF" w:rsidRPr="00C213EA" w:rsidRDefault="00B664AF" w:rsidP="00387350">
      <w:pPr>
        <w:pStyle w:val="NormalWeb"/>
        <w:jc w:val="both"/>
        <w:rPr>
          <w:color w:val="000000"/>
          <w:lang w:val="en-US"/>
        </w:rPr>
      </w:pPr>
      <w:r w:rsidRPr="00C213EA">
        <w:rPr>
          <w:rStyle w:val="Textoennegrita"/>
          <w:color w:val="000000"/>
          <w:lang w:val="en-US"/>
        </w:rPr>
        <w:t>#18</w:t>
      </w:r>
      <w:r w:rsidRPr="00C213EA">
        <w:rPr>
          <w:color w:val="000000"/>
          <w:lang w:val="en-US"/>
        </w:rPr>
        <w:t xml:space="preserve"> According to a new report from the AFL-CIO, the average CEO made </w:t>
      </w:r>
      <w:hyperlink r:id="rId238" w:tgtFrame="_blank" w:tooltip="343 times more money" w:history="1">
        <w:r w:rsidRPr="00C213EA">
          <w:rPr>
            <w:rStyle w:val="Hipervnculo"/>
            <w:rFonts w:eastAsiaTheme="majorEastAsia"/>
            <w:lang w:val="en-US"/>
          </w:rPr>
          <w:t>343 times more money</w:t>
        </w:r>
      </w:hyperlink>
      <w:r w:rsidRPr="00C213EA">
        <w:rPr>
          <w:color w:val="000000"/>
          <w:lang w:val="en-US"/>
        </w:rPr>
        <w:t xml:space="preserve"> than the average American did last year.</w:t>
      </w:r>
    </w:p>
    <w:p w:rsidR="00B664AF" w:rsidRPr="00C213EA" w:rsidRDefault="00B664AF" w:rsidP="00387350">
      <w:pPr>
        <w:pStyle w:val="NormalWeb"/>
        <w:jc w:val="both"/>
        <w:rPr>
          <w:color w:val="000000"/>
          <w:lang w:val="en-US"/>
        </w:rPr>
      </w:pPr>
      <w:r w:rsidRPr="00C213EA">
        <w:rPr>
          <w:rStyle w:val="Textoennegrita"/>
          <w:color w:val="000000"/>
          <w:lang w:val="en-US"/>
        </w:rPr>
        <w:t>#19</w:t>
      </w:r>
      <w:r w:rsidRPr="00C213EA">
        <w:rPr>
          <w:color w:val="000000"/>
          <w:lang w:val="en-US"/>
        </w:rPr>
        <w:t xml:space="preserve"> In 1980, government transfer payments accounted for just </w:t>
      </w:r>
      <w:hyperlink r:id="rId239" w:anchor="-9" w:tgtFrame="_blank" w:tooltip="11.7%" w:history="1">
        <w:r w:rsidRPr="00C213EA">
          <w:rPr>
            <w:rStyle w:val="Hipervnculo"/>
            <w:rFonts w:eastAsiaTheme="majorEastAsia"/>
            <w:lang w:val="en-US"/>
          </w:rPr>
          <w:t>11.7%</w:t>
        </w:r>
      </w:hyperlink>
      <w:r w:rsidRPr="00C213EA">
        <w:rPr>
          <w:color w:val="000000"/>
          <w:lang w:val="en-US"/>
        </w:rPr>
        <w:t xml:space="preserve"> of all income. Today, government transfer payments account for 18.4% of all income.</w:t>
      </w:r>
    </w:p>
    <w:p w:rsidR="00B664AF" w:rsidRPr="00C213EA" w:rsidRDefault="00B664AF" w:rsidP="00387350">
      <w:pPr>
        <w:pStyle w:val="NormalWeb"/>
        <w:jc w:val="both"/>
        <w:rPr>
          <w:color w:val="000000"/>
          <w:lang w:val="en-US"/>
        </w:rPr>
      </w:pPr>
      <w:r w:rsidRPr="00C213EA">
        <w:rPr>
          <w:rStyle w:val="Textoennegrita"/>
          <w:color w:val="000000"/>
          <w:lang w:val="en-US"/>
        </w:rPr>
        <w:t>#20</w:t>
      </w:r>
      <w:r w:rsidRPr="00C213EA">
        <w:rPr>
          <w:color w:val="000000"/>
          <w:lang w:val="en-US"/>
        </w:rPr>
        <w:t xml:space="preserve"> U.S. households are now receiving more income from the U.S. government </w:t>
      </w:r>
      <w:hyperlink r:id="rId240" w:tgtFrame="_blank" w:tooltip="than they are paying to the government in taxes" w:history="1">
        <w:r w:rsidRPr="00C213EA">
          <w:rPr>
            <w:rStyle w:val="Hipervnculo"/>
            <w:rFonts w:eastAsiaTheme="majorEastAsia"/>
            <w:lang w:val="en-US"/>
          </w:rPr>
          <w:t>than they are paying to the government in taxes</w:t>
        </w:r>
      </w:hyperlink>
      <w:r w:rsidRPr="00C213EA">
        <w:rPr>
          <w:color w:val="000000"/>
          <w:lang w:val="en-US"/>
        </w:rPr>
        <w:t>.</w:t>
      </w:r>
    </w:p>
    <w:p w:rsidR="00B664AF" w:rsidRPr="00C213EA" w:rsidRDefault="00B664AF" w:rsidP="00387350">
      <w:pPr>
        <w:pStyle w:val="NormalWeb"/>
        <w:jc w:val="both"/>
        <w:rPr>
          <w:color w:val="000000"/>
          <w:lang w:val="en-US"/>
        </w:rPr>
      </w:pPr>
      <w:r w:rsidRPr="00C213EA">
        <w:rPr>
          <w:rStyle w:val="Textoennegrita"/>
          <w:color w:val="000000"/>
          <w:lang w:val="en-US"/>
        </w:rPr>
        <w:t>#21</w:t>
      </w:r>
      <w:r w:rsidRPr="00C213EA">
        <w:rPr>
          <w:color w:val="000000"/>
          <w:lang w:val="en-US"/>
        </w:rPr>
        <w:t xml:space="preserve"> </w:t>
      </w:r>
      <w:hyperlink r:id="rId241" w:tgtFrame="_blank" w:tooltip="59 percent" w:history="1">
        <w:r w:rsidRPr="00C213EA">
          <w:rPr>
            <w:rStyle w:val="Hipervnculo"/>
            <w:rFonts w:eastAsiaTheme="majorEastAsia"/>
            <w:lang w:val="en-US"/>
          </w:rPr>
          <w:t>59 percent</w:t>
        </w:r>
      </w:hyperlink>
      <w:r w:rsidRPr="00C213EA">
        <w:rPr>
          <w:color w:val="000000"/>
          <w:lang w:val="en-US"/>
        </w:rPr>
        <w:t xml:space="preserve"> of all Americans now receive money from the federal government in one form or another.</w:t>
      </w:r>
    </w:p>
    <w:p w:rsidR="00B664AF" w:rsidRPr="00C213EA" w:rsidRDefault="00B664AF" w:rsidP="00387350">
      <w:pPr>
        <w:pStyle w:val="NormalWeb"/>
        <w:jc w:val="both"/>
        <w:rPr>
          <w:color w:val="000000"/>
          <w:lang w:val="en-US"/>
        </w:rPr>
      </w:pPr>
      <w:r w:rsidRPr="00C213EA">
        <w:rPr>
          <w:rStyle w:val="Textoennegrita"/>
          <w:color w:val="000000"/>
          <w:lang w:val="en-US"/>
        </w:rPr>
        <w:t>#22</w:t>
      </w:r>
      <w:r w:rsidRPr="00C213EA">
        <w:rPr>
          <w:color w:val="000000"/>
          <w:lang w:val="en-US"/>
        </w:rPr>
        <w:t xml:space="preserve"> The average cost of tuition, room and board at America's public universities is now </w:t>
      </w:r>
      <w:hyperlink r:id="rId242" w:tgtFrame="_blank" w:tooltip="$16,000 a year" w:history="1">
        <w:r w:rsidRPr="00C213EA">
          <w:rPr>
            <w:rStyle w:val="Hipervnculo"/>
            <w:rFonts w:eastAsiaTheme="majorEastAsia"/>
            <w:lang w:val="en-US"/>
          </w:rPr>
          <w:t>$</w:t>
        </w:r>
        <w:r w:rsidR="004D13CE">
          <w:rPr>
            <w:rStyle w:val="Hipervnculo"/>
            <w:rFonts w:eastAsiaTheme="majorEastAsia"/>
            <w:lang w:val="en-US"/>
          </w:rPr>
          <w:t xml:space="preserve"> </w:t>
        </w:r>
        <w:r w:rsidRPr="00C213EA">
          <w:rPr>
            <w:rStyle w:val="Hipervnculo"/>
            <w:rFonts w:eastAsiaTheme="majorEastAsia"/>
            <w:lang w:val="en-US"/>
          </w:rPr>
          <w:t>16,000 a year</w:t>
        </w:r>
      </w:hyperlink>
      <w:r w:rsidRPr="00C213EA">
        <w:rPr>
          <w:color w:val="000000"/>
          <w:lang w:val="en-US"/>
        </w:rPr>
        <w:t>. For America's private universities, that figure is $</w:t>
      </w:r>
      <w:r w:rsidR="004D13CE">
        <w:rPr>
          <w:color w:val="000000"/>
          <w:lang w:val="en-US"/>
        </w:rPr>
        <w:t xml:space="preserve"> </w:t>
      </w:r>
      <w:r w:rsidRPr="00C213EA">
        <w:rPr>
          <w:color w:val="000000"/>
          <w:lang w:val="en-US"/>
        </w:rPr>
        <w:t>37,000 a year.</w:t>
      </w:r>
    </w:p>
    <w:p w:rsidR="00B664AF" w:rsidRPr="00C213EA" w:rsidRDefault="00B664AF" w:rsidP="00387350">
      <w:pPr>
        <w:pStyle w:val="NormalWeb"/>
        <w:jc w:val="both"/>
        <w:rPr>
          <w:color w:val="000000"/>
          <w:lang w:val="en-US"/>
        </w:rPr>
      </w:pPr>
      <w:r w:rsidRPr="00C213EA">
        <w:rPr>
          <w:rStyle w:val="Textoennegrita"/>
          <w:color w:val="000000"/>
          <w:lang w:val="en-US"/>
        </w:rPr>
        <w:t>#23</w:t>
      </w:r>
      <w:r w:rsidRPr="00C213EA">
        <w:rPr>
          <w:color w:val="000000"/>
          <w:lang w:val="en-US"/>
        </w:rPr>
        <w:t xml:space="preserve"> The cost of college tuition in the United States has gone up </w:t>
      </w:r>
      <w:hyperlink r:id="rId243" w:tgtFrame="_blank" w:tooltip="by over 900 percent" w:history="1">
        <w:r w:rsidRPr="00C213EA">
          <w:rPr>
            <w:rStyle w:val="Hipervnculo"/>
            <w:rFonts w:eastAsiaTheme="majorEastAsia"/>
            <w:lang w:val="en-US"/>
          </w:rPr>
          <w:t>by over 900 percent</w:t>
        </w:r>
      </w:hyperlink>
      <w:r w:rsidRPr="00C213EA">
        <w:rPr>
          <w:color w:val="000000"/>
          <w:lang w:val="en-US"/>
        </w:rPr>
        <w:t xml:space="preserve"> since 1978.</w:t>
      </w:r>
    </w:p>
    <w:p w:rsidR="00B664AF" w:rsidRPr="00C213EA" w:rsidRDefault="00B664AF" w:rsidP="00387350">
      <w:pPr>
        <w:pStyle w:val="NormalWeb"/>
        <w:jc w:val="both"/>
        <w:rPr>
          <w:color w:val="000000"/>
          <w:lang w:val="en-US"/>
        </w:rPr>
      </w:pPr>
      <w:r w:rsidRPr="00C213EA">
        <w:rPr>
          <w:rStyle w:val="Textoennegrita"/>
          <w:color w:val="000000"/>
          <w:lang w:val="en-US"/>
        </w:rPr>
        <w:lastRenderedPageBreak/>
        <w:t>#24</w:t>
      </w:r>
      <w:r w:rsidRPr="00C213EA">
        <w:rPr>
          <w:color w:val="000000"/>
          <w:lang w:val="en-US"/>
        </w:rPr>
        <w:t xml:space="preserve"> Approximately two-thirds of all college students graduate with </w:t>
      </w:r>
      <w:hyperlink r:id="rId244" w:tgtFrame="_blank" w:tooltip="student loan debt" w:history="1">
        <w:r w:rsidRPr="00C213EA">
          <w:rPr>
            <w:rStyle w:val="Hipervnculo"/>
            <w:rFonts w:eastAsiaTheme="majorEastAsia"/>
            <w:lang w:val="en-US"/>
          </w:rPr>
          <w:t>student loan debt</w:t>
        </w:r>
      </w:hyperlink>
      <w:r w:rsidRPr="00C213EA">
        <w:rPr>
          <w:color w:val="000000"/>
          <w:lang w:val="en-US"/>
        </w:rPr>
        <w:t>.</w:t>
      </w:r>
    </w:p>
    <w:p w:rsidR="00B664AF" w:rsidRPr="00C213EA" w:rsidRDefault="00B664AF" w:rsidP="00387350">
      <w:pPr>
        <w:pStyle w:val="NormalWeb"/>
        <w:jc w:val="both"/>
        <w:rPr>
          <w:color w:val="000000"/>
          <w:lang w:val="en-US"/>
        </w:rPr>
      </w:pPr>
      <w:r w:rsidRPr="00C213EA">
        <w:rPr>
          <w:rStyle w:val="Textoennegrita"/>
          <w:color w:val="000000"/>
          <w:lang w:val="en-US"/>
        </w:rPr>
        <w:t>#25</w:t>
      </w:r>
      <w:r w:rsidRPr="00C213EA">
        <w:rPr>
          <w:color w:val="000000"/>
          <w:lang w:val="en-US"/>
        </w:rPr>
        <w:t xml:space="preserve"> </w:t>
      </w:r>
      <w:hyperlink r:id="rId245" w:anchor="-7" w:tgtFrame="_blank" w:tooltip="17 million college graduates" w:history="1">
        <w:r w:rsidRPr="00C213EA">
          <w:rPr>
            <w:rStyle w:val="Hipervnculo"/>
            <w:rFonts w:eastAsiaTheme="majorEastAsia"/>
            <w:lang w:val="en-US"/>
          </w:rPr>
          <w:t>17 million college graduates</w:t>
        </w:r>
      </w:hyperlink>
      <w:r w:rsidRPr="00C213EA">
        <w:rPr>
          <w:color w:val="000000"/>
          <w:lang w:val="en-US"/>
        </w:rPr>
        <w:t xml:space="preserve"> are doing jobs that do not even require a college degree.</w:t>
      </w:r>
    </w:p>
    <w:p w:rsidR="00B664AF" w:rsidRPr="00C213EA" w:rsidRDefault="00B664AF" w:rsidP="00387350">
      <w:pPr>
        <w:pStyle w:val="NormalWeb"/>
        <w:jc w:val="both"/>
        <w:rPr>
          <w:color w:val="000000"/>
          <w:lang w:val="en-US"/>
        </w:rPr>
      </w:pPr>
      <w:r w:rsidRPr="00C213EA">
        <w:rPr>
          <w:rStyle w:val="Textoennegrita"/>
          <w:color w:val="000000"/>
          <w:lang w:val="en-US"/>
        </w:rPr>
        <w:t>#26</w:t>
      </w:r>
      <w:r w:rsidRPr="00C213EA">
        <w:rPr>
          <w:color w:val="000000"/>
          <w:lang w:val="en-US"/>
        </w:rPr>
        <w:t xml:space="preserve"> According to the Bureau of Economic Analysis, health care costs accounted for just 9.5% of all personal consumption back in 1980. Today they account for approximately </w:t>
      </w:r>
      <w:hyperlink r:id="rId246" w:anchor="-10" w:tgtFrame="_blank" w:tooltip="16.3%" w:history="1">
        <w:r w:rsidRPr="00C213EA">
          <w:rPr>
            <w:rStyle w:val="Hipervnculo"/>
            <w:rFonts w:eastAsiaTheme="majorEastAsia"/>
            <w:lang w:val="en-US"/>
          </w:rPr>
          <w:t>16.3%</w:t>
        </w:r>
      </w:hyperlink>
      <w:r w:rsidRPr="00C213EA">
        <w:rPr>
          <w:color w:val="000000"/>
          <w:lang w:val="en-US"/>
        </w:rPr>
        <w:t>.</w:t>
      </w:r>
    </w:p>
    <w:p w:rsidR="00B664AF" w:rsidRPr="00C213EA" w:rsidRDefault="00B664AF" w:rsidP="00387350">
      <w:pPr>
        <w:pStyle w:val="NormalWeb"/>
        <w:jc w:val="both"/>
        <w:rPr>
          <w:color w:val="000000"/>
          <w:lang w:val="en-US"/>
        </w:rPr>
      </w:pPr>
      <w:r w:rsidRPr="00C213EA">
        <w:rPr>
          <w:rStyle w:val="Textoennegrita"/>
          <w:color w:val="000000"/>
          <w:lang w:val="en-US"/>
        </w:rPr>
        <w:t>#27</w:t>
      </w:r>
      <w:r w:rsidRPr="00C213EA">
        <w:rPr>
          <w:color w:val="000000"/>
          <w:lang w:val="en-US"/>
        </w:rPr>
        <w:t xml:space="preserve"> One study found that </w:t>
      </w:r>
      <w:hyperlink r:id="rId247" w:tooltip="approximately 41 percent" w:history="1">
        <w:r w:rsidRPr="00C213EA">
          <w:rPr>
            <w:rStyle w:val="Hipervnculo"/>
            <w:rFonts w:eastAsiaTheme="majorEastAsia"/>
            <w:lang w:val="en-US"/>
          </w:rPr>
          <w:t>approximately 41 percent</w:t>
        </w:r>
      </w:hyperlink>
      <w:r w:rsidRPr="00C213EA">
        <w:rPr>
          <w:color w:val="000000"/>
          <w:lang w:val="en-US"/>
        </w:rPr>
        <w:t xml:space="preserve"> of working age Americans either have medical bill problems or are currently paying off medical debt.</w:t>
      </w:r>
    </w:p>
    <w:p w:rsidR="00B664AF" w:rsidRPr="00C213EA" w:rsidRDefault="00B664AF" w:rsidP="00387350">
      <w:pPr>
        <w:pStyle w:val="NormalWeb"/>
        <w:jc w:val="both"/>
        <w:rPr>
          <w:color w:val="000000"/>
          <w:lang w:val="en-US"/>
        </w:rPr>
      </w:pPr>
      <w:r w:rsidRPr="00C213EA">
        <w:rPr>
          <w:rStyle w:val="Textoennegrita"/>
          <w:color w:val="000000"/>
          <w:lang w:val="en-US"/>
        </w:rPr>
        <w:t>#28</w:t>
      </w:r>
      <w:r w:rsidRPr="00C213EA">
        <w:rPr>
          <w:color w:val="000000"/>
          <w:lang w:val="en-US"/>
        </w:rPr>
        <w:t xml:space="preserve"> Back in 1965, only one out of every 50 Americans was on Medicaid. Today, </w:t>
      </w:r>
      <w:hyperlink r:id="rId248" w:tgtFrame="_blank" w:tooltip="one out of every 6" w:history="1">
        <w:r w:rsidRPr="00C213EA">
          <w:rPr>
            <w:rStyle w:val="Hipervnculo"/>
            <w:rFonts w:eastAsiaTheme="majorEastAsia"/>
            <w:lang w:val="en-US"/>
          </w:rPr>
          <w:t>one out of every 6</w:t>
        </w:r>
      </w:hyperlink>
      <w:r w:rsidRPr="00C213EA">
        <w:rPr>
          <w:color w:val="000000"/>
          <w:lang w:val="en-US"/>
        </w:rPr>
        <w:t xml:space="preserve"> Americans is on Medicaid.</w:t>
      </w:r>
    </w:p>
    <w:p w:rsidR="00B664AF" w:rsidRPr="00C213EA" w:rsidRDefault="00B664AF" w:rsidP="00387350">
      <w:pPr>
        <w:pStyle w:val="NormalWeb"/>
        <w:jc w:val="both"/>
        <w:rPr>
          <w:color w:val="000000"/>
          <w:lang w:val="en-US"/>
        </w:rPr>
      </w:pPr>
      <w:r w:rsidRPr="00C213EA">
        <w:rPr>
          <w:rStyle w:val="Textoennegrita"/>
          <w:color w:val="000000"/>
          <w:lang w:val="en-US"/>
        </w:rPr>
        <w:t>#29</w:t>
      </w:r>
      <w:r w:rsidRPr="00C213EA">
        <w:rPr>
          <w:color w:val="000000"/>
          <w:lang w:val="en-US"/>
        </w:rPr>
        <w:t xml:space="preserve"> Total credit card debt in the United States is now </w:t>
      </w:r>
      <w:hyperlink r:id="rId249" w:tgtFrame="_blank" w:tooltip="more than 8 times larger" w:history="1">
        <w:r w:rsidRPr="00C213EA">
          <w:rPr>
            <w:rStyle w:val="Hipervnculo"/>
            <w:rFonts w:eastAsiaTheme="majorEastAsia"/>
            <w:lang w:val="en-US"/>
          </w:rPr>
          <w:t>more than 8 times larger</w:t>
        </w:r>
      </w:hyperlink>
      <w:r w:rsidRPr="00C213EA">
        <w:rPr>
          <w:color w:val="000000"/>
          <w:lang w:val="en-US"/>
        </w:rPr>
        <w:t xml:space="preserve"> than it was just 30 years ago.</w:t>
      </w:r>
    </w:p>
    <w:p w:rsidR="00B664AF" w:rsidRPr="00C213EA" w:rsidRDefault="00B664AF" w:rsidP="00387350">
      <w:pPr>
        <w:pStyle w:val="NormalWeb"/>
        <w:jc w:val="both"/>
        <w:rPr>
          <w:color w:val="000000"/>
          <w:lang w:val="en-US"/>
        </w:rPr>
      </w:pPr>
      <w:r w:rsidRPr="00C213EA">
        <w:rPr>
          <w:rStyle w:val="Textoennegrita"/>
          <w:color w:val="000000"/>
          <w:lang w:val="en-US"/>
        </w:rPr>
        <w:t>#30</w:t>
      </w:r>
      <w:r w:rsidRPr="00C213EA">
        <w:rPr>
          <w:color w:val="000000"/>
          <w:lang w:val="en-US"/>
        </w:rPr>
        <w:t xml:space="preserve"> During the first three months of this year, less new homes were sold in the U.S. than in any three month period </w:t>
      </w:r>
      <w:hyperlink r:id="rId250" w:tgtFrame="_blank" w:tooltip="ever recorded" w:history="1">
        <w:r w:rsidRPr="00C213EA">
          <w:rPr>
            <w:rStyle w:val="Hipervnculo"/>
            <w:rFonts w:eastAsiaTheme="majorEastAsia"/>
            <w:lang w:val="en-US"/>
          </w:rPr>
          <w:t>ever recorded</w:t>
        </w:r>
      </w:hyperlink>
      <w:r w:rsidRPr="00C213EA">
        <w:rPr>
          <w:color w:val="000000"/>
          <w:lang w:val="en-US"/>
        </w:rPr>
        <w:t>.</w:t>
      </w:r>
    </w:p>
    <w:p w:rsidR="00B664AF" w:rsidRPr="00C213EA" w:rsidRDefault="00B664AF" w:rsidP="00387350">
      <w:pPr>
        <w:pStyle w:val="NormalWeb"/>
        <w:jc w:val="both"/>
        <w:rPr>
          <w:color w:val="000000"/>
          <w:lang w:val="en-US"/>
        </w:rPr>
      </w:pPr>
      <w:r w:rsidRPr="00C213EA">
        <w:rPr>
          <w:rStyle w:val="Textoennegrita"/>
          <w:color w:val="000000"/>
          <w:lang w:val="en-US"/>
        </w:rPr>
        <w:t>#31</w:t>
      </w:r>
      <w:r w:rsidRPr="00C213EA">
        <w:rPr>
          <w:color w:val="000000"/>
          <w:lang w:val="en-US"/>
        </w:rPr>
        <w:t xml:space="preserve"> Now home sales in the United States are now </w:t>
      </w:r>
      <w:hyperlink r:id="rId251" w:tgtFrame="_blank" w:tooltip="down 80%" w:history="1">
        <w:r w:rsidRPr="00C213EA">
          <w:rPr>
            <w:rStyle w:val="Hipervnculo"/>
            <w:rFonts w:eastAsiaTheme="majorEastAsia"/>
            <w:lang w:val="en-US"/>
          </w:rPr>
          <w:t>down 80%</w:t>
        </w:r>
      </w:hyperlink>
      <w:r w:rsidRPr="00C213EA">
        <w:rPr>
          <w:color w:val="000000"/>
          <w:lang w:val="en-US"/>
        </w:rPr>
        <w:t xml:space="preserve"> from the peak in July 2005.</w:t>
      </w:r>
    </w:p>
    <w:p w:rsidR="00B664AF" w:rsidRPr="00C213EA" w:rsidRDefault="00B664AF" w:rsidP="00387350">
      <w:pPr>
        <w:pStyle w:val="NormalWeb"/>
        <w:jc w:val="both"/>
        <w:rPr>
          <w:color w:val="000000"/>
          <w:lang w:val="en-US"/>
        </w:rPr>
      </w:pPr>
      <w:r w:rsidRPr="00C213EA">
        <w:rPr>
          <w:rStyle w:val="Textoennegrita"/>
          <w:color w:val="000000"/>
          <w:lang w:val="en-US"/>
        </w:rPr>
        <w:t>#32</w:t>
      </w:r>
      <w:r w:rsidRPr="00C213EA">
        <w:rPr>
          <w:color w:val="000000"/>
          <w:lang w:val="en-US"/>
        </w:rPr>
        <w:t xml:space="preserve"> U.S. home prices </w:t>
      </w:r>
      <w:hyperlink r:id="rId252" w:tgtFrame="_blank" w:tooltip="have now declined 32%" w:history="1">
        <w:r w:rsidRPr="00C213EA">
          <w:rPr>
            <w:rStyle w:val="Hipervnculo"/>
            <w:rFonts w:eastAsiaTheme="majorEastAsia"/>
            <w:lang w:val="en-US"/>
          </w:rPr>
          <w:t>have now declined 32%</w:t>
        </w:r>
      </w:hyperlink>
      <w:r w:rsidRPr="00C213EA">
        <w:rPr>
          <w:color w:val="000000"/>
          <w:lang w:val="en-US"/>
        </w:rPr>
        <w:t xml:space="preserve"> from the peak of the housing bubble.</w:t>
      </w:r>
    </w:p>
    <w:p w:rsidR="00B664AF" w:rsidRPr="00C213EA" w:rsidRDefault="00B664AF" w:rsidP="00387350">
      <w:pPr>
        <w:pStyle w:val="NormalWeb"/>
        <w:jc w:val="both"/>
        <w:rPr>
          <w:color w:val="000000"/>
          <w:lang w:val="en-US"/>
        </w:rPr>
      </w:pPr>
      <w:r w:rsidRPr="00C213EA">
        <w:rPr>
          <w:rStyle w:val="Textoennegrita"/>
          <w:color w:val="000000"/>
          <w:lang w:val="en-US"/>
        </w:rPr>
        <w:t>#33</w:t>
      </w:r>
      <w:r w:rsidRPr="00C213EA">
        <w:rPr>
          <w:color w:val="000000"/>
          <w:lang w:val="en-US"/>
        </w:rPr>
        <w:t xml:space="preserve"> For most middle class families, the family home is the number one financial asset. Unfortunately, U.S. home values have declined </w:t>
      </w:r>
      <w:hyperlink r:id="rId253" w:tgtFrame="_blank" w:tooltip="an astounding 6.3 trillion dollars" w:history="1">
        <w:r w:rsidRPr="00C213EA">
          <w:rPr>
            <w:rStyle w:val="Hipervnculo"/>
            <w:rFonts w:eastAsiaTheme="majorEastAsia"/>
            <w:lang w:val="en-US"/>
          </w:rPr>
          <w:t>an astounding 6.3 trillion dollars</w:t>
        </w:r>
      </w:hyperlink>
      <w:r w:rsidRPr="00C213EA">
        <w:rPr>
          <w:color w:val="000000"/>
          <w:lang w:val="en-US"/>
        </w:rPr>
        <w:t xml:space="preserve"> since the housing crisis first began.</w:t>
      </w:r>
    </w:p>
    <w:p w:rsidR="00B664AF" w:rsidRPr="00C213EA" w:rsidRDefault="00B664AF" w:rsidP="00387350">
      <w:pPr>
        <w:pStyle w:val="NormalWeb"/>
        <w:jc w:val="both"/>
        <w:rPr>
          <w:color w:val="000000"/>
          <w:lang w:val="en-US"/>
        </w:rPr>
      </w:pPr>
      <w:r w:rsidRPr="00C213EA">
        <w:rPr>
          <w:rStyle w:val="Textoennegrita"/>
          <w:color w:val="000000"/>
          <w:lang w:val="en-US"/>
        </w:rPr>
        <w:t>#34</w:t>
      </w:r>
      <w:r w:rsidRPr="00C213EA">
        <w:rPr>
          <w:color w:val="000000"/>
          <w:lang w:val="en-US"/>
        </w:rPr>
        <w:t xml:space="preserve"> According to a recent census report, 13% of all homes in the United States </w:t>
      </w:r>
      <w:hyperlink r:id="rId254" w:tgtFrame="_blank" w:tooltip="are sitting empty" w:history="1">
        <w:r w:rsidRPr="00C213EA">
          <w:rPr>
            <w:rStyle w:val="Hipervnculo"/>
            <w:rFonts w:eastAsiaTheme="majorEastAsia"/>
            <w:lang w:val="en-US"/>
          </w:rPr>
          <w:t>are currently sitting empty</w:t>
        </w:r>
      </w:hyperlink>
      <w:r w:rsidRPr="00C213EA">
        <w:rPr>
          <w:color w:val="000000"/>
          <w:lang w:val="en-US"/>
        </w:rPr>
        <w:t>.</w:t>
      </w:r>
    </w:p>
    <w:p w:rsidR="00B664AF" w:rsidRPr="00C213EA" w:rsidRDefault="00B664AF" w:rsidP="00387350">
      <w:pPr>
        <w:pStyle w:val="NormalWeb"/>
        <w:jc w:val="both"/>
        <w:rPr>
          <w:color w:val="000000"/>
          <w:lang w:val="en-US"/>
        </w:rPr>
      </w:pPr>
      <w:r w:rsidRPr="00C213EA">
        <w:rPr>
          <w:rStyle w:val="Textoennegrita"/>
          <w:color w:val="000000"/>
          <w:lang w:val="en-US"/>
        </w:rPr>
        <w:t>#35</w:t>
      </w:r>
      <w:r w:rsidRPr="00C213EA">
        <w:rPr>
          <w:color w:val="000000"/>
          <w:lang w:val="en-US"/>
        </w:rPr>
        <w:t xml:space="preserve"> The </w:t>
      </w:r>
      <w:hyperlink r:id="rId255" w:tooltip="housing crisis" w:history="1">
        <w:r w:rsidRPr="00C213EA">
          <w:rPr>
            <w:rStyle w:val="Hipervnculo"/>
            <w:rFonts w:eastAsiaTheme="majorEastAsia"/>
            <w:lang w:val="en-US"/>
          </w:rPr>
          <w:t>housing crisis</w:t>
        </w:r>
      </w:hyperlink>
      <w:r w:rsidRPr="00C213EA">
        <w:rPr>
          <w:color w:val="000000"/>
          <w:lang w:val="en-US"/>
        </w:rPr>
        <w:t xml:space="preserve"> just seems to keep on getting worse. </w:t>
      </w:r>
      <w:hyperlink r:id="rId256" w:tgtFrame="_blank" w:tooltip="31 percent" w:history="1">
        <w:r w:rsidRPr="00C213EA">
          <w:rPr>
            <w:rStyle w:val="Hipervnculo"/>
            <w:rFonts w:eastAsiaTheme="majorEastAsia"/>
            <w:lang w:val="en-US"/>
          </w:rPr>
          <w:t>31 percent</w:t>
        </w:r>
      </w:hyperlink>
      <w:r w:rsidRPr="00C213EA">
        <w:rPr>
          <w:color w:val="000000"/>
          <w:lang w:val="en-US"/>
        </w:rPr>
        <w:t xml:space="preserve"> of the homeowners that responded to a recent Rasmussen Reports survey indicated that they are "underwater" on their mortgages.</w:t>
      </w:r>
    </w:p>
    <w:p w:rsidR="00460EB0" w:rsidRPr="00460EB0" w:rsidRDefault="00B664AF" w:rsidP="00387350">
      <w:pPr>
        <w:pStyle w:val="NormalWeb"/>
        <w:jc w:val="both"/>
        <w:rPr>
          <w:color w:val="000000"/>
          <w:lang w:val="en-US"/>
        </w:rPr>
      </w:pPr>
      <w:r w:rsidRPr="00C213EA">
        <w:rPr>
          <w:rStyle w:val="Textoennegrita"/>
          <w:color w:val="000000"/>
          <w:lang w:val="en-US"/>
        </w:rPr>
        <w:t>#36</w:t>
      </w:r>
      <w:r w:rsidRPr="00C213EA">
        <w:rPr>
          <w:color w:val="000000"/>
          <w:lang w:val="en-US"/>
        </w:rPr>
        <w:t xml:space="preserve"> Unfortunately, it looks like millions more middle class Americans could soon be in danger of losing their homes. According to the Mortgage Bankers Association, </w:t>
      </w:r>
      <w:hyperlink r:id="rId257" w:tgtFrame="_blank" w:tooltip="at least 8 million Americans" w:history="1">
        <w:r w:rsidRPr="00C213EA">
          <w:rPr>
            <w:rStyle w:val="Hipervnculo"/>
            <w:rFonts w:eastAsiaTheme="majorEastAsia"/>
            <w:lang w:val="en-US"/>
          </w:rPr>
          <w:t>at least 8 million Americans</w:t>
        </w:r>
      </w:hyperlink>
      <w:r w:rsidRPr="00C213EA">
        <w:rPr>
          <w:color w:val="000000"/>
          <w:lang w:val="en-US"/>
        </w:rPr>
        <w:t xml:space="preserve"> are at least one month behind on their mortgage payments at this point.</w:t>
      </w:r>
    </w:p>
    <w:p w:rsidR="00460EB0" w:rsidRDefault="00460EB0" w:rsidP="00387350">
      <w:pPr>
        <w:pStyle w:val="NormalWeb"/>
        <w:jc w:val="both"/>
      </w:pPr>
      <w:r>
        <w:t>“</w:t>
      </w:r>
      <w:r w:rsidRPr="00460EB0">
        <w:t>Sólo el 24,9% de los norteamericanos podrían conseguir 2.000 dólares en 30 días, según un estudio publicado por el National Bureau of Economic Research. Annamaria Lusardi de la George Washington School of Business, Daniel J. Schneider de Princeton University y Peter Tufano de la Harvard Business School preguntaron: “¿Cuánto confía usted en que podría conseguir 2.000 dólares si surgiese una necesidad inesperada durante el mes que viene?” Un 24,9% afirmó estar seguro de que podría, un 25,1% dijo que probablemente podría, un 22,2% dijo que probablemente no y un 27,9% que seguro que no</w:t>
      </w:r>
      <w:r>
        <w:t>”..</w:t>
      </w:r>
      <w:r w:rsidRPr="00460EB0">
        <w:t xml:space="preserve">. </w:t>
      </w:r>
      <w:r w:rsidRPr="001076F8">
        <w:rPr>
          <w:u w:val="single"/>
        </w:rPr>
        <w:t>Casi la mitad de los estadounidenses vive al día</w:t>
      </w:r>
      <w:r>
        <w:t xml:space="preserve"> (Libertad Digital - </w:t>
      </w:r>
      <w:r w:rsidRPr="001076F8">
        <w:rPr>
          <w:b/>
        </w:rPr>
        <w:t>26/5/11</w:t>
      </w:r>
      <w:r>
        <w:t>)</w:t>
      </w:r>
    </w:p>
    <w:p w:rsidR="00460EB0" w:rsidRDefault="00460EB0" w:rsidP="00387350">
      <w:pPr>
        <w:pStyle w:val="NormalWeb"/>
        <w:jc w:val="both"/>
      </w:pPr>
      <w:r>
        <w:rPr>
          <w:noProof/>
        </w:rPr>
        <w:lastRenderedPageBreak/>
        <w:drawing>
          <wp:inline distT="0" distB="0" distL="0" distR="0" wp14:anchorId="3A3BCF00" wp14:editId="2381135C">
            <wp:extent cx="4505573" cy="2040941"/>
            <wp:effectExtent l="0" t="0" r="9525" b="0"/>
            <wp:docPr id="456" name="Imagen 456" descr="supeeu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upeeuu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505573" cy="2040941"/>
                    </a:xfrm>
                    <a:prstGeom prst="rect">
                      <a:avLst/>
                    </a:prstGeom>
                    <a:noFill/>
                    <a:ln>
                      <a:noFill/>
                    </a:ln>
                  </pic:spPr>
                </pic:pic>
              </a:graphicData>
            </a:graphic>
          </wp:inline>
        </w:drawing>
      </w:r>
    </w:p>
    <w:p w:rsidR="00460EB0" w:rsidRDefault="00460EB0" w:rsidP="00387350">
      <w:pPr>
        <w:pStyle w:val="NormalWeb"/>
        <w:jc w:val="both"/>
      </w:pPr>
      <w:r>
        <w:rPr>
          <w:noProof/>
        </w:rPr>
        <w:drawing>
          <wp:inline distT="0" distB="0" distL="0" distR="0" wp14:anchorId="29D07A87" wp14:editId="3DF9592C">
            <wp:extent cx="5391271" cy="2165299"/>
            <wp:effectExtent l="0" t="0" r="0" b="6985"/>
            <wp:docPr id="457" name="Imagen 457" descr="supeeu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upeeuu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400040" cy="2168821"/>
                    </a:xfrm>
                    <a:prstGeom prst="rect">
                      <a:avLst/>
                    </a:prstGeom>
                    <a:noFill/>
                    <a:ln>
                      <a:noFill/>
                    </a:ln>
                  </pic:spPr>
                </pic:pic>
              </a:graphicData>
            </a:graphic>
          </wp:inline>
        </w:drawing>
      </w:r>
    </w:p>
    <w:p w:rsidR="00460EB0" w:rsidRDefault="00460EB0" w:rsidP="00387350">
      <w:pPr>
        <w:pStyle w:val="NormalWeb"/>
        <w:jc w:val="both"/>
      </w:pPr>
      <w:r>
        <w:rPr>
          <w:noProof/>
        </w:rPr>
        <w:drawing>
          <wp:inline distT="0" distB="0" distL="0" distR="0" wp14:anchorId="21DEB571" wp14:editId="77E37C53">
            <wp:extent cx="5398617" cy="1931213"/>
            <wp:effectExtent l="0" t="0" r="0" b="0"/>
            <wp:docPr id="97" name="Imagen 97" descr="supeeuu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upeeuu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400040" cy="1931722"/>
                    </a:xfrm>
                    <a:prstGeom prst="rect">
                      <a:avLst/>
                    </a:prstGeom>
                    <a:noFill/>
                    <a:ln>
                      <a:noFill/>
                    </a:ln>
                  </pic:spPr>
                </pic:pic>
              </a:graphicData>
            </a:graphic>
          </wp:inline>
        </w:drawing>
      </w:r>
    </w:p>
    <w:p w:rsidR="00460EB0" w:rsidRDefault="00460EB0" w:rsidP="00387350">
      <w:pPr>
        <w:pStyle w:val="NormalWeb"/>
        <w:jc w:val="both"/>
      </w:pPr>
      <w:r>
        <w:rPr>
          <w:noProof/>
        </w:rPr>
        <w:drawing>
          <wp:inline distT="0" distB="0" distL="0" distR="0" wp14:anchorId="6D2578E8" wp14:editId="519C46C1">
            <wp:extent cx="5378843" cy="2099463"/>
            <wp:effectExtent l="0" t="0" r="0" b="0"/>
            <wp:docPr id="96" name="Imagen 96" descr="supeeuu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upeeuu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400040" cy="2107736"/>
                    </a:xfrm>
                    <a:prstGeom prst="rect">
                      <a:avLst/>
                    </a:prstGeom>
                    <a:noFill/>
                    <a:ln>
                      <a:noFill/>
                    </a:ln>
                  </pic:spPr>
                </pic:pic>
              </a:graphicData>
            </a:graphic>
          </wp:inline>
        </w:drawing>
      </w:r>
    </w:p>
    <w:p w:rsidR="00DC29DF" w:rsidRPr="00DC29DF" w:rsidRDefault="00DC29DF"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w:t>
      </w:r>
      <w:r w:rsidRPr="00DC29DF">
        <w:rPr>
          <w:rFonts w:ascii="Times New Roman" w:eastAsia="Times New Roman" w:hAnsi="Times New Roman"/>
          <w:sz w:val="24"/>
          <w:szCs w:val="24"/>
          <w:lang w:eastAsia="es-ES"/>
        </w:rPr>
        <w:t xml:space="preserve">El mundo ha crecido en los últimos años más que nunca, las gráficas muestran crecimientos exponenciales y necesitamos nuevas escalas para reflejar el PIB. Pareciese que vivimos en el planeta más fantástico de todos los tiempos, pero no. Si dividiésemos ese voluptuoso PIB entre rentas del trabajo y rentas del capital en cualquier país desarrollado podríamos observar como las primeras tienen cada vez menos peso en favor de las segundas, o lo que es lo mismo, </w:t>
      </w:r>
      <w:r w:rsidRPr="00DC29DF">
        <w:rPr>
          <w:rFonts w:ascii="Times New Roman" w:eastAsia="Times New Roman" w:hAnsi="Times New Roman"/>
          <w:bCs/>
          <w:sz w:val="24"/>
          <w:szCs w:val="24"/>
          <w:lang w:eastAsia="es-ES"/>
        </w:rPr>
        <w:t>el crecimiento de ensueño que muestran las gráficas no ha ido a parar al bolsillo de los trabajadores</w:t>
      </w:r>
      <w:r w:rsidRPr="00DC29DF">
        <w:rPr>
          <w:rFonts w:ascii="Times New Roman" w:eastAsia="Times New Roman" w:hAnsi="Times New Roman"/>
          <w:sz w:val="24"/>
          <w:szCs w:val="24"/>
          <w:lang w:eastAsia="es-ES"/>
        </w:rPr>
        <w:t>. Y claro, además esas menguantes rentas del trabajo también muestran discrepancias en su comportamiento según si miramos arriba o abajo.</w:t>
      </w:r>
    </w:p>
    <w:p w:rsidR="00DC29DF" w:rsidRPr="00DC29DF" w:rsidRDefault="00DC29DF" w:rsidP="00387350">
      <w:pPr>
        <w:spacing w:after="0" w:line="240" w:lineRule="auto"/>
        <w:jc w:val="both"/>
        <w:rPr>
          <w:rFonts w:ascii="Times New Roman" w:eastAsia="Times New Roman" w:hAnsi="Times New Roman"/>
          <w:sz w:val="24"/>
          <w:szCs w:val="24"/>
          <w:lang w:eastAsia="es-ES"/>
        </w:rPr>
      </w:pPr>
    </w:p>
    <w:p w:rsidR="00DC29DF" w:rsidRPr="00840117" w:rsidRDefault="00DC29DF"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noProof/>
          <w:color w:val="0000FF"/>
          <w:sz w:val="24"/>
          <w:szCs w:val="24"/>
          <w:lang w:eastAsia="es-ES"/>
        </w:rPr>
        <w:drawing>
          <wp:inline distT="0" distB="0" distL="0" distR="0" wp14:anchorId="7353384C" wp14:editId="5AA3A1CF">
            <wp:extent cx="4762500" cy="2282190"/>
            <wp:effectExtent l="0" t="0" r="0" b="3810"/>
            <wp:docPr id="119" name="Imagen 119" descr="2011090629desigualdad">
              <a:hlinkClick xmlns:a="http://schemas.openxmlformats.org/drawingml/2006/main" r:id="rId26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1090629desigualdad"/>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762500" cy="2282190"/>
                    </a:xfrm>
                    <a:prstGeom prst="rect">
                      <a:avLst/>
                    </a:prstGeom>
                    <a:noFill/>
                    <a:ln>
                      <a:noFill/>
                    </a:ln>
                  </pic:spPr>
                </pic:pic>
              </a:graphicData>
            </a:graphic>
          </wp:inline>
        </w:drawing>
      </w:r>
    </w:p>
    <w:p w:rsidR="00DC29DF" w:rsidRPr="00840117" w:rsidRDefault="00DC29DF"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noProof/>
          <w:color w:val="0000FF"/>
          <w:sz w:val="24"/>
          <w:szCs w:val="24"/>
          <w:lang w:eastAsia="es-ES"/>
        </w:rPr>
        <w:drawing>
          <wp:inline distT="0" distB="0" distL="0" distR="0" wp14:anchorId="5283791C" wp14:editId="18CA0B21">
            <wp:extent cx="4762500" cy="1960245"/>
            <wp:effectExtent l="0" t="0" r="0" b="1905"/>
            <wp:docPr id="118" name="Imagen 118" descr="201109061unoporciento">
              <a:hlinkClick xmlns:a="http://schemas.openxmlformats.org/drawingml/2006/main" r:id="rId26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109061unoporciento"/>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762500" cy="1960245"/>
                    </a:xfrm>
                    <a:prstGeom prst="rect">
                      <a:avLst/>
                    </a:prstGeom>
                    <a:noFill/>
                    <a:ln>
                      <a:noFill/>
                    </a:ln>
                  </pic:spPr>
                </pic:pic>
              </a:graphicData>
            </a:graphic>
          </wp:inline>
        </w:drawing>
      </w:r>
    </w:p>
    <w:p w:rsidR="00DC29DF" w:rsidRDefault="00DC29DF" w:rsidP="00387350">
      <w:pPr>
        <w:spacing w:after="0" w:line="240" w:lineRule="auto"/>
        <w:jc w:val="both"/>
        <w:rPr>
          <w:rFonts w:ascii="Times New Roman" w:eastAsia="Times New Roman" w:hAnsi="Times New Roman"/>
          <w:sz w:val="24"/>
          <w:szCs w:val="24"/>
          <w:lang w:eastAsia="es-ES"/>
        </w:rPr>
      </w:pPr>
    </w:p>
    <w:p w:rsidR="00DC29DF" w:rsidRPr="00DC29DF" w:rsidRDefault="00DC29DF" w:rsidP="00387350">
      <w:pPr>
        <w:spacing w:after="0" w:line="240" w:lineRule="auto"/>
        <w:jc w:val="both"/>
        <w:rPr>
          <w:rFonts w:ascii="Times New Roman" w:eastAsia="Times New Roman" w:hAnsi="Times New Roman"/>
          <w:sz w:val="24"/>
          <w:szCs w:val="24"/>
          <w:lang w:eastAsia="es-ES"/>
        </w:rPr>
      </w:pPr>
      <w:r w:rsidRPr="00DC29DF">
        <w:rPr>
          <w:rFonts w:ascii="Times New Roman" w:eastAsia="Times New Roman" w:hAnsi="Times New Roman"/>
          <w:sz w:val="24"/>
          <w:szCs w:val="24"/>
          <w:lang w:eastAsia="es-ES"/>
        </w:rPr>
        <w:t>No sé qué habría pasado si nos dicen que la globalización es esto, aunque ya no lo sabremos. ¿Y cómo íbamos a negarnos a que niños hambrientos del mundo emergente se alimenten? ¿Por qué la globalización era eso, no? Una oportunidad a quien no la tiene para salir de la pobreza, absolutamente nada que ver con los beneficios a pesar de que la mejor manera de acabar con la pobreza es, sin más, querer hacerlo. Tal y como demuestran los multimillonarios e históricos rescates a Wall Street “querer es poder”, aunque la voluntad no siempre es la misma para todas las cosas.</w:t>
      </w:r>
    </w:p>
    <w:p w:rsidR="00DC29DF" w:rsidRPr="00DC29DF" w:rsidRDefault="00DC29DF" w:rsidP="00387350">
      <w:pPr>
        <w:spacing w:after="0" w:line="240" w:lineRule="auto"/>
        <w:jc w:val="both"/>
        <w:rPr>
          <w:rFonts w:ascii="Times New Roman" w:eastAsia="Times New Roman" w:hAnsi="Times New Roman"/>
          <w:sz w:val="24"/>
          <w:szCs w:val="24"/>
          <w:lang w:eastAsia="es-ES"/>
        </w:rPr>
      </w:pPr>
    </w:p>
    <w:p w:rsidR="00DC29DF" w:rsidRDefault="00DC29DF" w:rsidP="00387350">
      <w:pPr>
        <w:spacing w:after="0" w:line="240" w:lineRule="auto"/>
        <w:jc w:val="both"/>
        <w:rPr>
          <w:rFonts w:ascii="Times New Roman" w:eastAsia="Times New Roman" w:hAnsi="Times New Roman"/>
          <w:sz w:val="24"/>
          <w:szCs w:val="24"/>
          <w:lang w:eastAsia="es-ES"/>
        </w:rPr>
      </w:pPr>
      <w:r w:rsidRPr="00DC29DF">
        <w:rPr>
          <w:rFonts w:ascii="Times New Roman" w:eastAsia="Times New Roman" w:hAnsi="Times New Roman"/>
          <w:sz w:val="24"/>
          <w:szCs w:val="24"/>
          <w:lang w:eastAsia="es-ES"/>
        </w:rPr>
        <w:t xml:space="preserve">Una hoja de ruta y crear un clima favorable, cuando la temperatura es demasiado alta ya es tarde. </w:t>
      </w:r>
      <w:r w:rsidR="00DA603A">
        <w:rPr>
          <w:rFonts w:ascii="Times New Roman" w:eastAsia="Times New Roman" w:hAnsi="Times New Roman"/>
          <w:sz w:val="24"/>
          <w:szCs w:val="24"/>
          <w:lang w:eastAsia="es-ES"/>
        </w:rPr>
        <w:t>“</w:t>
      </w:r>
      <w:r w:rsidRPr="00DA603A">
        <w:rPr>
          <w:rFonts w:ascii="Times New Roman" w:eastAsia="Times New Roman" w:hAnsi="Times New Roman"/>
          <w:iCs/>
          <w:sz w:val="24"/>
          <w:szCs w:val="24"/>
          <w:lang w:eastAsia="es-ES"/>
        </w:rPr>
        <w:t>Game over</w:t>
      </w:r>
      <w:r w:rsidR="00DA603A">
        <w:rPr>
          <w:rFonts w:ascii="Times New Roman" w:eastAsia="Times New Roman" w:hAnsi="Times New Roman"/>
          <w:iCs/>
          <w:sz w:val="24"/>
          <w:szCs w:val="24"/>
          <w:lang w:eastAsia="es-ES"/>
        </w:rPr>
        <w:t>”</w:t>
      </w:r>
      <w:r w:rsidRPr="00DC29DF">
        <w:rPr>
          <w:rFonts w:ascii="Times New Roman" w:eastAsia="Times New Roman" w:hAnsi="Times New Roman"/>
          <w:sz w:val="24"/>
          <w:szCs w:val="24"/>
          <w:lang w:eastAsia="es-ES"/>
        </w:rPr>
        <w:t xml:space="preserve">. ¡Eh, un momento! Ya está, volvamos atrás, deshagamos lo hecho y retrocedamos. </w:t>
      </w:r>
      <w:r w:rsidR="00DA603A">
        <w:rPr>
          <w:rFonts w:ascii="Times New Roman" w:eastAsia="Times New Roman" w:hAnsi="Times New Roman"/>
          <w:sz w:val="24"/>
          <w:szCs w:val="24"/>
          <w:lang w:eastAsia="es-ES"/>
        </w:rPr>
        <w:t>“</w:t>
      </w:r>
      <w:r w:rsidRPr="00DA603A">
        <w:rPr>
          <w:rFonts w:ascii="Times New Roman" w:eastAsia="Times New Roman" w:hAnsi="Times New Roman"/>
          <w:iCs/>
          <w:sz w:val="24"/>
          <w:szCs w:val="24"/>
          <w:lang w:eastAsia="es-ES"/>
        </w:rPr>
        <w:t>Too late</w:t>
      </w:r>
      <w:r w:rsidR="00DA603A">
        <w:rPr>
          <w:rFonts w:ascii="Times New Roman" w:eastAsia="Times New Roman" w:hAnsi="Times New Roman"/>
          <w:iCs/>
          <w:sz w:val="24"/>
          <w:szCs w:val="24"/>
          <w:lang w:eastAsia="es-ES"/>
        </w:rPr>
        <w:t>”</w:t>
      </w:r>
      <w:r w:rsidRPr="00DC29DF">
        <w:rPr>
          <w:rFonts w:ascii="Times New Roman" w:eastAsia="Times New Roman" w:hAnsi="Times New Roman"/>
          <w:sz w:val="24"/>
          <w:szCs w:val="24"/>
          <w:lang w:eastAsia="es-ES"/>
        </w:rPr>
        <w:t>. Nuestro fuego lento fue la deuda, creímos ser ricos por poder comprar lo que queríam</w:t>
      </w:r>
      <w:r>
        <w:rPr>
          <w:rFonts w:ascii="Times New Roman" w:eastAsia="Times New Roman" w:hAnsi="Times New Roman"/>
          <w:sz w:val="24"/>
          <w:szCs w:val="24"/>
          <w:lang w:eastAsia="es-ES"/>
        </w:rPr>
        <w:t>os sin darnos cuenta de que el “cashflow operativo”</w:t>
      </w:r>
      <w:r w:rsidRPr="00DC29DF">
        <w:rPr>
          <w:rFonts w:ascii="Times New Roman" w:eastAsia="Times New Roman" w:hAnsi="Times New Roman"/>
          <w:sz w:val="24"/>
          <w:szCs w:val="24"/>
          <w:lang w:eastAsia="es-ES"/>
        </w:rPr>
        <w:t xml:space="preserve"> se estaba deteriorando, cuando reaccionamos el juego se acabó. </w:t>
      </w:r>
      <w:r w:rsidRPr="00DC29DF">
        <w:rPr>
          <w:rFonts w:ascii="Times New Roman" w:eastAsia="Times New Roman" w:hAnsi="Times New Roman"/>
          <w:bCs/>
          <w:sz w:val="24"/>
          <w:szCs w:val="24"/>
          <w:lang w:eastAsia="es-ES"/>
        </w:rPr>
        <w:t>El remedio dado por el marketing político ante la asimétrica situación fue abrir el grifo del crédito hasta que la carga ha resultado brutal</w:t>
      </w:r>
      <w:r w:rsidRPr="00DC29DF">
        <w:rPr>
          <w:rFonts w:ascii="Times New Roman" w:eastAsia="Times New Roman" w:hAnsi="Times New Roman"/>
          <w:sz w:val="24"/>
          <w:szCs w:val="24"/>
          <w:lang w:eastAsia="es-ES"/>
        </w:rPr>
        <w:t xml:space="preserve">. </w:t>
      </w:r>
      <w:r w:rsidR="00DA603A">
        <w:rPr>
          <w:rFonts w:ascii="Times New Roman" w:eastAsia="Times New Roman" w:hAnsi="Times New Roman"/>
          <w:sz w:val="24"/>
          <w:szCs w:val="24"/>
          <w:lang w:eastAsia="es-ES"/>
        </w:rPr>
        <w:t>“</w:t>
      </w:r>
      <w:r w:rsidRPr="00DA603A">
        <w:rPr>
          <w:rFonts w:ascii="Times New Roman" w:eastAsia="Times New Roman" w:hAnsi="Times New Roman"/>
          <w:iCs/>
          <w:sz w:val="24"/>
          <w:szCs w:val="24"/>
          <w:lang w:eastAsia="es-ES"/>
        </w:rPr>
        <w:t>The end</w:t>
      </w:r>
      <w:r w:rsidR="00DA603A">
        <w:rPr>
          <w:rFonts w:ascii="Times New Roman" w:eastAsia="Times New Roman" w:hAnsi="Times New Roman"/>
          <w:iCs/>
          <w:sz w:val="24"/>
          <w:szCs w:val="24"/>
          <w:lang w:eastAsia="es-ES"/>
        </w:rPr>
        <w:t>”</w:t>
      </w:r>
      <w:r>
        <w:rPr>
          <w:rFonts w:ascii="Times New Roman" w:eastAsia="Times New Roman" w:hAnsi="Times New Roman"/>
          <w:sz w:val="24"/>
          <w:szCs w:val="24"/>
          <w:lang w:eastAsia="es-ES"/>
        </w:rPr>
        <w:t>…</w:t>
      </w:r>
    </w:p>
    <w:p w:rsidR="00DC29DF" w:rsidRPr="00840117" w:rsidRDefault="00DC29DF"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             </w:t>
      </w:r>
      <w:r>
        <w:rPr>
          <w:rFonts w:ascii="Times New Roman" w:eastAsia="Times New Roman" w:hAnsi="Times New Roman"/>
          <w:noProof/>
          <w:color w:val="0000FF"/>
          <w:sz w:val="24"/>
          <w:szCs w:val="24"/>
          <w:lang w:eastAsia="es-ES"/>
        </w:rPr>
        <w:drawing>
          <wp:inline distT="0" distB="0" distL="0" distR="0" wp14:anchorId="1A19B04E" wp14:editId="668D6677">
            <wp:extent cx="4762500" cy="3994150"/>
            <wp:effectExtent l="0" t="0" r="0" b="6350"/>
            <wp:docPr id="117" name="Imagen 117" descr="201109065plusvalor">
              <a:hlinkClick xmlns:a="http://schemas.openxmlformats.org/drawingml/2006/main" r:id="rId2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109065plusvalor"/>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762500" cy="3994150"/>
                    </a:xfrm>
                    <a:prstGeom prst="rect">
                      <a:avLst/>
                    </a:prstGeom>
                    <a:noFill/>
                    <a:ln>
                      <a:noFill/>
                    </a:ln>
                  </pic:spPr>
                </pic:pic>
              </a:graphicData>
            </a:graphic>
          </wp:inline>
        </w:drawing>
      </w:r>
    </w:p>
    <w:p w:rsidR="00DC29DF" w:rsidRDefault="00DC29DF" w:rsidP="00387350">
      <w:pPr>
        <w:spacing w:after="0" w:line="240" w:lineRule="auto"/>
        <w:jc w:val="both"/>
        <w:rPr>
          <w:rFonts w:ascii="Times New Roman" w:eastAsia="Times New Roman" w:hAnsi="Times New Roman"/>
          <w:sz w:val="24"/>
          <w:szCs w:val="24"/>
          <w:lang w:eastAsia="es-ES"/>
        </w:rPr>
      </w:pPr>
    </w:p>
    <w:p w:rsidR="00DC29DF" w:rsidRDefault="00DC29DF" w:rsidP="00387350">
      <w:pPr>
        <w:pStyle w:val="NormalWeb"/>
        <w:jc w:val="both"/>
      </w:pPr>
      <w:r w:rsidRPr="00DC29DF">
        <w:t xml:space="preserve">Llegamos a un punto en que la balanza ya no está inclinada, sino rota, y eso tiene consecuencias. Roubini lo expresa perfectamente en una simple frase: </w:t>
      </w:r>
      <w:r w:rsidRPr="00DA603A">
        <w:rPr>
          <w:iCs/>
        </w:rPr>
        <w:t xml:space="preserve">“Marx tenía razón, llegado un punto, el capitalismo puede autodestruirse, porque </w:t>
      </w:r>
      <w:r w:rsidRPr="00DA603A">
        <w:rPr>
          <w:bCs/>
          <w:iCs/>
        </w:rPr>
        <w:t>no se puede seguir trasladando ingresos del trabajo al capital sin tener un exceso de capacidad y una falta de demanda agregada</w:t>
      </w:r>
      <w:r w:rsidRPr="00DA603A">
        <w:rPr>
          <w:iCs/>
        </w:rPr>
        <w:t>”</w:t>
      </w:r>
      <w:r w:rsidRPr="00DC29DF">
        <w:t xml:space="preserve">. Como ya he comentado no creo que el problema esté en la plusvalía y por tanto tampoco que el capitalismo vaya a autodestruirse, pero sí que es cierto es que todo lo que vemos conduce a la misma situación: </w:t>
      </w:r>
      <w:r w:rsidRPr="00DC29DF">
        <w:rPr>
          <w:bCs/>
        </w:rPr>
        <w:t>mientras por una parte vemos una liquidez global absolutamente brutal correteando de un lado para otro en busca de activos a donde ir, por la otra esas mismas inversiones necesitan empresas rentables con consumidores, y los consumidores han desparecido. El dinero que es excesivo en un lado es necesario en el otro, la economía real necesita algunos de los recursos de la economía financiera</w:t>
      </w:r>
      <w:r w:rsidRPr="00DC29DF">
        <w:t>. Más deuda ya no es solución</w:t>
      </w:r>
      <w:r>
        <w:t>”..</w:t>
      </w:r>
      <w:r w:rsidRPr="00DC29DF">
        <w:t>.</w:t>
      </w:r>
      <w:r>
        <w:t xml:space="preserve"> </w:t>
      </w:r>
      <w:r w:rsidRPr="00840117">
        <w:rPr>
          <w:u w:val="single"/>
        </w:rPr>
        <w:t>El capitalismo asimétrico tiene fisuras</w:t>
      </w:r>
      <w:r w:rsidRPr="00840117">
        <w:t xml:space="preserve"> (El Confidencial </w:t>
      </w:r>
      <w:r>
        <w:t>-</w:t>
      </w:r>
      <w:r w:rsidRPr="00840117">
        <w:t xml:space="preserve"> </w:t>
      </w:r>
      <w:r w:rsidRPr="00840117">
        <w:rPr>
          <w:b/>
        </w:rPr>
        <w:t>7/9/11</w:t>
      </w:r>
      <w:r w:rsidRPr="00840117">
        <w:t>)</w:t>
      </w:r>
    </w:p>
    <w:p w:rsidR="00DC29DF" w:rsidRPr="00DC29DF" w:rsidRDefault="00DC29DF" w:rsidP="00387350">
      <w:pPr>
        <w:pStyle w:val="NormalWeb"/>
        <w:jc w:val="both"/>
      </w:pPr>
      <w:r>
        <w:t>“</w:t>
      </w:r>
      <w:r w:rsidRPr="00DC29DF">
        <w:t>Las protestas de este año por todo el mundo han expresado la preocupación de la clase media y trabajadora ante su futuro económico, el aumento de la desigualdad de los salarios y la riqueza, y la concentración de poder por la élite.</w:t>
      </w:r>
    </w:p>
    <w:p w:rsidR="00DC29DF" w:rsidRPr="00DC29DF" w:rsidRDefault="00DC29DF" w:rsidP="00387350">
      <w:pPr>
        <w:spacing w:before="100" w:beforeAutospacing="1" w:after="100" w:afterAutospacing="1" w:line="240" w:lineRule="auto"/>
        <w:jc w:val="both"/>
        <w:rPr>
          <w:rFonts w:ascii="Times New Roman" w:eastAsia="Times New Roman" w:hAnsi="Times New Roman"/>
          <w:sz w:val="24"/>
          <w:szCs w:val="24"/>
          <w:lang w:eastAsia="es-ES"/>
        </w:rPr>
      </w:pPr>
      <w:r w:rsidRPr="00DC29DF">
        <w:rPr>
          <w:rFonts w:ascii="Times New Roman" w:eastAsia="Times New Roman" w:hAnsi="Times New Roman"/>
          <w:sz w:val="24"/>
          <w:szCs w:val="24"/>
          <w:lang w:eastAsia="es-ES"/>
        </w:rPr>
        <w:t xml:space="preserve">El argumento de que el 99% de la población se hunde, mientras que el 1% prospera, tal vez simplifique una realidad compleja, pero suena certero; el capitalismo no regulado y la globalización no han beneficiado a todos, y entre sus consecuencias adversas se incluyen las pérdidas masivas de empleo, </w:t>
      </w:r>
      <w:r w:rsidRPr="00DC29DF">
        <w:rPr>
          <w:rFonts w:ascii="Times New Roman" w:eastAsia="Times New Roman" w:hAnsi="Times New Roman"/>
          <w:bCs/>
          <w:sz w:val="24"/>
          <w:szCs w:val="24"/>
          <w:lang w:eastAsia="es-ES"/>
        </w:rPr>
        <w:t>un crecimiento salarial mediocre y un aumento de las desigualdades.</w:t>
      </w:r>
    </w:p>
    <w:p w:rsidR="00DC29DF" w:rsidRDefault="00DC29DF" w:rsidP="00387350">
      <w:pPr>
        <w:spacing w:line="240" w:lineRule="auto"/>
        <w:jc w:val="both"/>
        <w:rPr>
          <w:rFonts w:ascii="Times New Roman" w:hAnsi="Times New Roman"/>
          <w:sz w:val="24"/>
          <w:szCs w:val="24"/>
        </w:rPr>
      </w:pPr>
      <w:r w:rsidRPr="00DC29DF">
        <w:rPr>
          <w:rFonts w:ascii="Times New Roman" w:eastAsia="Times New Roman" w:hAnsi="Times New Roman"/>
          <w:sz w:val="24"/>
          <w:szCs w:val="24"/>
          <w:lang w:eastAsia="es-ES"/>
        </w:rPr>
        <w:lastRenderedPageBreak/>
        <w:t>La desigualdad alimenta la inestabilidad sociopolítica y reduce el crecimiento económico</w:t>
      </w:r>
      <w:r w:rsidRPr="00DC29DF">
        <w:rPr>
          <w:rFonts w:ascii="Times New Roman" w:eastAsia="Times New Roman" w:hAnsi="Times New Roman"/>
          <w:bCs/>
          <w:sz w:val="24"/>
          <w:szCs w:val="24"/>
          <w:lang w:eastAsia="es-ES"/>
        </w:rPr>
        <w:t xml:space="preserve">. También conlleva la ausencia de demanda agregada que debilita el crecimiento </w:t>
      </w:r>
      <w:r w:rsidRPr="00DC29DF">
        <w:rPr>
          <w:rFonts w:ascii="Times New Roman" w:eastAsia="Times New Roman" w:hAnsi="Times New Roman"/>
          <w:sz w:val="24"/>
          <w:szCs w:val="24"/>
          <w:lang w:eastAsia="es-ES"/>
        </w:rPr>
        <w:t>porque redistribuye las rentas de los actores con mayor propensión marginal a gastar a los actores con mayor propensión a ahorrar</w:t>
      </w:r>
      <w:r w:rsidR="003676A3">
        <w:rPr>
          <w:rFonts w:ascii="Times New Roman" w:eastAsia="Times New Roman" w:hAnsi="Times New Roman"/>
          <w:sz w:val="24"/>
          <w:szCs w:val="24"/>
          <w:lang w:eastAsia="es-ES"/>
        </w:rPr>
        <w:t>…</w:t>
      </w:r>
    </w:p>
    <w:p w:rsidR="00DC29DF" w:rsidRDefault="00DC29DF" w:rsidP="00387350">
      <w:pPr>
        <w:spacing w:line="240" w:lineRule="auto"/>
        <w:jc w:val="both"/>
        <w:rPr>
          <w:rFonts w:ascii="Times New Roman" w:hAnsi="Times New Roman"/>
          <w:sz w:val="24"/>
          <w:szCs w:val="24"/>
        </w:rPr>
      </w:pPr>
      <w:r>
        <w:rPr>
          <w:rFonts w:ascii="Times New Roman" w:eastAsia="Times New Roman" w:hAnsi="Times New Roman"/>
          <w:noProof/>
          <w:sz w:val="24"/>
          <w:szCs w:val="24"/>
          <w:lang w:eastAsia="es-ES"/>
        </w:rPr>
        <w:drawing>
          <wp:inline distT="0" distB="0" distL="0" distR="0" wp14:anchorId="59A0E408" wp14:editId="0C58E9F7">
            <wp:extent cx="5400040" cy="4396354"/>
            <wp:effectExtent l="0" t="0" r="0" b="4445"/>
            <wp:docPr id="458" name="Imagen 458" descr="diferencias-crecientes-620x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iferencias-crecientes-620x50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400040" cy="4396354"/>
                    </a:xfrm>
                    <a:prstGeom prst="rect">
                      <a:avLst/>
                    </a:prstGeom>
                    <a:noFill/>
                    <a:ln>
                      <a:noFill/>
                    </a:ln>
                  </pic:spPr>
                </pic:pic>
              </a:graphicData>
            </a:graphic>
          </wp:inline>
        </w:drawing>
      </w:r>
    </w:p>
    <w:p w:rsidR="003676A3" w:rsidRPr="003676A3" w:rsidRDefault="003676A3" w:rsidP="00387350">
      <w:pPr>
        <w:spacing w:line="240" w:lineRule="auto"/>
        <w:jc w:val="both"/>
        <w:rPr>
          <w:rFonts w:ascii="Times New Roman" w:hAnsi="Times New Roman"/>
          <w:sz w:val="24"/>
          <w:szCs w:val="24"/>
        </w:rPr>
      </w:pPr>
      <w:r>
        <w:rPr>
          <w:rFonts w:ascii="Times New Roman" w:eastAsia="Times New Roman" w:hAnsi="Times New Roman"/>
          <w:noProof/>
          <w:sz w:val="24"/>
          <w:szCs w:val="24"/>
          <w:lang w:eastAsia="es-ES"/>
        </w:rPr>
        <w:drawing>
          <wp:inline distT="0" distB="0" distL="0" distR="0" wp14:anchorId="4A146127" wp14:editId="0ADFE665">
            <wp:extent cx="5398357" cy="3167481"/>
            <wp:effectExtent l="0" t="0" r="0" b="0"/>
            <wp:docPr id="459" name="Imagen 459" descr="ingresos-paises-620x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ngresos-paises-620x458"/>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400040" cy="3168469"/>
                    </a:xfrm>
                    <a:prstGeom prst="rect">
                      <a:avLst/>
                    </a:prstGeom>
                    <a:noFill/>
                    <a:ln>
                      <a:noFill/>
                    </a:ln>
                  </pic:spPr>
                </pic:pic>
              </a:graphicData>
            </a:graphic>
          </wp:inline>
        </w:drawing>
      </w:r>
    </w:p>
    <w:p w:rsidR="003676A3" w:rsidRPr="003676A3" w:rsidRDefault="003676A3" w:rsidP="00387350">
      <w:pPr>
        <w:spacing w:before="100" w:beforeAutospacing="1" w:after="100" w:afterAutospacing="1" w:line="240" w:lineRule="auto"/>
        <w:jc w:val="both"/>
        <w:rPr>
          <w:rFonts w:ascii="Times New Roman" w:eastAsia="Times New Roman" w:hAnsi="Times New Roman"/>
          <w:sz w:val="24"/>
          <w:szCs w:val="24"/>
          <w:lang w:eastAsia="es-ES"/>
        </w:rPr>
      </w:pPr>
      <w:r w:rsidRPr="003676A3">
        <w:rPr>
          <w:rFonts w:ascii="Times New Roman" w:eastAsia="Times New Roman" w:hAnsi="Times New Roman"/>
          <w:sz w:val="24"/>
          <w:szCs w:val="24"/>
          <w:lang w:eastAsia="es-ES"/>
        </w:rPr>
        <w:lastRenderedPageBreak/>
        <w:t>Cualquier modelo económico que no aborde debidamente las desigualdades suministrando servicios públicos y oportunidades económicas a todos está abocado a enfrentarse a una crisis de legitimidad. Muchos estudios de investigación académica, incluido uno reciente del Fondo Monetario Internacional (FMI),</w:t>
      </w:r>
      <w:r w:rsidRPr="003676A3">
        <w:rPr>
          <w:rFonts w:ascii="Times New Roman" w:eastAsia="Times New Roman" w:hAnsi="Times New Roman"/>
          <w:bCs/>
          <w:sz w:val="24"/>
          <w:szCs w:val="24"/>
          <w:lang w:eastAsia="es-ES"/>
        </w:rPr>
        <w:t xml:space="preserve"> demuestran que el ensanchamiento de la desigualdad conduce a un menor crecimiento económico. </w:t>
      </w:r>
    </w:p>
    <w:p w:rsidR="003676A3" w:rsidRPr="003676A3" w:rsidRDefault="003676A3" w:rsidP="00387350">
      <w:pPr>
        <w:spacing w:before="100" w:beforeAutospacing="1" w:after="100" w:afterAutospacing="1" w:line="240" w:lineRule="auto"/>
        <w:jc w:val="both"/>
        <w:rPr>
          <w:rFonts w:ascii="Times New Roman" w:eastAsia="Times New Roman" w:hAnsi="Times New Roman"/>
          <w:sz w:val="24"/>
          <w:szCs w:val="24"/>
          <w:lang w:eastAsia="es-ES"/>
        </w:rPr>
      </w:pPr>
      <w:r w:rsidRPr="003676A3">
        <w:rPr>
          <w:rFonts w:ascii="Times New Roman" w:eastAsia="Times New Roman" w:hAnsi="Times New Roman"/>
          <w:sz w:val="24"/>
          <w:szCs w:val="24"/>
          <w:lang w:eastAsia="es-ES"/>
        </w:rPr>
        <w:t>Incluso dejando de lado la cuestión de la justicia, la desigualdad también es negativa siguiendo el criter</w:t>
      </w:r>
      <w:r>
        <w:rPr>
          <w:rFonts w:ascii="Times New Roman" w:eastAsia="Times New Roman" w:hAnsi="Times New Roman"/>
          <w:sz w:val="24"/>
          <w:szCs w:val="24"/>
          <w:lang w:eastAsia="es-ES"/>
        </w:rPr>
        <w:t>io tradicional económico de la “eficiencia”</w:t>
      </w:r>
      <w:r w:rsidRPr="003676A3">
        <w:rPr>
          <w:rFonts w:ascii="Times New Roman" w:eastAsia="Times New Roman" w:hAnsi="Times New Roman"/>
          <w:sz w:val="24"/>
          <w:szCs w:val="24"/>
          <w:lang w:eastAsia="es-ES"/>
        </w:rPr>
        <w:t xml:space="preserve">. Y la frecuencia, gravedad y consecuencias recientes de las crisis económicas y financieras, en parte provocadas por el aumento de la desigualdad y la inseguridad salarial, son perjudiciales y podrían provocar una reacción contra la globalización y las reformas de mercado. Por ello, </w:t>
      </w:r>
      <w:r w:rsidRPr="003676A3">
        <w:rPr>
          <w:rFonts w:ascii="Times New Roman" w:eastAsia="Times New Roman" w:hAnsi="Times New Roman"/>
          <w:bCs/>
          <w:sz w:val="24"/>
          <w:szCs w:val="24"/>
          <w:lang w:eastAsia="es-ES"/>
        </w:rPr>
        <w:t xml:space="preserve">es necesario encontrar una tercera vía que equilibre el papel de los mercados y los estados en la economía. </w:t>
      </w:r>
    </w:p>
    <w:p w:rsidR="003676A3" w:rsidRDefault="003676A3" w:rsidP="00387350">
      <w:pPr>
        <w:spacing w:line="240" w:lineRule="auto"/>
        <w:jc w:val="both"/>
        <w:rPr>
          <w:rFonts w:ascii="Times New Roman" w:hAnsi="Times New Roman"/>
          <w:sz w:val="24"/>
          <w:szCs w:val="24"/>
        </w:rPr>
      </w:pPr>
      <w:r w:rsidRPr="003676A3">
        <w:rPr>
          <w:rFonts w:ascii="Times New Roman" w:eastAsia="Times New Roman" w:hAnsi="Times New Roman"/>
          <w:sz w:val="24"/>
          <w:szCs w:val="24"/>
          <w:lang w:eastAsia="es-ES"/>
        </w:rPr>
        <w:t xml:space="preserve">De lo contrario, las protestas de 2011 adquirirán más importancia y provocarán una inestabilidad social y política trastornadora, que acabará minando el crecimiento económico a largo plazo y el bienestar, y </w:t>
      </w:r>
      <w:r w:rsidRPr="003676A3">
        <w:rPr>
          <w:rFonts w:ascii="Times New Roman" w:eastAsia="Times New Roman" w:hAnsi="Times New Roman"/>
          <w:bCs/>
          <w:sz w:val="24"/>
          <w:szCs w:val="24"/>
          <w:lang w:eastAsia="es-ES"/>
        </w:rPr>
        <w:t>desencadenará una reacción contra la globalización y las economías de mercado</w:t>
      </w:r>
      <w:r w:rsidRPr="003676A3">
        <w:rPr>
          <w:rFonts w:ascii="Times New Roman" w:eastAsia="Times New Roman" w:hAnsi="Times New Roman"/>
          <w:sz w:val="24"/>
          <w:szCs w:val="24"/>
          <w:lang w:eastAsia="es-ES"/>
        </w:rPr>
        <w:t xml:space="preserve"> tanto en las economías avanzadas como en las emergentes”</w:t>
      </w:r>
      <w:r>
        <w:rPr>
          <w:rFonts w:ascii="Times New Roman" w:eastAsia="Times New Roman" w:hAnsi="Times New Roman"/>
          <w:sz w:val="24"/>
          <w:szCs w:val="24"/>
          <w:lang w:eastAsia="es-ES"/>
        </w:rPr>
        <w:t>…</w:t>
      </w:r>
      <w:r w:rsidRPr="003676A3">
        <w:rPr>
          <w:rFonts w:ascii="Times New Roman" w:eastAsia="Times New Roman" w:hAnsi="Times New Roman"/>
          <w:sz w:val="24"/>
          <w:szCs w:val="24"/>
          <w:lang w:eastAsia="es-ES"/>
        </w:rPr>
        <w:t xml:space="preserve"> </w:t>
      </w:r>
      <w:r w:rsidRPr="00383052">
        <w:rPr>
          <w:rFonts w:ascii="Times New Roman" w:hAnsi="Times New Roman"/>
          <w:sz w:val="24"/>
          <w:szCs w:val="24"/>
          <w:u w:val="single"/>
        </w:rPr>
        <w:t>Nouriel Roubini: Los peligrosos efectos de la desigualdad</w:t>
      </w:r>
      <w:r>
        <w:rPr>
          <w:rFonts w:ascii="Times New Roman" w:hAnsi="Times New Roman"/>
          <w:sz w:val="24"/>
          <w:szCs w:val="24"/>
        </w:rPr>
        <w:t xml:space="preserve"> (El Economista - </w:t>
      </w:r>
      <w:r w:rsidRPr="00383052">
        <w:rPr>
          <w:rFonts w:ascii="Times New Roman" w:hAnsi="Times New Roman"/>
          <w:b/>
          <w:sz w:val="24"/>
          <w:szCs w:val="24"/>
        </w:rPr>
        <w:t>17/10/11</w:t>
      </w:r>
      <w:r>
        <w:rPr>
          <w:rFonts w:ascii="Times New Roman" w:hAnsi="Times New Roman"/>
          <w:sz w:val="24"/>
          <w:szCs w:val="24"/>
        </w:rPr>
        <w:t>)</w:t>
      </w:r>
    </w:p>
    <w:p w:rsidR="003676A3" w:rsidRDefault="003676A3" w:rsidP="00387350">
      <w:pPr>
        <w:spacing w:line="240" w:lineRule="auto"/>
        <w:jc w:val="both"/>
        <w:rPr>
          <w:rFonts w:ascii="Times New Roman" w:hAnsi="Times New Roman"/>
          <w:sz w:val="24"/>
          <w:szCs w:val="24"/>
        </w:rPr>
      </w:pPr>
      <w:r>
        <w:rPr>
          <w:rFonts w:ascii="Times New Roman" w:hAnsi="Times New Roman"/>
          <w:sz w:val="24"/>
          <w:szCs w:val="24"/>
        </w:rPr>
        <w:t>“</w:t>
      </w:r>
      <w:r w:rsidRPr="003676A3">
        <w:rPr>
          <w:rFonts w:ascii="Times New Roman" w:hAnsi="Times New Roman"/>
          <w:sz w:val="24"/>
          <w:szCs w:val="24"/>
        </w:rPr>
        <w:t>La crisis financiera mundial ha hecho mucha mella en el empleo. España es el ejemplo más dramático. El parte, de momento, arroja cinco millones de parados, antes 1,8. Pero la factura en puestos de trabajo ha sido alta en casi todo el mundo. Cicatrizar esta herida costará mucho tiempo. La Organización Internacional del Trabajo (OIT) calcula que harán falta cinco años, hasta 2016. Según los cálculos de la agencia dependiente de la ONU, recuperar los niveles de empleo previos al estallido financiero precisa 80 mil</w:t>
      </w:r>
      <w:r>
        <w:rPr>
          <w:rFonts w:ascii="Times New Roman" w:hAnsi="Times New Roman"/>
          <w:sz w:val="24"/>
          <w:szCs w:val="24"/>
        </w:rPr>
        <w:t>lones de empleos. Sin embargo, “</w:t>
      </w:r>
      <w:r w:rsidRPr="003676A3">
        <w:rPr>
          <w:rFonts w:ascii="Times New Roman" w:hAnsi="Times New Roman"/>
          <w:sz w:val="24"/>
          <w:szCs w:val="24"/>
        </w:rPr>
        <w:t>la re</w:t>
      </w:r>
      <w:r>
        <w:rPr>
          <w:rFonts w:ascii="Times New Roman" w:hAnsi="Times New Roman"/>
          <w:sz w:val="24"/>
          <w:szCs w:val="24"/>
        </w:rPr>
        <w:t>ciente desaceleración económica”</w:t>
      </w:r>
      <w:r w:rsidRPr="003676A3">
        <w:rPr>
          <w:rFonts w:ascii="Times New Roman" w:hAnsi="Times New Roman"/>
          <w:sz w:val="24"/>
          <w:szCs w:val="24"/>
        </w:rPr>
        <w:t xml:space="preserve"> hace que esto no sea posible a corto plazo, por lo que retrasa un año su pronóstico inicial de recuperación</w:t>
      </w:r>
      <w:r>
        <w:rPr>
          <w:rFonts w:ascii="Times New Roman" w:hAnsi="Times New Roman"/>
          <w:sz w:val="24"/>
          <w:szCs w:val="24"/>
        </w:rPr>
        <w:t>…</w:t>
      </w:r>
    </w:p>
    <w:p w:rsidR="003676A3" w:rsidRPr="003676A3" w:rsidRDefault="003676A3" w:rsidP="00387350">
      <w:pPr>
        <w:spacing w:line="240" w:lineRule="auto"/>
        <w:jc w:val="both"/>
        <w:rPr>
          <w:rFonts w:ascii="Times New Roman" w:hAnsi="Times New Roman"/>
          <w:sz w:val="24"/>
          <w:szCs w:val="24"/>
        </w:rPr>
      </w:pPr>
      <w:r w:rsidRPr="003676A3">
        <w:rPr>
          <w:rFonts w:ascii="Times New Roman" w:hAnsi="Times New Roman"/>
          <w:sz w:val="24"/>
          <w:szCs w:val="24"/>
        </w:rPr>
        <w:t>Entre las advertencias que lanza el organismo internacional está la del aumento del descontento social, que, según las encuestas que maneja, ha crecido en el 40% de los países estudiados (119) como consecuencia de que han empeorado las condiciones de vida. Tomando como base los estudios sociológicos de la empresa de sondeos estadounidense Gallup, la OIT apunta a que es en las economías avanzadas donde más posibilidades hay de que avance más el descontento social.</w:t>
      </w:r>
    </w:p>
    <w:p w:rsidR="003676A3" w:rsidRDefault="003676A3" w:rsidP="00387350">
      <w:pPr>
        <w:spacing w:line="240" w:lineRule="auto"/>
        <w:jc w:val="both"/>
        <w:rPr>
          <w:rFonts w:ascii="Times New Roman" w:hAnsi="Times New Roman"/>
          <w:sz w:val="24"/>
          <w:szCs w:val="24"/>
        </w:rPr>
      </w:pPr>
      <w:r w:rsidRPr="003676A3">
        <w:rPr>
          <w:rFonts w:ascii="Times New Roman" w:hAnsi="Times New Roman"/>
          <w:sz w:val="24"/>
          <w:szCs w:val="24"/>
        </w:rPr>
        <w:t>El argumento de la OIT encaja con los datos conocidos ayer de la evolución del paro en la zona euro. Desde que se puso en marcha la moneda única nunca hubo tantos desempleados. Según los datos que ayer publicó Eurostat, en la eurozona hay 16,2 millones, cinco más que cuando comenzó la crisis. La tasa de paro ha llegado en septiembre al 10,2. En el conjunto de la Unión Europea, el paro se ha situado en el 9,7%, con 23,2 millones de parados</w:t>
      </w:r>
      <w:r>
        <w:rPr>
          <w:rFonts w:ascii="Times New Roman" w:hAnsi="Times New Roman"/>
          <w:sz w:val="24"/>
          <w:szCs w:val="24"/>
        </w:rPr>
        <w:t>”..</w:t>
      </w:r>
      <w:r w:rsidRPr="003676A3">
        <w:rPr>
          <w:rFonts w:ascii="Times New Roman" w:hAnsi="Times New Roman"/>
          <w:sz w:val="24"/>
          <w:szCs w:val="24"/>
        </w:rPr>
        <w:t>.</w:t>
      </w:r>
      <w:r>
        <w:rPr>
          <w:rFonts w:ascii="Times New Roman" w:hAnsi="Times New Roman"/>
          <w:sz w:val="24"/>
          <w:szCs w:val="24"/>
        </w:rPr>
        <w:t xml:space="preserve"> </w:t>
      </w:r>
      <w:r w:rsidRPr="00D15B16">
        <w:rPr>
          <w:rFonts w:ascii="Times New Roman" w:hAnsi="Times New Roman"/>
          <w:sz w:val="24"/>
          <w:szCs w:val="24"/>
          <w:u w:val="single"/>
        </w:rPr>
        <w:t>La OIT vaticina que la crisis de empleo seguirá hasta 2016</w:t>
      </w:r>
      <w:r>
        <w:rPr>
          <w:rFonts w:ascii="Times New Roman" w:hAnsi="Times New Roman"/>
          <w:sz w:val="24"/>
          <w:szCs w:val="24"/>
        </w:rPr>
        <w:t xml:space="preserve"> (El País - </w:t>
      </w:r>
      <w:r w:rsidRPr="00D15B16">
        <w:rPr>
          <w:rFonts w:ascii="Times New Roman" w:hAnsi="Times New Roman"/>
          <w:b/>
          <w:sz w:val="24"/>
          <w:szCs w:val="24"/>
        </w:rPr>
        <w:t>1/11/11</w:t>
      </w:r>
      <w:r>
        <w:rPr>
          <w:rFonts w:ascii="Times New Roman" w:hAnsi="Times New Roman"/>
          <w:sz w:val="24"/>
          <w:szCs w:val="24"/>
        </w:rPr>
        <w:t>)</w:t>
      </w:r>
    </w:p>
    <w:p w:rsidR="007D7E3D" w:rsidRPr="007D7E3D" w:rsidRDefault="007D7E3D"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7D7E3D">
        <w:rPr>
          <w:rFonts w:ascii="Times New Roman" w:eastAsia="Times New Roman" w:hAnsi="Times New Roman"/>
          <w:sz w:val="24"/>
          <w:szCs w:val="24"/>
          <w:lang w:eastAsia="es-ES"/>
        </w:rPr>
        <w:t xml:space="preserve">Pese a que ya han transcurrido dos años desde que Estados Unidos salió de la recesión, muchos de sus ciudadanos sienten que no es mucho lo que ha cambiado. La economía se sigue recuperando a paso de tortuga de una crisis que no respetó edad, sexo, región ni profesión. </w:t>
      </w:r>
    </w:p>
    <w:p w:rsidR="007D7E3D" w:rsidRPr="007D7E3D" w:rsidRDefault="007D7E3D" w:rsidP="00387350">
      <w:pPr>
        <w:spacing w:after="0" w:line="240" w:lineRule="auto"/>
        <w:jc w:val="both"/>
        <w:rPr>
          <w:rFonts w:ascii="Times New Roman" w:eastAsia="Times New Roman" w:hAnsi="Times New Roman"/>
          <w:sz w:val="24"/>
          <w:szCs w:val="24"/>
          <w:lang w:eastAsia="es-ES"/>
        </w:rPr>
      </w:pPr>
    </w:p>
    <w:p w:rsidR="007D7E3D" w:rsidRPr="007D7E3D" w:rsidRDefault="007D7E3D" w:rsidP="00387350">
      <w:pPr>
        <w:spacing w:after="0" w:line="240" w:lineRule="auto"/>
        <w:jc w:val="both"/>
        <w:rPr>
          <w:rFonts w:ascii="Times New Roman" w:eastAsia="Times New Roman" w:hAnsi="Times New Roman"/>
          <w:sz w:val="24"/>
          <w:szCs w:val="24"/>
          <w:lang w:eastAsia="es-ES"/>
        </w:rPr>
      </w:pPr>
      <w:r w:rsidRPr="007D7E3D">
        <w:rPr>
          <w:rFonts w:ascii="Times New Roman" w:eastAsia="Times New Roman" w:hAnsi="Times New Roman"/>
          <w:sz w:val="24"/>
          <w:szCs w:val="24"/>
          <w:lang w:eastAsia="es-ES"/>
        </w:rPr>
        <w:lastRenderedPageBreak/>
        <w:t xml:space="preserve">Una serie de estadísticas sombrías sirve como telón de fondo de los numerosos estadounidenses obligados a cambiar de carrera, volver a vivir con sus padres o reducir drásticamente sus gastos para ajustarse a sus nuevas circunstancias. </w:t>
      </w:r>
    </w:p>
    <w:p w:rsidR="007D7E3D" w:rsidRPr="007D7E3D" w:rsidRDefault="007D7E3D" w:rsidP="00387350">
      <w:pPr>
        <w:spacing w:after="0" w:line="240" w:lineRule="auto"/>
        <w:jc w:val="both"/>
        <w:rPr>
          <w:rFonts w:ascii="Times New Roman" w:eastAsia="Times New Roman" w:hAnsi="Times New Roman"/>
          <w:sz w:val="24"/>
          <w:szCs w:val="24"/>
          <w:lang w:eastAsia="es-ES"/>
        </w:rPr>
      </w:pPr>
    </w:p>
    <w:p w:rsidR="007D7E3D" w:rsidRPr="007D7E3D" w:rsidRDefault="007D7E3D" w:rsidP="00387350">
      <w:pPr>
        <w:spacing w:after="0" w:line="240" w:lineRule="auto"/>
        <w:jc w:val="both"/>
        <w:rPr>
          <w:rFonts w:ascii="Times New Roman" w:eastAsia="Times New Roman" w:hAnsi="Times New Roman"/>
          <w:sz w:val="24"/>
          <w:szCs w:val="24"/>
          <w:lang w:eastAsia="es-ES"/>
        </w:rPr>
      </w:pPr>
      <w:r w:rsidRPr="007D7E3D">
        <w:rPr>
          <w:rFonts w:ascii="Times New Roman" w:eastAsia="Times New Roman" w:hAnsi="Times New Roman"/>
          <w:sz w:val="24"/>
          <w:szCs w:val="24"/>
          <w:lang w:eastAsia="es-ES"/>
        </w:rPr>
        <w:t>Una cifra, el ingreso mediano por familia, es decir el que está precisamente en la mitad, descendió 3,2% a US$</w:t>
      </w:r>
      <w:r>
        <w:rPr>
          <w:rFonts w:ascii="Times New Roman" w:eastAsia="Times New Roman" w:hAnsi="Times New Roman"/>
          <w:sz w:val="24"/>
          <w:szCs w:val="24"/>
          <w:lang w:eastAsia="es-ES"/>
        </w:rPr>
        <w:t xml:space="preserve"> </w:t>
      </w:r>
      <w:r w:rsidRPr="007D7E3D">
        <w:rPr>
          <w:rFonts w:ascii="Times New Roman" w:eastAsia="Times New Roman" w:hAnsi="Times New Roman"/>
          <w:sz w:val="24"/>
          <w:szCs w:val="24"/>
          <w:lang w:eastAsia="es-ES"/>
        </w:rPr>
        <w:t xml:space="preserve">53.518 durante la recesión de 2007-2009. Entre junio de 2009 y junio de 2011 cayó otro 6,7% según un análisis de los datos mensuales de la Oficina del Censo. </w:t>
      </w:r>
    </w:p>
    <w:p w:rsidR="007D7E3D" w:rsidRPr="007D7E3D" w:rsidRDefault="007D7E3D" w:rsidP="00387350">
      <w:pPr>
        <w:spacing w:after="0" w:line="240" w:lineRule="auto"/>
        <w:jc w:val="both"/>
        <w:rPr>
          <w:rFonts w:ascii="Times New Roman" w:eastAsia="Times New Roman" w:hAnsi="Times New Roman"/>
          <w:sz w:val="24"/>
          <w:szCs w:val="24"/>
          <w:lang w:eastAsia="es-ES"/>
        </w:rPr>
      </w:pPr>
    </w:p>
    <w:p w:rsidR="007D7E3D" w:rsidRDefault="007D7E3D" w:rsidP="00387350">
      <w:pPr>
        <w:spacing w:after="0" w:line="240" w:lineRule="auto"/>
        <w:jc w:val="both"/>
        <w:rPr>
          <w:rFonts w:ascii="Times New Roman" w:eastAsia="Times New Roman" w:hAnsi="Times New Roman"/>
          <w:sz w:val="24"/>
          <w:szCs w:val="24"/>
          <w:lang w:eastAsia="es-ES"/>
        </w:rPr>
      </w:pPr>
      <w:r w:rsidRPr="007D7E3D">
        <w:rPr>
          <w:rFonts w:ascii="Times New Roman" w:eastAsia="Times New Roman" w:hAnsi="Times New Roman"/>
          <w:sz w:val="24"/>
          <w:szCs w:val="24"/>
          <w:lang w:eastAsia="es-ES"/>
        </w:rPr>
        <w:t>Otros datos pintan un panorama igual de sombrío. La última recesión sólo fue superada en duración y fuerza por la Gran Depresión de los años 30. La producción total de bienes y servicios demoró dos años en retomar el nivel anterior a la crisis, el lapso más prolongado desde el fin de la Segunda Guerra Mundial. El PIB per cápita, a su vez, aún permanece 3% por debajo del de fines de 2007</w:t>
      </w:r>
      <w:r>
        <w:rPr>
          <w:rFonts w:ascii="Times New Roman" w:eastAsia="Times New Roman" w:hAnsi="Times New Roman"/>
          <w:sz w:val="24"/>
          <w:szCs w:val="24"/>
          <w:lang w:eastAsia="es-ES"/>
        </w:rPr>
        <w:t>”..</w:t>
      </w:r>
      <w:r w:rsidRPr="007D7E3D">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EEUU</w:t>
      </w:r>
      <w:r w:rsidRPr="009013D5">
        <w:rPr>
          <w:rFonts w:ascii="Times New Roman" w:eastAsia="Times New Roman" w:hAnsi="Times New Roman"/>
          <w:sz w:val="24"/>
          <w:szCs w:val="24"/>
          <w:u w:val="single"/>
          <w:lang w:eastAsia="es-ES"/>
        </w:rPr>
        <w:t>: Una recuperación con sabor a recesión</w:t>
      </w:r>
      <w:r>
        <w:rPr>
          <w:rFonts w:ascii="Times New Roman" w:eastAsia="Times New Roman" w:hAnsi="Times New Roman"/>
          <w:sz w:val="24"/>
          <w:szCs w:val="24"/>
          <w:lang w:eastAsia="es-ES"/>
        </w:rPr>
        <w:t xml:space="preserve"> (The Wall Street Journal - </w:t>
      </w:r>
      <w:r w:rsidRPr="009013D5">
        <w:rPr>
          <w:rFonts w:ascii="Times New Roman" w:eastAsia="Times New Roman" w:hAnsi="Times New Roman"/>
          <w:b/>
          <w:sz w:val="24"/>
          <w:szCs w:val="24"/>
          <w:lang w:eastAsia="es-ES"/>
        </w:rPr>
        <w:t>1/11/11</w:t>
      </w:r>
      <w:r>
        <w:rPr>
          <w:rFonts w:ascii="Times New Roman" w:eastAsia="Times New Roman" w:hAnsi="Times New Roman"/>
          <w:sz w:val="24"/>
          <w:szCs w:val="24"/>
          <w:lang w:eastAsia="es-ES"/>
        </w:rPr>
        <w:t>)</w:t>
      </w:r>
    </w:p>
    <w:p w:rsidR="007D7E3D" w:rsidRDefault="007D7E3D" w:rsidP="00387350">
      <w:pPr>
        <w:spacing w:after="0" w:line="240" w:lineRule="auto"/>
        <w:jc w:val="both"/>
        <w:rPr>
          <w:rFonts w:ascii="Times New Roman" w:eastAsia="Times New Roman" w:hAnsi="Times New Roman"/>
          <w:sz w:val="24"/>
          <w:szCs w:val="24"/>
          <w:lang w:eastAsia="es-ES"/>
        </w:rPr>
      </w:pPr>
    </w:p>
    <w:p w:rsidR="007D7E3D" w:rsidRPr="009013D5" w:rsidRDefault="007D7E3D" w:rsidP="00387350">
      <w:pPr>
        <w:spacing w:after="0" w:line="240" w:lineRule="auto"/>
        <w:jc w:val="both"/>
        <w:rPr>
          <w:rFonts w:ascii="Times New Roman" w:eastAsia="Times New Roman" w:hAnsi="Times New Roman"/>
          <w:sz w:val="24"/>
          <w:szCs w:val="24"/>
          <w:lang w:eastAsia="es-ES"/>
        </w:rPr>
      </w:pPr>
      <w:r>
        <w:rPr>
          <w:rFonts w:ascii="Arial" w:eastAsia="Times New Roman" w:hAnsi="Arial" w:cs="Arial"/>
          <w:noProof/>
          <w:color w:val="000000"/>
          <w:sz w:val="15"/>
          <w:szCs w:val="15"/>
          <w:lang w:eastAsia="es-ES"/>
        </w:rPr>
        <w:drawing>
          <wp:inline distT="0" distB="0" distL="0" distR="0" wp14:anchorId="4A966045" wp14:editId="05F81E06">
            <wp:extent cx="5400040" cy="2379732"/>
            <wp:effectExtent l="0" t="0" r="0" b="1905"/>
            <wp:docPr id="155" name="Imagen 155" descr="[wsjamp1nov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wsjamp1nov0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400040" cy="2379732"/>
                    </a:xfrm>
                    <a:prstGeom prst="rect">
                      <a:avLst/>
                    </a:prstGeom>
                    <a:noFill/>
                    <a:ln>
                      <a:noFill/>
                    </a:ln>
                  </pic:spPr>
                </pic:pic>
              </a:graphicData>
            </a:graphic>
          </wp:inline>
        </w:drawing>
      </w:r>
    </w:p>
    <w:p w:rsidR="007D7E3D" w:rsidRPr="007D7E3D" w:rsidRDefault="007D7E3D" w:rsidP="00387350">
      <w:pPr>
        <w:spacing w:after="0" w:line="240" w:lineRule="auto"/>
        <w:jc w:val="both"/>
        <w:rPr>
          <w:rFonts w:ascii="Times New Roman" w:eastAsia="Times New Roman" w:hAnsi="Times New Roman"/>
          <w:sz w:val="24"/>
          <w:szCs w:val="24"/>
          <w:lang w:eastAsia="es-ES"/>
        </w:rPr>
      </w:pPr>
    </w:p>
    <w:p w:rsidR="007D7E3D" w:rsidRPr="007D7E3D" w:rsidRDefault="007D7E3D" w:rsidP="00387350">
      <w:pPr>
        <w:spacing w:line="240" w:lineRule="auto"/>
        <w:jc w:val="both"/>
        <w:rPr>
          <w:rFonts w:ascii="Times New Roman" w:hAnsi="Times New Roman"/>
          <w:sz w:val="24"/>
          <w:szCs w:val="24"/>
        </w:rPr>
      </w:pPr>
      <w:r w:rsidRPr="007D7E3D">
        <w:rPr>
          <w:rFonts w:ascii="Times New Roman" w:hAnsi="Times New Roman"/>
          <w:sz w:val="24"/>
          <w:szCs w:val="24"/>
        </w:rPr>
        <w:t xml:space="preserve">Los datos económicos indican una dura realidad que el debate político general evita. Todos los factores (educación, sanidad, nutrición, pobreza, salarios...) se deterioran rápidamente en una economía en declive. </w:t>
      </w:r>
    </w:p>
    <w:p w:rsidR="007D7E3D" w:rsidRPr="007D7E3D" w:rsidRDefault="007D7E3D" w:rsidP="00387350">
      <w:pPr>
        <w:spacing w:line="240" w:lineRule="auto"/>
        <w:jc w:val="both"/>
        <w:rPr>
          <w:rFonts w:ascii="Times New Roman" w:hAnsi="Times New Roman"/>
          <w:sz w:val="24"/>
          <w:szCs w:val="24"/>
        </w:rPr>
      </w:pPr>
      <w:r w:rsidRPr="007D7E3D">
        <w:rPr>
          <w:rFonts w:ascii="Times New Roman" w:hAnsi="Times New Roman"/>
          <w:sz w:val="24"/>
          <w:szCs w:val="24"/>
        </w:rPr>
        <w:t>“Los Estados Unidos se parecen cada vez más similar a un país del tercer mundo. Los datos económicos indican una dura realidad que el debate político general evita. La evidencia sugiere que, sin</w:t>
      </w:r>
      <w:r>
        <w:rPr>
          <w:rFonts w:ascii="Times New Roman" w:hAnsi="Times New Roman"/>
          <w:sz w:val="24"/>
          <w:szCs w:val="24"/>
        </w:rPr>
        <w:t xml:space="preserve"> reformas fundamentales, los EE</w:t>
      </w:r>
      <w:r w:rsidRPr="007D7E3D">
        <w:rPr>
          <w:rFonts w:ascii="Times New Roman" w:hAnsi="Times New Roman"/>
          <w:sz w:val="24"/>
          <w:szCs w:val="24"/>
        </w:rPr>
        <w:t xml:space="preserve">UU. se convertirán en una nación post-industrial y un nuevo país del tercer mundo en 2032”. Les suena extraño, veamos lo que argumentan los analistas de Seeking Alpha para afirmar esto: Las características fundamentales que definen a un país del Tercer Mundo son el alto desempleo, la falta de oportunidades económicas, los bajos salarios, la pobreza generalizada, la extrema concentración de la riqueza, la deuda pública insostenible, el control del gobierno por los bancos internacionales y corporaciones multinacionales, débil estado de derecho y las políticas contraproducentes del gobierno. </w:t>
      </w:r>
    </w:p>
    <w:p w:rsidR="007D7E3D" w:rsidRPr="007D7E3D" w:rsidRDefault="007D7E3D" w:rsidP="00387350">
      <w:pPr>
        <w:spacing w:line="240" w:lineRule="auto"/>
        <w:jc w:val="both"/>
        <w:rPr>
          <w:rFonts w:ascii="Times New Roman" w:hAnsi="Times New Roman"/>
          <w:sz w:val="24"/>
          <w:szCs w:val="24"/>
        </w:rPr>
      </w:pPr>
      <w:r w:rsidRPr="007D7E3D">
        <w:rPr>
          <w:rFonts w:ascii="Times New Roman" w:hAnsi="Times New Roman"/>
          <w:sz w:val="24"/>
          <w:szCs w:val="24"/>
        </w:rPr>
        <w:t>Todas estas caracter</w:t>
      </w:r>
      <w:r>
        <w:rPr>
          <w:rFonts w:ascii="Times New Roman" w:hAnsi="Times New Roman"/>
          <w:sz w:val="24"/>
          <w:szCs w:val="24"/>
        </w:rPr>
        <w:t>ísticas son evidentes en los EEUU</w:t>
      </w:r>
      <w:r w:rsidRPr="007D7E3D">
        <w:rPr>
          <w:rFonts w:ascii="Times New Roman" w:hAnsi="Times New Roman"/>
          <w:sz w:val="24"/>
          <w:szCs w:val="24"/>
        </w:rPr>
        <w:t xml:space="preserve"> de hoy en día. </w:t>
      </w:r>
    </w:p>
    <w:p w:rsidR="007D7E3D" w:rsidRDefault="007D7E3D" w:rsidP="00387350">
      <w:pPr>
        <w:spacing w:line="240" w:lineRule="auto"/>
        <w:jc w:val="both"/>
        <w:rPr>
          <w:rFonts w:ascii="Times New Roman" w:hAnsi="Times New Roman"/>
          <w:sz w:val="24"/>
          <w:szCs w:val="24"/>
        </w:rPr>
      </w:pPr>
      <w:r w:rsidRPr="007D7E3D">
        <w:rPr>
          <w:rFonts w:ascii="Times New Roman" w:hAnsi="Times New Roman"/>
          <w:sz w:val="24"/>
          <w:szCs w:val="24"/>
        </w:rPr>
        <w:t>Otros factores incluyen la mala salud pública, nutrición y educación, así como la falta de infraestructura. La salud p</w:t>
      </w:r>
      <w:r>
        <w:rPr>
          <w:rFonts w:ascii="Times New Roman" w:hAnsi="Times New Roman"/>
          <w:sz w:val="24"/>
          <w:szCs w:val="24"/>
        </w:rPr>
        <w:t>ública y la nutrición en los EEUU</w:t>
      </w:r>
      <w:r w:rsidRPr="007D7E3D">
        <w:rPr>
          <w:rFonts w:ascii="Times New Roman" w:hAnsi="Times New Roman"/>
          <w:sz w:val="24"/>
          <w:szCs w:val="24"/>
        </w:rPr>
        <w:t xml:space="preserve">, aunque se sitúan por debajo de los estándares europeos, están muy por encima de los de los países del tercer </w:t>
      </w:r>
      <w:r w:rsidRPr="007D7E3D">
        <w:rPr>
          <w:rFonts w:ascii="Times New Roman" w:hAnsi="Times New Roman"/>
          <w:sz w:val="24"/>
          <w:szCs w:val="24"/>
        </w:rPr>
        <w:lastRenderedPageBreak/>
        <w:t>mundo. La educación pública norteamericana ahora se ubica detrás de países más pobres, como Estonia, pero sigue siendo superior a la de los países del tercer mundo. Mientras que infraestructuras en ruinas se pueden ver en ciudades de todo el país, la vasta infraestructura de los Estados Unidos no se puede comparar a un país del tercer mundo. Sin embargo, todos estos factores se deterioran rápidamente en una economía en declive</w:t>
      </w:r>
      <w:r>
        <w:rPr>
          <w:rFonts w:ascii="Times New Roman" w:hAnsi="Times New Roman"/>
          <w:sz w:val="24"/>
          <w:szCs w:val="24"/>
        </w:rPr>
        <w:t>”..</w:t>
      </w:r>
      <w:r w:rsidRPr="007D7E3D">
        <w:rPr>
          <w:rFonts w:ascii="Times New Roman" w:hAnsi="Times New Roman"/>
          <w:sz w:val="24"/>
          <w:szCs w:val="24"/>
        </w:rPr>
        <w:t xml:space="preserve">. </w:t>
      </w:r>
      <w:r w:rsidRPr="00742670">
        <w:rPr>
          <w:rFonts w:ascii="Times New Roman" w:hAnsi="Times New Roman"/>
          <w:sz w:val="24"/>
          <w:szCs w:val="24"/>
          <w:u w:val="single"/>
        </w:rPr>
        <w:t>EEUU: ¡Bienvenido al tercer mundo!</w:t>
      </w:r>
      <w:r>
        <w:rPr>
          <w:rFonts w:ascii="Times New Roman" w:hAnsi="Times New Roman"/>
          <w:sz w:val="24"/>
          <w:szCs w:val="24"/>
        </w:rPr>
        <w:t xml:space="preserve"> (Negocios.com - </w:t>
      </w:r>
      <w:r w:rsidRPr="00030A24">
        <w:rPr>
          <w:rFonts w:ascii="Times New Roman" w:hAnsi="Times New Roman"/>
          <w:b/>
          <w:sz w:val="24"/>
          <w:szCs w:val="24"/>
        </w:rPr>
        <w:t>25/11/11</w:t>
      </w:r>
      <w:r>
        <w:rPr>
          <w:rFonts w:ascii="Times New Roman" w:hAnsi="Times New Roman"/>
          <w:sz w:val="24"/>
          <w:szCs w:val="24"/>
        </w:rPr>
        <w:t>)</w:t>
      </w:r>
    </w:p>
    <w:p w:rsidR="007D7E3D" w:rsidRPr="007D7E3D" w:rsidRDefault="007D7E3D" w:rsidP="00387350">
      <w:pPr>
        <w:spacing w:line="240" w:lineRule="auto"/>
        <w:jc w:val="both"/>
        <w:rPr>
          <w:rFonts w:ascii="Times New Roman" w:hAnsi="Times New Roman"/>
          <w:sz w:val="24"/>
          <w:szCs w:val="24"/>
        </w:rPr>
      </w:pPr>
      <w:r>
        <w:rPr>
          <w:rFonts w:ascii="Times New Roman" w:hAnsi="Times New Roman"/>
          <w:sz w:val="24"/>
          <w:szCs w:val="24"/>
        </w:rPr>
        <w:t>“</w:t>
      </w:r>
      <w:r w:rsidRPr="007D7E3D">
        <w:rPr>
          <w:rFonts w:ascii="Times New Roman" w:hAnsi="Times New Roman"/>
          <w:sz w:val="24"/>
          <w:szCs w:val="24"/>
        </w:rPr>
        <w:t xml:space="preserve">Los gobiernos de varios países desarrollados deberían considerar crear impuestos que graven el patrimonio y los bienes inmuebles, o incrementar los ya existentes, en el marco del conjunto de medidas pensadas para detener y revertir la creciente desigualdad de rentas, dijo el lunes la Organización para la Cooperación y el Desarrollo Económico. </w:t>
      </w:r>
    </w:p>
    <w:p w:rsidR="007D7E3D" w:rsidRPr="007D7E3D" w:rsidRDefault="007D7E3D" w:rsidP="00387350">
      <w:pPr>
        <w:spacing w:line="240" w:lineRule="auto"/>
        <w:jc w:val="both"/>
        <w:rPr>
          <w:rFonts w:ascii="Times New Roman" w:hAnsi="Times New Roman"/>
          <w:sz w:val="24"/>
          <w:szCs w:val="24"/>
        </w:rPr>
      </w:pPr>
      <w:r w:rsidRPr="007D7E3D">
        <w:rPr>
          <w:rFonts w:ascii="Times New Roman" w:hAnsi="Times New Roman"/>
          <w:sz w:val="24"/>
          <w:szCs w:val="24"/>
        </w:rPr>
        <w:t xml:space="preserve">En su primer informe sobre el tema desde 2008, la OCDE dijo que la diferencia entre ricos y pobres en la mayoría de sus 34 miembros ha seguido aumentando. La renta media del 10% de la población más rica de las economías desarrolladas es ya nueve veces la del 10% más pobre, mientras que en la década de 1980 la diferencia era de cinco veces. </w:t>
      </w:r>
    </w:p>
    <w:p w:rsidR="007D7E3D" w:rsidRPr="007D7E3D" w:rsidRDefault="007D7E3D" w:rsidP="00387350">
      <w:pPr>
        <w:spacing w:line="240" w:lineRule="auto"/>
        <w:jc w:val="both"/>
        <w:rPr>
          <w:rFonts w:ascii="Times New Roman" w:hAnsi="Times New Roman"/>
          <w:sz w:val="24"/>
          <w:szCs w:val="24"/>
        </w:rPr>
      </w:pPr>
      <w:r w:rsidRPr="007D7E3D">
        <w:rPr>
          <w:rFonts w:ascii="Times New Roman" w:hAnsi="Times New Roman"/>
          <w:sz w:val="24"/>
          <w:szCs w:val="24"/>
        </w:rPr>
        <w:t>Desde mediados de la década de 1990, las diferencias de renta han aumentado rápidamente incluso en países como Suecia y Alemania, donde tradicionalmente hay menos desigualdad</w:t>
      </w:r>
      <w:r>
        <w:rPr>
          <w:rFonts w:ascii="Times New Roman" w:hAnsi="Times New Roman"/>
          <w:sz w:val="24"/>
          <w:szCs w:val="24"/>
        </w:rPr>
        <w:t xml:space="preserve">. Sólo dos miembros de la OCDE </w:t>
      </w:r>
      <w:r w:rsidRPr="007D7E3D">
        <w:rPr>
          <w:rFonts w:ascii="Times New Roman" w:hAnsi="Times New Roman"/>
          <w:sz w:val="24"/>
          <w:szCs w:val="24"/>
        </w:rPr>
        <w:t>-Méxi</w:t>
      </w:r>
      <w:r>
        <w:rPr>
          <w:rFonts w:ascii="Times New Roman" w:hAnsi="Times New Roman"/>
          <w:sz w:val="24"/>
          <w:szCs w:val="24"/>
        </w:rPr>
        <w:t>co y Chile-</w:t>
      </w:r>
      <w:r w:rsidRPr="007D7E3D">
        <w:rPr>
          <w:rFonts w:ascii="Times New Roman" w:hAnsi="Times New Roman"/>
          <w:sz w:val="24"/>
          <w:szCs w:val="24"/>
        </w:rPr>
        <w:t xml:space="preserve"> se libran de la tendencia generalizada, pero partían de una situación en la que registraban las distribuciones de ingresos más desiguales de los 34. </w:t>
      </w:r>
    </w:p>
    <w:p w:rsidR="00A9018D" w:rsidRDefault="007D7E3D" w:rsidP="00387350">
      <w:pPr>
        <w:spacing w:line="240" w:lineRule="auto"/>
        <w:jc w:val="both"/>
        <w:rPr>
          <w:rFonts w:ascii="Times New Roman" w:hAnsi="Times New Roman"/>
          <w:sz w:val="24"/>
          <w:szCs w:val="24"/>
        </w:rPr>
      </w:pPr>
      <w:r w:rsidRPr="007D7E3D">
        <w:rPr>
          <w:rFonts w:ascii="Times New Roman" w:hAnsi="Times New Roman"/>
          <w:sz w:val="24"/>
          <w:szCs w:val="24"/>
        </w:rPr>
        <w:t>La OCDE indica que la creciente desigualdad está alimentando la insatisfacción con las estructuras sociales y económicas en varios países desarrollados</w:t>
      </w:r>
      <w:r>
        <w:rPr>
          <w:rFonts w:ascii="Times New Roman" w:hAnsi="Times New Roman"/>
          <w:sz w:val="24"/>
          <w:szCs w:val="24"/>
        </w:rPr>
        <w:t>..</w:t>
      </w:r>
      <w:r w:rsidRPr="007D7E3D">
        <w:rPr>
          <w:rFonts w:ascii="Times New Roman" w:hAnsi="Times New Roman"/>
          <w:sz w:val="24"/>
          <w:szCs w:val="24"/>
        </w:rPr>
        <w:t xml:space="preserve">. </w:t>
      </w:r>
    </w:p>
    <w:p w:rsidR="00A9018D" w:rsidRPr="00A9018D" w:rsidRDefault="00A9018D" w:rsidP="00387350">
      <w:pPr>
        <w:spacing w:line="240" w:lineRule="auto"/>
        <w:jc w:val="both"/>
        <w:rPr>
          <w:rFonts w:ascii="Times New Roman" w:hAnsi="Times New Roman"/>
          <w:sz w:val="24"/>
          <w:szCs w:val="24"/>
        </w:rPr>
      </w:pPr>
      <w:r w:rsidRPr="00A9018D">
        <w:rPr>
          <w:rFonts w:ascii="Times New Roman" w:hAnsi="Times New Roman"/>
          <w:sz w:val="24"/>
          <w:szCs w:val="24"/>
        </w:rPr>
        <w:t xml:space="preserve">La OCDE dijo que diversos factores han contribuido al incremento de la desigualdad. El cambio tecnológico ha sido desproporcionalmente beneficioso para los más cualificados, al igual que los cambios en el mercado laboral y otras normas pensadas para responder a la mayor competitividad en un periodo de rápida globalización. Los recortes de los impuestos a las rentas altas y las reducciones de las prestaciones sociales para los desempleados o los trabajadores con salarios bajos también han desempeñado un papel, según la OCDE. </w:t>
      </w:r>
    </w:p>
    <w:p w:rsidR="00A9018D" w:rsidRPr="00A9018D" w:rsidRDefault="00A9018D" w:rsidP="00387350">
      <w:pPr>
        <w:spacing w:line="240" w:lineRule="auto"/>
        <w:jc w:val="both"/>
        <w:rPr>
          <w:rFonts w:ascii="Times New Roman" w:hAnsi="Times New Roman"/>
          <w:sz w:val="24"/>
          <w:szCs w:val="24"/>
        </w:rPr>
      </w:pPr>
      <w:r>
        <w:rPr>
          <w:rFonts w:ascii="Times New Roman" w:hAnsi="Times New Roman"/>
          <w:sz w:val="24"/>
          <w:szCs w:val="24"/>
        </w:rPr>
        <w:t>“</w:t>
      </w:r>
      <w:r w:rsidRPr="00A9018D">
        <w:rPr>
          <w:rFonts w:ascii="Times New Roman" w:hAnsi="Times New Roman"/>
          <w:sz w:val="24"/>
          <w:szCs w:val="24"/>
        </w:rPr>
        <w:t>Este estudio disipa las asunciones de que los beneficios del crecimiento económico se trasladarán automáticamente a los desfavorecidos y que una mayor desigualdad prom</w:t>
      </w:r>
      <w:r>
        <w:rPr>
          <w:rFonts w:ascii="Times New Roman" w:hAnsi="Times New Roman"/>
          <w:sz w:val="24"/>
          <w:szCs w:val="24"/>
        </w:rPr>
        <w:t>ueve una mayor movilidad social”, dijo Gurría. “</w:t>
      </w:r>
      <w:r w:rsidRPr="00A9018D">
        <w:rPr>
          <w:rFonts w:ascii="Times New Roman" w:hAnsi="Times New Roman"/>
          <w:sz w:val="24"/>
          <w:szCs w:val="24"/>
        </w:rPr>
        <w:t>Sin una estrategia integral para el crecimiento inclusivo, la d</w:t>
      </w:r>
      <w:r>
        <w:rPr>
          <w:rFonts w:ascii="Times New Roman" w:hAnsi="Times New Roman"/>
          <w:sz w:val="24"/>
          <w:szCs w:val="24"/>
        </w:rPr>
        <w:t>esigualdad seguirá aumentando”</w:t>
      </w:r>
      <w:r w:rsidRPr="00A9018D">
        <w:rPr>
          <w:rFonts w:ascii="Times New Roman" w:hAnsi="Times New Roman"/>
          <w:sz w:val="24"/>
          <w:szCs w:val="24"/>
        </w:rPr>
        <w:t xml:space="preserve">. </w:t>
      </w:r>
    </w:p>
    <w:p w:rsidR="00A9018D" w:rsidRPr="00A9018D" w:rsidRDefault="00A9018D" w:rsidP="00387350">
      <w:pPr>
        <w:spacing w:line="240" w:lineRule="auto"/>
        <w:jc w:val="both"/>
        <w:rPr>
          <w:rFonts w:ascii="Times New Roman" w:hAnsi="Times New Roman"/>
          <w:sz w:val="24"/>
          <w:szCs w:val="24"/>
        </w:rPr>
      </w:pPr>
      <w:r w:rsidRPr="00A9018D">
        <w:rPr>
          <w:rFonts w:ascii="Times New Roman" w:hAnsi="Times New Roman"/>
          <w:sz w:val="24"/>
          <w:szCs w:val="24"/>
        </w:rPr>
        <w:t xml:space="preserve">La OCDE dijo que esta estrategia debería incluir mejores sistemas educativos y más formación cuando la gente se integra en el mundo laboral, y agregó que también ayudaría garantizar el libre acceso a la educación y los servicios de salud. </w:t>
      </w:r>
    </w:p>
    <w:p w:rsidR="007D7E3D" w:rsidRDefault="00A9018D" w:rsidP="00387350">
      <w:pPr>
        <w:spacing w:line="240" w:lineRule="auto"/>
        <w:jc w:val="both"/>
        <w:rPr>
          <w:rFonts w:ascii="Times New Roman" w:hAnsi="Times New Roman"/>
          <w:sz w:val="24"/>
          <w:szCs w:val="24"/>
        </w:rPr>
      </w:pPr>
      <w:r w:rsidRPr="00A9018D">
        <w:rPr>
          <w:rFonts w:ascii="Times New Roman" w:hAnsi="Times New Roman"/>
          <w:sz w:val="24"/>
          <w:szCs w:val="24"/>
        </w:rPr>
        <w:t>Pero el organismo, con sede en París, agregó que los gobiernos también deberían revisar sus sistemas impositivos para asegurarse de que los ciudadanos con renta</w:t>
      </w:r>
      <w:r>
        <w:rPr>
          <w:rFonts w:ascii="Times New Roman" w:hAnsi="Times New Roman"/>
          <w:sz w:val="24"/>
          <w:szCs w:val="24"/>
        </w:rPr>
        <w:t>s más altas pagan en impuestos “</w:t>
      </w:r>
      <w:r w:rsidRPr="00A9018D">
        <w:rPr>
          <w:rFonts w:ascii="Times New Roman" w:hAnsi="Times New Roman"/>
          <w:sz w:val="24"/>
          <w:szCs w:val="24"/>
        </w:rPr>
        <w:t xml:space="preserve">lo </w:t>
      </w:r>
      <w:r>
        <w:rPr>
          <w:rFonts w:ascii="Times New Roman" w:hAnsi="Times New Roman"/>
          <w:sz w:val="24"/>
          <w:szCs w:val="24"/>
        </w:rPr>
        <w:t>que les corresponde en justicia”..</w:t>
      </w:r>
      <w:r w:rsidRPr="00A9018D">
        <w:rPr>
          <w:rFonts w:ascii="Times New Roman" w:hAnsi="Times New Roman"/>
          <w:sz w:val="24"/>
          <w:szCs w:val="24"/>
        </w:rPr>
        <w:t xml:space="preserve">. </w:t>
      </w:r>
      <w:r w:rsidR="007D7E3D" w:rsidRPr="006062FE">
        <w:rPr>
          <w:rFonts w:ascii="Times New Roman" w:hAnsi="Times New Roman"/>
          <w:sz w:val="24"/>
          <w:szCs w:val="24"/>
          <w:u w:val="single"/>
        </w:rPr>
        <w:t>La OCDE aboga por impuestos en países desarrollados para combatir la desigualdad</w:t>
      </w:r>
      <w:r w:rsidR="007D7E3D">
        <w:rPr>
          <w:rFonts w:ascii="Times New Roman" w:hAnsi="Times New Roman"/>
          <w:sz w:val="24"/>
          <w:szCs w:val="24"/>
        </w:rPr>
        <w:t xml:space="preserve">  (The Wall Street Journal - </w:t>
      </w:r>
      <w:r w:rsidR="007D7E3D" w:rsidRPr="006062FE">
        <w:rPr>
          <w:rFonts w:ascii="Times New Roman" w:hAnsi="Times New Roman"/>
          <w:b/>
          <w:sz w:val="24"/>
          <w:szCs w:val="24"/>
        </w:rPr>
        <w:t>5/12/11</w:t>
      </w:r>
      <w:r w:rsidR="007D7E3D">
        <w:rPr>
          <w:rFonts w:ascii="Times New Roman" w:hAnsi="Times New Roman"/>
          <w:sz w:val="24"/>
          <w:szCs w:val="24"/>
        </w:rPr>
        <w:t>)</w:t>
      </w:r>
    </w:p>
    <w:p w:rsidR="00A9018D" w:rsidRPr="00A9018D" w:rsidRDefault="00A9018D" w:rsidP="00387350">
      <w:pPr>
        <w:spacing w:line="240" w:lineRule="auto"/>
        <w:jc w:val="both"/>
        <w:rPr>
          <w:rFonts w:ascii="Times New Roman" w:hAnsi="Times New Roman"/>
          <w:sz w:val="24"/>
          <w:szCs w:val="24"/>
        </w:rPr>
      </w:pPr>
      <w:r>
        <w:rPr>
          <w:rFonts w:ascii="Times New Roman" w:hAnsi="Times New Roman"/>
          <w:sz w:val="24"/>
          <w:szCs w:val="24"/>
        </w:rPr>
        <w:t>“</w:t>
      </w:r>
      <w:r w:rsidRPr="00A9018D">
        <w:rPr>
          <w:rFonts w:ascii="Times New Roman" w:hAnsi="Times New Roman"/>
          <w:sz w:val="24"/>
          <w:szCs w:val="24"/>
        </w:rPr>
        <w:t xml:space="preserve">Uno de los legados de la última gran bonanza económica vivida entre las grandes potencias y los países emergentes es una brecha mayor entre ricos y pobres. La desigualdad ha aumentado al nivel más alto de los últimos 30 años en los países de la </w:t>
      </w:r>
      <w:r w:rsidRPr="00A9018D">
        <w:rPr>
          <w:rFonts w:ascii="Times New Roman" w:hAnsi="Times New Roman"/>
          <w:sz w:val="24"/>
          <w:szCs w:val="24"/>
        </w:rPr>
        <w:lastRenderedPageBreak/>
        <w:t>Organización para la Cooperación y el Desarrollo Económico (OCDE), debido sobre todo a la creciente diferencia entre los salarios, que suponen el 75% de los ingresos de un hogar. Lo ha hecho precisamente en esos años de crecimiento, según el informe hecho público ayer por la OCDE con datos de 2008, previos a la Gran Recesión.</w:t>
      </w:r>
    </w:p>
    <w:p w:rsidR="00A9018D" w:rsidRPr="00A9018D" w:rsidRDefault="00A9018D" w:rsidP="00387350">
      <w:pPr>
        <w:spacing w:line="240" w:lineRule="auto"/>
        <w:jc w:val="both"/>
        <w:rPr>
          <w:rFonts w:ascii="Times New Roman" w:hAnsi="Times New Roman"/>
          <w:sz w:val="24"/>
          <w:szCs w:val="24"/>
        </w:rPr>
      </w:pPr>
      <w:r w:rsidRPr="00A9018D">
        <w:rPr>
          <w:rFonts w:ascii="Times New Roman" w:hAnsi="Times New Roman"/>
          <w:sz w:val="24"/>
          <w:szCs w:val="24"/>
        </w:rPr>
        <w:t>La bonanza de un país no se traslada de forma automática ni natural a la reducción de la brecha social y las políticas correctoras -los impuestos y los servicios sociales- han ido perdiendo efecto como redistribuidores de riqueza desde mediados de los noventa. El 10% más pudiente de la población gana como promedio 9,6 veces más que el 10% más desfavorecido en el conjunto de la OCDE, según el estudio, y la distancia ha crecido incluso en los países tradicionalmente más igualitarios, como Alemania, Suecia o Dinamarca, aunque sigue muy por debajo de la media.</w:t>
      </w:r>
    </w:p>
    <w:p w:rsidR="00A9018D" w:rsidRDefault="00A9018D" w:rsidP="00387350">
      <w:pPr>
        <w:spacing w:line="240" w:lineRule="auto"/>
        <w:jc w:val="both"/>
        <w:rPr>
          <w:rFonts w:ascii="Times New Roman" w:hAnsi="Times New Roman"/>
          <w:sz w:val="24"/>
          <w:szCs w:val="24"/>
        </w:rPr>
      </w:pPr>
      <w:r>
        <w:rPr>
          <w:rFonts w:ascii="Times New Roman" w:hAnsi="Times New Roman"/>
          <w:sz w:val="24"/>
          <w:szCs w:val="24"/>
        </w:rPr>
        <w:t>“</w:t>
      </w:r>
      <w:r w:rsidRPr="00A9018D">
        <w:rPr>
          <w:rFonts w:ascii="Times New Roman" w:hAnsi="Times New Roman"/>
          <w:sz w:val="24"/>
          <w:szCs w:val="24"/>
        </w:rPr>
        <w:t>El contrato social se está empezando a deshacer en muchos países. La incertidumbre y los miedos a la exclusión han alcanzado a la clase media en muchas sociedades, la gente siente que está sufriendo una crisis de la que no son responsables, mientras esos con alt</w:t>
      </w:r>
      <w:r>
        <w:rPr>
          <w:rFonts w:ascii="Times New Roman" w:hAnsi="Times New Roman"/>
          <w:sz w:val="24"/>
          <w:szCs w:val="24"/>
        </w:rPr>
        <w:t>os ingresos resultan perdonados”</w:t>
      </w:r>
      <w:r w:rsidRPr="00A9018D">
        <w:rPr>
          <w:rFonts w:ascii="Times New Roman" w:hAnsi="Times New Roman"/>
          <w:sz w:val="24"/>
          <w:szCs w:val="24"/>
        </w:rPr>
        <w:t>, alertó ayer el secretario general de la OCDE, Ángel Gurría, al presentar el informe Estamos divididos, Por qué la desigualdad sigue creciendo</w:t>
      </w:r>
      <w:r>
        <w:rPr>
          <w:rFonts w:ascii="Times New Roman" w:hAnsi="Times New Roman"/>
          <w:sz w:val="24"/>
          <w:szCs w:val="24"/>
        </w:rPr>
        <w:t>”..</w:t>
      </w:r>
      <w:r w:rsidRPr="00A9018D">
        <w:rPr>
          <w:rFonts w:ascii="Times New Roman" w:hAnsi="Times New Roman"/>
          <w:sz w:val="24"/>
          <w:szCs w:val="24"/>
        </w:rPr>
        <w:t>.</w:t>
      </w:r>
      <w:r>
        <w:rPr>
          <w:rFonts w:ascii="Times New Roman" w:hAnsi="Times New Roman"/>
          <w:sz w:val="24"/>
          <w:szCs w:val="24"/>
        </w:rPr>
        <w:t xml:space="preserve"> </w:t>
      </w:r>
      <w:r w:rsidRPr="006062FE">
        <w:rPr>
          <w:rFonts w:ascii="Times New Roman" w:hAnsi="Times New Roman"/>
          <w:sz w:val="24"/>
          <w:szCs w:val="24"/>
          <w:u w:val="single"/>
        </w:rPr>
        <w:t>La brecha entre ricos y pobres se dispara al nivel más alto en 30 años</w:t>
      </w:r>
      <w:r>
        <w:rPr>
          <w:rFonts w:ascii="Times New Roman" w:hAnsi="Times New Roman"/>
          <w:sz w:val="24"/>
          <w:szCs w:val="24"/>
        </w:rPr>
        <w:t xml:space="preserve"> (El País - </w:t>
      </w:r>
      <w:r w:rsidRPr="006062FE">
        <w:rPr>
          <w:rFonts w:ascii="Times New Roman" w:hAnsi="Times New Roman"/>
          <w:b/>
          <w:sz w:val="24"/>
          <w:szCs w:val="24"/>
        </w:rPr>
        <w:t>6/12/11</w:t>
      </w:r>
      <w:r>
        <w:rPr>
          <w:rFonts w:ascii="Times New Roman" w:hAnsi="Times New Roman"/>
          <w:sz w:val="24"/>
          <w:szCs w:val="24"/>
        </w:rPr>
        <w:t>)</w:t>
      </w:r>
    </w:p>
    <w:p w:rsidR="00A9018D" w:rsidRPr="00A9018D" w:rsidRDefault="00A9018D" w:rsidP="00387350">
      <w:pPr>
        <w:pStyle w:val="NormalWeb"/>
        <w:jc w:val="both"/>
      </w:pPr>
      <w:r>
        <w:t>“</w:t>
      </w:r>
      <w:r w:rsidRPr="00A9018D">
        <w:t xml:space="preserve">¿Por qué la desigualdad importa? La pregunta se adentra en el terreno de la ética y la justicia social. Pero también hay argumentos economicistas. El analista del Banco Mundial, Branko Milanovic, uno de los principales expertos internacionales en la materia, advierte que </w:t>
      </w:r>
      <w:r>
        <w:t>“</w:t>
      </w:r>
      <w:r w:rsidRPr="00A9018D">
        <w:t>el incremento de los desequilibrios en ingresos se traduce después en una brecha de educación y de sal</w:t>
      </w:r>
      <w:r>
        <w:t>ud, lo que merma el crecimiento”</w:t>
      </w:r>
      <w:r w:rsidRPr="00A9018D">
        <w:t xml:space="preserve"> porque los países con menores niveles sanitarios y de formación son menos dinámicos.</w:t>
      </w:r>
    </w:p>
    <w:p w:rsidR="00A9018D" w:rsidRPr="00A9018D" w:rsidRDefault="00A9018D" w:rsidP="00387350">
      <w:pPr>
        <w:pStyle w:val="NormalWeb"/>
        <w:jc w:val="both"/>
      </w:pPr>
      <w:r w:rsidRPr="00A9018D">
        <w:t>El aumento de la desigualdad de ingresos, adem</w:t>
      </w:r>
      <w:r>
        <w:t>ás, afecta a la vida política. “</w:t>
      </w:r>
      <w:r w:rsidRPr="00A9018D">
        <w:t>La gente más rica es capaz de controlar los procesos políticos a través de la financiación de partidos y se benefician de forma desproporcionad</w:t>
      </w:r>
      <w:r>
        <w:t>a porque logran mejores empleos”</w:t>
      </w:r>
      <w:r w:rsidRPr="00A9018D">
        <w:t>, señala. A su juicio,</w:t>
      </w:r>
      <w:r>
        <w:t xml:space="preserve"> la discriminación por riqueza “</w:t>
      </w:r>
      <w:r w:rsidRPr="00A9018D">
        <w:t>no es diferente de la discriminación por razones de sexo o raza: un largo segmento de la población no tiene oportunidad de utilizar sus capacidades para benefici</w:t>
      </w:r>
      <w:r>
        <w:t>arse a sí mismo y a la sociedad”, lo que “</w:t>
      </w:r>
      <w:r w:rsidRPr="00A9018D">
        <w:t>obviamente lleva a u</w:t>
      </w:r>
      <w:r>
        <w:t>nos menores ingresos en general”</w:t>
      </w:r>
      <w:r w:rsidRPr="00A9018D">
        <w:t>.</w:t>
      </w:r>
    </w:p>
    <w:p w:rsidR="00A9018D" w:rsidRPr="00A9018D" w:rsidRDefault="00A9018D" w:rsidP="00387350">
      <w:pPr>
        <w:pStyle w:val="NormalWeb"/>
        <w:jc w:val="both"/>
      </w:pPr>
      <w:r w:rsidRPr="00A9018D">
        <w:t>Desigualdad no es lo mismo que pobreza, esta última se puede reducir al tiempo que crece la brecha entre ricos y pobres. Así que hay también quienes ponen el acento en la reducción de la miseria, pero no de la diferencia entre ricos y pobres. Martin Feldstein, de la Universidad de Harvard, responde por correo electrónico que el aspecto importante de la desigualdad es la miseria y la política pública debe cent</w:t>
      </w:r>
      <w:r>
        <w:t>rarse en reducir ese problema, “y no la desigualdad en sí misma”. A su juicio, “</w:t>
      </w:r>
      <w:r w:rsidRPr="00A9018D">
        <w:t xml:space="preserve">el crecimiento económico puede incrementar los ingresos y el bienestar de las clases medias </w:t>
      </w:r>
      <w:r>
        <w:t>mucho más que la redistribución”</w:t>
      </w:r>
      <w:r w:rsidRPr="00A9018D">
        <w:t>. Puede hacerlo, pero no siempre ocurre. La bonanza reciente lo muestra.</w:t>
      </w:r>
    </w:p>
    <w:p w:rsidR="00A9018D" w:rsidRPr="00A9018D" w:rsidRDefault="00A9018D" w:rsidP="00387350">
      <w:pPr>
        <w:pStyle w:val="NormalWeb"/>
        <w:jc w:val="both"/>
      </w:pPr>
      <w:r w:rsidRPr="00A9018D">
        <w:t xml:space="preserve">Imaginen, propone Feldstein, que un pájaro mágico entrega a cada persona 1.000 dólares, ello no reduciría ninguna desigualdad, pero no deja de ser una mejora para todos que no recae a expensas de nadie. </w:t>
      </w:r>
      <w:r>
        <w:t>Feldstein habla de “igualitarismo rencoroso”</w:t>
      </w:r>
      <w:r w:rsidRPr="00A9018D">
        <w:t xml:space="preserve">, el sentimiento de rechazo de aquellos que, aunque vean mejorar sus ingresos, protestan </w:t>
      </w:r>
      <w:r w:rsidRPr="00A9018D">
        <w:lastRenderedPageBreak/>
        <w:t>porque los ricos aún se alejan más. Y añade que esos 1.000 dólares significan más para el pobre que para el rico, con lo que su situación avanza más en términos relativos.</w:t>
      </w:r>
    </w:p>
    <w:p w:rsidR="00A9018D" w:rsidRPr="00A9018D" w:rsidRDefault="00A9018D" w:rsidP="00387350">
      <w:pPr>
        <w:pStyle w:val="NormalWeb"/>
        <w:jc w:val="both"/>
      </w:pPr>
      <w:r w:rsidRPr="00A9018D">
        <w:t>Pero hay otro relato para esta fenomenal crisis financiera, y en ese, la desigualdad desempeña un papel crucial como motor de deudas imposibles. Un trabajo de investigadores del Fondo Monetario Internacional (FMI), Desigualdad, endeudamiento y crisis, analizaba hace un año el caso estadounidense.</w:t>
      </w:r>
    </w:p>
    <w:p w:rsidR="00A9018D" w:rsidRPr="00A9018D" w:rsidRDefault="00A9018D" w:rsidP="00387350">
      <w:pPr>
        <w:pStyle w:val="NormalWeb"/>
        <w:jc w:val="both"/>
      </w:pPr>
      <w:r w:rsidRPr="00A9018D">
        <w:t>Las dos grandes crisis de los últimos 100 años, la Gran Depresión de 1929 y la Gran Recesión que empezó en 2007, vinieron precedidas de fuertes incrementos en la desigualdad de ingresos y un aumento similar en los ratios de endeudamiento entre los hogar</w:t>
      </w:r>
      <w:r>
        <w:t>es de medios y bajos ingresos. “</w:t>
      </w:r>
      <w:r w:rsidRPr="00A9018D">
        <w:t>La crisis es el resultado último, después de un periodo de décadas, del shock del poder de negociación sobre los ingresos de dos tipos de hogares, los de los inversores, que representan el 5% de la población y cuyo poder de negociación crece, y los trabajador</w:t>
      </w:r>
      <w:r>
        <w:t>es que suponían el 95% restante”</w:t>
      </w:r>
      <w:r w:rsidRPr="00A9018D">
        <w:t>, explican los autores, Michael Kumhof y Romain Rancière.</w:t>
      </w:r>
    </w:p>
    <w:p w:rsidR="00A9018D" w:rsidRPr="00A9018D" w:rsidRDefault="00A9018D" w:rsidP="00387350">
      <w:pPr>
        <w:pStyle w:val="NormalWeb"/>
        <w:jc w:val="both"/>
      </w:pPr>
      <w:r w:rsidRPr="00A9018D">
        <w:t>El mecanismo es el siguiente. La concentración de la riqueza en una parte cada vez más concreta de la población redujo la capacidad adquisitiva del resto y, para poder mantener su nivel de consumo, se abarataron los créditos, alumbrando ese fenómeno de las hipotecas basura, de alto riesgo, porque se otorgaban a familias que difícilmente iban a poder pagar. La burbuja de crédito engordó el sector financiero y recortó inversiones productivas. Todo iba bien hasta que alguien un día no pudo pagar la hipoteca, el precio de las casas se derrumbó, grandes bancos quebraron y se empezó a hablar de refundar el capitalismo y unas cuantas cosas más.</w:t>
      </w:r>
    </w:p>
    <w:p w:rsidR="00A9018D" w:rsidRPr="00A9018D" w:rsidRDefault="00A9018D" w:rsidP="00387350">
      <w:pPr>
        <w:pStyle w:val="NormalWeb"/>
        <w:jc w:val="both"/>
      </w:pPr>
      <w:r>
        <w:t>“</w:t>
      </w:r>
      <w:r w:rsidRPr="00A9018D">
        <w:t>Creo que los créditos fáciles fueron una forma de redistribución para la gente cuyos ingresos no seguían el ritmo. Nadie tenía incentivos para impedirlo, después de todo, existía la ilusi</w:t>
      </w:r>
      <w:r>
        <w:t>ón de que el crédito se pagaría”</w:t>
      </w:r>
      <w:r w:rsidRPr="00A9018D">
        <w:t>, responde desde Chicago el economista Raghuram Rajan, execonomista jefe del FMI que advirtió en 2005 contra el desastr</w:t>
      </w:r>
      <w:r>
        <w:t>e financiero que se avecinaba. “Por supuesto”</w:t>
      </w:r>
      <w:r w:rsidRPr="00A9018D">
        <w:t>, añade el ahora profesor de la Un</w:t>
      </w:r>
      <w:r>
        <w:t>iversidad de Chicago, “</w:t>
      </w:r>
      <w:r w:rsidRPr="00A9018D">
        <w:t>la mejor política hubiese sido mejorar la capacidad de la gente para ganar dinero, a través de la formaci</w:t>
      </w:r>
      <w:r>
        <w:t>ón, pero eso lleva mucho tiempo”</w:t>
      </w:r>
      <w:r w:rsidRPr="00A9018D">
        <w:t>.</w:t>
      </w:r>
    </w:p>
    <w:p w:rsidR="00A9018D" w:rsidRPr="00A9018D" w:rsidRDefault="00A9018D" w:rsidP="00387350">
      <w:pPr>
        <w:pStyle w:val="NormalWeb"/>
        <w:jc w:val="both"/>
      </w:pPr>
      <w:r w:rsidRPr="00A9018D">
        <w:t xml:space="preserve">La brecha social y las clases medias se han convertido también en un tema caliente en Estados </w:t>
      </w:r>
      <w:r w:rsidR="00B06EEF">
        <w:t>Unidos. “</w:t>
      </w:r>
      <w:r w:rsidRPr="00A9018D">
        <w:t>Este tipo de desigualdad, un nivel que no se veía desde la Gr</w:t>
      </w:r>
      <w:r w:rsidR="00B06EEF">
        <w:t>an Depresión, nos hiere a todos”</w:t>
      </w:r>
      <w:r w:rsidRPr="00A9018D">
        <w:t>, dijo Obama en un discurso electoral en el que emuló a Theodor Roosevelt para defender una mayor justicia redistributiva.</w:t>
      </w:r>
    </w:p>
    <w:p w:rsidR="00B06EEF" w:rsidRDefault="00A9018D" w:rsidP="00387350">
      <w:pPr>
        <w:pStyle w:val="NormalWeb"/>
        <w:jc w:val="both"/>
      </w:pPr>
      <w:r w:rsidRPr="00A9018D">
        <w:t xml:space="preserve">Warren Buffet, uno de los hombres más ricos del planeta, sorprendió al mundo este verano al quejarse de que pagaba pocos impuestos, que se le había gravado el 17% por su fortuna, cuando los 20 trabajadores de su oficina pagan tipos del 33% al 41%. </w:t>
      </w:r>
      <w:r w:rsidR="00B06EEF">
        <w:t>“</w:t>
      </w:r>
      <w:r w:rsidRPr="00A9018D">
        <w:t>D</w:t>
      </w:r>
      <w:r w:rsidR="00B06EEF">
        <w:t>ejen de mimar a los súper ricos”</w:t>
      </w:r>
      <w:r w:rsidRPr="00A9018D">
        <w:t>, se titulaba el artículo del The New York Times en el que hacía semejante denuncia, un lema que bien podría leerse en cualquier pancarta del movimiento Ocupa Wall Street, o ese somos el 99%, en referencia a que el 1% más rico ha prosperado a expensas del resto</w:t>
      </w:r>
      <w:r w:rsidR="00B06EEF">
        <w:t>”..</w:t>
      </w:r>
      <w:r w:rsidRPr="00A9018D">
        <w:t>.</w:t>
      </w:r>
      <w:r w:rsidR="00B06EEF">
        <w:t xml:space="preserve"> </w:t>
      </w:r>
      <w:r w:rsidR="00B06EEF" w:rsidRPr="0036174B">
        <w:rPr>
          <w:u w:val="single"/>
        </w:rPr>
        <w:t>Ricos más ricos, pobres más pobres</w:t>
      </w:r>
      <w:r w:rsidR="00B06EEF">
        <w:t xml:space="preserve"> (El País - </w:t>
      </w:r>
      <w:r w:rsidR="00B06EEF" w:rsidRPr="0036174B">
        <w:rPr>
          <w:b/>
        </w:rPr>
        <w:t>11/12/11</w:t>
      </w:r>
      <w:r w:rsidR="00B06EEF">
        <w:t>)</w:t>
      </w:r>
    </w:p>
    <w:p w:rsidR="00B06EEF" w:rsidRPr="00B06EEF" w:rsidRDefault="00B06EEF" w:rsidP="00387350">
      <w:pPr>
        <w:pStyle w:val="NormalWeb"/>
        <w:jc w:val="both"/>
      </w:pPr>
      <w:r>
        <w:t>““</w:t>
      </w:r>
      <w:r w:rsidR="00FE47DA">
        <w:t>Nosotros somos el 99%”</w:t>
      </w:r>
      <w:r w:rsidRPr="00B06EEF">
        <w:t xml:space="preserve"> es un gran eslogan. Define correctamente el problema como una oposición entre la clase media y la élite (en vez de entre la clase media y los </w:t>
      </w:r>
      <w:r w:rsidRPr="00B06EEF">
        <w:lastRenderedPageBreak/>
        <w:t>pobres). Y también va más allá de la idea consagrada, reiterada pero errónea, de que la creciente desigualdad se deriva principalmente de que a la gente culta le va mejor que a la que tiene menos cultura; los que más han salido ganando en esta nueva Edad de Oro han sido un puñado de gente muy rica, no licenciados universitarios en general.</w:t>
      </w:r>
    </w:p>
    <w:p w:rsidR="00B06EEF" w:rsidRDefault="00B06EEF" w:rsidP="00387350">
      <w:pPr>
        <w:pStyle w:val="NormalWeb"/>
        <w:jc w:val="both"/>
      </w:pPr>
      <w:r w:rsidRPr="00B06EEF">
        <w:t>Sin embargo, el eslogan del 99% apunta en todo caso demasiado bajo. Una gran parte de las ganancias del 1% más rico se concentran en un grupo todavía más pequeño, el 0,1% más alto (la milésima parte más rica de la población)</w:t>
      </w:r>
      <w:r>
        <w:t>”..</w:t>
      </w:r>
      <w:r w:rsidRPr="00B06EEF">
        <w:t>.</w:t>
      </w:r>
      <w:r>
        <w:t xml:space="preserve"> </w:t>
      </w:r>
      <w:r w:rsidRPr="00EE55BC">
        <w:rPr>
          <w:u w:val="single"/>
        </w:rPr>
        <w:t>Somos el 99,9%</w:t>
      </w:r>
      <w:r>
        <w:t xml:space="preserve"> (Paul Krugman - El País - </w:t>
      </w:r>
      <w:r w:rsidRPr="00EE55BC">
        <w:rPr>
          <w:b/>
        </w:rPr>
        <w:t>11/12/11</w:t>
      </w:r>
      <w:r>
        <w:t>)</w:t>
      </w:r>
    </w:p>
    <w:p w:rsidR="00B06EEF" w:rsidRDefault="00B06EEF" w:rsidP="00387350">
      <w:pPr>
        <w:pStyle w:val="NormalWeb"/>
        <w:jc w:val="both"/>
      </w:pPr>
      <w:r>
        <w:t>“</w:t>
      </w:r>
      <w:r w:rsidRPr="00B06EEF">
        <w:t xml:space="preserve">No son 4,6 millones, como afirma el presidente de la CEOE, </w:t>
      </w:r>
      <w:r w:rsidRPr="00B06EEF">
        <w:rPr>
          <w:bCs/>
        </w:rPr>
        <w:t>Juan Rosell</w:t>
      </w:r>
      <w:r w:rsidRPr="00B06EEF">
        <w:t xml:space="preserve">, sino más de siete millones las personas las que tienen </w:t>
      </w:r>
      <w:r w:rsidR="00DA603A">
        <w:t>“</w:t>
      </w:r>
      <w:r w:rsidRPr="00DA603A">
        <w:rPr>
          <w:iCs/>
        </w:rPr>
        <w:t>minijobs</w:t>
      </w:r>
      <w:r w:rsidR="00DA603A">
        <w:rPr>
          <w:iCs/>
        </w:rPr>
        <w:t>”</w:t>
      </w:r>
      <w:r w:rsidRPr="00B06EEF">
        <w:t xml:space="preserve">, o mini-empleos, en Alemania. Y la tendencia dominante es que sigan creciendo, porque el Estado, lejos de intentar que se conviertan en puestos de trabajo como Dios manda, los va a consolidar aumentando esos sueldos de los 400 euros actuales a 450. Es decir, </w:t>
      </w:r>
      <w:r w:rsidRPr="00B06EEF">
        <w:rPr>
          <w:bCs/>
        </w:rPr>
        <w:t>vía libre a los sueldos de hambre</w:t>
      </w:r>
      <w:r w:rsidRPr="00B06EEF">
        <w:t xml:space="preserve"> y fomento de una clase social perpetuamente empobrecida.</w:t>
      </w:r>
      <w:r w:rsidR="006D20F6">
        <w:t xml:space="preserve"> </w:t>
      </w:r>
      <w:r w:rsidRPr="00B06EEF">
        <w:t xml:space="preserve">No parece preocupada </w:t>
      </w:r>
      <w:r w:rsidRPr="00B06EEF">
        <w:rPr>
          <w:bCs/>
        </w:rPr>
        <w:t>Merkel</w:t>
      </w:r>
      <w:r w:rsidRPr="00B06EEF">
        <w:t xml:space="preserve"> de que esas personas no paguen apenas impuestos por esos </w:t>
      </w:r>
      <w:r w:rsidR="00DA603A">
        <w:t>“</w:t>
      </w:r>
      <w:r w:rsidRPr="00DA603A">
        <w:rPr>
          <w:iCs/>
        </w:rPr>
        <w:t>minijobs</w:t>
      </w:r>
      <w:r w:rsidR="00DA603A">
        <w:rPr>
          <w:iCs/>
        </w:rPr>
        <w:t>”</w:t>
      </w:r>
      <w:r w:rsidRPr="00B06EEF">
        <w:t xml:space="preserve"> y que tampoco proporcionen a quienes los ejercen el derecho a cobrar una pensión en el futuro. Tampoco parece quitarle el sueño a ella y a su ministra de Trabajo, </w:t>
      </w:r>
      <w:r w:rsidRPr="00B06EEF">
        <w:rPr>
          <w:bCs/>
        </w:rPr>
        <w:t>Ursula von der Leyen</w:t>
      </w:r>
      <w:r w:rsidRPr="00B06EEF">
        <w:t xml:space="preserve">, el hecho de que en este sector laboral concreto se estén cometiendo numerosos abusos. No hay controles sobre el terreno. Algunos empresarios obligan a este tipo de trabajadores a hacer horas extras no pagadas, o </w:t>
      </w:r>
      <w:r w:rsidRPr="00B06EEF">
        <w:rPr>
          <w:bCs/>
        </w:rPr>
        <w:t>retribuidas a uno o dos euros la hora. Raro es el caso de un trabajador con este tipo de contrato que consigue uno mejor y con fijeza</w:t>
      </w:r>
      <w:r>
        <w:rPr>
          <w:bCs/>
        </w:rPr>
        <w:t>”..</w:t>
      </w:r>
      <w:r w:rsidRPr="00B06EEF">
        <w:rPr>
          <w:bCs/>
        </w:rPr>
        <w:t>.</w:t>
      </w:r>
      <w:r>
        <w:rPr>
          <w:bCs/>
        </w:rPr>
        <w:t xml:space="preserve"> </w:t>
      </w:r>
      <w:r w:rsidRPr="003216FD">
        <w:rPr>
          <w:u w:val="single"/>
        </w:rPr>
        <w:t>Mini-empleos y maxi-miserias</w:t>
      </w:r>
      <w:r>
        <w:t xml:space="preserve"> (El Confidencial - </w:t>
      </w:r>
      <w:r w:rsidRPr="003216FD">
        <w:rPr>
          <w:b/>
        </w:rPr>
        <w:t>16/12/11</w:t>
      </w:r>
      <w:r>
        <w:t>)</w:t>
      </w:r>
    </w:p>
    <w:p w:rsidR="00B06EEF" w:rsidRDefault="00B06EEF" w:rsidP="00387350">
      <w:pPr>
        <w:pStyle w:val="NormalWeb"/>
        <w:jc w:val="both"/>
      </w:pPr>
      <w:r>
        <w:t>“</w:t>
      </w:r>
      <w:r w:rsidRPr="00B06EEF">
        <w:t>Siete millones de alemanes tienen trabajo precario con sueldo inferior a 400 euros… Son contratos basura con un pago máximo de 400 euros mensuales, que el empleado cobrará neto. El empresario paga un 2% al fisco, un 15% al plan de pensiones y un 13% a la Seguridad Social: 120 euros en caso de que la paga ascienda a 400 euros. La media salarial de miniempleados ronda en toda Alemania los 230 euros. Al empleado no le descuentan impuestos ni la cotización a la Seguridad Social. La razón es bien simple: las contribuciones a la Seguridad Social no dan derecho a que el empleado se beneficie del servicio de salud ni goce de un plan público de pensiones. En suma, un minijob deja casi completamente desamparado al empleado, que tendrá que asegurarse por otras vías</w:t>
      </w:r>
      <w:r>
        <w:t>”</w:t>
      </w:r>
      <w:r w:rsidRPr="00B06EEF">
        <w:t>…</w:t>
      </w:r>
      <w:r>
        <w:t xml:space="preserve"> </w:t>
      </w:r>
      <w:r w:rsidRPr="00113135">
        <w:rPr>
          <w:u w:val="single"/>
        </w:rPr>
        <w:t>Miniempleos en la calle Karl Marx</w:t>
      </w:r>
      <w:r>
        <w:t xml:space="preserve"> (El País - </w:t>
      </w:r>
      <w:r w:rsidRPr="00113135">
        <w:rPr>
          <w:b/>
        </w:rPr>
        <w:t>18/12/11</w:t>
      </w:r>
      <w:r>
        <w:t>)</w:t>
      </w:r>
    </w:p>
    <w:p w:rsidR="006D20F6" w:rsidRDefault="006D20F6" w:rsidP="00387350">
      <w:pPr>
        <w:pStyle w:val="NormalWeb"/>
        <w:jc w:val="both"/>
      </w:pPr>
      <w:r>
        <w:t>“</w:t>
      </w:r>
      <w:r w:rsidR="00B06EEF" w:rsidRPr="00B06EEF">
        <w:t xml:space="preserve">Los críticos aseguran que los cambios laborales de principios de la década pasada han contribuido a crear puestos de trabajo, pero también </w:t>
      </w:r>
      <w:r w:rsidR="00B06EEF" w:rsidRPr="00B06EEF">
        <w:rPr>
          <w:bCs/>
        </w:rPr>
        <w:t>han fomentado la existencia de trabajos temporales y mal pagados</w:t>
      </w:r>
      <w:r w:rsidR="00B06EEF" w:rsidRPr="00B06EEF">
        <w:t>, incrementando la desigualdad salarial.</w:t>
      </w:r>
      <w:r>
        <w:t xml:space="preserve"> </w:t>
      </w:r>
      <w:r w:rsidR="00B06EEF" w:rsidRPr="00B06EEF">
        <w:t xml:space="preserve">Los datos de la oficina de empleo germana muestran cómo el grupo de empleados con salarios más bajos creció tres veces más rápido que el resto entre 2005 y 2010. </w:t>
      </w:r>
      <w:r w:rsidR="00B06EEF" w:rsidRPr="00B06EEF">
        <w:rPr>
          <w:bCs/>
        </w:rPr>
        <w:t>Eso explica por qué el milagro laboral no ha llevado a los ciudadanos a gastar mucho más</w:t>
      </w:r>
      <w:r w:rsidR="00B06EEF" w:rsidRPr="00B06EEF">
        <w:t xml:space="preserve">, asegura </w:t>
      </w:r>
      <w:r w:rsidR="00B06EEF" w:rsidRPr="00B06EEF">
        <w:rPr>
          <w:i/>
          <w:iCs/>
        </w:rPr>
        <w:t>Reuters</w:t>
      </w:r>
      <w:r w:rsidR="00B06EEF" w:rsidRPr="00B06EEF">
        <w:t xml:space="preserve"> en su artículo. En Alemania no existe un salario mínimo a nivel nacional, por eso los sueldos pueden ser incluso inferiores a un euro la hora, especialmente en los estados de la antigua Alemania comunista</w:t>
      </w:r>
      <w:r>
        <w:t>”..</w:t>
      </w:r>
      <w:r w:rsidR="00B06EEF" w:rsidRPr="00B06EEF">
        <w:t>.</w:t>
      </w:r>
      <w:r>
        <w:t xml:space="preserve"> </w:t>
      </w:r>
      <w:r w:rsidRPr="00E7671C">
        <w:rPr>
          <w:u w:val="single"/>
        </w:rPr>
        <w:t>La otra cara del milagro laboral alemán: 7 millones de minijobs y 50 céntimos/hora</w:t>
      </w:r>
      <w:r>
        <w:t xml:space="preserve"> (El Economista - </w:t>
      </w:r>
      <w:r w:rsidRPr="00E7671C">
        <w:rPr>
          <w:b/>
        </w:rPr>
        <w:t>8/2/12</w:t>
      </w:r>
      <w:r>
        <w:t>)</w:t>
      </w:r>
    </w:p>
    <w:p w:rsidR="006D20F6" w:rsidRDefault="006D20F6" w:rsidP="00387350">
      <w:pPr>
        <w:spacing w:line="240" w:lineRule="auto"/>
        <w:jc w:val="both"/>
        <w:rPr>
          <w:rFonts w:ascii="Times New Roman" w:hAnsi="Times New Roman"/>
          <w:sz w:val="24"/>
          <w:szCs w:val="24"/>
        </w:rPr>
      </w:pPr>
      <w:r>
        <w:rPr>
          <w:rFonts w:ascii="Times New Roman" w:hAnsi="Times New Roman"/>
          <w:sz w:val="24"/>
          <w:szCs w:val="24"/>
        </w:rPr>
        <w:t>“</w:t>
      </w:r>
      <w:r w:rsidRPr="0091204E">
        <w:rPr>
          <w:rFonts w:ascii="Times New Roman" w:hAnsi="Times New Roman"/>
          <w:sz w:val="24"/>
          <w:szCs w:val="24"/>
        </w:rPr>
        <w:t xml:space="preserve">El crecimiento del empleo en Alemania se ha debido fundamentalmente al aumento del modelo de bajos sueldos y a las agencias de trabajo temporal, impulsados por la desregulación y la promoción de la de flexibilidad y a los contratos de bajos ingresos, </w:t>
      </w:r>
      <w:r w:rsidRPr="0091204E">
        <w:rPr>
          <w:rFonts w:ascii="Times New Roman" w:hAnsi="Times New Roman"/>
          <w:sz w:val="24"/>
          <w:szCs w:val="24"/>
        </w:rPr>
        <w:lastRenderedPageBreak/>
        <w:t>subvencionados por el Estado, llamados mini-jobs. El número de trabajadores con contrat</w:t>
      </w:r>
      <w:r w:rsidR="00AE6D8A">
        <w:rPr>
          <w:rFonts w:ascii="Times New Roman" w:hAnsi="Times New Roman"/>
          <w:sz w:val="24"/>
          <w:szCs w:val="24"/>
        </w:rPr>
        <w:t>o indefinido de salarios bajos -</w:t>
      </w:r>
      <w:r w:rsidRPr="0091204E">
        <w:rPr>
          <w:rFonts w:ascii="Times New Roman" w:hAnsi="Times New Roman"/>
          <w:sz w:val="24"/>
          <w:szCs w:val="24"/>
        </w:rPr>
        <w:t xml:space="preserve">definido como aquellos que ganan menos de dos </w:t>
      </w:r>
      <w:r w:rsidR="00AE6D8A">
        <w:rPr>
          <w:rFonts w:ascii="Times New Roman" w:hAnsi="Times New Roman"/>
          <w:sz w:val="24"/>
          <w:szCs w:val="24"/>
        </w:rPr>
        <w:t>tercios de los ingresos medios-</w:t>
      </w:r>
      <w:r w:rsidRPr="0091204E">
        <w:rPr>
          <w:rFonts w:ascii="Times New Roman" w:hAnsi="Times New Roman"/>
          <w:sz w:val="24"/>
          <w:szCs w:val="24"/>
        </w:rPr>
        <w:t xml:space="preserve"> se elevó un 13,5% hasta los 4,3 millones entre 2005 y 2010. Un crecimiento tres veces más rápido que otra modalidad de empleo, según el Departamento de Trabajo. Los empleos las empresas de trabajo temporal alcanzaron un récord en 2011 </w:t>
      </w:r>
      <w:r>
        <w:rPr>
          <w:rFonts w:ascii="Times New Roman" w:hAnsi="Times New Roman"/>
          <w:sz w:val="24"/>
          <w:szCs w:val="24"/>
        </w:rPr>
        <w:t xml:space="preserve">con 910.000 puestos de trabajo </w:t>
      </w:r>
      <w:r w:rsidRPr="0091204E">
        <w:rPr>
          <w:rFonts w:ascii="Times New Roman" w:hAnsi="Times New Roman"/>
          <w:sz w:val="24"/>
          <w:szCs w:val="24"/>
        </w:rPr>
        <w:t>-el triple que en 2002, cuando B</w:t>
      </w:r>
      <w:r>
        <w:rPr>
          <w:rFonts w:ascii="Times New Roman" w:hAnsi="Times New Roman"/>
          <w:sz w:val="24"/>
          <w:szCs w:val="24"/>
        </w:rPr>
        <w:t>erlín comenzó la desregulación-</w:t>
      </w:r>
      <w:r w:rsidRPr="0091204E">
        <w:rPr>
          <w:rFonts w:ascii="Times New Roman" w:hAnsi="Times New Roman"/>
          <w:sz w:val="24"/>
          <w:szCs w:val="24"/>
        </w:rPr>
        <w:t>. Los economistas aseguran que la intención de Schroeder fue lograr una rápida expansión de estos sectores (salarios bajos y trabajos temporales) para conseguir la incorporación al mercado laboral de trabajadores pocos cualificados y desempleados de larga duración. En 2005, el último año de Schroeder como canciller, presumi</w:t>
      </w:r>
      <w:r>
        <w:rPr>
          <w:rFonts w:ascii="Times New Roman" w:hAnsi="Times New Roman"/>
          <w:sz w:val="24"/>
          <w:szCs w:val="24"/>
        </w:rPr>
        <w:t>ó en el Foro Mundial de Davos: “</w:t>
      </w:r>
      <w:r w:rsidRPr="0091204E">
        <w:rPr>
          <w:rFonts w:ascii="Times New Roman" w:hAnsi="Times New Roman"/>
          <w:sz w:val="24"/>
          <w:szCs w:val="24"/>
        </w:rPr>
        <w:t xml:space="preserve">Hemos construido una de los mejores sectores </w:t>
      </w:r>
      <w:r>
        <w:rPr>
          <w:rFonts w:ascii="Times New Roman" w:hAnsi="Times New Roman"/>
          <w:sz w:val="24"/>
          <w:szCs w:val="24"/>
        </w:rPr>
        <w:t>de salarios reducidos de Europa”</w:t>
      </w:r>
      <w:r w:rsidRPr="0091204E">
        <w:rPr>
          <w:rFonts w:ascii="Times New Roman" w:hAnsi="Times New Roman"/>
          <w:sz w:val="24"/>
          <w:szCs w:val="24"/>
        </w:rPr>
        <w:t xml:space="preserve">. Siete años más tarde, los empresarios alaban las reformas que les permitieron crecer con </w:t>
      </w:r>
      <w:r>
        <w:rPr>
          <w:rFonts w:ascii="Times New Roman" w:hAnsi="Times New Roman"/>
          <w:sz w:val="24"/>
          <w:szCs w:val="24"/>
        </w:rPr>
        <w:t>minijobs y trabajos temporales”...</w:t>
      </w:r>
      <w:r w:rsidRPr="0091204E">
        <w:rPr>
          <w:rFonts w:ascii="Times New Roman" w:hAnsi="Times New Roman"/>
          <w:sz w:val="24"/>
          <w:szCs w:val="24"/>
        </w:rPr>
        <w:t xml:space="preserve"> </w:t>
      </w:r>
      <w:r w:rsidRPr="00AF71D8">
        <w:rPr>
          <w:rFonts w:ascii="Times New Roman" w:hAnsi="Times New Roman"/>
          <w:sz w:val="24"/>
          <w:szCs w:val="24"/>
          <w:u w:val="single"/>
        </w:rPr>
        <w:t>Suel</w:t>
      </w:r>
      <w:r>
        <w:rPr>
          <w:rFonts w:ascii="Times New Roman" w:hAnsi="Times New Roman"/>
          <w:sz w:val="24"/>
          <w:szCs w:val="24"/>
          <w:u w:val="single"/>
        </w:rPr>
        <w:t>dos de un euro a la hora en el “milagro”</w:t>
      </w:r>
      <w:r w:rsidRPr="00AF71D8">
        <w:rPr>
          <w:rFonts w:ascii="Times New Roman" w:hAnsi="Times New Roman"/>
          <w:sz w:val="24"/>
          <w:szCs w:val="24"/>
          <w:u w:val="single"/>
        </w:rPr>
        <w:t xml:space="preserve"> laboral alemán</w:t>
      </w:r>
      <w:r>
        <w:rPr>
          <w:rFonts w:ascii="Times New Roman" w:hAnsi="Times New Roman"/>
          <w:sz w:val="24"/>
          <w:szCs w:val="24"/>
        </w:rPr>
        <w:t xml:space="preserve"> (El País - </w:t>
      </w:r>
      <w:r w:rsidRPr="00AF71D8">
        <w:rPr>
          <w:rFonts w:ascii="Times New Roman" w:hAnsi="Times New Roman"/>
          <w:b/>
          <w:sz w:val="24"/>
          <w:szCs w:val="24"/>
        </w:rPr>
        <w:t>9/2/12</w:t>
      </w:r>
      <w:r>
        <w:rPr>
          <w:rFonts w:ascii="Times New Roman" w:hAnsi="Times New Roman"/>
          <w:sz w:val="24"/>
          <w:szCs w:val="24"/>
        </w:rPr>
        <w:t>)</w:t>
      </w:r>
    </w:p>
    <w:p w:rsidR="006D20F6" w:rsidRDefault="006D20F6" w:rsidP="00387350">
      <w:pPr>
        <w:pStyle w:val="NormalWeb"/>
        <w:jc w:val="both"/>
      </w:pPr>
      <w:r>
        <w:t>“</w:t>
      </w:r>
      <w:r w:rsidRPr="006D20F6">
        <w:t xml:space="preserve">El </w:t>
      </w:r>
      <w:r w:rsidR="00DA603A">
        <w:t>“</w:t>
      </w:r>
      <w:r w:rsidRPr="00DA603A">
        <w:rPr>
          <w:iCs/>
        </w:rPr>
        <w:t>lumpenproletariat</w:t>
      </w:r>
      <w:r w:rsidR="00DA603A">
        <w:rPr>
          <w:iCs/>
        </w:rPr>
        <w:t>”</w:t>
      </w:r>
      <w:r w:rsidRPr="00DA603A">
        <w:t xml:space="preserve"> </w:t>
      </w:r>
      <w:r w:rsidRPr="006D20F6">
        <w:t>renace en Alemania. El 23 por ciento de los ciudadanos de este país cobra sueldos bajos, tan bajos que no llegan a mileuristas. Según un estudio de la Universidad de Duisburg-Essen, ocho millones de personas cobran menos de 9,15 euros brutos por hora. 4,1 millones menos de 7 euros, 2,5 millones menos de seis y 1,4 millones menos de cinco euros la hora trabajada. Curiosamente, los salarios miserables han aumentado más en los Länder occidentales, los más ricos, (un 68 por ciento) que en los orientales (la antigua RDA) en los últimos quince años.</w:t>
      </w:r>
      <w:r>
        <w:t xml:space="preserve"> </w:t>
      </w:r>
      <w:r w:rsidRPr="006D20F6">
        <w:t>Estas son las consecuencias de la reforma laboral que entró en vigor en el año 2005 y de la negativa oficial a introducir un salario mínimo profesional. Y demuestran que, en contra de lo que se afirma en España, en la República Federal se crean puestos de trabajo, sí, y la tasa de paro es de un 6,7 por ciento, pero se crea sobre todo empleo de baja calidad, con sueldos bajos o muy bajos, trabajos temporales o trabajos mercenarios y precarios proporcionados por agencias de colocación o intermediarios, sin ninguna garantía de futuro. Así cualquiera puede ser competitivo en Europa, chinos aparte</w:t>
      </w:r>
      <w:r>
        <w:t>”..</w:t>
      </w:r>
      <w:r w:rsidRPr="006D20F6">
        <w:t>.</w:t>
      </w:r>
      <w:r>
        <w:t xml:space="preserve"> </w:t>
      </w:r>
      <w:r w:rsidRPr="00EE3DB8">
        <w:rPr>
          <w:u w:val="single"/>
        </w:rPr>
        <w:t>El 23% de los alemanes cobra sueldos tan bajos que no llegan a mileuristas</w:t>
      </w:r>
      <w:r>
        <w:t xml:space="preserve"> (El Confidencial - </w:t>
      </w:r>
      <w:r w:rsidRPr="00EE3DB8">
        <w:rPr>
          <w:b/>
        </w:rPr>
        <w:t>15/3/12</w:t>
      </w:r>
      <w:r>
        <w:t>)</w:t>
      </w:r>
    </w:p>
    <w:p w:rsidR="006D20F6" w:rsidRDefault="006D20F6" w:rsidP="00387350">
      <w:pPr>
        <w:pStyle w:val="NormalWeb"/>
        <w:jc w:val="both"/>
      </w:pPr>
      <w:r w:rsidRPr="006D20F6">
        <w:t>“Alemania cuenta con un envidiable 7,4% de paro, según datos de la Agencia Federal de Trabajo del último mes de febrero. Sin embargo, un estudio del Instituto para el Trabajo y la Cualificación de la universidad de Duisburg-Essen alerta sobre las carencias del sistema laboral alemán. Alrededor de</w:t>
      </w:r>
      <w:r w:rsidRPr="006D20F6">
        <w:rPr>
          <w:bCs/>
        </w:rPr>
        <w:t xml:space="preserve"> ocho millones de personas, lo que equivale a uno de cada cuatro trabajadores, cobra menos de 9,15 euros brutos por hora. </w:t>
      </w:r>
      <w:r w:rsidRPr="006D20F6">
        <w:t xml:space="preserve">El estudio calcula que el salario medio en Alemania se sitúa en los 13,73 euros por hora. El periódico alemán </w:t>
      </w:r>
      <w:r w:rsidRPr="006D20F6">
        <w:rPr>
          <w:i/>
          <w:iCs/>
        </w:rPr>
        <w:t xml:space="preserve">Süddeutsche Zeitung </w:t>
      </w:r>
      <w:r w:rsidRPr="006D20F6">
        <w:t xml:space="preserve">publicó ayer las cifras del estudio en un artículo en el que muestra las “sombras” del “milagro” del sistema laboral alemán y en el que se plantea si sólo se trata de una “quimera”. Entre los años 1995 y 2012 se registró un aumento de 2,3 millones de empleados que recibieron un salario mínimo. El estudio también alerta de que 1,4 millones de empleados en Alemania no llegan a ganar cinco euros por hora trabajada. La mitad de los trabajadores que reciben esta remuneración trabaja a jornada completa”... </w:t>
      </w:r>
      <w:r w:rsidRPr="00DE4509">
        <w:rPr>
          <w:u w:val="single"/>
        </w:rPr>
        <w:t>Uno de cada cuatro alemanes cobra menos de 9,15 euros brutos por hora</w:t>
      </w:r>
      <w:r>
        <w:t xml:space="preserve"> (El Economista - </w:t>
      </w:r>
      <w:r w:rsidRPr="00DE4509">
        <w:rPr>
          <w:b/>
        </w:rPr>
        <w:t>16/3/12</w:t>
      </w:r>
      <w:r>
        <w:t>)</w:t>
      </w:r>
    </w:p>
    <w:p w:rsidR="00CD5BE7" w:rsidRDefault="006D20F6" w:rsidP="00387350">
      <w:pPr>
        <w:pStyle w:val="NormalWeb"/>
        <w:jc w:val="both"/>
      </w:pPr>
      <w:r>
        <w:t>“</w:t>
      </w:r>
      <w:r w:rsidRPr="006D20F6">
        <w:t xml:space="preserve">Muchos países de todo el mundo observan con envidia a Alemania y se fijan en ella como un modelo a seguir. Pero una mirada más cercana revela un panorama mucho más sombrío de lo que a simple vista trasciende. Y es que </w:t>
      </w:r>
      <w:r w:rsidRPr="006D20F6">
        <w:rPr>
          <w:bCs/>
        </w:rPr>
        <w:t xml:space="preserve">solo unos pocos se están beneficiando del </w:t>
      </w:r>
      <w:r w:rsidR="00DA603A">
        <w:rPr>
          <w:bCs/>
        </w:rPr>
        <w:t>“</w:t>
      </w:r>
      <w:r w:rsidRPr="00DA603A">
        <w:rPr>
          <w:bCs/>
          <w:iCs/>
        </w:rPr>
        <w:t>boom</w:t>
      </w:r>
      <w:r w:rsidR="00DA603A">
        <w:rPr>
          <w:bCs/>
          <w:iCs/>
        </w:rPr>
        <w:t>”</w:t>
      </w:r>
      <w:r w:rsidRPr="006D20F6">
        <w:t xml:space="preserve">, mientras la mayor parte de los salarios están estancados y </w:t>
      </w:r>
      <w:r w:rsidRPr="006D20F6">
        <w:lastRenderedPageBreak/>
        <w:t>muchos ciudadanos se encuentran con grandes dificultades para llegar a fin de mes debido a las precarias condiciones laborales.</w:t>
      </w:r>
      <w:r>
        <w:t xml:space="preserve"> </w:t>
      </w:r>
      <w:r w:rsidRPr="006D20F6">
        <w:t xml:space="preserve">Por un lado están los gerentes, especialistas y miembros de la plantilla fija, que se benefician de la escasez de trabajadores bien preparados. Por el otro, figura aquella parte de trabajadores que pueden ser usados según las necesidades y luego despedidos, con contratos temporales y a tiempo parcial. Muchas de estas personas trabajan fuera de los acuerdos de negociación colectiva, apunta </w:t>
      </w:r>
      <w:r w:rsidRPr="006D20F6">
        <w:rPr>
          <w:i/>
          <w:iCs/>
        </w:rPr>
        <w:t>Der Spiegel</w:t>
      </w:r>
      <w:r w:rsidRPr="006D20F6">
        <w:t xml:space="preserve"> en un artículo.</w:t>
      </w:r>
      <w:r>
        <w:t xml:space="preserve"> </w:t>
      </w:r>
      <w:r w:rsidRPr="006D20F6">
        <w:rPr>
          <w:bCs/>
        </w:rPr>
        <w:t>Los cambios laborales de principios de la década pasada han contribuido a crear puestos de trabajo. Pero también han fomentado la existencia de trabajos temporales y mal pagados</w:t>
      </w:r>
      <w:r w:rsidRPr="006D20F6">
        <w:t xml:space="preserve"> y la promoción de empleos flexibles y con sueldos de 400 euros, los llamados </w:t>
      </w:r>
      <w:r w:rsidR="00DA603A">
        <w:t>“</w:t>
      </w:r>
      <w:r w:rsidRPr="00DA603A">
        <w:rPr>
          <w:iCs/>
        </w:rPr>
        <w:t>minijobs</w:t>
      </w:r>
      <w:r w:rsidR="00DA603A">
        <w:rPr>
          <w:iCs/>
        </w:rPr>
        <w:t>”</w:t>
      </w:r>
      <w:r w:rsidRPr="006D20F6">
        <w:t>, una suerte de trabajo a tiempo parcial que puede resultar atractiva para muchos parados. En este contexto, la desigualdad salarial se ha disparado.</w:t>
      </w:r>
      <w:r>
        <w:t xml:space="preserve"> </w:t>
      </w:r>
      <w:r w:rsidRPr="006D20F6">
        <w:t xml:space="preserve">Los datos de la oficina de empleo germana muestran cómo </w:t>
      </w:r>
      <w:hyperlink r:id="rId271" w:history="1">
        <w:r w:rsidRPr="006D20F6">
          <w:rPr>
            <w:rStyle w:val="Hipervnculo"/>
            <w:rFonts w:eastAsiaTheme="majorEastAsia"/>
            <w:color w:val="auto"/>
            <w:u w:val="none"/>
          </w:rPr>
          <w:t>el grupo de empleados con salarios más bajos creció tres veces más rápido que el resto entre 2005 y 2010</w:t>
        </w:r>
      </w:hyperlink>
      <w:r w:rsidRPr="006D20F6">
        <w:t>. En Alemania no existe un salario mínimo a nivel nacional, por eso los sueldos pueden ser incluso inferiores a un euro la hora, especialmente en los estados de la antigua Alemania comunista.</w:t>
      </w:r>
      <w:r>
        <w:t xml:space="preserve"> </w:t>
      </w:r>
      <w:r w:rsidRPr="006D20F6">
        <w:t>Los expertos consideran que este es el precio a pagar por el éxito, un mal necesario que propició el auge de la economía alemana, que hoy refleja una situación envidiable. Las empresas están reportando ganancias récord, el tamaño de la población activa alcanzó un nuevo máximo en 2011 y, según la Agencia Federal de Empleo alemana, el número de desempleados se ha reducido hasta los 2,96 millones. En abril, el país tenía una tasa de desempleo de sólo el 7%.</w:t>
      </w:r>
      <w:r>
        <w:t xml:space="preserve"> </w:t>
      </w:r>
      <w:r w:rsidRPr="006D20F6">
        <w:t xml:space="preserve">La mayoría de trabajadores apenas notan lo que ha venido a llamarse milagro económico alemán. </w:t>
      </w:r>
      <w:r w:rsidR="00CD5BE7">
        <w:rPr>
          <w:bCs/>
        </w:rPr>
        <w:t>“</w:t>
      </w:r>
      <w:r w:rsidRPr="006D20F6">
        <w:rPr>
          <w:bCs/>
        </w:rPr>
        <w:t>En ningún otro país la desigualdad social ha</w:t>
      </w:r>
      <w:r w:rsidR="00CD5BE7">
        <w:rPr>
          <w:bCs/>
        </w:rPr>
        <w:t xml:space="preserve"> crecido tanto como en Alemania”</w:t>
      </w:r>
      <w:r w:rsidRPr="006D20F6">
        <w:t xml:space="preserve">, apunta al </w:t>
      </w:r>
      <w:r w:rsidRPr="006D20F6">
        <w:rPr>
          <w:i/>
          <w:iCs/>
        </w:rPr>
        <w:t>Spiegel</w:t>
      </w:r>
      <w:r w:rsidRPr="006D20F6">
        <w:t xml:space="preserve"> Gerhard Bosche, director del Instituto para el Trabajo, Habilidades y Formación de la Universidad de Duisburg-Essen</w:t>
      </w:r>
      <w:r w:rsidR="00CD5BE7">
        <w:t>”..</w:t>
      </w:r>
      <w:r w:rsidRPr="006D20F6">
        <w:t xml:space="preserve">. </w:t>
      </w:r>
      <w:r w:rsidR="00CD5BE7" w:rsidRPr="004F561B">
        <w:rPr>
          <w:u w:val="single"/>
        </w:rPr>
        <w:t>El alto coste del éxito económico alemán: ¿qué hay detrás de su milagro laboral?</w:t>
      </w:r>
      <w:r w:rsidR="00CD5BE7">
        <w:t xml:space="preserve"> (El Economista - </w:t>
      </w:r>
      <w:r w:rsidR="00CD5BE7">
        <w:rPr>
          <w:b/>
        </w:rPr>
        <w:t>4</w:t>
      </w:r>
      <w:r w:rsidR="00CD5BE7" w:rsidRPr="004F561B">
        <w:rPr>
          <w:b/>
        </w:rPr>
        <w:t>/5/12</w:t>
      </w:r>
      <w:r w:rsidR="00CD5BE7">
        <w:t>)</w:t>
      </w:r>
    </w:p>
    <w:p w:rsidR="00CD5BE7" w:rsidRDefault="00CD5BE7" w:rsidP="00387350">
      <w:pPr>
        <w:spacing w:line="240" w:lineRule="auto"/>
        <w:jc w:val="both"/>
        <w:rPr>
          <w:rFonts w:ascii="Times New Roman" w:hAnsi="Times New Roman"/>
          <w:sz w:val="24"/>
          <w:szCs w:val="24"/>
        </w:rPr>
      </w:pPr>
      <w:r w:rsidRPr="00CD5BE7">
        <w:rPr>
          <w:rFonts w:ascii="Times New Roman" w:hAnsi="Times New Roman"/>
          <w:sz w:val="24"/>
          <w:szCs w:val="24"/>
        </w:rPr>
        <w:t>A primera vista Alemania parece un país superlativo. En el ámbito económico apenas hay otra nación industrializada a la que le vaya mejor que a la República Federal. En el extranjero cunde el asombro ante un “milagro laboral” que no conoce el paro juvenil masivo que padecen los Estados en crisis del sur de Europa. Las máquinas y automóviles “Made in Germany” están muy solicitados en todo el mundo. En relación con el tamaño de su población, Alemania es la nación exportadora número uno a escala mundial. Pero a la hora de hacer balance social, queda poco de todo ese brillo. La República Federal es también un país de contrastes donde los más ricos son cada vez más ricos y los pobres, muy a menudo, jamás dejan de ser pobres.</w:t>
      </w:r>
      <w:r>
        <w:rPr>
          <w:rFonts w:ascii="Times New Roman" w:hAnsi="Times New Roman"/>
          <w:sz w:val="24"/>
          <w:szCs w:val="24"/>
        </w:rPr>
        <w:t xml:space="preserve"> </w:t>
      </w:r>
      <w:r w:rsidRPr="00CD5BE7">
        <w:rPr>
          <w:rFonts w:ascii="Times New Roman" w:hAnsi="Times New Roman"/>
          <w:sz w:val="24"/>
          <w:szCs w:val="24"/>
        </w:rPr>
        <w:t>Ahora se habla mucho de este asunto en los programas de debate. La ministra de trabajo Ursula von der Leyen, la mujer más importante del panorama político alemán después de la canciller, Angela Merkel, ha proporcionado tema para la discusión. Esta cristianodemócrata ha presentado el cuarto informe sobre pobreza y riqueza del Gobierno federal, que deja bien claro que las diferencias crecen.</w:t>
      </w:r>
      <w:r>
        <w:rPr>
          <w:rFonts w:ascii="Times New Roman" w:hAnsi="Times New Roman"/>
          <w:sz w:val="24"/>
          <w:szCs w:val="24"/>
        </w:rPr>
        <w:t xml:space="preserve"> </w:t>
      </w:r>
      <w:r w:rsidRPr="00CD5BE7">
        <w:rPr>
          <w:rFonts w:ascii="Times New Roman" w:hAnsi="Times New Roman"/>
          <w:sz w:val="24"/>
          <w:szCs w:val="24"/>
        </w:rPr>
        <w:t>Este mosaico de cifras de más de 500 páginas se lamenta de la existencia de “una distribución muy desigual del patrimonio privado“. Así, “el 10% de los hogares con mayor riqueza reúne más de la mitad de la totalidad del patrimonio neto”. Es más, el porcentaje que corresponde a esa décima parte superior al resto “no ha dejado de aumentar con el transcurrir del tiempo”. Al mismo tiempo, el informe registra grandes diferencias en lo que respecta a la evolución de los salarios.</w:t>
      </w:r>
      <w:r>
        <w:rPr>
          <w:rFonts w:ascii="Times New Roman" w:hAnsi="Times New Roman"/>
          <w:sz w:val="24"/>
          <w:szCs w:val="24"/>
        </w:rPr>
        <w:t xml:space="preserve"> </w:t>
      </w:r>
      <w:r w:rsidRPr="00CD5BE7">
        <w:rPr>
          <w:rFonts w:ascii="Times New Roman" w:hAnsi="Times New Roman"/>
          <w:sz w:val="24"/>
          <w:szCs w:val="24"/>
        </w:rPr>
        <w:t xml:space="preserve">“En Alemania han experimentado una evolución positiva al alza en el ámbito de los ingresos más altos”. Sin embargo, el 40% de los empleados a tiempo completo situado al final de la escala ha tenido que soportar pérdidas en su salario como resultado de la </w:t>
      </w:r>
      <w:r w:rsidRPr="00CD5BE7">
        <w:rPr>
          <w:rFonts w:ascii="Times New Roman" w:hAnsi="Times New Roman"/>
          <w:sz w:val="24"/>
          <w:szCs w:val="24"/>
        </w:rPr>
        <w:lastRenderedPageBreak/>
        <w:t>inflación. “Semejante evolución de los salarios ofende al sentido de la justicia de la población”, comenta al respecto el informe</w:t>
      </w:r>
      <w:r>
        <w:rPr>
          <w:rFonts w:ascii="Times New Roman" w:hAnsi="Times New Roman"/>
          <w:sz w:val="24"/>
          <w:szCs w:val="24"/>
        </w:rPr>
        <w:t>”..</w:t>
      </w:r>
      <w:r w:rsidRPr="00CD5BE7">
        <w:rPr>
          <w:rFonts w:ascii="Times New Roman" w:hAnsi="Times New Roman"/>
          <w:sz w:val="24"/>
          <w:szCs w:val="24"/>
        </w:rPr>
        <w:t xml:space="preserve">. </w:t>
      </w:r>
      <w:r w:rsidRPr="002679CE">
        <w:rPr>
          <w:rFonts w:ascii="Times New Roman" w:hAnsi="Times New Roman"/>
          <w:sz w:val="24"/>
          <w:szCs w:val="24"/>
          <w:u w:val="single"/>
        </w:rPr>
        <w:t>Alemania es próspera, pero crece la brecha entre ricos y pobres</w:t>
      </w:r>
      <w:r>
        <w:rPr>
          <w:rFonts w:ascii="Times New Roman" w:hAnsi="Times New Roman"/>
          <w:sz w:val="24"/>
          <w:szCs w:val="24"/>
        </w:rPr>
        <w:t xml:space="preserve"> (El País - </w:t>
      </w:r>
      <w:r w:rsidRPr="002679CE">
        <w:rPr>
          <w:rFonts w:ascii="Times New Roman" w:hAnsi="Times New Roman"/>
          <w:b/>
          <w:sz w:val="24"/>
          <w:szCs w:val="24"/>
        </w:rPr>
        <w:t>17/10/12</w:t>
      </w:r>
      <w:r>
        <w:rPr>
          <w:rFonts w:ascii="Times New Roman" w:hAnsi="Times New Roman"/>
          <w:sz w:val="24"/>
          <w:szCs w:val="24"/>
        </w:rPr>
        <w:t>)</w:t>
      </w:r>
    </w:p>
    <w:p w:rsidR="00CD5BE7" w:rsidRDefault="00CD5BE7" w:rsidP="00387350">
      <w:pPr>
        <w:pStyle w:val="NormalWeb"/>
        <w:jc w:val="both"/>
      </w:pPr>
      <w:r>
        <w:t xml:space="preserve">“Los llamados minjobs -empleos de pocas horas remunerados con un máximo de 450 euros mensuales libres de impuestos y de cotizaciones- están destruyendo puestos de trabajo regulares en Alemania, según un estudio difundido este lunes por el Instituto de Investigaciones sobre el Mercado Laboral (IAB).  El estudio destaca que actualmente hay en Alemania 7,4 millones de miniempleos y aproximadamente un tercio de ellos son una segunda fuente de ingresos para quienes los ocupan. Este tipo de trabajo, creado en 2003, es frecuente en algunos sectores como el comercio y la hostelería en los que los empresarios han impuesto una mayor flexibilidad ante los largos horarios y la volatilidad de la demanda, mientras que en empresas de más de 100 trabajadores, los distintos tipos de contratos suelen complementarse y tener un crecimiento paralelo. El IAB, adscrito a la Agencia Federal de Empleo, asegura que los miniempleos debilitan la seguridad social por la falta del pago de cotizaciones y denuncia que los que viven exclusivamente de un trabajo de este tipo están condenados a la pobreza en la vejez. Otros estudios, sin embargo, han destacado como aspecto positivo este tipo de contrato al considerar que a menudo ayudan a los parados de larga duración a regresar al mercado laboral. Según el informe, el 70% de los establecimientos de comida emplea por lo menos un  trabajador con minijob, lo que ha llevado a esta modalidad </w:t>
      </w:r>
      <w:r w:rsidR="002E6E34">
        <w:t>a</w:t>
      </w:r>
      <w:r>
        <w:t xml:space="preserve"> suponer el 34% del total de empleados en este sector. En el del comercio minorista un 63% de las empresas tiene miniempleos y suponen el 23% de los contratos del sector. Por tamaño de empresas, bajo estos empleos reducidos están enmarcados el 20% de los trabajadores de compañías de entre 1 y 9 personas, el 15% en las compañías de 10 a 99 empleados y solo el 5% en aquellas con más de 100 empleados”. </w:t>
      </w:r>
      <w:r>
        <w:rPr>
          <w:u w:val="single"/>
        </w:rPr>
        <w:t>Los “minijobs”</w:t>
      </w:r>
      <w:r w:rsidRPr="00E44232">
        <w:rPr>
          <w:u w:val="single"/>
        </w:rPr>
        <w:t xml:space="preserve"> destruyen el empleo regular en Alemania, según un estudio</w:t>
      </w:r>
      <w:r>
        <w:t xml:space="preserve"> (El País - </w:t>
      </w:r>
      <w:r w:rsidRPr="00E44232">
        <w:rPr>
          <w:b/>
        </w:rPr>
        <w:t>10/12/12</w:t>
      </w:r>
      <w:r>
        <w:t>)</w:t>
      </w:r>
    </w:p>
    <w:p w:rsidR="00A808AE" w:rsidRDefault="00A808AE" w:rsidP="00387350">
      <w:pPr>
        <w:pStyle w:val="NormalWeb"/>
        <w:jc w:val="both"/>
      </w:pPr>
      <w:r>
        <w:t>“</w:t>
      </w:r>
      <w:r w:rsidR="00CD5BE7" w:rsidRPr="00CD5BE7">
        <w:t>Para Wernes Eichhorst, el director adjunto de política laboral en el instituto de investigación indepe</w:t>
      </w:r>
      <w:r>
        <w:t>ndiente IZA “</w:t>
      </w:r>
      <w:r w:rsidR="00CD5BE7" w:rsidRPr="00CD5BE7">
        <w:t xml:space="preserve">los </w:t>
      </w:r>
      <w:r w:rsidR="00DA603A">
        <w:t>“</w:t>
      </w:r>
      <w:r w:rsidR="00CD5BE7" w:rsidRPr="00DA603A">
        <w:rPr>
          <w:iCs/>
        </w:rPr>
        <w:t>minijobs</w:t>
      </w:r>
      <w:r w:rsidR="00DA603A">
        <w:rPr>
          <w:iCs/>
        </w:rPr>
        <w:t>”</w:t>
      </w:r>
      <w:r>
        <w:t xml:space="preserve"> son un trabajo sin futuro”. Según explica, “</w:t>
      </w:r>
      <w:r w:rsidR="00CD5BE7" w:rsidRPr="00CD5BE7">
        <w:t>están estructurados de manera que los empleados no tienen incentivos para convertir esos puestos de trabajo en un empleo regular y, por razones fiscales, los empleados no tienen ningún i</w:t>
      </w:r>
      <w:r>
        <w:t>ncentivo para trabajar más”</w:t>
      </w:r>
      <w:r w:rsidR="00CD5BE7" w:rsidRPr="00CD5BE7">
        <w:t>.</w:t>
      </w:r>
      <w:r>
        <w:t xml:space="preserve"> </w:t>
      </w:r>
      <w:r w:rsidR="00CD5BE7" w:rsidRPr="00CD5BE7">
        <w:t xml:space="preserve">Los </w:t>
      </w:r>
      <w:r w:rsidR="00DA603A">
        <w:t>“</w:t>
      </w:r>
      <w:r w:rsidR="00CD5BE7" w:rsidRPr="00DA603A">
        <w:rPr>
          <w:iCs/>
        </w:rPr>
        <w:t>minijobs</w:t>
      </w:r>
      <w:r w:rsidR="00DA603A">
        <w:rPr>
          <w:iCs/>
        </w:rPr>
        <w:t>”</w:t>
      </w:r>
      <w:r w:rsidR="00CD5BE7" w:rsidRPr="00CD5BE7">
        <w:t xml:space="preserve"> son particularmente comunes en los estados de la antigua Alemania comunista. Un estudio reciente publicado por el Ministerio de Asuntos de la Familia encontró que las mujeres en </w:t>
      </w:r>
      <w:r>
        <w:t>particular pueden llegar a ser “</w:t>
      </w:r>
      <w:r w:rsidR="00CD5BE7" w:rsidRPr="00CD5BE7">
        <w:t>atra</w:t>
      </w:r>
      <w:r>
        <w:t>padas”</w:t>
      </w:r>
      <w:r w:rsidR="00CD5BE7" w:rsidRPr="00CD5BE7">
        <w:t xml:space="preserve"> en </w:t>
      </w:r>
      <w:r w:rsidR="00DA603A">
        <w:t>“</w:t>
      </w:r>
      <w:r w:rsidR="00CD5BE7" w:rsidRPr="00DA603A">
        <w:rPr>
          <w:iCs/>
        </w:rPr>
        <w:t>minijobs</w:t>
      </w:r>
      <w:r w:rsidR="00DA603A">
        <w:rPr>
          <w:iCs/>
        </w:rPr>
        <w:t>”</w:t>
      </w:r>
      <w:r>
        <w:t>, que califican como de “</w:t>
      </w:r>
      <w:r w:rsidR="00CD5BE7" w:rsidRPr="00CD5BE7">
        <w:t>programa para la creación de una impoten</w:t>
      </w:r>
      <w:r>
        <w:t>cia económica para toda la vida”..</w:t>
      </w:r>
      <w:r w:rsidR="00CD5BE7" w:rsidRPr="00CD5BE7">
        <w:t>.</w:t>
      </w:r>
      <w:r>
        <w:t xml:space="preserve"> </w:t>
      </w:r>
      <w:r w:rsidRPr="00840CD4">
        <w:rPr>
          <w:u w:val="single"/>
        </w:rPr>
        <w:t>Cara y cruz de los minijobs, una forma de empleo para 7,4 millones de alemanes</w:t>
      </w:r>
      <w:r>
        <w:t xml:space="preserve"> (El Economista - </w:t>
      </w:r>
      <w:r w:rsidRPr="00840CD4">
        <w:rPr>
          <w:b/>
        </w:rPr>
        <w:t>30/5/13</w:t>
      </w:r>
      <w:r>
        <w:t>)</w:t>
      </w:r>
    </w:p>
    <w:p w:rsidR="00A808AE" w:rsidRDefault="00A808AE" w:rsidP="0038735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A808AE">
        <w:rPr>
          <w:rFonts w:ascii="Times New Roman" w:hAnsi="Times New Roman" w:cs="Times New Roman"/>
          <w:sz w:val="24"/>
          <w:szCs w:val="24"/>
        </w:rPr>
        <w:t>Pero en contra de la lectura oficial, las reformas de Schröder (Agenda 2010, Hartz IV) no supusieron ningún milagro para el empleo. Aunque es indiscutible que hoy hay en Alemania 1,4 millones de puestos de trabajo más que al empezar el siglo, las estadísticas laborales distorsionan la realidad. Cuando las empresas transforman contratos a tiempo completo en empleos a tiempo parcial o minijobs, el número de empleados aumenta. Sin embargo, lo que se ha hecho no es sino redistribuir el trabajo existente en condiciones de precariedad. Eso es justo lo que ha pasado en Alemania. Desde el año 2000 se perdieron 1,6 millones de empleos a tiempo completo. Simultáneamente surgieron tres millones de empleos a tiempo parcial.</w:t>
      </w:r>
      <w:r>
        <w:rPr>
          <w:rFonts w:ascii="Times New Roman" w:hAnsi="Times New Roman" w:cs="Times New Roman"/>
          <w:sz w:val="24"/>
          <w:szCs w:val="24"/>
        </w:rPr>
        <w:t xml:space="preserve"> </w:t>
      </w:r>
      <w:r w:rsidRPr="00A808AE">
        <w:rPr>
          <w:rFonts w:ascii="Times New Roman" w:hAnsi="Times New Roman" w:cs="Times New Roman"/>
          <w:sz w:val="24"/>
          <w:szCs w:val="24"/>
        </w:rPr>
        <w:t xml:space="preserve">El supuesto boom alemán del empleo nunca desbordó el marco de una de las habituales </w:t>
      </w:r>
      <w:r w:rsidRPr="00A808AE">
        <w:rPr>
          <w:rFonts w:ascii="Times New Roman" w:hAnsi="Times New Roman" w:cs="Times New Roman"/>
          <w:sz w:val="24"/>
          <w:szCs w:val="24"/>
        </w:rPr>
        <w:lastRenderedPageBreak/>
        <w:t>recuperaciones coyunturales. Después de las reformas, el empleo no se recuperó con más fuerza que antes de ellas.</w:t>
      </w:r>
      <w:r>
        <w:rPr>
          <w:rFonts w:ascii="Times New Roman" w:hAnsi="Times New Roman" w:cs="Times New Roman"/>
          <w:sz w:val="24"/>
          <w:szCs w:val="24"/>
        </w:rPr>
        <w:t xml:space="preserve"> </w:t>
      </w:r>
      <w:r w:rsidRPr="00A808AE">
        <w:rPr>
          <w:rFonts w:ascii="Times New Roman" w:hAnsi="Times New Roman" w:cs="Times New Roman"/>
          <w:sz w:val="24"/>
          <w:szCs w:val="24"/>
        </w:rPr>
        <w:t>Y, de igual modo, los buenos datos del nivel de desempleo alemán han de tomarse con cautela. Oficialmente, en Alemania solo hay tres millones de parados, el nivel de desempleo más bajo desde hace 20 años. Sin embargo, los que ganan un euro a la hora, quienes tienen más de 58 años y no perciben un salario o los desempleados en cursos de formación no se cuentan en las estadísticas del paro. Además, hay más de dos millones de trabajadores a tiempo parcial, que desearían tener un contrato a tiempo completo, pero que no lo consiguen.</w:t>
      </w:r>
      <w:r>
        <w:rPr>
          <w:rFonts w:ascii="Times New Roman" w:hAnsi="Times New Roman" w:cs="Times New Roman"/>
          <w:sz w:val="24"/>
          <w:szCs w:val="24"/>
        </w:rPr>
        <w:t xml:space="preserve"> </w:t>
      </w:r>
      <w:r w:rsidRPr="00A808AE">
        <w:rPr>
          <w:rFonts w:ascii="Times New Roman" w:hAnsi="Times New Roman" w:cs="Times New Roman"/>
          <w:sz w:val="24"/>
          <w:szCs w:val="24"/>
        </w:rPr>
        <w:t>Es muy popular el cuento de que Alemania ha salido airosa de la crisis de la economía y los mercados financieros solo gracias a las reformas de Schröder. En esta crisis se han salvado más de un millón de empleos gracias a las reducciones del tiempo de trabajo. Las jornadas laborales reducidas y las bolsas de horas de trabajo subvencionadas por el Estado han impedido que las caídas en la producción se hayan transformado en paro masivo. Este éxito de la política de empleo no tiene nada que ver con la “política de reformas”. Además de esto, el Gobierno de Merkel estabilizó la economía con dos grandes paquetes de medidas coyunturales. Eso fue keynesianismo puro.</w:t>
      </w:r>
      <w:r>
        <w:rPr>
          <w:rFonts w:ascii="Times New Roman" w:hAnsi="Times New Roman" w:cs="Times New Roman"/>
          <w:sz w:val="24"/>
          <w:szCs w:val="24"/>
        </w:rPr>
        <w:t xml:space="preserve"> </w:t>
      </w:r>
      <w:r w:rsidRPr="00A808AE">
        <w:rPr>
          <w:rFonts w:ascii="Times New Roman" w:hAnsi="Times New Roman" w:cs="Times New Roman"/>
          <w:sz w:val="24"/>
          <w:szCs w:val="24"/>
        </w:rPr>
        <w:t>En resumen: la política de la Agenda 2010 tiene tan poco que ver con los recientes éxitos económicos como la natalidad con el número de cigüeñas.</w:t>
      </w:r>
      <w:r>
        <w:rPr>
          <w:rFonts w:ascii="Times New Roman" w:hAnsi="Times New Roman" w:cs="Times New Roman"/>
          <w:sz w:val="24"/>
          <w:szCs w:val="24"/>
        </w:rPr>
        <w:t xml:space="preserve"> </w:t>
      </w:r>
      <w:r w:rsidRPr="00A808AE">
        <w:rPr>
          <w:rFonts w:ascii="Times New Roman" w:hAnsi="Times New Roman" w:cs="Times New Roman"/>
          <w:sz w:val="24"/>
          <w:szCs w:val="24"/>
        </w:rPr>
        <w:t>Lo que sí han hecho las reformas del mercado de trabajo ha sido dividir a la sociedad. Hoy, casi una de cada cuatro personas empleadas trabaja por menos de nueve euros a la hora. Y 1,4 millones de alemanes se desloman por un salario de hambre inf</w:t>
      </w:r>
      <w:r>
        <w:rPr>
          <w:rFonts w:ascii="Times New Roman" w:hAnsi="Times New Roman" w:cs="Times New Roman"/>
          <w:sz w:val="24"/>
          <w:szCs w:val="24"/>
        </w:rPr>
        <w:t>erior a cinco euros. Solo en EE</w:t>
      </w:r>
      <w:r w:rsidRPr="00A808AE">
        <w:rPr>
          <w:rFonts w:ascii="Times New Roman" w:hAnsi="Times New Roman" w:cs="Times New Roman"/>
          <w:sz w:val="24"/>
          <w:szCs w:val="24"/>
        </w:rPr>
        <w:t>UU hay un salario mínimo inferior. Uno de cada tres trabajos es inseguro. El empleo precario y la pérdida de cobertura de los convenios son responsables de que los acuerdos que negocian los sindicatos solo beneficien a tres de cada cinco trabajadores. Se ha sometido a dieta forzosa a los trabajadores alemanes. Alemania tiene la peor evolución salarial de Europa. En ningún otro país industrializado ha aumentado tanto la desigualdad.</w:t>
      </w:r>
      <w:r>
        <w:rPr>
          <w:rFonts w:ascii="Times New Roman" w:hAnsi="Times New Roman" w:cs="Times New Roman"/>
          <w:sz w:val="24"/>
          <w:szCs w:val="24"/>
        </w:rPr>
        <w:t xml:space="preserve"> </w:t>
      </w:r>
      <w:r w:rsidRPr="00A808AE">
        <w:rPr>
          <w:rFonts w:ascii="Times New Roman" w:hAnsi="Times New Roman" w:cs="Times New Roman"/>
          <w:sz w:val="24"/>
          <w:szCs w:val="24"/>
        </w:rPr>
        <w:t>Las consecuencias económicas han sido fatales. La debilidad salarial ha frenado la demanda interna y disparado las exportaciones. El comercio minorista y el trabajo manual sufren por la falta de poder adquisitivo. La industria exportadora, por el contrario, ha podido ofrecer a sus clientes extranjeros precios atractivos. Alemania se ha convertido en el único país de la eurozona en el que la demanda externa ha contribuido al crecimiento más que la demanda interna. ¡Sin éxito!</w:t>
      </w:r>
      <w:r>
        <w:rPr>
          <w:rFonts w:ascii="Times New Roman" w:hAnsi="Times New Roman" w:cs="Times New Roman"/>
          <w:sz w:val="24"/>
          <w:szCs w:val="24"/>
        </w:rPr>
        <w:t xml:space="preserve">”… </w:t>
      </w:r>
      <w:r w:rsidRPr="00722E14">
        <w:rPr>
          <w:rFonts w:ascii="Times New Roman" w:hAnsi="Times New Roman" w:cs="Times New Roman"/>
          <w:sz w:val="24"/>
          <w:szCs w:val="24"/>
          <w:u w:val="single"/>
        </w:rPr>
        <w:t>Cuidado con la poción mágica alemana</w:t>
      </w:r>
      <w:r>
        <w:rPr>
          <w:rFonts w:ascii="Times New Roman" w:hAnsi="Times New Roman" w:cs="Times New Roman"/>
          <w:sz w:val="24"/>
          <w:szCs w:val="24"/>
        </w:rPr>
        <w:t xml:space="preserve"> (El País - </w:t>
      </w:r>
      <w:r w:rsidRPr="00722E14">
        <w:rPr>
          <w:rFonts w:ascii="Times New Roman" w:hAnsi="Times New Roman" w:cs="Times New Roman"/>
          <w:b/>
          <w:sz w:val="24"/>
          <w:szCs w:val="24"/>
        </w:rPr>
        <w:t>30/5/13</w:t>
      </w:r>
      <w:r>
        <w:rPr>
          <w:rFonts w:ascii="Times New Roman" w:hAnsi="Times New Roman" w:cs="Times New Roman"/>
          <w:sz w:val="24"/>
          <w:szCs w:val="24"/>
        </w:rPr>
        <w:t>)</w:t>
      </w:r>
    </w:p>
    <w:p w:rsidR="00A808AE" w:rsidRDefault="00DA603A" w:rsidP="00387350">
      <w:pPr>
        <w:pStyle w:val="NormalWeb"/>
        <w:jc w:val="both"/>
        <w:rPr>
          <w:color w:val="000000"/>
        </w:rPr>
      </w:pPr>
      <w:r>
        <w:t>“</w:t>
      </w:r>
      <w:r w:rsidR="00A808AE" w:rsidRPr="00A808AE">
        <w:t>Aproximadamente una cuarta parte de los trabajadores en Alemania perciben sueldos considerados mínimos, informa en su última edición el semanario</w:t>
      </w:r>
      <w:r w:rsidR="00A808AE" w:rsidRPr="00A808AE">
        <w:rPr>
          <w:i/>
          <w:iCs/>
        </w:rPr>
        <w:t xml:space="preserve"> Der Spiegel</w:t>
      </w:r>
      <w:r w:rsidR="00A808AE" w:rsidRPr="00A808AE">
        <w:t>, lo que sitúa a la primera economía de la UE en la franja de países donde se perciben bajos ingresos.</w:t>
      </w:r>
      <w:r w:rsidR="00A808AE">
        <w:t xml:space="preserve"> </w:t>
      </w:r>
      <w:r w:rsidR="00A808AE" w:rsidRPr="00A808AE">
        <w:t xml:space="preserve">De acuerdo con ese medio, </w:t>
      </w:r>
      <w:r w:rsidR="00A808AE" w:rsidRPr="00A808AE">
        <w:rPr>
          <w:bCs/>
        </w:rPr>
        <w:t xml:space="preserve">entre seis y ocho millones de personas con trabajo ganan unos 11 euros por hora en el oeste de Alemania, o 8,11 euros en el este </w:t>
      </w:r>
      <w:r w:rsidR="00A808AE" w:rsidRPr="00A808AE">
        <w:t xml:space="preserve">o antiguo territorio germano-oriental. </w:t>
      </w:r>
      <w:r w:rsidR="00A808AE">
        <w:t xml:space="preserve"> </w:t>
      </w:r>
      <w:r w:rsidR="00A808AE" w:rsidRPr="00A808AE">
        <w:t xml:space="preserve">Estas cifras contrastan con la buena imagen del mercado laboral alemán, entre los más saneados de la UE, especialmente en lo que concierne al desempleo juvenil, que afecta a menos del 8 % de esa franja de la población activa, frente a los porcentajes superiores al 50 % en los países más castigados por la crisis. </w:t>
      </w:r>
      <w:r w:rsidR="00A808AE">
        <w:t xml:space="preserve"> </w:t>
      </w:r>
      <w:r w:rsidR="00A808AE" w:rsidRPr="00A808AE">
        <w:rPr>
          <w:i/>
          <w:iCs/>
        </w:rPr>
        <w:t>Der Spiegel</w:t>
      </w:r>
      <w:r w:rsidR="00A808AE" w:rsidRPr="00A808AE">
        <w:t xml:space="preserve"> remite sus informaciones a un estudio del Instituto de Macroeconomía e Investigaciones Económicas Hans Böckler, que destaca la buena situación, en términos globales, del mercado laboral alemán, pero también los </w:t>
      </w:r>
      <w:r w:rsidR="00A808AE" w:rsidRPr="00A808AE">
        <w:rPr>
          <w:bCs/>
        </w:rPr>
        <w:t>desequilibrios salariales</w:t>
      </w:r>
      <w:r w:rsidR="00A808AE" w:rsidRPr="00A808AE">
        <w:t xml:space="preserve">. </w:t>
      </w:r>
      <w:r w:rsidR="00A808AE">
        <w:t xml:space="preserve"> </w:t>
      </w:r>
      <w:r w:rsidR="00A808AE" w:rsidRPr="00A808AE">
        <w:t xml:space="preserve">La cifra de desempleados bajó de los 4,9 millones que se registraron en 2005 a unos dos millones menos ahora. Tras este aparente éxito se encuentra el alto porcentaje de personas empleadas con sueldos considerados mínimos, lo que </w:t>
      </w:r>
      <w:r w:rsidR="00A808AE" w:rsidRPr="00A808AE">
        <w:rPr>
          <w:bCs/>
        </w:rPr>
        <w:t xml:space="preserve">a la larga derivará en una generación futura de jubilados con pensiones muy bajas. </w:t>
      </w:r>
      <w:r w:rsidR="00A808AE">
        <w:t>“</w:t>
      </w:r>
      <w:r w:rsidR="00A808AE" w:rsidRPr="00A808AE">
        <w:t xml:space="preserve">En las últimas décadas </w:t>
      </w:r>
      <w:r w:rsidR="00A808AE" w:rsidRPr="00A808AE">
        <w:lastRenderedPageBreak/>
        <w:t>Alemania ha evolucionado hacia unas dimensiones de desequilibrios (salariales) altamente problemáticas, tanto desde el punto de vista social como económico</w:t>
      </w:r>
      <w:r w:rsidR="00A808AE">
        <w:t>”</w:t>
      </w:r>
      <w:r w:rsidR="00A808AE" w:rsidRPr="00A808AE">
        <w:t xml:space="preserve">, concluye el director del mencionado instituto, Gustav Horn, según </w:t>
      </w:r>
      <w:r w:rsidR="00A808AE" w:rsidRPr="00A808AE">
        <w:rPr>
          <w:i/>
          <w:iCs/>
        </w:rPr>
        <w:t>Der Spiegel</w:t>
      </w:r>
      <w:r w:rsidR="00A808AE">
        <w:rPr>
          <w:i/>
          <w:iCs/>
        </w:rPr>
        <w:t>”..</w:t>
      </w:r>
      <w:r w:rsidR="00A808AE" w:rsidRPr="00A808AE">
        <w:t>.</w:t>
      </w:r>
      <w:r w:rsidR="00A808AE">
        <w:t xml:space="preserve"> </w:t>
      </w:r>
      <w:r w:rsidR="00A808AE" w:rsidRPr="00322FBA">
        <w:rPr>
          <w:color w:val="000000"/>
          <w:u w:val="single"/>
        </w:rPr>
        <w:t>Un 22% de los trabajadores alemanes perciben sueldos mínimos</w:t>
      </w:r>
      <w:r w:rsidR="00A808AE">
        <w:rPr>
          <w:color w:val="000000"/>
        </w:rPr>
        <w:t xml:space="preserve"> (El Economista - </w:t>
      </w:r>
      <w:r w:rsidR="00A808AE" w:rsidRPr="00322FBA">
        <w:rPr>
          <w:b/>
          <w:color w:val="000000"/>
        </w:rPr>
        <w:t>9/6/13</w:t>
      </w:r>
      <w:r w:rsidR="00A808AE">
        <w:rPr>
          <w:color w:val="000000"/>
        </w:rPr>
        <w:t>)</w:t>
      </w:r>
    </w:p>
    <w:p w:rsidR="00704039" w:rsidRDefault="000A4D85" w:rsidP="00387350">
      <w:pPr>
        <w:pStyle w:val="NormalWeb"/>
        <w:jc w:val="both"/>
      </w:pPr>
      <w:r>
        <w:rPr>
          <w:u w:val="single"/>
        </w:rPr>
        <w:t>Generación “ni-ni”</w:t>
      </w:r>
      <w:r w:rsidR="00704039" w:rsidRPr="00D461DA">
        <w:rPr>
          <w:u w:val="single"/>
        </w:rPr>
        <w:t>: ni estudia, ni trabaja</w:t>
      </w:r>
      <w:r w:rsidR="00704039">
        <w:t xml:space="preserve">  </w:t>
      </w:r>
    </w:p>
    <w:p w:rsidR="00704039" w:rsidRDefault="00704039" w:rsidP="00387350">
      <w:pPr>
        <w:pStyle w:val="NormalWeb"/>
        <w:jc w:val="both"/>
      </w:pPr>
      <w:r>
        <w:rPr>
          <w:noProof/>
          <w:color w:val="009A95"/>
        </w:rPr>
        <w:drawing>
          <wp:inline distT="0" distB="0" distL="0" distR="0" wp14:anchorId="1AA46F53" wp14:editId="314F7DE6">
            <wp:extent cx="5332779" cy="2596896"/>
            <wp:effectExtent l="0" t="0" r="1270" b="0"/>
            <wp:docPr id="199" name="Imagen 199" descr="1324040857_881497_1324067650_sumario_normal">
              <a:hlinkClick xmlns:a="http://schemas.openxmlformats.org/drawingml/2006/main" r:id="rId272" tooltip="ampliar fot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324040857_881497_1324067650_sumario_normal"/>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332730" cy="2596872"/>
                    </a:xfrm>
                    <a:prstGeom prst="rect">
                      <a:avLst/>
                    </a:prstGeom>
                    <a:noFill/>
                    <a:ln>
                      <a:noFill/>
                    </a:ln>
                  </pic:spPr>
                </pic:pic>
              </a:graphicData>
            </a:graphic>
          </wp:inline>
        </w:drawing>
      </w:r>
      <w:r>
        <w:t xml:space="preserve">(Fuente: El País - </w:t>
      </w:r>
      <w:r w:rsidRPr="009B1B4E">
        <w:rPr>
          <w:b/>
        </w:rPr>
        <w:t>16/12/11</w:t>
      </w:r>
      <w:r>
        <w:t>)</w:t>
      </w:r>
    </w:p>
    <w:p w:rsidR="00704039" w:rsidRPr="00704039" w:rsidRDefault="00704039" w:rsidP="00387350">
      <w:pPr>
        <w:pStyle w:val="NormalWeb"/>
        <w:jc w:val="both"/>
      </w:pPr>
      <w:r>
        <w:t>“</w:t>
      </w:r>
      <w:r w:rsidRPr="00704039">
        <w:t xml:space="preserve">La brecha empírica entre el nivel de ingresos de los ricos y los pobres se ha venido incrementando en las últimas décadas tanto en el panorama internacional como nacional. Si bien es cierto que la esperanza de vida y la capacidad de consumo de los más pobres han ido mejorando en términos absolutos, la desigualdad económica relativa no ha hecho más que crecer durante el último ciclo expansivo. </w:t>
      </w:r>
    </w:p>
    <w:p w:rsidR="00704039" w:rsidRPr="00704039" w:rsidRDefault="00704039" w:rsidP="00387350">
      <w:pPr>
        <w:pStyle w:val="NormalWeb"/>
        <w:jc w:val="both"/>
      </w:pPr>
      <w:r w:rsidRPr="00704039">
        <w:t>Especialmente ahora, tras años de crisis económica por la que los trabajadores de cualificación más baja -y más expuestos a los vaivenes del mercado- han sufrido en sus propias carnes los efectos materiales y psicológicos de la crisis, la desconfianza en las instituciones de la sociedad de mercado se ha extendido y acentuado. Pero, al margen de la coyuntura presente, una notable cantidad de estudios sociales elaborados por instituciones de prestigio concluyen que el deterioro de la confianza es un destacado fenómeno social en las últimas décadas.</w:t>
      </w:r>
    </w:p>
    <w:p w:rsidR="00AE6D8A" w:rsidRDefault="00704039" w:rsidP="00387350">
      <w:pPr>
        <w:pStyle w:val="NormalWeb"/>
        <w:jc w:val="both"/>
      </w:pPr>
      <w:r w:rsidRPr="00704039">
        <w:t xml:space="preserve">Hace unas semanas </w:t>
      </w:r>
      <w:r w:rsidRPr="00704039">
        <w:rPr>
          <w:bCs/>
        </w:rPr>
        <w:t>Charles Green</w:t>
      </w:r>
      <w:r w:rsidRPr="00704039">
        <w:t xml:space="preserve"> (consejero delegado de la consultora Trusted Advisor Associates, y autor de varios libros sobre la confianza en el mundo empresarial) ha escrito en </w:t>
      </w:r>
      <w:r w:rsidRPr="00704039">
        <w:rPr>
          <w:i/>
          <w:iCs/>
        </w:rPr>
        <w:t>Forbes</w:t>
      </w:r>
      <w:r w:rsidRPr="00704039">
        <w:t xml:space="preserve"> un artículo titulado “¿Pueden coexistir la desigualdad de rentas y la confianza en las empresas?”. El autor expone los alarmantes niveles de pobreza de su aparentemente rica y desarrollada sociedad, y afirma que el principal problema no es tanto la pobreza absoluta de su país (un pobre estadounidense o canadiense no es un pobre zambiano o haitiano), como que la </w:t>
      </w:r>
      <w:r>
        <w:t>desigualdad económica en los EEUU</w:t>
      </w:r>
      <w:r w:rsidRPr="00704039">
        <w:t xml:space="preserve"> cada vez está más asociada con un proceso de estratificación social en el que la movilidad individual entre los diferentes estratos se está “osificando”.</w:t>
      </w:r>
    </w:p>
    <w:p w:rsidR="00704039" w:rsidRPr="00704039" w:rsidRDefault="00704039" w:rsidP="00387350">
      <w:pPr>
        <w:pStyle w:val="NormalWeb"/>
        <w:jc w:val="both"/>
      </w:pPr>
      <w:r w:rsidRPr="00704039">
        <w:t xml:space="preserve">Es decir, que el entramado institucional que sostiene a muchas de las sociedades y economías occidentales en nuestros días (con sus reglas formales e informales, </w:t>
      </w:r>
      <w:r w:rsidRPr="00704039">
        <w:lastRenderedPageBreak/>
        <w:t xml:space="preserve">principios, valores y creencias) ha dejado de ser meritocrático, y las virtudes de la sociedad mercantil, como el espíritu de superación, el esfuerzo, la dedicación y la sana rivalidad pro-social, que son algunas de las motivaciones libertarias que alimentaron el sueño americano, han dejado de ser un modelo a imitar en amplios sectores de la sociedad. </w:t>
      </w:r>
    </w:p>
    <w:p w:rsidR="00704039" w:rsidRDefault="00704039" w:rsidP="00387350">
      <w:pPr>
        <w:pStyle w:val="NormalWeb"/>
        <w:jc w:val="both"/>
      </w:pPr>
      <w:r w:rsidRPr="00704039">
        <w:t>Este cambio conduce según Green a la desconfianza, tanto en las personas como en el sistema y sus organizaciones: “Si tú eres un pobre, y cuentas con escasas perspectivas de mejorar tu condición en la vida, no es probable que seas una persona confiada. Más bien es probable que seas resentido, hostil, suspicaz, escéptico, y no muy inclinado al acatamiento de las leyes”</w:t>
      </w:r>
      <w:r>
        <w:t>”..</w:t>
      </w:r>
      <w:r w:rsidRPr="00704039">
        <w:t>.</w:t>
      </w:r>
      <w:r>
        <w:t xml:space="preserve"> </w:t>
      </w:r>
      <w:r w:rsidRPr="00A81765">
        <w:rPr>
          <w:u w:val="single"/>
        </w:rPr>
        <w:t>Desigualdad osificada y crisis de la confianza</w:t>
      </w:r>
      <w:r>
        <w:t xml:space="preserve"> (El Confidencial - </w:t>
      </w:r>
      <w:r w:rsidRPr="00A81765">
        <w:rPr>
          <w:b/>
        </w:rPr>
        <w:t>21/12/11</w:t>
      </w:r>
      <w:r>
        <w:t>)</w:t>
      </w:r>
    </w:p>
    <w:p w:rsidR="00C0545A" w:rsidRPr="00C0545A" w:rsidRDefault="00AE6D8A" w:rsidP="00387350">
      <w:pPr>
        <w:pStyle w:val="NormalWeb"/>
        <w:jc w:val="both"/>
      </w:pPr>
      <w:r>
        <w:t>“</w:t>
      </w:r>
      <w:r w:rsidR="00C0545A" w:rsidRPr="00C0545A">
        <w:t xml:space="preserve">Davos está acostumbrado a las bravuconadas de los líderes políticos. Sin embargo, cuando jefes de compañías de todo el mundo acostumbrados </w:t>
      </w:r>
      <w:r w:rsidR="00C0545A">
        <w:t>a hablar en voz baja advierten “</w:t>
      </w:r>
      <w:r w:rsidR="00C0545A" w:rsidRPr="00C0545A">
        <w:t xml:space="preserve">no de </w:t>
      </w:r>
      <w:r w:rsidR="00C0545A">
        <w:t>una crisis, sino de un desastre”</w:t>
      </w:r>
      <w:r w:rsidR="00C0545A" w:rsidRPr="00C0545A">
        <w:t xml:space="preserve">, </w:t>
      </w:r>
      <w:r w:rsidR="00C0545A">
        <w:t>cuando comienzan a llamar algo “un cáncer en la sociedad”</w:t>
      </w:r>
      <w:r w:rsidR="00C0545A" w:rsidRPr="00C0545A">
        <w:t>, uno sabe que tenemos un problema.</w:t>
      </w:r>
    </w:p>
    <w:p w:rsidR="00C0545A" w:rsidRPr="00C0545A" w:rsidRDefault="00C0545A" w:rsidP="00387350">
      <w:pPr>
        <w:pStyle w:val="NormalWeb"/>
        <w:jc w:val="both"/>
      </w:pPr>
      <w:r>
        <w:t>El mundo, dicen, está “</w:t>
      </w:r>
      <w:r w:rsidRPr="00C0545A">
        <w:t xml:space="preserve">sentado sobre una bomba de tiempo, social </w:t>
      </w:r>
      <w:r>
        <w:t>y económica”</w:t>
      </w:r>
      <w:r w:rsidRPr="00C0545A">
        <w:t>. El mundo está plagado de desempleo juvenil.</w:t>
      </w:r>
      <w:r>
        <w:t xml:space="preserve"> </w:t>
      </w:r>
      <w:r w:rsidRPr="00C0545A">
        <w:t xml:space="preserve">Los números son duros. En algunos países del mundo árabe hasta el 90% de los jóvenes en edades comprendidas entre los 16 y </w:t>
      </w:r>
      <w:r w:rsidR="00AE6D8A">
        <w:t>24 años está desempleado. En EEUU</w:t>
      </w:r>
      <w:r w:rsidRPr="00C0545A">
        <w:t xml:space="preserve"> el desempleo juvenil llega a 23%, en España al casi 50% y en el Reino Unido al 22%.</w:t>
      </w:r>
      <w:r>
        <w:t xml:space="preserve"> </w:t>
      </w:r>
      <w:r w:rsidRPr="00C0545A">
        <w:t>En todo el mundo hay 200 millones de desempleados. 75 millones tienen edades entre los 16 y 24 años, y cada año cerca de 40 millones de jóvenes están listos para entrar al mercado laboral.</w:t>
      </w:r>
    </w:p>
    <w:p w:rsidR="00C0545A" w:rsidRDefault="00C0545A" w:rsidP="00387350">
      <w:pPr>
        <w:pStyle w:val="NormalWeb"/>
        <w:jc w:val="both"/>
      </w:pPr>
      <w:r w:rsidRPr="00C0545A">
        <w:t>Los líderes empresariales reunidos en el Foro Económico Mundial saben que las cifras son importantes: los jóvenes que estuvieron desempleados por mucho tiempo ganaran menos dinero durante toda su vida.</w:t>
      </w:r>
      <w:r>
        <w:t xml:space="preserve"> </w:t>
      </w:r>
      <w:r w:rsidRPr="00C0545A">
        <w:t>Tendrán menos probabilidades de ser empleados. No tendrán las habilidades que las empresas necesitan. Es más probable que tengan problemas de salud a largo plazo. Y la situación puede degenerar en descontento social</w:t>
      </w:r>
      <w:r>
        <w:t>”..</w:t>
      </w:r>
      <w:r w:rsidRPr="00C0545A">
        <w:t>.</w:t>
      </w:r>
      <w:r>
        <w:t xml:space="preserve"> </w:t>
      </w:r>
      <w:r w:rsidRPr="004C621E">
        <w:rPr>
          <w:u w:val="single"/>
        </w:rPr>
        <w:t>La bomba de tiempo del desempleo juvenil</w:t>
      </w:r>
      <w:r>
        <w:t xml:space="preserve"> (BBCMundo.com - </w:t>
      </w:r>
      <w:r w:rsidRPr="00C0545A">
        <w:rPr>
          <w:b/>
        </w:rPr>
        <w:t>29/1/12</w:t>
      </w:r>
      <w:r>
        <w:t>)</w:t>
      </w:r>
    </w:p>
    <w:p w:rsidR="00C0545A" w:rsidRDefault="00C0545A" w:rsidP="00387350">
      <w:pPr>
        <w:pStyle w:val="NormalWeb"/>
        <w:jc w:val="both"/>
      </w:pPr>
      <w:r>
        <w:rPr>
          <w:noProof/>
        </w:rPr>
        <w:drawing>
          <wp:inline distT="0" distB="0" distL="0" distR="0" wp14:anchorId="519DA39D" wp14:editId="279AADAE">
            <wp:extent cx="5398617" cy="2611527"/>
            <wp:effectExtent l="0" t="0" r="0" b="0"/>
            <wp:docPr id="460" name="Imagen 460" descr="paro_juvenil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ro_juvenil_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400040" cy="2612215"/>
                    </a:xfrm>
                    <a:prstGeom prst="rect">
                      <a:avLst/>
                    </a:prstGeom>
                    <a:noFill/>
                    <a:ln>
                      <a:noFill/>
                    </a:ln>
                  </pic:spPr>
                </pic:pic>
              </a:graphicData>
            </a:graphic>
          </wp:inline>
        </w:drawing>
      </w:r>
    </w:p>
    <w:p w:rsidR="00C0545A" w:rsidRDefault="00C0545A" w:rsidP="00387350">
      <w:pPr>
        <w:spacing w:line="240" w:lineRule="auto"/>
        <w:jc w:val="both"/>
        <w:rPr>
          <w:rFonts w:ascii="Times New Roman" w:hAnsi="Times New Roman" w:cs="Times New Roman"/>
          <w:sz w:val="24"/>
          <w:szCs w:val="24"/>
        </w:rPr>
      </w:pPr>
      <w:r w:rsidRPr="00C0545A">
        <w:rPr>
          <w:rFonts w:ascii="Times New Roman" w:hAnsi="Times New Roman" w:cs="Times New Roman"/>
          <w:sz w:val="24"/>
          <w:szCs w:val="24"/>
        </w:rPr>
        <w:t xml:space="preserve">(Fuente: Libertad Digital - </w:t>
      </w:r>
      <w:r w:rsidRPr="00C0545A">
        <w:rPr>
          <w:rFonts w:ascii="Times New Roman" w:hAnsi="Times New Roman" w:cs="Times New Roman"/>
          <w:b/>
          <w:sz w:val="24"/>
          <w:szCs w:val="24"/>
        </w:rPr>
        <w:t>8/2/12</w:t>
      </w:r>
      <w:r w:rsidRPr="00C0545A">
        <w:rPr>
          <w:rFonts w:ascii="Times New Roman" w:hAnsi="Times New Roman" w:cs="Times New Roman"/>
          <w:sz w:val="24"/>
          <w:szCs w:val="24"/>
        </w:rPr>
        <w:t>)</w:t>
      </w:r>
    </w:p>
    <w:p w:rsidR="00C0545A" w:rsidRPr="00C0545A" w:rsidRDefault="00C0545A" w:rsidP="00387350">
      <w:pPr>
        <w:spacing w:line="240" w:lineRule="auto"/>
        <w:jc w:val="both"/>
        <w:rPr>
          <w:rFonts w:ascii="Times New Roman" w:hAnsi="Times New Roman"/>
          <w:sz w:val="24"/>
          <w:szCs w:val="24"/>
        </w:rPr>
      </w:pPr>
      <w:r>
        <w:rPr>
          <w:rFonts w:ascii="Times New Roman" w:hAnsi="Times New Roman"/>
          <w:sz w:val="24"/>
          <w:szCs w:val="24"/>
        </w:rPr>
        <w:lastRenderedPageBreak/>
        <w:t>“</w:t>
      </w:r>
      <w:r w:rsidRPr="00C0545A">
        <w:rPr>
          <w:rFonts w:ascii="Times New Roman" w:hAnsi="Times New Roman"/>
          <w:sz w:val="24"/>
          <w:szCs w:val="24"/>
        </w:rPr>
        <w:t>Como señala el economista Michael Spence en Foreign Affairs, los efectos de la globalización en las sociedades occidentales han sido benignos hasta hace una década. Las clases medias y las trabajadoras de las sociedades desarrolladas se beneficiaron de ella al disponer de productos más baratos, aunque sus sueldos no subieran. Pero a medida que las economías emergentes crecieron, desplazaron actividades de las sociedades industrializadas a las emergentes, afectando al empleo y a los salarios ya no solo de las clases trabajadoras, sino de una parte importante de las clases medias, que se sienten ahora perdedoras de la globalización y de las nuevas tecnologías. Ya se ha hecho famosa la pregunta de Obama a Steve Jobs, el fundador de Apple, cuando en febrero de 2011 le planteó por qué el iP</w:t>
      </w:r>
      <w:r>
        <w:rPr>
          <w:rFonts w:ascii="Times New Roman" w:hAnsi="Times New Roman"/>
          <w:sz w:val="24"/>
          <w:szCs w:val="24"/>
        </w:rPr>
        <w:t>hone no se podía fabricar en EE</w:t>
      </w:r>
      <w:r w:rsidRPr="00C0545A">
        <w:rPr>
          <w:rFonts w:ascii="Times New Roman" w:hAnsi="Times New Roman"/>
          <w:sz w:val="24"/>
          <w:szCs w:val="24"/>
        </w:rPr>
        <w:t>UU. “Esos empleos no volverán”, replicó Jobs. La respuesta no trató solo de los salarios, sino de la capacidad y flexibilidad de producción.</w:t>
      </w:r>
    </w:p>
    <w:p w:rsidR="00C0545A" w:rsidRPr="00C0545A" w:rsidRDefault="00C0545A" w:rsidP="00387350">
      <w:pPr>
        <w:spacing w:line="240" w:lineRule="auto"/>
        <w:jc w:val="both"/>
        <w:rPr>
          <w:rFonts w:ascii="Times New Roman" w:hAnsi="Times New Roman"/>
          <w:sz w:val="24"/>
          <w:szCs w:val="24"/>
        </w:rPr>
      </w:pPr>
      <w:r w:rsidRPr="00C0545A">
        <w:rPr>
          <w:rFonts w:ascii="Times New Roman" w:hAnsi="Times New Roman"/>
          <w:sz w:val="24"/>
          <w:szCs w:val="24"/>
        </w:rPr>
        <w:t xml:space="preserve">El crecimiento de la desigualdad de los últimos años no </w:t>
      </w:r>
      <w:r>
        <w:rPr>
          <w:rFonts w:ascii="Times New Roman" w:hAnsi="Times New Roman"/>
          <w:sz w:val="24"/>
          <w:szCs w:val="24"/>
        </w:rPr>
        <w:t>es algo únicamente propio de EE</w:t>
      </w:r>
      <w:r w:rsidRPr="00C0545A">
        <w:rPr>
          <w:rFonts w:ascii="Times New Roman" w:hAnsi="Times New Roman"/>
          <w:sz w:val="24"/>
          <w:szCs w:val="24"/>
        </w:rPr>
        <w:t xml:space="preserve">UU, sino de casi todas las sociedades europeas, incluida España, a lo que contribuye el crecimiento del paro y se suma la creciente sensación de inseguridad que ha aportado la globalización. Hoy se sienten perdedores de la última fase de la globalización, de la crisis y de las nuevas tecnologías no solo las comúnmente llamadas clases trabajadoras, sino </w:t>
      </w:r>
      <w:r>
        <w:rPr>
          <w:rFonts w:ascii="Times New Roman" w:hAnsi="Times New Roman"/>
          <w:sz w:val="24"/>
          <w:szCs w:val="24"/>
        </w:rPr>
        <w:t>también las clases medias en EE</w:t>
      </w:r>
      <w:r w:rsidRPr="00C0545A">
        <w:rPr>
          <w:rFonts w:ascii="Times New Roman" w:hAnsi="Times New Roman"/>
          <w:sz w:val="24"/>
          <w:szCs w:val="24"/>
        </w:rPr>
        <w:t xml:space="preserve">UU y Europa. </w:t>
      </w:r>
    </w:p>
    <w:p w:rsidR="00072B75" w:rsidRDefault="00C0545A" w:rsidP="00387350">
      <w:pPr>
        <w:spacing w:line="240" w:lineRule="auto"/>
        <w:jc w:val="both"/>
        <w:rPr>
          <w:rFonts w:ascii="Times New Roman" w:hAnsi="Times New Roman"/>
          <w:sz w:val="24"/>
          <w:szCs w:val="24"/>
        </w:rPr>
      </w:pPr>
      <w:r w:rsidRPr="00C0545A">
        <w:rPr>
          <w:rFonts w:ascii="Times New Roman" w:hAnsi="Times New Roman"/>
          <w:sz w:val="24"/>
          <w:szCs w:val="24"/>
        </w:rPr>
        <w:t xml:space="preserve">Las sociedades posindustriales se han vuelto menos igualitarias. </w:t>
      </w:r>
      <w:r>
        <w:rPr>
          <w:rFonts w:ascii="Times New Roman" w:hAnsi="Times New Roman"/>
          <w:sz w:val="24"/>
          <w:szCs w:val="24"/>
        </w:rPr>
        <w:t>De hecho, EE</w:t>
      </w:r>
      <w:r w:rsidRPr="00C0545A">
        <w:rPr>
          <w:rFonts w:ascii="Times New Roman" w:hAnsi="Times New Roman"/>
          <w:sz w:val="24"/>
          <w:szCs w:val="24"/>
        </w:rPr>
        <w:t>UU vive su mayor desigualdad en muchas décadas. El sociólogo conservador estadounidense Charles Murray, en su último libro, Drifting apart (Separándose), ha llamado la atención sobre cómo en su país hace 50 años había una brecha entre ricos y pobres, pero no era tan grande ni llevaba a comportamientos tan diferentes como ahora. Los no pobres, de los que hablaba Richard Nixon, se han convertido en pobres. Aunque para Murray la palabra “clase” no sirve realmente para entender esta profunda división. Murray ve su sociedad divida en tribus; una arriba, con educación superior (20%), y una abajo (30%). Y entre ellas hay grandes diferencias de ingresos y de comportamiento social (matrimonios, hijos fuera del matrimonio, etcétera)</w:t>
      </w:r>
      <w:r>
        <w:rPr>
          <w:rFonts w:ascii="Times New Roman" w:hAnsi="Times New Roman"/>
          <w:sz w:val="24"/>
          <w:szCs w:val="24"/>
        </w:rPr>
        <w:t>”..</w:t>
      </w:r>
      <w:r w:rsidRPr="00C0545A">
        <w:rPr>
          <w:rFonts w:ascii="Times New Roman" w:hAnsi="Times New Roman"/>
          <w:sz w:val="24"/>
          <w:szCs w:val="24"/>
        </w:rPr>
        <w:t>.</w:t>
      </w:r>
      <w:r>
        <w:rPr>
          <w:rFonts w:ascii="Times New Roman" w:hAnsi="Times New Roman"/>
          <w:sz w:val="24"/>
          <w:szCs w:val="24"/>
        </w:rPr>
        <w:t xml:space="preserve"> </w:t>
      </w:r>
      <w:r w:rsidRPr="00792F21">
        <w:rPr>
          <w:rFonts w:ascii="Times New Roman" w:hAnsi="Times New Roman"/>
          <w:sz w:val="24"/>
          <w:szCs w:val="24"/>
          <w:u w:val="single"/>
        </w:rPr>
        <w:t>El regreso de la lucha de clases</w:t>
      </w:r>
      <w:r>
        <w:rPr>
          <w:rFonts w:ascii="Times New Roman" w:hAnsi="Times New Roman"/>
          <w:sz w:val="24"/>
          <w:szCs w:val="24"/>
        </w:rPr>
        <w:t xml:space="preserve"> (El País - </w:t>
      </w:r>
      <w:r w:rsidRPr="00B204ED">
        <w:rPr>
          <w:rFonts w:ascii="Times New Roman" w:hAnsi="Times New Roman"/>
          <w:b/>
          <w:sz w:val="24"/>
          <w:szCs w:val="24"/>
        </w:rPr>
        <w:t>21/2/12</w:t>
      </w:r>
      <w:r w:rsidR="00AE6D8A">
        <w:rPr>
          <w:rFonts w:ascii="Times New Roman" w:hAnsi="Times New Roman"/>
          <w:sz w:val="24"/>
          <w:szCs w:val="24"/>
        </w:rPr>
        <w:t>)</w:t>
      </w:r>
    </w:p>
    <w:p w:rsidR="00C0545A" w:rsidRPr="00072B75" w:rsidRDefault="00072B75" w:rsidP="00387350">
      <w:pPr>
        <w:spacing w:line="240" w:lineRule="auto"/>
        <w:jc w:val="both"/>
        <w:rPr>
          <w:rFonts w:ascii="Times New Roman" w:hAnsi="Times New Roman"/>
          <w:sz w:val="24"/>
          <w:szCs w:val="24"/>
        </w:rPr>
      </w:pPr>
      <w:r w:rsidRPr="00072B75">
        <w:rPr>
          <w:rFonts w:ascii="Times New Roman" w:hAnsi="Times New Roman"/>
          <w:sz w:val="24"/>
          <w:szCs w:val="24"/>
          <w:u w:val="single"/>
        </w:rPr>
        <w:t>Tasa de paro en la Unión Europea</w:t>
      </w:r>
      <w:r>
        <w:rPr>
          <w:rFonts w:ascii="Times New Roman" w:hAnsi="Times New Roman"/>
          <w:sz w:val="24"/>
          <w:szCs w:val="24"/>
        </w:rPr>
        <w:t xml:space="preserve"> (Fuente: Libertad Digital - </w:t>
      </w:r>
      <w:r w:rsidRPr="00384043">
        <w:rPr>
          <w:rFonts w:ascii="Times New Roman" w:hAnsi="Times New Roman"/>
          <w:b/>
          <w:sz w:val="24"/>
          <w:szCs w:val="24"/>
        </w:rPr>
        <w:t>29/4/12</w:t>
      </w:r>
      <w:r>
        <w:rPr>
          <w:rFonts w:ascii="Times New Roman" w:hAnsi="Times New Roman"/>
          <w:sz w:val="24"/>
          <w:szCs w:val="24"/>
        </w:rPr>
        <w:t>)</w:t>
      </w:r>
    </w:p>
    <w:p w:rsidR="00C0545A" w:rsidRDefault="00C0545A" w:rsidP="00387350">
      <w:pPr>
        <w:spacing w:line="240" w:lineRule="auto"/>
        <w:jc w:val="both"/>
        <w:rPr>
          <w:rFonts w:ascii="Times New Roman" w:hAnsi="Times New Roman"/>
          <w:sz w:val="24"/>
          <w:szCs w:val="24"/>
        </w:rPr>
      </w:pPr>
      <w:r>
        <w:rPr>
          <w:noProof/>
          <w:lang w:eastAsia="es-ES"/>
        </w:rPr>
        <w:drawing>
          <wp:inline distT="0" distB="0" distL="0" distR="0" wp14:anchorId="7405B869" wp14:editId="1A8089EF">
            <wp:extent cx="5400040" cy="2431715"/>
            <wp:effectExtent l="0" t="0" r="0" b="6985"/>
            <wp:docPr id="461" name="Imagen 461" descr="itm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tm0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400040" cy="2431715"/>
                    </a:xfrm>
                    <a:prstGeom prst="rect">
                      <a:avLst/>
                    </a:prstGeom>
                    <a:noFill/>
                    <a:ln>
                      <a:noFill/>
                    </a:ln>
                  </pic:spPr>
                </pic:pic>
              </a:graphicData>
            </a:graphic>
          </wp:inline>
        </w:drawing>
      </w:r>
    </w:p>
    <w:p w:rsidR="00072B75" w:rsidRPr="00C0545A" w:rsidRDefault="00072B75" w:rsidP="00387350">
      <w:pPr>
        <w:spacing w:line="240" w:lineRule="auto"/>
        <w:jc w:val="both"/>
        <w:rPr>
          <w:rFonts w:ascii="Times New Roman" w:hAnsi="Times New Roman"/>
          <w:sz w:val="24"/>
          <w:szCs w:val="24"/>
        </w:rPr>
      </w:pPr>
      <w:r w:rsidRPr="00384043">
        <w:rPr>
          <w:rFonts w:ascii="Times New Roman" w:hAnsi="Times New Roman"/>
          <w:sz w:val="24"/>
          <w:szCs w:val="24"/>
        </w:rPr>
        <w:t xml:space="preserve">Fuente: Eurostat </w:t>
      </w:r>
    </w:p>
    <w:p w:rsidR="00C0545A" w:rsidRDefault="00072B75" w:rsidP="00387350">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0385DFB" wp14:editId="1D7A3CF4">
            <wp:extent cx="5244374" cy="1828800"/>
            <wp:effectExtent l="0" t="0" r="0" b="0"/>
            <wp:docPr id="462" name="Imagen 462" descr="itm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tm0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245100" cy="1829053"/>
                    </a:xfrm>
                    <a:prstGeom prst="rect">
                      <a:avLst/>
                    </a:prstGeom>
                    <a:noFill/>
                    <a:ln>
                      <a:noFill/>
                    </a:ln>
                  </pic:spPr>
                </pic:pic>
              </a:graphicData>
            </a:graphic>
          </wp:inline>
        </w:drawing>
      </w:r>
    </w:p>
    <w:p w:rsidR="00072B75" w:rsidRDefault="00072B75" w:rsidP="00387350">
      <w:pPr>
        <w:spacing w:line="240" w:lineRule="auto"/>
        <w:jc w:val="both"/>
        <w:rPr>
          <w:rFonts w:ascii="Times New Roman" w:hAnsi="Times New Roman"/>
          <w:sz w:val="24"/>
          <w:szCs w:val="24"/>
        </w:rPr>
      </w:pPr>
      <w:r w:rsidRPr="00384043">
        <w:rPr>
          <w:rFonts w:ascii="Times New Roman" w:hAnsi="Times New Roman"/>
          <w:sz w:val="24"/>
          <w:szCs w:val="24"/>
        </w:rPr>
        <w:t>Fuente: Elaboración propia con datos de la OCDE</w:t>
      </w:r>
    </w:p>
    <w:p w:rsidR="00072B75" w:rsidRPr="00072B75" w:rsidRDefault="00072B75" w:rsidP="00387350">
      <w:pPr>
        <w:spacing w:line="240" w:lineRule="auto"/>
        <w:jc w:val="both"/>
        <w:rPr>
          <w:rFonts w:ascii="Times New Roman" w:hAnsi="Times New Roman"/>
          <w:sz w:val="24"/>
          <w:szCs w:val="24"/>
        </w:rPr>
      </w:pPr>
      <w:r>
        <w:rPr>
          <w:rFonts w:ascii="Times New Roman" w:hAnsi="Times New Roman"/>
          <w:sz w:val="24"/>
          <w:szCs w:val="24"/>
        </w:rPr>
        <w:t>“</w:t>
      </w:r>
      <w:r w:rsidRPr="00072B75">
        <w:rPr>
          <w:rFonts w:ascii="Times New Roman" w:hAnsi="Times New Roman"/>
          <w:sz w:val="24"/>
          <w:szCs w:val="24"/>
        </w:rPr>
        <w:t>A los estadounidenses les gusta pensar en su país como una tierra de oportunidades, opinión que otros en buena medida comparten. Pero aunque es fácil pensar ejemplos de estadounidenses que subieron a la cima por sus propios medios, lo que en verdad cuenta son las estadísticas: ¿hasta qué punto las oportunidades que tendrá una persona a lo largo de su vida dependen de los ingresos y la educación de sus padres?</w:t>
      </w:r>
    </w:p>
    <w:p w:rsidR="00072B75" w:rsidRPr="00072B75" w:rsidRDefault="00072B75" w:rsidP="00387350">
      <w:pPr>
        <w:spacing w:line="240" w:lineRule="auto"/>
        <w:jc w:val="both"/>
        <w:rPr>
          <w:rFonts w:ascii="Times New Roman" w:hAnsi="Times New Roman"/>
          <w:sz w:val="24"/>
          <w:szCs w:val="24"/>
        </w:rPr>
      </w:pPr>
      <w:r w:rsidRPr="00072B75">
        <w:rPr>
          <w:rFonts w:ascii="Times New Roman" w:hAnsi="Times New Roman"/>
          <w:sz w:val="24"/>
          <w:szCs w:val="24"/>
        </w:rPr>
        <w:t>En la actualidad, estas cifras muestran que el sueño americano es un mito. Hoy hay menos igualdad de oportunidades en Estados Unidos que en Europa (y de hecho, menos que en cualquier país industrial avanzado del que tengamos datos).</w:t>
      </w:r>
    </w:p>
    <w:p w:rsidR="00072B75" w:rsidRDefault="00072B75" w:rsidP="00387350">
      <w:pPr>
        <w:spacing w:line="240" w:lineRule="auto"/>
        <w:jc w:val="both"/>
        <w:rPr>
          <w:rFonts w:ascii="Times New Roman" w:hAnsi="Times New Roman"/>
          <w:sz w:val="24"/>
          <w:szCs w:val="24"/>
        </w:rPr>
      </w:pPr>
      <w:r w:rsidRPr="00072B75">
        <w:rPr>
          <w:rFonts w:ascii="Times New Roman" w:hAnsi="Times New Roman"/>
          <w:sz w:val="24"/>
          <w:szCs w:val="24"/>
        </w:rPr>
        <w:t>Esta es una de las razones por las que Estados Unidos tiene el nivel de desigualdad más alto de cualquiera de los países avanzados. Y la distancia que lo separa de los demás no deja de crecer. Durante la “recuperación” de 2009 y 2010, el 1% de los estadounidenses con mayores ingresos se quedó con el 93% del aumento de la renta. Otros indicadores de desigualdad (como la riqueza, la salud y la expectativa de vida) son tan malos o incluso peores. Hay una clara tendencia a la concentración de ingresos y riqueza en la cima, al vaciamiento de las capas medias y a un aumento de la pobreza en el fondo</w:t>
      </w:r>
      <w:r>
        <w:rPr>
          <w:rFonts w:ascii="Times New Roman" w:hAnsi="Times New Roman"/>
          <w:sz w:val="24"/>
          <w:szCs w:val="24"/>
        </w:rPr>
        <w:t>”..</w:t>
      </w:r>
      <w:r w:rsidRPr="00072B75">
        <w:rPr>
          <w:rFonts w:ascii="Times New Roman" w:hAnsi="Times New Roman"/>
          <w:sz w:val="24"/>
          <w:szCs w:val="24"/>
        </w:rPr>
        <w:t>.</w:t>
      </w:r>
      <w:r>
        <w:rPr>
          <w:rFonts w:ascii="Times New Roman" w:hAnsi="Times New Roman"/>
          <w:sz w:val="24"/>
          <w:szCs w:val="24"/>
        </w:rPr>
        <w:t xml:space="preserve"> </w:t>
      </w:r>
      <w:r w:rsidRPr="00746FB4">
        <w:rPr>
          <w:rFonts w:ascii="Times New Roman" w:hAnsi="Times New Roman"/>
          <w:sz w:val="24"/>
          <w:szCs w:val="24"/>
          <w:u w:val="single"/>
        </w:rPr>
        <w:t>El precio de la desigualdad</w:t>
      </w:r>
      <w:r w:rsidRPr="00B36582">
        <w:rPr>
          <w:rFonts w:ascii="Times New Roman" w:hAnsi="Times New Roman"/>
          <w:sz w:val="24"/>
          <w:szCs w:val="24"/>
        </w:rPr>
        <w:t xml:space="preserve"> </w:t>
      </w:r>
      <w:r>
        <w:rPr>
          <w:rFonts w:ascii="Times New Roman" w:hAnsi="Times New Roman"/>
          <w:sz w:val="24"/>
          <w:szCs w:val="24"/>
        </w:rPr>
        <w:t>(</w:t>
      </w:r>
      <w:r w:rsidRPr="00746FB4">
        <w:rPr>
          <w:rFonts w:ascii="Times New Roman" w:hAnsi="Times New Roman"/>
          <w:sz w:val="24"/>
          <w:szCs w:val="24"/>
        </w:rPr>
        <w:t>Joseph E. Stiglitz</w:t>
      </w:r>
      <w:r>
        <w:rPr>
          <w:rFonts w:ascii="Times New Roman" w:hAnsi="Times New Roman"/>
          <w:sz w:val="24"/>
          <w:szCs w:val="24"/>
        </w:rPr>
        <w:t xml:space="preserve"> - Project Syndicate - </w:t>
      </w:r>
      <w:r w:rsidRPr="00746FB4">
        <w:rPr>
          <w:rFonts w:ascii="Times New Roman" w:hAnsi="Times New Roman"/>
          <w:b/>
          <w:sz w:val="24"/>
          <w:szCs w:val="24"/>
        </w:rPr>
        <w:t>5/6/12</w:t>
      </w:r>
      <w:r>
        <w:rPr>
          <w:rFonts w:ascii="Times New Roman" w:hAnsi="Times New Roman"/>
          <w:sz w:val="24"/>
          <w:szCs w:val="24"/>
        </w:rPr>
        <w:t>)</w:t>
      </w:r>
    </w:p>
    <w:p w:rsidR="00072B75" w:rsidRPr="00072B75" w:rsidRDefault="00072B75" w:rsidP="00387350">
      <w:pPr>
        <w:spacing w:line="240" w:lineRule="auto"/>
        <w:jc w:val="both"/>
        <w:rPr>
          <w:rFonts w:ascii="Times New Roman" w:hAnsi="Times New Roman" w:cs="Times New Roman"/>
          <w:sz w:val="24"/>
          <w:szCs w:val="24"/>
        </w:rPr>
      </w:pPr>
      <w:r w:rsidRPr="00072B75">
        <w:rPr>
          <w:rFonts w:ascii="Times New Roman" w:hAnsi="Times New Roman" w:cs="Times New Roman"/>
          <w:sz w:val="24"/>
          <w:szCs w:val="24"/>
        </w:rPr>
        <w:t xml:space="preserve">“El patrimonio neto de los hogares estadounidenses disminuyó casi 40% entre 2007 y 2010 a niveles no registrados desde 1992. </w:t>
      </w:r>
    </w:p>
    <w:p w:rsidR="00072B75" w:rsidRPr="00072B75" w:rsidRDefault="00072B75" w:rsidP="00387350">
      <w:pPr>
        <w:pStyle w:val="NormalWeb"/>
        <w:jc w:val="both"/>
      </w:pPr>
      <w:r w:rsidRPr="00072B75">
        <w:t>El lunes, la Reserva Federal de Estados Unidos publicó un informe que mostró que la media del patrimonio neto de las familias disminuyó a US$</w:t>
      </w:r>
      <w:r>
        <w:t xml:space="preserve"> </w:t>
      </w:r>
      <w:r w:rsidRPr="00072B75">
        <w:t>77.300 en 2010, frente a los US$</w:t>
      </w:r>
      <w:r>
        <w:t xml:space="preserve"> </w:t>
      </w:r>
      <w:r w:rsidRPr="00072B75">
        <w:t xml:space="preserve">126.400 en 2007, lo que representa una disminución de 38,8%, el mayor descenso desde que comenzó este sondeo en 1989. </w:t>
      </w:r>
    </w:p>
    <w:p w:rsidR="00072B75" w:rsidRPr="00072B75" w:rsidRDefault="00072B75" w:rsidP="00387350">
      <w:pPr>
        <w:pStyle w:val="NormalWeb"/>
        <w:jc w:val="both"/>
      </w:pPr>
      <w:r w:rsidRPr="00072B75">
        <w:t xml:space="preserve">El patrimonio neto de los hogares es un indicador de los activos totales, como viviendas, acciones y pensiones, menos las obligaciones totales, como hipotecas y deuda en tarjetas de crédito. El patrimonio neto promedio cayó 14,7% en el período. </w:t>
      </w:r>
    </w:p>
    <w:p w:rsidR="00072B75" w:rsidRDefault="00072B75" w:rsidP="00387350">
      <w:pPr>
        <w:pStyle w:val="NormalWeb"/>
        <w:jc w:val="both"/>
      </w:pPr>
      <w:r w:rsidRPr="00072B75">
        <w:t>Los ingresos y el patrimonio neto de las familias estadounidenses cayeron en concordancia con las turbulencias de la economía del país durante los últimos tres años, según el Sondeo de las Finanzas del Consumidor de la Fed, un panorama detallado de las cuentas de los hogares que se realiza cada tres años</w:t>
      </w:r>
      <w:r>
        <w:t>”..</w:t>
      </w:r>
      <w:r w:rsidRPr="00072B75">
        <w:t xml:space="preserve">. </w:t>
      </w:r>
      <w:r w:rsidRPr="004A17B6">
        <w:rPr>
          <w:u w:val="single"/>
        </w:rPr>
        <w:t>El patrim</w:t>
      </w:r>
      <w:r>
        <w:rPr>
          <w:u w:val="single"/>
        </w:rPr>
        <w:t>onio neto de las familias de EEUU</w:t>
      </w:r>
      <w:r w:rsidRPr="004A17B6">
        <w:rPr>
          <w:u w:val="single"/>
        </w:rPr>
        <w:t xml:space="preserve"> cae casi 40% entre 2007 y 2010</w:t>
      </w:r>
      <w:r>
        <w:t xml:space="preserve"> (The Wall Street Journal - </w:t>
      </w:r>
      <w:r w:rsidRPr="004A17B6">
        <w:rPr>
          <w:b/>
        </w:rPr>
        <w:t>11/6/12</w:t>
      </w:r>
      <w:r>
        <w:t>)</w:t>
      </w:r>
    </w:p>
    <w:p w:rsidR="00072B75" w:rsidRPr="00072B75" w:rsidRDefault="00072B75" w:rsidP="00387350">
      <w:pPr>
        <w:autoSpaceDE w:val="0"/>
        <w:autoSpaceDN w:val="0"/>
        <w:adjustRightInd w:val="0"/>
        <w:spacing w:before="100" w:after="100" w:line="240" w:lineRule="auto"/>
        <w:jc w:val="both"/>
        <w:rPr>
          <w:rFonts w:ascii="Times New Roman" w:hAnsi="Times New Roman"/>
          <w:sz w:val="24"/>
          <w:szCs w:val="24"/>
          <w:lang w:eastAsia="es-ES"/>
        </w:rPr>
      </w:pPr>
      <w:r>
        <w:rPr>
          <w:rFonts w:ascii="Times New Roman" w:hAnsi="Times New Roman"/>
          <w:sz w:val="24"/>
          <w:szCs w:val="24"/>
          <w:lang w:eastAsia="es-ES"/>
        </w:rPr>
        <w:lastRenderedPageBreak/>
        <w:t>“</w:t>
      </w:r>
      <w:r w:rsidRPr="00072B75">
        <w:rPr>
          <w:rFonts w:ascii="Times New Roman" w:hAnsi="Times New Roman"/>
          <w:sz w:val="24"/>
          <w:szCs w:val="24"/>
          <w:lang w:eastAsia="es-ES"/>
        </w:rPr>
        <w:t xml:space="preserve">¿Cuánta desigualdad es aceptable? A juzgar por los niveles anteriores a la recesión, mucha, particularmente en los Estados Unidos y Gran Bretaña. Peter Mandelson, del Nuevo Laborismo, expresó el estado de ánimo de los últimos treinta años cuando comentó que se sentía “tranquilo” por el hecho de que la </w:t>
      </w:r>
      <w:r>
        <w:rPr>
          <w:rFonts w:ascii="Times New Roman" w:hAnsi="Times New Roman"/>
          <w:sz w:val="24"/>
          <w:szCs w:val="24"/>
          <w:lang w:eastAsia="es-ES"/>
        </w:rPr>
        <w:t>gente se enriqueciera de forma “</w:t>
      </w:r>
      <w:r w:rsidRPr="00072B75">
        <w:rPr>
          <w:rFonts w:ascii="Times New Roman" w:hAnsi="Times New Roman"/>
          <w:sz w:val="24"/>
          <w:szCs w:val="24"/>
          <w:lang w:eastAsia="es-ES"/>
        </w:rPr>
        <w:t>desmedida”. El enrique</w:t>
      </w:r>
      <w:r>
        <w:rPr>
          <w:rFonts w:ascii="Times New Roman" w:hAnsi="Times New Roman"/>
          <w:sz w:val="24"/>
          <w:szCs w:val="24"/>
          <w:lang w:eastAsia="es-ES"/>
        </w:rPr>
        <w:t>cimiento era el objetivo de la “nueva economía”</w:t>
      </w:r>
      <w:r w:rsidRPr="00072B75">
        <w:rPr>
          <w:rFonts w:ascii="Times New Roman" w:hAnsi="Times New Roman"/>
          <w:sz w:val="24"/>
          <w:szCs w:val="24"/>
          <w:lang w:eastAsia="es-ES"/>
        </w:rPr>
        <w:t>. Y los nuevos ricos se quedaron con una parte creciente de sus ganancias, a medida que se redujeron los impuestos para alentarlos a enriquecerse aún más y se abandonaron los esfuerzos para repartir el pastel de forma más justa.</w:t>
      </w:r>
    </w:p>
    <w:p w:rsidR="00072B75" w:rsidRPr="00072B75" w:rsidRDefault="00072B75" w:rsidP="00387350">
      <w:pPr>
        <w:autoSpaceDE w:val="0"/>
        <w:autoSpaceDN w:val="0"/>
        <w:adjustRightInd w:val="0"/>
        <w:spacing w:before="100" w:after="100" w:line="240" w:lineRule="auto"/>
        <w:jc w:val="both"/>
        <w:rPr>
          <w:rFonts w:ascii="Times New Roman" w:hAnsi="Times New Roman"/>
          <w:sz w:val="24"/>
          <w:szCs w:val="24"/>
          <w:lang w:eastAsia="es-ES"/>
        </w:rPr>
      </w:pPr>
      <w:r w:rsidRPr="00072B75">
        <w:rPr>
          <w:rFonts w:ascii="Times New Roman" w:hAnsi="Times New Roman"/>
          <w:sz w:val="24"/>
          <w:szCs w:val="24"/>
          <w:lang w:eastAsia="es-ES"/>
        </w:rPr>
        <w:t>Los resultados fueron predecibles. En 1970, los ingresos brutos de un alto ejecutivo estadounidense eran aproximadamente treinta veces más elevados que los del trabajador medio; actualmente son 263 veces más elevados. En Gran Bretaña, el salario básico (sin bonificaciones) de un alto ejecutivo era 47 veces superior a la del trabajador medio en 1970. En 2010 fue 81 veces superior. Desde finales de los años setenta, los ingresos netos del 20 por ciento más rico de la población han aumentado cinco veces más rápido que el del 20 por ciento más pobre en los Estados Unidos y cuatro veces más rápido en el Reino Unido. Aún más importante es la creciente brecha entre el promedio de los ingresos y la mediana de los ingresos, es decir que la proporción de la población que vive con la mitad o menos de la mitad del ingreso medio en los Estados Unidos y Gran Bretaña ha estado aumentando.</w:t>
      </w:r>
    </w:p>
    <w:p w:rsidR="00072B75" w:rsidRDefault="00072B75" w:rsidP="00387350">
      <w:pPr>
        <w:autoSpaceDE w:val="0"/>
        <w:autoSpaceDN w:val="0"/>
        <w:adjustRightInd w:val="0"/>
        <w:spacing w:before="100" w:after="100" w:line="240" w:lineRule="auto"/>
        <w:jc w:val="both"/>
        <w:rPr>
          <w:rFonts w:ascii="Times New Roman" w:hAnsi="Times New Roman"/>
          <w:sz w:val="24"/>
          <w:szCs w:val="24"/>
          <w:lang w:eastAsia="es-ES"/>
        </w:rPr>
      </w:pPr>
      <w:r w:rsidRPr="00072B75">
        <w:rPr>
          <w:rFonts w:ascii="Times New Roman" w:hAnsi="Times New Roman"/>
          <w:sz w:val="24"/>
          <w:szCs w:val="24"/>
          <w:lang w:eastAsia="es-ES"/>
        </w:rPr>
        <w:t>Aunque en algunos países esta tendencia no se ha impuesto del todo, la desigualdad ha estado aumentando durante los últimos 30-40 años en todo el mundo. Ha crecido la desigualdad dentro de los países, y las diferencias entre ellos aumentaron considerablemente después de 1980, hasta equilibrarse a finales de los noventa y comenzar a disminuir después de 2000, cuando el crecimiento en los países en desarrollo comenzó a acelerarse</w:t>
      </w:r>
      <w:r>
        <w:rPr>
          <w:rFonts w:ascii="Times New Roman" w:hAnsi="Times New Roman"/>
          <w:sz w:val="24"/>
          <w:szCs w:val="24"/>
          <w:lang w:eastAsia="es-ES"/>
        </w:rPr>
        <w:t>”..</w:t>
      </w:r>
      <w:r w:rsidRPr="00072B75">
        <w:rPr>
          <w:rFonts w:ascii="Times New Roman" w:hAnsi="Times New Roman"/>
          <w:sz w:val="24"/>
          <w:szCs w:val="24"/>
          <w:lang w:eastAsia="es-ES"/>
        </w:rPr>
        <w:t>.</w:t>
      </w:r>
      <w:r>
        <w:rPr>
          <w:rFonts w:ascii="Times New Roman" w:hAnsi="Times New Roman"/>
          <w:sz w:val="24"/>
          <w:szCs w:val="24"/>
          <w:lang w:eastAsia="es-ES"/>
        </w:rPr>
        <w:t xml:space="preserve"> </w:t>
      </w:r>
      <w:r w:rsidRPr="006C19AC">
        <w:rPr>
          <w:rFonts w:ascii="Times New Roman" w:hAnsi="Times New Roman"/>
          <w:sz w:val="24"/>
          <w:szCs w:val="24"/>
          <w:u w:val="single"/>
          <w:lang w:eastAsia="es-ES"/>
        </w:rPr>
        <w:t>La sociedad mala</w:t>
      </w:r>
      <w:r w:rsidRPr="006C19AC">
        <w:rPr>
          <w:rFonts w:ascii="Times New Roman" w:hAnsi="Times New Roman"/>
          <w:sz w:val="24"/>
          <w:szCs w:val="24"/>
          <w:lang w:eastAsia="es-ES"/>
        </w:rPr>
        <w:t xml:space="preserve"> (Robert Skidelsky </w:t>
      </w:r>
      <w:r>
        <w:rPr>
          <w:rFonts w:ascii="Times New Roman" w:hAnsi="Times New Roman"/>
          <w:sz w:val="24"/>
          <w:szCs w:val="24"/>
          <w:lang w:eastAsia="es-ES"/>
        </w:rPr>
        <w:t xml:space="preserve">- </w:t>
      </w:r>
      <w:r w:rsidRPr="006C19AC">
        <w:rPr>
          <w:rFonts w:ascii="Times New Roman" w:hAnsi="Times New Roman"/>
          <w:sz w:val="24"/>
          <w:szCs w:val="24"/>
          <w:lang w:eastAsia="es-ES"/>
        </w:rPr>
        <w:t xml:space="preserve">Project Syndicate </w:t>
      </w:r>
      <w:r>
        <w:rPr>
          <w:rFonts w:ascii="Times New Roman" w:hAnsi="Times New Roman"/>
          <w:sz w:val="24"/>
          <w:szCs w:val="24"/>
          <w:lang w:eastAsia="es-ES"/>
        </w:rPr>
        <w:t xml:space="preserve">- </w:t>
      </w:r>
      <w:r w:rsidRPr="006C19AC">
        <w:rPr>
          <w:rFonts w:ascii="Times New Roman" w:hAnsi="Times New Roman"/>
          <w:b/>
          <w:sz w:val="24"/>
          <w:szCs w:val="24"/>
          <w:lang w:eastAsia="es-ES"/>
        </w:rPr>
        <w:t>19/7/12</w:t>
      </w:r>
      <w:r>
        <w:rPr>
          <w:rFonts w:ascii="Times New Roman" w:hAnsi="Times New Roman"/>
          <w:sz w:val="24"/>
          <w:szCs w:val="24"/>
          <w:lang w:eastAsia="es-ES"/>
        </w:rPr>
        <w:t>)</w:t>
      </w:r>
      <w:r w:rsidRPr="006C19AC">
        <w:rPr>
          <w:rFonts w:ascii="Times New Roman" w:hAnsi="Times New Roman"/>
          <w:sz w:val="24"/>
          <w:szCs w:val="24"/>
          <w:lang w:eastAsia="es-ES"/>
        </w:rPr>
        <w:t xml:space="preserve"> </w:t>
      </w:r>
    </w:p>
    <w:p w:rsidR="008D58DC" w:rsidRPr="008D58DC" w:rsidRDefault="008D58DC"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8D58DC">
        <w:rPr>
          <w:rFonts w:ascii="Times New Roman" w:eastAsia="Times New Roman" w:hAnsi="Times New Roman"/>
          <w:sz w:val="24"/>
          <w:szCs w:val="24"/>
          <w:lang w:eastAsia="es-ES"/>
        </w:rPr>
        <w:t>Han bastado cinco años de recesión para anular la convergencia de rentas que comenzó en el año 1994 y que había conseguido que la diferencia entre los trabajadores mejor pagados y los peor remunerados se recortara en un 20%. Entre el 94 y el comienzo de la crisis España se había convertido en un país con niveles de desigualdad similares a los de la media de la OCDE. De hecho, entre 1990 y 2005, “la porción del 1% de ingresos más altos sólo creció cuatro décimas (del 8,4 al 8,8%)”, según el informe del organismo titulado “Divided we stand”</w:t>
      </w:r>
      <w:r>
        <w:rPr>
          <w:rFonts w:ascii="Times New Roman" w:eastAsia="Times New Roman" w:hAnsi="Times New Roman"/>
          <w:sz w:val="24"/>
          <w:szCs w:val="24"/>
          <w:lang w:eastAsia="es-ES"/>
        </w:rPr>
        <w:t>”..</w:t>
      </w:r>
      <w:r w:rsidRPr="008D58DC">
        <w:rPr>
          <w:rFonts w:ascii="Times New Roman" w:eastAsia="Times New Roman" w:hAnsi="Times New Roman"/>
          <w:sz w:val="24"/>
          <w:szCs w:val="24"/>
          <w:lang w:eastAsia="es-ES"/>
        </w:rPr>
        <w:t xml:space="preserve">. </w:t>
      </w:r>
      <w:r w:rsidRPr="008D58DC">
        <w:rPr>
          <w:rFonts w:ascii="Times New Roman" w:eastAsia="Times New Roman" w:hAnsi="Times New Roman"/>
          <w:sz w:val="24"/>
          <w:szCs w:val="24"/>
          <w:u w:val="single"/>
          <w:lang w:eastAsia="es-ES"/>
        </w:rPr>
        <w:t>Según el FMI, los ricos son más ricos y los pobres más pobres -</w:t>
      </w:r>
      <w:r>
        <w:rPr>
          <w:rFonts w:ascii="Times New Roman" w:eastAsia="Times New Roman" w:hAnsi="Times New Roman"/>
          <w:sz w:val="24"/>
          <w:szCs w:val="24"/>
          <w:lang w:eastAsia="es-ES"/>
        </w:rPr>
        <w:t xml:space="preserve"> </w:t>
      </w:r>
      <w:r w:rsidRPr="004354C4">
        <w:rPr>
          <w:rFonts w:ascii="Times New Roman" w:eastAsia="Times New Roman" w:hAnsi="Times New Roman"/>
          <w:sz w:val="24"/>
          <w:szCs w:val="24"/>
          <w:u w:val="single"/>
          <w:lang w:eastAsia="es-ES"/>
        </w:rPr>
        <w:t>La crisis aumenta un 3% la desigualdad y coloca a España al nivel de Croacia y Lituania</w:t>
      </w:r>
      <w:r>
        <w:rPr>
          <w:rFonts w:ascii="Times New Roman" w:eastAsia="Times New Roman" w:hAnsi="Times New Roman"/>
          <w:sz w:val="24"/>
          <w:szCs w:val="24"/>
          <w:lang w:eastAsia="es-ES"/>
        </w:rPr>
        <w:t xml:space="preserve"> (Vozpópuli - </w:t>
      </w:r>
      <w:r w:rsidRPr="004354C4">
        <w:rPr>
          <w:rFonts w:ascii="Times New Roman" w:eastAsia="Times New Roman" w:hAnsi="Times New Roman"/>
          <w:b/>
          <w:sz w:val="24"/>
          <w:szCs w:val="24"/>
          <w:lang w:eastAsia="es-ES"/>
        </w:rPr>
        <w:t>31/7/12</w:t>
      </w:r>
      <w:r>
        <w:rPr>
          <w:rFonts w:ascii="Times New Roman" w:eastAsia="Times New Roman" w:hAnsi="Times New Roman"/>
          <w:sz w:val="24"/>
          <w:szCs w:val="24"/>
          <w:lang w:eastAsia="es-ES"/>
        </w:rPr>
        <w:t>)</w:t>
      </w:r>
    </w:p>
    <w:p w:rsidR="00072B75" w:rsidRPr="008D58DC" w:rsidRDefault="00AE6D8A" w:rsidP="00387350">
      <w:pPr>
        <w:autoSpaceDE w:val="0"/>
        <w:autoSpaceDN w:val="0"/>
        <w:adjustRightInd w:val="0"/>
        <w:spacing w:before="100" w:after="100" w:line="240" w:lineRule="auto"/>
        <w:jc w:val="both"/>
        <w:rPr>
          <w:rFonts w:ascii="Times New Roman" w:hAnsi="Times New Roman"/>
          <w:sz w:val="24"/>
          <w:szCs w:val="24"/>
          <w:lang w:eastAsia="es-ES"/>
        </w:rPr>
      </w:pPr>
      <w:r>
        <w:rPr>
          <w:rFonts w:ascii="Times New Roman" w:hAnsi="Times New Roman"/>
          <w:sz w:val="24"/>
          <w:szCs w:val="24"/>
          <w:lang w:eastAsia="es-ES"/>
        </w:rPr>
        <w:t xml:space="preserve">     </w:t>
      </w:r>
      <w:r w:rsidR="008D58DC">
        <w:rPr>
          <w:rFonts w:ascii="Times New Roman" w:hAnsi="Times New Roman"/>
          <w:sz w:val="24"/>
          <w:szCs w:val="24"/>
          <w:lang w:eastAsia="es-ES"/>
        </w:rPr>
        <w:t xml:space="preserve"> </w:t>
      </w:r>
      <w:r>
        <w:rPr>
          <w:noProof/>
          <w:color w:val="0000FF"/>
          <w:lang w:eastAsia="es-ES"/>
        </w:rPr>
        <w:drawing>
          <wp:inline distT="0" distB="0" distL="0" distR="0" wp14:anchorId="75811D27" wp14:editId="75484A11">
            <wp:extent cx="2545689" cy="2121408"/>
            <wp:effectExtent l="0" t="0" r="7620" b="0"/>
            <wp:docPr id="90" name="Imagen 90" descr="fmi-desigualdad">
              <a:hlinkClick xmlns:a="http://schemas.openxmlformats.org/drawingml/2006/main" r:id="rId277" tooltip="Este enlace se abrirá en una ventana nueva: undefine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mi-desigualdad"/>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545791" cy="2121493"/>
                    </a:xfrm>
                    <a:prstGeom prst="rect">
                      <a:avLst/>
                    </a:prstGeom>
                    <a:noFill/>
                    <a:ln>
                      <a:noFill/>
                    </a:ln>
                  </pic:spPr>
                </pic:pic>
              </a:graphicData>
            </a:graphic>
          </wp:inline>
        </w:drawing>
      </w:r>
      <w:r w:rsidR="008D58DC">
        <w:rPr>
          <w:rFonts w:ascii="Times New Roman" w:hAnsi="Times New Roman"/>
          <w:sz w:val="24"/>
          <w:szCs w:val="24"/>
          <w:lang w:eastAsia="es-ES"/>
        </w:rPr>
        <w:t xml:space="preserve">  </w:t>
      </w:r>
      <w:r>
        <w:rPr>
          <w:noProof/>
          <w:lang w:eastAsia="es-ES"/>
        </w:rPr>
        <w:drawing>
          <wp:inline distT="0" distB="0" distL="0" distR="0" wp14:anchorId="714E5367" wp14:editId="64E27F8A">
            <wp:extent cx="2457907" cy="2106777"/>
            <wp:effectExtent l="0" t="0" r="0" b="8255"/>
            <wp:docPr id="467" name="Imagen 467" descr="fmi-desigualdad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mi-desigualdadx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457907" cy="2106777"/>
                    </a:xfrm>
                    <a:prstGeom prst="rect">
                      <a:avLst/>
                    </a:prstGeom>
                    <a:noFill/>
                    <a:ln>
                      <a:noFill/>
                    </a:ln>
                  </pic:spPr>
                </pic:pic>
              </a:graphicData>
            </a:graphic>
          </wp:inline>
        </w:drawing>
      </w:r>
    </w:p>
    <w:p w:rsidR="008D58DC" w:rsidRPr="008D58DC" w:rsidRDefault="008D58DC" w:rsidP="00387350">
      <w:pPr>
        <w:pStyle w:val="NormalWeb"/>
        <w:jc w:val="both"/>
      </w:pPr>
      <w:r w:rsidRPr="008D58DC">
        <w:lastRenderedPageBreak/>
        <w:t>“La capacidad de la economía de Estados Unidos de crear buenos trabajos está decayendo mientras hay más empleados ocupando trabajos malos, concluye un estudio del Centro de Investigación sobre Economía y Políticas (CEPR, por sus siglas en inglés), una organización de análisis internacional con sede en Washington DC.</w:t>
      </w:r>
    </w:p>
    <w:p w:rsidR="008D58DC" w:rsidRPr="008D58DC" w:rsidRDefault="008D58DC" w:rsidP="00387350">
      <w:pPr>
        <w:spacing w:line="240" w:lineRule="auto"/>
        <w:jc w:val="both"/>
        <w:rPr>
          <w:rFonts w:ascii="Times New Roman" w:hAnsi="Times New Roman"/>
          <w:sz w:val="24"/>
          <w:szCs w:val="24"/>
        </w:rPr>
      </w:pPr>
      <w:r w:rsidRPr="008D58DC">
        <w:rPr>
          <w:rFonts w:ascii="Times New Roman" w:hAnsi="Times New Roman"/>
          <w:sz w:val="24"/>
          <w:szCs w:val="24"/>
        </w:rPr>
        <w:t>El informe aclara que la situación no se debe a la actual recesión económica sino a una tendencia que se ha ido acentuando desde hace tres décadas y que los últimos años de crisis económica solo han añadido a las dificultades.</w:t>
      </w:r>
    </w:p>
    <w:p w:rsidR="008D58DC" w:rsidRPr="008D58DC" w:rsidRDefault="008D58DC" w:rsidP="00387350">
      <w:pPr>
        <w:spacing w:line="240" w:lineRule="auto"/>
        <w:jc w:val="both"/>
        <w:rPr>
          <w:rFonts w:ascii="Times New Roman" w:hAnsi="Times New Roman"/>
          <w:sz w:val="24"/>
          <w:szCs w:val="24"/>
        </w:rPr>
      </w:pPr>
      <w:r w:rsidRPr="008D58DC">
        <w:rPr>
          <w:rFonts w:ascii="Times New Roman" w:hAnsi="Times New Roman"/>
          <w:sz w:val="24"/>
          <w:szCs w:val="24"/>
        </w:rPr>
        <w:t>Según los investigadores, la restructuración del mercado laboral en EEUU, la reducción del salario, la privatización, los acuerdos de libre co</w:t>
      </w:r>
      <w:r w:rsidR="00DA4550">
        <w:rPr>
          <w:rFonts w:ascii="Times New Roman" w:hAnsi="Times New Roman"/>
          <w:sz w:val="24"/>
          <w:szCs w:val="24"/>
        </w:rPr>
        <w:t>mercio y un sistema migratorio “disfuncional”</w:t>
      </w:r>
      <w:r w:rsidRPr="008D58DC">
        <w:rPr>
          <w:rFonts w:ascii="Times New Roman" w:hAnsi="Times New Roman"/>
          <w:sz w:val="24"/>
          <w:szCs w:val="24"/>
        </w:rPr>
        <w:t xml:space="preserve"> son algunos de los factores que contribuyen al fenómeno.</w:t>
      </w:r>
    </w:p>
    <w:p w:rsidR="008D58DC" w:rsidRDefault="008D58DC" w:rsidP="00387350">
      <w:pPr>
        <w:spacing w:line="240" w:lineRule="auto"/>
        <w:jc w:val="both"/>
        <w:rPr>
          <w:rFonts w:ascii="Times New Roman" w:hAnsi="Times New Roman"/>
          <w:sz w:val="24"/>
          <w:szCs w:val="24"/>
        </w:rPr>
      </w:pPr>
      <w:r w:rsidRPr="008D58DC">
        <w:rPr>
          <w:rFonts w:ascii="Times New Roman" w:hAnsi="Times New Roman"/>
          <w:sz w:val="24"/>
          <w:szCs w:val="24"/>
        </w:rPr>
        <w:t>No obstante, la pérdida de poder de negociación del trabajador y los bajos índices de afiliación sindical se resaltan como elementos singulares que generan trabajos malos. Entre los grupos más afectados están los latinos, los negros y las mujeres</w:t>
      </w:r>
      <w:r>
        <w:rPr>
          <w:rFonts w:ascii="Times New Roman" w:hAnsi="Times New Roman"/>
          <w:sz w:val="24"/>
          <w:szCs w:val="24"/>
        </w:rPr>
        <w:t>”..</w:t>
      </w:r>
      <w:r w:rsidRPr="008D58DC">
        <w:rPr>
          <w:rFonts w:ascii="Times New Roman" w:hAnsi="Times New Roman"/>
          <w:sz w:val="24"/>
          <w:szCs w:val="24"/>
        </w:rPr>
        <w:t>.</w:t>
      </w:r>
      <w:r>
        <w:rPr>
          <w:rFonts w:ascii="Times New Roman" w:hAnsi="Times New Roman"/>
          <w:sz w:val="24"/>
          <w:szCs w:val="24"/>
        </w:rPr>
        <w:t xml:space="preserve"> </w:t>
      </w:r>
      <w:r w:rsidRPr="00E65AC5">
        <w:rPr>
          <w:rFonts w:ascii="Times New Roman" w:hAnsi="Times New Roman"/>
          <w:sz w:val="24"/>
          <w:szCs w:val="24"/>
          <w:u w:val="single"/>
        </w:rPr>
        <w:t>Crece el número de trabajo</w:t>
      </w:r>
      <w:r>
        <w:rPr>
          <w:rFonts w:ascii="Times New Roman" w:hAnsi="Times New Roman"/>
          <w:sz w:val="24"/>
          <w:szCs w:val="24"/>
          <w:u w:val="single"/>
        </w:rPr>
        <w:t>s “malos” en EE</w:t>
      </w:r>
      <w:r w:rsidRPr="00E65AC5">
        <w:rPr>
          <w:rFonts w:ascii="Times New Roman" w:hAnsi="Times New Roman"/>
          <w:sz w:val="24"/>
          <w:szCs w:val="24"/>
          <w:u w:val="single"/>
        </w:rPr>
        <w:t>UU</w:t>
      </w:r>
      <w:r>
        <w:rPr>
          <w:rFonts w:ascii="Times New Roman" w:hAnsi="Times New Roman"/>
          <w:sz w:val="24"/>
          <w:szCs w:val="24"/>
        </w:rPr>
        <w:t xml:space="preserve"> (BBCMundo - </w:t>
      </w:r>
      <w:r w:rsidRPr="00E65AC5">
        <w:rPr>
          <w:rFonts w:ascii="Times New Roman" w:hAnsi="Times New Roman"/>
          <w:b/>
          <w:sz w:val="24"/>
          <w:szCs w:val="24"/>
        </w:rPr>
        <w:t>12/9/12</w:t>
      </w:r>
      <w:r>
        <w:rPr>
          <w:rFonts w:ascii="Times New Roman" w:hAnsi="Times New Roman"/>
          <w:sz w:val="24"/>
          <w:szCs w:val="24"/>
        </w:rPr>
        <w:t>)</w:t>
      </w:r>
    </w:p>
    <w:p w:rsidR="008D58DC" w:rsidRPr="00AE6D8A" w:rsidRDefault="008D58DC" w:rsidP="00387350">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sidRPr="00F248F8">
        <w:rPr>
          <w:rFonts w:ascii="Times New Roman" w:eastAsia="Times New Roman" w:hAnsi="Times New Roman"/>
          <w:bCs/>
          <w:kern w:val="36"/>
          <w:sz w:val="24"/>
          <w:szCs w:val="24"/>
          <w:u w:val="single"/>
          <w:lang w:eastAsia="es-ES"/>
        </w:rPr>
        <w:t>La distribuc</w:t>
      </w:r>
      <w:r>
        <w:rPr>
          <w:rFonts w:ascii="Times New Roman" w:eastAsia="Times New Roman" w:hAnsi="Times New Roman"/>
          <w:bCs/>
          <w:kern w:val="36"/>
          <w:sz w:val="24"/>
          <w:szCs w:val="24"/>
          <w:u w:val="single"/>
          <w:lang w:eastAsia="es-ES"/>
        </w:rPr>
        <w:t>ión de la renta y la crisis</w:t>
      </w:r>
      <w:r>
        <w:rPr>
          <w:rFonts w:ascii="Times New Roman" w:eastAsia="Times New Roman" w:hAnsi="Times New Roman"/>
          <w:bCs/>
          <w:kern w:val="36"/>
          <w:sz w:val="24"/>
          <w:szCs w:val="24"/>
          <w:lang w:eastAsia="es-ES"/>
        </w:rPr>
        <w:t xml:space="preserve"> (Fuente: Fedea - </w:t>
      </w:r>
      <w:r w:rsidRPr="00F248F8">
        <w:rPr>
          <w:rFonts w:ascii="Times New Roman" w:eastAsia="Times New Roman" w:hAnsi="Times New Roman"/>
          <w:b/>
          <w:bCs/>
          <w:kern w:val="36"/>
          <w:sz w:val="24"/>
          <w:szCs w:val="24"/>
          <w:lang w:eastAsia="es-ES"/>
        </w:rPr>
        <w:t>31/10/12</w:t>
      </w:r>
      <w:r>
        <w:rPr>
          <w:rFonts w:ascii="Times New Roman" w:eastAsia="Times New Roman" w:hAnsi="Times New Roman"/>
          <w:bCs/>
          <w:kern w:val="36"/>
          <w:sz w:val="24"/>
          <w:szCs w:val="24"/>
          <w:lang w:eastAsia="es-ES"/>
        </w:rPr>
        <w:t>)</w:t>
      </w:r>
    </w:p>
    <w:p w:rsidR="008D58DC" w:rsidRDefault="008D58DC" w:rsidP="00387350">
      <w:pPr>
        <w:spacing w:line="240" w:lineRule="auto"/>
        <w:jc w:val="both"/>
        <w:rPr>
          <w:rFonts w:ascii="Times New Roman" w:hAnsi="Times New Roman"/>
          <w:sz w:val="24"/>
          <w:szCs w:val="24"/>
        </w:rPr>
      </w:pPr>
      <w:r>
        <w:rPr>
          <w:rFonts w:ascii="Times New Roman" w:eastAsia="Times New Roman" w:hAnsi="Times New Roman"/>
          <w:noProof/>
          <w:color w:val="0000FF"/>
          <w:sz w:val="24"/>
          <w:szCs w:val="24"/>
          <w:lang w:eastAsia="es-ES"/>
        </w:rPr>
        <w:drawing>
          <wp:inline distT="0" distB="0" distL="0" distR="0" wp14:anchorId="6043CB57" wp14:editId="23DCAC43">
            <wp:extent cx="5400040" cy="2492180"/>
            <wp:effectExtent l="0" t="0" r="0" b="3810"/>
            <wp:docPr id="141" name="Imagen 141" descr="GINI7-1024x368">
              <a:hlinkClick xmlns:a="http://schemas.openxmlformats.org/drawingml/2006/main" r:id="rId2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INI7-1024x36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400040" cy="2492180"/>
                    </a:xfrm>
                    <a:prstGeom prst="rect">
                      <a:avLst/>
                    </a:prstGeom>
                    <a:noFill/>
                    <a:ln>
                      <a:noFill/>
                    </a:ln>
                  </pic:spPr>
                </pic:pic>
              </a:graphicData>
            </a:graphic>
          </wp:inline>
        </w:drawing>
      </w:r>
    </w:p>
    <w:p w:rsidR="008D58DC" w:rsidRDefault="008D58DC" w:rsidP="00387350">
      <w:pPr>
        <w:spacing w:line="240" w:lineRule="auto"/>
        <w:jc w:val="both"/>
        <w:rPr>
          <w:rFonts w:ascii="Times New Roman" w:hAnsi="Times New Roman"/>
          <w:sz w:val="24"/>
          <w:szCs w:val="24"/>
        </w:rPr>
      </w:pPr>
      <w:r>
        <w:rPr>
          <w:rFonts w:ascii="Times New Roman" w:eastAsia="Times New Roman" w:hAnsi="Times New Roman"/>
          <w:noProof/>
          <w:color w:val="0000FF"/>
          <w:sz w:val="24"/>
          <w:szCs w:val="24"/>
          <w:lang w:eastAsia="es-ES"/>
        </w:rPr>
        <w:drawing>
          <wp:inline distT="0" distB="0" distL="0" distR="0" wp14:anchorId="63C95024" wp14:editId="3D14720F">
            <wp:extent cx="5391227" cy="2487168"/>
            <wp:effectExtent l="0" t="0" r="0" b="8890"/>
            <wp:docPr id="140" name="Imagen 140" descr="Polarización5">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olarización5"/>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391150" cy="2487133"/>
                    </a:xfrm>
                    <a:prstGeom prst="rect">
                      <a:avLst/>
                    </a:prstGeom>
                    <a:noFill/>
                    <a:ln>
                      <a:noFill/>
                    </a:ln>
                  </pic:spPr>
                </pic:pic>
              </a:graphicData>
            </a:graphic>
          </wp:inline>
        </w:drawing>
      </w:r>
    </w:p>
    <w:p w:rsidR="008D58DC" w:rsidRDefault="008D58DC" w:rsidP="00387350">
      <w:pPr>
        <w:spacing w:line="240" w:lineRule="auto"/>
        <w:jc w:val="both"/>
        <w:rPr>
          <w:rFonts w:ascii="Times New Roman" w:hAnsi="Times New Roman"/>
          <w:sz w:val="24"/>
          <w:szCs w:val="24"/>
        </w:rPr>
      </w:pPr>
      <w:r>
        <w:rPr>
          <w:rFonts w:ascii="Times New Roman" w:eastAsia="Times New Roman" w:hAnsi="Times New Roman"/>
          <w:noProof/>
          <w:color w:val="0000FF"/>
          <w:sz w:val="24"/>
          <w:szCs w:val="24"/>
          <w:lang w:eastAsia="es-ES"/>
        </w:rPr>
        <w:lastRenderedPageBreak/>
        <w:drawing>
          <wp:inline distT="0" distB="0" distL="0" distR="0" wp14:anchorId="54688263" wp14:editId="485F011B">
            <wp:extent cx="5383776" cy="2260397"/>
            <wp:effectExtent l="0" t="0" r="7620" b="6985"/>
            <wp:docPr id="139" name="Imagen 139" descr="Polarización-UE">
              <a:hlinkClick xmlns:a="http://schemas.openxmlformats.org/drawingml/2006/main" r:id="rId2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olarización-UE"/>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384165" cy="2260560"/>
                    </a:xfrm>
                    <a:prstGeom prst="rect">
                      <a:avLst/>
                    </a:prstGeom>
                    <a:noFill/>
                    <a:ln>
                      <a:noFill/>
                    </a:ln>
                  </pic:spPr>
                </pic:pic>
              </a:graphicData>
            </a:graphic>
          </wp:inline>
        </w:drawing>
      </w:r>
    </w:p>
    <w:p w:rsidR="00E31614" w:rsidRPr="00E31614" w:rsidRDefault="00E31614" w:rsidP="00387350">
      <w:pPr>
        <w:pStyle w:val="Ttulo1"/>
        <w:spacing w:line="240" w:lineRule="auto"/>
        <w:jc w:val="both"/>
        <w:rPr>
          <w:rFonts w:ascii="Times New Roman" w:hAnsi="Times New Roman"/>
          <w:b w:val="0"/>
          <w:color w:val="auto"/>
          <w:sz w:val="24"/>
          <w:szCs w:val="24"/>
        </w:rPr>
      </w:pPr>
      <w:r w:rsidRPr="00E31614">
        <w:rPr>
          <w:rFonts w:ascii="Times New Roman" w:hAnsi="Times New Roman"/>
          <w:b w:val="0"/>
          <w:color w:val="auto"/>
          <w:sz w:val="24"/>
          <w:szCs w:val="24"/>
          <w:u w:val="single"/>
        </w:rPr>
        <w:t>La persistencia del desempleo: Un viejo problema de nuevo a la vuelta de la esquina</w:t>
      </w:r>
      <w:r w:rsidRPr="00E31614">
        <w:rPr>
          <w:rFonts w:ascii="Times New Roman" w:hAnsi="Times New Roman"/>
          <w:b w:val="0"/>
          <w:color w:val="auto"/>
          <w:sz w:val="24"/>
          <w:szCs w:val="24"/>
        </w:rPr>
        <w:t xml:space="preserve"> (</w:t>
      </w:r>
      <w:r>
        <w:rPr>
          <w:rFonts w:ascii="Times New Roman" w:hAnsi="Times New Roman"/>
          <w:b w:val="0"/>
          <w:color w:val="auto"/>
          <w:sz w:val="24"/>
          <w:szCs w:val="24"/>
        </w:rPr>
        <w:t xml:space="preserve">Fuente: </w:t>
      </w:r>
      <w:r w:rsidRPr="00E31614">
        <w:rPr>
          <w:rFonts w:ascii="Times New Roman" w:hAnsi="Times New Roman"/>
          <w:b w:val="0"/>
          <w:color w:val="auto"/>
          <w:sz w:val="24"/>
          <w:szCs w:val="24"/>
        </w:rPr>
        <w:t xml:space="preserve">Fedea - </w:t>
      </w:r>
      <w:r w:rsidRPr="00E31614">
        <w:rPr>
          <w:rFonts w:ascii="Times New Roman" w:hAnsi="Times New Roman"/>
          <w:color w:val="auto"/>
          <w:sz w:val="24"/>
          <w:szCs w:val="24"/>
        </w:rPr>
        <w:t>14/11/12</w:t>
      </w:r>
      <w:r w:rsidRPr="00E31614">
        <w:rPr>
          <w:rFonts w:ascii="Times New Roman" w:hAnsi="Times New Roman"/>
          <w:b w:val="0"/>
          <w:color w:val="auto"/>
          <w:sz w:val="24"/>
          <w:szCs w:val="24"/>
        </w:rPr>
        <w:t>)</w:t>
      </w:r>
    </w:p>
    <w:p w:rsidR="008D58DC" w:rsidRDefault="008D58DC" w:rsidP="00387350">
      <w:pPr>
        <w:spacing w:line="240" w:lineRule="auto"/>
        <w:jc w:val="both"/>
        <w:rPr>
          <w:rFonts w:ascii="Times New Roman" w:hAnsi="Times New Roman"/>
          <w:sz w:val="24"/>
          <w:szCs w:val="24"/>
        </w:rPr>
      </w:pPr>
      <w:r>
        <w:rPr>
          <w:noProof/>
          <w:color w:val="0000FF"/>
          <w:lang w:eastAsia="es-ES"/>
        </w:rPr>
        <w:drawing>
          <wp:inline distT="0" distB="0" distL="0" distR="0" wp14:anchorId="7FBA4D49" wp14:editId="2933D99D">
            <wp:extent cx="5010785" cy="3555365"/>
            <wp:effectExtent l="0" t="0" r="0" b="6985"/>
            <wp:docPr id="154" name="Imagen 154" descr="Grafico-11-1024x665">
              <a:hlinkClick xmlns:a="http://schemas.openxmlformats.org/drawingml/2006/main" r:id="rId2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Grafico-11-1024x665"/>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010785" cy="3555365"/>
                    </a:xfrm>
                    <a:prstGeom prst="rect">
                      <a:avLst/>
                    </a:prstGeom>
                    <a:noFill/>
                    <a:ln>
                      <a:noFill/>
                    </a:ln>
                  </pic:spPr>
                </pic:pic>
              </a:graphicData>
            </a:graphic>
          </wp:inline>
        </w:drawing>
      </w:r>
    </w:p>
    <w:p w:rsidR="008D58DC" w:rsidRDefault="008D58DC" w:rsidP="00387350">
      <w:pPr>
        <w:spacing w:line="240" w:lineRule="auto"/>
        <w:jc w:val="both"/>
        <w:rPr>
          <w:rFonts w:ascii="Times New Roman" w:hAnsi="Times New Roman"/>
          <w:sz w:val="24"/>
          <w:szCs w:val="24"/>
        </w:rPr>
      </w:pPr>
      <w:r>
        <w:rPr>
          <w:noProof/>
          <w:color w:val="0000FF"/>
          <w:lang w:eastAsia="es-ES"/>
        </w:rPr>
        <w:drawing>
          <wp:inline distT="0" distB="0" distL="0" distR="0" wp14:anchorId="45302BAF" wp14:editId="6408B5A2">
            <wp:extent cx="5142865" cy="2063115"/>
            <wp:effectExtent l="0" t="0" r="635" b="0"/>
            <wp:docPr id="153" name="Imagen 153" descr="Grafico-2-1024x363">
              <a:hlinkClick xmlns:a="http://schemas.openxmlformats.org/drawingml/2006/main" r:id="rId2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Grafico-2-1024x36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142865" cy="2063115"/>
                    </a:xfrm>
                    <a:prstGeom prst="rect">
                      <a:avLst/>
                    </a:prstGeom>
                    <a:noFill/>
                    <a:ln>
                      <a:noFill/>
                    </a:ln>
                  </pic:spPr>
                </pic:pic>
              </a:graphicData>
            </a:graphic>
          </wp:inline>
        </w:drawing>
      </w:r>
    </w:p>
    <w:p w:rsidR="00E31614" w:rsidRPr="00E31614" w:rsidRDefault="00E31614" w:rsidP="00387350">
      <w:pPr>
        <w:spacing w:line="240" w:lineRule="auto"/>
        <w:jc w:val="both"/>
        <w:rPr>
          <w:rFonts w:ascii="Times New Roman" w:hAnsi="Times New Roman"/>
          <w:sz w:val="24"/>
          <w:szCs w:val="24"/>
        </w:rPr>
      </w:pPr>
      <w:r>
        <w:rPr>
          <w:rFonts w:ascii="Times New Roman" w:hAnsi="Times New Roman"/>
          <w:sz w:val="24"/>
          <w:szCs w:val="24"/>
        </w:rPr>
        <w:lastRenderedPageBreak/>
        <w:t>“</w:t>
      </w:r>
      <w:r w:rsidRPr="00E31614">
        <w:rPr>
          <w:rFonts w:ascii="Times New Roman" w:hAnsi="Times New Roman"/>
          <w:sz w:val="24"/>
          <w:szCs w:val="24"/>
        </w:rPr>
        <w:t>La OCDE denuncia el uso fraudulento de los contratos temporales y asegura que el paro juvenil subirá más del 7% el año que viene. Un 20% de los trabajadores puede tardar entre 3 y 5 años en encontrar empleo, afir</w:t>
      </w:r>
      <w:r w:rsidR="00DA603A">
        <w:rPr>
          <w:rFonts w:ascii="Times New Roman" w:hAnsi="Times New Roman"/>
          <w:sz w:val="24"/>
          <w:szCs w:val="24"/>
        </w:rPr>
        <w:t>ma el organismo internacional. “</w:t>
      </w:r>
      <w:r w:rsidRPr="00E31614">
        <w:rPr>
          <w:rFonts w:ascii="Times New Roman" w:hAnsi="Times New Roman"/>
          <w:sz w:val="24"/>
          <w:szCs w:val="24"/>
        </w:rPr>
        <w:t>Las perspectivas de una rec</w:t>
      </w:r>
      <w:r w:rsidR="00DA603A">
        <w:rPr>
          <w:rFonts w:ascii="Times New Roman" w:hAnsi="Times New Roman"/>
          <w:sz w:val="24"/>
          <w:szCs w:val="24"/>
        </w:rPr>
        <w:t>uperación inmediata son remotas”</w:t>
      </w:r>
      <w:r w:rsidRPr="00E31614">
        <w:rPr>
          <w:rFonts w:ascii="Times New Roman" w:hAnsi="Times New Roman"/>
          <w:sz w:val="24"/>
          <w:szCs w:val="24"/>
        </w:rPr>
        <w:t>, concluye…</w:t>
      </w:r>
    </w:p>
    <w:p w:rsidR="00E31614" w:rsidRPr="0046645A" w:rsidRDefault="00E31614" w:rsidP="00387350">
      <w:pPr>
        <w:spacing w:line="240" w:lineRule="auto"/>
        <w:jc w:val="both"/>
        <w:rPr>
          <w:rFonts w:ascii="Times New Roman" w:hAnsi="Times New Roman"/>
          <w:sz w:val="24"/>
          <w:szCs w:val="24"/>
        </w:rPr>
      </w:pPr>
      <w:r w:rsidRPr="00E31614">
        <w:rPr>
          <w:rFonts w:ascii="Times New Roman" w:eastAsia="Times New Roman" w:hAnsi="Times New Roman"/>
          <w:sz w:val="24"/>
          <w:szCs w:val="24"/>
          <w:lang w:eastAsia="es-ES"/>
        </w:rPr>
        <w:t xml:space="preserve">La OCDE denuncia el uso de los </w:t>
      </w:r>
      <w:r w:rsidRPr="00E31614">
        <w:rPr>
          <w:rFonts w:ascii="Times New Roman" w:eastAsia="Times New Roman" w:hAnsi="Times New Roman"/>
          <w:bCs/>
          <w:sz w:val="24"/>
          <w:szCs w:val="24"/>
          <w:lang w:eastAsia="es-ES"/>
        </w:rPr>
        <w:t>contratos temporales</w:t>
      </w:r>
      <w:r w:rsidRPr="00E31614">
        <w:rPr>
          <w:rFonts w:ascii="Times New Roman" w:eastAsia="Times New Roman" w:hAnsi="Times New Roman"/>
          <w:sz w:val="24"/>
          <w:szCs w:val="24"/>
          <w:lang w:eastAsia="es-ES"/>
        </w:rPr>
        <w:t xml:space="preserve"> se ha convertido en abuso. Ya no son sólo los trabajadores en pruebas y los menos cualificados los que tienen un contrato temporal durante los dos años que permite la nueva legislación. En la actualidad, uno de cada cinco jóvenes con estudios universitarios mantiene un contrato temporal hasta los 39 años. La tasa es del doble para los trabajadores menos cualificados</w:t>
      </w:r>
      <w:r>
        <w:rPr>
          <w:rFonts w:ascii="Times New Roman" w:eastAsia="Times New Roman" w:hAnsi="Times New Roman"/>
          <w:sz w:val="24"/>
          <w:szCs w:val="24"/>
          <w:lang w:eastAsia="es-ES"/>
        </w:rPr>
        <w:t>”..</w:t>
      </w:r>
      <w:r w:rsidRPr="00E31614">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46645A">
        <w:rPr>
          <w:rFonts w:ascii="Times New Roman" w:hAnsi="Times New Roman"/>
          <w:sz w:val="24"/>
          <w:szCs w:val="24"/>
          <w:u w:val="single"/>
        </w:rPr>
        <w:t>La OCDE denuncia contratos temporales hasta los 39 años y prevé un paro juvenil</w:t>
      </w:r>
      <w:r>
        <w:rPr>
          <w:rFonts w:ascii="Times New Roman" w:hAnsi="Times New Roman"/>
          <w:sz w:val="24"/>
          <w:szCs w:val="24"/>
          <w:u w:val="single"/>
        </w:rPr>
        <w:t xml:space="preserve"> (en España)</w:t>
      </w:r>
      <w:r w:rsidRPr="0046645A">
        <w:rPr>
          <w:rFonts w:ascii="Times New Roman" w:hAnsi="Times New Roman"/>
          <w:sz w:val="24"/>
          <w:szCs w:val="24"/>
          <w:u w:val="single"/>
        </w:rPr>
        <w:t xml:space="preserve"> del 60% en 2013</w:t>
      </w:r>
      <w:r>
        <w:rPr>
          <w:rFonts w:ascii="Times New Roman" w:hAnsi="Times New Roman"/>
          <w:sz w:val="24"/>
          <w:szCs w:val="24"/>
        </w:rPr>
        <w:t xml:space="preserve"> (Vozpópuli - </w:t>
      </w:r>
      <w:r w:rsidRPr="0046645A">
        <w:rPr>
          <w:rFonts w:ascii="Times New Roman" w:hAnsi="Times New Roman"/>
          <w:b/>
          <w:sz w:val="24"/>
          <w:szCs w:val="24"/>
        </w:rPr>
        <w:t>30/11/12</w:t>
      </w:r>
      <w:r>
        <w:rPr>
          <w:rFonts w:ascii="Times New Roman" w:hAnsi="Times New Roman"/>
          <w:sz w:val="24"/>
          <w:szCs w:val="24"/>
        </w:rPr>
        <w:t>)</w:t>
      </w:r>
    </w:p>
    <w:p w:rsidR="00E31614" w:rsidRDefault="00E31614"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3D2CF89E" wp14:editId="014AAD67">
            <wp:extent cx="5400040" cy="2247166"/>
            <wp:effectExtent l="0" t="0" r="0" b="1270"/>
            <wp:docPr id="468" name="Imagen 468" descr="ocde-temporalidad">
              <a:hlinkClick xmlns:a="http://schemas.openxmlformats.org/drawingml/2006/main" r:id="rId290" tooltip="Este enlace se abrirá en una ventana nueva: undefine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cde-temporalidad"/>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400040" cy="2247166"/>
                    </a:xfrm>
                    <a:prstGeom prst="rect">
                      <a:avLst/>
                    </a:prstGeom>
                    <a:noFill/>
                    <a:ln>
                      <a:noFill/>
                    </a:ln>
                  </pic:spPr>
                </pic:pic>
              </a:graphicData>
            </a:graphic>
          </wp:inline>
        </w:drawing>
      </w:r>
    </w:p>
    <w:p w:rsidR="00E31614" w:rsidRDefault="00E31614"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28EB0064" wp14:editId="5A7ACA1B">
            <wp:extent cx="5400040" cy="2106893"/>
            <wp:effectExtent l="0" t="0" r="0" b="8255"/>
            <wp:docPr id="469" name="Imagen 469" descr="ocde-tiempos-busqueda-empleo">
              <a:hlinkClick xmlns:a="http://schemas.openxmlformats.org/drawingml/2006/main" r:id="rId292" tooltip="Este enlace se abrirá en una ventana nueva: undefine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ocde-tiempos-busqueda-empleo"/>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400040" cy="2106893"/>
                    </a:xfrm>
                    <a:prstGeom prst="rect">
                      <a:avLst/>
                    </a:prstGeom>
                    <a:noFill/>
                    <a:ln>
                      <a:noFill/>
                    </a:ln>
                  </pic:spPr>
                </pic:pic>
              </a:graphicData>
            </a:graphic>
          </wp:inline>
        </w:drawing>
      </w:r>
    </w:p>
    <w:p w:rsidR="00E31614" w:rsidRPr="00E31614" w:rsidRDefault="00E31614" w:rsidP="00387350">
      <w:pPr>
        <w:pStyle w:val="NormalWeb"/>
        <w:jc w:val="both"/>
      </w:pPr>
      <w:r>
        <w:t>““</w:t>
      </w:r>
      <w:r w:rsidRPr="00E31614">
        <w:t>Una mayor parte del pastel nacional se ha transformado en ganancias y los trabajadores</w:t>
      </w:r>
      <w:r>
        <w:t xml:space="preserve"> han recibido una menor porción”</w:t>
      </w:r>
      <w:r w:rsidRPr="00E31614">
        <w:t>. La Organización Internacional del Trabajo (OIT) denuncia en su último informe que la porción de la riqueza nacional que obtienen los trabajadores es cada vez más pequeña en la mayoría de países. Y alerta, en su informe mundial sobre salarios 2012/2013, que esta situación provoca un descontento popular e incrementa el riesgo de malestar social.</w:t>
      </w:r>
    </w:p>
    <w:p w:rsidR="00E31614" w:rsidRPr="00E31614" w:rsidRDefault="00E31614" w:rsidP="00387350">
      <w:pPr>
        <w:pStyle w:val="NormalWeb"/>
        <w:jc w:val="both"/>
      </w:pPr>
      <w:r w:rsidRPr="00E31614">
        <w:rPr>
          <w:bCs/>
        </w:rPr>
        <w:t>En otras palabras: los trabajadores se benefician cada vez menos del resultado de su trabajo en un contexto en que los salarios aumentan a un ritmo mucho más lento que la productividad</w:t>
      </w:r>
      <w:r>
        <w:t>. “</w:t>
      </w:r>
      <w:r w:rsidRPr="00E31614">
        <w:t xml:space="preserve">La historia antes de la crisis es que los salarios evolucionaban más rápido que la productividad y la historia de la crisis, hasta ahora, parece ser la de </w:t>
      </w:r>
      <w:r w:rsidRPr="00E31614">
        <w:lastRenderedPageBreak/>
        <w:t xml:space="preserve">salarios cayendo más rápido que la productividad, como </w:t>
      </w:r>
      <w:r>
        <w:t>si fuese un mecanismo de ajuste”</w:t>
      </w:r>
      <w:r w:rsidRPr="00E31614">
        <w:t>, añade la OIT…</w:t>
      </w:r>
    </w:p>
    <w:p w:rsidR="00E31614" w:rsidRPr="00E31614" w:rsidRDefault="00E31614" w:rsidP="00387350">
      <w:pPr>
        <w:pStyle w:val="NormalWeb"/>
        <w:jc w:val="both"/>
      </w:pPr>
      <w:r w:rsidRPr="00E31614">
        <w:t>En concreto, la OIT señala que en las 16 economías más desarrolladas, la proporción media del trabajo respecto a la riqueza nacional disminuyó desde el 75% a mediados de los años 1970 hasta el 65% en</w:t>
      </w:r>
      <w:r>
        <w:t xml:space="preserve"> los años previos a la crisis. “</w:t>
      </w:r>
      <w:r w:rsidRPr="00E31614">
        <w:t>Se recuperó por poco tiempo, pero desce</w:t>
      </w:r>
      <w:r>
        <w:t>ndió nuevamente después de 2009”</w:t>
      </w:r>
      <w:r w:rsidRPr="00E31614">
        <w:t>, añade.</w:t>
      </w:r>
    </w:p>
    <w:p w:rsidR="00E31614" w:rsidRDefault="00E31614" w:rsidP="00387350">
      <w:pPr>
        <w:pStyle w:val="NormalWeb"/>
        <w:jc w:val="both"/>
      </w:pPr>
      <w:r w:rsidRPr="00E31614">
        <w:t>Por su parte, entre un grupo de 16 economías en desarrollo y emergentes, esta proporción disminuyó del 62% del PIB en los primeros años 1990 hasta el 58% justo antes de la crisis</w:t>
      </w:r>
      <w:r>
        <w:t>”..</w:t>
      </w:r>
      <w:r w:rsidRPr="00E31614">
        <w:t>.</w:t>
      </w:r>
      <w:r>
        <w:t xml:space="preserve"> </w:t>
      </w:r>
      <w:r w:rsidRPr="0017757E">
        <w:rPr>
          <w:u w:val="single"/>
        </w:rPr>
        <w:t>Los trabajadores reciben una porción menor de la tarta de riqueza nacional</w:t>
      </w:r>
      <w:r>
        <w:t xml:space="preserve"> (El Economista - </w:t>
      </w:r>
      <w:r w:rsidRPr="0017757E">
        <w:rPr>
          <w:b/>
        </w:rPr>
        <w:t>7/12/12</w:t>
      </w:r>
      <w:r>
        <w:t>)</w:t>
      </w:r>
    </w:p>
    <w:p w:rsidR="00E31614" w:rsidRPr="0017757E" w:rsidRDefault="006812FF" w:rsidP="00387350">
      <w:pPr>
        <w:pStyle w:val="NormalWeb"/>
        <w:jc w:val="both"/>
      </w:pPr>
      <w:r>
        <w:rPr>
          <w:noProof/>
        </w:rPr>
        <w:drawing>
          <wp:inline distT="0" distB="0" distL="0" distR="0" wp14:anchorId="33A8419E" wp14:editId="58EA176C">
            <wp:extent cx="5398617" cy="2465223"/>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398770" cy="2465293"/>
                    </a:xfrm>
                    <a:prstGeom prst="rect">
                      <a:avLst/>
                    </a:prstGeom>
                    <a:noFill/>
                    <a:ln>
                      <a:noFill/>
                    </a:ln>
                  </pic:spPr>
                </pic:pic>
              </a:graphicData>
            </a:graphic>
          </wp:inline>
        </w:drawing>
      </w:r>
    </w:p>
    <w:p w:rsidR="00E31614" w:rsidRDefault="006812FF" w:rsidP="00387350">
      <w:pPr>
        <w:pStyle w:val="NormalWeb"/>
        <w:jc w:val="both"/>
      </w:pPr>
      <w:r>
        <w:rPr>
          <w:noProof/>
          <w:color w:val="0000FF"/>
        </w:rPr>
        <w:drawing>
          <wp:inline distT="0" distB="0" distL="0" distR="0" wp14:anchorId="27917FF3" wp14:editId="13E64E78">
            <wp:extent cx="5400040" cy="2422245"/>
            <wp:effectExtent l="0" t="0" r="0" b="0"/>
            <wp:docPr id="174" name="Imagen 174" descr="oit-smi">
              <a:hlinkClick xmlns:a="http://schemas.openxmlformats.org/drawingml/2006/main" r:id="rId295" tooltip="Este enlace se abrirá en una ventana nueva: undefine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oit-smi"/>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400040" cy="2422245"/>
                    </a:xfrm>
                    <a:prstGeom prst="rect">
                      <a:avLst/>
                    </a:prstGeom>
                    <a:noFill/>
                    <a:ln>
                      <a:noFill/>
                    </a:ln>
                  </pic:spPr>
                </pic:pic>
              </a:graphicData>
            </a:graphic>
          </wp:inline>
        </w:drawing>
      </w:r>
    </w:p>
    <w:p w:rsidR="00AE6D8A" w:rsidRDefault="006812FF"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6812FF">
        <w:rPr>
          <w:rFonts w:ascii="Times New Roman" w:eastAsia="Times New Roman" w:hAnsi="Times New Roman"/>
          <w:sz w:val="24"/>
          <w:szCs w:val="24"/>
          <w:lang w:eastAsia="es-ES"/>
        </w:rPr>
        <w:t>El gasto social se ha disparado en toda Europa como consecuencia directa del estallido de la crisis económica, que azota al Viejo Continente desde el año 2008. En concreto, las partidas destinadas a protección social se han incrementado el 11,6% entre 2007 y 2010, último ejercicio del que Eurostat registra cifras homogéneas a escala de la UE-27.</w:t>
      </w:r>
    </w:p>
    <w:p w:rsidR="006812FF" w:rsidRPr="006812FF" w:rsidRDefault="006812FF" w:rsidP="00387350">
      <w:pPr>
        <w:spacing w:before="100" w:beforeAutospacing="1" w:after="100" w:afterAutospacing="1" w:line="240" w:lineRule="auto"/>
        <w:jc w:val="both"/>
        <w:rPr>
          <w:rFonts w:ascii="Times New Roman" w:eastAsia="Times New Roman" w:hAnsi="Times New Roman"/>
          <w:sz w:val="24"/>
          <w:szCs w:val="24"/>
          <w:lang w:eastAsia="es-ES"/>
        </w:rPr>
      </w:pPr>
      <w:r w:rsidRPr="006812FF">
        <w:rPr>
          <w:rFonts w:ascii="Times New Roman" w:eastAsia="Times New Roman" w:hAnsi="Times New Roman"/>
          <w:sz w:val="24"/>
          <w:szCs w:val="24"/>
          <w:lang w:eastAsia="es-ES"/>
        </w:rPr>
        <w:lastRenderedPageBreak/>
        <w:t>En total, estas partidas sociales han pasado de representar el 26,1% del Producto Interior Bruto (PIB) europeo en el ejercicio 2007, a suponer el 29,4% al término de 2010, según los datos que figuran en la Oficina de Estadísticas de Bruselas.</w:t>
      </w:r>
    </w:p>
    <w:p w:rsidR="006812FF" w:rsidRDefault="006812FF" w:rsidP="00387350">
      <w:pPr>
        <w:spacing w:before="100" w:beforeAutospacing="1" w:after="100" w:afterAutospacing="1" w:line="240" w:lineRule="auto"/>
        <w:jc w:val="both"/>
        <w:rPr>
          <w:rFonts w:ascii="Times New Roman" w:hAnsi="Times New Roman"/>
          <w:sz w:val="24"/>
          <w:szCs w:val="24"/>
        </w:rPr>
      </w:pPr>
      <w:r w:rsidRPr="006812FF">
        <w:rPr>
          <w:rFonts w:ascii="Times New Roman" w:eastAsia="Times New Roman" w:hAnsi="Times New Roman"/>
          <w:sz w:val="24"/>
          <w:szCs w:val="24"/>
          <w:lang w:eastAsia="es-ES"/>
        </w:rPr>
        <w:t>Unas cotas de gasto disparado que no extrañan tanto si se tiene en cuenta que, a finales de 2010, las prestaciones de desempleo se comían en Europa la friolera de 208.000 millones de euros, lo que significa un alza del 33,2% en los tres primeros años de crisis económica global</w:t>
      </w:r>
      <w:r>
        <w:rPr>
          <w:rFonts w:ascii="Times New Roman" w:eastAsia="Times New Roman" w:hAnsi="Times New Roman"/>
          <w:sz w:val="24"/>
          <w:szCs w:val="24"/>
          <w:lang w:eastAsia="es-ES"/>
        </w:rPr>
        <w:t>”..</w:t>
      </w:r>
      <w:r w:rsidRPr="006812FF">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0024A6">
        <w:rPr>
          <w:rFonts w:ascii="Times New Roman" w:hAnsi="Times New Roman"/>
          <w:sz w:val="24"/>
          <w:szCs w:val="24"/>
          <w:u w:val="single"/>
        </w:rPr>
        <w:t>La prestación de paro en Europa se come más de 208.000 millones anuales</w:t>
      </w:r>
      <w:r>
        <w:rPr>
          <w:rFonts w:ascii="Times New Roman" w:hAnsi="Times New Roman"/>
          <w:sz w:val="24"/>
          <w:szCs w:val="24"/>
        </w:rPr>
        <w:t xml:space="preserve"> (El Economista - </w:t>
      </w:r>
      <w:r w:rsidRPr="000024A6">
        <w:rPr>
          <w:rFonts w:ascii="Times New Roman" w:hAnsi="Times New Roman"/>
          <w:b/>
          <w:sz w:val="24"/>
          <w:szCs w:val="24"/>
        </w:rPr>
        <w:t>11/1/13</w:t>
      </w:r>
      <w:r>
        <w:rPr>
          <w:rFonts w:ascii="Times New Roman" w:hAnsi="Times New Roman"/>
          <w:sz w:val="24"/>
          <w:szCs w:val="24"/>
        </w:rPr>
        <w:t>)</w:t>
      </w:r>
    </w:p>
    <w:p w:rsidR="006812FF" w:rsidRPr="00AE5FFF" w:rsidRDefault="006812FF"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6812FF">
        <w:rPr>
          <w:rFonts w:ascii="Times New Roman" w:eastAsia="Times New Roman" w:hAnsi="Times New Roman"/>
          <w:sz w:val="24"/>
          <w:szCs w:val="24"/>
          <w:lang w:eastAsia="es-ES"/>
        </w:rPr>
        <w:t xml:space="preserve">La Organización Internacional del Trabajo (OIT), organismo dependiente de Naciones Unidas, dijo que el número de personas desempleadas creció en más de cuatro millones en todo el mundo durante 2012. Según el informe </w:t>
      </w:r>
      <w:r w:rsidRPr="001C3ABE">
        <w:rPr>
          <w:rFonts w:ascii="Times New Roman" w:eastAsia="Times New Roman" w:hAnsi="Times New Roman"/>
          <w:i/>
          <w:sz w:val="24"/>
          <w:szCs w:val="24"/>
          <w:lang w:eastAsia="es-ES"/>
        </w:rPr>
        <w:t>Tendencias Mundiales del Empleo</w:t>
      </w:r>
      <w:r w:rsidRPr="006812FF">
        <w:rPr>
          <w:rFonts w:ascii="Times New Roman" w:eastAsia="Times New Roman" w:hAnsi="Times New Roman"/>
          <w:sz w:val="24"/>
          <w:szCs w:val="24"/>
          <w:lang w:eastAsia="es-ES"/>
        </w:rPr>
        <w:t>, presentado este lunes, los datos son reflejo de la crisis económica mundial, sobre todo en los países desarrollados.  Los más afectados fueron los jóvenes. Según la OIT, casi el 13% de los menores de 24 años que buscan trabajo están sin empleo. La agencia pidió que se invierta más en formación profesional para preparar a los jóvenes. Según el informe, los países que cuentan con programas de aprendizaje de oficios, como Alemania, Austria y Suiza, tienen los niveles más bajos de desempleo juvenil. En total, el desempleo mundial alcanzó los 197 millones de personas, equivalente al 6% de la fuerza laboral global</w:t>
      </w:r>
      <w:r>
        <w:rPr>
          <w:rFonts w:ascii="Times New Roman" w:eastAsia="Times New Roman" w:hAnsi="Times New Roman"/>
          <w:sz w:val="24"/>
          <w:szCs w:val="24"/>
          <w:lang w:eastAsia="es-ES"/>
        </w:rPr>
        <w:t>”..</w:t>
      </w:r>
      <w:r w:rsidRPr="006812FF">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AE5FFF">
        <w:rPr>
          <w:rFonts w:ascii="Times New Roman" w:eastAsia="Times New Roman" w:hAnsi="Times New Roman"/>
          <w:sz w:val="24"/>
          <w:szCs w:val="24"/>
          <w:u w:val="single"/>
          <w:lang w:eastAsia="es-ES"/>
        </w:rPr>
        <w:t>Aumenta el desempleo a nivel mundial</w:t>
      </w:r>
      <w:r>
        <w:rPr>
          <w:rFonts w:ascii="Times New Roman" w:eastAsia="Times New Roman" w:hAnsi="Times New Roman"/>
          <w:sz w:val="24"/>
          <w:szCs w:val="24"/>
          <w:lang w:eastAsia="es-ES"/>
        </w:rPr>
        <w:t xml:space="preserve"> (BBCMundo - </w:t>
      </w:r>
      <w:r w:rsidRPr="00AE5FFF">
        <w:rPr>
          <w:rFonts w:ascii="Times New Roman" w:eastAsia="Times New Roman" w:hAnsi="Times New Roman"/>
          <w:b/>
          <w:sz w:val="24"/>
          <w:szCs w:val="24"/>
          <w:lang w:eastAsia="es-ES"/>
        </w:rPr>
        <w:t>22/1/13</w:t>
      </w:r>
      <w:r>
        <w:rPr>
          <w:rFonts w:ascii="Times New Roman" w:eastAsia="Times New Roman" w:hAnsi="Times New Roman"/>
          <w:sz w:val="24"/>
          <w:szCs w:val="24"/>
          <w:lang w:eastAsia="es-ES"/>
        </w:rPr>
        <w:t>)</w:t>
      </w:r>
    </w:p>
    <w:p w:rsidR="006812FF" w:rsidRPr="006812FF" w:rsidRDefault="006812FF" w:rsidP="00387350">
      <w:pPr>
        <w:pStyle w:val="NormalWeb"/>
        <w:jc w:val="both"/>
      </w:pPr>
      <w:r w:rsidRPr="006812FF">
        <w:t xml:space="preserve">“El 30 % de los europeos no tiene actualmente ningún tipo de ahorro y sólo un 49 % tiene dinero para mantener su nivel de vida tres meses en caso de quedarse sin ingresos, según un estudio encargado por el banco alemán ING-DiBa. El informe revela que en los países más afectados por la crisis, como España e Italia, el 50 % de los ahorradores han visto disminuir sus reservas financieras. “Parece ser que mucha gente en el sur de Europa se está gastando sus ahorros”, dijo el economista jefe del ING-DiBa, Carsten Brzeski. </w:t>
      </w:r>
    </w:p>
    <w:p w:rsidR="006812FF" w:rsidRPr="006812FF" w:rsidRDefault="006812FF" w:rsidP="00387350">
      <w:pPr>
        <w:pStyle w:val="NormalWeb"/>
        <w:jc w:val="both"/>
      </w:pPr>
      <w:r w:rsidRPr="006812FF">
        <w:t xml:space="preserve">En Alemania, el país de gran tamaño menos afectado por la crisis, el porcentaje de ahorradores se mantiene en el promedio europeo, aunque éstos han visto cómo sus reservas se mantenían o incluso aumentaban en los últimos meses. </w:t>
      </w:r>
    </w:p>
    <w:p w:rsidR="006812FF" w:rsidRPr="006812FF" w:rsidRDefault="006812FF" w:rsidP="00387350">
      <w:pPr>
        <w:pStyle w:val="NormalWeb"/>
        <w:jc w:val="both"/>
      </w:pPr>
      <w:r w:rsidRPr="006812FF">
        <w:t xml:space="preserve">La crisis ha llevado a que muchos europeos recorten sus gastos, especialmente los ciudadanos de Italia y España, donde el 83 % de los encuestados hicieron recortes en sus gastos personales en 2012.  Por el contrario, en Alemania sólo el 49 % de los interrogados ha hecho recortes en sus gastos personales, lo que representa el nivel más bajo de toda Europa. </w:t>
      </w:r>
    </w:p>
    <w:p w:rsidR="006812FF" w:rsidRDefault="006812FF" w:rsidP="00387350">
      <w:pPr>
        <w:pStyle w:val="NormalWeb"/>
        <w:jc w:val="both"/>
      </w:pPr>
      <w:r w:rsidRPr="006812FF">
        <w:t>Los recortes se han realizado ante todo en gastos relacionados con ocupaciones en el tiempo libre, entretenimiento, ropa y cuidado personal. El estudio es resultado de una encuesta del instituto demoscópico TNS, por encargo de ING-DiBA, en 14 países europeos en los el banco está presente. En el estudio, no se considera como ahorro el dinero invertido en seguros de vida o en seguros de pensiones, puesto que no estaría disponible a corto plazo para los ahorradores</w:t>
      </w:r>
      <w:r>
        <w:t>”..</w:t>
      </w:r>
      <w:r w:rsidRPr="006812FF">
        <w:t>.</w:t>
      </w:r>
      <w:r>
        <w:t xml:space="preserve"> </w:t>
      </w:r>
      <w:r w:rsidRPr="009015B3">
        <w:rPr>
          <w:u w:val="single"/>
        </w:rPr>
        <w:t>El 30 % de los europeos no tiene ahorros</w:t>
      </w:r>
      <w:r>
        <w:t xml:space="preserve"> (Negocios.com - </w:t>
      </w:r>
      <w:r w:rsidRPr="009015B3">
        <w:rPr>
          <w:b/>
        </w:rPr>
        <w:t>25/1/13</w:t>
      </w:r>
      <w:r>
        <w:t>)</w:t>
      </w:r>
    </w:p>
    <w:p w:rsidR="00817E23" w:rsidRPr="00817E23" w:rsidRDefault="00817E23" w:rsidP="00387350">
      <w:pPr>
        <w:pStyle w:val="NormalWeb"/>
        <w:jc w:val="both"/>
      </w:pPr>
      <w:r>
        <w:lastRenderedPageBreak/>
        <w:t xml:space="preserve">“John </w:t>
      </w:r>
      <w:r w:rsidRPr="00817E23">
        <w:t>Kay, que fue catedrático de la London Business School y la Universidad de Oxford y que actualmente es profesor visitante en la primera, comienza recordando las buenas condiciones en las que vino al mundo.</w:t>
      </w:r>
    </w:p>
    <w:p w:rsidR="00817E23" w:rsidRPr="00817E23" w:rsidRDefault="00817E23" w:rsidP="00387350">
      <w:pPr>
        <w:pStyle w:val="NormalWeb"/>
        <w:jc w:val="both"/>
      </w:pPr>
      <w:r w:rsidRPr="00817E23">
        <w:t xml:space="preserve">Y es que acabada la II Guerra Mundial y la austeridad de posguerra, </w:t>
      </w:r>
      <w:r w:rsidRPr="00817E23">
        <w:rPr>
          <w:bCs/>
        </w:rPr>
        <w:t>el Gobierno pagó sus estudios, enseguida encontró un empleo del que prácticamente era imposible que le echaran y después contó con un generoso sistema de pensiones y otros beneficios. Además, recuerda que adquirió una vivienda mediante una hipoteca que desapareció por el efecto de la inflación al tiempo que los impuestos fueron bajando</w:t>
      </w:r>
      <w:r w:rsidRPr="00817E23">
        <w:t>.</w:t>
      </w:r>
    </w:p>
    <w:p w:rsidR="00817E23" w:rsidRPr="00817E23" w:rsidRDefault="00817E23" w:rsidP="00387350">
      <w:pPr>
        <w:pStyle w:val="NormalWeb"/>
        <w:jc w:val="both"/>
      </w:pPr>
      <w:r w:rsidRPr="00817E23">
        <w:t xml:space="preserve">Kay, que también es columnista del </w:t>
      </w:r>
      <w:r w:rsidRPr="00817E23">
        <w:rPr>
          <w:i/>
          <w:iCs/>
        </w:rPr>
        <w:t>Financial Times</w:t>
      </w:r>
      <w:r w:rsidRPr="00817E23">
        <w:t xml:space="preserve">, compara esa situación con la de las nuevas generaciones: tasas universitarias y coste de la vida creciente junto con un mercado laboral mucho más competitivo, con mucha menor seguridad laboral para la clase media y con pensiones menos generosas. Además </w:t>
      </w:r>
      <w:r>
        <w:t>de impuestos que suben y suben “</w:t>
      </w:r>
      <w:r w:rsidRPr="00817E23">
        <w:t>en parte para el cuidado y el tratamiento qu</w:t>
      </w:r>
      <w:r>
        <w:t>e yo demandaré”, explica Kay, que añade que “</w:t>
      </w:r>
      <w:r w:rsidRPr="00817E23">
        <w:t>el único consuelo financiero para las siguientes generaciones es q</w:t>
      </w:r>
      <w:r>
        <w:t>ue les dejaremos nuestras casas”</w:t>
      </w:r>
      <w:r w:rsidRPr="00817E23">
        <w:t>.</w:t>
      </w:r>
    </w:p>
    <w:p w:rsidR="00817E23" w:rsidRDefault="00817E23" w:rsidP="00387350">
      <w:pPr>
        <w:pStyle w:val="NormalWeb"/>
        <w:jc w:val="both"/>
      </w:pPr>
      <w:r w:rsidRPr="00817E23">
        <w:t xml:space="preserve">El economista defiende que los jóvenes están aceptando esto con pocas objeciones a pesar de las protestas que ha habido. Por el contrario, </w:t>
      </w:r>
      <w:r>
        <w:rPr>
          <w:bCs/>
        </w:rPr>
        <w:t>“</w:t>
      </w:r>
      <w:r w:rsidRPr="00817E23">
        <w:rPr>
          <w:bCs/>
        </w:rPr>
        <w:t>en 1968 marchamos para cambiar el mundo. Pero fallamos. Mis contemporáneos cambiaron sus ropas y comenzaron a trabajar en banca de inversión. Entonces, presidieron y se beneficiaron del mayor</w:t>
      </w:r>
      <w:r>
        <w:rPr>
          <w:bCs/>
        </w:rPr>
        <w:t xml:space="preserve"> mercado alcista de la historia”</w:t>
      </w:r>
      <w:r>
        <w:t xml:space="preserve">… </w:t>
      </w:r>
      <w:r>
        <w:rPr>
          <w:u w:val="single"/>
        </w:rPr>
        <w:t>“</w:t>
      </w:r>
      <w:r w:rsidRPr="009015B3">
        <w:rPr>
          <w:u w:val="single"/>
        </w:rPr>
        <w:t>El único consuelo para las nuevas generaciones es</w:t>
      </w:r>
      <w:r>
        <w:rPr>
          <w:u w:val="single"/>
        </w:rPr>
        <w:t xml:space="preserve"> que les vamos a dejar una casa”</w:t>
      </w:r>
      <w:r w:rsidRPr="009015B3">
        <w:rPr>
          <w:u w:val="single"/>
        </w:rPr>
        <w:t xml:space="preserve"> </w:t>
      </w:r>
      <w:r>
        <w:t xml:space="preserve">(El Economista - </w:t>
      </w:r>
      <w:r w:rsidRPr="009015B3">
        <w:rPr>
          <w:b/>
        </w:rPr>
        <w:t>28/3/12</w:t>
      </w:r>
      <w:r>
        <w:t>)</w:t>
      </w:r>
    </w:p>
    <w:p w:rsidR="00817E23" w:rsidRDefault="00817E23" w:rsidP="00387350">
      <w:pPr>
        <w:pStyle w:val="NormalWeb"/>
        <w:jc w:val="both"/>
      </w:pPr>
      <w:r w:rsidRPr="00817E23">
        <w:rPr>
          <w:u w:val="single"/>
        </w:rPr>
        <w:t>Comportamiento del empleo en la zona euro por países</w:t>
      </w:r>
      <w:r>
        <w:t xml:space="preserve"> (Fuente: Expansión - </w:t>
      </w:r>
      <w:r w:rsidRPr="001A4F8C">
        <w:rPr>
          <w:b/>
        </w:rPr>
        <w:t>1/3/13</w:t>
      </w:r>
      <w:r w:rsidRPr="00817E23">
        <w:t xml:space="preserve">) </w:t>
      </w:r>
    </w:p>
    <w:p w:rsidR="00817E23" w:rsidRDefault="00817E23" w:rsidP="00387350">
      <w:pPr>
        <w:pStyle w:val="NormalWeb"/>
        <w:jc w:val="both"/>
      </w:pPr>
      <w:r>
        <w:rPr>
          <w:rFonts w:ascii="Georgia" w:hAnsi="Georgia"/>
          <w:noProof/>
          <w:sz w:val="18"/>
          <w:szCs w:val="18"/>
        </w:rPr>
        <w:drawing>
          <wp:inline distT="0" distB="0" distL="0" distR="0" wp14:anchorId="055D061F" wp14:editId="5CC09366">
            <wp:extent cx="5400040" cy="3703229"/>
            <wp:effectExtent l="0" t="0" r="0" b="0"/>
            <wp:docPr id="470" name="Imagen 470" descr="El paro en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paro en España"/>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400040" cy="3703229"/>
                    </a:xfrm>
                    <a:prstGeom prst="rect">
                      <a:avLst/>
                    </a:prstGeom>
                    <a:noFill/>
                    <a:ln>
                      <a:noFill/>
                    </a:ln>
                  </pic:spPr>
                </pic:pic>
              </a:graphicData>
            </a:graphic>
          </wp:inline>
        </w:drawing>
      </w:r>
    </w:p>
    <w:p w:rsidR="00817E23" w:rsidRDefault="00817E23" w:rsidP="00387350">
      <w:pPr>
        <w:pStyle w:val="NormalWeb"/>
        <w:jc w:val="both"/>
      </w:pPr>
      <w:r w:rsidRPr="00642BCC">
        <w:rPr>
          <w:u w:val="single"/>
        </w:rPr>
        <w:t>La crisis dispara la desigualdad</w:t>
      </w:r>
      <w:r>
        <w:rPr>
          <w:u w:val="single"/>
        </w:rPr>
        <w:t xml:space="preserve"> (Fuente: </w:t>
      </w:r>
      <w:r>
        <w:t xml:space="preserve">Vozpópuli.com - </w:t>
      </w:r>
      <w:r w:rsidRPr="00642BCC">
        <w:rPr>
          <w:b/>
        </w:rPr>
        <w:t>14/3/13</w:t>
      </w:r>
      <w:r>
        <w:t>)</w:t>
      </w:r>
    </w:p>
    <w:p w:rsidR="00817E23" w:rsidRDefault="00817E23" w:rsidP="00387350">
      <w:pPr>
        <w:pStyle w:val="NormalWeb"/>
        <w:jc w:val="both"/>
      </w:pPr>
      <w:r>
        <w:rPr>
          <w:noProof/>
          <w:color w:val="0000FF"/>
        </w:rPr>
        <w:lastRenderedPageBreak/>
        <w:drawing>
          <wp:inline distT="0" distB="0" distL="0" distR="0" wp14:anchorId="62E39C79" wp14:editId="50F6C7CA">
            <wp:extent cx="4667250" cy="2719070"/>
            <wp:effectExtent l="0" t="0" r="0" b="5080"/>
            <wp:docPr id="471" name="Imagen 471" descr="http://estatico.vozpopuli.com/upload/Javier_Ruiz/ocde-reduccion-desigualdad.jpg">
              <a:hlinkClick xmlns:a="http://schemas.openxmlformats.org/drawingml/2006/main" r:id="rId298"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vozpopuli.com/upload/Javier_Ruiz/ocde-reduccion-desigualdad.jpg">
                      <a:hlinkClick r:id="rId298" tooltip="&quot;Este enlace se abrirá en una ventana nueva: undefined&quot;"/>
                    </pic:cNvPr>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667250" cy="2719070"/>
                    </a:xfrm>
                    <a:prstGeom prst="rect">
                      <a:avLst/>
                    </a:prstGeom>
                    <a:noFill/>
                    <a:ln>
                      <a:noFill/>
                    </a:ln>
                  </pic:spPr>
                </pic:pic>
              </a:graphicData>
            </a:graphic>
          </wp:inline>
        </w:drawing>
      </w:r>
    </w:p>
    <w:p w:rsidR="00817E23" w:rsidRDefault="00817E23" w:rsidP="00387350">
      <w:pPr>
        <w:pStyle w:val="NormalWeb"/>
        <w:jc w:val="both"/>
      </w:pPr>
      <w:r>
        <w:rPr>
          <w:noProof/>
          <w:color w:val="0000FF"/>
        </w:rPr>
        <w:drawing>
          <wp:inline distT="0" distB="0" distL="0" distR="0" wp14:anchorId="265B7790" wp14:editId="1E06875C">
            <wp:extent cx="4667250" cy="3093085"/>
            <wp:effectExtent l="0" t="0" r="0" b="0"/>
            <wp:docPr id="472" name="Imagen 472" descr="http://estatico.vozpopuli.com/upload/Javier_Ruiz/ocde-politicas-redistributivas.jpg">
              <a:hlinkClick xmlns:a="http://schemas.openxmlformats.org/drawingml/2006/main" r:id="rId300"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statico.vozpopuli.com/upload/Javier_Ruiz/ocde-politicas-redistributivas.jpg">
                      <a:hlinkClick r:id="rId300" tooltip="&quot;Este enlace se abrirá en una ventana nueva: undefined&quot;"/>
                    </pic:cNvPr>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667250" cy="3093085"/>
                    </a:xfrm>
                    <a:prstGeom prst="rect">
                      <a:avLst/>
                    </a:prstGeom>
                    <a:noFill/>
                    <a:ln>
                      <a:noFill/>
                    </a:ln>
                  </pic:spPr>
                </pic:pic>
              </a:graphicData>
            </a:graphic>
          </wp:inline>
        </w:drawing>
      </w:r>
    </w:p>
    <w:p w:rsidR="00817E23" w:rsidRPr="00817E23" w:rsidRDefault="00817E23" w:rsidP="00387350">
      <w:pPr>
        <w:pStyle w:val="NormalWeb"/>
        <w:jc w:val="both"/>
      </w:pPr>
      <w:r w:rsidRPr="00817E23">
        <w:rPr>
          <w:u w:val="single"/>
        </w:rPr>
        <w:t>Incremento del paro juvenil desde 2007</w:t>
      </w:r>
      <w:r w:rsidRPr="00817E23">
        <w:t xml:space="preserve"> (Fuente:</w:t>
      </w:r>
      <w:r>
        <w:rPr>
          <w:u w:val="single"/>
        </w:rPr>
        <w:t xml:space="preserve"> </w:t>
      </w:r>
      <w:r w:rsidRPr="00A90B9C">
        <w:t xml:space="preserve">Vozpópuli - </w:t>
      </w:r>
      <w:r w:rsidRPr="00A90B9C">
        <w:rPr>
          <w:b/>
        </w:rPr>
        <w:t>5/4/13</w:t>
      </w:r>
      <w:r w:rsidRPr="00A90B9C">
        <w:t>)</w:t>
      </w:r>
    </w:p>
    <w:p w:rsidR="006812FF" w:rsidRPr="00817E23" w:rsidRDefault="00817E23" w:rsidP="00387350">
      <w:pPr>
        <w:pStyle w:val="NormalWeb"/>
        <w:jc w:val="both"/>
      </w:pPr>
      <w:r w:rsidRPr="00A90B9C">
        <w:rPr>
          <w:noProof/>
        </w:rPr>
        <w:drawing>
          <wp:inline distT="0" distB="0" distL="0" distR="0" wp14:anchorId="7B83A92A" wp14:editId="04FD9ACF">
            <wp:extent cx="4557395" cy="1953260"/>
            <wp:effectExtent l="19050" t="0" r="0" b="0"/>
            <wp:docPr id="20" name="Imagen 20" descr="http://estatico.vozpopuli.com/upload/Javier_Ruiz/ocde-paro-juven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estatico.vozpopuli.com/upload/Javier_Ruiz/ocde-paro-juvenil.jpg"/>
                    <pic:cNvPicPr>
                      <a:picLocks noChangeAspect="1" noChangeArrowheads="1"/>
                    </pic:cNvPicPr>
                  </pic:nvPicPr>
                  <pic:blipFill>
                    <a:blip r:embed="rId302" cstate="print"/>
                    <a:srcRect/>
                    <a:stretch>
                      <a:fillRect/>
                    </a:stretch>
                  </pic:blipFill>
                  <pic:spPr bwMode="auto">
                    <a:xfrm>
                      <a:off x="0" y="0"/>
                      <a:ext cx="4557395" cy="1953260"/>
                    </a:xfrm>
                    <a:prstGeom prst="rect">
                      <a:avLst/>
                    </a:prstGeom>
                    <a:noFill/>
                    <a:ln w="9525">
                      <a:noFill/>
                      <a:miter lim="800000"/>
                      <a:headEnd/>
                      <a:tailEnd/>
                    </a:ln>
                  </pic:spPr>
                </pic:pic>
              </a:graphicData>
            </a:graphic>
          </wp:inline>
        </w:drawing>
      </w:r>
    </w:p>
    <w:p w:rsidR="00C84780" w:rsidRDefault="00C84780" w:rsidP="00387350">
      <w:pPr>
        <w:pStyle w:val="NormalWeb"/>
        <w:spacing w:after="0" w:afterAutospacing="0"/>
        <w:ind w:left="173"/>
        <w:jc w:val="both"/>
      </w:pPr>
      <w:r w:rsidRPr="00A90B9C">
        <w:t>Fuente: OCDE</w:t>
      </w:r>
    </w:p>
    <w:p w:rsidR="00C84780" w:rsidRPr="00C84780" w:rsidRDefault="00C84780" w:rsidP="00387350">
      <w:pPr>
        <w:pStyle w:val="NormalWeb"/>
        <w:jc w:val="both"/>
      </w:pPr>
      <w:r w:rsidRPr="00C84780">
        <w:rPr>
          <w:u w:val="single"/>
        </w:rPr>
        <w:lastRenderedPageBreak/>
        <w:t>Tasa de temporalidad por nivel educativo (% de jóvenes)</w:t>
      </w:r>
      <w:r>
        <w:t xml:space="preserve"> (Fuente: Vozpópuli - </w:t>
      </w:r>
      <w:r w:rsidRPr="00A90B9C">
        <w:rPr>
          <w:b/>
        </w:rPr>
        <w:t>5/4/13</w:t>
      </w:r>
      <w:r>
        <w:t>)</w:t>
      </w:r>
    </w:p>
    <w:p w:rsidR="006812FF" w:rsidRDefault="00C84780" w:rsidP="00387350">
      <w:pPr>
        <w:pStyle w:val="NormalWeb"/>
        <w:jc w:val="both"/>
      </w:pPr>
      <w:r>
        <w:rPr>
          <w:noProof/>
        </w:rPr>
        <w:drawing>
          <wp:inline distT="0" distB="0" distL="0" distR="0" wp14:anchorId="1028B611" wp14:editId="04DD6CDE">
            <wp:extent cx="5396678" cy="2033626"/>
            <wp:effectExtent l="0" t="0" r="0" b="5080"/>
            <wp:docPr id="53" name="Imagen 53" descr="http://estatico.vozpopuli.com/upload/Javier_Ruiz/ocde-precariedadxestud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estatico.vozpopuli.com/upload/Javier_Ruiz/ocde-precariedadxestudios.jpg"/>
                    <pic:cNvPicPr>
                      <a:picLocks noChangeAspect="1" noChangeArrowheads="1"/>
                    </pic:cNvPicPr>
                  </pic:nvPicPr>
                  <pic:blipFill>
                    <a:blip r:embed="rId303" cstate="print"/>
                    <a:srcRect/>
                    <a:stretch>
                      <a:fillRect/>
                    </a:stretch>
                  </pic:blipFill>
                  <pic:spPr bwMode="auto">
                    <a:xfrm>
                      <a:off x="0" y="0"/>
                      <a:ext cx="5400040" cy="2034893"/>
                    </a:xfrm>
                    <a:prstGeom prst="rect">
                      <a:avLst/>
                    </a:prstGeom>
                    <a:noFill/>
                    <a:ln w="9525">
                      <a:noFill/>
                      <a:miter lim="800000"/>
                      <a:headEnd/>
                      <a:tailEnd/>
                    </a:ln>
                  </pic:spPr>
                </pic:pic>
              </a:graphicData>
            </a:graphic>
          </wp:inline>
        </w:drawing>
      </w:r>
    </w:p>
    <w:p w:rsidR="00C84780" w:rsidRDefault="00C84780" w:rsidP="00387350">
      <w:pPr>
        <w:pStyle w:val="NormalWeb"/>
        <w:jc w:val="both"/>
      </w:pPr>
      <w:r>
        <w:t>Fuente: OCDE</w:t>
      </w:r>
    </w:p>
    <w:p w:rsidR="00C84780" w:rsidRPr="00C84780" w:rsidRDefault="00C84780" w:rsidP="00387350">
      <w:pPr>
        <w:spacing w:before="100" w:beforeAutospacing="1" w:after="100" w:afterAutospacing="1" w:line="240" w:lineRule="auto"/>
        <w:jc w:val="both"/>
        <w:rPr>
          <w:rFonts w:ascii="Times New Roman" w:hAnsi="Times New Roman" w:cs="Times New Roman"/>
          <w:sz w:val="24"/>
          <w:szCs w:val="24"/>
        </w:rPr>
      </w:pPr>
      <w:r w:rsidRPr="004B6C1A">
        <w:rPr>
          <w:rFonts w:ascii="Times New Roman" w:hAnsi="Times New Roman" w:cs="Times New Roman"/>
          <w:sz w:val="24"/>
          <w:szCs w:val="24"/>
          <w:u w:val="single"/>
        </w:rPr>
        <w:t>Europa busca fórmulas para emplear a 5,7 millones de jóvenes parados</w:t>
      </w:r>
      <w:r>
        <w:rPr>
          <w:rFonts w:ascii="Times New Roman" w:hAnsi="Times New Roman" w:cs="Times New Roman"/>
          <w:sz w:val="24"/>
          <w:szCs w:val="24"/>
        </w:rPr>
        <w:t xml:space="preserve"> (Fuente: Cinco Días - </w:t>
      </w:r>
      <w:r>
        <w:rPr>
          <w:rFonts w:ascii="Times New Roman" w:hAnsi="Times New Roman" w:cs="Times New Roman"/>
          <w:b/>
          <w:sz w:val="24"/>
          <w:szCs w:val="24"/>
        </w:rPr>
        <w:t>28</w:t>
      </w:r>
      <w:r w:rsidRPr="004B6C1A">
        <w:rPr>
          <w:rFonts w:ascii="Times New Roman" w:hAnsi="Times New Roman" w:cs="Times New Roman"/>
          <w:b/>
          <w:sz w:val="24"/>
          <w:szCs w:val="24"/>
        </w:rPr>
        <w:t>/5/13</w:t>
      </w:r>
      <w:r>
        <w:rPr>
          <w:rFonts w:ascii="Times New Roman" w:hAnsi="Times New Roman" w:cs="Times New Roman"/>
          <w:sz w:val="24"/>
          <w:szCs w:val="24"/>
        </w:rPr>
        <w:t>)</w:t>
      </w:r>
      <w:r w:rsidRPr="004B6C1A">
        <w:rPr>
          <w:rFonts w:ascii="Times New Roman" w:hAnsi="Times New Roman" w:cs="Times New Roman"/>
          <w:sz w:val="24"/>
          <w:szCs w:val="24"/>
        </w:rPr>
        <w:t xml:space="preserve"> </w:t>
      </w:r>
    </w:p>
    <w:p w:rsidR="00C84780" w:rsidRDefault="00C84780" w:rsidP="00387350">
      <w:pPr>
        <w:pStyle w:val="NormalWeb"/>
        <w:jc w:val="both"/>
      </w:pPr>
      <w:r>
        <w:rPr>
          <w:noProof/>
        </w:rPr>
        <w:drawing>
          <wp:inline distT="0" distB="0" distL="0" distR="0" wp14:anchorId="3DA62716" wp14:editId="2A3657CD">
            <wp:extent cx="5391150" cy="2969895"/>
            <wp:effectExtent l="0" t="0" r="0" b="1905"/>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391150" cy="2969895"/>
                    </a:xfrm>
                    <a:prstGeom prst="rect">
                      <a:avLst/>
                    </a:prstGeom>
                    <a:noFill/>
                    <a:ln>
                      <a:noFill/>
                    </a:ln>
                  </pic:spPr>
                </pic:pic>
              </a:graphicData>
            </a:graphic>
          </wp:inline>
        </w:drawing>
      </w:r>
    </w:p>
    <w:p w:rsidR="00C84780" w:rsidRPr="00C84780" w:rsidRDefault="00C84780" w:rsidP="0038735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C84780">
        <w:rPr>
          <w:rFonts w:ascii="Times New Roman" w:hAnsi="Times New Roman" w:cs="Times New Roman"/>
          <w:sz w:val="24"/>
          <w:szCs w:val="24"/>
        </w:rPr>
        <w:t>Ben Bernanke, preside</w:t>
      </w:r>
      <w:r>
        <w:rPr>
          <w:rFonts w:ascii="Times New Roman" w:hAnsi="Times New Roman" w:cs="Times New Roman"/>
          <w:sz w:val="24"/>
          <w:szCs w:val="24"/>
        </w:rPr>
        <w:t>nte de la Reserva Federal de EE</w:t>
      </w:r>
      <w:r w:rsidRPr="00C84780">
        <w:rPr>
          <w:rFonts w:ascii="Times New Roman" w:hAnsi="Times New Roman" w:cs="Times New Roman"/>
          <w:sz w:val="24"/>
          <w:szCs w:val="24"/>
        </w:rPr>
        <w:t>UU (Fed), lamentaba hace una semana que el repunte en Wall Street no sea un reflejo plenamente certero de que las cosas también van mejor en Main Street, la economía real. La Reserva Federal pone una nueva cifra la brecha. Mientras el índice Dow Jones o el S&amp;P 500 han subido más de un 125% tras la recesión, las familias han recuperado solo el 45% de la riqueza perdida durante las crisis.</w:t>
      </w:r>
    </w:p>
    <w:p w:rsidR="00C84780" w:rsidRPr="00C84780" w:rsidRDefault="00C84780" w:rsidP="00387350">
      <w:pPr>
        <w:spacing w:before="100" w:beforeAutospacing="1" w:after="100" w:afterAutospacing="1" w:line="240" w:lineRule="auto"/>
        <w:jc w:val="both"/>
        <w:rPr>
          <w:rFonts w:ascii="Times New Roman" w:hAnsi="Times New Roman" w:cs="Times New Roman"/>
          <w:sz w:val="24"/>
          <w:szCs w:val="24"/>
        </w:rPr>
      </w:pPr>
      <w:r w:rsidRPr="00C84780">
        <w:rPr>
          <w:rFonts w:ascii="Times New Roman" w:hAnsi="Times New Roman" w:cs="Times New Roman"/>
          <w:sz w:val="24"/>
          <w:szCs w:val="24"/>
        </w:rPr>
        <w:t>Es decir, los hogares no han recorrido aún ni la mitad del túnel, de acuerdo con un informe técnico de la Fed de S. Louis, que cifra en 16 billones de dólares la riqueza perdida tras el colapso del mercado financiero y el inmobiliario. Eso, en esencia, significa que el consumidor no puede ejercer aún todo el poder de compra necesario para que la economía se expanda con más vigor.</w:t>
      </w:r>
    </w:p>
    <w:p w:rsidR="00C84780" w:rsidRPr="00C84780" w:rsidRDefault="00C84780" w:rsidP="00387350">
      <w:pPr>
        <w:spacing w:before="100" w:beforeAutospacing="1" w:after="100" w:afterAutospacing="1" w:line="240" w:lineRule="auto"/>
        <w:jc w:val="both"/>
        <w:rPr>
          <w:rFonts w:ascii="Times New Roman" w:hAnsi="Times New Roman" w:cs="Times New Roman"/>
          <w:sz w:val="24"/>
          <w:szCs w:val="24"/>
        </w:rPr>
      </w:pPr>
      <w:r w:rsidRPr="00C84780">
        <w:rPr>
          <w:rFonts w:ascii="Times New Roman" w:hAnsi="Times New Roman" w:cs="Times New Roman"/>
          <w:sz w:val="24"/>
          <w:szCs w:val="24"/>
        </w:rPr>
        <w:lastRenderedPageBreak/>
        <w:t>El indicador de PIB del primer trimestr</w:t>
      </w:r>
      <w:r>
        <w:rPr>
          <w:rFonts w:ascii="Times New Roman" w:hAnsi="Times New Roman" w:cs="Times New Roman"/>
          <w:sz w:val="24"/>
          <w:szCs w:val="24"/>
        </w:rPr>
        <w:t>e lo refleja en gran medida. EE</w:t>
      </w:r>
      <w:r w:rsidRPr="00C84780">
        <w:rPr>
          <w:rFonts w:ascii="Times New Roman" w:hAnsi="Times New Roman" w:cs="Times New Roman"/>
          <w:sz w:val="24"/>
          <w:szCs w:val="24"/>
        </w:rPr>
        <w:t>UU creció al inicio del año a una tasa anualizada del 2,4%, por debajo de su potencial. El consumo privado alimenta dos terceras partes del crecimiento. Sin embargo, el análisis sí señala que buena parte de la riqueza recuperada desde la primavera de 2009 se atribuye a la buena marcha de Wall Street.</w:t>
      </w:r>
    </w:p>
    <w:p w:rsidR="00C84780" w:rsidRDefault="00C84780" w:rsidP="00387350">
      <w:pPr>
        <w:spacing w:before="100" w:beforeAutospacing="1" w:after="100" w:afterAutospacing="1" w:line="240" w:lineRule="auto"/>
        <w:jc w:val="both"/>
        <w:rPr>
          <w:rFonts w:ascii="Times New Roman" w:hAnsi="Times New Roman" w:cs="Times New Roman"/>
          <w:sz w:val="24"/>
          <w:szCs w:val="24"/>
        </w:rPr>
      </w:pPr>
      <w:r w:rsidRPr="00C84780">
        <w:rPr>
          <w:rFonts w:ascii="Times New Roman" w:hAnsi="Times New Roman" w:cs="Times New Roman"/>
          <w:sz w:val="24"/>
          <w:szCs w:val="24"/>
        </w:rPr>
        <w:t>Eso no quiere de</w:t>
      </w:r>
      <w:r>
        <w:rPr>
          <w:rFonts w:ascii="Times New Roman" w:hAnsi="Times New Roman" w:cs="Times New Roman"/>
          <w:sz w:val="24"/>
          <w:szCs w:val="24"/>
        </w:rPr>
        <w:t>cir que todos los hogares en EE</w:t>
      </w:r>
      <w:r w:rsidRPr="00C84780">
        <w:rPr>
          <w:rFonts w:ascii="Times New Roman" w:hAnsi="Times New Roman" w:cs="Times New Roman"/>
          <w:sz w:val="24"/>
          <w:szCs w:val="24"/>
        </w:rPr>
        <w:t>UU se estén beneficiando por igual del récord tras récord que marchan las índices bursátiles: es cosa de las familias más ricas, mientras que los jóvenes y las comunidades negras e hispanas siguen sufriendo. Por eso, señalan los relatores, “no se justifica” decir que el daño de la crisis y de la recesión esté plenamente reparado</w:t>
      </w:r>
      <w:r>
        <w:rPr>
          <w:rFonts w:ascii="Times New Roman" w:hAnsi="Times New Roman" w:cs="Times New Roman"/>
          <w:sz w:val="24"/>
          <w:szCs w:val="24"/>
        </w:rPr>
        <w:t>”..</w:t>
      </w:r>
      <w:r w:rsidRPr="00C84780">
        <w:rPr>
          <w:rFonts w:ascii="Times New Roman" w:hAnsi="Times New Roman" w:cs="Times New Roman"/>
          <w:sz w:val="24"/>
          <w:szCs w:val="24"/>
        </w:rPr>
        <w:t>.</w:t>
      </w:r>
      <w:r>
        <w:rPr>
          <w:rFonts w:ascii="Times New Roman" w:hAnsi="Times New Roman" w:cs="Times New Roman"/>
          <w:sz w:val="24"/>
          <w:szCs w:val="24"/>
        </w:rPr>
        <w:t xml:space="preserve"> </w:t>
      </w:r>
      <w:r w:rsidRPr="007B34C8">
        <w:rPr>
          <w:rFonts w:ascii="Times New Roman" w:hAnsi="Times New Roman" w:cs="Times New Roman"/>
          <w:sz w:val="24"/>
          <w:szCs w:val="24"/>
          <w:u w:val="single"/>
        </w:rPr>
        <w:t>Los hogares estadounidenses siguen a la mitad del túnel</w:t>
      </w:r>
      <w:r>
        <w:rPr>
          <w:rFonts w:ascii="Times New Roman" w:hAnsi="Times New Roman" w:cs="Times New Roman"/>
          <w:sz w:val="24"/>
          <w:szCs w:val="24"/>
        </w:rPr>
        <w:t xml:space="preserve"> (El País - </w:t>
      </w:r>
      <w:r w:rsidRPr="007B34C8">
        <w:rPr>
          <w:rFonts w:ascii="Times New Roman" w:hAnsi="Times New Roman" w:cs="Times New Roman"/>
          <w:b/>
          <w:sz w:val="24"/>
          <w:szCs w:val="24"/>
        </w:rPr>
        <w:t>31/5/13</w:t>
      </w:r>
      <w:r>
        <w:rPr>
          <w:rFonts w:ascii="Times New Roman" w:hAnsi="Times New Roman" w:cs="Times New Roman"/>
          <w:sz w:val="24"/>
          <w:szCs w:val="24"/>
        </w:rPr>
        <w:t>)</w:t>
      </w:r>
    </w:p>
    <w:p w:rsidR="00C84780" w:rsidRDefault="00DB417C" w:rsidP="00387350">
      <w:pPr>
        <w:pStyle w:val="NormalWeb"/>
        <w:jc w:val="both"/>
      </w:pPr>
      <w:r>
        <w:t>“</w:t>
      </w:r>
      <w:r w:rsidRPr="00DB417C">
        <w:t xml:space="preserve">Un total de </w:t>
      </w:r>
      <w:r w:rsidRPr="00DB417C">
        <w:rPr>
          <w:rStyle w:val="Textoennegrita"/>
        </w:rPr>
        <w:t>diez países del Viejo Continente</w:t>
      </w:r>
      <w:r w:rsidRPr="00DB417C">
        <w:t xml:space="preserve"> carecen de SMI y, además de contar con un </w:t>
      </w:r>
      <w:r w:rsidRPr="00DB417C">
        <w:rPr>
          <w:rStyle w:val="Textoennegrita"/>
        </w:rPr>
        <w:t>salario medio mucho más alt</w:t>
      </w:r>
      <w:r w:rsidRPr="00DB417C">
        <w:t xml:space="preserve">o que el español, gozan de una </w:t>
      </w:r>
      <w:r w:rsidRPr="00DB417C">
        <w:rPr>
          <w:rStyle w:val="Textoennegrita"/>
        </w:rPr>
        <w:t>tasa de paro muy inferior</w:t>
      </w:r>
      <w:r w:rsidRPr="00DB417C">
        <w:t xml:space="preserve"> a la nacional: en </w:t>
      </w:r>
      <w:r w:rsidRPr="00DB417C">
        <w:rPr>
          <w:rStyle w:val="Textoennegrita"/>
        </w:rPr>
        <w:t>Suiza</w:t>
      </w:r>
      <w:r w:rsidRPr="00DB417C">
        <w:t xml:space="preserve">, el sueldo medio ronda los 4.500 euros al mes, mientras que el paro apenas ronda el 3,2%; en </w:t>
      </w:r>
      <w:r w:rsidRPr="00DB417C">
        <w:rPr>
          <w:rStyle w:val="Textoennegrita"/>
        </w:rPr>
        <w:t>Noruega</w:t>
      </w:r>
      <w:r w:rsidRPr="00DB417C">
        <w:t xml:space="preserve">, 3.644 euros al mes y 3,7% de paro; </w:t>
      </w:r>
      <w:r w:rsidRPr="00DB417C">
        <w:rPr>
          <w:rStyle w:val="Textoennegrita"/>
        </w:rPr>
        <w:t>Dinamarca</w:t>
      </w:r>
      <w:r w:rsidRPr="00DB417C">
        <w:t xml:space="preserve">, 3.572 euros y tasa del 7%; </w:t>
      </w:r>
      <w:r w:rsidRPr="00DB417C">
        <w:rPr>
          <w:rStyle w:val="Textoennegrita"/>
        </w:rPr>
        <w:t>Finlandia</w:t>
      </w:r>
      <w:r w:rsidRPr="00DB417C">
        <w:t xml:space="preserve">: 2.459 euros, 8,2%; </w:t>
      </w:r>
      <w:r w:rsidRPr="00DB417C">
        <w:rPr>
          <w:rStyle w:val="Textoennegrita"/>
        </w:rPr>
        <w:t>Alemania</w:t>
      </w:r>
      <w:r w:rsidRPr="00DB417C">
        <w:t xml:space="preserve">: 2.421 al mes y 5,4% de desempleo; </w:t>
      </w:r>
      <w:r w:rsidRPr="00DB417C">
        <w:rPr>
          <w:rStyle w:val="Textoennegrita"/>
        </w:rPr>
        <w:t>Suecia</w:t>
      </w:r>
      <w:r w:rsidRPr="00DB417C">
        <w:t xml:space="preserve">: 2.382 euros y 8,4%; </w:t>
      </w:r>
      <w:r w:rsidRPr="00DB417C">
        <w:rPr>
          <w:rStyle w:val="Textoennegrita"/>
        </w:rPr>
        <w:t>Austria</w:t>
      </w:r>
      <w:r w:rsidRPr="00DB417C">
        <w:t xml:space="preserve">: 2.056 euros y 4,9%; </w:t>
      </w:r>
      <w:r w:rsidRPr="00DB417C">
        <w:rPr>
          <w:rStyle w:val="Textoennegrita"/>
        </w:rPr>
        <w:t>Islandia</w:t>
      </w:r>
      <w:r w:rsidRPr="00DB417C">
        <w:t xml:space="preserve">, 2.000 euros al mes y 5,6%; </w:t>
      </w:r>
      <w:r w:rsidRPr="00DB417C">
        <w:rPr>
          <w:rStyle w:val="Textoennegrita"/>
        </w:rPr>
        <w:t>Italia</w:t>
      </w:r>
      <w:r w:rsidRPr="00DB417C">
        <w:t xml:space="preserve">, 1.898 euros y 12%; y </w:t>
      </w:r>
      <w:r w:rsidRPr="00DB417C">
        <w:rPr>
          <w:rStyle w:val="Textoennegrita"/>
        </w:rPr>
        <w:t>Chipre,</w:t>
      </w:r>
      <w:r w:rsidRPr="00DB417C">
        <w:t xml:space="preserve"> con 1.657 euros al mes y un paro del 15,6%</w:t>
      </w:r>
      <w:r>
        <w:t>”..</w:t>
      </w:r>
      <w:r w:rsidRPr="00DB417C">
        <w:t>.</w:t>
      </w:r>
      <w:r>
        <w:t xml:space="preserve"> </w:t>
      </w:r>
      <w:r w:rsidRPr="001F1E9B">
        <w:rPr>
          <w:u w:val="single"/>
        </w:rPr>
        <w:t>Los países sin salario mínimo pagan 1.000 euros más al mes que España</w:t>
      </w:r>
      <w:r>
        <w:t xml:space="preserve"> (Libertad Digital - </w:t>
      </w:r>
      <w:r w:rsidRPr="001F1E9B">
        <w:rPr>
          <w:b/>
        </w:rPr>
        <w:t>1/6/13</w:t>
      </w:r>
      <w:r>
        <w:t>)</w:t>
      </w:r>
    </w:p>
    <w:p w:rsidR="00C84780" w:rsidRPr="00C84780" w:rsidRDefault="00C84780" w:rsidP="00387350">
      <w:pPr>
        <w:pStyle w:val="Ttulo2"/>
        <w:spacing w:line="240" w:lineRule="auto"/>
        <w:jc w:val="both"/>
        <w:rPr>
          <w:rFonts w:ascii="Times New Roman" w:hAnsi="Times New Roman" w:cs="Times New Roman"/>
          <w:b w:val="0"/>
          <w:color w:val="auto"/>
          <w:sz w:val="24"/>
          <w:szCs w:val="24"/>
        </w:rPr>
      </w:pPr>
      <w:r w:rsidRPr="00C84780">
        <w:rPr>
          <w:rFonts w:ascii="Times New Roman" w:hAnsi="Times New Roman" w:cs="Times New Roman"/>
          <w:b w:val="0"/>
          <w:color w:val="auto"/>
          <w:sz w:val="24"/>
          <w:szCs w:val="24"/>
          <w:u w:val="single"/>
        </w:rPr>
        <w:t>S</w:t>
      </w:r>
      <w:r>
        <w:rPr>
          <w:rFonts w:ascii="Times New Roman" w:hAnsi="Times New Roman" w:cs="Times New Roman"/>
          <w:b w:val="0"/>
          <w:color w:val="auto"/>
          <w:sz w:val="24"/>
          <w:szCs w:val="24"/>
          <w:u w:val="single"/>
        </w:rPr>
        <w:t xml:space="preserve">alario mínimo en </w:t>
      </w:r>
      <w:r w:rsidRPr="00C84780">
        <w:rPr>
          <w:rFonts w:ascii="Times New Roman" w:hAnsi="Times New Roman" w:cs="Times New Roman"/>
          <w:b w:val="0"/>
          <w:color w:val="auto"/>
          <w:sz w:val="24"/>
          <w:szCs w:val="24"/>
          <w:u w:val="single"/>
        </w:rPr>
        <w:t>la U</w:t>
      </w:r>
      <w:r>
        <w:rPr>
          <w:rFonts w:ascii="Times New Roman" w:hAnsi="Times New Roman" w:cs="Times New Roman"/>
          <w:b w:val="0"/>
          <w:color w:val="auto"/>
          <w:sz w:val="24"/>
          <w:szCs w:val="24"/>
          <w:u w:val="single"/>
        </w:rPr>
        <w:t xml:space="preserve">nión </w:t>
      </w:r>
      <w:r w:rsidRPr="00C84780">
        <w:rPr>
          <w:rFonts w:ascii="Times New Roman" w:hAnsi="Times New Roman" w:cs="Times New Roman"/>
          <w:b w:val="0"/>
          <w:color w:val="auto"/>
          <w:sz w:val="24"/>
          <w:szCs w:val="24"/>
          <w:u w:val="single"/>
        </w:rPr>
        <w:t>E</w:t>
      </w:r>
      <w:r>
        <w:rPr>
          <w:rFonts w:ascii="Times New Roman" w:hAnsi="Times New Roman" w:cs="Times New Roman"/>
          <w:b w:val="0"/>
          <w:color w:val="auto"/>
          <w:sz w:val="24"/>
          <w:szCs w:val="24"/>
          <w:u w:val="single"/>
        </w:rPr>
        <w:t>uropea</w:t>
      </w:r>
      <w:r>
        <w:rPr>
          <w:rFonts w:ascii="Times New Roman" w:hAnsi="Times New Roman" w:cs="Times New Roman"/>
          <w:b w:val="0"/>
          <w:color w:val="auto"/>
          <w:sz w:val="24"/>
          <w:szCs w:val="24"/>
        </w:rPr>
        <w:t xml:space="preserve"> (Fuente: </w:t>
      </w:r>
      <w:r w:rsidRPr="00C84780">
        <w:rPr>
          <w:rFonts w:ascii="Times New Roman" w:hAnsi="Times New Roman" w:cs="Times New Roman"/>
          <w:b w:val="0"/>
          <w:color w:val="auto"/>
          <w:sz w:val="24"/>
          <w:szCs w:val="24"/>
        </w:rPr>
        <w:t xml:space="preserve">Libertad Digital - </w:t>
      </w:r>
      <w:r w:rsidRPr="00C84780">
        <w:rPr>
          <w:rFonts w:ascii="Times New Roman" w:hAnsi="Times New Roman" w:cs="Times New Roman"/>
          <w:color w:val="auto"/>
          <w:sz w:val="24"/>
          <w:szCs w:val="24"/>
        </w:rPr>
        <w:t>1/6/13</w:t>
      </w:r>
      <w:r w:rsidRPr="00C84780">
        <w:rPr>
          <w:rFonts w:ascii="Times New Roman" w:hAnsi="Times New Roman" w:cs="Times New Roman"/>
          <w:b w:val="0"/>
          <w:color w:val="auto"/>
          <w:sz w:val="24"/>
          <w:szCs w:val="24"/>
        </w:rPr>
        <w:t>)</w:t>
      </w:r>
    </w:p>
    <w:p w:rsidR="00C84780" w:rsidRPr="00C84780" w:rsidRDefault="00C84780" w:rsidP="00387350">
      <w:pPr>
        <w:spacing w:line="240" w:lineRule="auto"/>
      </w:pPr>
    </w:p>
    <w:p w:rsidR="00C84780" w:rsidRPr="007B34C8" w:rsidRDefault="00C84780" w:rsidP="00387350">
      <w:pPr>
        <w:spacing w:before="100" w:beforeAutospacing="1" w:after="100" w:afterAutospacing="1" w:line="240" w:lineRule="auto"/>
        <w:jc w:val="both"/>
        <w:rPr>
          <w:rFonts w:ascii="Times New Roman" w:hAnsi="Times New Roman" w:cs="Times New Roman"/>
          <w:sz w:val="24"/>
          <w:szCs w:val="24"/>
        </w:rPr>
      </w:pPr>
      <w:r w:rsidRPr="001F1E9B">
        <w:rPr>
          <w:noProof/>
          <w:color w:val="0000FF"/>
          <w:lang w:eastAsia="es-ES"/>
        </w:rPr>
        <w:drawing>
          <wp:inline distT="0" distB="0" distL="0" distR="0" wp14:anchorId="01D32107" wp14:editId="1BA6BCF2">
            <wp:extent cx="5398614" cy="3269894"/>
            <wp:effectExtent l="0" t="0" r="0" b="6985"/>
            <wp:docPr id="474" name="Imagen 474" descr="http://s.libertaddigital.com/fotos/noticias/PABDE2.jpg">
              <a:hlinkClick xmlns:a="http://schemas.openxmlformats.org/drawingml/2006/main" r:id="rId30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ibertaddigital.com/fotos/noticias/PABDE2.jpg">
                      <a:hlinkClick r:id="rId305" tgtFrame="&quot;_blank&quot;"/>
                    </pic:cNvPr>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400040" cy="3270758"/>
                    </a:xfrm>
                    <a:prstGeom prst="rect">
                      <a:avLst/>
                    </a:prstGeom>
                    <a:noFill/>
                    <a:ln>
                      <a:noFill/>
                    </a:ln>
                  </pic:spPr>
                </pic:pic>
              </a:graphicData>
            </a:graphic>
          </wp:inline>
        </w:drawing>
      </w:r>
    </w:p>
    <w:p w:rsidR="00C84780" w:rsidRDefault="00DB417C" w:rsidP="00387350">
      <w:pPr>
        <w:spacing w:before="100" w:beforeAutospacing="1" w:after="100" w:afterAutospacing="1" w:line="240" w:lineRule="auto"/>
        <w:jc w:val="both"/>
        <w:rPr>
          <w:rFonts w:ascii="Times New Roman" w:hAnsi="Times New Roman" w:cs="Times New Roman"/>
          <w:sz w:val="24"/>
          <w:szCs w:val="24"/>
        </w:rPr>
      </w:pPr>
      <w:r>
        <w:rPr>
          <w:noProof/>
          <w:color w:val="0000FF"/>
          <w:lang w:eastAsia="es-ES"/>
        </w:rPr>
        <w:lastRenderedPageBreak/>
        <w:drawing>
          <wp:inline distT="0" distB="0" distL="0" distR="0" wp14:anchorId="66AB5A9E" wp14:editId="56C053E9">
            <wp:extent cx="5383987" cy="3986784"/>
            <wp:effectExtent l="0" t="0" r="7620" b="0"/>
            <wp:docPr id="475" name="Imagen 475" descr="http://s.libertaddigital.com/fotos/noticias/PABDE3.jpg">
              <a:hlinkClick xmlns:a="http://schemas.openxmlformats.org/drawingml/2006/main" r:id="rId30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PABDE3.jpg">
                      <a:hlinkClick r:id="rId307" tgtFrame="&quot;_blank&quot;"/>
                    </pic:cNvPr>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384165" cy="3986916"/>
                    </a:xfrm>
                    <a:prstGeom prst="rect">
                      <a:avLst/>
                    </a:prstGeom>
                    <a:noFill/>
                    <a:ln>
                      <a:noFill/>
                    </a:ln>
                  </pic:spPr>
                </pic:pic>
              </a:graphicData>
            </a:graphic>
          </wp:inline>
        </w:drawing>
      </w:r>
    </w:p>
    <w:p w:rsidR="00AE6D8A" w:rsidRDefault="00AE6D8A" w:rsidP="00387350">
      <w:pPr>
        <w:spacing w:before="100" w:beforeAutospacing="1" w:after="100" w:afterAutospacing="1" w:line="240" w:lineRule="auto"/>
        <w:jc w:val="both"/>
        <w:rPr>
          <w:rFonts w:ascii="Times New Roman" w:hAnsi="Times New Roman" w:cs="Times New Roman"/>
          <w:sz w:val="24"/>
          <w:szCs w:val="24"/>
          <w:u w:val="single"/>
        </w:rPr>
      </w:pPr>
    </w:p>
    <w:p w:rsidR="00DB417C" w:rsidRDefault="00DB417C" w:rsidP="00387350">
      <w:pPr>
        <w:spacing w:before="100" w:beforeAutospacing="1" w:after="100" w:afterAutospacing="1" w:line="240" w:lineRule="auto"/>
        <w:jc w:val="both"/>
        <w:rPr>
          <w:rFonts w:ascii="Times New Roman" w:hAnsi="Times New Roman" w:cs="Times New Roman"/>
          <w:sz w:val="24"/>
          <w:szCs w:val="24"/>
        </w:rPr>
      </w:pPr>
      <w:r w:rsidRPr="00DB417C">
        <w:rPr>
          <w:rFonts w:ascii="Times New Roman" w:hAnsi="Times New Roman" w:cs="Times New Roman"/>
          <w:sz w:val="24"/>
          <w:szCs w:val="24"/>
          <w:u w:val="single"/>
        </w:rPr>
        <w:t>Ratios de desempleo europeo</w:t>
      </w:r>
      <w:r>
        <w:rPr>
          <w:rFonts w:ascii="Times New Roman" w:hAnsi="Times New Roman" w:cs="Times New Roman"/>
          <w:sz w:val="24"/>
          <w:szCs w:val="24"/>
        </w:rPr>
        <w:t xml:space="preserve"> (publicación de junio 2013)</w:t>
      </w:r>
    </w:p>
    <w:p w:rsidR="00DB417C" w:rsidRDefault="00DB417C" w:rsidP="00387350">
      <w:pPr>
        <w:spacing w:before="100" w:beforeAutospacing="1" w:after="100" w:afterAutospacing="1" w:line="240" w:lineRule="auto"/>
        <w:jc w:val="both"/>
        <w:rPr>
          <w:rFonts w:ascii="Times New Roman" w:hAnsi="Times New Roman" w:cs="Times New Roman"/>
          <w:sz w:val="24"/>
          <w:szCs w:val="24"/>
        </w:rPr>
      </w:pPr>
      <w:r>
        <w:rPr>
          <w:noProof/>
          <w:color w:val="0000FF"/>
          <w:lang w:eastAsia="es-ES"/>
        </w:rPr>
        <w:drawing>
          <wp:inline distT="0" distB="0" distL="0" distR="0" wp14:anchorId="2B5FFCCB" wp14:editId="1C71C7D9">
            <wp:extent cx="5383987" cy="2743200"/>
            <wp:effectExtent l="0" t="0" r="7620" b="0"/>
            <wp:docPr id="477" name="Imagen 477" descr="http://s.libertaddigital.com/fotos/noticias/PABDE5.jpg">
              <a:hlinkClick xmlns:a="http://schemas.openxmlformats.org/drawingml/2006/main" r:id="rId30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ibertaddigital.com/fotos/noticias/PABDE5.jpg">
                      <a:hlinkClick r:id="rId309" tgtFrame="&quot;_blank&quot;"/>
                    </pic:cNvPr>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384102" cy="2743259"/>
                    </a:xfrm>
                    <a:prstGeom prst="rect">
                      <a:avLst/>
                    </a:prstGeom>
                    <a:noFill/>
                    <a:ln>
                      <a:noFill/>
                    </a:ln>
                  </pic:spPr>
                </pic:pic>
              </a:graphicData>
            </a:graphic>
          </wp:inline>
        </w:drawing>
      </w:r>
    </w:p>
    <w:p w:rsidR="00AE6D8A" w:rsidRDefault="00AE6D8A" w:rsidP="00387350">
      <w:pPr>
        <w:pStyle w:val="NormalWeb"/>
        <w:jc w:val="both"/>
        <w:rPr>
          <w:u w:val="single"/>
        </w:rPr>
      </w:pPr>
    </w:p>
    <w:p w:rsidR="00AE6D8A" w:rsidRDefault="00AE6D8A" w:rsidP="00387350">
      <w:pPr>
        <w:pStyle w:val="NormalWeb"/>
        <w:jc w:val="both"/>
        <w:rPr>
          <w:u w:val="single"/>
        </w:rPr>
      </w:pPr>
    </w:p>
    <w:p w:rsidR="00AE6D8A" w:rsidRDefault="00AE6D8A" w:rsidP="00387350">
      <w:pPr>
        <w:pStyle w:val="NormalWeb"/>
        <w:jc w:val="both"/>
        <w:rPr>
          <w:u w:val="single"/>
        </w:rPr>
      </w:pPr>
    </w:p>
    <w:p w:rsidR="00AE6D8A" w:rsidRDefault="00AE6D8A" w:rsidP="00387350">
      <w:pPr>
        <w:pStyle w:val="NormalWeb"/>
        <w:jc w:val="both"/>
        <w:rPr>
          <w:u w:val="single"/>
        </w:rPr>
      </w:pPr>
    </w:p>
    <w:p w:rsidR="00DB417C" w:rsidRPr="00DB417C" w:rsidRDefault="00DB417C" w:rsidP="00387350">
      <w:pPr>
        <w:pStyle w:val="NormalWeb"/>
        <w:jc w:val="both"/>
      </w:pPr>
      <w:r w:rsidRPr="00DB417C">
        <w:rPr>
          <w:u w:val="single"/>
        </w:rPr>
        <w:t>La clase media mengua con la crisis</w:t>
      </w:r>
      <w:r>
        <w:rPr>
          <w:u w:val="single"/>
        </w:rPr>
        <w:t xml:space="preserve"> </w:t>
      </w:r>
      <w:r>
        <w:t xml:space="preserve">(Fuente: Vozpópuli - </w:t>
      </w:r>
      <w:r w:rsidRPr="00035C52">
        <w:rPr>
          <w:b/>
        </w:rPr>
        <w:t>5/6/13</w:t>
      </w:r>
      <w:r>
        <w:t>)</w:t>
      </w:r>
    </w:p>
    <w:p w:rsidR="00C84780" w:rsidRDefault="00DB417C" w:rsidP="00387350">
      <w:pPr>
        <w:pStyle w:val="NormalWeb"/>
        <w:jc w:val="both"/>
      </w:pPr>
      <w:r>
        <w:rPr>
          <w:noProof/>
          <w:color w:val="0000FF"/>
        </w:rPr>
        <w:drawing>
          <wp:inline distT="0" distB="0" distL="0" distR="0" wp14:anchorId="540C89FA" wp14:editId="001613DE">
            <wp:extent cx="5398617" cy="2326233"/>
            <wp:effectExtent l="0" t="0" r="0" b="0"/>
            <wp:docPr id="36" name="Imagen 36" descr="http://estatico.vozpopuli.com/upload/Javier_Ruiz/oit-clasemedia.JPG">
              <a:hlinkClick xmlns:a="http://schemas.openxmlformats.org/drawingml/2006/main" r:id="rId311"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vozpopuli.com/upload/Javier_Ruiz/oit-clasemedia.JPG">
                      <a:hlinkClick r:id="rId311" tooltip="&quot;Este enlace se abrirá en una ventana nueva: undefined&quot;"/>
                    </pic:cNvPr>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400040" cy="2326846"/>
                    </a:xfrm>
                    <a:prstGeom prst="rect">
                      <a:avLst/>
                    </a:prstGeom>
                    <a:noFill/>
                    <a:ln>
                      <a:noFill/>
                    </a:ln>
                  </pic:spPr>
                </pic:pic>
              </a:graphicData>
            </a:graphic>
          </wp:inline>
        </w:drawing>
      </w:r>
    </w:p>
    <w:p w:rsidR="00DB417C" w:rsidRDefault="00DB417C" w:rsidP="00387350">
      <w:pPr>
        <w:pStyle w:val="NormalWeb"/>
        <w:jc w:val="both"/>
      </w:pPr>
      <w:r>
        <w:rPr>
          <w:noProof/>
          <w:color w:val="0000FF"/>
        </w:rPr>
        <w:drawing>
          <wp:inline distT="0" distB="0" distL="0" distR="0" wp14:anchorId="6A04C92B" wp14:editId="54A66631">
            <wp:extent cx="5398617" cy="2677363"/>
            <wp:effectExtent l="0" t="0" r="0" b="8890"/>
            <wp:docPr id="37" name="Imagen 37" descr="http://estatico.vozpopuli.com/upload/Javier_Ruiz/oit-desigualdad.jpg">
              <a:hlinkClick xmlns:a="http://schemas.openxmlformats.org/drawingml/2006/main" r:id="rId313"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statico.vozpopuli.com/upload/Javier_Ruiz/oit-desigualdad.jpg">
                      <a:hlinkClick r:id="rId313" tooltip="&quot;Este enlace se abrirá en una ventana nueva: undefined&quot;"/>
                    </pic:cNvPr>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400040" cy="2678069"/>
                    </a:xfrm>
                    <a:prstGeom prst="rect">
                      <a:avLst/>
                    </a:prstGeom>
                    <a:noFill/>
                    <a:ln>
                      <a:noFill/>
                    </a:ln>
                  </pic:spPr>
                </pic:pic>
              </a:graphicData>
            </a:graphic>
          </wp:inline>
        </w:drawing>
      </w:r>
    </w:p>
    <w:p w:rsidR="00DB417C" w:rsidRPr="00DB417C" w:rsidRDefault="00AD4442" w:rsidP="00387350">
      <w:pPr>
        <w:pStyle w:val="NormalWeb"/>
        <w:jc w:val="both"/>
      </w:pPr>
      <w:r>
        <w:t>“</w:t>
      </w:r>
      <w:r w:rsidR="00DB417C" w:rsidRPr="00DB417C">
        <w:t>El desempleo no es único problema</w:t>
      </w:r>
      <w:r w:rsidR="00DB417C">
        <w:t xml:space="preserve"> que arrastra la economía de EE</w:t>
      </w:r>
      <w:r w:rsidR="00DB417C" w:rsidRPr="00DB417C">
        <w:t>UU, que cuatro años después de tocar fondo sigue avanzando con gran dificultad. Los trabajadores están viendo además como el dinero que les llega al bolsillo no es suficiente. La remuneración por hora trabajada cayó un 3,8% en el primer trimestre, en lugar de subir un 1,2% como se dijo en la estimación de hace un mes, lo que supone un descenso récord.</w:t>
      </w:r>
    </w:p>
    <w:p w:rsidR="00DB417C" w:rsidRPr="00DB417C" w:rsidRDefault="00DB417C" w:rsidP="00387350">
      <w:pPr>
        <w:pStyle w:val="NormalWeb"/>
        <w:jc w:val="both"/>
      </w:pPr>
      <w:r w:rsidRPr="00DB417C">
        <w:t>Este descenso de la remuneración es el mayor que se observa en las estadísticas del Departam</w:t>
      </w:r>
      <w:r>
        <w:t>ento de Empleo, desde que en EE</w:t>
      </w:r>
      <w:r w:rsidRPr="00DB417C">
        <w:t xml:space="preserve">UU se empezó a recopilar este dato en 1947. Si se ajusta a la inflación, el golpe fue incluso mayor, del 5,2%. El mayor recorte en las remuneraciones se produjo en el sector manufacturero, del 8,1% </w:t>
      </w:r>
      <w:r w:rsidR="002E6E34" w:rsidRPr="00DB417C">
        <w:t>o</w:t>
      </w:r>
      <w:r w:rsidRPr="00DB417C">
        <w:t xml:space="preserve"> del 9,4% si se tiene en cuenta la evolución de los precios al consumo.</w:t>
      </w:r>
    </w:p>
    <w:p w:rsidR="00AD4442" w:rsidRDefault="00DB417C" w:rsidP="00387350">
      <w:pPr>
        <w:pStyle w:val="NormalWeb"/>
        <w:jc w:val="both"/>
      </w:pPr>
      <w:r w:rsidRPr="00DB417C">
        <w:t xml:space="preserve">Como resultado, el coste laboral por empleado se redujo un 4,3%. Las cifras forman parte del indicador de productividad, que subió un 0,5% en el arranque del año, dos décimas menos de lo anticipado. La productividad en la industria manufacturera fue del </w:t>
      </w:r>
      <w:r w:rsidRPr="00DB417C">
        <w:lastRenderedPageBreak/>
        <w:t>3,5% durante el primer trimestre</w:t>
      </w:r>
      <w:r w:rsidR="00AD4442">
        <w:t>”..</w:t>
      </w:r>
      <w:r w:rsidRPr="00DB417C">
        <w:t>.</w:t>
      </w:r>
      <w:r w:rsidR="00AD4442">
        <w:t xml:space="preserve"> </w:t>
      </w:r>
      <w:r w:rsidR="00AD4442" w:rsidRPr="00AA13EB">
        <w:rPr>
          <w:u w:val="single"/>
        </w:rPr>
        <w:t>Los salarios en Estados Unidos sufren la mayor caída desde 1947</w:t>
      </w:r>
      <w:r w:rsidR="00AD4442">
        <w:t xml:space="preserve"> (El País - </w:t>
      </w:r>
      <w:r w:rsidR="00AD4442" w:rsidRPr="00AA13EB">
        <w:rPr>
          <w:b/>
        </w:rPr>
        <w:t>5/6/13</w:t>
      </w:r>
      <w:r w:rsidR="00AD4442">
        <w:t>)</w:t>
      </w:r>
    </w:p>
    <w:p w:rsidR="00AD4442" w:rsidRDefault="00AD4442" w:rsidP="00387350">
      <w:pPr>
        <w:pStyle w:val="NormalWeb"/>
        <w:jc w:val="both"/>
      </w:pPr>
      <w:r w:rsidRPr="00FD3BC4">
        <w:rPr>
          <w:u w:val="single"/>
        </w:rPr>
        <w:t>Trabaja 60 horas…y cobrarás lo que el CEO de tu empresa gana en una sola</w:t>
      </w:r>
      <w:r>
        <w:t xml:space="preserve"> (Fuente: El Confidencial - </w:t>
      </w:r>
      <w:r w:rsidRPr="00FD3BC4">
        <w:rPr>
          <w:b/>
        </w:rPr>
        <w:t>13/6/13</w:t>
      </w:r>
      <w:r>
        <w:t>)</w:t>
      </w:r>
    </w:p>
    <w:p w:rsidR="00DB417C" w:rsidRDefault="00AD4442" w:rsidP="00387350">
      <w:pPr>
        <w:pStyle w:val="NormalWeb"/>
        <w:jc w:val="both"/>
      </w:pPr>
      <w:r>
        <w:rPr>
          <w:noProof/>
        </w:rPr>
        <w:drawing>
          <wp:inline distT="0" distB="0" distL="0" distR="0" wp14:anchorId="0EAB38AD" wp14:editId="59A9F447">
            <wp:extent cx="5391302" cy="4769511"/>
            <wp:effectExtent l="0" t="0" r="0" b="0"/>
            <wp:docPr id="38" name="Imagen 38" descr="http://www.elconfidencial.com/archivos/ec/2013061333grafico_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lconfidencial.com/archivos/ec/2013061333grafico_amp.jp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400040" cy="4777241"/>
                    </a:xfrm>
                    <a:prstGeom prst="rect">
                      <a:avLst/>
                    </a:prstGeom>
                    <a:noFill/>
                    <a:ln>
                      <a:noFill/>
                    </a:ln>
                  </pic:spPr>
                </pic:pic>
              </a:graphicData>
            </a:graphic>
          </wp:inline>
        </w:drawing>
      </w:r>
    </w:p>
    <w:p w:rsidR="00AD4442" w:rsidRPr="00AD4442" w:rsidRDefault="00AD4442" w:rsidP="0038735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generación “ni-ni”</w:t>
      </w:r>
      <w:r w:rsidRPr="00575783">
        <w:rPr>
          <w:rFonts w:ascii="Times New Roman" w:hAnsi="Times New Roman" w:cs="Times New Roman"/>
          <w:sz w:val="24"/>
          <w:szCs w:val="24"/>
          <w:u w:val="single"/>
        </w:rPr>
        <w:t xml:space="preserve"> está condenada al paro y a cobrar sueldos bajos</w:t>
      </w:r>
      <w:r>
        <w:rPr>
          <w:rFonts w:ascii="Times New Roman" w:hAnsi="Times New Roman" w:cs="Times New Roman"/>
          <w:sz w:val="24"/>
          <w:szCs w:val="24"/>
        </w:rPr>
        <w:t xml:space="preserve"> (Fuente: Libertad Digital - </w:t>
      </w:r>
      <w:r w:rsidRPr="00575783">
        <w:rPr>
          <w:rFonts w:ascii="Times New Roman" w:hAnsi="Times New Roman" w:cs="Times New Roman"/>
          <w:b/>
          <w:sz w:val="24"/>
          <w:szCs w:val="24"/>
        </w:rPr>
        <w:t>27/6/13</w:t>
      </w:r>
      <w:r>
        <w:rPr>
          <w:rFonts w:ascii="Times New Roman" w:hAnsi="Times New Roman" w:cs="Times New Roman"/>
          <w:sz w:val="24"/>
          <w:szCs w:val="24"/>
        </w:rPr>
        <w:t>)</w:t>
      </w:r>
    </w:p>
    <w:p w:rsidR="00AD4442" w:rsidRDefault="00AD4442" w:rsidP="00387350">
      <w:pPr>
        <w:pStyle w:val="NormalWeb"/>
        <w:jc w:val="both"/>
      </w:pPr>
      <w:r>
        <w:rPr>
          <w:noProof/>
          <w:color w:val="0000FF"/>
        </w:rPr>
        <w:drawing>
          <wp:inline distT="0" distB="0" distL="0" distR="0" wp14:anchorId="680D20CE" wp14:editId="5AB076F2">
            <wp:extent cx="4879238" cy="2231136"/>
            <wp:effectExtent l="0" t="0" r="0" b="0"/>
            <wp:docPr id="40" name="Imagen 40" descr="http://s.libertaddigital.com/fotos/noticias/ninis001.jpg">
              <a:hlinkClick xmlns:a="http://schemas.openxmlformats.org/drawingml/2006/main" r:id="rId3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ibertaddigital.com/fotos/noticias/ninis001.jpg">
                      <a:hlinkClick r:id="rId316" tgtFrame="&quot;_blank&quot;"/>
                    </pic:cNvPr>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879294" cy="2231162"/>
                    </a:xfrm>
                    <a:prstGeom prst="rect">
                      <a:avLst/>
                    </a:prstGeom>
                    <a:noFill/>
                    <a:ln>
                      <a:noFill/>
                    </a:ln>
                  </pic:spPr>
                </pic:pic>
              </a:graphicData>
            </a:graphic>
          </wp:inline>
        </w:drawing>
      </w:r>
    </w:p>
    <w:p w:rsidR="00AD4442" w:rsidRDefault="00AD4442" w:rsidP="00387350">
      <w:pPr>
        <w:pStyle w:val="NormalWeb"/>
        <w:jc w:val="both"/>
      </w:pPr>
      <w:r>
        <w:rPr>
          <w:noProof/>
          <w:color w:val="0000FF"/>
        </w:rPr>
        <w:lastRenderedPageBreak/>
        <w:drawing>
          <wp:inline distT="0" distB="0" distL="0" distR="0" wp14:anchorId="3ED00246" wp14:editId="4CF40189">
            <wp:extent cx="4988880" cy="2150669"/>
            <wp:effectExtent l="0" t="0" r="2540" b="2540"/>
            <wp:docPr id="41" name="Imagen 41" descr="http://s.libertaddigital.com/fotos/noticias/ninis002.jpg">
              <a:hlinkClick xmlns:a="http://schemas.openxmlformats.org/drawingml/2006/main" r:id="rId3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ibertaddigital.com/fotos/noticias/ninis002.jpg">
                      <a:hlinkClick r:id="rId318" tgtFrame="&quot;_blank&quot;"/>
                    </pic:cNvPr>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988851" cy="2150656"/>
                    </a:xfrm>
                    <a:prstGeom prst="rect">
                      <a:avLst/>
                    </a:prstGeom>
                    <a:noFill/>
                    <a:ln>
                      <a:noFill/>
                    </a:ln>
                  </pic:spPr>
                </pic:pic>
              </a:graphicData>
            </a:graphic>
          </wp:inline>
        </w:drawing>
      </w:r>
    </w:p>
    <w:p w:rsidR="00AD4442" w:rsidRPr="00AD4442" w:rsidRDefault="00AD4442" w:rsidP="00387350">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AD4442">
        <w:rPr>
          <w:rFonts w:ascii="Times New Roman" w:eastAsia="Times New Roman" w:hAnsi="Times New Roman" w:cs="Times New Roman"/>
          <w:sz w:val="24"/>
          <w:szCs w:val="24"/>
        </w:rPr>
        <w:t xml:space="preserve">Llevan existiendo décadas, pero nunca antes se había hablado tanto de ellos. Los llamados contratos “sin horas” (o </w:t>
      </w:r>
      <w:r w:rsidR="00045FA5">
        <w:rPr>
          <w:rFonts w:ascii="Times New Roman" w:eastAsia="Times New Roman" w:hAnsi="Times New Roman" w:cs="Times New Roman"/>
          <w:sz w:val="24"/>
          <w:szCs w:val="24"/>
        </w:rPr>
        <w:t>“</w:t>
      </w:r>
      <w:r w:rsidRPr="00045FA5">
        <w:rPr>
          <w:rFonts w:ascii="Times New Roman" w:eastAsia="Times New Roman" w:hAnsi="Times New Roman" w:cs="Times New Roman"/>
          <w:iCs/>
          <w:sz w:val="24"/>
          <w:szCs w:val="24"/>
        </w:rPr>
        <w:t>zero-hours contracts</w:t>
      </w:r>
      <w:r w:rsidR="00045FA5">
        <w:rPr>
          <w:rFonts w:ascii="Times New Roman" w:eastAsia="Times New Roman" w:hAnsi="Times New Roman" w:cs="Times New Roman"/>
          <w:iCs/>
          <w:sz w:val="24"/>
          <w:szCs w:val="24"/>
        </w:rPr>
        <w:t>”</w:t>
      </w:r>
      <w:r w:rsidRPr="00AD4442">
        <w:rPr>
          <w:rFonts w:ascii="Times New Roman" w:eastAsia="Times New Roman" w:hAnsi="Times New Roman" w:cs="Times New Roman"/>
          <w:sz w:val="24"/>
          <w:szCs w:val="24"/>
        </w:rPr>
        <w:t xml:space="preserve">) se han convertido en los protagonistas del verano después de que el gobierno británico anunciase el pasado junio la formación de una comisión para investigar </w:t>
      </w:r>
      <w:r w:rsidRPr="00AD4442">
        <w:rPr>
          <w:rFonts w:ascii="Times New Roman" w:eastAsia="Times New Roman" w:hAnsi="Times New Roman" w:cs="Times New Roman"/>
          <w:bCs/>
          <w:sz w:val="24"/>
          <w:szCs w:val="24"/>
        </w:rPr>
        <w:t>si estaban sirviendo de herramientas de explotación laboral</w:t>
      </w:r>
      <w:r w:rsidRPr="00AD4442">
        <w:rPr>
          <w:rFonts w:ascii="Times New Roman" w:eastAsia="Times New Roman" w:hAnsi="Times New Roman" w:cs="Times New Roman"/>
          <w:sz w:val="24"/>
          <w:szCs w:val="24"/>
        </w:rPr>
        <w:t xml:space="preserve">. Al mismo tiempo, medios como </w:t>
      </w:r>
      <w:r w:rsidRPr="00AD4442">
        <w:rPr>
          <w:rFonts w:ascii="Times New Roman" w:eastAsia="Times New Roman" w:hAnsi="Times New Roman" w:cs="Times New Roman"/>
          <w:i/>
          <w:iCs/>
          <w:sz w:val="24"/>
          <w:szCs w:val="24"/>
        </w:rPr>
        <w:t>The Guardian</w:t>
      </w:r>
      <w:r w:rsidRPr="00AD4442">
        <w:rPr>
          <w:rFonts w:ascii="Times New Roman" w:eastAsia="Times New Roman" w:hAnsi="Times New Roman" w:cs="Times New Roman"/>
          <w:sz w:val="24"/>
          <w:szCs w:val="24"/>
        </w:rPr>
        <w:t xml:space="preserve"> o </w:t>
      </w:r>
      <w:r w:rsidRPr="00AD4442">
        <w:rPr>
          <w:rFonts w:ascii="Times New Roman" w:eastAsia="Times New Roman" w:hAnsi="Times New Roman" w:cs="Times New Roman"/>
          <w:i/>
          <w:iCs/>
          <w:sz w:val="24"/>
          <w:szCs w:val="24"/>
        </w:rPr>
        <w:t>The Daily Mail</w:t>
      </w:r>
      <w:r w:rsidRPr="00AD4442">
        <w:rPr>
          <w:rFonts w:ascii="Times New Roman" w:eastAsia="Times New Roman" w:hAnsi="Times New Roman" w:cs="Times New Roman"/>
          <w:sz w:val="24"/>
          <w:szCs w:val="24"/>
        </w:rPr>
        <w:t xml:space="preserve"> han expuesto a la luz pública algunas de las vergüenzas de las grandes compañías relacionadas con este tipo de contratos que se cree puede haber firmado un millón de británicos.</w:t>
      </w:r>
    </w:p>
    <w:p w:rsidR="00AD4442" w:rsidRPr="00AD4442" w:rsidRDefault="00AD4442" w:rsidP="00387350">
      <w:pPr>
        <w:spacing w:before="100" w:beforeAutospacing="1" w:after="100" w:afterAutospacing="1" w:line="240" w:lineRule="auto"/>
        <w:jc w:val="both"/>
        <w:rPr>
          <w:rFonts w:ascii="Times New Roman" w:eastAsia="Times New Roman" w:hAnsi="Times New Roman" w:cs="Times New Roman"/>
          <w:sz w:val="24"/>
          <w:szCs w:val="24"/>
        </w:rPr>
      </w:pPr>
      <w:r w:rsidRPr="00AD4442">
        <w:rPr>
          <w:rFonts w:ascii="Times New Roman" w:eastAsia="Times New Roman" w:hAnsi="Times New Roman" w:cs="Times New Roman"/>
          <w:sz w:val="24"/>
          <w:szCs w:val="24"/>
        </w:rPr>
        <w:t xml:space="preserve">¿En qué consisten los contratos de “cero horas”? Si bien se asemejan a grandes rasgos a los contratos por horas existentes en otros países, puesto que el trabajo se realiza sólo durante breves períodos de tiempo y sin una jornada laboral fija, su funcionamiento es bastante peculiar. Con este tipo de documento, </w:t>
      </w:r>
      <w:r w:rsidRPr="00AD4442">
        <w:rPr>
          <w:rFonts w:ascii="Times New Roman" w:eastAsia="Times New Roman" w:hAnsi="Times New Roman" w:cs="Times New Roman"/>
          <w:bCs/>
          <w:sz w:val="24"/>
          <w:szCs w:val="24"/>
        </w:rPr>
        <w:t>la empresa obliga al trabajador a estar siempre disponible</w:t>
      </w:r>
      <w:r w:rsidRPr="00AD4442">
        <w:rPr>
          <w:rFonts w:ascii="Times New Roman" w:eastAsia="Times New Roman" w:hAnsi="Times New Roman" w:cs="Times New Roman"/>
          <w:sz w:val="24"/>
          <w:szCs w:val="24"/>
        </w:rPr>
        <w:t xml:space="preserve"> ante una eventual llamada de la misma pero, al mismo tiempo, la compañía no tiene ninguna obligación de garantizar al empleado que le proporcionará trabajo con una frecuencia determinada. El trabajador tampoco se encuentra en la obligación de aceptar la propuesta de sus contratantes si así lo desean.</w:t>
      </w:r>
    </w:p>
    <w:p w:rsidR="00AD4442" w:rsidRDefault="00AD4442" w:rsidP="00387350">
      <w:pPr>
        <w:shd w:val="clear" w:color="auto" w:fill="FFFFFF"/>
        <w:spacing w:before="100" w:beforeAutospacing="1" w:after="255" w:line="240" w:lineRule="auto"/>
        <w:jc w:val="both"/>
        <w:rPr>
          <w:rFonts w:ascii="Times New Roman" w:hAnsi="Times New Roman" w:cs="Times New Roman"/>
          <w:sz w:val="24"/>
          <w:szCs w:val="24"/>
        </w:rPr>
      </w:pPr>
      <w:r w:rsidRPr="00AD4442">
        <w:rPr>
          <w:rFonts w:ascii="Times New Roman" w:eastAsia="Times New Roman" w:hAnsi="Times New Roman" w:cs="Times New Roman"/>
          <w:sz w:val="24"/>
          <w:szCs w:val="24"/>
        </w:rPr>
        <w:t>Los problemas de este tipo contrato son evidentes: la inestabilidad económica y personal son altas, y los sueldos percibidos, más bajos. Según señalaba un estudio llevado a cabo por la Resolution Foundation, los empleados con este tipo de contrato cobran de media a la semana 236 libras (unos 273 euros), frente a los 557 que perciben los trabajadores contratados en términos habituales. Una sensible diferencia que se basa en reducir la redundancia, es decir</w:t>
      </w:r>
      <w:r w:rsidRPr="00AD4442">
        <w:rPr>
          <w:rFonts w:ascii="Times New Roman" w:eastAsia="Times New Roman" w:hAnsi="Times New Roman" w:cs="Times New Roman"/>
          <w:bCs/>
          <w:sz w:val="24"/>
          <w:szCs w:val="24"/>
        </w:rPr>
        <w:t>, las horas pagadas en las que el trabajador no tiene nada que hacer</w:t>
      </w:r>
      <w:r w:rsidRPr="00AD4442">
        <w:rPr>
          <w:rFonts w:ascii="Times New Roman" w:eastAsia="Times New Roman" w:hAnsi="Times New Roman" w:cs="Times New Roman"/>
          <w:sz w:val="24"/>
          <w:szCs w:val="24"/>
        </w:rPr>
        <w:t xml:space="preserve"> y, por lo tanto, no son productivas</w:t>
      </w:r>
      <w:r>
        <w:rPr>
          <w:rFonts w:ascii="Times New Roman" w:eastAsia="Times New Roman" w:hAnsi="Times New Roman" w:cs="Times New Roman"/>
          <w:sz w:val="24"/>
          <w:szCs w:val="24"/>
        </w:rPr>
        <w:t>”..</w:t>
      </w:r>
      <w:r w:rsidRPr="00AD444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D17489">
        <w:rPr>
          <w:rFonts w:ascii="Times New Roman" w:hAnsi="Times New Roman" w:cs="Times New Roman"/>
          <w:sz w:val="24"/>
          <w:szCs w:val="24"/>
          <w:u w:val="single"/>
        </w:rPr>
        <w:t>El contrato “sin horas” de las empresas británicas: ¿flexibilidad o esclavitud?</w:t>
      </w:r>
      <w:r>
        <w:rPr>
          <w:rFonts w:ascii="Times New Roman" w:hAnsi="Times New Roman" w:cs="Times New Roman"/>
          <w:sz w:val="24"/>
          <w:szCs w:val="24"/>
        </w:rPr>
        <w:t xml:space="preserve"> (El Confidencia</w:t>
      </w:r>
      <w:r w:rsidR="001C3ABE">
        <w:rPr>
          <w:rFonts w:ascii="Times New Roman" w:hAnsi="Times New Roman" w:cs="Times New Roman"/>
          <w:sz w:val="24"/>
          <w:szCs w:val="24"/>
        </w:rPr>
        <w:t>l</w:t>
      </w:r>
      <w:r>
        <w:rPr>
          <w:rFonts w:ascii="Times New Roman" w:hAnsi="Times New Roman" w:cs="Times New Roman"/>
          <w:sz w:val="24"/>
          <w:szCs w:val="24"/>
        </w:rPr>
        <w:t xml:space="preserve"> - </w:t>
      </w:r>
      <w:r w:rsidRPr="00D17489">
        <w:rPr>
          <w:rFonts w:ascii="Times New Roman" w:hAnsi="Times New Roman" w:cs="Times New Roman"/>
          <w:b/>
          <w:sz w:val="24"/>
          <w:szCs w:val="24"/>
        </w:rPr>
        <w:t>7/8/13</w:t>
      </w:r>
      <w:r>
        <w:rPr>
          <w:rFonts w:ascii="Times New Roman" w:hAnsi="Times New Roman" w:cs="Times New Roman"/>
          <w:sz w:val="24"/>
          <w:szCs w:val="24"/>
        </w:rPr>
        <w:t>)</w:t>
      </w:r>
    </w:p>
    <w:p w:rsidR="00AD4442" w:rsidRPr="00AD4442" w:rsidRDefault="00AD4442" w:rsidP="00387350">
      <w:pPr>
        <w:pStyle w:val="NormalWeb"/>
        <w:jc w:val="both"/>
      </w:pPr>
      <w:r>
        <w:t>“</w:t>
      </w:r>
      <w:r w:rsidRPr="00AD4442">
        <w:t xml:space="preserve">Vivir sin calefacción, renunciar a tener hijos o buscarse un segundo trabajo son algunas de las sugerencias que ofrece la cadena de restaurantes </w:t>
      </w:r>
      <w:r w:rsidR="002E6E34" w:rsidRPr="00AD4442">
        <w:rPr>
          <w:rStyle w:val="Textoennegrita"/>
          <w:b w:val="0"/>
        </w:rPr>
        <w:t>McDonald’s</w:t>
      </w:r>
      <w:r w:rsidRPr="00AD4442">
        <w:t xml:space="preserve"> a quienes tienen dificultades para llegar a final de mes en Estados Unidos. En especial, a los cerca de </w:t>
      </w:r>
      <w:r w:rsidRPr="00AD4442">
        <w:rPr>
          <w:rStyle w:val="Textoennegrita"/>
          <w:b w:val="0"/>
        </w:rPr>
        <w:t>cuatro millones de trabajadores que se apañan con el sueldo mínimo federal, 7,25 dólares la hora (5,4 euros)</w:t>
      </w:r>
      <w:r w:rsidRPr="00AD4442">
        <w:rPr>
          <w:b/>
        </w:rPr>
        <w:t>,</w:t>
      </w:r>
      <w:r w:rsidRPr="00AD4442">
        <w:t xml:space="preserve"> en un país sin seguridad social y donde un seguro médico decente cuesta más de 500 dólares al mes y no cubre infinidad de problemas de salud.</w:t>
      </w:r>
    </w:p>
    <w:p w:rsidR="00AD4442" w:rsidRPr="00AD4442" w:rsidRDefault="00AD4442" w:rsidP="00387350">
      <w:pPr>
        <w:pStyle w:val="NormalWeb"/>
        <w:jc w:val="both"/>
      </w:pPr>
      <w:r w:rsidRPr="00AD4442">
        <w:t>La </w:t>
      </w:r>
      <w:hyperlink r:id="rId320" w:tgtFrame="_blank" w:history="1">
        <w:r w:rsidRPr="00AD4442">
          <w:rPr>
            <w:rStyle w:val="Hipervnculo"/>
            <w:color w:val="auto"/>
            <w:u w:val="none"/>
          </w:rPr>
          <w:t>campaña</w:t>
        </w:r>
      </w:hyperlink>
      <w:r w:rsidR="00AE6D8A">
        <w:t> de ma</w:t>
      </w:r>
      <w:r w:rsidRPr="00AD4442">
        <w:t>rketing para aprender a “vivir en libertad” con un “presupuesto ajustado” se lanzó hace meses, pero en las últimas semanas ha suscitado la ira de miles de internautas y el </w:t>
      </w:r>
      <w:hyperlink r:id="rId321" w:tgtFrame="_blank" w:history="1">
        <w:r w:rsidRPr="00AD4442">
          <w:rPr>
            <w:rStyle w:val="Hipervnculo"/>
            <w:color w:val="auto"/>
            <w:u w:val="none"/>
          </w:rPr>
          <w:t>cachondeo de humoristas</w:t>
        </w:r>
      </w:hyperlink>
      <w:r w:rsidRPr="00AD4442">
        <w:t xml:space="preserve"> y comentaristas. El problema de fondo es </w:t>
      </w:r>
      <w:r w:rsidRPr="00AD4442">
        <w:lastRenderedPageBreak/>
        <w:t xml:space="preserve">que </w:t>
      </w:r>
      <w:r w:rsidRPr="00AD4442">
        <w:rPr>
          <w:rStyle w:val="Textoennegrita"/>
          <w:b w:val="0"/>
        </w:rPr>
        <w:t>los propios trabajadores de la cadena de hamburguesería se cuentan entre quienes malviven</w:t>
      </w:r>
      <w:r w:rsidRPr="00AD4442">
        <w:t xml:space="preserve"> con el salario mínimo, una condición que es motivo de recurrentes </w:t>
      </w:r>
      <w:hyperlink r:id="rId322" w:tgtFrame="_blank" w:history="1">
        <w:r w:rsidRPr="00AD4442">
          <w:rPr>
            <w:rStyle w:val="Hipervnculo"/>
            <w:color w:val="auto"/>
            <w:u w:val="none"/>
          </w:rPr>
          <w:t>huelgas y manifestaciones</w:t>
        </w:r>
      </w:hyperlink>
      <w:r w:rsidRPr="00AD4442">
        <w:t> últimamente</w:t>
      </w:r>
      <w:r>
        <w:t>”..</w:t>
      </w:r>
      <w:r w:rsidRPr="00AD4442">
        <w:t>. </w:t>
      </w:r>
      <w:r>
        <w:rPr>
          <w:bCs/>
          <w:iCs/>
          <w:u w:val="single"/>
        </w:rPr>
        <w:t>La “receta”</w:t>
      </w:r>
      <w:r w:rsidRPr="00BA20F2">
        <w:rPr>
          <w:bCs/>
          <w:iCs/>
          <w:u w:val="single"/>
        </w:rPr>
        <w:t xml:space="preserve"> de </w:t>
      </w:r>
      <w:r w:rsidR="002E6E34" w:rsidRPr="00BA20F2">
        <w:rPr>
          <w:bCs/>
          <w:iCs/>
          <w:u w:val="single"/>
        </w:rPr>
        <w:t>McDonald’s</w:t>
      </w:r>
      <w:r w:rsidRPr="00BA20F2">
        <w:rPr>
          <w:bCs/>
          <w:iCs/>
          <w:u w:val="single"/>
        </w:rPr>
        <w:t>: subsistir con dos trabajos y sin calefacción</w:t>
      </w:r>
      <w:r>
        <w:rPr>
          <w:bCs/>
          <w:iCs/>
        </w:rPr>
        <w:t xml:space="preserve"> (El Confidencial - </w:t>
      </w:r>
      <w:r w:rsidRPr="00BA20F2">
        <w:rPr>
          <w:b/>
          <w:bCs/>
          <w:iCs/>
        </w:rPr>
        <w:t>11/8/13</w:t>
      </w:r>
      <w:r>
        <w:rPr>
          <w:bCs/>
          <w:iCs/>
        </w:rPr>
        <w:t>)</w:t>
      </w:r>
      <w:r w:rsidRPr="00BA20F2">
        <w:rPr>
          <w:bCs/>
          <w:iCs/>
        </w:rPr>
        <w:t> </w:t>
      </w:r>
    </w:p>
    <w:p w:rsidR="00AD4442" w:rsidRDefault="00F44BCD" w:rsidP="00387350">
      <w:pPr>
        <w:pStyle w:val="NormalWeb"/>
        <w:jc w:val="both"/>
        <w:rPr>
          <w:rStyle w:val="articleimage"/>
        </w:rPr>
      </w:pPr>
      <w:r>
        <w:rPr>
          <w:rStyle w:val="articleimage"/>
        </w:rPr>
        <w:t xml:space="preserve">                       </w:t>
      </w:r>
      <w:r w:rsidR="00AD4442">
        <w:rPr>
          <w:noProof/>
        </w:rPr>
        <w:drawing>
          <wp:inline distT="0" distB="0" distL="0" distR="0" wp14:anchorId="47EBB0E6" wp14:editId="37EE3003">
            <wp:extent cx="2903579" cy="2596896"/>
            <wp:effectExtent l="0" t="0" r="0" b="0"/>
            <wp:docPr id="481" name="Imagen 481" descr="http://www.ecestaticos.com/image/clipping/9c61f7eb59b3c134f6ff0b893602050a/uno-de-los-calculos-que-sirven-como-ejemplo-a-mcdonal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clipping/9c61f7eb59b3c134f6ff0b893602050a/uno-de-los-calculos-que-sirven-como-ejemplo-a-mcdonalds.jp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903855" cy="2597143"/>
                    </a:xfrm>
                    <a:prstGeom prst="rect">
                      <a:avLst/>
                    </a:prstGeom>
                    <a:noFill/>
                    <a:ln>
                      <a:noFill/>
                    </a:ln>
                  </pic:spPr>
                </pic:pic>
              </a:graphicData>
            </a:graphic>
          </wp:inline>
        </w:drawing>
      </w:r>
    </w:p>
    <w:p w:rsidR="00AD4442" w:rsidRDefault="00F44BCD" w:rsidP="00387350">
      <w:pPr>
        <w:pStyle w:val="NormalWeb"/>
        <w:jc w:val="both"/>
        <w:rPr>
          <w:rStyle w:val="transparent"/>
          <w:u w:val="single"/>
        </w:rPr>
      </w:pPr>
      <w:r>
        <w:t xml:space="preserve">           </w:t>
      </w:r>
      <w:hyperlink r:id="rId324" w:history="1">
        <w:r w:rsidR="00AD4442" w:rsidRPr="00AD4442">
          <w:rPr>
            <w:rStyle w:val="transparent"/>
            <w:u w:val="single"/>
          </w:rPr>
          <w:t xml:space="preserve">Uno de los cálculos que sirven como ejemplo a </w:t>
        </w:r>
        <w:r w:rsidR="002E6E34" w:rsidRPr="00AD4442">
          <w:rPr>
            <w:rStyle w:val="transparent"/>
            <w:u w:val="single"/>
          </w:rPr>
          <w:t>McDonald’s</w:t>
        </w:r>
      </w:hyperlink>
    </w:p>
    <w:p w:rsidR="00F44BCD" w:rsidRPr="00AD4442" w:rsidRDefault="00F44BCD" w:rsidP="00387350">
      <w:pPr>
        <w:pStyle w:val="NormalWeb"/>
        <w:jc w:val="both"/>
        <w:rPr>
          <w:rStyle w:val="articleimage"/>
        </w:rPr>
      </w:pPr>
      <w:r>
        <w:t>“</w:t>
      </w:r>
      <w:r w:rsidRPr="00F44BCD">
        <w:t>La recuperación económica de Estados Unidos lleva cuatro años, pero el salario de los trabajadores no ha seguido siquiera el ritmo a la inflación. El pago promedio por hora de alguien que no trabaja en el gobierno ni supervisa otros empleados, en términos reales, cayó a US$ 8,77 el mes pasado, frente a US$ 8,85 al final de la recesión, en junio de 2009, según datos del Departamento de Trabajo de EEUU.</w:t>
      </w:r>
      <w:r>
        <w:t xml:space="preserve"> </w:t>
      </w:r>
      <w:r w:rsidRPr="00F44BCD">
        <w:t>El estancamiento salarial erosiona el poder adquisitivo de los consumidores, lo que reduce su capacidad de hacer compras, desde refrigeradores hasta comidas en restaurantes, que representan la mayor parte del crecimiento económico del país”…</w:t>
      </w:r>
      <w:r>
        <w:t xml:space="preserve"> </w:t>
      </w:r>
      <w:r w:rsidRPr="00A37DBA">
        <w:rPr>
          <w:u w:val="single"/>
        </w:rPr>
        <w:t>Los bajos sueld</w:t>
      </w:r>
      <w:r>
        <w:rPr>
          <w:u w:val="single"/>
        </w:rPr>
        <w:t>os limitan el crecimiento de EE</w:t>
      </w:r>
      <w:r w:rsidRPr="00A37DBA">
        <w:rPr>
          <w:u w:val="single"/>
        </w:rPr>
        <w:t>UU</w:t>
      </w:r>
      <w:r>
        <w:t xml:space="preserve"> (The Wall Street Journal - </w:t>
      </w:r>
      <w:r w:rsidRPr="00A37DBA">
        <w:rPr>
          <w:b/>
        </w:rPr>
        <w:t>1/9/13</w:t>
      </w:r>
      <w:r>
        <w:t>)</w:t>
      </w:r>
    </w:p>
    <w:p w:rsidR="00AD4442" w:rsidRPr="00AD4442" w:rsidRDefault="00F44BCD" w:rsidP="00387350">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Arial" w:hAnsi="Arial" w:cs="Arial"/>
          <w:noProof/>
          <w:color w:val="000000"/>
          <w:sz w:val="15"/>
          <w:szCs w:val="15"/>
          <w:lang w:eastAsia="es-ES"/>
        </w:rPr>
        <w:drawing>
          <wp:inline distT="0" distB="0" distL="0" distR="0" wp14:anchorId="47B4AF5E" wp14:editId="79B87F8A">
            <wp:extent cx="3364992" cy="2048256"/>
            <wp:effectExtent l="0" t="0" r="6985" b="9525"/>
            <wp:docPr id="493" name="Imagen 4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364114" cy="2047722"/>
                    </a:xfrm>
                    <a:prstGeom prst="rect">
                      <a:avLst/>
                    </a:prstGeom>
                    <a:noFill/>
                    <a:ln>
                      <a:noFill/>
                    </a:ln>
                  </pic:spPr>
                </pic:pic>
              </a:graphicData>
            </a:graphic>
          </wp:inline>
        </w:drawing>
      </w:r>
    </w:p>
    <w:p w:rsidR="00F44BCD" w:rsidRPr="00F44BCD" w:rsidRDefault="00AE6D8A" w:rsidP="00387350">
      <w:pPr>
        <w:pStyle w:val="NormalWeb"/>
        <w:jc w:val="both"/>
      </w:pPr>
      <w:r>
        <w:t>“</w:t>
      </w:r>
      <w:r w:rsidR="00F44BCD" w:rsidRPr="00F44BCD">
        <w:t xml:space="preserve">Desde hace ya mucho tiempo atrás, se percibe a Estados Unidos como la “tierra de las oportunidades”, la tierra donde los que trabajan fuerte salen adelante. La fe en esta característica fundamental de la identidad nacional de Estados Unidos ha persistido, a pesar de que la desigualdad se ha venido elevando gradualmente durante décadas. Sin embargo, en los últimos años, la tendencia hacia los extremos de los ingresos y la </w:t>
      </w:r>
      <w:r w:rsidR="00F44BCD" w:rsidRPr="00F44BCD">
        <w:lastRenderedPageBreak/>
        <w:t>riqueza se ha acelerado de manera significativa, dicha aceleración sobreviene a consecuencia de los cambios demográficos, el sesgo de la economía en cuanto a las habilidades de las personas, y la política fiscal. La pregunta es: ¿está cerca el colapso del sueño americano?</w:t>
      </w:r>
    </w:p>
    <w:p w:rsidR="00F44BCD" w:rsidRPr="00F44BCD" w:rsidRDefault="00F44BCD" w:rsidP="00387350">
      <w:pPr>
        <w:pStyle w:val="NormalWeb"/>
        <w:jc w:val="both"/>
      </w:pPr>
      <w:r w:rsidRPr="00F44BCD">
        <w:t>Desde el año 1997 al año 2007, la proporción de ingresos que acumulan los hogares estadounidense que se encuentran en el 1% superior de la curva de distribución de ingresos se incrementó en un 13,5 %. Esto es equivalente a desplazar $</w:t>
      </w:r>
      <w:r w:rsidR="00DA4550">
        <w:t xml:space="preserve"> </w:t>
      </w:r>
      <w:r w:rsidRPr="00F44BCD">
        <w:t>1,1 millones de millones de los ingresos totales anuales de los estadouni</w:t>
      </w:r>
      <w:r w:rsidR="00045FA5">
        <w:t>denses hacia dichas familias -</w:t>
      </w:r>
      <w:r w:rsidRPr="00F44BCD">
        <w:t xml:space="preserve"> esta cifra representa más que el total de los ingresos del 40% de los hogares estadounidenses en la parte inferior de dicha curva de distribución…</w:t>
      </w:r>
    </w:p>
    <w:p w:rsidR="00F44BCD" w:rsidRPr="00F44BCD" w:rsidRDefault="00F44BCD" w:rsidP="00387350">
      <w:pPr>
        <w:pStyle w:val="NormalWeb"/>
        <w:jc w:val="both"/>
      </w:pPr>
      <w:r w:rsidRPr="00F44BCD">
        <w:t>En este sentido, las tendencias actuales en Estados Unidos han sido, en gran medida, destructivas. La movilidad económica, por ejemplo, ha disminuido en las últimas décadas, y ahora también es menor en muchos otros países industrializados, como por ejemplo en Canadá, Finlandia, Alemania, Japón y Nueva Zelanda. La posición inicial de un trabajador estadounidense en la distribución del ingreso es altamente predictiva de sus ganancias futuras.</w:t>
      </w:r>
    </w:p>
    <w:p w:rsidR="00F44BCD" w:rsidRDefault="00F44BCD" w:rsidP="00387350">
      <w:pPr>
        <w:pStyle w:val="NormalWeb"/>
        <w:jc w:val="both"/>
      </w:pPr>
      <w:r w:rsidRPr="00F44BCD">
        <w:t>Es más, existe una fuerte correlación intergeneracional del i</w:t>
      </w:r>
      <w:r>
        <w:t>ngreso (cerca al 0,5) en los EEUU</w:t>
      </w:r>
      <w:r w:rsidRPr="00F44BCD">
        <w:t>; es decir, los hijos de padres que ganan un 50% más que el promedio tienen la probabilidad de ganar 25% más que el promedio de su prop</w:t>
      </w:r>
      <w:r>
        <w:t>ia generación. De hecho, los EEUU</w:t>
      </w:r>
      <w:r w:rsidRPr="00F44BCD">
        <w:t xml:space="preserve"> se encuentra ahora aproximadamente en el medio de lista de jerarquización de países </w:t>
      </w:r>
      <w:r>
        <w:t>según oportunidades económicas (ranking of economic opportunity)</w:t>
      </w:r>
      <w:r w:rsidRPr="00F44BCD">
        <w:t xml:space="preserve"> del Banco Mundial, muy por debajo de países como Noruega, Italia, Polonia y Hungría</w:t>
      </w:r>
      <w:r w:rsidR="00AE6D8A">
        <w:t>”</w:t>
      </w:r>
      <w:r>
        <w:t xml:space="preserve">… </w:t>
      </w:r>
      <w:r w:rsidRPr="006C5055">
        <w:rPr>
          <w:u w:val="single"/>
        </w:rPr>
        <w:t>El malogrado sueño americano</w:t>
      </w:r>
      <w:r>
        <w:t xml:space="preserve"> (</w:t>
      </w:r>
      <w:r w:rsidRPr="00DE3724">
        <w:t>Carol Graham</w:t>
      </w:r>
      <w:r>
        <w:t xml:space="preserve"> - Project Syndicate - </w:t>
      </w:r>
      <w:r w:rsidRPr="006C5055">
        <w:rPr>
          <w:b/>
        </w:rPr>
        <w:t>5/9/13</w:t>
      </w:r>
      <w:r>
        <w:t>)</w:t>
      </w:r>
    </w:p>
    <w:p w:rsidR="00F44BCD" w:rsidRPr="00916661" w:rsidRDefault="00F44BCD" w:rsidP="00387350">
      <w:pPr>
        <w:pStyle w:val="NormalWeb"/>
        <w:jc w:val="both"/>
      </w:pPr>
      <w:r w:rsidRPr="00916661">
        <w:rPr>
          <w:u w:val="single"/>
        </w:rPr>
        <w:t>Los Parados de Larga Duración de la Actual Recesió</w:t>
      </w:r>
      <w:r w:rsidR="00916661">
        <w:rPr>
          <w:u w:val="single"/>
        </w:rPr>
        <w:t>n</w:t>
      </w:r>
      <w:r w:rsidR="00916661">
        <w:t xml:space="preserve"> </w:t>
      </w:r>
      <w:r w:rsidRPr="00916661">
        <w:t xml:space="preserve">(Fuente: Fedea - </w:t>
      </w:r>
      <w:r w:rsidRPr="00916661">
        <w:rPr>
          <w:b/>
        </w:rPr>
        <w:t>25/9/13</w:t>
      </w:r>
      <w:r w:rsidRPr="00916661">
        <w:t>)</w:t>
      </w:r>
    </w:p>
    <w:p w:rsidR="003573AE" w:rsidRDefault="00F44BCD" w:rsidP="00387350">
      <w:pPr>
        <w:pStyle w:val="NormalWeb"/>
        <w:jc w:val="both"/>
      </w:pPr>
      <w:r>
        <w:rPr>
          <w:noProof/>
          <w:color w:val="0000FF"/>
        </w:rPr>
        <w:drawing>
          <wp:inline distT="0" distB="0" distL="0" distR="0" wp14:anchorId="3601BB88" wp14:editId="7B84278B">
            <wp:extent cx="5400040" cy="2812635"/>
            <wp:effectExtent l="0" t="0" r="0" b="6985"/>
            <wp:docPr id="515" name="Imagen 515" descr="grafico2">
              <a:hlinkClick xmlns:a="http://schemas.openxmlformats.org/drawingml/2006/main" r:id="rId3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fico2">
                      <a:hlinkClick r:id="rId326"/>
                    </pic:cNvPr>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400040" cy="2812635"/>
                    </a:xfrm>
                    <a:prstGeom prst="rect">
                      <a:avLst/>
                    </a:prstGeom>
                    <a:noFill/>
                    <a:ln>
                      <a:noFill/>
                    </a:ln>
                  </pic:spPr>
                </pic:pic>
              </a:graphicData>
            </a:graphic>
          </wp:inline>
        </w:drawing>
      </w:r>
    </w:p>
    <w:p w:rsidR="003573AE" w:rsidRDefault="003573AE" w:rsidP="00387350">
      <w:pPr>
        <w:pStyle w:val="NormalWeb"/>
        <w:jc w:val="both"/>
      </w:pPr>
      <w:r>
        <w:t xml:space="preserve">Recordemos </w:t>
      </w:r>
      <w:r w:rsidRPr="00916661">
        <w:t>qué entendemos por desempleados de larga duración</w:t>
      </w:r>
      <w:r>
        <w:t xml:space="preserve"> (LTU)</w:t>
      </w:r>
      <w:r w:rsidRPr="00916661">
        <w:t xml:space="preserve">: Son aquellos individuos desempleados que llevan buscando empleo desde hace más de 12 meses. </w:t>
      </w:r>
    </w:p>
    <w:p w:rsidR="00B11B07" w:rsidRDefault="00B11B07" w:rsidP="00387350">
      <w:pPr>
        <w:pStyle w:val="NormalWeb"/>
        <w:jc w:val="both"/>
      </w:pPr>
    </w:p>
    <w:p w:rsidR="00B11B07" w:rsidRPr="00B11B07" w:rsidRDefault="00B11B07" w:rsidP="00387350">
      <w:pPr>
        <w:shd w:val="clear" w:color="auto" w:fill="FFFFFF"/>
        <w:spacing w:before="100" w:beforeAutospacing="1" w:after="100" w:afterAutospacing="1"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“Tinta fresca”: últimos acontecimientos al “cierre” de la edición </w:t>
      </w:r>
      <w:r w:rsidR="00045FA5">
        <w:rPr>
          <w:rFonts w:ascii="Times New Roman" w:hAnsi="Times New Roman" w:cs="Times New Roman"/>
          <w:b/>
          <w:sz w:val="24"/>
          <w:szCs w:val="24"/>
        </w:rPr>
        <w:t>(de hemeroteca 4º Trimestre</w:t>
      </w:r>
      <w:r>
        <w:rPr>
          <w:rFonts w:ascii="Times New Roman" w:hAnsi="Times New Roman" w:cs="Times New Roman"/>
          <w:b/>
          <w:sz w:val="24"/>
          <w:szCs w:val="24"/>
        </w:rPr>
        <w:t xml:space="preserve"> 2013)</w:t>
      </w:r>
    </w:p>
    <w:p w:rsidR="00B11B07" w:rsidRDefault="00B11B07" w:rsidP="0038735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13FDC">
        <w:rPr>
          <w:rFonts w:ascii="Times New Roman" w:hAnsi="Times New Roman" w:cs="Times New Roman"/>
          <w:sz w:val="24"/>
          <w:szCs w:val="24"/>
          <w:u w:val="single"/>
        </w:rPr>
        <w:t>Cómo reducir el paro: la experiencia alemana</w:t>
      </w:r>
      <w:r>
        <w:rPr>
          <w:rFonts w:ascii="Times New Roman" w:hAnsi="Times New Roman" w:cs="Times New Roman"/>
          <w:sz w:val="24"/>
          <w:szCs w:val="24"/>
        </w:rPr>
        <w:t xml:space="preserve"> (El Confidencial - </w:t>
      </w:r>
      <w:r w:rsidRPr="00813FDC">
        <w:rPr>
          <w:rFonts w:ascii="Times New Roman" w:hAnsi="Times New Roman" w:cs="Times New Roman"/>
          <w:b/>
          <w:sz w:val="24"/>
          <w:szCs w:val="24"/>
        </w:rPr>
        <w:t>8/10/13</w:t>
      </w:r>
      <w:r>
        <w:rPr>
          <w:rFonts w:ascii="Times New Roman" w:hAnsi="Times New Roman" w:cs="Times New Roman"/>
          <w:sz w:val="24"/>
          <w:szCs w:val="24"/>
        </w:rPr>
        <w:t>)</w:t>
      </w:r>
    </w:p>
    <w:p w:rsidR="00B11B07" w:rsidRPr="00FC39EA" w:rsidRDefault="00B11B07" w:rsidP="00387350">
      <w:pPr>
        <w:pStyle w:val="NormalWeb"/>
        <w:jc w:val="both"/>
        <w:rPr>
          <w:b/>
        </w:rPr>
      </w:pPr>
      <w:r w:rsidRPr="00FC39EA">
        <w:t xml:space="preserve">Desde 1991 la </w:t>
      </w:r>
      <w:r w:rsidRPr="00B11B07">
        <w:rPr>
          <w:rStyle w:val="Textoennegrita"/>
          <w:b w:val="0"/>
        </w:rPr>
        <w:t>economía alemana ha creado cerca de 3 millones de puestos de trabajo</w:t>
      </w:r>
      <w:r w:rsidRPr="00FC39EA">
        <w:t xml:space="preserve">. Sin embargo, el número de horas trabajadas se ha reducido en 1.967 millones, equivalentes a una </w:t>
      </w:r>
      <w:r w:rsidRPr="00B11B07">
        <w:rPr>
          <w:rStyle w:val="Textoennegrita"/>
          <w:b w:val="0"/>
        </w:rPr>
        <w:t>reducción de 1,16 millones de empleos, a tiempo completo</w:t>
      </w:r>
      <w:r w:rsidRPr="00B11B07">
        <w:t>.</w:t>
      </w:r>
      <w:r>
        <w:rPr>
          <w:b/>
        </w:rPr>
        <w:t xml:space="preserve"> </w:t>
      </w:r>
      <w:r w:rsidRPr="00FC39EA">
        <w:t xml:space="preserve">La explicación es sencilla. El </w:t>
      </w:r>
      <w:r w:rsidRPr="00B11B07">
        <w:rPr>
          <w:rStyle w:val="Textoennegrita"/>
          <w:b w:val="0"/>
        </w:rPr>
        <w:t>empleo a tiempo parcial se ha duplicado</w:t>
      </w:r>
      <w:r w:rsidRPr="00FC39EA">
        <w:rPr>
          <w:b/>
        </w:rPr>
        <w:t xml:space="preserve"> </w:t>
      </w:r>
      <w:r w:rsidRPr="00FC39EA">
        <w:t xml:space="preserve">desde el 14% en 1992 hasta el 26,8% en 2012. En los primeros años de la década de los años dos mil, cuando la economía alemana se hallaba inmersa en una severa crisis del mercado de trabajo, se pusieron en marcha reformas estructurales cuyo objetivo era incentivar a la población a encontrar trabajo, imponiendo </w:t>
      </w:r>
      <w:r w:rsidRPr="00B11B07">
        <w:rPr>
          <w:rStyle w:val="Textoennegrita"/>
          <w:b w:val="0"/>
        </w:rPr>
        <w:t>restricciones al cobro de los subsidios al desempleo y liberalizando el trabajo a tiempo parcial</w:t>
      </w:r>
      <w:r w:rsidRPr="00B11B07">
        <w:rPr>
          <w:b/>
        </w:rPr>
        <w:t xml:space="preserve">, </w:t>
      </w:r>
      <w:r w:rsidRPr="00B11B07">
        <w:rPr>
          <w:rStyle w:val="Textoennegrita"/>
          <w:b w:val="0"/>
        </w:rPr>
        <w:t>unido a la inexistencia de un salario mínimo</w:t>
      </w:r>
      <w:r w:rsidRPr="00B11B07">
        <w:rPr>
          <w:b/>
        </w:rPr>
        <w:t>.</w:t>
      </w:r>
      <w:r w:rsidRPr="00FC39EA">
        <w:t xml:space="preserve"> Adicionalmente, se permitió que por causas de situaciones de crisis coyunturales en las empresas se pudiese acordar una </w:t>
      </w:r>
      <w:r w:rsidRPr="00B11B07">
        <w:rPr>
          <w:rStyle w:val="Textoennegrita"/>
          <w:b w:val="0"/>
        </w:rPr>
        <w:t>reducción de la jornada laboral de los trabajadores a la vez que se realizaba el consiguiente ajuste laboral</w:t>
      </w:r>
      <w:r w:rsidRPr="00B11B07">
        <w:rPr>
          <w:b/>
        </w:rPr>
        <w:t>.</w:t>
      </w:r>
      <w:r w:rsidRPr="00FC39EA">
        <w:t xml:space="preserve"> El </w:t>
      </w:r>
      <w:r w:rsidRPr="00B11B07">
        <w:rPr>
          <w:rStyle w:val="Textoennegrita"/>
          <w:b w:val="0"/>
        </w:rPr>
        <w:t>Estado compensaba</w:t>
      </w:r>
      <w:r w:rsidRPr="00FC39EA">
        <w:t xml:space="preserve"> a los trabajadores por las horas que habían dejado de trabajar.</w:t>
      </w:r>
    </w:p>
    <w:p w:rsidR="00B11B07" w:rsidRPr="00FC39EA" w:rsidRDefault="00B11B07" w:rsidP="00387350">
      <w:pPr>
        <w:pStyle w:val="NormalWeb"/>
        <w:jc w:val="both"/>
      </w:pPr>
      <w:r>
        <w:t xml:space="preserve">                </w:t>
      </w:r>
      <w:r w:rsidRPr="00FC39EA">
        <w:rPr>
          <w:noProof/>
        </w:rPr>
        <w:drawing>
          <wp:inline distT="0" distB="0" distL="0" distR="0" wp14:anchorId="17EE0938" wp14:editId="21E4576D">
            <wp:extent cx="4045305" cy="3408883"/>
            <wp:effectExtent l="0" t="0" r="0" b="1270"/>
            <wp:docPr id="508" name="Imagen 508" descr="Fuente: National Accounts (Eurostats) y CE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ente: National Accounts (Eurostats) y CEOE"/>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045585" cy="3409119"/>
                    </a:xfrm>
                    <a:prstGeom prst="rect">
                      <a:avLst/>
                    </a:prstGeom>
                    <a:noFill/>
                    <a:ln>
                      <a:noFill/>
                    </a:ln>
                  </pic:spPr>
                </pic:pic>
              </a:graphicData>
            </a:graphic>
          </wp:inline>
        </w:drawing>
      </w:r>
    </w:p>
    <w:p w:rsidR="00B11B07" w:rsidRDefault="00B11B07" w:rsidP="00387350">
      <w:pPr>
        <w:pStyle w:val="NormalWeb"/>
        <w:jc w:val="both"/>
      </w:pPr>
      <w:r w:rsidRPr="00FC39EA">
        <w:t xml:space="preserve">A diferencia lo acontecido en España, </w:t>
      </w:r>
      <w:r w:rsidRPr="00B11B07">
        <w:rPr>
          <w:rStyle w:val="Textoennegrita"/>
          <w:b w:val="0"/>
        </w:rPr>
        <w:t>Alemania ha sido capaz de incrementar el número de ocupados en 2,6 millones en los últimos siete años, a pesar de la crisis</w:t>
      </w:r>
      <w:r w:rsidRPr="00B11B07">
        <w:rPr>
          <w:b/>
        </w:rPr>
        <w:t>.</w:t>
      </w:r>
      <w:r w:rsidRPr="00FC39EA">
        <w:t xml:space="preserve"> La reforma laboral germana ha permitido un aumento de los trabajadores con empleo, pese a que el número total de horas trabajadas se haya reducido. Alguno de estos empleos son de pocas horas y con salarios bajos, pero al menos el paro no sólo no ha aumentado, sino que se ha reducido.</w:t>
      </w:r>
    </w:p>
    <w:p w:rsidR="00B11B07" w:rsidRDefault="00B11B07" w:rsidP="00387350">
      <w:pPr>
        <w:pStyle w:val="NormalWeb"/>
        <w:jc w:val="both"/>
      </w:pPr>
    </w:p>
    <w:p w:rsidR="00B11B07" w:rsidRDefault="00B11B07" w:rsidP="00387350">
      <w:pPr>
        <w:pStyle w:val="NormalWeb"/>
        <w:jc w:val="both"/>
      </w:pPr>
    </w:p>
    <w:p w:rsidR="00B11B07" w:rsidRPr="00B11B07" w:rsidRDefault="006D19CB" w:rsidP="00387350">
      <w:pPr>
        <w:spacing w:line="240" w:lineRule="auto"/>
        <w:jc w:val="both"/>
        <w:rPr>
          <w:rFonts w:ascii="Times New Roman" w:hAnsi="Times New Roman" w:cs="Times New Roman"/>
          <w:i/>
          <w:sz w:val="24"/>
          <w:szCs w:val="24"/>
          <w:lang w:val="en-US"/>
        </w:rPr>
      </w:pPr>
      <w:hyperlink r:id="rId329" w:history="1">
        <w:r w:rsidR="00B11B07" w:rsidRPr="00B11B07">
          <w:rPr>
            <w:rStyle w:val="Hipervnculo"/>
            <w:rFonts w:ascii="Times New Roman" w:hAnsi="Times New Roman" w:cs="Times New Roman"/>
            <w:color w:val="auto"/>
            <w:sz w:val="24"/>
            <w:szCs w:val="24"/>
            <w:lang w:val="en-US"/>
          </w:rPr>
          <w:t>World Economic Outlook</w:t>
        </w:r>
      </w:hyperlink>
      <w:r w:rsidR="00B11B07" w:rsidRPr="008B7255">
        <w:rPr>
          <w:rStyle w:val="nfasis"/>
          <w:rFonts w:ascii="Times New Roman" w:hAnsi="Times New Roman" w:cs="Times New Roman"/>
          <w:sz w:val="24"/>
          <w:szCs w:val="24"/>
          <w:lang w:val="en-US"/>
        </w:rPr>
        <w:t xml:space="preserve"> </w:t>
      </w:r>
      <w:r w:rsidR="00B11B07" w:rsidRPr="00B11B07">
        <w:rPr>
          <w:rStyle w:val="nfasis"/>
          <w:rFonts w:ascii="Times New Roman" w:hAnsi="Times New Roman" w:cs="Times New Roman"/>
          <w:i w:val="0"/>
          <w:sz w:val="24"/>
          <w:szCs w:val="24"/>
          <w:lang w:val="en-US"/>
        </w:rPr>
        <w:t>(</w:t>
      </w:r>
      <w:r w:rsidR="00B11B07">
        <w:rPr>
          <w:rStyle w:val="nfasis"/>
          <w:rFonts w:ascii="Times New Roman" w:hAnsi="Times New Roman" w:cs="Times New Roman"/>
          <w:i w:val="0"/>
          <w:sz w:val="24"/>
          <w:szCs w:val="24"/>
          <w:lang w:val="en-US"/>
        </w:rPr>
        <w:t>Fuente</w:t>
      </w:r>
      <w:r w:rsidR="00B11B07" w:rsidRPr="00B11B07">
        <w:rPr>
          <w:rStyle w:val="nfasis"/>
          <w:rFonts w:ascii="Times New Roman" w:hAnsi="Times New Roman" w:cs="Times New Roman"/>
          <w:i w:val="0"/>
          <w:sz w:val="24"/>
          <w:szCs w:val="24"/>
          <w:lang w:val="en-US"/>
        </w:rPr>
        <w:t xml:space="preserve">: FMI - El Confidencial - </w:t>
      </w:r>
      <w:r w:rsidR="00B11B07" w:rsidRPr="00B11B07">
        <w:rPr>
          <w:rStyle w:val="nfasis"/>
          <w:rFonts w:ascii="Times New Roman" w:hAnsi="Times New Roman" w:cs="Times New Roman"/>
          <w:b/>
          <w:i w:val="0"/>
          <w:sz w:val="24"/>
          <w:szCs w:val="24"/>
          <w:lang w:val="en-US"/>
        </w:rPr>
        <w:t>9/10/13</w:t>
      </w:r>
      <w:r w:rsidR="00B11B07" w:rsidRPr="00B11B07">
        <w:rPr>
          <w:rStyle w:val="nfasis"/>
          <w:rFonts w:ascii="Times New Roman" w:hAnsi="Times New Roman" w:cs="Times New Roman"/>
          <w:i w:val="0"/>
          <w:sz w:val="24"/>
          <w:szCs w:val="24"/>
          <w:lang w:val="en-US"/>
        </w:rPr>
        <w:t>)</w:t>
      </w:r>
    </w:p>
    <w:p w:rsidR="00B11B07" w:rsidRDefault="00B11B07" w:rsidP="00387350">
      <w:pPr>
        <w:pStyle w:val="NormalWeb"/>
        <w:jc w:val="both"/>
      </w:pPr>
      <w:r>
        <w:rPr>
          <w:noProof/>
        </w:rPr>
        <w:drawing>
          <wp:inline distT="0" distB="0" distL="0" distR="0" wp14:anchorId="4FFABF46" wp14:editId="6188AFA1">
            <wp:extent cx="5076748" cy="7615123"/>
            <wp:effectExtent l="0" t="0" r="0" b="5080"/>
            <wp:docPr id="509" name="Imagen 509" descr="http://www.ecestaticos.com/file/c18572349b7a59483327a77061b1466f/1381262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file/c18572349b7a59483327a77061b1466f/1381262696.jp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076748" cy="7615123"/>
                    </a:xfrm>
                    <a:prstGeom prst="rect">
                      <a:avLst/>
                    </a:prstGeom>
                    <a:noFill/>
                    <a:ln>
                      <a:noFill/>
                    </a:ln>
                  </pic:spPr>
                </pic:pic>
              </a:graphicData>
            </a:graphic>
          </wp:inline>
        </w:drawing>
      </w:r>
    </w:p>
    <w:p w:rsidR="00B11B07" w:rsidRDefault="00B11B07" w:rsidP="00387350">
      <w:pPr>
        <w:pStyle w:val="NormalWeb"/>
        <w:jc w:val="both"/>
      </w:pPr>
    </w:p>
    <w:p w:rsidR="00B11B07" w:rsidRDefault="00B11B07" w:rsidP="00387350">
      <w:pPr>
        <w:pStyle w:val="NormalWeb"/>
        <w:jc w:val="both"/>
      </w:pPr>
    </w:p>
    <w:p w:rsidR="00B11B07" w:rsidRDefault="00B11B07" w:rsidP="00387350">
      <w:pPr>
        <w:pStyle w:val="NormalWeb"/>
        <w:jc w:val="both"/>
      </w:pPr>
      <w:r w:rsidRPr="008B7255">
        <w:rPr>
          <w:u w:val="single"/>
        </w:rPr>
        <w:lastRenderedPageBreak/>
        <w:t>Previsiones del Fondo Monetario Internacional</w:t>
      </w:r>
      <w:r>
        <w:t xml:space="preserve"> (Fuente: Libertad Digital - </w:t>
      </w:r>
      <w:r w:rsidRPr="00DD26E2">
        <w:rPr>
          <w:b/>
        </w:rPr>
        <w:t>9/10/13</w:t>
      </w:r>
      <w:r>
        <w:t>)</w:t>
      </w:r>
    </w:p>
    <w:p w:rsidR="00B11B07" w:rsidRDefault="00B11B07" w:rsidP="00387350">
      <w:pPr>
        <w:pStyle w:val="NormalWeb"/>
        <w:jc w:val="both"/>
      </w:pPr>
      <w:r>
        <w:rPr>
          <w:noProof/>
          <w:color w:val="0000FF"/>
        </w:rPr>
        <w:drawing>
          <wp:inline distT="0" distB="0" distL="0" distR="0" wp14:anchorId="53C68D1A" wp14:editId="03200194">
            <wp:extent cx="5400040" cy="5174293"/>
            <wp:effectExtent l="0" t="0" r="0" b="7620"/>
            <wp:docPr id="510" name="Imagen 510" descr="http://s.libertaddigital.com/fotos/noticias/PREVFMI.jpg">
              <a:hlinkClick xmlns:a="http://schemas.openxmlformats.org/drawingml/2006/main" r:id="rId33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ibertaddigital.com/fotos/noticias/PREVFMI.jpg">
                      <a:hlinkClick r:id="rId331" tgtFrame="&quot;_blank&quot;"/>
                    </pic:cNvPr>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400040" cy="5174293"/>
                    </a:xfrm>
                    <a:prstGeom prst="rect">
                      <a:avLst/>
                    </a:prstGeom>
                    <a:noFill/>
                    <a:ln>
                      <a:noFill/>
                    </a:ln>
                  </pic:spPr>
                </pic:pic>
              </a:graphicData>
            </a:graphic>
          </wp:inline>
        </w:drawing>
      </w:r>
    </w:p>
    <w:p w:rsidR="00B11B07" w:rsidRPr="00FC39EA" w:rsidRDefault="00B11B07" w:rsidP="00387350">
      <w:pPr>
        <w:pStyle w:val="NormalWeb"/>
        <w:jc w:val="both"/>
      </w:pPr>
      <w:r>
        <w:rPr>
          <w:noProof/>
        </w:rPr>
        <w:drawing>
          <wp:inline distT="0" distB="0" distL="0" distR="0" wp14:anchorId="7DE94A27" wp14:editId="79CEADA2">
            <wp:extent cx="5398617" cy="2794406"/>
            <wp:effectExtent l="0" t="0" r="0" b="635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5398770" cy="2794485"/>
                    </a:xfrm>
                    <a:prstGeom prst="rect">
                      <a:avLst/>
                    </a:prstGeom>
                    <a:noFill/>
                    <a:ln>
                      <a:noFill/>
                    </a:ln>
                  </pic:spPr>
                </pic:pic>
              </a:graphicData>
            </a:graphic>
          </wp:inline>
        </w:drawing>
      </w:r>
    </w:p>
    <w:p w:rsidR="00B11B07" w:rsidRDefault="00B11B07" w:rsidP="00387350">
      <w:pPr>
        <w:spacing w:before="100" w:beforeAutospacing="1" w:after="100" w:afterAutospacing="1" w:line="240" w:lineRule="auto"/>
        <w:jc w:val="both"/>
        <w:rPr>
          <w:rFonts w:ascii="Times New Roman" w:hAnsi="Times New Roman"/>
          <w:b/>
          <w:sz w:val="24"/>
          <w:szCs w:val="24"/>
        </w:rPr>
      </w:pPr>
    </w:p>
    <w:p w:rsidR="00B11B07" w:rsidRDefault="00B11B07" w:rsidP="00387350">
      <w:pPr>
        <w:pStyle w:val="NormalWeb"/>
        <w:jc w:val="both"/>
      </w:pPr>
      <w:r>
        <w:lastRenderedPageBreak/>
        <w:t xml:space="preserve">- </w:t>
      </w:r>
      <w:r w:rsidRPr="00234CA3">
        <w:rPr>
          <w:u w:val="single"/>
        </w:rPr>
        <w:t>La irresistible caída de la participación del trabajo en la renta</w:t>
      </w:r>
      <w:r>
        <w:t xml:space="preserve"> </w:t>
      </w:r>
      <w:r w:rsidRPr="00B11B07">
        <w:t>(</w:t>
      </w:r>
      <w:hyperlink r:id="rId334" w:history="1">
        <w:r w:rsidRPr="00B11B07">
          <w:rPr>
            <w:rStyle w:val="Hipervnculo"/>
            <w:color w:val="auto"/>
            <w:u w:val="none"/>
          </w:rPr>
          <w:t>Samuel Bentolila</w:t>
        </w:r>
      </w:hyperlink>
      <w:r>
        <w:t xml:space="preserve"> -Fedea - </w:t>
      </w:r>
      <w:r w:rsidRPr="00234CA3">
        <w:rPr>
          <w:b/>
        </w:rPr>
        <w:t>15/10/13</w:t>
      </w:r>
      <w:r>
        <w:t>)</w:t>
      </w:r>
    </w:p>
    <w:p w:rsidR="00B11B07" w:rsidRPr="00B11B07" w:rsidRDefault="00B11B07" w:rsidP="00387350">
      <w:pPr>
        <w:pStyle w:val="NormalWeb"/>
        <w:jc w:val="both"/>
      </w:pPr>
      <w:r w:rsidRPr="00DE7BA6">
        <w:t xml:space="preserve">Un asunto que a menudo suscita el interés general es cómo ha variado el reparto de la renta entre el capital y el trabajo. En España la participación del trabajo ha estado cayendo en los últimos años. Pero esto no ha sucedido solo en nuestro país ni es algo propio solo de la crisis. La tendencia general ha sido a la baja, con una caída media mundial recientemente cuantificada, a partir de una nueva base de datos, en alrededor de 5 puntos porcentuales en los últimos 35 años. Pero, ¿qué factores están detrás de esta caída? La participación del trabajo se define como la remuneración de los asalariados (el producto de los salarios y otros costes laborales por el empleo asalariado) dividida por el valor añadido (es decir, la producción una vez se deducen los costes de los factores intermedios como la energía, las materias primas, etc.). El siguiente gráfico muestra la participación media a nivel mundial desde 1975, con datos de 59 países, proveniente de </w:t>
      </w:r>
      <w:hyperlink r:id="rId335" w:history="1">
        <w:r w:rsidRPr="00B11B07">
          <w:rPr>
            <w:rStyle w:val="Hipervnculo"/>
            <w:color w:val="auto"/>
            <w:u w:val="none"/>
          </w:rPr>
          <w:t>un trabajo reciente</w:t>
        </w:r>
      </w:hyperlink>
      <w:r w:rsidRPr="00B11B07">
        <w:t xml:space="preserve"> de </w:t>
      </w:r>
      <w:hyperlink r:id="rId336" w:history="1">
        <w:r w:rsidRPr="00B11B07">
          <w:rPr>
            <w:rStyle w:val="Hipervnculo"/>
            <w:color w:val="auto"/>
            <w:u w:val="none"/>
          </w:rPr>
          <w:t>Loukas Karabarbounis</w:t>
        </w:r>
      </w:hyperlink>
      <w:r w:rsidRPr="00B11B07">
        <w:t xml:space="preserve"> y </w:t>
      </w:r>
      <w:hyperlink r:id="rId337" w:history="1">
        <w:r w:rsidRPr="00B11B07">
          <w:rPr>
            <w:rStyle w:val="Hipervnculo"/>
            <w:color w:val="auto"/>
            <w:u w:val="none"/>
          </w:rPr>
          <w:t>Brent Neiman</w:t>
        </w:r>
      </w:hyperlink>
      <w:r w:rsidRPr="00B11B07">
        <w:t>:</w:t>
      </w:r>
    </w:p>
    <w:p w:rsidR="00B11B07" w:rsidRDefault="00B11B07" w:rsidP="00387350">
      <w:pPr>
        <w:pStyle w:val="NormalWeb"/>
        <w:jc w:val="both"/>
      </w:pPr>
      <w:r>
        <w:t xml:space="preserve">                      </w:t>
      </w:r>
      <w:r>
        <w:rPr>
          <w:noProof/>
          <w:color w:val="0000FF"/>
        </w:rPr>
        <w:drawing>
          <wp:inline distT="0" distB="0" distL="0" distR="0" wp14:anchorId="08E80D2D" wp14:editId="494E2B6C">
            <wp:extent cx="3562350" cy="2443480"/>
            <wp:effectExtent l="0" t="0" r="0" b="0"/>
            <wp:docPr id="64" name="Imagen 64" descr="globalshare">
              <a:hlinkClick xmlns:a="http://schemas.openxmlformats.org/drawingml/2006/main" r:id="rId3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globalshare">
                      <a:hlinkClick r:id="rId338"/>
                    </pic:cNvPr>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3562350" cy="2443480"/>
                    </a:xfrm>
                    <a:prstGeom prst="rect">
                      <a:avLst/>
                    </a:prstGeom>
                    <a:noFill/>
                    <a:ln>
                      <a:noFill/>
                    </a:ln>
                  </pic:spPr>
                </pic:pic>
              </a:graphicData>
            </a:graphic>
          </wp:inline>
        </w:drawing>
      </w:r>
    </w:p>
    <w:p w:rsidR="00B11B07" w:rsidRDefault="00B11B07" w:rsidP="00387350">
      <w:pPr>
        <w:pStyle w:val="NormalWeb"/>
        <w:jc w:val="both"/>
      </w:pPr>
      <w:r w:rsidRPr="00DE7BA6">
        <w:t xml:space="preserve">La línea discontinua es la participación del trabajo en el PIB y la continua su participación en el valor añadido de las sociedades (es decir, las anónimas y limitadas, quitando por tanto a los autónomos). La caída es similar en ambos casos… ¿De dónde procede la caída de la participación del trabajo a nivel mundial? Esta caída supone una (relativa) sorpresa para los economistas, pues la función de producción que usamos con mayor frecuencia implica que las participaciones del trabajo y del capital son constantes. Una explicación que sería compatible con esa función a nivel agregado es que la producción se hubiera desplazado de sectores más intensivos en trabajo a otros menos intensivos en trabajo. Descartamos esta explicación porque los datos muestran que la caída de la participación del trabajo se da también dentro de la mayoría de sectores. Hay muchas otras posibles causas, por ejemplo, la pérdida de poder relativo de los trabajadores (por la caída de la sindicación), aumentos de los márgenes de las empresas, cambios en la composición del empleo entre cualificados y no cualificados, etc…. La historia es entonces sencilla: a medida que las nuevas tecnologías han hecho que el capital productivo (las máquinas) sean más baratas y eficientes, las empresas han estado sistemáticamente reemplazando trabajo por capital. De los cálculos de los autores se deduce que este fenómeno explica al menos la mitad de la caída de la participación del trabajo observada. ¿Qué efectos tiene este cambio sobre el bienestar? La sustitución de trabajo por capital implica un aumento de la inversión y, de ahí, también del PIB y </w:t>
      </w:r>
      <w:r w:rsidRPr="00DE7BA6">
        <w:lastRenderedPageBreak/>
        <w:t>del consumo, con lo que el bienestar social agregado aumenta. Esta conclusión deja a un lado, obviamente, importantes consideraciones distributivas. ¿De dónde podría provenir el resto de la caída de la participación del trabajo en la renta? Los autores no investigan este asunto a fondo. Con un sencillo modelo deducen que casi otro tanto podría provenir de un aumento de los márgenes que cargan las empresas sobre los costes de producción, es decir, de un aumento del poder de mercado de las empresas. Esta explicación choca, al menos para los bienes comerciables, con el esperable aumento de la competencia derivado de la creciente globalización. En todo caso, en la medida en que pueda haber sucedido en los últimos 35 años, este factor no solo hace caer la participación del trabajo sino que reduce el PIB, el consumo y el bienestar social.</w:t>
      </w:r>
    </w:p>
    <w:p w:rsidR="00B11B07" w:rsidRDefault="00B11B07" w:rsidP="00387350">
      <w:pPr>
        <w:pStyle w:val="NormalWeb"/>
        <w:jc w:val="both"/>
      </w:pPr>
      <w:r>
        <w:t xml:space="preserve">- </w:t>
      </w:r>
      <w:r w:rsidRPr="007110C7">
        <w:rPr>
          <w:u w:val="single"/>
        </w:rPr>
        <w:t>Los parados de larga duración se multiplican por siete desde 2007</w:t>
      </w:r>
      <w:r>
        <w:t xml:space="preserve"> (Negocios.com - </w:t>
      </w:r>
      <w:r w:rsidRPr="007110C7">
        <w:rPr>
          <w:b/>
        </w:rPr>
        <w:t>17/10/13</w:t>
      </w:r>
      <w:r>
        <w:t>)</w:t>
      </w:r>
    </w:p>
    <w:p w:rsidR="00B11B07" w:rsidRDefault="00B11B07" w:rsidP="00387350">
      <w:pPr>
        <w:pStyle w:val="NormalWeb"/>
        <w:jc w:val="both"/>
      </w:pPr>
      <w:r w:rsidRPr="009E1337">
        <w:t>Según un estudio elaborado por la Organización para la Cooperación y el Desarrollo Económico (OCDE), en España el número de parados de larga duración en el cuarto trimestre de 2007 era de 370.000 personas, con lo que en los últimos años se ha incrementado en 2,58 millones de personas. El número de personas que llevan más de doce meses sin empleo en el conjunto de la OCDE alcanzó en el segundo trimestre de 2013 los 16,86 millones, un 95,4% más que los 8,63 millones que existían antes de que comenzará la crisis de 2008. Tras España, los países donde más han aumentado los parados de larga duración han sido Islandia (680,4%), Irlanda (450,7%), Grecia (366,7%), Nueva Zelanda (347,3%) y Estados Unidos (326,1%). Por el contrario, los únicos donde han descendido han sido Corea (-48,5%), Alemania (-47,3%), Israel (-24,9%), Finlandia (-5%) y Suiza (-0,9%). Por otro lado, la estadística recoge que aproximadamente uno de cada dos desempleados en España (49,3%) lleva más de un año en paro, en contraste con el 19,1% registrado en el cuarto trimestre de 2007. En el conjunto de la OCDE, el porcentaje es del 35,3%, su nivel más alto desde que comenzó la crisis (27%). Los países de la OCDE con mayor proporción de parados (de larga duración) en comparación con el número total de desempleados en el segundo trimestre de 2013 fueron Eslovaquia (70,7%), Grecia (65,5%), Irlanda (59%), Italia (56,4%), Portugal (56,1%), Eslovenia (49,6%). Por el contrario, Corea (0,3%), México (1,5%), Israel (11,4%), Nueva Zelanda (11,7%), Canadá (13,1%) y Suecia (16,8%).</w:t>
      </w:r>
    </w:p>
    <w:p w:rsidR="00B11B07" w:rsidRDefault="00B11B07" w:rsidP="00387350">
      <w:pPr>
        <w:pStyle w:val="NormalWeb"/>
        <w:jc w:val="both"/>
      </w:pPr>
      <w:r>
        <w:rPr>
          <w:noProof/>
        </w:rPr>
        <w:drawing>
          <wp:inline distT="0" distB="0" distL="0" distR="0" wp14:anchorId="56E4B14A" wp14:editId="1E7242AB">
            <wp:extent cx="5400040" cy="2877624"/>
            <wp:effectExtent l="0" t="0" r="0" b="0"/>
            <wp:docPr id="79" name="Imagen 79" descr="http://estatico.vozpopuli.com/upload/Javier_Ruiz/oecd-ltermunemploy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estatico.vozpopuli.com/upload/Javier_Ruiz/oecd-ltermunemployment.jp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400040" cy="2877624"/>
                    </a:xfrm>
                    <a:prstGeom prst="rect">
                      <a:avLst/>
                    </a:prstGeom>
                    <a:noFill/>
                    <a:ln>
                      <a:noFill/>
                    </a:ln>
                  </pic:spPr>
                </pic:pic>
              </a:graphicData>
            </a:graphic>
          </wp:inline>
        </w:drawing>
      </w:r>
    </w:p>
    <w:p w:rsidR="00B11B07" w:rsidRPr="00506155" w:rsidRDefault="00B11B07" w:rsidP="00387350">
      <w:pPr>
        <w:pStyle w:val="NormalWeb"/>
        <w:jc w:val="both"/>
      </w:pPr>
      <w:r>
        <w:lastRenderedPageBreak/>
        <w:t xml:space="preserve">- </w:t>
      </w:r>
      <w:r w:rsidRPr="00FD1A9B">
        <w:rPr>
          <w:u w:val="single"/>
        </w:rPr>
        <w:t>¿Por qué los españoles no quieren a sus empresarios?</w:t>
      </w:r>
      <w:r>
        <w:t xml:space="preserve"> (Libertad Digital - </w:t>
      </w:r>
      <w:r w:rsidRPr="00FD1A9B">
        <w:rPr>
          <w:b/>
        </w:rPr>
        <w:t>17/10/13</w:t>
      </w:r>
      <w:r>
        <w:t>)</w:t>
      </w:r>
    </w:p>
    <w:p w:rsidR="00B11B07" w:rsidRDefault="00B11B07" w:rsidP="00387350">
      <w:pPr>
        <w:pStyle w:val="NormalWeb"/>
        <w:jc w:val="both"/>
      </w:pPr>
      <w:r w:rsidRPr="00506155">
        <w:t xml:space="preserve">Antes del verano, el BBVA presentaba el </w:t>
      </w:r>
      <w:hyperlink r:id="rId341" w:history="1">
        <w:r w:rsidRPr="00B11B07">
          <w:rPr>
            <w:rStyle w:val="Hipervnculo"/>
            <w:color w:val="auto"/>
            <w:u w:val="none"/>
          </w:rPr>
          <w:t>estudio internacional</w:t>
        </w:r>
        <w:r>
          <w:rPr>
            <w:rStyle w:val="Hipervnculo"/>
            <w:color w:val="auto"/>
            <w:u w:val="none"/>
          </w:rPr>
          <w:t xml:space="preserve"> </w:t>
        </w:r>
        <w:r w:rsidRPr="00B11B07">
          <w:rPr>
            <w:rStyle w:val="Hipervnculo"/>
            <w:color w:val="auto"/>
            <w:u w:val="none"/>
          </w:rPr>
          <w:t>“</w:t>
        </w:r>
        <w:r w:rsidRPr="003A2F36">
          <w:rPr>
            <w:rStyle w:val="nfasis"/>
            <w:i w:val="0"/>
          </w:rPr>
          <w:t>Values and Worldviews</w:t>
        </w:r>
      </w:hyperlink>
      <w:r>
        <w:rPr>
          <w:rStyle w:val="nfasis"/>
        </w:rPr>
        <w:t>”</w:t>
      </w:r>
      <w:r w:rsidRPr="00506155">
        <w:rPr>
          <w:rStyle w:val="nfasis"/>
        </w:rPr>
        <w:t xml:space="preserve">, </w:t>
      </w:r>
      <w:r w:rsidRPr="00506155">
        <w:t xml:space="preserve">realizado en diez grandes países europeos. Según sus datos, los españoles eran los que menos nota daban a la pregunta de si se sentían </w:t>
      </w:r>
      <w:r w:rsidRPr="00B11B07">
        <w:t>“</w:t>
      </w:r>
      <w:r w:rsidRPr="00045FA5">
        <w:rPr>
          <w:rStyle w:val="Textoennegrita"/>
          <w:b w:val="0"/>
        </w:rPr>
        <w:t>identificados con el capitalismo</w:t>
      </w:r>
      <w:r w:rsidRPr="00B11B07">
        <w:t>”</w:t>
      </w:r>
      <w:r w:rsidRPr="00506155">
        <w:t>; los segundos (tras los franceses) que más pedían la intervención del Estado en la economía; y l</w:t>
      </w:r>
      <w:r>
        <w:t>os que menos apoyaban la frase “</w:t>
      </w:r>
      <w:r w:rsidRPr="00506155">
        <w:t>la economía de mercado es el siste</w:t>
      </w:r>
      <w:r>
        <w:t>ma más conveniente para el país”</w:t>
      </w:r>
      <w:r w:rsidRPr="00506155">
        <w:t xml:space="preserve">. Y hace apenas un mes, la misma Fundación BBVA publicaba en castellano el </w:t>
      </w:r>
      <w:hyperlink r:id="rId342" w:history="1">
        <w:r w:rsidRPr="00B11B07">
          <w:rPr>
            <w:rStyle w:val="Hipervnculo"/>
            <w:color w:val="auto"/>
            <w:u w:val="none"/>
          </w:rPr>
          <w:t xml:space="preserve">informe de </w:t>
        </w:r>
      </w:hyperlink>
      <w:r w:rsidRPr="00B11B07">
        <w:rPr>
          <w:rStyle w:val="Hipervnculo"/>
          <w:color w:val="auto"/>
          <w:u w:val="none"/>
        </w:rPr>
        <w:t>“</w:t>
      </w:r>
      <w:hyperlink r:id="rId343" w:history="1">
        <w:r w:rsidRPr="003A2F36">
          <w:rPr>
            <w:rStyle w:val="nfasis"/>
            <w:i w:val="0"/>
          </w:rPr>
          <w:t>Tendencias Transatlánticas</w:t>
        </w:r>
      </w:hyperlink>
      <w:r>
        <w:rPr>
          <w:rStyle w:val="nfasis"/>
          <w:i w:val="0"/>
        </w:rPr>
        <w:t>”</w:t>
      </w:r>
      <w:r w:rsidRPr="00506155">
        <w:t xml:space="preserve">, en el que, de nuevo, los españoles aparecían a la cabeza en su rechazo al mercado libre y el apoyo al intervencionismo estatal: el 53% piensa que hay que seguir aumentando el gasto público. Es más, sólo el 32% apoya la moneda única y somos los europeos que menos aprecio le tenemos a Angela Merkel, dos respuestas en las que parece intuirse el rechazo hacia las decisiones de control de déficit público adoptadas por la UE en los últimos años. Con estos antecedentes, los resultados del informe de Futuro ya no son tan extraños. De los 34 países en los que se hizo la encuesta de la CE, España es el 25º en la consideración del papel de las empresas: </w:t>
      </w:r>
      <w:r w:rsidRPr="00B11B07">
        <w:rPr>
          <w:rStyle w:val="Textoennegrita"/>
          <w:b w:val="0"/>
        </w:rPr>
        <w:t>negativa en un 43% y positiva en un 50%</w:t>
      </w:r>
      <w:r w:rsidRPr="00B11B07">
        <w:rPr>
          <w:b/>
        </w:rPr>
        <w:t>.</w:t>
      </w:r>
      <w:r w:rsidRPr="00506155">
        <w:t xml:space="preserve"> Son unas cifras que contrastan, y mucho, con las habituales en otros países miembros de la UE, especialmente en el norte del continente. Por ejemplo, en Dinamarca, la opinión es negativa sólo para el 10% de la población y positiva para el 85%; en Finlandia son 13% y 83%; en Estonia 16% y 70%; en Suecia 19% y 72%; y en Holanda, 20% y 74%.</w:t>
      </w:r>
    </w:p>
    <w:p w:rsidR="00B11B07" w:rsidRDefault="00B11B07" w:rsidP="00387350">
      <w:pPr>
        <w:pStyle w:val="NormalWeb"/>
        <w:jc w:val="both"/>
      </w:pPr>
    </w:p>
    <w:p w:rsidR="00B11B07" w:rsidRDefault="00B11B07" w:rsidP="00387350">
      <w:pPr>
        <w:pStyle w:val="NormalWeb"/>
        <w:jc w:val="both"/>
      </w:pPr>
      <w:r>
        <w:rPr>
          <w:noProof/>
          <w:color w:val="0000FF"/>
        </w:rPr>
        <w:drawing>
          <wp:inline distT="0" distB="0" distL="0" distR="0" wp14:anchorId="20746B58" wp14:editId="2D46E4EA">
            <wp:extent cx="5310293" cy="4008729"/>
            <wp:effectExtent l="0" t="0" r="5080" b="0"/>
            <wp:docPr id="66" name="Imagen 66" descr="http://s.libertaddigital.com/fotos/noticias/futuro_empresas_1.jpg">
              <a:hlinkClick xmlns:a="http://schemas.openxmlformats.org/drawingml/2006/main" r:id="rId3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futuro_empresas_1.jpg">
                      <a:hlinkClick r:id="rId344"/>
                    </pic:cNvPr>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310535" cy="4008912"/>
                    </a:xfrm>
                    <a:prstGeom prst="rect">
                      <a:avLst/>
                    </a:prstGeom>
                    <a:noFill/>
                    <a:ln>
                      <a:noFill/>
                    </a:ln>
                  </pic:spPr>
                </pic:pic>
              </a:graphicData>
            </a:graphic>
          </wp:inline>
        </w:drawing>
      </w:r>
    </w:p>
    <w:p w:rsidR="00B11B07" w:rsidRDefault="00B11B07" w:rsidP="00387350">
      <w:pPr>
        <w:pStyle w:val="NormalWeb"/>
        <w:jc w:val="both"/>
      </w:pPr>
    </w:p>
    <w:p w:rsidR="00B11B07" w:rsidRPr="009E1337" w:rsidRDefault="00B11B07" w:rsidP="00387350">
      <w:pPr>
        <w:pStyle w:val="NormalWeb"/>
        <w:jc w:val="both"/>
      </w:pPr>
      <w:r>
        <w:rPr>
          <w:noProof/>
          <w:color w:val="0000FF"/>
        </w:rPr>
        <w:lastRenderedPageBreak/>
        <w:drawing>
          <wp:inline distT="0" distB="0" distL="0" distR="0" wp14:anchorId="13C8A599" wp14:editId="1385A817">
            <wp:extent cx="5391300" cy="3547872"/>
            <wp:effectExtent l="0" t="0" r="0" b="0"/>
            <wp:docPr id="67" name="Imagen 67" descr="http://s.libertaddigital.com/fotos/noticias/futuro_empresas_2.jpg">
              <a:hlinkClick xmlns:a="http://schemas.openxmlformats.org/drawingml/2006/main" r:id="rId3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futuro_empresas_2.jpg">
                      <a:hlinkClick r:id="rId346"/>
                    </pic:cNvPr>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400040" cy="3553624"/>
                    </a:xfrm>
                    <a:prstGeom prst="rect">
                      <a:avLst/>
                    </a:prstGeom>
                    <a:noFill/>
                    <a:ln>
                      <a:noFill/>
                    </a:ln>
                  </pic:spPr>
                </pic:pic>
              </a:graphicData>
            </a:graphic>
          </wp:inline>
        </w:drawing>
      </w:r>
    </w:p>
    <w:p w:rsidR="00B11B07" w:rsidRDefault="00B11B07" w:rsidP="00387350">
      <w:pPr>
        <w:pStyle w:val="NormalWeb"/>
        <w:jc w:val="both"/>
        <w:rPr>
          <w:color w:val="FF0000"/>
          <w:u w:val="single"/>
        </w:rPr>
      </w:pPr>
      <w:r>
        <w:rPr>
          <w:noProof/>
          <w:color w:val="0000FF"/>
        </w:rPr>
        <w:drawing>
          <wp:inline distT="0" distB="0" distL="0" distR="0" wp14:anchorId="098E351A" wp14:editId="2F97E982">
            <wp:extent cx="5398617" cy="4747565"/>
            <wp:effectExtent l="0" t="0" r="0" b="0"/>
            <wp:docPr id="82" name="Imagen 82" descr="http://s.libertaddigital.com/fotos/noticias/CONTR03.jpg">
              <a:hlinkClick xmlns:a="http://schemas.openxmlformats.org/drawingml/2006/main" r:id="rId34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CONTR03.jpg">
                      <a:hlinkClick r:id="rId348" tgtFrame="&quot;_blank&quot;"/>
                    </pic:cNvPr>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5400040" cy="4748817"/>
                    </a:xfrm>
                    <a:prstGeom prst="rect">
                      <a:avLst/>
                    </a:prstGeom>
                    <a:noFill/>
                    <a:ln>
                      <a:noFill/>
                    </a:ln>
                  </pic:spPr>
                </pic:pic>
              </a:graphicData>
            </a:graphic>
          </wp:inline>
        </w:drawing>
      </w:r>
    </w:p>
    <w:p w:rsidR="00B11B07" w:rsidRDefault="00B11B07" w:rsidP="00387350">
      <w:pPr>
        <w:pStyle w:val="NormalWeb"/>
        <w:jc w:val="both"/>
      </w:pPr>
      <w:r w:rsidRPr="00AD6D3B">
        <w:t xml:space="preserve">(Fuente: </w:t>
      </w:r>
      <w:r>
        <w:t xml:space="preserve">Libertad Digital - </w:t>
      </w:r>
      <w:r w:rsidRPr="00E90B4E">
        <w:rPr>
          <w:b/>
        </w:rPr>
        <w:t>20/10/13</w:t>
      </w:r>
      <w:r>
        <w:t>)</w:t>
      </w:r>
    </w:p>
    <w:p w:rsidR="00B11B07" w:rsidRDefault="00B11B07" w:rsidP="00387350">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042FC3">
        <w:rPr>
          <w:rFonts w:ascii="Times New Roman" w:eastAsia="Times New Roman" w:hAnsi="Times New Roman" w:cs="Times New Roman"/>
          <w:sz w:val="24"/>
          <w:szCs w:val="24"/>
          <w:u w:val="single"/>
        </w:rPr>
        <w:t>España ocupa el puesto 18 en el ranking mundial de costes laborales</w:t>
      </w:r>
      <w:r>
        <w:rPr>
          <w:rFonts w:ascii="Times New Roman" w:eastAsia="Times New Roman" w:hAnsi="Times New Roman" w:cs="Times New Roman"/>
          <w:sz w:val="24"/>
          <w:szCs w:val="24"/>
        </w:rPr>
        <w:t xml:space="preserve"> (El Confidencial - </w:t>
      </w:r>
      <w:r w:rsidRPr="00042FC3">
        <w:rPr>
          <w:rFonts w:ascii="Times New Roman" w:eastAsia="Times New Roman" w:hAnsi="Times New Roman" w:cs="Times New Roman"/>
          <w:b/>
          <w:sz w:val="24"/>
          <w:szCs w:val="24"/>
        </w:rPr>
        <w:t>29/10/13</w:t>
      </w:r>
      <w:r>
        <w:rPr>
          <w:rFonts w:ascii="Times New Roman" w:eastAsia="Times New Roman" w:hAnsi="Times New Roman" w:cs="Times New Roman"/>
          <w:sz w:val="24"/>
          <w:szCs w:val="24"/>
        </w:rPr>
        <w:t>)</w:t>
      </w:r>
    </w:p>
    <w:p w:rsidR="00B11B07" w:rsidRDefault="00B11B07" w:rsidP="00387350">
      <w:pPr>
        <w:spacing w:before="100" w:beforeAutospacing="1" w:after="100" w:afterAutospacing="1" w:line="240" w:lineRule="auto"/>
        <w:jc w:val="both"/>
        <w:rPr>
          <w:rFonts w:ascii="Times New Roman" w:eastAsia="Times New Roman" w:hAnsi="Times New Roman" w:cs="Times New Roman"/>
          <w:sz w:val="24"/>
          <w:szCs w:val="24"/>
        </w:rPr>
      </w:pPr>
      <w:r w:rsidRPr="00042FC3">
        <w:rPr>
          <w:rFonts w:ascii="Times New Roman" w:eastAsia="Times New Roman" w:hAnsi="Times New Roman" w:cs="Times New Roman"/>
          <w:sz w:val="24"/>
          <w:szCs w:val="24"/>
        </w:rPr>
        <w:t xml:space="preserve">El Instituto de la Economía Alemana ha publicado el ranking internacional de costes laborales en la industria manufacturera que establece una comparativa de un total de 44 países para el año 2012. </w:t>
      </w:r>
    </w:p>
    <w:p w:rsidR="00B11B07" w:rsidRDefault="00B11B07" w:rsidP="00387350">
      <w:pPr>
        <w:spacing w:before="100" w:beforeAutospacing="1" w:after="100" w:afterAutospacing="1" w:line="240" w:lineRule="auto"/>
        <w:jc w:val="both"/>
        <w:rPr>
          <w:rFonts w:ascii="Times New Roman" w:eastAsia="Times New Roman" w:hAnsi="Times New Roman" w:cs="Times New Roman"/>
          <w:sz w:val="24"/>
          <w:szCs w:val="24"/>
        </w:rPr>
      </w:pPr>
      <w:r w:rsidRPr="00A908C5">
        <w:rPr>
          <w:noProof/>
          <w:lang w:eastAsia="es-ES"/>
        </w:rPr>
        <w:drawing>
          <wp:inline distT="0" distB="0" distL="0" distR="0" wp14:anchorId="71E5E981" wp14:editId="1C3BEC6E">
            <wp:extent cx="5398617" cy="3789273"/>
            <wp:effectExtent l="0" t="0" r="0" b="1905"/>
            <wp:docPr id="68" name="Imagen 68" descr="http://www.ecestaticos.com/image/clipping/87cd10a7adb5132e08259351ffe13894/imagen-sin-titulo.jpg">
              <a:hlinkClick xmlns:a="http://schemas.openxmlformats.org/drawingml/2006/main" r:id="rId3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estaticos.com/image/clipping/87cd10a7adb5132e08259351ffe13894/imagen-sin-titulo.jpg">
                      <a:hlinkClick r:id="rId350"/>
                    </pic:cNvPr>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5400040" cy="3790272"/>
                    </a:xfrm>
                    <a:prstGeom prst="rect">
                      <a:avLst/>
                    </a:prstGeom>
                    <a:noFill/>
                    <a:ln>
                      <a:noFill/>
                    </a:ln>
                  </pic:spPr>
                </pic:pic>
              </a:graphicData>
            </a:graphic>
          </wp:inline>
        </w:drawing>
      </w:r>
    </w:p>
    <w:p w:rsidR="00B11B07" w:rsidRPr="00042FC3" w:rsidRDefault="00B11B07" w:rsidP="00387350">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(Fuente: El Confidencial - </w:t>
      </w:r>
      <w:r w:rsidRPr="009F2A1D">
        <w:rPr>
          <w:rFonts w:ascii="Times New Roman" w:eastAsia="Times New Roman" w:hAnsi="Times New Roman" w:cs="Times New Roman"/>
          <w:b/>
          <w:sz w:val="24"/>
          <w:szCs w:val="24"/>
        </w:rPr>
        <w:t>29/10/13</w:t>
      </w:r>
      <w:r>
        <w:rPr>
          <w:rFonts w:ascii="Times New Roman" w:eastAsia="Times New Roman" w:hAnsi="Times New Roman" w:cs="Times New Roman"/>
          <w:sz w:val="24"/>
          <w:szCs w:val="24"/>
        </w:rPr>
        <w:t xml:space="preserve">) </w:t>
      </w:r>
    </w:p>
    <w:p w:rsidR="00B11B07" w:rsidRDefault="00B11B07" w:rsidP="00387350">
      <w:pPr>
        <w:pStyle w:val="NormalWeb"/>
        <w:jc w:val="both"/>
      </w:pPr>
      <w:r>
        <w:rPr>
          <w:noProof/>
        </w:rPr>
        <w:drawing>
          <wp:inline distT="0" distB="0" distL="0" distR="0" wp14:anchorId="41EA0776" wp14:editId="4A2D08FE">
            <wp:extent cx="5400040" cy="2940050"/>
            <wp:effectExtent l="0" t="0" r="0" b="0"/>
            <wp:docPr id="69" name="Imagen 69" descr="http://www.ecestaticos.com/file/b5fbe93e23751979bd3b4667bd4a109b/1382986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cestaticos.com/file/b5fbe93e23751979bd3b4667bd4a109b/1382986728.jp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400040" cy="2940050"/>
                    </a:xfrm>
                    <a:prstGeom prst="rect">
                      <a:avLst/>
                    </a:prstGeom>
                    <a:noFill/>
                    <a:ln>
                      <a:noFill/>
                    </a:ln>
                  </pic:spPr>
                </pic:pic>
              </a:graphicData>
            </a:graphic>
          </wp:inline>
        </w:drawing>
      </w:r>
    </w:p>
    <w:p w:rsidR="00B11B07" w:rsidRPr="00493AE3" w:rsidRDefault="00B11B07" w:rsidP="00387350">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D76E59">
        <w:rPr>
          <w:rFonts w:ascii="Times New Roman" w:hAnsi="Times New Roman"/>
          <w:sz w:val="24"/>
          <w:szCs w:val="24"/>
          <w:u w:val="single"/>
        </w:rPr>
        <w:t>El efecto más perverso de la crisis: la clase media está desapareciendo en Europa</w:t>
      </w:r>
      <w:r>
        <w:rPr>
          <w:rFonts w:ascii="Times New Roman" w:hAnsi="Times New Roman"/>
          <w:sz w:val="24"/>
          <w:szCs w:val="24"/>
        </w:rPr>
        <w:t xml:space="preserve"> (Vozpópuli - </w:t>
      </w:r>
      <w:r>
        <w:rPr>
          <w:rFonts w:ascii="Times New Roman" w:hAnsi="Times New Roman"/>
          <w:b/>
          <w:sz w:val="24"/>
          <w:szCs w:val="24"/>
        </w:rPr>
        <w:t>3</w:t>
      </w:r>
      <w:r w:rsidRPr="00D76E59">
        <w:rPr>
          <w:rFonts w:ascii="Times New Roman" w:hAnsi="Times New Roman"/>
          <w:b/>
          <w:sz w:val="24"/>
          <w:szCs w:val="24"/>
        </w:rPr>
        <w:t>/11/13</w:t>
      </w:r>
      <w:r>
        <w:rPr>
          <w:rFonts w:ascii="Times New Roman" w:hAnsi="Times New Roman"/>
          <w:sz w:val="24"/>
          <w:szCs w:val="24"/>
        </w:rPr>
        <w:t>)</w:t>
      </w:r>
    </w:p>
    <w:p w:rsidR="00B11B07" w:rsidRDefault="00B11B07" w:rsidP="00387350">
      <w:pPr>
        <w:spacing w:before="100" w:beforeAutospacing="1" w:after="100" w:afterAutospacing="1" w:line="240" w:lineRule="auto"/>
        <w:jc w:val="both"/>
        <w:rPr>
          <w:rFonts w:ascii="Times New Roman" w:hAnsi="Times New Roman"/>
          <w:sz w:val="24"/>
          <w:szCs w:val="24"/>
        </w:rPr>
      </w:pPr>
      <w:r w:rsidRPr="0009540D">
        <w:rPr>
          <w:rFonts w:ascii="Times New Roman" w:hAnsi="Times New Roman"/>
          <w:sz w:val="24"/>
          <w:szCs w:val="24"/>
        </w:rPr>
        <w:t>La pobreza está aumentando y los salarios bajando. La clase media española, que crecía desde los años 60 del siglo XX, ha empezado a adelgazar. Pero lo mismo ocurre en Alemania y Francia, dos de los países más ricos de Europa. La crisis económica que comenzó en 2008 está sacudiendo la estructura social de los países que la están sufriendo. De la misma manera que en India, Chile, Perú y Brasil, está disminuyendo el número de pobres y creciendo el de gente que entra en la categoría de clase media, en Europa pasa lo contrario; millones de personas están recorriendo el camino contrario que anduvieron sus padres o abuelos: de la clase media a la pobreza… En Portugal, vive en la pobreza más del 20% de la población, y los griegos son un 40% de media más pobres que en 2008. Pero esta tendencia no se produce sólo en España y otros países del sur de Europa. En Alemania, a cuyo Gobierno encabezado por Ángela Merkel (y recién reelegido en las elecciones de septiembre) muchos europeos atribuyen la imposición de políticas de austeridad responsables del empobrecimiento, también está menguando la clase media. Según un estudio de la Universidad de Bremen y del Instituto Alemán de Investigación Económica, encargado por la Fundación Bertelsmann y difundido a finales de 2012, un 58% de la población pertenece a la clase media; pero en 1997 lo hacía un 65%. Es decir, en Alemania, la clase media se ha reducido en siete puntos en quince años. A la clase media pertenecen, de acuerdo con el estudio citado, todos los que cuentan con un 70 a un 150 por ciento del ingreso medio. Para una familia común de cuatro personas, eso significaría un ingreso de 2.400 a 5.000 euros por mes. En Francia, el crecimiento de la pobreza está siendo también arrollador. En septiembre, el Instituto Nacional de Estadística y Estudios Económicos difundió un informe en el que sostenía que la pobreza afectaba en 2011 al 14,3% de la población (66 millones de personas), su nivel más alto desde 1997. En 2008 ese porcentaje era el 13%. Además, el informe refleja que 8,7 millones de franceses viven por debajo del umbral de la pobreza fijado en un ingreso mensual inferior a 977 euros.</w:t>
      </w:r>
    </w:p>
    <w:p w:rsidR="00B11B07" w:rsidRDefault="00B11B07" w:rsidP="00387350">
      <w:pPr>
        <w:pStyle w:val="NormalWeb"/>
        <w:jc w:val="both"/>
      </w:pPr>
      <w:r>
        <w:t xml:space="preserve">- </w:t>
      </w:r>
      <w:r w:rsidRPr="003942B2">
        <w:rPr>
          <w:u w:val="single"/>
        </w:rPr>
        <w:t>Trabajo infantil en el campo, el secreto mejor guardado de EEUU</w:t>
      </w:r>
      <w:r>
        <w:t xml:space="preserve"> (El Confidencial - </w:t>
      </w:r>
      <w:r w:rsidRPr="003942B2">
        <w:rPr>
          <w:b/>
        </w:rPr>
        <w:t>8/11/13</w:t>
      </w:r>
      <w:r>
        <w:t>)</w:t>
      </w:r>
    </w:p>
    <w:p w:rsidR="00B11B07" w:rsidRDefault="00B11B07" w:rsidP="00387350">
      <w:pPr>
        <w:pStyle w:val="NormalWeb"/>
        <w:spacing w:before="0" w:beforeAutospacing="0" w:after="0" w:afterAutospacing="0"/>
        <w:jc w:val="both"/>
      </w:pPr>
      <w:r w:rsidRPr="00361AB1">
        <w:t xml:space="preserve">Doce de junio. Día Internacional contra el Trabajo Infantil. El Secretario de Estado, </w:t>
      </w:r>
      <w:r w:rsidRPr="00361AB1">
        <w:rPr>
          <w:bCs/>
        </w:rPr>
        <w:t>John Kerry, apela a la comunidad internacional desde Washington</w:t>
      </w:r>
      <w:r w:rsidRPr="00361AB1">
        <w:t xml:space="preserve">. Dice que es urgente “rescatar” a los más de 220 millones de niños que son explotados en todo el mundo ante la mirada indiferente de sus Gobiernos. “Queremos que nuestros aliados se unan al compromiso que hemos contraído con esos millones de niños para que se adopten políticas que eliminen el trabajo infantil”, dice, esgrimiendo un argumento con el que su diplomacia saca a menudo los colores de países en desarrollo y </w:t>
      </w:r>
      <w:r w:rsidRPr="00361AB1">
        <w:rPr>
          <w:bCs/>
        </w:rPr>
        <w:t>cuestiona el sistema productivo de potencias emergentes</w:t>
      </w:r>
      <w:r w:rsidRPr="00361AB1">
        <w:t>… María, de padres mexicanos pero con pasaporte estadounidense, no vive en uno de esos países remotos y pobres que retratan los informes sobre trabajo infantil que realiza el </w:t>
      </w:r>
      <w:hyperlink r:id="rId353" w:tgtFrame="_blank" w:history="1">
        <w:r w:rsidRPr="00B11B07">
          <w:rPr>
            <w:rStyle w:val="Hipervnculo"/>
            <w:color w:val="auto"/>
            <w:u w:val="none"/>
          </w:rPr>
          <w:t>Departamento de Trabajo</w:t>
        </w:r>
      </w:hyperlink>
      <w:r w:rsidRPr="00361AB1">
        <w:t xml:space="preserve">. Tampoco es un caso aislado. Forma parte de una comunidad numerosa y de la que se habla incluso menos que de los obreros infantiles del textil en Bangladesh o de la minería en Bolivia: la conformada por el </w:t>
      </w:r>
      <w:r w:rsidRPr="00361AB1">
        <w:rPr>
          <w:bCs/>
        </w:rPr>
        <w:t>medio millón de niños que</w:t>
      </w:r>
      <w:r w:rsidRPr="00361AB1">
        <w:t xml:space="preserve">, según cálculos de organizaciones como Human Right Watch, </w:t>
      </w:r>
      <w:r w:rsidRPr="00361AB1">
        <w:rPr>
          <w:bCs/>
        </w:rPr>
        <w:t>trabajan a sueldo de grandes corporaciones agrícolas en Estados Unidos</w:t>
      </w:r>
      <w:r>
        <w:t xml:space="preserve">. </w:t>
      </w:r>
      <w:r w:rsidRPr="00361AB1">
        <w:t xml:space="preserve">“Hay niños de todas las edades y perfiles. </w:t>
      </w:r>
      <w:r w:rsidRPr="00361AB1">
        <w:rPr>
          <w:bCs/>
        </w:rPr>
        <w:t>Algunos tienen menos de ocho años</w:t>
      </w:r>
      <w:r w:rsidRPr="00361AB1">
        <w:t xml:space="preserve">, otros están en plena adolescencia. Los hay que acuden a la escuela regularmente y otros que no la pisan. La mayoría son hijos de inmigrantes hispanos y, </w:t>
      </w:r>
      <w:r w:rsidRPr="00361AB1">
        <w:lastRenderedPageBreak/>
        <w:t xml:space="preserve">aunque </w:t>
      </w:r>
      <w:r w:rsidRPr="00361AB1">
        <w:rPr>
          <w:bCs/>
        </w:rPr>
        <w:t>muchos obtuvieron la ciudadanía estadounidense por nacer aquí</w:t>
      </w:r>
      <w:r w:rsidRPr="00361AB1">
        <w:t xml:space="preserve">, </w:t>
      </w:r>
      <w:r w:rsidRPr="00361AB1">
        <w:rPr>
          <w:bCs/>
        </w:rPr>
        <w:t>todos carecen de protección</w:t>
      </w:r>
      <w:r w:rsidRPr="00361AB1">
        <w:t>, no hay casi herramientas para ayudarlos ni programas federales para ellos. La tasa de fracaso escolar es cuatro veces superior a la media nacional”, denuncia Norma Flores, directiva de la </w:t>
      </w:r>
      <w:hyperlink r:id="rId354" w:tgtFrame="_blank" w:history="1">
        <w:r w:rsidRPr="00B11B07">
          <w:rPr>
            <w:rStyle w:val="Hipervnculo"/>
            <w:color w:val="auto"/>
            <w:u w:val="none"/>
          </w:rPr>
          <w:t>Association of Farmworker Opportunity Programs</w:t>
        </w:r>
      </w:hyperlink>
      <w:r w:rsidRPr="00B11B07">
        <w:t> </w:t>
      </w:r>
      <w:r w:rsidRPr="00361AB1">
        <w:t xml:space="preserve">(AFOP) y presidenta del comité de asuntos domésticos de la Coalición contra el Trabajo Infantil. Flores conoce bien el problema porque ella misma trabajó durante años en el campo cuando era niña. El trabajo infantil en tareas agrícolas está tolerado </w:t>
      </w:r>
      <w:r w:rsidRPr="00361AB1">
        <w:rPr>
          <w:bCs/>
        </w:rPr>
        <w:t>al amparo de viejas leyes diseñadas para las pequeñas granjas familiares</w:t>
      </w:r>
      <w:r w:rsidRPr="00361AB1">
        <w:t xml:space="preserve">. Cuenta también con el apoyo y la presión de un sector, el agrícola, al que le cuesta conseguir mano de obra barata y que desde hace décadas se nutre de jornaleros estacionales y de inmigrantes ilegales que a menudo acuden con sus hijos a los sembrados… “Es una forma de esclavitud moderna porque no ganan suficiente para vivir y, desde luego, no ahorran ni progresan. Los niños van de un lado para otro, sin elección, cambiando de ambiente. Como las familias no pueden permitirse conducir y no hay centros urbanos, dependen del escaso transporte público o de los intermediarios que los contratan. Cosas como ir a una tienda a comprar leche resultan un problema logístico. Así que </w:t>
      </w:r>
      <w:r w:rsidRPr="00361AB1">
        <w:rPr>
          <w:bCs/>
        </w:rPr>
        <w:t>casi todo lo que ganan lo gastan en pagar a quien los contrató por servicio del transporte, la comida y el techo</w:t>
      </w:r>
      <w:r w:rsidRPr="00361AB1">
        <w:t xml:space="preserve">”, nos explica Bailey, al pie de un campo de boniatos donde los trabajadores se afanan en llenar un remolque… Además de soportar jornadas extenuantes y temperaturas extremas, </w:t>
      </w:r>
      <w:r w:rsidRPr="00361AB1">
        <w:rPr>
          <w:bCs/>
        </w:rPr>
        <w:t>los niños están expuestos a herbicidas y pesticidas</w:t>
      </w:r>
      <w:r w:rsidRPr="00361AB1">
        <w:t xml:space="preserve"> (que a menudo se rocían sin previo aviso desde avionetas), y cada año se registran unas 100.000 heridas y golpes graves… En total, se calcula que </w:t>
      </w:r>
      <w:r w:rsidRPr="00361AB1">
        <w:rPr>
          <w:bCs/>
        </w:rPr>
        <w:t xml:space="preserve">el 20% de los accidentes mortales registrados en el sector agrícola </w:t>
      </w:r>
      <w:r w:rsidRPr="00361AB1">
        <w:t>de EEUU</w:t>
      </w:r>
      <w:r w:rsidRPr="00361AB1">
        <w:rPr>
          <w:bCs/>
        </w:rPr>
        <w:t xml:space="preserve"> tienen como protagonista a un menor</w:t>
      </w:r>
      <w:r w:rsidRPr="00361AB1">
        <w:t>.</w:t>
      </w:r>
    </w:p>
    <w:p w:rsidR="00B11B07" w:rsidRDefault="00B11B07" w:rsidP="00387350">
      <w:pPr>
        <w:pStyle w:val="NormalWeb"/>
        <w:jc w:val="both"/>
      </w:pPr>
      <w:r>
        <w:t xml:space="preserve">- </w:t>
      </w:r>
      <w:r>
        <w:rPr>
          <w:u w:val="single"/>
        </w:rPr>
        <w:t>“Sobran seres humanos”</w:t>
      </w:r>
      <w:r w:rsidRPr="003942B2">
        <w:rPr>
          <w:u w:val="single"/>
        </w:rPr>
        <w:t>: por qué va a desaparecer el 47% de los puestos de trabajo</w:t>
      </w:r>
      <w:r>
        <w:t xml:space="preserve"> (El Confidencial - </w:t>
      </w:r>
      <w:r w:rsidRPr="003942B2">
        <w:rPr>
          <w:b/>
        </w:rPr>
        <w:t>8/11/13</w:t>
      </w:r>
      <w:r>
        <w:t>)</w:t>
      </w:r>
    </w:p>
    <w:p w:rsidR="00B11B07" w:rsidRDefault="00B11B07" w:rsidP="00387350">
      <w:pPr>
        <w:pStyle w:val="NormalWeb"/>
        <w:jc w:val="both"/>
      </w:pPr>
      <w:r w:rsidRPr="00361AB1">
        <w:t>La llegada del</w:t>
      </w:r>
      <w:r w:rsidRPr="00361AB1">
        <w:rPr>
          <w:rStyle w:val="nfasis"/>
        </w:rPr>
        <w:t> </w:t>
      </w:r>
      <w:r>
        <w:rPr>
          <w:rStyle w:val="nfasis"/>
          <w:i w:val="0"/>
        </w:rPr>
        <w:t>“</w:t>
      </w:r>
      <w:r w:rsidRPr="003A2F36">
        <w:rPr>
          <w:rStyle w:val="nfasis"/>
          <w:i w:val="0"/>
        </w:rPr>
        <w:t>big data</w:t>
      </w:r>
      <w:r>
        <w:rPr>
          <w:rStyle w:val="nfasis"/>
          <w:i w:val="0"/>
        </w:rPr>
        <w:t>”</w:t>
      </w:r>
      <w:r w:rsidRPr="00361AB1">
        <w:rPr>
          <w:rStyle w:val="nfasis"/>
        </w:rPr>
        <w:t xml:space="preserve"> </w:t>
      </w:r>
      <w:r w:rsidRPr="00361AB1">
        <w:t xml:space="preserve">está afectando sustancialmente a los procesos laborales y está transformando el modo en que entendemos el mundo, al igual que lo hace la implantación de un cada vez mayor número de robots en las fábricas. </w:t>
      </w:r>
      <w:r w:rsidRPr="00B11B07">
        <w:rPr>
          <w:rStyle w:val="Textoennegrita"/>
          <w:b w:val="0"/>
        </w:rPr>
        <w:t>La posibilidad de producir exclusivamente a través de máquinas parece estar a la vuelta de la esquina</w:t>
      </w:r>
      <w:r w:rsidRPr="00B11B07">
        <w:rPr>
          <w:b/>
        </w:rPr>
        <w:t>,</w:t>
      </w:r>
      <w:r w:rsidRPr="00361AB1">
        <w:t xml:space="preserve"> afirman los expertos, y aunque no fuera así, los cambios que ya han generado la mecanización y tecnificación acelerada de los procesos de producción está siendo de tal magnitud que hará que en el futuro cercano se destruya gran cantidad de puestos de trabajo. Esta tendencia, no obstante, no parece haber levantado demasiadas reticencias en Occidente, ya sea porque </w:t>
      </w:r>
      <w:r w:rsidRPr="00B11B07">
        <w:rPr>
          <w:rStyle w:val="Textoennegrita"/>
          <w:b w:val="0"/>
        </w:rPr>
        <w:t>estamos acostumbrados a que la deslocalización productiva se haya llevado los puestos de trabajo a países que prometen costes más bajos</w:t>
      </w:r>
      <w:r w:rsidRPr="00B11B07">
        <w:rPr>
          <w:b/>
        </w:rPr>
        <w:t>,</w:t>
      </w:r>
      <w:r w:rsidRPr="00361AB1">
        <w:t xml:space="preserve"> ya porque no lo entendamos como una amenaza, puesto que la mayoría de los empleos de nuestros países tienen que ver con o tareas de alto valor añadido o con el sector servicios, áreas en teoría nada susceptibles de ser programadas e informatizadas. Sin embargo, esa visión parece ser demasiado optimista. Según el  informe </w:t>
      </w:r>
      <w:r w:rsidRPr="00B11B07">
        <w:t>“</w:t>
      </w:r>
      <w:hyperlink r:id="rId355" w:history="1">
        <w:r w:rsidRPr="00B11B07">
          <w:rPr>
            <w:rStyle w:val="Hipervnculo"/>
            <w:color w:val="auto"/>
            <w:u w:val="none"/>
          </w:rPr>
          <w:t>The future of employment</w:t>
        </w:r>
      </w:hyperlink>
      <w:r w:rsidRPr="00B11B07">
        <w:rPr>
          <w:rStyle w:val="Hipervnculo"/>
          <w:iCs/>
          <w:u w:val="none"/>
        </w:rPr>
        <w:t>”</w:t>
      </w:r>
      <w:r w:rsidRPr="00B11B07">
        <w:rPr>
          <w:rStyle w:val="nfasis"/>
        </w:rPr>
        <w:t xml:space="preserve">, </w:t>
      </w:r>
      <w:r w:rsidRPr="00361AB1">
        <w:t xml:space="preserve">realizado por los profesores de la Universidad de Oxford </w:t>
      </w:r>
      <w:r w:rsidRPr="00B11B07">
        <w:rPr>
          <w:rStyle w:val="Textoennegrita"/>
          <w:b w:val="0"/>
        </w:rPr>
        <w:t>Carl Benedikt Frey</w:t>
      </w:r>
      <w:r w:rsidRPr="00B11B07">
        <w:rPr>
          <w:b/>
        </w:rPr>
        <w:t xml:space="preserve"> y</w:t>
      </w:r>
      <w:r w:rsidRPr="00B11B07">
        <w:rPr>
          <w:rStyle w:val="Textoennegrita"/>
          <w:b w:val="0"/>
        </w:rPr>
        <w:t xml:space="preserve"> Michael A. Osborne</w:t>
      </w:r>
      <w:r w:rsidRPr="00B11B07">
        <w:rPr>
          <w:b/>
        </w:rPr>
        <w:t xml:space="preserve">, </w:t>
      </w:r>
      <w:r w:rsidRPr="00B11B07">
        <w:rPr>
          <w:rStyle w:val="Textoennegrita"/>
          <w:b w:val="0"/>
        </w:rPr>
        <w:t>el 47 por ciento del empleo total está en situación de alto riesgo</w:t>
      </w:r>
      <w:r w:rsidRPr="00B11B07">
        <w:rPr>
          <w:b/>
        </w:rPr>
        <w:t>,</w:t>
      </w:r>
      <w:r w:rsidRPr="00361AB1">
        <w:t xml:space="preserve"> “ya que muchas de sus ocupaciones son susceptibles de ser automatizadas en una o dos décadas”.  En una primera fase, la mayoría de los trabajadores del sector del transporte y de la logística, así como los administrativos y, en general, todos los relacionados con la oficina, y los vinculados a los procesos de fabricación y producción, “son susceptibles de ser sustituidos por el capital informático”.</w:t>
      </w:r>
    </w:p>
    <w:p w:rsidR="00B11B07" w:rsidRDefault="00B11B07" w:rsidP="00387350">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“Esto parece ingeniería social”</w:t>
      </w:r>
      <w:r w:rsidRPr="008469D2">
        <w:rPr>
          <w:rFonts w:ascii="Times New Roman" w:hAnsi="Times New Roman"/>
          <w:sz w:val="24"/>
          <w:szCs w:val="24"/>
          <w:u w:val="single"/>
        </w:rPr>
        <w:t>: por qué hay poco trabajo y tan mal pagado</w:t>
      </w:r>
      <w:r>
        <w:rPr>
          <w:rFonts w:ascii="Times New Roman" w:hAnsi="Times New Roman"/>
          <w:sz w:val="24"/>
          <w:szCs w:val="24"/>
        </w:rPr>
        <w:t xml:space="preserve"> (El Confidencial - </w:t>
      </w:r>
      <w:r w:rsidRPr="008469D2">
        <w:rPr>
          <w:rFonts w:ascii="Times New Roman" w:hAnsi="Times New Roman"/>
          <w:b/>
          <w:sz w:val="24"/>
          <w:szCs w:val="24"/>
        </w:rPr>
        <w:t>15/11/13</w:t>
      </w:r>
      <w:r>
        <w:rPr>
          <w:rFonts w:ascii="Times New Roman" w:hAnsi="Times New Roman"/>
          <w:sz w:val="24"/>
          <w:szCs w:val="24"/>
        </w:rPr>
        <w:t>)</w:t>
      </w:r>
    </w:p>
    <w:p w:rsidR="00B11B07" w:rsidRDefault="00B11B07" w:rsidP="00387350">
      <w:pPr>
        <w:pStyle w:val="NormalWeb"/>
        <w:jc w:val="both"/>
      </w:pPr>
      <w:r w:rsidRPr="00361AB1">
        <w:t xml:space="preserve">Hemos entrado en una nueva era del trabajo, en un nuevo modelo (un </w:t>
      </w:r>
      <w:r>
        <w:t>“</w:t>
      </w:r>
      <w:r w:rsidRPr="007359B0">
        <w:rPr>
          <w:rStyle w:val="nfasis"/>
          <w:i w:val="0"/>
        </w:rPr>
        <w:t>new normal</w:t>
      </w:r>
      <w:r>
        <w:rPr>
          <w:rStyle w:val="nfasis"/>
          <w:i w:val="0"/>
        </w:rPr>
        <w:t>”</w:t>
      </w:r>
      <w:r w:rsidRPr="00361AB1">
        <w:t>) que está reconfigurando el mapa de trabajos y ocupaciones que se demandan y cuya verdadera dimensión veremos en los próximos años. Para desgracia nuestra, según asegura el informe realizado por el</w:t>
      </w:r>
      <w:r w:rsidRPr="00361AB1">
        <w:rPr>
          <w:rStyle w:val="nfasis"/>
        </w:rPr>
        <w:t xml:space="preserve"> </w:t>
      </w:r>
      <w:r>
        <w:rPr>
          <w:rStyle w:val="nfasis"/>
        </w:rPr>
        <w:t>“</w:t>
      </w:r>
      <w:r w:rsidRPr="007359B0">
        <w:rPr>
          <w:rStyle w:val="nfasis"/>
          <w:i w:val="0"/>
        </w:rPr>
        <w:t>think tank</w:t>
      </w:r>
      <w:r>
        <w:rPr>
          <w:rStyle w:val="nfasis"/>
          <w:i w:val="0"/>
        </w:rPr>
        <w:t>”</w:t>
      </w:r>
      <w:r w:rsidRPr="00361AB1">
        <w:rPr>
          <w:rStyle w:val="nfasis"/>
        </w:rPr>
        <w:t xml:space="preserve"> </w:t>
      </w:r>
      <w:r w:rsidRPr="00361AB1">
        <w:t xml:space="preserve">Resolution Foundation y por la London School of Economics, donde se muestra cómo desde el inicio de la crisis han crecido los trabajos de alta cualificación y los que requieren escasa formación pero </w:t>
      </w:r>
      <w:r w:rsidRPr="00B11B07">
        <w:rPr>
          <w:rStyle w:val="Textoennegrita"/>
          <w:b w:val="0"/>
        </w:rPr>
        <w:t>han desaparecido con preocupante rapidez los situados en el estrato medio</w:t>
      </w:r>
      <w:r w:rsidRPr="00B11B07">
        <w:rPr>
          <w:b/>
        </w:rPr>
        <w:t>.</w:t>
      </w:r>
      <w:r w:rsidRPr="00361AB1">
        <w:t xml:space="preserve"> El estudio, titulado </w:t>
      </w:r>
      <w:r>
        <w:t>“</w:t>
      </w:r>
      <w:hyperlink r:id="rId356" w:history="1">
        <w:r w:rsidRPr="001C3ABE">
          <w:rPr>
            <w:rStyle w:val="nfasis"/>
          </w:rPr>
          <w:t>¿Una crisis polarizante?</w:t>
        </w:r>
      </w:hyperlink>
      <w:r>
        <w:rPr>
          <w:rStyle w:val="nfasis"/>
          <w:i w:val="0"/>
        </w:rPr>
        <w:t>”</w:t>
      </w:r>
      <w:r>
        <w:t>, s</w:t>
      </w:r>
      <w:r w:rsidRPr="00361AB1">
        <w:t xml:space="preserve">eñala cómo el Reino Unido se dirige hacia un mercado del empleo que únicamente tendrá dos niveles, con una parte superior de la escala laboral, la de la </w:t>
      </w:r>
      <w:r w:rsidRPr="00B11B07">
        <w:rPr>
          <w:rStyle w:val="Textoennegrita"/>
          <w:b w:val="0"/>
        </w:rPr>
        <w:t>alta gestión, la consultoría y el trabajo de alta cualificación</w:t>
      </w:r>
      <w:r w:rsidRPr="00B11B07">
        <w:rPr>
          <w:b/>
        </w:rPr>
        <w:t xml:space="preserve"> </w:t>
      </w:r>
      <w:r w:rsidRPr="00361AB1">
        <w:t>que está creciendo un 16% desde el inicio de la crisis, y un sector inferior, el de los servicios y hostelería, que ha aumentado un 17% en ese mismo periodo. El informe señala cómo los empleadores han aprovechado la crisis para que los trabajadores cuyas tareas no son rutinarias (y que por tanto precisan de formación) hayan aceptado rebajas en sus salarios y han despedido a aquellos empleados cuyas tareas se podían automatizar de forma sencilla. Subraya además las fuerzas cíclicas que están transformando estructuralmente el mercado de trabajo, de forma que sectores antes pujantes, como la construcción, están dejando paso a</w:t>
      </w:r>
      <w:r w:rsidRPr="00361AB1">
        <w:rPr>
          <w:rStyle w:val="Textoennegrita"/>
        </w:rPr>
        <w:t xml:space="preserve"> </w:t>
      </w:r>
      <w:r w:rsidRPr="00B11B07">
        <w:rPr>
          <w:rStyle w:val="Textoennegrita"/>
          <w:b w:val="0"/>
        </w:rPr>
        <w:t>la salud, la asistencia social y las actividades económicas</w:t>
      </w:r>
      <w:r w:rsidRPr="00361AB1">
        <w:t xml:space="preserve"> como principales motores del empleo. Sin embargo, esos sectores que están creciendo y que implican labores no rutinarias, caso del cuidado de ancianos, han ido acompañados de </w:t>
      </w:r>
      <w:r w:rsidRPr="00B11B07">
        <w:rPr>
          <w:rStyle w:val="Textoennegrita"/>
          <w:b w:val="0"/>
        </w:rPr>
        <w:t>un descenso en las retribuciones</w:t>
      </w:r>
      <w:r w:rsidRPr="00361AB1">
        <w:t xml:space="preserve">. Por el contrario, los sectores cuyas tareas son repetitivas, como es el trabajo de secretaría, que se han llevado la peor parte de la caída en el empleo, apenas han variado en sus retribuciones (en aquellos casos que han logrado sobrevivir). En cuanto al mercado laboral estadounidense, que también es analizado en el informe, las conclusiones son aún más negativas, ya que </w:t>
      </w:r>
      <w:r w:rsidRPr="00B11B07">
        <w:rPr>
          <w:rStyle w:val="Textoennegrita"/>
          <w:b w:val="0"/>
        </w:rPr>
        <w:t>la polarización es mayor incluso que la del Reino Unido</w:t>
      </w:r>
      <w:r w:rsidRPr="00361AB1">
        <w:t>. Las industrias que ofrecen bajos salarios han aumentado considerablemente en los últimos años, y son cinco de los seis sectores que peores retribuciones ofrecen a sus trabajadores los que mayor empleo han ofertado entre 2008 y 2012. El tercio inferior en cuanto a salario de la pirámide laboral creció en 1,9 millones de 2008 a 2012 y el tercio de más alta cualificación aumentó en 409.000 empleados, mientras las industrias del estrato salarial intermedio perdieron 4,4 millones de puestos de trabajo. Esa tendencia, que no es fruto de una situación coyuntural sino de un cambio de rumbo, está afectando especialmente a ese sector que necesitaba de situaciones estables, trayectorias laborales sin sobresaltos y de situaciones sociales que permitían acumular lo conseguido, como era la clase media. Y es también esa tendencia la causante de que haya menos empleos y de que los existentes estén peor pagados.</w:t>
      </w:r>
    </w:p>
    <w:p w:rsidR="00B11B07" w:rsidRPr="009E496C" w:rsidRDefault="00B11B07" w:rsidP="00387350">
      <w:pPr>
        <w:pStyle w:val="NormalWeb"/>
        <w:jc w:val="both"/>
      </w:pPr>
      <w:r w:rsidRPr="009E496C">
        <w:t xml:space="preserve">- </w:t>
      </w:r>
      <w:r w:rsidRPr="009E496C">
        <w:rPr>
          <w:u w:val="single"/>
        </w:rPr>
        <w:t>La brecha de ingresos aumenta en EEUU: ¿desaparece la clase media?</w:t>
      </w:r>
      <w:r w:rsidRPr="009E496C">
        <w:t xml:space="preserve"> (El Economista </w:t>
      </w:r>
      <w:r>
        <w:t>-</w:t>
      </w:r>
      <w:r w:rsidRPr="009E496C">
        <w:t xml:space="preserve"> </w:t>
      </w:r>
      <w:r w:rsidRPr="009E496C">
        <w:rPr>
          <w:b/>
        </w:rPr>
        <w:t>18/11/13</w:t>
      </w:r>
      <w:r w:rsidRPr="009E496C">
        <w:t>)</w:t>
      </w:r>
    </w:p>
    <w:p w:rsidR="00B11B07" w:rsidRPr="00312AB2" w:rsidRDefault="00B11B07" w:rsidP="00387350">
      <w:pPr>
        <w:shd w:val="clear" w:color="auto" w:fill="FFFFFF"/>
        <w:spacing w:before="100" w:beforeAutospacing="1" w:after="255" w:line="240" w:lineRule="auto"/>
        <w:jc w:val="both"/>
        <w:rPr>
          <w:rFonts w:ascii="Times New Roman" w:hAnsi="Times New Roman"/>
          <w:sz w:val="24"/>
          <w:szCs w:val="24"/>
        </w:rPr>
      </w:pPr>
      <w:r w:rsidRPr="00312AB2">
        <w:rPr>
          <w:rFonts w:ascii="Times New Roman" w:hAnsi="Times New Roman"/>
          <w:sz w:val="24"/>
          <w:szCs w:val="24"/>
        </w:rPr>
        <w:t xml:space="preserve">La brecha de ingresos se ha incrementado entre los ciudadanos más adinerados y la clase media de Estados Unidos durante décadas y la modesta recuperación económica experimentada durante los últimos tres años parece no haber corregido este hecho, según nuevos datos del censo recogidos por el </w:t>
      </w:r>
      <w:hyperlink r:id="rId357" w:history="1">
        <w:r w:rsidRPr="00B11B07">
          <w:rPr>
            <w:rStyle w:val="Hipervnculo"/>
            <w:rFonts w:ascii="Times New Roman" w:hAnsi="Times New Roman"/>
            <w:color w:val="auto"/>
            <w:sz w:val="24"/>
            <w:szCs w:val="24"/>
            <w:u w:val="none"/>
          </w:rPr>
          <w:t>Washington Post</w:t>
        </w:r>
      </w:hyperlink>
      <w:r w:rsidRPr="00312AB2">
        <w:rPr>
          <w:rFonts w:ascii="Times New Roman" w:hAnsi="Times New Roman"/>
          <w:sz w:val="24"/>
          <w:szCs w:val="24"/>
        </w:rPr>
        <w:t>. Los nuevos datos sugieren que a pesar de la modesta recuperación, en muchos estados de la mayor economía del mundo,</w:t>
      </w:r>
      <w:r w:rsidRPr="00312AB2">
        <w:rPr>
          <w:rFonts w:ascii="Times New Roman" w:hAnsi="Times New Roman"/>
          <w:bCs/>
          <w:sz w:val="24"/>
          <w:szCs w:val="24"/>
        </w:rPr>
        <w:t xml:space="preserve"> la clase media se ha reducido</w:t>
      </w:r>
      <w:r w:rsidRPr="00312AB2">
        <w:rPr>
          <w:rFonts w:ascii="Times New Roman" w:hAnsi="Times New Roman"/>
          <w:sz w:val="24"/>
          <w:szCs w:val="24"/>
        </w:rPr>
        <w:t xml:space="preserve">, mientras que cada vez más familias han tenido que ser incluidas en los grupos de ingresos más bajos y más altos. Tanto en </w:t>
      </w:r>
      <w:r w:rsidRPr="00312AB2">
        <w:rPr>
          <w:rFonts w:ascii="Times New Roman" w:hAnsi="Times New Roman"/>
          <w:sz w:val="24"/>
          <w:szCs w:val="24"/>
        </w:rPr>
        <w:lastRenderedPageBreak/>
        <w:t xml:space="preserve">muchos estados como a nivel nacional, las clases más pudientes vieron un mayor crecimiento en sus ingresos mientras los de la clase media siguen disminuyendo. </w:t>
      </w:r>
      <w:r w:rsidRPr="00312AB2">
        <w:rPr>
          <w:rFonts w:ascii="Times New Roman" w:hAnsi="Times New Roman"/>
          <w:bCs/>
          <w:sz w:val="24"/>
          <w:szCs w:val="24"/>
        </w:rPr>
        <w:t>Los datos del estado por estado comparan los ingresos durante períodos de tres años: de 2007 hasta 2009, que incluye la Gran Recesión, y de 2010 a 2012, un período que incluye la recuperación en curso</w:t>
      </w:r>
      <w:r w:rsidRPr="00312AB2">
        <w:rPr>
          <w:rFonts w:ascii="Times New Roman" w:hAnsi="Times New Roman"/>
          <w:sz w:val="24"/>
          <w:szCs w:val="24"/>
        </w:rPr>
        <w:t xml:space="preserve">. Durante años, el 1 por ciento más rico ha acumulado más ingresos que el resto. </w:t>
      </w:r>
      <w:r w:rsidRPr="00312AB2">
        <w:rPr>
          <w:rFonts w:ascii="Times New Roman" w:hAnsi="Times New Roman"/>
          <w:bCs/>
          <w:sz w:val="24"/>
          <w:szCs w:val="24"/>
        </w:rPr>
        <w:t>Desde 1979 hasta el 2007, por ejemplo, el 1 por ciento de las familias más pudientes han visto sus ingresos crecer un 275 por ciento</w:t>
      </w:r>
      <w:r w:rsidRPr="00312AB2">
        <w:rPr>
          <w:rFonts w:ascii="Times New Roman" w:hAnsi="Times New Roman"/>
          <w:sz w:val="24"/>
          <w:szCs w:val="24"/>
        </w:rPr>
        <w:t xml:space="preserve">, de acuerdo a un estudio de la Oficina de Presupuesto del Congreso. </w:t>
      </w:r>
      <w:r w:rsidRPr="00312AB2">
        <w:rPr>
          <w:rFonts w:ascii="Times New Roman" w:hAnsi="Times New Roman"/>
          <w:bCs/>
          <w:sz w:val="24"/>
          <w:szCs w:val="24"/>
        </w:rPr>
        <w:t>Por su parte la parte inferior de las familias, registraron un incremento en sus ingresos de alrededor del 18 por ciento</w:t>
      </w:r>
      <w:r w:rsidRPr="00312AB2">
        <w:rPr>
          <w:rFonts w:ascii="Times New Roman" w:hAnsi="Times New Roman"/>
          <w:sz w:val="24"/>
          <w:szCs w:val="24"/>
        </w:rPr>
        <w:t xml:space="preserve">. El reciente premio Nobel de Economía, Robert Shiller, puso de manifiesto la semana pasada que la desigualdad de ingresos es </w:t>
      </w:r>
      <w:r>
        <w:rPr>
          <w:rFonts w:ascii="Times New Roman" w:hAnsi="Times New Roman"/>
          <w:bCs/>
          <w:sz w:val="24"/>
          <w:szCs w:val="24"/>
        </w:rPr>
        <w:t>“</w:t>
      </w:r>
      <w:r w:rsidRPr="00312AB2">
        <w:rPr>
          <w:rFonts w:ascii="Times New Roman" w:hAnsi="Times New Roman"/>
          <w:bCs/>
          <w:sz w:val="24"/>
          <w:szCs w:val="24"/>
        </w:rPr>
        <w:t>el problema más importante q</w:t>
      </w:r>
      <w:r>
        <w:rPr>
          <w:rFonts w:ascii="Times New Roman" w:hAnsi="Times New Roman"/>
          <w:bCs/>
          <w:sz w:val="24"/>
          <w:szCs w:val="24"/>
        </w:rPr>
        <w:t>ue enfrentamos en la actualidad”</w:t>
      </w:r>
      <w:r w:rsidRPr="00312AB2">
        <w:rPr>
          <w:rFonts w:ascii="Times New Roman" w:hAnsi="Times New Roman"/>
          <w:sz w:val="24"/>
          <w:szCs w:val="24"/>
        </w:rPr>
        <w:t>. Al mismo tiempo, la candidata del presidente Obama para dirigir l</w:t>
      </w:r>
      <w:r>
        <w:rPr>
          <w:rFonts w:ascii="Times New Roman" w:hAnsi="Times New Roman"/>
          <w:sz w:val="24"/>
          <w:szCs w:val="24"/>
        </w:rPr>
        <w:t>a Reserva Federal, Janet Yellen</w:t>
      </w:r>
      <w:r w:rsidRPr="00312AB2">
        <w:rPr>
          <w:rFonts w:ascii="Times New Roman" w:hAnsi="Times New Roman"/>
          <w:sz w:val="24"/>
          <w:szCs w:val="24"/>
        </w:rPr>
        <w:t xml:space="preserve">, </w:t>
      </w:r>
      <w:r w:rsidRPr="00312AB2">
        <w:rPr>
          <w:rFonts w:ascii="Times New Roman" w:hAnsi="Times New Roman"/>
          <w:bCs/>
          <w:sz w:val="24"/>
          <w:szCs w:val="24"/>
        </w:rPr>
        <w:t>definió la desigualda</w:t>
      </w:r>
      <w:r>
        <w:rPr>
          <w:rFonts w:ascii="Times New Roman" w:hAnsi="Times New Roman"/>
          <w:bCs/>
          <w:sz w:val="24"/>
          <w:szCs w:val="24"/>
        </w:rPr>
        <w:t>d de ingresos como un problema “extremadamente difícil” y “muy preocupante”</w:t>
      </w:r>
      <w:r w:rsidRPr="00312AB2">
        <w:rPr>
          <w:rFonts w:ascii="Times New Roman" w:hAnsi="Times New Roman"/>
          <w:sz w:val="24"/>
          <w:szCs w:val="24"/>
        </w:rPr>
        <w:t>.</w:t>
      </w:r>
    </w:p>
    <w:p w:rsidR="00B11B07" w:rsidRPr="00312AB2" w:rsidRDefault="00B11B07" w:rsidP="00387350">
      <w:pPr>
        <w:spacing w:line="240" w:lineRule="auto"/>
        <w:jc w:val="both"/>
        <w:rPr>
          <w:rFonts w:ascii="Times New Roman" w:hAnsi="Times New Roman"/>
          <w:sz w:val="24"/>
          <w:szCs w:val="24"/>
        </w:rPr>
      </w:pPr>
      <w:r w:rsidRPr="00312AB2">
        <w:rPr>
          <w:rFonts w:ascii="Times New Roman" w:hAnsi="Times New Roman"/>
          <w:sz w:val="24"/>
          <w:szCs w:val="24"/>
          <w:u w:val="single"/>
        </w:rPr>
        <w:t>¿Cuánto percibe el trabajador del salario bruto?</w:t>
      </w:r>
      <w:r>
        <w:rPr>
          <w:rFonts w:ascii="Times New Roman" w:hAnsi="Times New Roman"/>
          <w:sz w:val="24"/>
          <w:szCs w:val="24"/>
        </w:rPr>
        <w:t xml:space="preserve"> (Fuente: Libertad Digital - </w:t>
      </w:r>
      <w:r w:rsidRPr="00140429">
        <w:rPr>
          <w:rFonts w:ascii="Times New Roman" w:hAnsi="Times New Roman"/>
          <w:b/>
          <w:sz w:val="24"/>
          <w:szCs w:val="24"/>
        </w:rPr>
        <w:t>17/11/13</w:t>
      </w:r>
      <w:r>
        <w:rPr>
          <w:rFonts w:ascii="Times New Roman" w:hAnsi="Times New Roman"/>
          <w:sz w:val="24"/>
          <w:szCs w:val="24"/>
        </w:rPr>
        <w:t>)</w:t>
      </w:r>
    </w:p>
    <w:p w:rsidR="00B11B07" w:rsidRDefault="00B11B07" w:rsidP="00387350">
      <w:pPr>
        <w:pStyle w:val="NormalWeb"/>
        <w:jc w:val="both"/>
      </w:pPr>
      <w:r>
        <w:rPr>
          <w:noProof/>
          <w:color w:val="000000"/>
        </w:rPr>
        <w:drawing>
          <wp:inline distT="0" distB="0" distL="0" distR="0" wp14:anchorId="3CBECAEB" wp14:editId="7E7B809E">
            <wp:extent cx="5398617" cy="5596128"/>
            <wp:effectExtent l="0" t="0" r="0" b="5080"/>
            <wp:docPr id="70" name="Imagen 70" descr="http://s.libertaddigital.com/fotos/noticias/impuestos_futuro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descr="http://s.libertaddigital.com/fotos/noticias/impuestos_futuro_1.jp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398617" cy="5596128"/>
                    </a:xfrm>
                    <a:prstGeom prst="rect">
                      <a:avLst/>
                    </a:prstGeom>
                    <a:noFill/>
                    <a:ln>
                      <a:noFill/>
                    </a:ln>
                  </pic:spPr>
                </pic:pic>
              </a:graphicData>
            </a:graphic>
          </wp:inline>
        </w:drawing>
      </w:r>
    </w:p>
    <w:p w:rsidR="00B11B07" w:rsidRDefault="00B11B07" w:rsidP="0038735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 xml:space="preserve">- </w:t>
      </w:r>
      <w:r w:rsidRPr="0060287C">
        <w:rPr>
          <w:rFonts w:ascii="Times New Roman" w:hAnsi="Times New Roman"/>
          <w:sz w:val="24"/>
          <w:szCs w:val="24"/>
          <w:u w:val="single"/>
        </w:rPr>
        <w:t>Así será el futuro de los jóvenes de hoy: sin dinero, sin pareja, sin hijos</w:t>
      </w:r>
      <w:r>
        <w:rPr>
          <w:rFonts w:ascii="Times New Roman" w:hAnsi="Times New Roman"/>
          <w:sz w:val="24"/>
          <w:szCs w:val="24"/>
        </w:rPr>
        <w:t xml:space="preserve"> (El Confidencial - </w:t>
      </w:r>
      <w:r w:rsidRPr="0060287C">
        <w:rPr>
          <w:rFonts w:ascii="Times New Roman" w:hAnsi="Times New Roman"/>
          <w:b/>
          <w:sz w:val="24"/>
          <w:szCs w:val="24"/>
        </w:rPr>
        <w:t>24/11/13</w:t>
      </w:r>
      <w:r>
        <w:rPr>
          <w:rFonts w:ascii="Times New Roman" w:hAnsi="Times New Roman"/>
          <w:sz w:val="24"/>
          <w:szCs w:val="24"/>
        </w:rPr>
        <w:t>)</w:t>
      </w:r>
    </w:p>
    <w:p w:rsidR="00B11B07" w:rsidRPr="00B11B07" w:rsidRDefault="00B11B07" w:rsidP="00387350">
      <w:pPr>
        <w:spacing w:before="100" w:beforeAutospacing="1" w:after="100" w:afterAutospacing="1" w:line="240" w:lineRule="auto"/>
        <w:jc w:val="both"/>
        <w:rPr>
          <w:rFonts w:ascii="Times New Roman" w:hAnsi="Times New Roman"/>
          <w:sz w:val="24"/>
          <w:szCs w:val="24"/>
        </w:rPr>
      </w:pPr>
      <w:r w:rsidRPr="00AC65EA">
        <w:rPr>
          <w:rFonts w:ascii="Times New Roman" w:hAnsi="Times New Roman"/>
          <w:sz w:val="24"/>
          <w:szCs w:val="24"/>
        </w:rPr>
        <w:t xml:space="preserve">La discusión sobre los millenials, o la llamada generación Y (es decir, la de los nacidos durante los años ochenta y noventa, por simplificar), ha copado las portadas de los medios de comunicación durante el último año… Un nuevo e interesante libro viene a arrojar nueva luz sobre la generación que está llamada a tomar las riendas de la sociedad durante las dos próximas décadas. Se trata de </w:t>
      </w:r>
      <w:r w:rsidRPr="001C3ABE">
        <w:rPr>
          <w:rFonts w:ascii="Times New Roman" w:hAnsi="Times New Roman"/>
          <w:i/>
          <w:sz w:val="24"/>
          <w:szCs w:val="24"/>
        </w:rPr>
        <w:t>Baby Bust: New Choices for Men and Women and Work in Family</w:t>
      </w:r>
      <w:r w:rsidRPr="00AC65EA">
        <w:rPr>
          <w:rFonts w:ascii="Times New Roman" w:hAnsi="Times New Roman"/>
          <w:sz w:val="24"/>
          <w:szCs w:val="24"/>
        </w:rPr>
        <w:t xml:space="preserve"> (Wharton Digital Press), un breve volumen escrito por Stewart Friedman con un título que no deja lugar a dudas sobre su contenido: el “fiasco” (“bust”) del título es un juego de palabras con la “explosión” (“boom”) de los “baby boomers”, la generación de sus abuelos: si aquella estuvo marcada por la explosión demográfica, el destino de la nueva generación es su decrecimiento de las tasas de natalidad. ¿Por qué? Friedman explica en las primeras páginas de su volumen que si en 1991 el porcentaje de jóvenes que tenían pensado tener descendencia se encontraba en el 78%, veinte años más tarde, la situación es muy distinta, y la cifra ha descendido hasta el 42%. En España, la tendencia quizá no sea tan acentuada, pero sí existe: según el Instituto de Estadística de Madrid, el 14,5% de las parejas en edad fértil de la región no se plantea tener otro retoño, mientras que en 1991 el porcentaje era únicamente del 6%. Además, según un estudio realizado por la Fundación Acción Familiar a partir de datos del INE y Eurostat, el 51% de mujeres en el mercado laboral no tienen hijos y el 85% de las mujeres trabajadoras renuncian a tener más descendencia. A tal respecto, Friedman asegura que no se trata, como ocurrió en el pasado reciente, de una reducción del número de hijos -en España, la tendencia a tener un único vástago se acentuó durante las últimas dos décadas-, sino de que cada vez hay más parejas (e individuos) que optan de manera voluntaria por no tener ninguna clase de descendencia. En opinión del autor, los millenials viven un conflicto que las generaciones anteriores conocieron de manera menos acentuada, debido a dos factores: “los requerimientos temporales del trabajo se han disparado (hasta 14 horas al día) y la deuda estudiantil se ha multiplicado”. Precisamente, una reciente encuesta manifestaba que el 80% de los españoles trabaja 10 horas o más al día, a la par que las tasas universitarias han aumentado hasta un 40%. En definitiva, una situación no tan diferente a la de Estados Unidos. En definitiva, en un panorama en el que el paro juvenil ha aumentado hasta niveles críticos y en el que la formación del individuo puede alargase más allá de los 30 años, resulta cada vez más complicado gozar de los recursos económicos necesarios para mantener una familia antes de cumplir los cuarenta. E incluso en dicho caso, las exigencias laborales imposibilitan la compatibilidad entre la vida profesional y la personal, incluso aunque se haya alcanzado la tan deseada igualdad de género, que en muchos casos, ha provocado que ambos miembros de la pareja pasen la mitad del día fuera del hogar, algo que imposibilita la formación de una familia.</w:t>
      </w:r>
    </w:p>
    <w:p w:rsidR="00B11B07" w:rsidRDefault="00B11B07"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DD0FF3">
        <w:rPr>
          <w:rFonts w:ascii="Times New Roman" w:hAnsi="Times New Roman"/>
          <w:sz w:val="24"/>
          <w:szCs w:val="24"/>
          <w:u w:val="single"/>
        </w:rPr>
        <w:t>España tardará todavía 20 años en volver a los niveles de paro anteriores a la crisis</w:t>
      </w:r>
      <w:r>
        <w:rPr>
          <w:rFonts w:ascii="Times New Roman" w:hAnsi="Times New Roman"/>
          <w:sz w:val="24"/>
          <w:szCs w:val="24"/>
        </w:rPr>
        <w:t xml:space="preserve"> (El Confidencial - </w:t>
      </w:r>
      <w:r w:rsidRPr="00DD0FF3">
        <w:rPr>
          <w:rFonts w:ascii="Times New Roman" w:hAnsi="Times New Roman"/>
          <w:b/>
          <w:sz w:val="24"/>
          <w:szCs w:val="24"/>
        </w:rPr>
        <w:t>3/12/13</w:t>
      </w:r>
      <w:r>
        <w:rPr>
          <w:rFonts w:ascii="Times New Roman" w:hAnsi="Times New Roman"/>
          <w:sz w:val="24"/>
          <w:szCs w:val="24"/>
        </w:rPr>
        <w:t>)</w:t>
      </w:r>
    </w:p>
    <w:p w:rsidR="00B11B07" w:rsidRPr="00AC65EA" w:rsidRDefault="00B11B07" w:rsidP="00387350">
      <w:pPr>
        <w:pStyle w:val="NormalWeb"/>
        <w:jc w:val="both"/>
      </w:pPr>
      <w:r w:rsidRPr="00AC65EA">
        <w:t xml:space="preserve">Los efectos negativos de la </w:t>
      </w:r>
      <w:r w:rsidRPr="00B11B07">
        <w:rPr>
          <w:rStyle w:val="Textoennegrita"/>
          <w:b w:val="0"/>
        </w:rPr>
        <w:t>crisis económica</w:t>
      </w:r>
      <w:r w:rsidRPr="00AC65EA">
        <w:t xml:space="preserve"> tardarán tiempo, mucho tiempo, en superarse. Tanto que hasta 2033, España no alcanzará </w:t>
      </w:r>
      <w:r w:rsidRPr="00B11B07">
        <w:rPr>
          <w:rStyle w:val="Textoennegrita"/>
          <w:b w:val="0"/>
        </w:rPr>
        <w:t>niveles de desempleo</w:t>
      </w:r>
      <w:r w:rsidRPr="00AC65EA">
        <w:t xml:space="preserve"> similares a los que tendrá ese año la Unión Europea (UE). O expresado en términos más directos. Hasta dentro de dos décadas no logrará situar el paro en el 6,8%, es decir, un punto por debajo de los registros que logró antes de la crisis. Y ello pese a que su crecimiento económico será mayor que en el conjunto de la región. En concreto, el Producto Interior </w:t>
      </w:r>
      <w:r w:rsidRPr="00AC65EA">
        <w:lastRenderedPageBreak/>
        <w:t xml:space="preserve">Bruto (PIB) rozará los 1,3 billones de euros ese año (en términos constantes) y tendrá un crecimiento acumulado del 42%; por encima de lo que lo hará la actividad en países como </w:t>
      </w:r>
      <w:r w:rsidRPr="00B11B07">
        <w:rPr>
          <w:rStyle w:val="Textoennegrita"/>
          <w:b w:val="0"/>
        </w:rPr>
        <w:t>Alemania</w:t>
      </w:r>
      <w:r w:rsidRPr="00B11B07">
        <w:rPr>
          <w:b/>
        </w:rPr>
        <w:t xml:space="preserve"> e </w:t>
      </w:r>
      <w:r w:rsidRPr="00B11B07">
        <w:rPr>
          <w:rStyle w:val="Textoennegrita"/>
          <w:b w:val="0"/>
        </w:rPr>
        <w:t>Italia</w:t>
      </w:r>
      <w:r w:rsidRPr="00AC65EA">
        <w:t xml:space="preserve">, 26%, y </w:t>
      </w:r>
      <w:r w:rsidRPr="00B11B07">
        <w:rPr>
          <w:rStyle w:val="Textoennegrita"/>
          <w:b w:val="0"/>
        </w:rPr>
        <w:t>Francia</w:t>
      </w:r>
      <w:r w:rsidRPr="00AC65EA">
        <w:t>, 33%, y por encima también de la media de la UE. El empleo, sin embarg</w:t>
      </w:r>
      <w:r>
        <w:t>o, seguirá siendo el verdadero “agujero”</w:t>
      </w:r>
      <w:r w:rsidRPr="00AC65EA">
        <w:t xml:space="preserve"> de la economía. Y como muestra lo que ha sucedido en el pasado. En el período de 37 años transcurridos entre 1976 y 2013, el PIB español se ha multiplicado por 2,5, </w:t>
      </w:r>
      <w:r w:rsidRPr="0088487E">
        <w:t>la</w:t>
      </w:r>
      <w:r w:rsidRPr="00B11B07">
        <w:rPr>
          <w:b/>
        </w:rPr>
        <w:t xml:space="preserve"> </w:t>
      </w:r>
      <w:r w:rsidRPr="00B11B07">
        <w:rPr>
          <w:rStyle w:val="Textoennegrita"/>
          <w:b w:val="0"/>
        </w:rPr>
        <w:t>renta per cápita</w:t>
      </w:r>
      <w:r w:rsidRPr="00AC65EA">
        <w:t xml:space="preserve"> se ha duplicado, pero el número de ocupados solo ha crecido 1,3 veces a pesar de que la población mayor de 16 años lo ha hecho por 1,5.</w:t>
      </w:r>
    </w:p>
    <w:p w:rsidR="00B11B07" w:rsidRPr="00AC65EA" w:rsidRDefault="00B11B07" w:rsidP="00387350">
      <w:pPr>
        <w:pStyle w:val="NormalWeb"/>
        <w:jc w:val="both"/>
      </w:pPr>
      <w:r w:rsidRPr="00AC65EA">
        <w:t xml:space="preserve">                     </w:t>
      </w:r>
      <w:r w:rsidRPr="00AC65EA">
        <w:rPr>
          <w:noProof/>
        </w:rPr>
        <w:drawing>
          <wp:inline distT="0" distB="0" distL="0" distR="0" wp14:anchorId="63023923" wp14:editId="6756EAC6">
            <wp:extent cx="4257722" cy="2084832"/>
            <wp:effectExtent l="19050" t="0" r="9478" b="0"/>
            <wp:docPr id="83" name="Imagen 1" descr="http://www.ecestaticos.com/image/clipping/485538be4b408e6f37f5ce5d3e2a0d21/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clipping/485538be4b408e6f37f5ce5d3e2a0d21/imagen-sin-titulo.jpg"/>
                    <pic:cNvPicPr>
                      <a:picLocks noChangeAspect="1" noChangeArrowheads="1"/>
                    </pic:cNvPicPr>
                  </pic:nvPicPr>
                  <pic:blipFill>
                    <a:blip r:embed="rId359" cstate="print"/>
                    <a:srcRect/>
                    <a:stretch>
                      <a:fillRect/>
                    </a:stretch>
                  </pic:blipFill>
                  <pic:spPr bwMode="auto">
                    <a:xfrm>
                      <a:off x="0" y="0"/>
                      <a:ext cx="4257893" cy="2084915"/>
                    </a:xfrm>
                    <a:prstGeom prst="rect">
                      <a:avLst/>
                    </a:prstGeom>
                    <a:noFill/>
                    <a:ln w="9525">
                      <a:noFill/>
                      <a:miter lim="800000"/>
                      <a:headEnd/>
                      <a:tailEnd/>
                    </a:ln>
                  </pic:spPr>
                </pic:pic>
              </a:graphicData>
            </a:graphic>
          </wp:inline>
        </w:drawing>
      </w:r>
    </w:p>
    <w:p w:rsidR="00B11B07" w:rsidRPr="00B11B07" w:rsidRDefault="00B11B07" w:rsidP="00387350">
      <w:pPr>
        <w:pStyle w:val="NormalWeb"/>
        <w:jc w:val="both"/>
        <w:rPr>
          <w:b/>
        </w:rPr>
      </w:pPr>
      <w:r w:rsidRPr="00AC65EA">
        <w:t xml:space="preserve">Las cifras aparecen en un documento presentado este martes por la consultora PwC,  en el que se prevé que la economía española “no será capaz de recuperar, antes de 2033, el ritmo de crecimiento </w:t>
      </w:r>
      <w:r w:rsidRPr="00B11B07">
        <w:rPr>
          <w:rStyle w:val="Textoennegrita"/>
          <w:b w:val="0"/>
        </w:rPr>
        <w:t>previo a la crisis</w:t>
      </w:r>
      <w:r w:rsidRPr="00AC65EA">
        <w:t xml:space="preserve"> y que hasta entonces no superará el 2% de media anual”. El trabajo de prospectiva se ha hecho bajo dos supuestos. El primero parte de un crecimiento medio del 1,6% en el periodo 2014-2020, y de un 2,1% en el segundo periodo 2021-2033. En el segundo escenario,  un 1,9% en el primer periodo y un 2,5% en el posterior. Las diferencias esenciales entre el escenario uno y el escenario dos radican en una mayor tasa de empleo, la mejora de la inversión en </w:t>
      </w:r>
      <w:r w:rsidRPr="00B11B07">
        <w:rPr>
          <w:rStyle w:val="Textoennegrita"/>
          <w:b w:val="0"/>
        </w:rPr>
        <w:t>tecnologías de la información</w:t>
      </w:r>
      <w:r w:rsidRPr="00B11B07">
        <w:rPr>
          <w:b/>
        </w:rPr>
        <w:t xml:space="preserve"> </w:t>
      </w:r>
      <w:r w:rsidRPr="00AC65EA">
        <w:t>y la mejora de la productividad, basada en una mayor y mejor</w:t>
      </w:r>
      <w:r w:rsidRPr="00AC65EA">
        <w:rPr>
          <w:rStyle w:val="Textoennegrita"/>
        </w:rPr>
        <w:t xml:space="preserve"> </w:t>
      </w:r>
      <w:r w:rsidRPr="00B11B07">
        <w:rPr>
          <w:rStyle w:val="Textoennegrita"/>
          <w:b w:val="0"/>
        </w:rPr>
        <w:t>innovación</w:t>
      </w:r>
      <w:r w:rsidRPr="00B11B07">
        <w:rPr>
          <w:b/>
        </w:rPr>
        <w:t xml:space="preserve"> </w:t>
      </w:r>
      <w:r w:rsidRPr="00AC65EA">
        <w:t xml:space="preserve">y en una mayor exportación. En los dos escenarios juegan además un rol relevante la mejora de la calidad de la </w:t>
      </w:r>
      <w:r w:rsidRPr="00B11B07">
        <w:rPr>
          <w:rStyle w:val="Textoennegrita"/>
          <w:b w:val="0"/>
        </w:rPr>
        <w:t>formación</w:t>
      </w:r>
      <w:r w:rsidRPr="00AC65EA">
        <w:rPr>
          <w:rStyle w:val="Textoennegrita"/>
        </w:rPr>
        <w:t xml:space="preserve"> </w:t>
      </w:r>
      <w:r w:rsidRPr="00AC65EA">
        <w:t>y la</w:t>
      </w:r>
      <w:r w:rsidRPr="00AC65EA">
        <w:rPr>
          <w:b/>
        </w:rPr>
        <w:t xml:space="preserve"> </w:t>
      </w:r>
      <w:r w:rsidRPr="00B11B07">
        <w:rPr>
          <w:rStyle w:val="Textoennegrita"/>
          <w:b w:val="0"/>
        </w:rPr>
        <w:t>productividad del capital</w:t>
      </w:r>
      <w:r w:rsidRPr="00B11B07">
        <w:rPr>
          <w:b/>
        </w:rPr>
        <w:t>.</w:t>
      </w:r>
    </w:p>
    <w:p w:rsidR="00B11B07" w:rsidRPr="00AC65EA" w:rsidRDefault="00B11B07" w:rsidP="00387350">
      <w:pPr>
        <w:pStyle w:val="NormalWeb"/>
        <w:jc w:val="both"/>
      </w:pPr>
      <w:r w:rsidRPr="00AC65EA">
        <w:t xml:space="preserve">                       </w:t>
      </w:r>
      <w:r w:rsidRPr="00AC65EA">
        <w:rPr>
          <w:noProof/>
        </w:rPr>
        <w:drawing>
          <wp:inline distT="0" distB="0" distL="0" distR="0" wp14:anchorId="0C799FD3" wp14:editId="30F518BA">
            <wp:extent cx="3901897" cy="1747951"/>
            <wp:effectExtent l="19050" t="0" r="3353" b="0"/>
            <wp:docPr id="84" name="Imagen 2" descr="http://www.ecestaticos.com/image/clipping/53e0c3aa6a0c59105660404e6f26ad89/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estaticos.com/image/clipping/53e0c3aa6a0c59105660404e6f26ad89/imagen-sin-titulo.jpg"/>
                    <pic:cNvPicPr>
                      <a:picLocks noChangeAspect="1" noChangeArrowheads="1"/>
                    </pic:cNvPicPr>
                  </pic:nvPicPr>
                  <pic:blipFill>
                    <a:blip r:embed="rId360" cstate="print"/>
                    <a:srcRect/>
                    <a:stretch>
                      <a:fillRect/>
                    </a:stretch>
                  </pic:blipFill>
                  <pic:spPr bwMode="auto">
                    <a:xfrm>
                      <a:off x="0" y="0"/>
                      <a:ext cx="3905800" cy="1749699"/>
                    </a:xfrm>
                    <a:prstGeom prst="rect">
                      <a:avLst/>
                    </a:prstGeom>
                    <a:noFill/>
                    <a:ln w="9525">
                      <a:noFill/>
                      <a:miter lim="800000"/>
                      <a:headEnd/>
                      <a:tailEnd/>
                    </a:ln>
                  </pic:spPr>
                </pic:pic>
              </a:graphicData>
            </a:graphic>
          </wp:inline>
        </w:drawing>
      </w:r>
    </w:p>
    <w:p w:rsidR="00B11B07" w:rsidRPr="00B11B07" w:rsidRDefault="00B11B07" w:rsidP="00387350">
      <w:pPr>
        <w:pStyle w:val="NormalWeb"/>
        <w:jc w:val="both"/>
        <w:rPr>
          <w:rStyle w:val="Textoennegrita"/>
          <w:b w:val="0"/>
        </w:rPr>
      </w:pPr>
      <w:r w:rsidRPr="00AC65EA">
        <w:t xml:space="preserve">Según la consultora, la economía española se diferencia en tres aspectos de otras economías comparables: Un crecimiento más intensivo en capital y menos en trabajo, con </w:t>
      </w:r>
      <w:r w:rsidRPr="00B11B07">
        <w:rPr>
          <w:rStyle w:val="Textoennegrita"/>
          <w:b w:val="0"/>
        </w:rPr>
        <w:t>déficit crónico de empleo</w:t>
      </w:r>
      <w:r w:rsidRPr="00AC65EA">
        <w:t xml:space="preserve">, incluso en las épocas de boom; un </w:t>
      </w:r>
      <w:r w:rsidRPr="00B11B07">
        <w:rPr>
          <w:rStyle w:val="Textoennegrita"/>
          <w:b w:val="0"/>
        </w:rPr>
        <w:t>saldo exterior deficitario</w:t>
      </w:r>
      <w:r w:rsidRPr="00B11B07">
        <w:rPr>
          <w:b/>
        </w:rPr>
        <w:t xml:space="preserve"> </w:t>
      </w:r>
      <w:r w:rsidRPr="00AC65EA">
        <w:t>y una muy baja</w:t>
      </w:r>
      <w:r w:rsidRPr="00AC65EA">
        <w:rPr>
          <w:rStyle w:val="Textoennegrita"/>
        </w:rPr>
        <w:t xml:space="preserve"> </w:t>
      </w:r>
      <w:r w:rsidRPr="00B11B07">
        <w:rPr>
          <w:rStyle w:val="Textoennegrita"/>
          <w:b w:val="0"/>
        </w:rPr>
        <w:t>eficiencia productiva.</w:t>
      </w:r>
    </w:p>
    <w:p w:rsidR="00B11B07" w:rsidRPr="00293CC4" w:rsidRDefault="00B11B07" w:rsidP="00387350">
      <w:pPr>
        <w:shd w:val="clear" w:color="auto" w:fill="FFFFFF"/>
        <w:spacing w:after="0"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Obama: la desigualdad en EEUU, “comparable”</w:t>
      </w:r>
      <w:r w:rsidRPr="00CC3C36">
        <w:rPr>
          <w:rFonts w:ascii="Times New Roman" w:hAnsi="Times New Roman"/>
          <w:sz w:val="24"/>
          <w:szCs w:val="24"/>
          <w:u w:val="single"/>
        </w:rPr>
        <w:t xml:space="preserve"> a la de Jamaica o Argentina</w:t>
      </w:r>
      <w:r>
        <w:rPr>
          <w:rFonts w:ascii="Times New Roman" w:hAnsi="Times New Roman"/>
          <w:sz w:val="24"/>
          <w:szCs w:val="24"/>
        </w:rPr>
        <w:t xml:space="preserve"> (BBCMundo - </w:t>
      </w:r>
      <w:r w:rsidRPr="00CC3C36">
        <w:rPr>
          <w:rFonts w:ascii="Times New Roman" w:hAnsi="Times New Roman"/>
          <w:b/>
          <w:sz w:val="24"/>
          <w:szCs w:val="24"/>
        </w:rPr>
        <w:t>5/12/13</w:t>
      </w:r>
      <w:r>
        <w:rPr>
          <w:rFonts w:ascii="Times New Roman" w:hAnsi="Times New Roman"/>
          <w:sz w:val="24"/>
          <w:szCs w:val="24"/>
        </w:rPr>
        <w:t>)</w:t>
      </w:r>
    </w:p>
    <w:p w:rsidR="00B11B07" w:rsidRDefault="00B11B07" w:rsidP="00387350">
      <w:pPr>
        <w:shd w:val="clear" w:color="auto" w:fill="FFFFFF"/>
        <w:spacing w:after="0" w:line="240" w:lineRule="auto"/>
        <w:jc w:val="both"/>
        <w:rPr>
          <w:rFonts w:ascii="Times New Roman" w:hAnsi="Times New Roman"/>
          <w:sz w:val="24"/>
          <w:szCs w:val="24"/>
        </w:rPr>
      </w:pPr>
    </w:p>
    <w:p w:rsidR="00B11B07" w:rsidRPr="00EE0E4A" w:rsidRDefault="00B11B07" w:rsidP="00387350">
      <w:pPr>
        <w:shd w:val="clear" w:color="auto" w:fill="FFFFFF"/>
        <w:spacing w:after="0" w:line="240" w:lineRule="auto"/>
        <w:jc w:val="both"/>
        <w:rPr>
          <w:rFonts w:ascii="Times New Roman" w:hAnsi="Times New Roman"/>
          <w:sz w:val="24"/>
          <w:szCs w:val="24"/>
        </w:rPr>
      </w:pPr>
      <w:r w:rsidRPr="00EE0E4A">
        <w:rPr>
          <w:rFonts w:ascii="Times New Roman" w:hAnsi="Times New Roman"/>
          <w:sz w:val="24"/>
          <w:szCs w:val="24"/>
        </w:rPr>
        <w:t>Con los problemas de la reforma sanitaria todavía coleando, el presidente Barack Obama quiere que se vuelva a hablar de economía. Y para eso, abrió un nuevo frente en el campo de la desigualdad económica que dijo pone en peligro “el sueño americano”. Desde que ganó la reelección el año pasado, en EEUU casi no se habla de otra cosa que de la reforma sanitaria y el muy vinculado cierre de la administración, un asunto que ha golpeado duramente la popularidad del presidente.</w:t>
      </w:r>
      <w:r>
        <w:rPr>
          <w:rFonts w:ascii="Times New Roman" w:hAnsi="Times New Roman"/>
          <w:sz w:val="24"/>
          <w:szCs w:val="24"/>
        </w:rPr>
        <w:t xml:space="preserve"> </w:t>
      </w:r>
      <w:r w:rsidRPr="00EE0E4A">
        <w:rPr>
          <w:rFonts w:ascii="Times New Roman" w:hAnsi="Times New Roman"/>
          <w:sz w:val="24"/>
          <w:szCs w:val="24"/>
        </w:rPr>
        <w:t>Y parece que Obama quiere pasar página, dejar atrás el asunto y que se hable de otra cosa, en concreto de economía. Así, el presidente colocó sobre la mesa de la agenda política Estados Unidos la lucha contra la desigualdad con una decidida apuesta a favor de subir el salario mínimo. “Las tendencias combinadas de creciente desigualdad y decreciente movilidad social suponen una amenaza fundamental para el ‘sueño americano’”, dijo el presidente en un discurso en Washington DC. El presidente lamentó que la movilidad social de EEUU es incluso menor que la de países como Alemania, Canadá o Francia. Además subrayó que los niveles de desigualdad de ingresos en la primera economía del mundo sean “comparables a los de Jamaica o Argentina”. Según Obama, las estadísticas muestran “no solo que los niveles de desigualdad de ingreso en EEUU están cerca de la de países como Jamaica y Argentina, sino que es más difícil hoy para un niño estadounidense mejorar su posición en la vida de lo que es en la mayoría de nuestros aliados ricos, como Canadá o Francia”. Para el mandatario, esta desigualdad en las oportunidades que ofrece la economía a los ciudadanos se explica por cuestiones “no tanto de raza como de clase”. “Debemos avanzar más allá de la falsa noción de que esto es una cuestión exclusiva de las minorías”, remarcó. Obama, que dijo que la creciente brecha que separa a ricos de pobres es el “principal desafío” de su país, criticó al Congreso y a la oposición republicana por preocuparse más de reducir el déficit fiscal que los problemas del día a día de los ciudadanos. “El implacable y creciente déficit de oportunidades es una amenaza mayor que nuestro déficit fiscal en contracción”, dijo. “Aunque no podemos prometer igualdad de ingresos, sí tenemos que garantizar igualdad de oportunidades”.</w:t>
      </w:r>
    </w:p>
    <w:p w:rsidR="00B11B07" w:rsidRDefault="00045FA5" w:rsidP="00387350">
      <w:pPr>
        <w:spacing w:before="100" w:beforeAutospacing="1" w:after="100" w:afterAutospacing="1" w:line="240" w:lineRule="auto"/>
        <w:jc w:val="both"/>
        <w:rPr>
          <w:rFonts w:ascii="Times New Roman" w:hAnsi="Times New Roman"/>
          <w:sz w:val="24"/>
          <w:szCs w:val="24"/>
        </w:rPr>
      </w:pPr>
      <w:r w:rsidRPr="00045FA5">
        <w:rPr>
          <w:rFonts w:ascii="Times New Roman" w:hAnsi="Times New Roman"/>
          <w:sz w:val="24"/>
          <w:szCs w:val="24"/>
        </w:rPr>
        <w:t xml:space="preserve">- </w:t>
      </w:r>
      <w:r w:rsidR="00B11B07" w:rsidRPr="00A03980">
        <w:rPr>
          <w:rFonts w:ascii="Times New Roman" w:hAnsi="Times New Roman"/>
          <w:sz w:val="24"/>
          <w:szCs w:val="24"/>
          <w:u w:val="single"/>
        </w:rPr>
        <w:t>Más sueldo, ya</w:t>
      </w:r>
      <w:r w:rsidR="00B11B07">
        <w:rPr>
          <w:rFonts w:ascii="Times New Roman" w:hAnsi="Times New Roman"/>
          <w:sz w:val="24"/>
          <w:szCs w:val="24"/>
        </w:rPr>
        <w:t xml:space="preserve"> (</w:t>
      </w:r>
      <w:r w:rsidR="00B11B07" w:rsidRPr="00A03980">
        <w:rPr>
          <w:rFonts w:ascii="Times New Roman" w:hAnsi="Times New Roman"/>
          <w:sz w:val="24"/>
          <w:szCs w:val="24"/>
        </w:rPr>
        <w:t>Paul Krugman</w:t>
      </w:r>
      <w:r w:rsidR="00B11B07">
        <w:rPr>
          <w:rFonts w:ascii="Times New Roman" w:hAnsi="Times New Roman"/>
          <w:sz w:val="24"/>
          <w:szCs w:val="24"/>
        </w:rPr>
        <w:t xml:space="preserve"> - El País - </w:t>
      </w:r>
      <w:r w:rsidR="00B11B07" w:rsidRPr="00A03980">
        <w:rPr>
          <w:rFonts w:ascii="Times New Roman" w:hAnsi="Times New Roman"/>
          <w:b/>
          <w:sz w:val="24"/>
          <w:szCs w:val="24"/>
        </w:rPr>
        <w:t>8/12/13</w:t>
      </w:r>
      <w:r w:rsidR="00B11B07">
        <w:rPr>
          <w:rFonts w:ascii="Times New Roman" w:hAnsi="Times New Roman"/>
          <w:sz w:val="24"/>
          <w:szCs w:val="24"/>
        </w:rPr>
        <w:t>)</w:t>
      </w:r>
    </w:p>
    <w:p w:rsidR="00B11B07" w:rsidRDefault="00B11B07" w:rsidP="00387350">
      <w:pPr>
        <w:spacing w:before="100" w:beforeAutospacing="1" w:after="100" w:afterAutospacing="1" w:line="240" w:lineRule="auto"/>
        <w:jc w:val="both"/>
        <w:rPr>
          <w:rFonts w:ascii="Times New Roman" w:hAnsi="Times New Roman"/>
          <w:sz w:val="24"/>
          <w:szCs w:val="24"/>
        </w:rPr>
      </w:pPr>
      <w:r w:rsidRPr="00EE0E4A">
        <w:rPr>
          <w:rFonts w:ascii="Times New Roman" w:hAnsi="Times New Roman"/>
          <w:sz w:val="24"/>
          <w:szCs w:val="24"/>
        </w:rPr>
        <w:t xml:space="preserve">Estas últimas décadas han sido difíciles para muchos trabajadores estadounidenses, pero han sido especialmente duras para los empleados de los comercios minoristas, una categoría que incluye a los dependientes del supermercado y el McDonald’s de su localidad. A pesar de los prolongados efectos de la crisis financiera, Estados Unidos es un país mucho más rico que hace 40 años. Pero los sueldos ajustados a la inflación de trabajadores sin funciones de supervisión en el comercio minorista -que no estaban especialmente bien pagados para empezar- han descendido casi un 30% desde 1973. ¿Se puede hacer algo para ayudar a estos trabajadores, muchos de los cuales dependen de los cupones de alimentos -si es que tienen derecho a ellos- para alimentar a sus familias, y que dependen de Medicaid -una vez más, si es que les corresponde- para darles la atención médica básica? Sí. Podemos mantener y ampliar los cupones de alimentos, en vez de recortar el programa como quieren los republicanos. Podemos hacer que la reforma sanitaria funcione, a pesar de los esfuerzos de la derecha para debilitar el programa. Y podemos elevar el salario mínimo. En primer lugar, unos cuantos datos. Aunque el sueldo mínimo nacional se elevó hace unos años, sigue siendo muy bajo según criterios históricos, y siempre ha estado muy por detrás de la inflación y los </w:t>
      </w:r>
      <w:r w:rsidRPr="00EE0E4A">
        <w:rPr>
          <w:rFonts w:ascii="Times New Roman" w:hAnsi="Times New Roman"/>
          <w:sz w:val="24"/>
          <w:szCs w:val="24"/>
        </w:rPr>
        <w:lastRenderedPageBreak/>
        <w:t>niveles salariales medios. ¿A quién se le paga este salario mínimo? En general, al hombre o la mujer que está detrás de la caja: casi el 60% de los trabajadores estadounidenses con salarios mínimos se dedican a la venta de alimentos o a servicios relacionados con ellos. Esto, por cierto, significa que uno de los argumentos que a menudo se esgrimen frente a cualquier intento de elevar los sueldos -la amenaza de la competencia extranjera- pierde aquí toda su validez: los estadounidenses no van a coger el coche para irse a China a recoger sus hamburguesas con patatas. Con todo esto, aunque la competencia internacional no sea un problema, ¿podemos realmente ayudar a los trabajadores simplemente con una ley que establezca un sueldo más alto? ¿No viola eso la ley de la oferta y la demanda? ¿No nos aniquilarán los dioses del mercado con su mano invisible? La respuesta es que tenemos muchas pruebas de lo que pasa cuando se eleva el salario mínimo. Y las pruebas son abrumadoramente positivas: elevar el salario mínimo tiene poco o ningún efecto adverso en el empleo, al tiempo que aumenta significativamente los ingresos de los trabajadores</w:t>
      </w:r>
      <w:r>
        <w:rPr>
          <w:rFonts w:ascii="Times New Roman" w:hAnsi="Times New Roman"/>
          <w:sz w:val="24"/>
          <w:szCs w:val="24"/>
        </w:rPr>
        <w:t xml:space="preserve">… </w:t>
      </w:r>
      <w:r w:rsidRPr="00EE0E4A">
        <w:rPr>
          <w:rFonts w:ascii="Times New Roman" w:hAnsi="Times New Roman"/>
          <w:sz w:val="24"/>
          <w:szCs w:val="24"/>
        </w:rPr>
        <w:t>De modo que un aumento del salario mínimo ayudaría a los trabajadores mal pagados, con pocos efectos colaterales adversos. Y estamos hablando de un montón de gente. A principios de este año, el Instituto de Política Económica calculaba que elevar el salario mínimo nacional hasta los 10,10 dólares desde el nivel actual de 7,25 beneficiaría a 30 millones de trabajadores</w:t>
      </w:r>
      <w:r>
        <w:rPr>
          <w:rFonts w:ascii="Times New Roman" w:hAnsi="Times New Roman"/>
          <w:sz w:val="24"/>
          <w:szCs w:val="24"/>
        </w:rPr>
        <w:t>.</w:t>
      </w:r>
    </w:p>
    <w:p w:rsidR="00B11B07" w:rsidRPr="00B92F2B" w:rsidRDefault="00B11B07" w:rsidP="00387350">
      <w:pPr>
        <w:pStyle w:val="Ttulo1"/>
        <w:spacing w:line="24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E22D8A">
        <w:rPr>
          <w:rFonts w:ascii="Times New Roman" w:hAnsi="Times New Roman" w:cs="Times New Roman"/>
          <w:b w:val="0"/>
          <w:color w:val="auto"/>
          <w:sz w:val="24"/>
          <w:szCs w:val="24"/>
          <w:u w:val="single"/>
        </w:rPr>
        <w:t>El suicido migratorio de Italia: importa asistentas y exporta jóvenes licenciados</w:t>
      </w:r>
      <w:r>
        <w:rPr>
          <w:rFonts w:ascii="Times New Roman" w:hAnsi="Times New Roman" w:cs="Times New Roman"/>
          <w:b w:val="0"/>
          <w:color w:val="auto"/>
          <w:sz w:val="24"/>
          <w:szCs w:val="24"/>
        </w:rPr>
        <w:t xml:space="preserve"> (El Confidencial - </w:t>
      </w:r>
      <w:r w:rsidRPr="00E22D8A">
        <w:rPr>
          <w:rFonts w:ascii="Times New Roman" w:hAnsi="Times New Roman" w:cs="Times New Roman"/>
          <w:color w:val="auto"/>
          <w:sz w:val="24"/>
          <w:szCs w:val="24"/>
        </w:rPr>
        <w:t>16/12/13</w:t>
      </w:r>
      <w:r>
        <w:rPr>
          <w:rFonts w:ascii="Times New Roman" w:hAnsi="Times New Roman" w:cs="Times New Roman"/>
          <w:b w:val="0"/>
          <w:color w:val="auto"/>
          <w:sz w:val="24"/>
          <w:szCs w:val="24"/>
        </w:rPr>
        <w:t>)</w:t>
      </w:r>
    </w:p>
    <w:p w:rsidR="00B11B07" w:rsidRDefault="00B11B07" w:rsidP="00387350">
      <w:pPr>
        <w:pStyle w:val="NormalWeb"/>
        <w:jc w:val="both"/>
      </w:pPr>
      <w:r w:rsidRPr="00B11B07">
        <w:rPr>
          <w:rStyle w:val="Textoennegrita"/>
          <w:b w:val="0"/>
        </w:rPr>
        <w:t>“Vine a Italia porque es el país de Europa occidental donde resulta más fácil trabajar sin contrato o alquilar una casa sin tener papeles.</w:t>
      </w:r>
      <w:r w:rsidRPr="00B92F2B">
        <w:t xml:space="preserve"> Una vez que conseguí el visado Schengen de tres meses, podía haber ido a Francia o Alemania, donde se gana más, pero aquí es más sencillo quedarse cuando te caduca el permiso. Cada cierto tiempo hay una regulación extraordinaria de inmigrantes y no resulta demasiado complicado entrar en una de ellas. También tiene su peso la presencia del Vaticano, de la Iglesia católica. Al poco de llegar a Roma, fui a registrarme a Caritas y con el documento que me dieron, años después conseguí probar el tiempo que llevaba en el país para obtener así un permiso de residencia”. La historia de </w:t>
      </w:r>
      <w:r w:rsidRPr="007359B0">
        <w:rPr>
          <w:rStyle w:val="Textoennegrita"/>
          <w:b w:val="0"/>
        </w:rPr>
        <w:t>Stefania</w:t>
      </w:r>
      <w:r w:rsidRPr="00B92F2B">
        <w:t>, una mujer moldava de 46 años que se gana la vida en Roma como asistenta doméstica, es paradigmática de la realidad de buena parte de los 5 millones y medio de inmigrantes que viven en Italia, ya sea en situación regular o irregular. Según el último informe de la fundación Iniciativas y Estudios sobre la Multietnicidad (ISMU, por sus siglas en italiano),</w:t>
      </w:r>
      <w:r w:rsidRPr="00B92F2B">
        <w:rPr>
          <w:rStyle w:val="Textoennegrita"/>
        </w:rPr>
        <w:t xml:space="preserve"> </w:t>
      </w:r>
      <w:r w:rsidRPr="00B11B07">
        <w:rPr>
          <w:rStyle w:val="Textoennegrita"/>
          <w:b w:val="0"/>
        </w:rPr>
        <w:t>nueve de cada diez ciudadanos de fuera de la Unión Europea que trabajan en el país tienen empleos para los que se les pide una baja cualificación</w:t>
      </w:r>
      <w:r w:rsidRPr="00B11B07">
        <w:rPr>
          <w:b/>
        </w:rPr>
        <w:t>.</w:t>
      </w:r>
      <w:r w:rsidRPr="00B92F2B">
        <w:t xml:space="preserve"> De hecho, alrededor de la mitad de los contratos laborales a los que tienen acceso no requiere de ninguna formación específica y sólo en el 4,5% de los casos se exige una licenciatura universitaria. </w:t>
      </w:r>
      <w:r w:rsidRPr="00B11B07">
        <w:rPr>
          <w:rStyle w:val="Textoennegrita"/>
          <w:b w:val="0"/>
        </w:rPr>
        <w:t>Al contrario que el resto de los PIIGS, Italia sigue siendo un foco de atracción para la inmigración</w:t>
      </w:r>
      <w:r w:rsidRPr="00B11B07">
        <w:rPr>
          <w:b/>
        </w:rPr>
        <w:t>.</w:t>
      </w:r>
      <w:r w:rsidRPr="00B92F2B">
        <w:t xml:space="preserve"> De hecho, un reciente </w:t>
      </w:r>
      <w:hyperlink r:id="rId361" w:history="1">
        <w:r w:rsidRPr="00B11B07">
          <w:rPr>
            <w:rStyle w:val="Hipervnculo"/>
            <w:color w:val="auto"/>
            <w:u w:val="none"/>
          </w:rPr>
          <w:t>informe de Eurostat sobre la evolución de la población de los Veintiocho</w:t>
        </w:r>
      </w:hyperlink>
      <w:r w:rsidRPr="00B11B07">
        <w:t xml:space="preserve"> </w:t>
      </w:r>
      <w:r w:rsidRPr="00B92F2B">
        <w:t xml:space="preserve">muestra que el país tiene el segundo saldo migratorio positivo más alto de las naciones grandes, sólo superado por Alemania. La llegada de extranjeros a Italia en busca de una oportunidad laboral se mantiene porque se siguen creando puestos de trabajo “para inmigrantes”, como dice el citado estudio de ISMU, que estima que </w:t>
      </w:r>
      <w:r w:rsidRPr="00EF0AAF">
        <w:rPr>
          <w:rStyle w:val="Textoennegrita"/>
          <w:b w:val="0"/>
        </w:rPr>
        <w:t>sólo en 2011 hubo 170.000 nuevos empleos para este colectivo</w:t>
      </w:r>
      <w:r w:rsidRPr="00EF0AAF">
        <w:rPr>
          <w:b/>
        </w:rPr>
        <w:t>.</w:t>
      </w:r>
      <w:r w:rsidRPr="00B92F2B">
        <w:t xml:space="preserve"> Este fenómeno se debe en parte al envejecimiento de la población italiana y al consecuente aumento de las necesidades de personal dedicado a la atención de los ancianos… </w:t>
      </w:r>
      <w:r w:rsidRPr="00EF0AAF">
        <w:rPr>
          <w:rStyle w:val="Textoennegrita"/>
          <w:b w:val="0"/>
        </w:rPr>
        <w:t xml:space="preserve">El continuo flujo de inmigrantes </w:t>
      </w:r>
      <w:r w:rsidRPr="00EF0AAF">
        <w:rPr>
          <w:rStyle w:val="Textoennegrita"/>
          <w:b w:val="0"/>
        </w:rPr>
        <w:lastRenderedPageBreak/>
        <w:t>ayuda a tapar en las estadísticas la salida de jóvenes italianos hacia otros países</w:t>
      </w:r>
      <w:r w:rsidRPr="00EF0AAF">
        <w:t>.</w:t>
      </w:r>
      <w:r w:rsidRPr="00B92F2B">
        <w:t xml:space="preserve"> Sólo desde el punto de vista demográfico el saldo para Italia es positivo. Bajo cualquier otra óptica, este movimiento poblacional es muy negativo para sus intereses: </w:t>
      </w:r>
      <w:r w:rsidRPr="00EF0AAF">
        <w:rPr>
          <w:rStyle w:val="Textoennegrita"/>
          <w:b w:val="0"/>
        </w:rPr>
        <w:t>Italia importa en su mayoría mano de obra barata, sin competencias específicas, destinada en muchos casos a la clandestinidad y a trabajos precarios y sin contrato. Exporta por el contrario una generación de jóvenes con alta formación, dominio de idiomas y experiencia internacional</w:t>
      </w:r>
      <w:r w:rsidRPr="00EF0AAF">
        <w:rPr>
          <w:b/>
        </w:rPr>
        <w:t>.</w:t>
      </w:r>
      <w:r w:rsidRPr="00B92F2B">
        <w:t xml:space="preserve"> El cuadro recuerda mucho al que vive hoy España, pero en Italia el problema ya existía desde antes de la crisis. Ésta sólo lo ha agravado.</w:t>
      </w:r>
    </w:p>
    <w:p w:rsidR="00B11B07" w:rsidRPr="00AE4539" w:rsidRDefault="00B11B07"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AE4539">
        <w:rPr>
          <w:rFonts w:ascii="Times New Roman" w:hAnsi="Times New Roman"/>
          <w:sz w:val="24"/>
          <w:szCs w:val="24"/>
          <w:u w:val="single"/>
        </w:rPr>
        <w:t>España, Grecia y Rumanía, los países de la UE con más población en riesgo de pobreza</w:t>
      </w:r>
      <w:r>
        <w:rPr>
          <w:rFonts w:ascii="Times New Roman" w:hAnsi="Times New Roman"/>
          <w:sz w:val="24"/>
          <w:szCs w:val="24"/>
        </w:rPr>
        <w:t xml:space="preserve"> (El Economista - </w:t>
      </w:r>
      <w:r w:rsidRPr="00AE4539">
        <w:rPr>
          <w:rFonts w:ascii="Times New Roman" w:hAnsi="Times New Roman"/>
          <w:b/>
          <w:sz w:val="24"/>
          <w:szCs w:val="24"/>
        </w:rPr>
        <w:t>5/12/13</w:t>
      </w:r>
      <w:r>
        <w:rPr>
          <w:rFonts w:ascii="Times New Roman" w:hAnsi="Times New Roman"/>
          <w:sz w:val="24"/>
          <w:szCs w:val="24"/>
        </w:rPr>
        <w:t>)</w:t>
      </w:r>
    </w:p>
    <w:p w:rsidR="00B11B07" w:rsidRDefault="00B11B07" w:rsidP="00387350">
      <w:pPr>
        <w:pStyle w:val="NormalWeb"/>
        <w:jc w:val="both"/>
      </w:pPr>
      <w:r w:rsidRPr="00B92F2B">
        <w:t xml:space="preserve">España, Grecia y Rumanía son los Estados miembros de la UE con una mayor tasa de población en riesgo de pobreza incluso después de contabilizar las ayudas sociales. </w:t>
      </w:r>
      <w:hyperlink r:id="rId362" w:history="1">
        <w:r w:rsidRPr="00EF0AAF">
          <w:rPr>
            <w:rStyle w:val="Hipervnculo"/>
            <w:color w:val="auto"/>
            <w:u w:val="none"/>
          </w:rPr>
          <w:t>El riesgo de pobreza o exclusión alcanza el 28% en España, cinco puntos más que en 2007.</w:t>
        </w:r>
      </w:hyperlink>
      <w:r w:rsidRPr="00EF0AAF">
        <w:t xml:space="preserve"> </w:t>
      </w:r>
      <w:r w:rsidRPr="00B92F2B">
        <w:rPr>
          <w:bCs/>
        </w:rPr>
        <w:t xml:space="preserve">En concreto, el 22% de los ciudadanos españoles están amenazados de pobreza </w:t>
      </w:r>
      <w:r w:rsidRPr="00B92F2B">
        <w:t xml:space="preserve">(un porcentaje ligeramente inferior al 23% de griegos y rumanos), frente al 17% de media de la UE, según un informe publicado este jueves por la oficina estadística Eurostat con datos de 2012. Por detrás de España se sitúan Bulgaria y Croacia (ambos con una tasa del 21%), mientras que las tasas de riesgo de pobreza más bajas se encuentran en República Checa y Países Bajos (10%), así como Dinamarca, Eslovaquia y Finlandia (13%). España encabeza también la clasificación de países con una mayor proporción de personas que viven en hogares con una intensidad de trabajo muy baja, que son aquellos donde los adultos han utilizado menos del 20% de su potencial total de trabajo en el año anterior. En concreto, las mayores tasas de personas que viven en hogares con una intensidad de trabajo muy baja se registraron en Croacia (16%) y España, Grecia y Bélgica (14%), mientras que las más bajas corresponden a Luxemburgo y Chipre (6%). Además, en España el 5,8% de la población se encuentra en una situación de privación material severa, lo que significa que sus condiciones de vida están limitadas por una falta de recursos, que le impiden por ejemplo pagar sus facturas, calentar correctamente su hogar o cogerse una semana de vacaciones fuera de su domicilio. Sumando todos estos conceptos, el porcentaje de población española en riesgo de pobreza o exclusión social asciende al 28,2% (13,1 millones de personas), </w:t>
      </w:r>
      <w:r w:rsidRPr="00B92F2B">
        <w:rPr>
          <w:bCs/>
        </w:rPr>
        <w:t>muy por encima de la media comunitaria del 24,8%.</w:t>
      </w:r>
      <w:r w:rsidRPr="00B92F2B">
        <w:t xml:space="preserve"> Los Estados miembros con una mayor tasa de población en riesgo de pobreza o exclusión social son Bulgaria (49%), Rumanía (42%), Letonia (37%) y Grecia (35%), mientras que los porcentajes más bajos corresponden a Holanda y República Checa (15%), Finlandia (17%), Suecia y Luxemburgo (18%).</w:t>
      </w:r>
    </w:p>
    <w:p w:rsidR="00B11B07" w:rsidRDefault="00B11B07" w:rsidP="00387350">
      <w:pPr>
        <w:pStyle w:val="NormalWeb"/>
        <w:jc w:val="both"/>
      </w:pPr>
    </w:p>
    <w:p w:rsidR="00B11B07" w:rsidRDefault="00B11B07" w:rsidP="00387350">
      <w:pPr>
        <w:pStyle w:val="NormalWeb"/>
        <w:jc w:val="both"/>
      </w:pPr>
    </w:p>
    <w:p w:rsidR="00B11B07" w:rsidRDefault="00B11B07" w:rsidP="00387350">
      <w:pPr>
        <w:pStyle w:val="NormalWeb"/>
        <w:jc w:val="both"/>
      </w:pPr>
    </w:p>
    <w:p w:rsidR="00B11B07" w:rsidRDefault="00B11B07" w:rsidP="00387350">
      <w:pPr>
        <w:pStyle w:val="NormalWeb"/>
        <w:jc w:val="both"/>
      </w:pPr>
    </w:p>
    <w:p w:rsidR="00B11B07" w:rsidRDefault="00B11B07" w:rsidP="00387350">
      <w:pPr>
        <w:pStyle w:val="NormalWeb"/>
        <w:jc w:val="both"/>
      </w:pPr>
    </w:p>
    <w:p w:rsidR="00EF0AAF" w:rsidRDefault="00EF0AAF" w:rsidP="00387350">
      <w:pPr>
        <w:pStyle w:val="NormalWeb"/>
        <w:jc w:val="both"/>
      </w:pPr>
    </w:p>
    <w:p w:rsidR="00916661" w:rsidRDefault="00916661" w:rsidP="00387350">
      <w:pPr>
        <w:pStyle w:val="NormalWeb"/>
        <w:jc w:val="both"/>
        <w:rPr>
          <w:b/>
        </w:rPr>
      </w:pPr>
      <w:r>
        <w:lastRenderedPageBreak/>
        <w:t xml:space="preserve">- </w:t>
      </w:r>
      <w:r>
        <w:rPr>
          <w:b/>
        </w:rPr>
        <w:t>Las caras del dolor (los juegos del hambre)</w:t>
      </w:r>
    </w:p>
    <w:p w:rsidR="00916661" w:rsidRPr="00916661" w:rsidRDefault="00916661" w:rsidP="00387350">
      <w:pPr>
        <w:pStyle w:val="NormalWeb"/>
        <w:jc w:val="both"/>
        <w:rPr>
          <w:b/>
        </w:rPr>
      </w:pPr>
      <w:r>
        <w:rPr>
          <w:noProof/>
          <w:color w:val="0000FF"/>
        </w:rPr>
        <w:drawing>
          <wp:inline distT="0" distB="0" distL="0" distR="0" wp14:anchorId="45C25E74" wp14:editId="4CAE5B89">
            <wp:extent cx="5398617" cy="2538374"/>
            <wp:effectExtent l="0" t="0" r="0" b="0"/>
            <wp:docPr id="42" name="Imagen 42"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agen"/>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400040" cy="2539043"/>
                    </a:xfrm>
                    <a:prstGeom prst="rect">
                      <a:avLst/>
                    </a:prstGeom>
                    <a:noFill/>
                    <a:ln>
                      <a:noFill/>
                    </a:ln>
                  </pic:spPr>
                </pic:pic>
              </a:graphicData>
            </a:graphic>
          </wp:inline>
        </w:drawing>
      </w:r>
      <w:r>
        <w:rPr>
          <w:b/>
        </w:rPr>
        <w:t xml:space="preserve"> </w:t>
      </w:r>
    </w:p>
    <w:p w:rsidR="00D62FE0" w:rsidRPr="006E34B6" w:rsidRDefault="00D62FE0" w:rsidP="00387350">
      <w:pPr>
        <w:pStyle w:val="NormalWeb"/>
        <w:jc w:val="both"/>
      </w:pPr>
      <w:r w:rsidRPr="006E34B6">
        <w:t>“Un estudio de la Cruz Roja muestra que un número cada vez mayor de personas en Europa está buscando ayuda debido a la crisis económica global. La investigación, llevada a cabo por la Federación Internacional de Sociedades de la Cruz Roja y de la Media Luna Roja (FICR), reveló que muchas personas de clase media que jamás habían recurrido a este tipo de asistencia en el pasado se unen hoy en día a los grupos tradicionalmente más vulnerables.</w:t>
      </w:r>
    </w:p>
    <w:p w:rsidR="00D62FE0" w:rsidRPr="006E34B6" w:rsidRDefault="00D62FE0" w:rsidP="00387350">
      <w:pPr>
        <w:pStyle w:val="NormalWeb"/>
        <w:jc w:val="both"/>
      </w:pPr>
      <w:r w:rsidRPr="006E34B6">
        <w:t>En el informe se advierte que “si no se toma ninguna medida, la cohesión social de toda la región puede ponerse en peligro, debido a las crecientes tensiones relacionadas con el incremento de la vulnerabilidad y la competencia entre los grupos menos privilegiados por puestos de trabajo y servicios”.</w:t>
      </w:r>
    </w:p>
    <w:p w:rsidR="00D62FE0" w:rsidRPr="006E34B6" w:rsidRDefault="00D62FE0" w:rsidP="00387350">
      <w:pPr>
        <w:pStyle w:val="NormalWeb"/>
        <w:jc w:val="both"/>
      </w:pPr>
      <w:r w:rsidRPr="006E34B6">
        <w:t xml:space="preserve">Según explica Imogen Foulkes, corresponsal de la </w:t>
      </w:r>
      <w:r w:rsidRPr="001C3ABE">
        <w:rPr>
          <w:i/>
        </w:rPr>
        <w:t>BBC</w:t>
      </w:r>
      <w:r w:rsidRPr="006E34B6">
        <w:t xml:space="preserve"> en Ginebra, el reporte, realizado en 40 países de Europa, el Cáucaso y Asia central, evidenció algunos resultados inesperados. Por ejemplo, más del 60% de las sociedades de la Cruz Roja en Europa han empezado a incluir ayuda alimentaria en sus programas de asistencia, algo que no había tenido necesidad de hacer en muchos años. En tanto, los trabajadores de esta organización humanitaria notaron un incremento en los problemas de salud mental y un mayor abuso de alcohol y otras sustancias. Esto está vinculado, aseguran, con el estrés provocado por la crisis financiera mundial.</w:t>
      </w:r>
    </w:p>
    <w:p w:rsidR="00D62FE0" w:rsidRPr="006E34B6" w:rsidRDefault="00D62FE0" w:rsidP="00387350">
      <w:pPr>
        <w:pStyle w:val="NormalWeb"/>
        <w:jc w:val="both"/>
      </w:pPr>
      <w:r w:rsidRPr="006E34B6">
        <w:t>La Cruz Roja aseguró que la clase media en Europa, en particular, ha sido golpeada por la recesión. Muchos miembros de esta clase se encuentran muy endeudados y los más jóvenes tienen problemas para encontrar trabajo. La organización aseguró que aumentaron los pedidos de ayuda financiera de familias que solían ser estables económicamente. Y ahora, entre 40 y 50 millones europeos son</w:t>
      </w:r>
      <w:r w:rsidR="00045FA5">
        <w:t xml:space="preserve"> considerados por la FICR como “vulnerables”</w:t>
      </w:r>
      <w:r w:rsidRPr="006E34B6">
        <w:t xml:space="preserve"> a raíz del desempleo.</w:t>
      </w:r>
    </w:p>
    <w:p w:rsidR="00D62FE0" w:rsidRPr="006E34B6" w:rsidRDefault="00D62FE0" w:rsidP="00387350">
      <w:pPr>
        <w:pStyle w:val="NormalWeb"/>
        <w:jc w:val="both"/>
      </w:pPr>
      <w:r w:rsidRPr="006E34B6">
        <w:t xml:space="preserve">Para la Cruz Roja los gobiernos no han hecho lo suficiente para hacerle frente al impacto social de la crisis: “Hasta el momento se han hecho pocas cosas para reforzar la protección social””...  </w:t>
      </w:r>
      <w:r w:rsidRPr="00045FA5">
        <w:rPr>
          <w:u w:val="single"/>
        </w:rPr>
        <w:t>Cohesión social de Europa “en peligro”</w:t>
      </w:r>
      <w:r w:rsidRPr="006E34B6">
        <w:t xml:space="preserve"> (BBCMundo - </w:t>
      </w:r>
      <w:r w:rsidRPr="006E34B6">
        <w:rPr>
          <w:b/>
        </w:rPr>
        <w:t>9/10/09</w:t>
      </w:r>
      <w:r w:rsidRPr="006E34B6">
        <w:t>)</w:t>
      </w:r>
    </w:p>
    <w:p w:rsidR="00D62FE0" w:rsidRPr="006E34B6" w:rsidRDefault="00D62FE0" w:rsidP="00387350">
      <w:pPr>
        <w:spacing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lastRenderedPageBreak/>
        <w:t>“El número de estadounidenses que recibe cupones de alimento bate récords. El Gobierno alimenta de forma directa a más del 14% de la población. Unos 44 millones y medio de americanos recibieron cupones de comida del Gobierno en el último mes. El número de personas que recurren a esta ayuda lleva aumentando 30 meses de forma consecutiva. Con un gasto público mensual de 6.000 millones de dólares, el programa de asistencia bate récords históricos en paralelo al aumento del desempleo, pero una gran parte de estos recursos se utiliza de forma fraudulenta…</w:t>
      </w:r>
    </w:p>
    <w:p w:rsidR="00D62FE0" w:rsidRPr="006E34B6" w:rsidRDefault="00D62FE0" w:rsidP="00387350">
      <w:pPr>
        <w:spacing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Muchas personas no utilizan los cupones para comer sino para comprar otros productos, con la complicidad de otros a los que prestan sus tarjetas EBT a cambio de efectivo, o de los propios comercios que se las aceptan para pagar cualquier cosa, en ambos casos con un descuento a favor del cómplice. De esta forma, los beneficiarios adquieren gratis productos no autorizados en este programa, como alcohol y tabaco. El Gobierno paga así los vicios de varios cientos de miles de americanos.</w:t>
      </w:r>
    </w:p>
    <w:p w:rsidR="006E34B6" w:rsidRPr="006E34B6" w:rsidRDefault="006E34B6" w:rsidP="00387350">
      <w:pPr>
        <w:spacing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Sin embargo, en los últimos años la picaresca en Estados Unidos se mezcla con la necesidad: el número de quienes utilizan los cupones de comida aumenta en paralelo al de desempleados. Y ambos se encuentran en niveles nunca vistos:</w:t>
      </w:r>
    </w:p>
    <w:p w:rsidR="006E34B6" w:rsidRPr="006E34B6" w:rsidRDefault="006E34B6" w:rsidP="00387350">
      <w:pPr>
        <w:pStyle w:val="NormalWeb"/>
        <w:jc w:val="center"/>
      </w:pPr>
      <w:r w:rsidRPr="006E34B6">
        <w:rPr>
          <w:noProof/>
        </w:rPr>
        <w:drawing>
          <wp:inline distT="0" distB="0" distL="0" distR="0" wp14:anchorId="57FA76FA" wp14:editId="3EB3375A">
            <wp:extent cx="3957523" cy="2443276"/>
            <wp:effectExtent l="0" t="0" r="5080" b="0"/>
            <wp:docPr id="15" name="Imagen 15" descr="foo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ood0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3957320" cy="2443151"/>
                    </a:xfrm>
                    <a:prstGeom prst="rect">
                      <a:avLst/>
                    </a:prstGeom>
                    <a:noFill/>
                    <a:ln>
                      <a:noFill/>
                    </a:ln>
                  </pic:spPr>
                </pic:pic>
              </a:graphicData>
            </a:graphic>
          </wp:inline>
        </w:drawing>
      </w:r>
    </w:p>
    <w:p w:rsidR="006E34B6" w:rsidRPr="006E34B6" w:rsidRDefault="006E34B6" w:rsidP="00387350">
      <w:pPr>
        <w:spacing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Además, se trata del 30º mes consecutivo en el que aumentan estos datos. Desde octubre del 2007 se ha pasado de 27 millones de beneficiarios a los actuales 44,5.</w:t>
      </w:r>
    </w:p>
    <w:p w:rsidR="003573AE" w:rsidRDefault="006E34B6" w:rsidP="00387350">
      <w:pPr>
        <w:pStyle w:val="NormalWeb"/>
        <w:jc w:val="center"/>
      </w:pPr>
      <w:r w:rsidRPr="006E34B6">
        <w:rPr>
          <w:noProof/>
        </w:rPr>
        <w:drawing>
          <wp:inline distT="0" distB="0" distL="0" distR="0" wp14:anchorId="7C5F4C10" wp14:editId="6EF5EFE1">
            <wp:extent cx="3628339" cy="2209190"/>
            <wp:effectExtent l="0" t="0" r="0" b="635"/>
            <wp:docPr id="16" name="Imagen 16" descr="food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ood0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3628390" cy="2209221"/>
                    </a:xfrm>
                    <a:prstGeom prst="rect">
                      <a:avLst/>
                    </a:prstGeom>
                    <a:noFill/>
                    <a:ln>
                      <a:noFill/>
                    </a:ln>
                  </pic:spPr>
                </pic:pic>
              </a:graphicData>
            </a:graphic>
          </wp:inline>
        </w:drawing>
      </w:r>
    </w:p>
    <w:p w:rsidR="006E34B6" w:rsidRPr="006E34B6" w:rsidRDefault="006E34B6" w:rsidP="00387350">
      <w:pPr>
        <w:pStyle w:val="NormalWeb"/>
        <w:jc w:val="both"/>
      </w:pPr>
      <w:r w:rsidRPr="006E34B6">
        <w:lastRenderedPageBreak/>
        <w:t>En el último año se han sumado al programa más de 4 millones de personas, una subida del 11%. Este aumento ha afectado a 47 de los 50 estados, en algunos casos con incrementos superiores al 20%.</w:t>
      </w:r>
    </w:p>
    <w:p w:rsidR="006E34B6" w:rsidRPr="00890678" w:rsidRDefault="006E34B6" w:rsidP="00387350">
      <w:pPr>
        <w:spacing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Con estos números y unos gráficos tan llamativos, los conservadores no han tardado en culpar a Barack Obama de la extensión de la pobreza. “Es el presidente de los cupones de comida”, aseguró el ex congresista republicano Newt Gingrich”…</w:t>
      </w:r>
      <w:r w:rsidR="00D62FE0" w:rsidRPr="006E34B6">
        <w:rPr>
          <w:rFonts w:ascii="Times New Roman" w:eastAsia="Times New Roman" w:hAnsi="Times New Roman"/>
          <w:sz w:val="24"/>
          <w:szCs w:val="24"/>
          <w:lang w:eastAsia="es-ES"/>
        </w:rPr>
        <w:t xml:space="preserve"> </w:t>
      </w:r>
      <w:r w:rsidRPr="00890678">
        <w:rPr>
          <w:rFonts w:ascii="Times New Roman" w:eastAsia="Times New Roman" w:hAnsi="Times New Roman"/>
          <w:sz w:val="24"/>
          <w:szCs w:val="24"/>
          <w:u w:val="single"/>
          <w:lang w:eastAsia="es-ES"/>
        </w:rPr>
        <w:t>Obama, el presidente de los cupones de comida</w:t>
      </w:r>
      <w:r>
        <w:rPr>
          <w:rFonts w:ascii="Times New Roman" w:eastAsia="Times New Roman" w:hAnsi="Times New Roman"/>
          <w:sz w:val="24"/>
          <w:szCs w:val="24"/>
          <w:lang w:eastAsia="es-ES"/>
        </w:rPr>
        <w:t xml:space="preserve"> (Libertad Digital - </w:t>
      </w:r>
      <w:r w:rsidRPr="004E37B1">
        <w:rPr>
          <w:rFonts w:ascii="Times New Roman" w:eastAsia="Times New Roman" w:hAnsi="Times New Roman"/>
          <w:b/>
          <w:sz w:val="24"/>
          <w:szCs w:val="24"/>
          <w:lang w:eastAsia="es-ES"/>
        </w:rPr>
        <w:t>10/6/11</w:t>
      </w:r>
      <w:r>
        <w:rPr>
          <w:rFonts w:ascii="Times New Roman" w:eastAsia="Times New Roman" w:hAnsi="Times New Roman"/>
          <w:sz w:val="24"/>
          <w:szCs w:val="24"/>
          <w:lang w:eastAsia="es-ES"/>
        </w:rPr>
        <w:t>)</w:t>
      </w:r>
    </w:p>
    <w:p w:rsidR="006E34B6" w:rsidRPr="006E34B6" w:rsidRDefault="006E34B6" w:rsidP="00387350">
      <w:pPr>
        <w:spacing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Sin embargo, aunque las políticas de Obama no ayudan precisamente a mejorar la economía ni a sacar de la dependencia a los millones que viven del Estado, el problema se remonta a mucho antes, como se puede ver en el siguiente gráfico.</w:t>
      </w:r>
    </w:p>
    <w:p w:rsidR="006E34B6" w:rsidRDefault="006E34B6" w:rsidP="00387350">
      <w:pPr>
        <w:pStyle w:val="NormalWeb"/>
        <w:jc w:val="center"/>
      </w:pPr>
      <w:r>
        <w:rPr>
          <w:noProof/>
        </w:rPr>
        <w:drawing>
          <wp:inline distT="0" distB="0" distL="0" distR="0" wp14:anchorId="6C00847F" wp14:editId="6AE7DC6B">
            <wp:extent cx="4381469" cy="2523744"/>
            <wp:effectExtent l="0" t="0" r="635" b="0"/>
            <wp:docPr id="100" name="Imagen 100" descr="food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ood03"/>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4381500" cy="2523762"/>
                    </a:xfrm>
                    <a:prstGeom prst="rect">
                      <a:avLst/>
                    </a:prstGeom>
                    <a:noFill/>
                    <a:ln>
                      <a:noFill/>
                    </a:ln>
                  </pic:spPr>
                </pic:pic>
              </a:graphicData>
            </a:graphic>
          </wp:inline>
        </w:drawing>
      </w:r>
    </w:p>
    <w:p w:rsidR="006E34B6" w:rsidRPr="003573AE" w:rsidRDefault="003573AE" w:rsidP="00387350">
      <w:pPr>
        <w:pStyle w:val="NormalWeb"/>
        <w:rPr>
          <w:lang w:val="en-US"/>
        </w:rPr>
      </w:pPr>
      <w:r>
        <w:rPr>
          <w:rStyle w:val="Textoennegrita"/>
          <w:b w:val="0"/>
          <w:lang w:val="en-US"/>
        </w:rPr>
        <w:t xml:space="preserve">                </w:t>
      </w:r>
      <w:r w:rsidR="006E34B6" w:rsidRPr="003573AE">
        <w:rPr>
          <w:rStyle w:val="Textoennegrita"/>
          <w:b w:val="0"/>
          <w:lang w:val="en-US"/>
        </w:rPr>
        <w:t>Fuente:</w:t>
      </w:r>
      <w:r w:rsidR="006E34B6" w:rsidRPr="006E34B6">
        <w:rPr>
          <w:lang w:val="en-US"/>
        </w:rPr>
        <w:t xml:space="preserve"> </w:t>
      </w:r>
      <w:hyperlink r:id="rId367" w:history="1">
        <w:r w:rsidR="006E34B6" w:rsidRPr="003573AE">
          <w:rPr>
            <w:rStyle w:val="Hipervnculo"/>
            <w:rFonts w:eastAsiaTheme="majorEastAsia"/>
            <w:color w:val="auto"/>
            <w:u w:val="none"/>
            <w:lang w:val="en-US"/>
          </w:rPr>
          <w:t>familyinequality.wordpress.com</w:t>
        </w:r>
      </w:hyperlink>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“80 million people in the EU -or 16% of the population, and 19% of the children- are currently at risk of poverty, since they live on an income below 60% of the median household income of their own country.</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17% of Europeans suffer from material deprivation, which means that their living conditions are severely affected by a lack of resources.</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 xml:space="preserve"> Social transfers reduce the risk of poverty by 38% on average in the EU, but this impact varies from less than 10% to nearly 60% across EU. </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EU action has helped to create a consensus about the following key challenges:</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 xml:space="preserve"> to eradicate child poverty by breaking the vicious circle of intergenerational inheritance</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to promote the active inclusion in the society and the labour market of the most vulnerable groups</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to ensure decent housing for everyone</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lastRenderedPageBreak/>
        <w:t xml:space="preserve">to overcome discrimination and increase the integration of people with disabilities, ethnic minorities and immigrants and other vulnerable groups </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 xml:space="preserve">to tackle financial exclusion and overindebtedness. </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Since 2000, the European Union has provided, through the open method of coordination, a framework for national strategy development as well as for policy coordination between EU countries on issues relating to poverty and social exclusion.</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This coordinated action at European level is reflected in national action plans. It encourages EU countries to examine their policies critically, and highlights how some perform well in certain areas, spurring on others to perform better. It also creates a better basis for policy making by involving NGOs, social partners, local and regional authorities and those working with people in poverty.</w:t>
      </w:r>
    </w:p>
    <w:p w:rsidR="006E34B6" w:rsidRDefault="006E34B6" w:rsidP="00387350">
      <w:pPr>
        <w:spacing w:before="100" w:beforeAutospacing="1" w:after="100" w:afterAutospacing="1" w:line="240" w:lineRule="auto"/>
        <w:jc w:val="both"/>
        <w:rPr>
          <w:rFonts w:ascii="Times New Roman" w:eastAsia="Times New Roman" w:hAnsi="Times New Roman"/>
          <w:sz w:val="24"/>
          <w:szCs w:val="24"/>
          <w:lang w:val="en-US" w:eastAsia="es-ES"/>
        </w:rPr>
      </w:pPr>
      <w:r w:rsidRPr="006E34B6">
        <w:rPr>
          <w:rFonts w:ascii="Times New Roman" w:eastAsia="Times New Roman" w:hAnsi="Times New Roman"/>
          <w:sz w:val="24"/>
          <w:szCs w:val="24"/>
          <w:lang w:val="en-US" w:eastAsia="es-ES"/>
        </w:rPr>
        <w:t>The European Commission provides financial support to relevant activities undertaken by a wide range of stakeholders”.</w:t>
      </w:r>
      <w:r>
        <w:rPr>
          <w:rFonts w:ascii="Times New Roman" w:eastAsia="Times New Roman" w:hAnsi="Times New Roman"/>
          <w:sz w:val="24"/>
          <w:szCs w:val="24"/>
          <w:lang w:val="en-US" w:eastAsia="es-ES"/>
        </w:rPr>
        <w:t xml:space="preserve"> </w:t>
      </w:r>
      <w:r w:rsidRPr="006E34B6">
        <w:rPr>
          <w:rFonts w:ascii="Times New Roman" w:eastAsia="Times New Roman" w:hAnsi="Times New Roman"/>
          <w:sz w:val="24"/>
          <w:szCs w:val="24"/>
          <w:lang w:val="en-US" w:eastAsia="es-ES"/>
        </w:rPr>
        <w:t>(</w:t>
      </w:r>
      <w:r w:rsidRPr="006E34B6">
        <w:rPr>
          <w:rFonts w:ascii="Times New Roman" w:eastAsia="Times New Roman" w:hAnsi="Times New Roman"/>
          <w:sz w:val="24"/>
          <w:szCs w:val="24"/>
          <w:u w:val="single"/>
          <w:lang w:val="en-US" w:eastAsia="es-ES"/>
        </w:rPr>
        <w:t xml:space="preserve">Poverty and social exclusion - European Commission - Employment, Social Affairs &amp; Inclusion </w:t>
      </w:r>
      <w:r w:rsidRPr="006E34B6">
        <w:rPr>
          <w:rFonts w:ascii="Times New Roman" w:eastAsia="Times New Roman" w:hAnsi="Times New Roman"/>
          <w:sz w:val="24"/>
          <w:szCs w:val="24"/>
          <w:lang w:val="en-US" w:eastAsia="es-ES"/>
        </w:rPr>
        <w:t xml:space="preserve">- </w:t>
      </w:r>
      <w:r w:rsidRPr="006E34B6">
        <w:rPr>
          <w:rFonts w:ascii="Times New Roman" w:eastAsia="Times New Roman" w:hAnsi="Times New Roman"/>
          <w:b/>
          <w:sz w:val="24"/>
          <w:szCs w:val="24"/>
          <w:lang w:val="en-US" w:eastAsia="es-ES"/>
        </w:rPr>
        <w:t>15/6/11</w:t>
      </w:r>
      <w:r w:rsidRPr="006E34B6">
        <w:rPr>
          <w:rFonts w:ascii="Times New Roman" w:eastAsia="Times New Roman" w:hAnsi="Times New Roman"/>
          <w:sz w:val="24"/>
          <w:szCs w:val="24"/>
          <w:lang w:val="en-US" w:eastAsia="es-ES"/>
        </w:rPr>
        <w:t>)</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“Con el agravamiento de la crisis económica y la perspectiva de otra recesión importante en el horizonte, la creciente desigualdad social se convirtió en una cuestión cada vez más apremiante. ¿Cómo se refuerza una sensación de solidaridad y responsabilidad dentro de un país? ¿Quién protegerá a los más débiles?</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 xml:space="preserve">Mientras reflexiono sobre esta cuestión, me viene a la mente un debate que tuve hace más de diez años en Berlín con el teólogo alemán Hans Küng y participantes norteamericanos y asiáticos. </w:t>
      </w:r>
      <w:r>
        <w:rPr>
          <w:rFonts w:ascii="Times New Roman" w:eastAsia="Times New Roman" w:hAnsi="Times New Roman"/>
          <w:sz w:val="24"/>
          <w:szCs w:val="24"/>
          <w:lang w:eastAsia="es-ES"/>
        </w:rPr>
        <w:t>El tema era “</w:t>
      </w:r>
      <w:r w:rsidRPr="001C3ABE">
        <w:rPr>
          <w:rFonts w:ascii="Times New Roman" w:eastAsia="Times New Roman" w:hAnsi="Times New Roman"/>
          <w:i/>
          <w:sz w:val="24"/>
          <w:szCs w:val="24"/>
          <w:lang w:eastAsia="es-ES"/>
        </w:rPr>
        <w:t>Globalización y ética</w:t>
      </w:r>
      <w:r>
        <w:rPr>
          <w:rFonts w:ascii="Times New Roman" w:eastAsia="Times New Roman" w:hAnsi="Times New Roman"/>
          <w:sz w:val="24"/>
          <w:szCs w:val="24"/>
          <w:lang w:eastAsia="es-ES"/>
        </w:rPr>
        <w:t>”</w:t>
      </w:r>
      <w:r w:rsidRPr="006E34B6">
        <w:rPr>
          <w:rFonts w:ascii="Times New Roman" w:eastAsia="Times New Roman" w:hAnsi="Times New Roman"/>
          <w:sz w:val="24"/>
          <w:szCs w:val="24"/>
          <w:lang w:eastAsia="es-ES"/>
        </w:rPr>
        <w:t xml:space="preserve"> -específicamente, una comparación de las maneras en que Europa, Estados Unidos y Asia protegen a los miembros más frágiles de sus respectivas sociedades. </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Todos los participantes coincidieron en que en Europa el estado tradicionalmente desempeñaba el papel que llevaba a cabo la filantropía privada en Estados Unidos y la familia en Asia. Pero todos nos apresuramos a</w:t>
      </w:r>
      <w:r>
        <w:rPr>
          <w:rFonts w:ascii="Times New Roman" w:eastAsia="Times New Roman" w:hAnsi="Times New Roman"/>
          <w:sz w:val="24"/>
          <w:szCs w:val="24"/>
          <w:lang w:eastAsia="es-ES"/>
        </w:rPr>
        <w:t xml:space="preserve"> agregar que ningún modelo era “puro”</w:t>
      </w:r>
      <w:r w:rsidRPr="006E34B6">
        <w:rPr>
          <w:rFonts w:ascii="Times New Roman" w:eastAsia="Times New Roman" w:hAnsi="Times New Roman"/>
          <w:sz w:val="24"/>
          <w:szCs w:val="24"/>
          <w:lang w:eastAsia="es-ES"/>
        </w:rPr>
        <w:t xml:space="preserve">; vale decir, la familia ya no era lo que solía ser en Asia, el estado desempeñaba un papel más importante de lo esperado en Estados Unidos y muchas veces no cumplía con las expectativas en Europa. </w:t>
      </w:r>
    </w:p>
    <w:p w:rsidR="006E34B6" w:rsidRPr="006E34B6" w:rsidRDefault="006E34B6" w:rsidP="00387350">
      <w:pPr>
        <w:spacing w:before="100" w:beforeAutospacing="1" w:after="100" w:afterAutospacing="1"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 xml:space="preserve">La realidad se ha tornado aún más complicada desde entonces: el papel de la familia sigue decayendo en Asia; la filantropía, a pesar de unos pocos individuos extraordinariamente generosos, hace rato que encontró sus límites en Estados Unidos; y, posiblemente a excepción de los países nórdicos, el estado en Europa, sobrecargado por la deuda, ya no tiene los medios o la voluntad para asumir nuevas responsabilidades. </w:t>
      </w:r>
    </w:p>
    <w:p w:rsidR="006E34B6" w:rsidRPr="000A3DC2" w:rsidRDefault="006E34B6" w:rsidP="00387350">
      <w:pPr>
        <w:spacing w:before="100" w:beforeAutospacing="1" w:after="100" w:afterAutospacing="1" w:line="240" w:lineRule="auto"/>
        <w:jc w:val="both"/>
        <w:rPr>
          <w:rFonts w:ascii="Times New Roman" w:eastAsia="Times New Roman" w:hAnsi="Times New Roman"/>
          <w:sz w:val="24"/>
          <w:szCs w:val="24"/>
          <w:lang w:eastAsia="es-ES"/>
        </w:rPr>
      </w:pPr>
      <w:r w:rsidRPr="006E34B6">
        <w:rPr>
          <w:rFonts w:ascii="Times New Roman" w:eastAsia="Times New Roman" w:hAnsi="Times New Roman"/>
          <w:sz w:val="24"/>
          <w:szCs w:val="24"/>
          <w:lang w:eastAsia="es-ES"/>
        </w:rPr>
        <w:t>Entonces, ¿quién se ocupará de proteger a los más débiles si ninguno de estos tres actores puede hacerlo como corresponde? ¿Vamos camino a un mundo unido por la incompetencia y la deficiencia compartidas?”…</w:t>
      </w:r>
      <w:r>
        <w:rPr>
          <w:rFonts w:ascii="Times New Roman" w:eastAsia="Times New Roman" w:hAnsi="Times New Roman"/>
          <w:sz w:val="24"/>
          <w:szCs w:val="24"/>
          <w:lang w:eastAsia="es-ES"/>
        </w:rPr>
        <w:t xml:space="preserve"> </w:t>
      </w:r>
      <w:r w:rsidRPr="00865F9F">
        <w:rPr>
          <w:rFonts w:ascii="Times New Roman" w:eastAsia="Times New Roman" w:hAnsi="Times New Roman"/>
          <w:sz w:val="24"/>
          <w:szCs w:val="24"/>
          <w:lang w:eastAsia="es-ES"/>
        </w:rPr>
        <w:t>¿</w:t>
      </w:r>
      <w:r w:rsidRPr="00865F9F">
        <w:rPr>
          <w:rFonts w:ascii="Times New Roman" w:eastAsia="Times New Roman" w:hAnsi="Times New Roman"/>
          <w:sz w:val="24"/>
          <w:szCs w:val="24"/>
          <w:u w:val="single"/>
          <w:lang w:eastAsia="es-ES"/>
        </w:rPr>
        <w:t>Quién ayudará a los pobres?</w:t>
      </w:r>
      <w:r>
        <w:rPr>
          <w:rFonts w:ascii="Times New Roman" w:eastAsia="Times New Roman" w:hAnsi="Times New Roman"/>
          <w:sz w:val="24"/>
          <w:szCs w:val="24"/>
          <w:lang w:eastAsia="es-ES"/>
        </w:rPr>
        <w:t xml:space="preserve"> </w:t>
      </w:r>
      <w:r w:rsidRPr="000A3DC2">
        <w:rPr>
          <w:rFonts w:ascii="Times New Roman" w:eastAsia="Times New Roman" w:hAnsi="Times New Roman"/>
          <w:sz w:val="24"/>
          <w:szCs w:val="24"/>
          <w:lang w:eastAsia="es-ES"/>
        </w:rPr>
        <w:t xml:space="preserve">(Dominique Moisi - Project Syndicate - </w:t>
      </w:r>
      <w:r w:rsidRPr="000A3DC2">
        <w:rPr>
          <w:rFonts w:ascii="Times New Roman" w:eastAsia="Times New Roman" w:hAnsi="Times New Roman"/>
          <w:b/>
          <w:sz w:val="24"/>
          <w:szCs w:val="24"/>
          <w:lang w:eastAsia="es-ES"/>
        </w:rPr>
        <w:t>29/8/11</w:t>
      </w:r>
      <w:r w:rsidRPr="000A3DC2">
        <w:rPr>
          <w:rFonts w:ascii="Times New Roman" w:eastAsia="Times New Roman" w:hAnsi="Times New Roman"/>
          <w:sz w:val="24"/>
          <w:szCs w:val="24"/>
          <w:lang w:eastAsia="es-ES"/>
        </w:rPr>
        <w:t>)</w:t>
      </w:r>
    </w:p>
    <w:p w:rsidR="00FF265B" w:rsidRP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 xml:space="preserve">“Una cifra récord: 46,2 millones de habitantes de Estados Unidos son pobres, según los datos del año 2010 dados a conocer este martes por la Oficina del Censo de ese país. </w:t>
      </w:r>
      <w:r w:rsidRPr="00FF265B">
        <w:rPr>
          <w:rFonts w:ascii="Times New Roman" w:hAnsi="Times New Roman"/>
          <w:sz w:val="24"/>
          <w:szCs w:val="24"/>
        </w:rPr>
        <w:lastRenderedPageBreak/>
        <w:t>Este es el número más alto jamás recolectado por el organismo desde que comenzó a ejercer sus funciones en 1959.</w:t>
      </w:r>
    </w:p>
    <w:p w:rsidR="00FF265B" w:rsidRP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Las estadísticas que revelan el descalabro son múltiples y uniformemente malas. En términos porcentuales, la tasa de pobreza es la más alta desde 1993: 15,1%. En el año 2000, la cifra era de 11,7%.</w:t>
      </w:r>
    </w:p>
    <w:p w:rsidR="00FF265B" w:rsidRP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Mientras tanto, el ingreso anual de los hogares promedio cayó en un 2,3%, hasta llegar a los US$ 49.445. Para EEUU una familia pobre es aquella que posee un salario anual de US$</w:t>
      </w:r>
      <w:r w:rsidR="003573AE">
        <w:rPr>
          <w:rFonts w:ascii="Times New Roman" w:hAnsi="Times New Roman"/>
          <w:sz w:val="24"/>
          <w:szCs w:val="24"/>
        </w:rPr>
        <w:t xml:space="preserve"> </w:t>
      </w:r>
      <w:r w:rsidRPr="00FF265B">
        <w:rPr>
          <w:rFonts w:ascii="Times New Roman" w:hAnsi="Times New Roman"/>
          <w:sz w:val="24"/>
          <w:szCs w:val="24"/>
        </w:rPr>
        <w:t>22.314 o menos. Si se trata de una sola persona, el monto anual debe ser igual o menor que US$ 11.139.</w:t>
      </w:r>
    </w:p>
    <w:p w:rsid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Por otra parte, el número de habitantes sin seguro médico supera los 50 millones de personas”…</w:t>
      </w:r>
      <w:r>
        <w:rPr>
          <w:rFonts w:ascii="Times New Roman" w:hAnsi="Times New Roman"/>
          <w:sz w:val="24"/>
          <w:szCs w:val="24"/>
        </w:rPr>
        <w:t xml:space="preserve"> </w:t>
      </w:r>
      <w:r w:rsidRPr="008C4B91">
        <w:rPr>
          <w:rFonts w:ascii="Times New Roman" w:hAnsi="Times New Roman"/>
          <w:sz w:val="24"/>
          <w:szCs w:val="24"/>
          <w:u w:val="single"/>
        </w:rPr>
        <w:t>Estados Unidos registra los peores niveles de pobreza en casi dos décadas</w:t>
      </w:r>
      <w:r>
        <w:rPr>
          <w:rFonts w:ascii="Times New Roman" w:hAnsi="Times New Roman"/>
          <w:sz w:val="24"/>
          <w:szCs w:val="24"/>
        </w:rPr>
        <w:t xml:space="preserve"> (BBCMundo - </w:t>
      </w:r>
      <w:r w:rsidRPr="008C4B91">
        <w:rPr>
          <w:rFonts w:ascii="Times New Roman" w:hAnsi="Times New Roman"/>
          <w:b/>
          <w:sz w:val="24"/>
          <w:szCs w:val="24"/>
        </w:rPr>
        <w:t>13/9/11</w:t>
      </w:r>
      <w:r>
        <w:rPr>
          <w:rFonts w:ascii="Times New Roman" w:hAnsi="Times New Roman"/>
          <w:sz w:val="24"/>
          <w:szCs w:val="24"/>
        </w:rPr>
        <w:t>)</w:t>
      </w:r>
    </w:p>
    <w:p w:rsidR="00FF265B" w:rsidRP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“La tasa de pobreza en Estados Unidos aumentó en 2010 por cuarto año consecutivo hasta el 15,1%, lo que representa 46,2 millones de personas que viven con menos de 1.000 dólares al mes, según los datos divulgados hoy por la Oficina del Censo.</w:t>
      </w:r>
    </w:p>
    <w:p w:rsidR="00FF265B" w:rsidRP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En 2009, la cifra fue de 43,6 millones de personas en situación de pobr</w:t>
      </w:r>
      <w:r>
        <w:rPr>
          <w:rFonts w:ascii="Times New Roman" w:hAnsi="Times New Roman"/>
          <w:sz w:val="24"/>
          <w:szCs w:val="24"/>
        </w:rPr>
        <w:t>eza, de acuerdo con el informe “</w:t>
      </w:r>
      <w:r w:rsidRPr="00FF265B">
        <w:rPr>
          <w:rFonts w:ascii="Times New Roman" w:hAnsi="Times New Roman"/>
          <w:sz w:val="24"/>
          <w:szCs w:val="24"/>
        </w:rPr>
        <w:t>Ingreso, pobreza y cobertura de seguro méd</w:t>
      </w:r>
      <w:r>
        <w:rPr>
          <w:rFonts w:ascii="Times New Roman" w:hAnsi="Times New Roman"/>
          <w:sz w:val="24"/>
          <w:szCs w:val="24"/>
        </w:rPr>
        <w:t>ico en los Estados Unidos: 2010”</w:t>
      </w:r>
      <w:r w:rsidRPr="00FF265B">
        <w:rPr>
          <w:rFonts w:ascii="Times New Roman" w:hAnsi="Times New Roman"/>
          <w:sz w:val="24"/>
          <w:szCs w:val="24"/>
        </w:rPr>
        <w:t xml:space="preserve">, lo que suponía un 14,3% de la población total, </w:t>
      </w:r>
    </w:p>
    <w:p w:rsidR="00FF265B" w:rsidRP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Se trata del cuarto incremento anual consecutivo, la tasa más alta desde 1993 y la cifra total más grande desde que las estimaciones de pobreza comenzaron a publicarse en 1959.</w:t>
      </w:r>
    </w:p>
    <w:p w:rsid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De acuerdo con estos datos, uno de cada seis estadounidenses vive por debajo del umbral de pobreza”…</w:t>
      </w:r>
      <w:r>
        <w:rPr>
          <w:rFonts w:ascii="Times New Roman" w:hAnsi="Times New Roman"/>
          <w:sz w:val="24"/>
          <w:szCs w:val="24"/>
        </w:rPr>
        <w:t xml:space="preserve"> </w:t>
      </w:r>
      <w:r w:rsidRPr="004E355C">
        <w:rPr>
          <w:rFonts w:ascii="Times New Roman" w:hAnsi="Times New Roman"/>
          <w:sz w:val="24"/>
          <w:szCs w:val="24"/>
          <w:u w:val="single"/>
        </w:rPr>
        <w:t xml:space="preserve">La tasa </w:t>
      </w:r>
      <w:r>
        <w:rPr>
          <w:rFonts w:ascii="Times New Roman" w:hAnsi="Times New Roman"/>
          <w:sz w:val="24"/>
          <w:szCs w:val="24"/>
          <w:u w:val="single"/>
        </w:rPr>
        <w:t>de pobreza en EE</w:t>
      </w:r>
      <w:r w:rsidRPr="004E355C">
        <w:rPr>
          <w:rFonts w:ascii="Times New Roman" w:hAnsi="Times New Roman"/>
          <w:sz w:val="24"/>
          <w:szCs w:val="24"/>
          <w:u w:val="single"/>
        </w:rPr>
        <w:t>UU sube por cuarto año consecutivo</w:t>
      </w:r>
      <w:r>
        <w:rPr>
          <w:rFonts w:ascii="Times New Roman" w:hAnsi="Times New Roman"/>
          <w:sz w:val="24"/>
          <w:szCs w:val="24"/>
        </w:rPr>
        <w:t xml:space="preserve"> (Cinco Días - </w:t>
      </w:r>
      <w:r w:rsidRPr="004E355C">
        <w:rPr>
          <w:rFonts w:ascii="Times New Roman" w:hAnsi="Times New Roman"/>
          <w:b/>
          <w:sz w:val="24"/>
          <w:szCs w:val="24"/>
        </w:rPr>
        <w:t>13/9/11</w:t>
      </w:r>
      <w:r>
        <w:rPr>
          <w:rFonts w:ascii="Times New Roman" w:hAnsi="Times New Roman"/>
          <w:sz w:val="24"/>
          <w:szCs w:val="24"/>
        </w:rPr>
        <w:t>)</w:t>
      </w:r>
    </w:p>
    <w:p w:rsidR="00FF265B" w:rsidRPr="00FF265B" w:rsidRDefault="00FF265B" w:rsidP="00387350">
      <w:pPr>
        <w:spacing w:line="240" w:lineRule="auto"/>
        <w:jc w:val="both"/>
        <w:rPr>
          <w:rFonts w:ascii="Times New Roman" w:hAnsi="Times New Roman"/>
          <w:sz w:val="24"/>
          <w:szCs w:val="24"/>
        </w:rPr>
      </w:pPr>
      <w:r>
        <w:rPr>
          <w:rFonts w:ascii="Times New Roman" w:hAnsi="Times New Roman"/>
          <w:sz w:val="24"/>
          <w:szCs w:val="24"/>
        </w:rPr>
        <w:t>“</w:t>
      </w:r>
      <w:r w:rsidRPr="00FF265B">
        <w:rPr>
          <w:rFonts w:ascii="Times New Roman" w:hAnsi="Times New Roman"/>
          <w:sz w:val="24"/>
          <w:szCs w:val="24"/>
        </w:rPr>
        <w:t xml:space="preserve">Según un estudio realizado por el Instituto de Estudios Fiscales (IFS, siglas en inglés), una organización de investigación financiera independiente, los ingresos medios de la población bajarán un 7% hacia finales de la presente década. Como consecuencia, 3,1 millones de niños, un 23,1%, vivirán en la pobreza absoluta en 2020, frente a los 2,8 millones, un 21,1%, contabilizados en la actualidad. </w:t>
      </w:r>
    </w:p>
    <w:p w:rsidR="00FF265B" w:rsidRP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 xml:space="preserve">La organización considera que esta situación se deberá a los recortes en los subsidios a las familias aplicados por el Gobierno de coalición y el aumento de los impuestos, como el Impuesto al Valor Añadido, que ha pasado del 17,5 al 20%. </w:t>
      </w:r>
    </w:p>
    <w:p w:rsidR="00FF265B" w:rsidRDefault="00FF265B" w:rsidP="00387350">
      <w:pPr>
        <w:spacing w:line="240" w:lineRule="auto"/>
        <w:jc w:val="both"/>
        <w:rPr>
          <w:rFonts w:ascii="Times New Roman" w:hAnsi="Times New Roman"/>
          <w:sz w:val="24"/>
          <w:szCs w:val="24"/>
        </w:rPr>
      </w:pPr>
      <w:r w:rsidRPr="00FF265B">
        <w:rPr>
          <w:rFonts w:ascii="Times New Roman" w:hAnsi="Times New Roman"/>
          <w:sz w:val="24"/>
          <w:szCs w:val="24"/>
        </w:rPr>
        <w:t xml:space="preserve">El instituto define la pobreza </w:t>
      </w:r>
      <w:r>
        <w:rPr>
          <w:rFonts w:ascii="Times New Roman" w:hAnsi="Times New Roman"/>
          <w:sz w:val="24"/>
          <w:szCs w:val="24"/>
        </w:rPr>
        <w:t>“absoluta”</w:t>
      </w:r>
      <w:r w:rsidRPr="00FF265B">
        <w:rPr>
          <w:rFonts w:ascii="Times New Roman" w:hAnsi="Times New Roman"/>
          <w:sz w:val="24"/>
          <w:szCs w:val="24"/>
        </w:rPr>
        <w:t xml:space="preserve"> cuando los ingresos de una familia están por debajo del 60% de la cantidad media establecida</w:t>
      </w:r>
      <w:r>
        <w:rPr>
          <w:rFonts w:ascii="Times New Roman" w:hAnsi="Times New Roman"/>
          <w:sz w:val="24"/>
          <w:szCs w:val="24"/>
        </w:rPr>
        <w:t>”..</w:t>
      </w:r>
      <w:r w:rsidRPr="00FF265B">
        <w:rPr>
          <w:rFonts w:ascii="Times New Roman" w:hAnsi="Times New Roman"/>
          <w:sz w:val="24"/>
          <w:szCs w:val="24"/>
        </w:rPr>
        <w:t>.</w:t>
      </w:r>
      <w:r>
        <w:rPr>
          <w:rFonts w:ascii="Times New Roman" w:hAnsi="Times New Roman"/>
          <w:sz w:val="24"/>
          <w:szCs w:val="24"/>
        </w:rPr>
        <w:t xml:space="preserve"> </w:t>
      </w:r>
      <w:r w:rsidRPr="00CE5FCC">
        <w:rPr>
          <w:rFonts w:ascii="Times New Roman" w:hAnsi="Times New Roman"/>
          <w:sz w:val="24"/>
          <w:szCs w:val="24"/>
          <w:u w:val="single"/>
        </w:rPr>
        <w:t>La cuarta parte de los niños de Reino Unido, en la pobreza absoluta en 2020</w:t>
      </w:r>
      <w:r>
        <w:rPr>
          <w:rFonts w:ascii="Times New Roman" w:hAnsi="Times New Roman"/>
          <w:sz w:val="24"/>
          <w:szCs w:val="24"/>
        </w:rPr>
        <w:t xml:space="preserve"> (El Economista - </w:t>
      </w:r>
      <w:r w:rsidRPr="00CE5FCC">
        <w:rPr>
          <w:rFonts w:ascii="Times New Roman" w:hAnsi="Times New Roman"/>
          <w:b/>
          <w:sz w:val="24"/>
          <w:szCs w:val="24"/>
        </w:rPr>
        <w:t>11/10/11</w:t>
      </w:r>
      <w:r>
        <w:rPr>
          <w:rFonts w:ascii="Times New Roman" w:hAnsi="Times New Roman"/>
          <w:sz w:val="24"/>
          <w:szCs w:val="24"/>
        </w:rPr>
        <w:t>)</w:t>
      </w:r>
    </w:p>
    <w:p w:rsidR="00BA7782" w:rsidRPr="00BA7782" w:rsidRDefault="00BA7782" w:rsidP="00387350">
      <w:pPr>
        <w:spacing w:line="240" w:lineRule="auto"/>
        <w:jc w:val="both"/>
        <w:rPr>
          <w:rFonts w:ascii="Times New Roman" w:hAnsi="Times New Roman"/>
          <w:sz w:val="24"/>
          <w:szCs w:val="24"/>
        </w:rPr>
      </w:pPr>
      <w:r>
        <w:rPr>
          <w:rFonts w:ascii="Times New Roman" w:hAnsi="Times New Roman"/>
          <w:sz w:val="24"/>
          <w:szCs w:val="24"/>
        </w:rPr>
        <w:t>“</w:t>
      </w:r>
      <w:r w:rsidRPr="00BA7782">
        <w:rPr>
          <w:rFonts w:ascii="Times New Roman" w:hAnsi="Times New Roman"/>
          <w:sz w:val="24"/>
          <w:szCs w:val="24"/>
        </w:rPr>
        <w:t>El desempleo en Estados Unidos no llega a los niveles astronómicos de la década de los 30 pero, exceptuando un pico en 1982, no había sido tan alto desde la época de la Depresión. Hoy hay 13 millones de desempleados; es decir, tres millones más que cuando Obama fue elegido.</w:t>
      </w:r>
    </w:p>
    <w:p w:rsidR="00BA7782" w:rsidRPr="00BA7782" w:rsidRDefault="00BA7782" w:rsidP="00387350">
      <w:pPr>
        <w:spacing w:line="240" w:lineRule="auto"/>
        <w:jc w:val="both"/>
        <w:rPr>
          <w:rFonts w:ascii="Times New Roman" w:hAnsi="Times New Roman"/>
          <w:sz w:val="24"/>
          <w:szCs w:val="24"/>
        </w:rPr>
      </w:pPr>
      <w:r w:rsidRPr="00BA7782">
        <w:rPr>
          <w:rFonts w:ascii="Times New Roman" w:hAnsi="Times New Roman"/>
          <w:sz w:val="24"/>
          <w:szCs w:val="24"/>
        </w:rPr>
        <w:t xml:space="preserve">Una de las caras más duras de estas cifras es que unas 5.000 personas, según estimaciones, han tenido que irse a vivir a tiendas de campaña que se han desparramado por el país. O porque no tienen trabajo, o porque sus ingresos no alcanzan para pagar un </w:t>
      </w:r>
      <w:r w:rsidRPr="00BA7782">
        <w:rPr>
          <w:rFonts w:ascii="Times New Roman" w:hAnsi="Times New Roman"/>
          <w:sz w:val="24"/>
          <w:szCs w:val="24"/>
        </w:rPr>
        <w:lastRenderedPageBreak/>
        <w:t>techo, estos ciudadanos han tenido que encontrar una solución -por llamarlo de alguna manera- para sí y sus familias.</w:t>
      </w:r>
    </w:p>
    <w:p w:rsidR="00BA7782" w:rsidRPr="00BA7782" w:rsidRDefault="00BA7782" w:rsidP="00387350">
      <w:pPr>
        <w:spacing w:line="240" w:lineRule="auto"/>
        <w:jc w:val="both"/>
        <w:rPr>
          <w:rFonts w:ascii="Times New Roman" w:hAnsi="Times New Roman"/>
          <w:sz w:val="24"/>
          <w:szCs w:val="24"/>
        </w:rPr>
      </w:pPr>
      <w:r w:rsidRPr="00BA7782">
        <w:rPr>
          <w:rFonts w:ascii="Times New Roman" w:hAnsi="Times New Roman"/>
          <w:sz w:val="24"/>
          <w:szCs w:val="24"/>
        </w:rPr>
        <w:t>El campamento más grande está ubicado en Pinella's Hope, en el estado de Florida, una región mucho más conocida por el colorido de Disney World. Está hecho de prolijas hileras de tiendas desplegadas a lo largo y a lo ancho de una parcela de 52.000 metros cuadrados…</w:t>
      </w:r>
    </w:p>
    <w:p w:rsidR="00BA7782" w:rsidRDefault="00BA7782" w:rsidP="00387350">
      <w:pPr>
        <w:spacing w:line="240" w:lineRule="auto"/>
        <w:jc w:val="both"/>
        <w:rPr>
          <w:rFonts w:ascii="Times New Roman" w:hAnsi="Times New Roman"/>
          <w:sz w:val="24"/>
          <w:szCs w:val="24"/>
        </w:rPr>
      </w:pPr>
      <w:r w:rsidRPr="00BA7782">
        <w:rPr>
          <w:rFonts w:ascii="Times New Roman" w:hAnsi="Times New Roman"/>
          <w:sz w:val="24"/>
          <w:szCs w:val="24"/>
        </w:rPr>
        <w:t>La situación que se vive en estos pueblos de Florida y Michigan se reproduce en muchos otros lugares. Estos campamentos se han desparramado por 55 ciudades de Estados Unidos y representan una cruda realidad económica y social del país</w:t>
      </w:r>
      <w:r>
        <w:rPr>
          <w:rFonts w:ascii="Times New Roman" w:hAnsi="Times New Roman"/>
          <w:sz w:val="24"/>
          <w:szCs w:val="24"/>
        </w:rPr>
        <w:t>”..</w:t>
      </w:r>
      <w:r w:rsidRPr="00BA7782">
        <w:rPr>
          <w:rFonts w:ascii="Times New Roman" w:hAnsi="Times New Roman"/>
          <w:sz w:val="24"/>
          <w:szCs w:val="24"/>
        </w:rPr>
        <w:t>.</w:t>
      </w:r>
      <w:r>
        <w:rPr>
          <w:rFonts w:ascii="Times New Roman" w:hAnsi="Times New Roman"/>
          <w:sz w:val="24"/>
          <w:szCs w:val="24"/>
        </w:rPr>
        <w:t xml:space="preserve"> </w:t>
      </w:r>
      <w:r w:rsidRPr="008E6870">
        <w:rPr>
          <w:rFonts w:ascii="Times New Roman" w:hAnsi="Times New Roman"/>
          <w:sz w:val="24"/>
          <w:szCs w:val="24"/>
          <w:u w:val="single"/>
        </w:rPr>
        <w:t>Las villas miseria de Estados Unidos, el país más rico del mundo</w:t>
      </w:r>
      <w:r>
        <w:rPr>
          <w:rFonts w:ascii="Times New Roman" w:hAnsi="Times New Roman"/>
          <w:sz w:val="24"/>
          <w:szCs w:val="24"/>
        </w:rPr>
        <w:t xml:space="preserve"> (BBCMundo.com - </w:t>
      </w:r>
      <w:r w:rsidRPr="008E6870">
        <w:rPr>
          <w:rFonts w:ascii="Times New Roman" w:hAnsi="Times New Roman"/>
          <w:b/>
          <w:sz w:val="24"/>
          <w:szCs w:val="24"/>
        </w:rPr>
        <w:t>14/2/12</w:t>
      </w:r>
      <w:r>
        <w:rPr>
          <w:rFonts w:ascii="Times New Roman" w:hAnsi="Times New Roman"/>
          <w:sz w:val="24"/>
          <w:szCs w:val="24"/>
        </w:rPr>
        <w:t>)</w:t>
      </w:r>
    </w:p>
    <w:p w:rsidR="00BA7782" w:rsidRPr="00BA7782" w:rsidRDefault="00BA7782" w:rsidP="00387350">
      <w:pPr>
        <w:spacing w:line="240" w:lineRule="auto"/>
        <w:jc w:val="both"/>
        <w:rPr>
          <w:rFonts w:ascii="Times New Roman" w:hAnsi="Times New Roman"/>
          <w:sz w:val="24"/>
          <w:szCs w:val="24"/>
        </w:rPr>
      </w:pPr>
      <w:r>
        <w:rPr>
          <w:rFonts w:ascii="Times New Roman" w:hAnsi="Times New Roman"/>
          <w:sz w:val="24"/>
          <w:szCs w:val="24"/>
        </w:rPr>
        <w:t>“</w:t>
      </w:r>
      <w:r w:rsidRPr="00BA7782">
        <w:rPr>
          <w:rFonts w:ascii="Times New Roman" w:hAnsi="Times New Roman"/>
          <w:sz w:val="24"/>
          <w:szCs w:val="24"/>
        </w:rPr>
        <w:t>Los Países Bajos, hasta ahora una de las economías más estables de Europa acaba de ver la caída de su gobierno como consecuencia del peso de la crisis y de los recortes y se enfrenta a un aumento de personas que viven al límite.</w:t>
      </w:r>
    </w:p>
    <w:p w:rsidR="00BA7782" w:rsidRPr="00BA7782" w:rsidRDefault="00BA7782" w:rsidP="00387350">
      <w:pPr>
        <w:spacing w:line="240" w:lineRule="auto"/>
        <w:jc w:val="both"/>
        <w:rPr>
          <w:rFonts w:ascii="Times New Roman" w:hAnsi="Times New Roman"/>
          <w:sz w:val="24"/>
          <w:szCs w:val="24"/>
        </w:rPr>
      </w:pPr>
      <w:r w:rsidRPr="00BA7782">
        <w:rPr>
          <w:rFonts w:ascii="Times New Roman" w:hAnsi="Times New Roman"/>
          <w:sz w:val="24"/>
          <w:szCs w:val="24"/>
        </w:rPr>
        <w:t>El colapso del gobierno de Mark Rutte, que buscaba recortar US$</w:t>
      </w:r>
      <w:r w:rsidR="002E6E34">
        <w:rPr>
          <w:rFonts w:ascii="Times New Roman" w:hAnsi="Times New Roman"/>
          <w:sz w:val="24"/>
          <w:szCs w:val="24"/>
        </w:rPr>
        <w:t xml:space="preserve"> </w:t>
      </w:r>
      <w:r w:rsidRPr="00BA7782">
        <w:rPr>
          <w:rFonts w:ascii="Times New Roman" w:hAnsi="Times New Roman"/>
          <w:sz w:val="24"/>
          <w:szCs w:val="24"/>
        </w:rPr>
        <w:t>21.000 millones para alcanzar el objetivo de déficit del 3% impuesto por la Unión Europea, es la cima de una pendiente de problemas que no sólo está afectando a la economía del país sino al día a día de muchos holandeses que luchan contra las dificultades derivadas de la crisis.</w:t>
      </w:r>
      <w:r>
        <w:rPr>
          <w:rFonts w:ascii="Times New Roman" w:hAnsi="Times New Roman"/>
          <w:sz w:val="24"/>
          <w:szCs w:val="24"/>
        </w:rPr>
        <w:t xml:space="preserve"> </w:t>
      </w:r>
      <w:r w:rsidRPr="00BA7782">
        <w:rPr>
          <w:rFonts w:ascii="Times New Roman" w:hAnsi="Times New Roman"/>
          <w:sz w:val="24"/>
          <w:szCs w:val="24"/>
        </w:rPr>
        <w:t>Rutte renunció ante la falta de apoyo del ultraderechista Partido de la Libertad, que calificaba los recortes de desmesurados.</w:t>
      </w:r>
    </w:p>
    <w:p w:rsidR="00BA7782" w:rsidRPr="00BA7782" w:rsidRDefault="00BA7782" w:rsidP="00387350">
      <w:pPr>
        <w:spacing w:line="240" w:lineRule="auto"/>
        <w:jc w:val="both"/>
        <w:rPr>
          <w:rFonts w:ascii="Times New Roman" w:hAnsi="Times New Roman"/>
          <w:sz w:val="24"/>
          <w:szCs w:val="24"/>
        </w:rPr>
      </w:pPr>
      <w:r w:rsidRPr="00BA7782">
        <w:rPr>
          <w:rFonts w:ascii="Times New Roman" w:hAnsi="Times New Roman"/>
          <w:sz w:val="24"/>
          <w:szCs w:val="24"/>
        </w:rPr>
        <w:t>Pero, detrás de esta crisis política, las filas de desempleados y familias de escasos recursos crecen silenciosamente desde finales del año pasado. Según los comedores públicos de Ámsterdam, el número de personas que acude a pedir sus servicios creció en un 10% mensual en los últimos cinco meses.</w:t>
      </w:r>
    </w:p>
    <w:p w:rsidR="00BA7782" w:rsidRDefault="00BA7782" w:rsidP="00387350">
      <w:pPr>
        <w:spacing w:line="240" w:lineRule="auto"/>
        <w:jc w:val="both"/>
        <w:rPr>
          <w:rFonts w:ascii="Times New Roman" w:hAnsi="Times New Roman"/>
          <w:sz w:val="24"/>
          <w:szCs w:val="24"/>
        </w:rPr>
      </w:pPr>
      <w:r w:rsidRPr="00BA7782">
        <w:rPr>
          <w:rFonts w:ascii="Times New Roman" w:hAnsi="Times New Roman"/>
          <w:sz w:val="24"/>
          <w:szCs w:val="24"/>
        </w:rPr>
        <w:t>Ahora, más de 60.000 personas dependen de los comedores sociales en todo el país.</w:t>
      </w:r>
      <w:r>
        <w:rPr>
          <w:rFonts w:ascii="Times New Roman" w:hAnsi="Times New Roman"/>
          <w:sz w:val="24"/>
          <w:szCs w:val="24"/>
        </w:rPr>
        <w:t xml:space="preserve"> </w:t>
      </w:r>
      <w:r w:rsidRPr="00BA7782">
        <w:rPr>
          <w:rFonts w:ascii="Times New Roman" w:hAnsi="Times New Roman"/>
          <w:sz w:val="24"/>
          <w:szCs w:val="24"/>
        </w:rPr>
        <w:t>El hambre no es un concepto que se asocia con una de las economías más fuertes de Europa. Sin embargo, las medidas de austeridad adoptadas por el gobierno están teniendo un impacto social que muchos califican de dramático</w:t>
      </w:r>
      <w:r>
        <w:rPr>
          <w:rFonts w:ascii="Times New Roman" w:hAnsi="Times New Roman"/>
          <w:sz w:val="24"/>
          <w:szCs w:val="24"/>
        </w:rPr>
        <w:t>”..</w:t>
      </w:r>
      <w:r w:rsidRPr="00BA7782">
        <w:rPr>
          <w:rFonts w:ascii="Times New Roman" w:hAnsi="Times New Roman"/>
          <w:sz w:val="24"/>
          <w:szCs w:val="24"/>
        </w:rPr>
        <w:t>.</w:t>
      </w:r>
      <w:r>
        <w:rPr>
          <w:rFonts w:ascii="Times New Roman" w:hAnsi="Times New Roman"/>
          <w:sz w:val="24"/>
          <w:szCs w:val="24"/>
        </w:rPr>
        <w:t xml:space="preserve"> </w:t>
      </w:r>
      <w:r w:rsidRPr="001233C2">
        <w:rPr>
          <w:rFonts w:ascii="Times New Roman" w:hAnsi="Times New Roman"/>
          <w:sz w:val="24"/>
          <w:szCs w:val="24"/>
          <w:u w:val="single"/>
        </w:rPr>
        <w:t>La pobreza que puso en jaque a un gobierno</w:t>
      </w:r>
      <w:r>
        <w:rPr>
          <w:rFonts w:ascii="Times New Roman" w:hAnsi="Times New Roman"/>
          <w:sz w:val="24"/>
          <w:szCs w:val="24"/>
        </w:rPr>
        <w:t xml:space="preserve"> (BBCMundo - </w:t>
      </w:r>
      <w:r w:rsidRPr="001233C2">
        <w:rPr>
          <w:rFonts w:ascii="Times New Roman" w:hAnsi="Times New Roman"/>
          <w:b/>
          <w:sz w:val="24"/>
          <w:szCs w:val="24"/>
        </w:rPr>
        <w:t>24/4/12</w:t>
      </w:r>
      <w:r>
        <w:rPr>
          <w:rFonts w:ascii="Times New Roman" w:hAnsi="Times New Roman"/>
          <w:sz w:val="24"/>
          <w:szCs w:val="24"/>
        </w:rPr>
        <w:t>)</w:t>
      </w:r>
    </w:p>
    <w:p w:rsidR="00BA7782" w:rsidRPr="00FA199C" w:rsidRDefault="00FA199C" w:rsidP="00387350">
      <w:pPr>
        <w:pStyle w:val="NormalWeb"/>
        <w:jc w:val="both"/>
      </w:pPr>
      <w:r>
        <w:t>“</w:t>
      </w:r>
      <w:r w:rsidR="00BA7782" w:rsidRPr="00FA199C">
        <w:t xml:space="preserve">“La nueva pobreza es invisible y puede cohabitar en un mismo espacio con situaciones estables. No se trata tanto del caso del señor que rebusca en los cubos de basura después de haberse quedado sin trabajo, esa pobreza espectacular y extrema que explota la televisión, sino </w:t>
      </w:r>
      <w:r w:rsidR="00BA7782" w:rsidRPr="00FA199C">
        <w:rPr>
          <w:bCs/>
        </w:rPr>
        <w:t>un proceso poco visible que está afectando a muchas familias o al vecino de al lado aunque no nos demos cuenta</w:t>
      </w:r>
      <w:r w:rsidR="00BA7782" w:rsidRPr="00FA199C">
        <w:t xml:space="preserve">”. De esta forma recuerda la profesora de sociología e investigadora de la Universidad Complutense de Madrid </w:t>
      </w:r>
      <w:r w:rsidR="00BA7782" w:rsidRPr="00FA199C">
        <w:rPr>
          <w:bCs/>
        </w:rPr>
        <w:t>Araceli Serrano Pascual</w:t>
      </w:r>
      <w:r w:rsidR="00BA7782" w:rsidRPr="00FA199C">
        <w:t xml:space="preserve"> cómo está evolucionando la percepción de la pobreza en el presente y desfavorable contexto económico, y que se caracteriza por su escasa visibilidad</w:t>
      </w:r>
      <w:r w:rsidRPr="00FA199C">
        <w:t>.</w:t>
      </w:r>
    </w:p>
    <w:p w:rsidR="00FA199C" w:rsidRPr="00FA199C" w:rsidRDefault="00FA199C" w:rsidP="00387350">
      <w:pPr>
        <w:pStyle w:val="NormalWeb"/>
        <w:jc w:val="both"/>
      </w:pPr>
      <w:r w:rsidRPr="00FA199C">
        <w:t xml:space="preserve">Según el Instituto Nacional de Estadística, en 2011 el 21,8% de la población española se encontraba por debajo del nivel de pobreza. Un aumento del 1,1% respecto al año anterior y un dato que, recuerda Tezanos, “es uno de los más altos de toda la Unión Europea”. Para Alonso Benito, la novedad de este tipo de pobreza es “su velocidad e intensidad. </w:t>
      </w:r>
      <w:r w:rsidRPr="00FA199C">
        <w:rPr>
          <w:bCs/>
        </w:rPr>
        <w:t>Puede ocurrir de la noche a la mañana, no es un proceso a largo plazo</w:t>
      </w:r>
      <w:r w:rsidRPr="00FA199C">
        <w:t xml:space="preserve">. Por ejemplo, tenemos casos como el de una contratada de la Administración que tenía dos </w:t>
      </w:r>
      <w:r w:rsidRPr="00FA199C">
        <w:lastRenderedPageBreak/>
        <w:t>empleos precarios y que al perder uno, cayó en la pobreza. Algo que ni podía imaginarse medio año atrás”.</w:t>
      </w:r>
    </w:p>
    <w:p w:rsidR="00FA199C" w:rsidRPr="00FA199C" w:rsidRDefault="00FA199C" w:rsidP="00387350">
      <w:pPr>
        <w:pStyle w:val="NormalWeb"/>
        <w:jc w:val="both"/>
      </w:pPr>
      <w:r w:rsidRPr="00FA199C">
        <w:t xml:space="preserve">“Se trata de un sector de población que anteriormente tenía cierta estabilidad. Es decir, aunque su trabajo era precario, podía acceder al consumo, y disponía de un techo bajo el que vivir. </w:t>
      </w:r>
      <w:r>
        <w:rPr>
          <w:bCs/>
        </w:rPr>
        <w:t>Vivían en una especie de “precariedad estable”</w:t>
      </w:r>
      <w:r w:rsidRPr="00FA199C">
        <w:rPr>
          <w:bCs/>
        </w:rPr>
        <w:t>, a veces incluso con un consumo alto</w:t>
      </w:r>
      <w:r w:rsidRPr="00FA199C">
        <w:t xml:space="preserve">”, señala Araceli Serrano Pascual, explicando que la mayor parte de este grupo está formado por la franja más baja de la clase media. Luis Enrique Alonso señala que el hecho de que esté afectando a un sector que en el pasado reciente habían gozado de cierta estabilidad es un problema a la hora de proporcionar ayuda: “Al no ser colectivos minoritarios, la vergüenza que provoca hace que se intente ocultar. Por ello, </w:t>
      </w:r>
      <w:r w:rsidRPr="00FA199C">
        <w:rPr>
          <w:bCs/>
        </w:rPr>
        <w:t>la intervención y la asistencia son más complicadas</w:t>
      </w:r>
      <w:r w:rsidRPr="00FA199C">
        <w:t xml:space="preserve">. Es lo que ocurre con tantos profesionales al perder sus trabajo, que pasan de la normalidad a la dependencia”. </w:t>
      </w:r>
    </w:p>
    <w:p w:rsidR="00FA199C" w:rsidRDefault="00FA199C" w:rsidP="00387350">
      <w:pPr>
        <w:pStyle w:val="NormalWeb"/>
        <w:jc w:val="both"/>
      </w:pPr>
      <w:r w:rsidRPr="00FA199C">
        <w:t xml:space="preserve">Serrano señala que esto también ocurre dentro de la familia, “a la que no se le dice nada para no preocuparla, o por pura vergüenza”. Tezanos añade que el sentimiento más común es el de “‘qué he hecho yo para merecer esto’, la sensación de haber recibido un castigo y de no ser capaces de obtener los frutos deseados a pesar de haber trabajado y haberse esforzado. </w:t>
      </w:r>
      <w:r w:rsidRPr="00FA199C">
        <w:rPr>
          <w:bCs/>
        </w:rPr>
        <w:t>Parece que no llevamos las riendas de nuestra vida”</w:t>
      </w:r>
      <w:r>
        <w:rPr>
          <w:bCs/>
        </w:rPr>
        <w:t>”..</w:t>
      </w:r>
      <w:r w:rsidRPr="00FA199C">
        <w:rPr>
          <w:bCs/>
        </w:rPr>
        <w:t>.</w:t>
      </w:r>
      <w:r w:rsidRPr="00FA199C">
        <w:t xml:space="preserve"> </w:t>
      </w:r>
      <w:r>
        <w:t xml:space="preserve"> </w:t>
      </w:r>
      <w:r w:rsidRPr="00DE1484">
        <w:rPr>
          <w:u w:val="single"/>
        </w:rPr>
        <w:t>“Te levantas un buen día y descubres que eres pobre”</w:t>
      </w:r>
      <w:r>
        <w:t xml:space="preserve"> (El Confidencial - </w:t>
      </w:r>
      <w:r w:rsidRPr="00DE1484">
        <w:rPr>
          <w:b/>
        </w:rPr>
        <w:t>28/6/12</w:t>
      </w:r>
      <w:r>
        <w:t>)</w:t>
      </w:r>
    </w:p>
    <w:p w:rsidR="00FA199C" w:rsidRPr="00FA199C" w:rsidRDefault="00FA199C" w:rsidP="00387350">
      <w:pPr>
        <w:spacing w:line="240" w:lineRule="auto"/>
        <w:jc w:val="both"/>
        <w:rPr>
          <w:rFonts w:ascii="Times New Roman" w:hAnsi="Times New Roman"/>
          <w:sz w:val="24"/>
          <w:szCs w:val="24"/>
        </w:rPr>
      </w:pPr>
      <w:r>
        <w:rPr>
          <w:rFonts w:ascii="Times New Roman" w:hAnsi="Times New Roman"/>
          <w:sz w:val="24"/>
          <w:szCs w:val="24"/>
        </w:rPr>
        <w:t>“</w:t>
      </w:r>
      <w:r w:rsidRPr="00FA199C">
        <w:rPr>
          <w:rFonts w:ascii="Times New Roman" w:hAnsi="Times New Roman"/>
          <w:sz w:val="24"/>
          <w:szCs w:val="24"/>
        </w:rPr>
        <w:t>Cada vez son más. Una muchedumbre silenciosa y a menudo inadvertida. Son las víctimas de la pobreza. Crece en una crisis sin fondo y se instala en una normalidad quebradiza. El paro, que ya lacera a 5,6 millones de personas, es un filo que se estrecha. Las facturas siguen, los subsidios se recortan; se agotan al igual que los ahorros, y el empleo no aparece. El techo peligra. O desaparece.</w:t>
      </w:r>
    </w:p>
    <w:p w:rsidR="00FA199C" w:rsidRPr="00FA199C" w:rsidRDefault="00FA199C" w:rsidP="00387350">
      <w:pPr>
        <w:spacing w:line="240" w:lineRule="auto"/>
        <w:jc w:val="both"/>
        <w:rPr>
          <w:rFonts w:ascii="Times New Roman" w:hAnsi="Times New Roman"/>
          <w:sz w:val="24"/>
          <w:szCs w:val="24"/>
        </w:rPr>
      </w:pPr>
      <w:r w:rsidRPr="00FA199C">
        <w:rPr>
          <w:rFonts w:ascii="Times New Roman" w:hAnsi="Times New Roman"/>
          <w:sz w:val="24"/>
          <w:szCs w:val="24"/>
        </w:rPr>
        <w:t>La casa de los fami</w:t>
      </w:r>
      <w:r w:rsidR="003573AE">
        <w:rPr>
          <w:rFonts w:ascii="Times New Roman" w:hAnsi="Times New Roman"/>
          <w:sz w:val="24"/>
          <w:szCs w:val="24"/>
        </w:rPr>
        <w:t>liares y los pisos compartidos -</w:t>
      </w:r>
      <w:r w:rsidRPr="00FA199C">
        <w:rPr>
          <w:rFonts w:ascii="Times New Roman" w:hAnsi="Times New Roman"/>
          <w:sz w:val="24"/>
          <w:szCs w:val="24"/>
        </w:rPr>
        <w:t>l</w:t>
      </w:r>
      <w:r w:rsidR="003573AE">
        <w:rPr>
          <w:rFonts w:ascii="Times New Roman" w:hAnsi="Times New Roman"/>
          <w:sz w:val="24"/>
          <w:szCs w:val="24"/>
        </w:rPr>
        <w:t>a calle en el peor de los casos-</w:t>
      </w:r>
      <w:r w:rsidRPr="00FA199C">
        <w:rPr>
          <w:rFonts w:ascii="Times New Roman" w:hAnsi="Times New Roman"/>
          <w:sz w:val="24"/>
          <w:szCs w:val="24"/>
        </w:rPr>
        <w:t xml:space="preserve"> cobijan las vidas en la estacada, suspendidas en una precariedad que se extiende sin freno y que, si faltan redes de apoyo, como la familia, conduce a la exclusión social. La bajada es cada vez más acelerada, dicen los expertos, un tobogán cuyo descenso gana velocidad y al que se asoma un número creciente de personas. Hay albergues con lista de espera.</w:t>
      </w:r>
    </w:p>
    <w:p w:rsidR="00FA199C" w:rsidRDefault="00FA199C" w:rsidP="00387350">
      <w:pPr>
        <w:spacing w:line="240" w:lineRule="auto"/>
        <w:jc w:val="both"/>
        <w:rPr>
          <w:rFonts w:ascii="Times New Roman" w:hAnsi="Times New Roman"/>
          <w:sz w:val="24"/>
          <w:szCs w:val="24"/>
        </w:rPr>
      </w:pPr>
      <w:r w:rsidRPr="00FA199C">
        <w:rPr>
          <w:rFonts w:ascii="Times New Roman" w:hAnsi="Times New Roman"/>
          <w:sz w:val="24"/>
          <w:szCs w:val="24"/>
        </w:rPr>
        <w:t>España 2012. Más de 5,6 millones de empleos y decenas de miles de techos arrasados por el huracán de la crisis. Más de 300.000 ejecuciones hipotecarias iniciadas en los últimos cinco años, muchas de las cua</w:t>
      </w:r>
      <w:r>
        <w:rPr>
          <w:rFonts w:ascii="Times New Roman" w:hAnsi="Times New Roman"/>
          <w:sz w:val="24"/>
          <w:szCs w:val="24"/>
        </w:rPr>
        <w:t>les han derivado en desahucios -más de 100.000-</w:t>
      </w:r>
      <w:r w:rsidRPr="00FA199C">
        <w:rPr>
          <w:rFonts w:ascii="Times New Roman" w:hAnsi="Times New Roman"/>
          <w:sz w:val="24"/>
          <w:szCs w:val="24"/>
        </w:rPr>
        <w:t xml:space="preserve"> a los que se suman los moti</w:t>
      </w:r>
      <w:r>
        <w:rPr>
          <w:rFonts w:ascii="Times New Roman" w:hAnsi="Times New Roman"/>
          <w:sz w:val="24"/>
          <w:szCs w:val="24"/>
        </w:rPr>
        <w:t>vados por el impago de alquiler”…</w:t>
      </w:r>
      <w:r w:rsidRPr="00FA199C">
        <w:rPr>
          <w:rFonts w:ascii="Times New Roman" w:hAnsi="Times New Roman"/>
          <w:sz w:val="24"/>
          <w:szCs w:val="24"/>
        </w:rPr>
        <w:t xml:space="preserve"> </w:t>
      </w:r>
    </w:p>
    <w:p w:rsidR="00FA199C" w:rsidRDefault="00FA199C" w:rsidP="00387350">
      <w:pPr>
        <w:spacing w:line="240" w:lineRule="auto"/>
        <w:jc w:val="both"/>
        <w:rPr>
          <w:rFonts w:ascii="Times New Roman" w:hAnsi="Times New Roman"/>
          <w:sz w:val="24"/>
          <w:szCs w:val="24"/>
        </w:rPr>
      </w:pPr>
      <w:r w:rsidRPr="00FA199C">
        <w:rPr>
          <w:rFonts w:ascii="Times New Roman" w:hAnsi="Times New Roman"/>
          <w:sz w:val="24"/>
          <w:szCs w:val="24"/>
        </w:rPr>
        <w:t>“El tobogán que lleva de ser alguien a no ser nada, a sentirse mobiliario urbano, cada vez es más corto, más rápido”, afirma Olea, experta de Cáritas. Con todo, en esta crisis, como en las anteriores, el colchón familiar es la protección más fuerte. “En muchos casos, quienes soportan la situación son los abuelos”, describe. Abuelos que acogen a hijos y nietos en casa, que tratan de cubrir también las necesidades ajenas con sus propios ingresos</w:t>
      </w:r>
      <w:r>
        <w:rPr>
          <w:rFonts w:ascii="Times New Roman" w:hAnsi="Times New Roman"/>
          <w:sz w:val="24"/>
          <w:szCs w:val="24"/>
        </w:rPr>
        <w:t>”..</w:t>
      </w:r>
      <w:r w:rsidRPr="00FA199C">
        <w:rPr>
          <w:rFonts w:ascii="Times New Roman" w:hAnsi="Times New Roman"/>
          <w:sz w:val="24"/>
          <w:szCs w:val="24"/>
        </w:rPr>
        <w:t>.</w:t>
      </w:r>
      <w:r>
        <w:rPr>
          <w:rFonts w:ascii="Times New Roman" w:hAnsi="Times New Roman"/>
          <w:sz w:val="24"/>
          <w:szCs w:val="24"/>
        </w:rPr>
        <w:t xml:space="preserve"> </w:t>
      </w:r>
      <w:r w:rsidRPr="001E0393">
        <w:rPr>
          <w:rFonts w:ascii="Times New Roman" w:hAnsi="Times New Roman"/>
          <w:sz w:val="24"/>
          <w:szCs w:val="24"/>
          <w:u w:val="single"/>
        </w:rPr>
        <w:t>Pobre puede ser cualquiera, o casi</w:t>
      </w:r>
      <w:r>
        <w:rPr>
          <w:rFonts w:ascii="Times New Roman" w:hAnsi="Times New Roman"/>
          <w:sz w:val="24"/>
          <w:szCs w:val="24"/>
        </w:rPr>
        <w:t xml:space="preserve"> (El País - </w:t>
      </w:r>
      <w:r w:rsidRPr="001E0393">
        <w:rPr>
          <w:rFonts w:ascii="Times New Roman" w:hAnsi="Times New Roman"/>
          <w:b/>
          <w:sz w:val="24"/>
          <w:szCs w:val="24"/>
        </w:rPr>
        <w:t>13/7/12</w:t>
      </w:r>
      <w:r>
        <w:rPr>
          <w:rFonts w:ascii="Times New Roman" w:hAnsi="Times New Roman"/>
          <w:sz w:val="24"/>
          <w:szCs w:val="24"/>
        </w:rPr>
        <w:t>)</w:t>
      </w:r>
    </w:p>
    <w:p w:rsidR="00FA199C" w:rsidRPr="00FA199C" w:rsidRDefault="00FA199C" w:rsidP="00387350">
      <w:pPr>
        <w:spacing w:line="240" w:lineRule="auto"/>
        <w:jc w:val="both"/>
        <w:rPr>
          <w:rFonts w:ascii="Times New Roman" w:hAnsi="Times New Roman"/>
          <w:sz w:val="24"/>
          <w:szCs w:val="24"/>
        </w:rPr>
      </w:pPr>
      <w:r>
        <w:rPr>
          <w:rFonts w:ascii="Times New Roman" w:hAnsi="Times New Roman"/>
          <w:sz w:val="24"/>
          <w:szCs w:val="24"/>
        </w:rPr>
        <w:t>“</w:t>
      </w:r>
      <w:r w:rsidRPr="00FA199C">
        <w:rPr>
          <w:rFonts w:ascii="Times New Roman" w:hAnsi="Times New Roman"/>
          <w:sz w:val="24"/>
          <w:szCs w:val="24"/>
        </w:rPr>
        <w:t xml:space="preserve">Una vez que los tenderos desarman sus puestos, los mercadillos de Madrid muestran su realidad más cruda. Basta con que los vendedores de frutas, verduras y ropa se suban a sus coches para que aparezcan, entre los desechos, hombres y mujeres con bolsas de plástico en busca de algún alimento que todavía se pueda comer. </w:t>
      </w:r>
    </w:p>
    <w:p w:rsidR="00FA199C" w:rsidRPr="00FA199C" w:rsidRDefault="00FA199C" w:rsidP="00387350">
      <w:pPr>
        <w:spacing w:line="240" w:lineRule="auto"/>
        <w:jc w:val="both"/>
        <w:rPr>
          <w:rFonts w:ascii="Times New Roman" w:hAnsi="Times New Roman"/>
          <w:sz w:val="24"/>
          <w:szCs w:val="24"/>
        </w:rPr>
      </w:pPr>
      <w:r w:rsidRPr="00FA199C">
        <w:rPr>
          <w:rFonts w:ascii="Times New Roman" w:hAnsi="Times New Roman"/>
          <w:sz w:val="24"/>
          <w:szCs w:val="24"/>
        </w:rPr>
        <w:lastRenderedPageBreak/>
        <w:t>Como todos los jueves y sábados, Berta, una boliviana de 48 años, fue ayer al mercadillo de la calle de Santa Genoveva, en el barrio de La Elipa. Entre papeles y cajas encontró manzanas, pimientos rojos, cebollas, peras, melocotones y naranjas. Unos estaban más dañados que otros, pero aun así los recogió.</w:t>
      </w:r>
    </w:p>
    <w:p w:rsidR="00FA199C" w:rsidRPr="00FA199C" w:rsidRDefault="00FA199C" w:rsidP="00387350">
      <w:pPr>
        <w:spacing w:line="240" w:lineRule="auto"/>
        <w:jc w:val="both"/>
        <w:rPr>
          <w:rFonts w:ascii="Times New Roman" w:hAnsi="Times New Roman"/>
          <w:sz w:val="24"/>
          <w:szCs w:val="24"/>
        </w:rPr>
      </w:pPr>
      <w:r w:rsidRPr="00FA199C">
        <w:rPr>
          <w:rFonts w:ascii="Times New Roman" w:hAnsi="Times New Roman"/>
          <w:sz w:val="24"/>
          <w:szCs w:val="24"/>
        </w:rPr>
        <w:t>Ella y su esposo se alimentan principalmente con las lentejas, las judías y el azúcar que les regala su parroquia. Pero esa ayuda no es permanente y por eso Berta dice que no tiene otra alternativa que recoger lo que queda tirado. “Tener que apañarme en la calle me da vergüenza, pero no queda otra”...</w:t>
      </w:r>
    </w:p>
    <w:p w:rsidR="00FA199C" w:rsidRDefault="00FA199C" w:rsidP="00387350">
      <w:pPr>
        <w:spacing w:line="240" w:lineRule="auto"/>
        <w:jc w:val="both"/>
        <w:rPr>
          <w:rFonts w:ascii="Times New Roman" w:hAnsi="Times New Roman"/>
          <w:sz w:val="24"/>
          <w:szCs w:val="24"/>
        </w:rPr>
      </w:pPr>
      <w:r w:rsidRPr="00FA199C">
        <w:rPr>
          <w:rFonts w:ascii="Times New Roman" w:hAnsi="Times New Roman"/>
          <w:sz w:val="24"/>
          <w:szCs w:val="24"/>
        </w:rPr>
        <w:t>Lo que ocurre en la calle de Santa Genoveva se repite en otros mercadillos de Madrid. Los viernes, por ejemplo, un puñado de personas llega pasadas las dos de la tarde hasta la calle de Gandhi, para repetir la escena: esperar a que se vayan los tenderos, buscar entre los desechos y llevarse algo de comida a sus casas”...</w:t>
      </w:r>
      <w:r>
        <w:rPr>
          <w:rFonts w:ascii="Times New Roman" w:hAnsi="Times New Roman"/>
          <w:sz w:val="24"/>
          <w:szCs w:val="24"/>
        </w:rPr>
        <w:t xml:space="preserve"> </w:t>
      </w:r>
      <w:r w:rsidRPr="00C92374">
        <w:rPr>
          <w:rFonts w:ascii="Times New Roman" w:hAnsi="Times New Roman"/>
          <w:sz w:val="24"/>
          <w:szCs w:val="24"/>
        </w:rPr>
        <w:t>“</w:t>
      </w:r>
      <w:r w:rsidRPr="001E0393">
        <w:rPr>
          <w:rFonts w:ascii="Times New Roman" w:hAnsi="Times New Roman"/>
          <w:sz w:val="24"/>
          <w:szCs w:val="24"/>
          <w:u w:val="single"/>
        </w:rPr>
        <w:t>Tener que apañarme en la calle me da vergüenza</w:t>
      </w:r>
      <w:r w:rsidRPr="00C92374">
        <w:rPr>
          <w:rFonts w:ascii="Times New Roman" w:hAnsi="Times New Roman"/>
          <w:sz w:val="24"/>
          <w:szCs w:val="24"/>
        </w:rPr>
        <w:t>”</w:t>
      </w:r>
      <w:r>
        <w:rPr>
          <w:rFonts w:ascii="Times New Roman" w:hAnsi="Times New Roman"/>
          <w:sz w:val="24"/>
          <w:szCs w:val="24"/>
        </w:rPr>
        <w:t xml:space="preserve"> (El País - </w:t>
      </w:r>
      <w:r w:rsidRPr="001E0393">
        <w:rPr>
          <w:rFonts w:ascii="Times New Roman" w:hAnsi="Times New Roman"/>
          <w:b/>
          <w:sz w:val="24"/>
          <w:szCs w:val="24"/>
        </w:rPr>
        <w:t>12/7/12</w:t>
      </w:r>
      <w:r>
        <w:rPr>
          <w:rFonts w:ascii="Times New Roman" w:hAnsi="Times New Roman"/>
          <w:sz w:val="24"/>
          <w:szCs w:val="24"/>
        </w:rPr>
        <w:t>)</w:t>
      </w:r>
    </w:p>
    <w:p w:rsidR="00AA25B6" w:rsidRPr="00AA25B6" w:rsidRDefault="00AA25B6" w:rsidP="00387350">
      <w:pPr>
        <w:spacing w:line="240" w:lineRule="auto"/>
        <w:jc w:val="both"/>
        <w:rPr>
          <w:rFonts w:ascii="Times New Roman" w:hAnsi="Times New Roman"/>
          <w:sz w:val="24"/>
          <w:szCs w:val="24"/>
        </w:rPr>
      </w:pPr>
      <w:r>
        <w:rPr>
          <w:rFonts w:ascii="Times New Roman" w:hAnsi="Times New Roman"/>
          <w:sz w:val="24"/>
          <w:szCs w:val="24"/>
        </w:rPr>
        <w:t>“</w:t>
      </w:r>
      <w:r w:rsidRPr="00AA25B6">
        <w:rPr>
          <w:rFonts w:ascii="Times New Roman" w:hAnsi="Times New Roman"/>
          <w:sz w:val="24"/>
          <w:szCs w:val="24"/>
        </w:rPr>
        <w:t xml:space="preserve">La crisis provoca que este sea el perfil mayoritario de quienes acuden a la beneficencia. También hay jóvenes que dejaron de estudiar para incorporarse a un trabajo y ganar dinero. </w:t>
      </w:r>
    </w:p>
    <w:p w:rsidR="00AA25B6" w:rsidRPr="00AA25B6" w:rsidRDefault="00AA25B6" w:rsidP="00387350">
      <w:pPr>
        <w:spacing w:line="240" w:lineRule="auto"/>
        <w:jc w:val="both"/>
        <w:rPr>
          <w:rFonts w:ascii="Times New Roman" w:hAnsi="Times New Roman"/>
          <w:sz w:val="24"/>
          <w:szCs w:val="24"/>
        </w:rPr>
      </w:pPr>
      <w:r w:rsidRPr="00AA25B6">
        <w:rPr>
          <w:rFonts w:ascii="Times New Roman" w:hAnsi="Times New Roman"/>
          <w:sz w:val="24"/>
          <w:szCs w:val="24"/>
        </w:rPr>
        <w:t>Hombre español, de mediana edad, que ha perdido su puesto de trabajo. Este es el perfil mayoritario de los usuarios de los comedores sociales y albergues, a consecuencia de la crisis económica. Con anterioridad, eran frecuentados principalmente por inmigrantes sin recursos.</w:t>
      </w:r>
    </w:p>
    <w:p w:rsidR="00AA25B6" w:rsidRDefault="00AA25B6" w:rsidP="00387350">
      <w:pPr>
        <w:spacing w:line="240" w:lineRule="auto"/>
        <w:jc w:val="both"/>
        <w:rPr>
          <w:rFonts w:ascii="Times New Roman" w:hAnsi="Times New Roman"/>
          <w:sz w:val="24"/>
          <w:szCs w:val="24"/>
        </w:rPr>
      </w:pPr>
      <w:r w:rsidRPr="00AA25B6">
        <w:rPr>
          <w:rFonts w:ascii="Times New Roman" w:hAnsi="Times New Roman"/>
          <w:sz w:val="24"/>
          <w:szCs w:val="24"/>
        </w:rPr>
        <w:t>Desde que estalló la crisis los comedores sociales de las grandes ciudades, como Madrid, Barcelona y Valencia, y no tan grandes como Santiago Compostela, han experimentado un aumento en el número de personas que acude a ellos, así como a los albergues y muchos están al 100% de su capacidad. Este es el caso del albergue de la Casa de Caridad de Valencia, que con 70 plazas está lleno. El perfil de quienes l</w:t>
      </w:r>
      <w:r>
        <w:rPr>
          <w:rFonts w:ascii="Times New Roman" w:hAnsi="Times New Roman"/>
          <w:sz w:val="24"/>
          <w:szCs w:val="24"/>
        </w:rPr>
        <w:t>o ocupan son hombres españoles -</w:t>
      </w:r>
      <w:r w:rsidRPr="00AA25B6">
        <w:rPr>
          <w:rFonts w:ascii="Times New Roman" w:hAnsi="Times New Roman"/>
          <w:sz w:val="24"/>
          <w:szCs w:val="24"/>
        </w:rPr>
        <w:t>el 57% f</w:t>
      </w:r>
      <w:r>
        <w:rPr>
          <w:rFonts w:ascii="Times New Roman" w:hAnsi="Times New Roman"/>
          <w:sz w:val="24"/>
          <w:szCs w:val="24"/>
        </w:rPr>
        <w:t>rente al 43% de los inmigrantes-</w:t>
      </w:r>
      <w:r w:rsidRPr="00AA25B6">
        <w:rPr>
          <w:rFonts w:ascii="Times New Roman" w:hAnsi="Times New Roman"/>
          <w:sz w:val="24"/>
          <w:szCs w:val="24"/>
        </w:rPr>
        <w:t xml:space="preserve"> de entre 41 y 65 años, aunque los menores ya representan el 14% de los usuarios</w:t>
      </w:r>
      <w:r>
        <w:rPr>
          <w:rFonts w:ascii="Times New Roman" w:hAnsi="Times New Roman"/>
          <w:sz w:val="24"/>
          <w:szCs w:val="24"/>
        </w:rPr>
        <w:t>”..</w:t>
      </w:r>
      <w:r w:rsidRPr="00AA25B6">
        <w:rPr>
          <w:rFonts w:ascii="Times New Roman" w:hAnsi="Times New Roman"/>
          <w:sz w:val="24"/>
          <w:szCs w:val="24"/>
        </w:rPr>
        <w:t xml:space="preserve">. </w:t>
      </w:r>
      <w:r w:rsidRPr="00CA05EF">
        <w:rPr>
          <w:rFonts w:ascii="Times New Roman" w:hAnsi="Times New Roman"/>
          <w:sz w:val="24"/>
          <w:szCs w:val="24"/>
          <w:u w:val="single"/>
        </w:rPr>
        <w:t>El actual usuario de los comedores sociales</w:t>
      </w:r>
      <w:r>
        <w:rPr>
          <w:rFonts w:ascii="Times New Roman" w:hAnsi="Times New Roman"/>
          <w:sz w:val="24"/>
          <w:szCs w:val="24"/>
          <w:u w:val="single"/>
        </w:rPr>
        <w:t xml:space="preserve"> - </w:t>
      </w:r>
      <w:r w:rsidRPr="00CA05EF">
        <w:rPr>
          <w:rFonts w:ascii="Times New Roman" w:hAnsi="Times New Roman"/>
          <w:sz w:val="24"/>
          <w:szCs w:val="24"/>
          <w:u w:val="single"/>
        </w:rPr>
        <w:t>Español, de mediana edad y en paro</w:t>
      </w:r>
      <w:r>
        <w:rPr>
          <w:rFonts w:ascii="Times New Roman" w:hAnsi="Times New Roman"/>
          <w:sz w:val="24"/>
          <w:szCs w:val="24"/>
        </w:rPr>
        <w:t xml:space="preserve"> (Gaceta.es - </w:t>
      </w:r>
      <w:r w:rsidRPr="00CA05EF">
        <w:rPr>
          <w:rFonts w:ascii="Times New Roman" w:hAnsi="Times New Roman"/>
          <w:b/>
          <w:sz w:val="24"/>
          <w:szCs w:val="24"/>
        </w:rPr>
        <w:t>26/7/12</w:t>
      </w:r>
      <w:r>
        <w:rPr>
          <w:rFonts w:ascii="Times New Roman" w:hAnsi="Times New Roman"/>
          <w:sz w:val="24"/>
          <w:szCs w:val="24"/>
        </w:rPr>
        <w:t>)</w:t>
      </w:r>
    </w:p>
    <w:p w:rsidR="00AA25B6" w:rsidRPr="00AA25B6" w:rsidRDefault="00AA25B6" w:rsidP="00387350">
      <w:pPr>
        <w:shd w:val="clear" w:color="auto" w:fill="FFFFFF"/>
        <w:spacing w:line="240" w:lineRule="auto"/>
        <w:jc w:val="both"/>
        <w:rPr>
          <w:rFonts w:ascii="Times New Roman" w:hAnsi="Times New Roman"/>
          <w:bCs/>
          <w:sz w:val="24"/>
          <w:szCs w:val="24"/>
        </w:rPr>
      </w:pPr>
      <w:r>
        <w:rPr>
          <w:rFonts w:ascii="Times New Roman" w:hAnsi="Times New Roman"/>
          <w:bCs/>
          <w:sz w:val="24"/>
          <w:szCs w:val="24"/>
        </w:rPr>
        <w:t>“</w:t>
      </w:r>
      <w:r w:rsidRPr="00AA25B6">
        <w:rPr>
          <w:rFonts w:ascii="Times New Roman" w:hAnsi="Times New Roman"/>
          <w:bCs/>
          <w:sz w:val="24"/>
          <w:szCs w:val="24"/>
        </w:rPr>
        <w:t>En EEUU, la dependencia de los ciudadanos respecto al Gobierno va en aumento, y actualmente más de la mitad de la población depende de las ayudas federales para sobrevivir. Mientras la administración Obama rebaja los requisitos para poder acceder a estos subsidios, cada vez más estadounidenses afirman preferirlo así.</w:t>
      </w:r>
    </w:p>
    <w:p w:rsidR="00AA25B6" w:rsidRPr="00AA25B6" w:rsidRDefault="00AA25B6" w:rsidP="00387350">
      <w:pPr>
        <w:shd w:val="clear" w:color="auto" w:fill="FFFFFF"/>
        <w:spacing w:line="240" w:lineRule="auto"/>
        <w:jc w:val="both"/>
        <w:rPr>
          <w:rFonts w:ascii="Times New Roman" w:hAnsi="Times New Roman"/>
          <w:bCs/>
          <w:sz w:val="24"/>
          <w:szCs w:val="24"/>
        </w:rPr>
      </w:pPr>
      <w:r w:rsidRPr="00AA25B6">
        <w:rPr>
          <w:rFonts w:ascii="Times New Roman" w:hAnsi="Times New Roman"/>
          <w:bCs/>
          <w:sz w:val="24"/>
          <w:szCs w:val="24"/>
        </w:rPr>
        <w:t xml:space="preserve">Desde 2009 se han reducido los requisitos para acceder a MedicAid- el programa de seguro médico estatal-, cartillas de alimentos, subsidios de desempleo, exención del pago del IRPF... Según relata RT en su web, 165 del total de 308 millones de estadounidenses dependen del estado de algún modo. De ellos, 107 se benefician de la asistencia social federal, 46 millones están afiliados a MedicAid y 22 millones son funcionarios. </w:t>
      </w:r>
    </w:p>
    <w:p w:rsidR="00AA25B6" w:rsidRDefault="00AA25B6" w:rsidP="00387350">
      <w:pPr>
        <w:shd w:val="clear" w:color="auto" w:fill="FFFFFF"/>
        <w:spacing w:line="240" w:lineRule="auto"/>
        <w:jc w:val="both"/>
        <w:rPr>
          <w:rFonts w:ascii="Times New Roman" w:hAnsi="Times New Roman"/>
          <w:bCs/>
          <w:sz w:val="24"/>
          <w:szCs w:val="24"/>
        </w:rPr>
      </w:pPr>
      <w:r w:rsidRPr="00AA25B6">
        <w:rPr>
          <w:rFonts w:ascii="Times New Roman" w:hAnsi="Times New Roman"/>
          <w:bCs/>
          <w:sz w:val="24"/>
          <w:szCs w:val="24"/>
        </w:rPr>
        <w:t>Desde la llegada de Obama a la Casa Blanca, el número de ciudadanos que recibe prestaciones ha aumentado en 10 millones, hasta alcanzar los 107 dependientes, según un informe realizado por el Comité Presupuestario del Senado. El aumento de norteamericanos que, durante ese periodo, comenzaron a beneficiarse de las cartillas de alimentos ha ascendido en más de 14 millones</w:t>
      </w:r>
      <w:r>
        <w:rPr>
          <w:rFonts w:ascii="Times New Roman" w:hAnsi="Times New Roman"/>
          <w:bCs/>
          <w:sz w:val="24"/>
          <w:szCs w:val="24"/>
        </w:rPr>
        <w:t>”..</w:t>
      </w:r>
      <w:r w:rsidRPr="00AA25B6">
        <w:rPr>
          <w:rFonts w:ascii="Times New Roman" w:hAnsi="Times New Roman"/>
          <w:bCs/>
          <w:sz w:val="24"/>
          <w:szCs w:val="24"/>
        </w:rPr>
        <w:t>.</w:t>
      </w:r>
      <w:r>
        <w:rPr>
          <w:rFonts w:ascii="Times New Roman" w:hAnsi="Times New Roman"/>
          <w:bCs/>
          <w:sz w:val="24"/>
          <w:szCs w:val="24"/>
        </w:rPr>
        <w:t xml:space="preserve"> </w:t>
      </w:r>
      <w:r w:rsidRPr="004C09A9">
        <w:rPr>
          <w:rFonts w:ascii="Times New Roman" w:hAnsi="Times New Roman"/>
          <w:bCs/>
          <w:sz w:val="24"/>
          <w:szCs w:val="24"/>
          <w:u w:val="single"/>
        </w:rPr>
        <w:t>Insostenible: Más de la mitad de los estadounidenses dependen de los subsidios</w:t>
      </w:r>
      <w:r>
        <w:rPr>
          <w:rFonts w:ascii="Times New Roman" w:hAnsi="Times New Roman"/>
          <w:bCs/>
          <w:sz w:val="24"/>
          <w:szCs w:val="24"/>
        </w:rPr>
        <w:t xml:space="preserve"> (Negocios.com - </w:t>
      </w:r>
      <w:r w:rsidRPr="004C09A9">
        <w:rPr>
          <w:rFonts w:ascii="Times New Roman" w:hAnsi="Times New Roman"/>
          <w:b/>
          <w:bCs/>
          <w:sz w:val="24"/>
          <w:szCs w:val="24"/>
        </w:rPr>
        <w:t>23/8/12</w:t>
      </w:r>
      <w:r>
        <w:rPr>
          <w:rFonts w:ascii="Times New Roman" w:hAnsi="Times New Roman"/>
          <w:bCs/>
          <w:sz w:val="24"/>
          <w:szCs w:val="24"/>
        </w:rPr>
        <w:t>)</w:t>
      </w:r>
    </w:p>
    <w:p w:rsidR="00AA25B6" w:rsidRPr="00AA25B6" w:rsidRDefault="00AA25B6" w:rsidP="00387350">
      <w:pPr>
        <w:shd w:val="clear" w:color="auto" w:fill="FFFFFF"/>
        <w:spacing w:line="240" w:lineRule="auto"/>
        <w:jc w:val="both"/>
        <w:rPr>
          <w:rFonts w:ascii="Times New Roman" w:hAnsi="Times New Roman"/>
          <w:bCs/>
          <w:sz w:val="24"/>
          <w:szCs w:val="24"/>
        </w:rPr>
      </w:pPr>
      <w:r>
        <w:rPr>
          <w:rFonts w:ascii="Times New Roman" w:eastAsia="Times New Roman" w:hAnsi="Times New Roman"/>
          <w:sz w:val="24"/>
          <w:szCs w:val="24"/>
          <w:lang w:eastAsia="es-ES"/>
        </w:rPr>
        <w:lastRenderedPageBreak/>
        <w:t>“</w:t>
      </w:r>
      <w:r w:rsidRPr="00AA25B6">
        <w:rPr>
          <w:rFonts w:ascii="Times New Roman" w:eastAsia="Times New Roman" w:hAnsi="Times New Roman"/>
          <w:sz w:val="24"/>
          <w:szCs w:val="24"/>
          <w:lang w:eastAsia="es-ES"/>
        </w:rPr>
        <w:t>La organización internacional Save the Children, conocida por ayudar a algunas de las familias más pobres del mundo, lanzó su primer llamado para ayudar a los niños de Reino Unido.</w:t>
      </w:r>
      <w:r>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Save the Children dice que los niños más pobres de Reino Unido están sufriendo por la recesión, sin comidas calientes regulares o zapatos nuevos.</w:t>
      </w:r>
      <w:r>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La entidad le pide al gobierno británico que haga énfasis en las ayudas para las familias de bajos recursos y les pida a los empleadores que paguen un salario mínimo.</w:t>
      </w:r>
    </w:p>
    <w:p w:rsidR="00AA25B6" w:rsidRPr="00AA25B6" w:rsidRDefault="00AA25B6" w:rsidP="00387350">
      <w:pPr>
        <w:shd w:val="clear" w:color="auto" w:fill="FFFFFF"/>
        <w:spacing w:line="240" w:lineRule="auto"/>
        <w:jc w:val="both"/>
        <w:rPr>
          <w:rFonts w:ascii="Times New Roman" w:eastAsia="Times New Roman" w:hAnsi="Times New Roman"/>
          <w:sz w:val="24"/>
          <w:szCs w:val="24"/>
          <w:lang w:eastAsia="es-ES"/>
        </w:rPr>
      </w:pPr>
      <w:r w:rsidRPr="00AA25B6">
        <w:rPr>
          <w:rFonts w:ascii="Times New Roman" w:eastAsia="Times New Roman" w:hAnsi="Times New Roman"/>
          <w:sz w:val="24"/>
          <w:szCs w:val="24"/>
          <w:lang w:eastAsia="es-ES"/>
        </w:rPr>
        <w:t>Los investigadores de Save the Children hicieron un sondeo de más de 1.500 niños entre los 8 y los 16 años y más de 5.000 padres, con énfasis en los grupos de más bajos ingresos.</w:t>
      </w:r>
      <w:r>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El estudio se basa en cifras del Instituto de Estudios Fiscales (IFS, según las siglas en inglés) que estiman que hay 3,5 millones de niños en la pobreza en Reino Unido y predicen un fuerte incremento en ese número durante los próximos años.</w:t>
      </w:r>
    </w:p>
    <w:p w:rsidR="00AA25B6" w:rsidRPr="00AA25B6" w:rsidRDefault="00AA25B6" w:rsidP="00387350">
      <w:pPr>
        <w:shd w:val="clear" w:color="auto" w:fill="FFFFFF"/>
        <w:spacing w:line="240" w:lineRule="auto"/>
        <w:jc w:val="both"/>
        <w:rPr>
          <w:rFonts w:ascii="Times New Roman" w:eastAsia="Times New Roman" w:hAnsi="Times New Roman"/>
          <w:sz w:val="24"/>
          <w:szCs w:val="24"/>
          <w:lang w:eastAsia="es-ES"/>
        </w:rPr>
      </w:pPr>
      <w:r w:rsidRPr="00AA25B6">
        <w:rPr>
          <w:rFonts w:ascii="Times New Roman" w:eastAsia="Times New Roman" w:hAnsi="Times New Roman"/>
          <w:sz w:val="24"/>
          <w:szCs w:val="24"/>
          <w:lang w:eastAsia="es-ES"/>
        </w:rPr>
        <w:t>Para Save the Children, quienes viven en la pobreza tienen un ingreso familiar menor al equivalente de US$</w:t>
      </w:r>
      <w:r w:rsidR="00C92374">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27.000 al año.</w:t>
      </w:r>
      <w:r>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El 61% de los padres pobres encuestados dice que ha recortado en comida y el 26% reconoció haber omitido una de las comidas diarias el año pasado.</w:t>
      </w:r>
      <w:r>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Un poco menos de un quinto (19%) dijo que sus niños han salido a veces sin zapatos nuevos cuando los necesitan.</w:t>
      </w:r>
      <w:r>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El 19% de los niños pobres dijo que ha faltado a excursiones del colegio y el 14% dijo que no tiene una chaqueta para usar en el invierno.</w:t>
      </w:r>
    </w:p>
    <w:p w:rsidR="00AA25B6" w:rsidRDefault="00AA25B6" w:rsidP="00387350">
      <w:pPr>
        <w:shd w:val="clear" w:color="auto" w:fill="FFFFFF"/>
        <w:spacing w:line="240" w:lineRule="auto"/>
        <w:jc w:val="both"/>
        <w:rPr>
          <w:rFonts w:ascii="Times New Roman" w:eastAsia="Times New Roman" w:hAnsi="Times New Roman"/>
          <w:sz w:val="24"/>
          <w:szCs w:val="24"/>
          <w:lang w:eastAsia="es-ES"/>
        </w:rPr>
      </w:pPr>
      <w:r w:rsidRPr="00AA25B6">
        <w:rPr>
          <w:rFonts w:ascii="Times New Roman" w:eastAsia="Times New Roman" w:hAnsi="Times New Roman"/>
          <w:sz w:val="24"/>
          <w:szCs w:val="24"/>
          <w:lang w:eastAsia="es-ES"/>
        </w:rPr>
        <w:t xml:space="preserve">El informe, llamado </w:t>
      </w:r>
      <w:r w:rsidRPr="00DA4550">
        <w:rPr>
          <w:rFonts w:ascii="Times New Roman" w:eastAsia="Times New Roman" w:hAnsi="Times New Roman"/>
          <w:i/>
          <w:sz w:val="24"/>
          <w:szCs w:val="24"/>
          <w:lang w:eastAsia="es-ES"/>
        </w:rPr>
        <w:t>It Shouldn't Happen Here</w:t>
      </w:r>
      <w:r w:rsidRPr="00AA25B6">
        <w:rPr>
          <w:rFonts w:ascii="Times New Roman" w:eastAsia="Times New Roman" w:hAnsi="Times New Roman"/>
          <w:sz w:val="24"/>
          <w:szCs w:val="24"/>
          <w:lang w:eastAsia="es-ES"/>
        </w:rPr>
        <w:t xml:space="preserve"> (No debería pasar acá), también revela qué tan conscientes son los niños de los problemas financieros de sus padres. </w:t>
      </w:r>
      <w:r>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Más de la mitad de los niños (58%) señaló que cree que a sus padres les está quedando cada vez más difícil pagar todo.</w:t>
      </w:r>
      <w:r>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El 52% de los niños más pobres estuvo de acuerdo en que la ausencia de dinero estresa a sus padres o los hace inf</w:t>
      </w:r>
      <w:r>
        <w:rPr>
          <w:rFonts w:ascii="Times New Roman" w:eastAsia="Times New Roman" w:hAnsi="Times New Roman"/>
          <w:sz w:val="24"/>
          <w:szCs w:val="24"/>
          <w:lang w:eastAsia="es-ES"/>
        </w:rPr>
        <w:t>elices, mientras el 43% estuvo “firmemente de acuerdo”</w:t>
      </w:r>
      <w:r w:rsidRPr="00AA25B6">
        <w:rPr>
          <w:rFonts w:ascii="Times New Roman" w:eastAsia="Times New Roman" w:hAnsi="Times New Roman"/>
          <w:sz w:val="24"/>
          <w:szCs w:val="24"/>
          <w:lang w:eastAsia="es-ES"/>
        </w:rPr>
        <w:t xml:space="preserve"> en que sus padres están recortando en cosas para ellos, como ropa o comida.</w:t>
      </w:r>
      <w:r>
        <w:rPr>
          <w:rFonts w:ascii="Times New Roman" w:eastAsia="Times New Roman" w:hAnsi="Times New Roman"/>
          <w:sz w:val="24"/>
          <w:szCs w:val="24"/>
          <w:lang w:eastAsia="es-ES"/>
        </w:rPr>
        <w:t xml:space="preserve"> </w:t>
      </w:r>
      <w:r w:rsidRPr="00AA25B6">
        <w:rPr>
          <w:rFonts w:ascii="Times New Roman" w:eastAsia="Times New Roman" w:hAnsi="Times New Roman"/>
          <w:sz w:val="24"/>
          <w:szCs w:val="24"/>
          <w:lang w:eastAsia="es-ES"/>
        </w:rPr>
        <w:t>El 23% de los padres en el rango más bajo de ingresos indicó que es más probable que les hablen bruscamente a los niños a raíz de la preocupación por los problemas de dinero, comparado con el 10% de los padres con mejores ingresos</w:t>
      </w:r>
      <w:r>
        <w:rPr>
          <w:rFonts w:ascii="Times New Roman" w:eastAsia="Times New Roman" w:hAnsi="Times New Roman"/>
          <w:sz w:val="24"/>
          <w:szCs w:val="24"/>
          <w:lang w:eastAsia="es-ES"/>
        </w:rPr>
        <w:t>”..</w:t>
      </w:r>
      <w:r w:rsidRPr="00AA25B6">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7A56E9">
        <w:rPr>
          <w:rFonts w:ascii="Times New Roman" w:eastAsia="Times New Roman" w:hAnsi="Times New Roman"/>
          <w:sz w:val="24"/>
          <w:szCs w:val="24"/>
          <w:u w:val="single"/>
          <w:lang w:eastAsia="es-ES"/>
        </w:rPr>
        <w:t>ONG que combate el hambre en países pobres ahora se fija en Reino Unido</w:t>
      </w:r>
      <w:r>
        <w:rPr>
          <w:rFonts w:ascii="Times New Roman" w:eastAsia="Times New Roman" w:hAnsi="Times New Roman"/>
          <w:sz w:val="24"/>
          <w:szCs w:val="24"/>
          <w:lang w:eastAsia="es-ES"/>
        </w:rPr>
        <w:t xml:space="preserve"> (BBCMundo - </w:t>
      </w:r>
      <w:r w:rsidRPr="007A56E9">
        <w:rPr>
          <w:rFonts w:ascii="Times New Roman" w:eastAsia="Times New Roman" w:hAnsi="Times New Roman"/>
          <w:b/>
          <w:sz w:val="24"/>
          <w:szCs w:val="24"/>
          <w:lang w:eastAsia="es-ES"/>
        </w:rPr>
        <w:t>5/9/12</w:t>
      </w:r>
      <w:r>
        <w:rPr>
          <w:rFonts w:ascii="Times New Roman" w:eastAsia="Times New Roman" w:hAnsi="Times New Roman"/>
          <w:sz w:val="24"/>
          <w:szCs w:val="24"/>
          <w:lang w:eastAsia="es-ES"/>
        </w:rPr>
        <w:t>)</w:t>
      </w:r>
    </w:p>
    <w:p w:rsidR="00AA25B6" w:rsidRPr="003E2F14" w:rsidRDefault="00AA25B6" w:rsidP="00387350">
      <w:pPr>
        <w:shd w:val="clear" w:color="auto" w:fill="FFFFFF"/>
        <w:spacing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 xml:space="preserve">“La responsable de Incidencia Política de la división española de Save The Children, Yolanda Román, asegura que en España sería factible una campaña similar a la que ha puesto en marcha la filial británica de la organización, ya que los índices de pobreza infantil son “altamente alarmantes” y “viendo la situación actual, no pueden más que empeorar”. </w:t>
      </w:r>
    </w:p>
    <w:p w:rsidR="00AA25B6" w:rsidRPr="003E2F14" w:rsidRDefault="00AA25B6" w:rsidP="00387350">
      <w:pPr>
        <w:shd w:val="clear" w:color="auto" w:fill="FFFFFF"/>
        <w:spacing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 xml:space="preserve">Save The Children United Kingdom ha presentado este miércoles una campaña en la que por primera vez, la ONG aborda la pobreza de los niños británicos. Con el lema “Esto no debería pasar aquí”, denuncia que siendo uno de los países más ricos del mundo, hay niños que van con hambre al colegio porque sus padres no tienen recursos para proporcionarles un desayuno adecuado, entre otras carencias. </w:t>
      </w:r>
    </w:p>
    <w:p w:rsidR="00AA25B6" w:rsidRPr="003E2F14" w:rsidRDefault="00AA25B6" w:rsidP="00387350">
      <w:pPr>
        <w:shd w:val="clear" w:color="auto" w:fill="FFFFFF"/>
        <w:spacing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Román ha señalado qu</w:t>
      </w:r>
      <w:r w:rsidR="00045FA5">
        <w:rPr>
          <w:rFonts w:ascii="Times New Roman" w:eastAsia="Times New Roman" w:hAnsi="Times New Roman"/>
          <w:sz w:val="24"/>
          <w:szCs w:val="24"/>
          <w:lang w:eastAsia="es-ES"/>
        </w:rPr>
        <w:t>e una campaña como esta sería “necesaria”</w:t>
      </w:r>
      <w:r w:rsidRPr="003E2F14">
        <w:rPr>
          <w:rFonts w:ascii="Times New Roman" w:eastAsia="Times New Roman" w:hAnsi="Times New Roman"/>
          <w:sz w:val="24"/>
          <w:szCs w:val="24"/>
          <w:lang w:eastAsia="es-ES"/>
        </w:rPr>
        <w:t>, porque se requiere “del esfuerzo de todos” para erradicar la pobreza entre los niños, que va en escalada al ritmo de la crisis económica y va a peor. “Es más, puede ser que dentro de tres o cuatro meses veamos algo parecido en España”, ha señalado.</w:t>
      </w:r>
    </w:p>
    <w:p w:rsidR="00AA25B6" w:rsidRPr="003E2F14" w:rsidRDefault="00AA25B6" w:rsidP="00387350">
      <w:pPr>
        <w:shd w:val="clear" w:color="auto" w:fill="FFFFFF"/>
        <w:spacing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 xml:space="preserve">Román recuerda que el índice de pobreza infantil en España se sitúa entre el 24 y el 26% y está afectando seriamente tanto a la alimentación como al rendimiento escolar de </w:t>
      </w:r>
      <w:r w:rsidRPr="003E2F14">
        <w:rPr>
          <w:rFonts w:ascii="Times New Roman" w:eastAsia="Times New Roman" w:hAnsi="Times New Roman"/>
          <w:sz w:val="24"/>
          <w:szCs w:val="24"/>
          <w:lang w:eastAsia="es-ES"/>
        </w:rPr>
        <w:lastRenderedPageBreak/>
        <w:t>los menores. Sobre el primer asunto, la o</w:t>
      </w:r>
      <w:r w:rsidR="003E2F14" w:rsidRPr="003E2F14">
        <w:rPr>
          <w:rFonts w:ascii="Times New Roman" w:eastAsia="Times New Roman" w:hAnsi="Times New Roman"/>
          <w:sz w:val="24"/>
          <w:szCs w:val="24"/>
          <w:lang w:eastAsia="es-ES"/>
        </w:rPr>
        <w:t>rganización ya está detectando “problemas de nutrición” y advierte de que ya en junio “</w:t>
      </w:r>
      <w:r w:rsidRPr="003E2F14">
        <w:rPr>
          <w:rFonts w:ascii="Times New Roman" w:eastAsia="Times New Roman" w:hAnsi="Times New Roman"/>
          <w:sz w:val="24"/>
          <w:szCs w:val="24"/>
          <w:lang w:eastAsia="es-ES"/>
        </w:rPr>
        <w:t>había niños cuya única comida en el día era la que h</w:t>
      </w:r>
      <w:r w:rsidR="003E2F14" w:rsidRPr="003E2F14">
        <w:rPr>
          <w:rFonts w:ascii="Times New Roman" w:eastAsia="Times New Roman" w:hAnsi="Times New Roman"/>
          <w:sz w:val="24"/>
          <w:szCs w:val="24"/>
          <w:lang w:eastAsia="es-ES"/>
        </w:rPr>
        <w:t>acían en el comedor del colegio”</w:t>
      </w:r>
      <w:r w:rsidRPr="003E2F14">
        <w:rPr>
          <w:rFonts w:ascii="Times New Roman" w:eastAsia="Times New Roman" w:hAnsi="Times New Roman"/>
          <w:sz w:val="24"/>
          <w:szCs w:val="24"/>
          <w:lang w:eastAsia="es-ES"/>
        </w:rPr>
        <w:t>.</w:t>
      </w:r>
    </w:p>
    <w:p w:rsidR="003E2F14" w:rsidRPr="000E3EDB" w:rsidRDefault="003E2F14" w:rsidP="00387350">
      <w:pPr>
        <w:shd w:val="clear" w:color="auto" w:fill="FFFFFF"/>
        <w:spacing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w:t>
      </w:r>
      <w:r w:rsidR="00AA25B6" w:rsidRPr="003E2F14">
        <w:rPr>
          <w:rFonts w:ascii="Times New Roman" w:eastAsia="Times New Roman" w:hAnsi="Times New Roman"/>
          <w:sz w:val="24"/>
          <w:szCs w:val="24"/>
          <w:lang w:eastAsia="es-ES"/>
        </w:rPr>
        <w:t>Ya entonces nos preguntábamos qué pasaría con estos niños durante el verano</w:t>
      </w:r>
      <w:r w:rsidRPr="003E2F14">
        <w:rPr>
          <w:rFonts w:ascii="Times New Roman" w:eastAsia="Times New Roman" w:hAnsi="Times New Roman"/>
          <w:sz w:val="24"/>
          <w:szCs w:val="24"/>
          <w:lang w:eastAsia="es-ES"/>
        </w:rPr>
        <w:t>, cuando no hay comedor escolar”</w:t>
      </w:r>
      <w:r w:rsidR="00AA25B6" w:rsidRPr="003E2F14">
        <w:rPr>
          <w:rFonts w:ascii="Times New Roman" w:eastAsia="Times New Roman" w:hAnsi="Times New Roman"/>
          <w:sz w:val="24"/>
          <w:szCs w:val="24"/>
          <w:lang w:eastAsia="es-ES"/>
        </w:rPr>
        <w:t>, ha planteado Román, quien ha denunciado que la situación de</w:t>
      </w:r>
      <w:r w:rsidRPr="003E2F14">
        <w:rPr>
          <w:rFonts w:ascii="Times New Roman" w:eastAsia="Times New Roman" w:hAnsi="Times New Roman"/>
          <w:sz w:val="24"/>
          <w:szCs w:val="24"/>
          <w:lang w:eastAsia="es-ES"/>
        </w:rPr>
        <w:t xml:space="preserve"> las familias con dificultades “no puede sino empeorar”</w:t>
      </w:r>
      <w:r w:rsidR="00AA25B6" w:rsidRPr="003E2F14">
        <w:rPr>
          <w:rFonts w:ascii="Times New Roman" w:eastAsia="Times New Roman" w:hAnsi="Times New Roman"/>
          <w:sz w:val="24"/>
          <w:szCs w:val="24"/>
          <w:lang w:eastAsia="es-ES"/>
        </w:rPr>
        <w:t xml:space="preserve"> si se añaden nuevas tasas y pagos que realizar, como el que muchos comedores escolares impondrán este curso a los niños que se lleven la tartera de casa</w:t>
      </w:r>
      <w:r w:rsidRPr="003E2F14">
        <w:rPr>
          <w:rFonts w:ascii="Times New Roman" w:eastAsia="Times New Roman" w:hAnsi="Times New Roman"/>
          <w:sz w:val="24"/>
          <w:szCs w:val="24"/>
          <w:lang w:eastAsia="es-ES"/>
        </w:rPr>
        <w:t>”..</w:t>
      </w:r>
      <w:r w:rsidR="00AA25B6" w:rsidRPr="003E2F14">
        <w:rPr>
          <w:rFonts w:ascii="Times New Roman" w:eastAsia="Times New Roman" w:hAnsi="Times New Roman"/>
          <w:sz w:val="24"/>
          <w:szCs w:val="24"/>
          <w:lang w:eastAsia="es-ES"/>
        </w:rPr>
        <w:t>.</w:t>
      </w:r>
      <w:r w:rsidRPr="003E2F14">
        <w:rPr>
          <w:rFonts w:ascii="Times New Roman" w:eastAsia="Times New Roman" w:hAnsi="Times New Roman"/>
          <w:sz w:val="24"/>
          <w:szCs w:val="24"/>
          <w:lang w:eastAsia="es-ES"/>
        </w:rPr>
        <w:t xml:space="preserve"> </w:t>
      </w:r>
      <w:r w:rsidRPr="000E3EDB">
        <w:rPr>
          <w:rFonts w:ascii="Times New Roman" w:eastAsia="Times New Roman" w:hAnsi="Times New Roman"/>
          <w:sz w:val="24"/>
          <w:szCs w:val="24"/>
          <w:u w:val="single"/>
          <w:lang w:eastAsia="es-ES"/>
        </w:rPr>
        <w:t>España, a un paso de una acción contra la pobreza infantil como la de Reino Unido</w:t>
      </w:r>
      <w:r>
        <w:rPr>
          <w:rFonts w:ascii="Times New Roman" w:eastAsia="Times New Roman" w:hAnsi="Times New Roman"/>
          <w:sz w:val="24"/>
          <w:szCs w:val="24"/>
          <w:lang w:eastAsia="es-ES"/>
        </w:rPr>
        <w:t xml:space="preserve"> (ABC - </w:t>
      </w:r>
      <w:r w:rsidRPr="000E3EDB">
        <w:rPr>
          <w:rFonts w:ascii="Times New Roman" w:eastAsia="Times New Roman" w:hAnsi="Times New Roman"/>
          <w:b/>
          <w:sz w:val="24"/>
          <w:szCs w:val="24"/>
          <w:lang w:eastAsia="es-ES"/>
        </w:rPr>
        <w:t>6/9/12</w:t>
      </w:r>
      <w:r>
        <w:rPr>
          <w:rFonts w:ascii="Times New Roman" w:eastAsia="Times New Roman" w:hAnsi="Times New Roman"/>
          <w:sz w:val="24"/>
          <w:szCs w:val="24"/>
          <w:lang w:eastAsia="es-ES"/>
        </w:rPr>
        <w:t>)</w:t>
      </w:r>
      <w:r w:rsidRPr="000E3EDB">
        <w:rPr>
          <w:rFonts w:ascii="Times New Roman" w:eastAsia="Times New Roman" w:hAnsi="Times New Roman"/>
          <w:sz w:val="24"/>
          <w:szCs w:val="24"/>
          <w:lang w:eastAsia="es-ES"/>
        </w:rPr>
        <w:t xml:space="preserve"> </w:t>
      </w:r>
    </w:p>
    <w:p w:rsidR="003E2F14" w:rsidRPr="003E2F14" w:rsidRDefault="003E2F14" w:rsidP="00387350">
      <w:pPr>
        <w:spacing w:after="0"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“España se sitúa -junto a Rumanía, Bulgaria y Grecia- entre los países de la Unión Europea con una mayor tasa de población en riesgo de pobreza, casi el 22% (frente al 17% de media en la UE), según un informe publicado este lunes por la oficina estadística comunitaria Eurostat con datos de 2011.</w:t>
      </w:r>
    </w:p>
    <w:p w:rsidR="003E2F14" w:rsidRPr="003E2F14" w:rsidRDefault="003E2F14" w:rsidP="00387350">
      <w:pPr>
        <w:spacing w:after="0"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 xml:space="preserve"> </w:t>
      </w:r>
    </w:p>
    <w:p w:rsidR="003E2F14" w:rsidRPr="003E2F14" w:rsidRDefault="003E2F14" w:rsidP="00387350">
      <w:pPr>
        <w:spacing w:after="0"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República Checa (10%), Holanda (11%) y Austria, Dinamarca y Eslovaquia (13%) son los Estados miembros con menos población en riesgo de pobreza. Este indicador se refiere a los ciudadanos cuya renta disponible tras recibir prestaciones sociales está por debajo del umbral nacional de riesgo de pobreza. Este umbral varía mucho de un Estado miembro a otro y ha bajado en muchos países debido a la crisis, según Eurostat.</w:t>
      </w:r>
    </w:p>
    <w:p w:rsidR="003E2F14" w:rsidRPr="003E2F14" w:rsidRDefault="003E2F14" w:rsidP="00387350">
      <w:pPr>
        <w:spacing w:after="0"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 xml:space="preserve"> </w:t>
      </w:r>
    </w:p>
    <w:p w:rsidR="003E2F14" w:rsidRPr="003E2F14" w:rsidRDefault="003E2F14" w:rsidP="00387350">
      <w:pPr>
        <w:spacing w:after="0"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Además, el 3,9% de la población española (por debajo del 8,8% de media comunitaria) se encuentra en una situación de privación material severa, es decir, no tiene suficientes recursos para pagar sus facturas, mantener la calefacción de su hogar o coger una semana de vacaciones fuera de casa. Bulgaria (44%) y Letonia (31%) registran las mayores tasas de población en situación de privación material severa, frente Luxemburgo y Suecia (1%), que tienen las más bajas. Finalmente, el 12,2% de los ciudadanos españoles viven en hogares donde los adultos trabajaron menos del 20% de su potencial laboral durante el último año (frente al 10% de media en la UE).</w:t>
      </w:r>
    </w:p>
    <w:p w:rsidR="003E2F14" w:rsidRPr="003E2F14" w:rsidRDefault="003E2F14" w:rsidP="00387350">
      <w:pPr>
        <w:spacing w:after="0"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 xml:space="preserve"> </w:t>
      </w:r>
    </w:p>
    <w:p w:rsidR="003E2F14" w:rsidRPr="003E2F14" w:rsidRDefault="003E2F14" w:rsidP="00387350">
      <w:pPr>
        <w:spacing w:after="0"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Sumando al menos uno de los tres criterios, la tasa de población española en riego de pobreza o exclusión social alcanza ya el 27%, que equivale a 12,4 millones de ciudadanos. Esta cifra supone un incremento de 4 puntos respecto al 22,9% de 2008.</w:t>
      </w:r>
    </w:p>
    <w:p w:rsidR="003E2F14" w:rsidRPr="003E2F14" w:rsidRDefault="003E2F14" w:rsidP="00387350">
      <w:pPr>
        <w:spacing w:after="0"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 xml:space="preserve"> </w:t>
      </w:r>
    </w:p>
    <w:p w:rsidR="003E2F14" w:rsidRDefault="003E2F14" w:rsidP="00387350">
      <w:pPr>
        <w:spacing w:after="0" w:line="240" w:lineRule="auto"/>
        <w:jc w:val="both"/>
        <w:rPr>
          <w:rFonts w:ascii="Times New Roman" w:eastAsia="Times New Roman" w:hAnsi="Times New Roman"/>
          <w:sz w:val="24"/>
          <w:szCs w:val="24"/>
          <w:lang w:eastAsia="es-ES"/>
        </w:rPr>
      </w:pPr>
      <w:r w:rsidRPr="003E2F14">
        <w:rPr>
          <w:rFonts w:ascii="Times New Roman" w:eastAsia="Times New Roman" w:hAnsi="Times New Roman"/>
          <w:sz w:val="24"/>
          <w:szCs w:val="24"/>
          <w:lang w:eastAsia="es-ES"/>
        </w:rPr>
        <w:t>En 2011, las mayores tasas de población en riesgo de pobreza o exclusión social se registraron en Bulgaria (49%), Rumania y Letonia (40%), Lituania (33%) y Grecia y Hungría (31%). Las más bajas corresponden a República Checa (15%), Holanda y Suecia (16%) y Luxemburgo y Austria (17%)</w:t>
      </w:r>
      <w:r>
        <w:rPr>
          <w:rFonts w:ascii="Times New Roman" w:eastAsia="Times New Roman" w:hAnsi="Times New Roman"/>
          <w:sz w:val="24"/>
          <w:szCs w:val="24"/>
          <w:lang w:eastAsia="es-ES"/>
        </w:rPr>
        <w:t>”</w:t>
      </w:r>
      <w:r w:rsidR="00045FA5">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Pr="00000FF6">
        <w:rPr>
          <w:rFonts w:ascii="Times New Roman" w:eastAsia="Times New Roman" w:hAnsi="Times New Roman"/>
          <w:sz w:val="24"/>
          <w:szCs w:val="24"/>
          <w:u w:val="single"/>
          <w:lang w:eastAsia="es-ES"/>
        </w:rPr>
        <w:t>España está entre los países de la Unión Europea con más población en riesgo de pobreza, casi el 22%</w:t>
      </w:r>
      <w:r>
        <w:rPr>
          <w:rFonts w:ascii="Times New Roman" w:eastAsia="Times New Roman" w:hAnsi="Times New Roman"/>
          <w:sz w:val="24"/>
          <w:szCs w:val="24"/>
          <w:lang w:eastAsia="es-ES"/>
        </w:rPr>
        <w:t xml:space="preserve"> (Expansión - </w:t>
      </w:r>
      <w:r w:rsidRPr="00000FF6">
        <w:rPr>
          <w:rFonts w:ascii="Times New Roman" w:eastAsia="Times New Roman" w:hAnsi="Times New Roman"/>
          <w:b/>
          <w:sz w:val="24"/>
          <w:szCs w:val="24"/>
          <w:lang w:eastAsia="es-ES"/>
        </w:rPr>
        <w:t>3/12/12</w:t>
      </w:r>
      <w:r>
        <w:rPr>
          <w:rFonts w:ascii="Times New Roman" w:eastAsia="Times New Roman" w:hAnsi="Times New Roman"/>
          <w:sz w:val="24"/>
          <w:szCs w:val="24"/>
          <w:lang w:eastAsia="es-ES"/>
        </w:rPr>
        <w:t>)</w:t>
      </w:r>
    </w:p>
    <w:p w:rsidR="003E2F14" w:rsidRPr="003E2F14" w:rsidRDefault="003E2F14" w:rsidP="00387350">
      <w:pPr>
        <w:pStyle w:val="NormalWeb"/>
        <w:jc w:val="both"/>
      </w:pPr>
      <w:r>
        <w:rPr>
          <w:rFonts w:cstheme="minorBidi"/>
        </w:rPr>
        <w:t>“</w:t>
      </w:r>
      <w:r w:rsidRPr="003E2F14">
        <w:t>Un gran número de niños y jóvenes europeos se están viendo afectados por la pobreza, en un contexto de duras medidas de austeridad y un desempleo juvenil en constante aumento. Esta s</w:t>
      </w:r>
      <w:r w:rsidR="00C92374">
        <w:t>ituación amenaza con crear una “</w:t>
      </w:r>
      <w:r w:rsidRPr="003E2F14">
        <w:t>generación perdid</w:t>
      </w:r>
      <w:r w:rsidR="00C92374">
        <w:t>a”</w:t>
      </w:r>
      <w:r w:rsidRPr="003E2F14">
        <w:t xml:space="preserve"> que podría provocar una nueva crisis continental.</w:t>
      </w:r>
    </w:p>
    <w:p w:rsidR="003E2F14" w:rsidRPr="003E2F14" w:rsidRDefault="003E2F14" w:rsidP="00387350">
      <w:pPr>
        <w:pStyle w:val="NormalWeb"/>
        <w:jc w:val="both"/>
      </w:pPr>
      <w:r w:rsidRPr="003E2F14">
        <w:rPr>
          <w:bCs/>
        </w:rPr>
        <w:t>La organización benéfica Cáritas ha denunciado hoy que casi un tercio de los niños en Grecia, Irlanda, Portugal, Italia y España están en la pobreza o en riesgo de sufrirla</w:t>
      </w:r>
      <w:r w:rsidRPr="003E2F14">
        <w:t>. En Grecia, el desempleo juvenil ha superado el 60%, el español supera el 50% y el de Portugal ha alcanzado ya el 40%.</w:t>
      </w:r>
    </w:p>
    <w:p w:rsidR="003E2F14" w:rsidRDefault="003E2F14" w:rsidP="00387350">
      <w:pPr>
        <w:pStyle w:val="NormalWeb"/>
        <w:jc w:val="both"/>
      </w:pPr>
      <w:r w:rsidRPr="003E2F14">
        <w:lastRenderedPageBreak/>
        <w:t>El grupo de estudios Bruegel señaló que el problema va mucho más allá de las endeudadas economías de la periferia de la Eurozona y podría volver para revertir la lenta recuperación europea.</w:t>
      </w:r>
      <w:r>
        <w:t xml:space="preserve"> </w:t>
      </w:r>
      <w:r w:rsidRPr="003E2F14">
        <w:t xml:space="preserve">En su informe, Cáritas señala que Italia y los países de la Eurozona que han recibido préstamos internacionales están creando una generación de jóvenes desanimados, con mala formación y escasas perspectivas de empleo. </w:t>
      </w:r>
      <w:r>
        <w:rPr>
          <w:bCs/>
        </w:rPr>
        <w:t>“</w:t>
      </w:r>
      <w:r w:rsidRPr="003E2F14">
        <w:rPr>
          <w:bCs/>
        </w:rPr>
        <w:t>Esto podría ser una fórmula no sólo para una generación perdida en Europa sino para varias generaciones perdidas</w:t>
      </w:r>
      <w:r>
        <w:t>”</w:t>
      </w:r>
      <w:r w:rsidRPr="003E2F14">
        <w:t>, alerta Cáritas</w:t>
      </w:r>
      <w:r>
        <w:t>…</w:t>
      </w:r>
    </w:p>
    <w:p w:rsidR="003E2F14" w:rsidRDefault="003E2F14" w:rsidP="00387350">
      <w:pPr>
        <w:pStyle w:val="NormalWeb"/>
        <w:jc w:val="both"/>
      </w:pPr>
      <w:r w:rsidRPr="003E2F14">
        <w:t>El economista de Bruegel Zsolt Darvas dijo que el aumento sin freno del desempleo juvenil no sólo destruye la moral en una importante edad de desarrollo de la gente, sino que también amenaza con reactivar la crisis económica cuando parecía estar remitiendo.</w:t>
      </w:r>
      <w:r>
        <w:t xml:space="preserve"> </w:t>
      </w:r>
      <w:r>
        <w:rPr>
          <w:bCs/>
        </w:rPr>
        <w:t>“</w:t>
      </w:r>
      <w:r w:rsidRPr="003E2F14">
        <w:rPr>
          <w:bCs/>
        </w:rPr>
        <w:t>Esto no es sólo un problema de estos países (periférico</w:t>
      </w:r>
      <w:r>
        <w:rPr>
          <w:bCs/>
        </w:rPr>
        <w:t>s). Esto es un problema europeo”</w:t>
      </w:r>
      <w:r w:rsidRPr="003E2F14">
        <w:t>, dijo. Trece de los 27 estados miembros de la unión tienen un de</w:t>
      </w:r>
      <w:r>
        <w:t xml:space="preserve">sempleo juvenil superior al 25%”… </w:t>
      </w:r>
      <w:r w:rsidRPr="00440448">
        <w:rPr>
          <w:u w:val="single"/>
        </w:rPr>
        <w:t>Los hijos de</w:t>
      </w:r>
      <w:r>
        <w:rPr>
          <w:u w:val="single"/>
        </w:rPr>
        <w:t xml:space="preserve"> la austeridad serán la futura “generación perdida”</w:t>
      </w:r>
      <w:r w:rsidRPr="00440448">
        <w:rPr>
          <w:u w:val="single"/>
        </w:rPr>
        <w:t xml:space="preserve"> de la Unión Europea</w:t>
      </w:r>
      <w:r>
        <w:t xml:space="preserve"> (El Economista - </w:t>
      </w:r>
      <w:r w:rsidRPr="00440448">
        <w:rPr>
          <w:b/>
        </w:rPr>
        <w:t>15/2/13</w:t>
      </w:r>
      <w:r>
        <w:t>)</w:t>
      </w:r>
    </w:p>
    <w:p w:rsidR="003E2F14" w:rsidRPr="006F2AC1" w:rsidRDefault="006F2AC1" w:rsidP="003873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E2F14" w:rsidRPr="006F2AC1">
        <w:rPr>
          <w:rFonts w:ascii="Times New Roman" w:hAnsi="Times New Roman" w:cs="Times New Roman"/>
          <w:sz w:val="24"/>
          <w:szCs w:val="24"/>
        </w:rPr>
        <w:t xml:space="preserve">El 52 por ciento de </w:t>
      </w:r>
      <w:r>
        <w:rPr>
          <w:rFonts w:ascii="Times New Roman" w:hAnsi="Times New Roman" w:cs="Times New Roman"/>
          <w:sz w:val="24"/>
          <w:szCs w:val="24"/>
        </w:rPr>
        <w:t>las personas “sin techo”</w:t>
      </w:r>
      <w:r w:rsidR="003E2F14" w:rsidRPr="006F2AC1">
        <w:rPr>
          <w:rFonts w:ascii="Times New Roman" w:hAnsi="Times New Roman" w:cs="Times New Roman"/>
          <w:sz w:val="24"/>
          <w:szCs w:val="24"/>
        </w:rPr>
        <w:t xml:space="preserve"> en la ciudad de Madrid llevan dos años o más en esa situación y un 23,6 por ciento tienen estudios universitarios o superiores, según se desprende de los datos del </w:t>
      </w:r>
      <w:r w:rsidR="003E2F14" w:rsidRPr="00ED1C1D">
        <w:rPr>
          <w:rFonts w:ascii="Times New Roman" w:hAnsi="Times New Roman" w:cs="Times New Roman"/>
          <w:i/>
          <w:sz w:val="24"/>
          <w:szCs w:val="24"/>
        </w:rPr>
        <w:t>VI Recuento de Personas Sin Hogar de la Comunidad de Madrid</w:t>
      </w:r>
      <w:r w:rsidR="003E2F14" w:rsidRPr="006F2AC1">
        <w:rPr>
          <w:rFonts w:ascii="Times New Roman" w:hAnsi="Times New Roman" w:cs="Times New Roman"/>
          <w:sz w:val="24"/>
          <w:szCs w:val="24"/>
        </w:rPr>
        <w:t xml:space="preserve">. </w:t>
      </w:r>
    </w:p>
    <w:p w:rsidR="003E2F14" w:rsidRPr="006F2AC1" w:rsidRDefault="003E2F14" w:rsidP="00387350">
      <w:pPr>
        <w:spacing w:line="240" w:lineRule="auto"/>
        <w:jc w:val="both"/>
        <w:rPr>
          <w:rFonts w:ascii="Times New Roman" w:hAnsi="Times New Roman" w:cs="Times New Roman"/>
          <w:sz w:val="24"/>
          <w:szCs w:val="24"/>
        </w:rPr>
      </w:pPr>
      <w:r w:rsidRPr="006F2AC1">
        <w:rPr>
          <w:rFonts w:ascii="Times New Roman" w:hAnsi="Times New Roman" w:cs="Times New Roman"/>
          <w:sz w:val="24"/>
          <w:szCs w:val="24"/>
        </w:rPr>
        <w:t xml:space="preserve">Los datos de este avance del estudio han sido presentados por el profesor de la Universidad de Comillas Francisco Cabrera y detallan también que el 24,3 por </w:t>
      </w:r>
      <w:r w:rsidR="006F2AC1">
        <w:rPr>
          <w:rFonts w:ascii="Times New Roman" w:hAnsi="Times New Roman" w:cs="Times New Roman"/>
          <w:sz w:val="24"/>
          <w:szCs w:val="24"/>
        </w:rPr>
        <w:t>ciento de las personas “sin techo”</w:t>
      </w:r>
      <w:r w:rsidRPr="006F2AC1">
        <w:rPr>
          <w:rFonts w:ascii="Times New Roman" w:hAnsi="Times New Roman" w:cs="Times New Roman"/>
          <w:sz w:val="24"/>
          <w:szCs w:val="24"/>
        </w:rPr>
        <w:t xml:space="preserve"> entrevistadas sostienen que llevan cuatro meses o menos en esa situació</w:t>
      </w:r>
      <w:r w:rsidR="006F2AC1">
        <w:rPr>
          <w:rFonts w:ascii="Times New Roman" w:hAnsi="Times New Roman" w:cs="Times New Roman"/>
          <w:sz w:val="24"/>
          <w:szCs w:val="24"/>
        </w:rPr>
        <w:t>n, por lo que una intervención “precoz”</w:t>
      </w:r>
      <w:r w:rsidRPr="006F2AC1">
        <w:rPr>
          <w:rFonts w:ascii="Times New Roman" w:hAnsi="Times New Roman" w:cs="Times New Roman"/>
          <w:sz w:val="24"/>
          <w:szCs w:val="24"/>
        </w:rPr>
        <w:t xml:space="preserve"> de los servicios sociales puede ayudar a corregir esta situación</w:t>
      </w:r>
      <w:r w:rsidR="006F2AC1" w:rsidRPr="006F2AC1">
        <w:rPr>
          <w:rFonts w:ascii="Times New Roman" w:hAnsi="Times New Roman" w:cs="Times New Roman"/>
          <w:sz w:val="24"/>
          <w:szCs w:val="24"/>
        </w:rPr>
        <w:t>…</w:t>
      </w:r>
      <w:r w:rsidRPr="006F2AC1">
        <w:rPr>
          <w:rFonts w:ascii="Times New Roman" w:hAnsi="Times New Roman" w:cs="Times New Roman"/>
          <w:sz w:val="24"/>
          <w:szCs w:val="24"/>
        </w:rPr>
        <w:t xml:space="preserve"> </w:t>
      </w:r>
    </w:p>
    <w:p w:rsidR="003E2F14" w:rsidRPr="006F2AC1" w:rsidRDefault="003E2F14" w:rsidP="00387350">
      <w:pPr>
        <w:spacing w:line="240" w:lineRule="auto"/>
        <w:jc w:val="both"/>
        <w:rPr>
          <w:rFonts w:ascii="Times New Roman" w:hAnsi="Times New Roman" w:cs="Times New Roman"/>
          <w:sz w:val="24"/>
          <w:szCs w:val="24"/>
        </w:rPr>
      </w:pPr>
      <w:r w:rsidRPr="006F2AC1">
        <w:rPr>
          <w:rFonts w:ascii="Times New Roman" w:hAnsi="Times New Roman" w:cs="Times New Roman"/>
          <w:sz w:val="24"/>
          <w:szCs w:val="24"/>
        </w:rPr>
        <w:t xml:space="preserve">Otra de las conclusiones del estudio es que el lugar previo de residencia del 53,4 por ciento de </w:t>
      </w:r>
      <w:r w:rsidR="006F2AC1">
        <w:rPr>
          <w:rFonts w:ascii="Times New Roman" w:hAnsi="Times New Roman" w:cs="Times New Roman"/>
          <w:sz w:val="24"/>
          <w:szCs w:val="24"/>
        </w:rPr>
        <w:t>las personas “sin techo”</w:t>
      </w:r>
      <w:r w:rsidRPr="006F2AC1">
        <w:rPr>
          <w:rFonts w:ascii="Times New Roman" w:hAnsi="Times New Roman" w:cs="Times New Roman"/>
          <w:sz w:val="24"/>
          <w:szCs w:val="24"/>
        </w:rPr>
        <w:t xml:space="preserve"> era su vivienda y que casi un 10 por ciento procedían de albergues o institución, lo que implica que en esos casos ha habido un "cierto fracaso" de la primera intervención social, que debe evaluarse para lograr revertir esa situación.</w:t>
      </w:r>
    </w:p>
    <w:p w:rsidR="006F2AC1" w:rsidRDefault="003E2F14" w:rsidP="00387350">
      <w:pPr>
        <w:spacing w:line="240" w:lineRule="auto"/>
        <w:jc w:val="both"/>
        <w:rPr>
          <w:rFonts w:ascii="Times New Roman" w:hAnsi="Times New Roman" w:cs="Times New Roman"/>
          <w:sz w:val="24"/>
          <w:szCs w:val="24"/>
        </w:rPr>
      </w:pPr>
      <w:r w:rsidRPr="006F2AC1">
        <w:rPr>
          <w:rFonts w:ascii="Times New Roman" w:hAnsi="Times New Roman" w:cs="Times New Roman"/>
          <w:sz w:val="24"/>
          <w:szCs w:val="24"/>
        </w:rPr>
        <w:t xml:space="preserve">Cabrera ha explicado que los datos reflejan que un 47,9 por ciento presentan estudios de nivel </w:t>
      </w:r>
      <w:r w:rsidR="006F2AC1" w:rsidRPr="006F2AC1">
        <w:rPr>
          <w:rFonts w:ascii="Times New Roman" w:hAnsi="Times New Roman" w:cs="Times New Roman"/>
          <w:sz w:val="24"/>
          <w:szCs w:val="24"/>
        </w:rPr>
        <w:t>primario</w:t>
      </w:r>
      <w:r w:rsidRPr="006F2AC1">
        <w:rPr>
          <w:rFonts w:ascii="Times New Roman" w:hAnsi="Times New Roman" w:cs="Times New Roman"/>
          <w:sz w:val="24"/>
          <w:szCs w:val="24"/>
        </w:rPr>
        <w:t xml:space="preserve"> o inferior y un 28,6 por ciento tenían estudios de secundaria. Sobre la proporción de personas sin hogar con estudios superiores, el profesor ha detallado que el aumento de personas extranjeras en esa situación es uno de los factores que explican esa proporción</w:t>
      </w:r>
      <w:r w:rsidR="006F2AC1">
        <w:rPr>
          <w:rFonts w:ascii="Times New Roman" w:hAnsi="Times New Roman" w:cs="Times New Roman"/>
          <w:sz w:val="24"/>
          <w:szCs w:val="24"/>
        </w:rPr>
        <w:t>”..</w:t>
      </w:r>
      <w:r w:rsidRPr="006F2AC1">
        <w:rPr>
          <w:rFonts w:ascii="Times New Roman" w:hAnsi="Times New Roman" w:cs="Times New Roman"/>
          <w:sz w:val="24"/>
          <w:szCs w:val="24"/>
        </w:rPr>
        <w:t xml:space="preserve">. </w:t>
      </w:r>
      <w:r w:rsidR="006F2AC1" w:rsidRPr="006F2AC1">
        <w:rPr>
          <w:rFonts w:ascii="Times New Roman" w:hAnsi="Times New Roman" w:cs="Times New Roman"/>
          <w:sz w:val="24"/>
          <w:szCs w:val="24"/>
          <w:u w:val="single"/>
        </w:rPr>
        <w:t>Pobreza en España - Uno</w:t>
      </w:r>
      <w:r w:rsidR="006F2AC1">
        <w:rPr>
          <w:rFonts w:ascii="Times New Roman" w:hAnsi="Times New Roman" w:cs="Times New Roman"/>
          <w:sz w:val="24"/>
          <w:szCs w:val="24"/>
          <w:u w:val="single"/>
        </w:rPr>
        <w:t xml:space="preserve"> de cada cuatro “sin techo”</w:t>
      </w:r>
      <w:r w:rsidR="006F2AC1" w:rsidRPr="00751F4F">
        <w:rPr>
          <w:rFonts w:ascii="Times New Roman" w:hAnsi="Times New Roman" w:cs="Times New Roman"/>
          <w:sz w:val="24"/>
          <w:szCs w:val="24"/>
          <w:u w:val="single"/>
        </w:rPr>
        <w:t xml:space="preserve"> en Madrid tiene estudios superiores</w:t>
      </w:r>
      <w:r w:rsidR="006F2AC1">
        <w:rPr>
          <w:rFonts w:ascii="Times New Roman" w:hAnsi="Times New Roman" w:cs="Times New Roman"/>
          <w:sz w:val="24"/>
          <w:szCs w:val="24"/>
        </w:rPr>
        <w:t xml:space="preserve"> (Gaceta.es - </w:t>
      </w:r>
      <w:r w:rsidR="006F2AC1" w:rsidRPr="00751F4F">
        <w:rPr>
          <w:rFonts w:ascii="Times New Roman" w:hAnsi="Times New Roman" w:cs="Times New Roman"/>
          <w:b/>
          <w:sz w:val="24"/>
          <w:szCs w:val="24"/>
        </w:rPr>
        <w:t>23/2/13</w:t>
      </w:r>
      <w:r w:rsidR="006F2AC1">
        <w:rPr>
          <w:rFonts w:ascii="Times New Roman" w:hAnsi="Times New Roman" w:cs="Times New Roman"/>
          <w:sz w:val="24"/>
          <w:szCs w:val="24"/>
        </w:rPr>
        <w:t>)</w:t>
      </w:r>
    </w:p>
    <w:p w:rsidR="006F2AC1" w:rsidRPr="006F2AC1" w:rsidRDefault="006F2AC1" w:rsidP="00387350">
      <w:pPr>
        <w:pStyle w:val="NormalWeb"/>
        <w:jc w:val="both"/>
      </w:pPr>
      <w:r>
        <w:t>“</w:t>
      </w:r>
      <w:r w:rsidRPr="006F2AC1">
        <w:t xml:space="preserve">Según las últimas estadísticas, </w:t>
      </w:r>
      <w:r>
        <w:t>casi 17 millones de niños en EEUU</w:t>
      </w:r>
      <w:r w:rsidRPr="006F2AC1">
        <w:t xml:space="preserve"> no siempre tienen acceso a suficiente comida saludable…</w:t>
      </w:r>
      <w:r>
        <w:t xml:space="preserve"> </w:t>
      </w:r>
      <w:r w:rsidRPr="006F2AC1">
        <w:t>Se cree que unos 47 millones de estadounidenses dependen de bancos de comida.</w:t>
      </w:r>
    </w:p>
    <w:p w:rsidR="006F2AC1" w:rsidRPr="006F2AC1" w:rsidRDefault="006F2AC1" w:rsidP="00387350">
      <w:pPr>
        <w:pStyle w:val="NormalWeb"/>
        <w:jc w:val="both"/>
      </w:pPr>
      <w:r>
        <w:t>“</w:t>
      </w:r>
      <w:r w:rsidRPr="006F2AC1">
        <w:t xml:space="preserve">Ha cambiado dramáticamente desde que empezó la recesión. El número de gente que viene ha </w:t>
      </w:r>
      <w:r>
        <w:t>crecido entre un 30% y un 40%”</w:t>
      </w:r>
      <w:r w:rsidRPr="006F2AC1">
        <w:t>, asegura Caren Laughlin que ha trabajado en bancos de comida en los últimos 30 años.</w:t>
      </w:r>
      <w:r>
        <w:t xml:space="preserve"> “</w:t>
      </w:r>
      <w:r w:rsidRPr="006F2AC1">
        <w:t>Eso no se debe sólo a que la gente ha perdido sus trabajos. Es también porque los empleos que les están sustituyendo están peor pagados. No</w:t>
      </w:r>
      <w:r>
        <w:t xml:space="preserve"> da para alimentar a la familia”</w:t>
      </w:r>
      <w:r w:rsidRPr="006F2AC1">
        <w:t>, explica…</w:t>
      </w:r>
    </w:p>
    <w:p w:rsidR="006F2AC1" w:rsidRDefault="006F2AC1" w:rsidP="00387350">
      <w:pPr>
        <w:pStyle w:val="NormalWeb"/>
        <w:jc w:val="both"/>
      </w:pPr>
      <w:r w:rsidRPr="006F2AC1">
        <w:lastRenderedPageBreak/>
        <w:t>Según Laughlin, muchas personas no saben dónde buscar ayuda y a o</w:t>
      </w:r>
      <w:r>
        <w:t>tras les da vergüenza pedirla. “</w:t>
      </w:r>
      <w:r w:rsidRPr="006F2AC1">
        <w:t>Mucha de la gente que viene nunca imaginó</w:t>
      </w:r>
      <w:r>
        <w:t xml:space="preserve"> que acabaría en esta situación”</w:t>
      </w:r>
      <w:r w:rsidRPr="006F2AC1">
        <w:t>, señala.</w:t>
      </w:r>
      <w:r>
        <w:t xml:space="preserve"> </w:t>
      </w:r>
      <w:r w:rsidRPr="006F2AC1">
        <w:t>Estos p</w:t>
      </w:r>
      <w:r>
        <w:t>roblemas se reflejan en todo EEUU</w:t>
      </w:r>
      <w:r w:rsidRPr="006F2AC1">
        <w:t>, según la organización no gubernamental Feeding America (Alimentando a América) que gestiona 200 bancos de comida y ayuda a 37 millones de personas cada año, entre las que están 14 millones de niños.</w:t>
      </w:r>
      <w:r>
        <w:t xml:space="preserve"> </w:t>
      </w:r>
      <w:r w:rsidRPr="006F2AC1">
        <w:t>Según la organización, cerca de 17 millones de niños estadounidenses viven en hogares donde no se puede asegurar el consumo de comida saludable</w:t>
      </w:r>
      <w:r>
        <w:t>…</w:t>
      </w:r>
    </w:p>
    <w:p w:rsidR="006F2AC1" w:rsidRDefault="006F2AC1" w:rsidP="00387350">
      <w:pPr>
        <w:pStyle w:val="NormalWeb"/>
        <w:jc w:val="both"/>
      </w:pPr>
      <w:r w:rsidRPr="006F2AC1">
        <w:t>En algunas zonas, las escuelas partic</w:t>
      </w:r>
      <w:r w:rsidR="007B59FE">
        <w:t>ipan en un programa denominado “mochila”</w:t>
      </w:r>
      <w:r w:rsidRPr="006F2AC1">
        <w:t xml:space="preserve"> por el que se reparten paquetes de comida a los niños más vulnerables los viernes para que tengan qué comer el fin de semana.</w:t>
      </w:r>
      <w:r>
        <w:t xml:space="preserve"> “</w:t>
      </w:r>
      <w:r w:rsidRPr="006F2AC1">
        <w:t>Lo</w:t>
      </w:r>
      <w:r>
        <w:t>s niños se concentran mejor así”, explica Laughlin. “</w:t>
      </w:r>
      <w:r w:rsidRPr="006F2AC1">
        <w:t xml:space="preserve">Si estás preocupado por lo que vas a comer cuando llegues a casa, vas a estar pensando en eso y </w:t>
      </w:r>
      <w:r>
        <w:t xml:space="preserve">no en lo que está en la pizarra””… </w:t>
      </w:r>
      <w:r>
        <w:rPr>
          <w:u w:val="single"/>
        </w:rPr>
        <w:t>Ser niño y pobre en EE</w:t>
      </w:r>
      <w:r w:rsidRPr="001A5452">
        <w:rPr>
          <w:u w:val="single"/>
        </w:rPr>
        <w:t>UU</w:t>
      </w:r>
      <w:r>
        <w:t xml:space="preserve"> (BBCMundo - </w:t>
      </w:r>
      <w:r w:rsidRPr="001A5452">
        <w:rPr>
          <w:b/>
        </w:rPr>
        <w:t>15/3/13</w:t>
      </w:r>
      <w:r>
        <w:t>)</w:t>
      </w:r>
    </w:p>
    <w:p w:rsidR="00970A77" w:rsidRPr="00970A77" w:rsidRDefault="00970A77" w:rsidP="00387350">
      <w:pPr>
        <w:pStyle w:val="NormalWeb"/>
        <w:jc w:val="both"/>
      </w:pPr>
      <w:r>
        <w:t>“</w:t>
      </w:r>
      <w:r w:rsidRPr="00970A77">
        <w:t>El comisario para los Derechos Humanos del Consejo de Europa, Nils Muiznieks, visitó España la semana pasada y se volvió a casa contrariado. Tras una estancia de cinco días y múltiples reuniones con autoridades y responsables políticos, ofreció una rueda de prensa antes de marchar, el viernes 6 de junio, en la que dijo: “He escuchado con preocupación historias de niños que se desmayan en clase porque no han comido, que acuden dos y tres semanas con la misma ropa al colegio o que están en una situación de vulnerabilidad tras un desahucio”</w:t>
      </w:r>
      <w:r>
        <w:t>…</w:t>
      </w:r>
    </w:p>
    <w:p w:rsidR="00970A77" w:rsidRPr="00970A77" w:rsidRDefault="00970A77" w:rsidP="00387350">
      <w:pPr>
        <w:pStyle w:val="NormalWeb"/>
        <w:jc w:val="both"/>
      </w:pPr>
      <w:r w:rsidRPr="00970A77">
        <w:t>El 44% de los pediatras consideran que la disminución de ingresos de las familias está afectando a la correcta alimentación de los niños. El último informe sobre la infancia de Unicef señala que el 16,7% de los pequeños viven en hogares que sufren pobreza severa. La crisis, el desempleo galopante y los desahucios generan un panorama en que las situaciones desesperadas emergen. Y entre sus múltiples víctimas, están los niños.</w:t>
      </w:r>
    </w:p>
    <w:p w:rsidR="00970A77" w:rsidRDefault="00970A77" w:rsidP="00387350">
      <w:pPr>
        <w:pStyle w:val="NormalWeb"/>
        <w:jc w:val="both"/>
      </w:pPr>
      <w:r w:rsidRPr="00970A77">
        <w:t xml:space="preserve"> “La pobreza infantil ya era grave en tiempos de bonanza”, dice Gabriel González Bueno, responsable de Políticas de Infancia de Unicef, “pero ahora llega a extremos de incapacidad del hogar para asumir las necesidades básicas, como comer”. Y prosigue: “Si las becas comedor han bajado entre un 20% y un 30%, no nos alarmemos con los datos: esa es una de las claves para explicar lo que está pasando”. Ana Lima, presidenta del Consejo General del Trabajo Social, que representa a 40.000 trabajadores sociales, también señala que la supresión de las becas comedor es uno de los factores que ayudan a explicar la situación. “Cuando las quitaron ya sabíamos que hay familias que no iban a poder dar tres comidas diarias a sus hijos”. Lima, con 22 años de experiencia como trabajadora social, asegura que desde el inicio de la crisis el incremento de la demanda de emergencia en los servicios sociales de los Ayuntamientos, que incluye la entrega de alimentos o ayudas para pagar recibos, ha crecido más del 250%</w:t>
      </w:r>
      <w:r>
        <w:t>”..</w:t>
      </w:r>
      <w:r w:rsidRPr="00970A77">
        <w:t>.</w:t>
      </w:r>
      <w:r>
        <w:t xml:space="preserve"> </w:t>
      </w:r>
      <w:r w:rsidRPr="00E6539D">
        <w:rPr>
          <w:u w:val="single"/>
        </w:rPr>
        <w:t>El hambre se cuela en el colegio</w:t>
      </w:r>
      <w:r>
        <w:t xml:space="preserve"> (El País - </w:t>
      </w:r>
      <w:r w:rsidRPr="00E6539D">
        <w:rPr>
          <w:b/>
        </w:rPr>
        <w:t>15/6/13</w:t>
      </w:r>
      <w:r>
        <w:t>)</w:t>
      </w:r>
    </w:p>
    <w:p w:rsidR="003573AE" w:rsidRDefault="003573AE" w:rsidP="00387350">
      <w:pPr>
        <w:pStyle w:val="NormalWeb"/>
        <w:jc w:val="both"/>
      </w:pPr>
      <w:r>
        <w:t>“</w:t>
      </w:r>
      <w:r w:rsidRPr="00704039">
        <w:t>Más de seis millones de personas cobran ayudas sociales en Alemania. No figuran en las estadísticas del paro pero suponen un gasto de 37.100 millones para el Estado ger</w:t>
      </w:r>
      <w:r>
        <w:t xml:space="preserve">mano. </w:t>
      </w:r>
      <w:r w:rsidRPr="00704039">
        <w:t xml:space="preserve">La locomotora de Europa, Alemania, cuenta con un </w:t>
      </w:r>
      <w:r w:rsidRPr="00704039">
        <w:rPr>
          <w:bCs/>
        </w:rPr>
        <w:t>elevado número de personas que no logran encontrar un trabajo regular y que necesitan recurrir a la ayuda social para subsistir</w:t>
      </w:r>
      <w:r w:rsidRPr="00704039">
        <w:t xml:space="preserve">, según apunta el diario </w:t>
      </w:r>
      <w:r w:rsidRPr="00704039">
        <w:rPr>
          <w:i/>
          <w:iCs/>
        </w:rPr>
        <w:t>El País</w:t>
      </w:r>
      <w:r w:rsidRPr="00704039">
        <w:t xml:space="preserve"> en un a</w:t>
      </w:r>
      <w:r>
        <w:t xml:space="preserve">rtículo publicado este domingo. </w:t>
      </w:r>
      <w:r w:rsidRPr="00704039">
        <w:t xml:space="preserve">El </w:t>
      </w:r>
      <w:r w:rsidRPr="00704039">
        <w:rPr>
          <w:bCs/>
        </w:rPr>
        <w:t xml:space="preserve">Hartz IV </w:t>
      </w:r>
      <w:r w:rsidRPr="00704039">
        <w:t xml:space="preserve">es la herramienta por la cual se vehicula esa ayuda social de la que ya se benefician cerca de seis millones de personas (4,4 millones de adultos en edad </w:t>
      </w:r>
      <w:r w:rsidRPr="00704039">
        <w:lastRenderedPageBreak/>
        <w:t>de trabajar y 1,7 mil</w:t>
      </w:r>
      <w:r>
        <w:t xml:space="preserve">lones de niños y adolescentes). </w:t>
      </w:r>
      <w:r w:rsidRPr="00704039">
        <w:rPr>
          <w:bCs/>
        </w:rPr>
        <w:t>El Estado germano gastó en 2012 37.100 millones de euros</w:t>
      </w:r>
      <w:r w:rsidRPr="00704039">
        <w:t xml:space="preserve"> en auxiliar al elevado número de personas que recurren al Hartz y que no computan en las estadísticas del paro</w:t>
      </w:r>
      <w:r>
        <w:t>”..</w:t>
      </w:r>
      <w:r w:rsidRPr="00704039">
        <w:t>.</w:t>
      </w:r>
      <w:r>
        <w:t xml:space="preserve"> </w:t>
      </w:r>
      <w:r w:rsidRPr="00913A81">
        <w:rPr>
          <w:u w:val="single"/>
        </w:rPr>
        <w:t>Más de seis millones de personas necesitan ayuda en Alemania para subsistir</w:t>
      </w:r>
      <w:r>
        <w:t xml:space="preserve"> (El Economista - </w:t>
      </w:r>
      <w:r w:rsidRPr="008B424A">
        <w:rPr>
          <w:b/>
        </w:rPr>
        <w:t>1/9/13</w:t>
      </w:r>
      <w:r>
        <w:t>)</w:t>
      </w:r>
    </w:p>
    <w:p w:rsidR="00C32586" w:rsidRDefault="00C32586" w:rsidP="00387350">
      <w:pPr>
        <w:spacing w:line="240" w:lineRule="auto"/>
        <w:jc w:val="both"/>
        <w:rPr>
          <w:rFonts w:ascii="Times New Roman" w:hAnsi="Times New Roman"/>
          <w:sz w:val="24"/>
          <w:szCs w:val="24"/>
          <w:u w:val="single"/>
        </w:rPr>
      </w:pPr>
      <w:r>
        <w:rPr>
          <w:rFonts w:ascii="Times New Roman" w:hAnsi="Times New Roman"/>
          <w:sz w:val="24"/>
          <w:szCs w:val="24"/>
          <w:u w:val="single"/>
        </w:rPr>
        <w:t xml:space="preserve">Los juegos del hambre: </w:t>
      </w:r>
      <w:r w:rsidRPr="00FF265B">
        <w:rPr>
          <w:rFonts w:ascii="Times New Roman" w:hAnsi="Times New Roman"/>
          <w:sz w:val="24"/>
          <w:szCs w:val="24"/>
          <w:u w:val="single"/>
        </w:rPr>
        <w:t>algunos titulares impactantes</w:t>
      </w:r>
    </w:p>
    <w:p w:rsidR="00C32586" w:rsidRDefault="00C32586" w:rsidP="00387350">
      <w:pPr>
        <w:pStyle w:val="NormalWeb"/>
        <w:jc w:val="both"/>
      </w:pPr>
      <w:r>
        <w:t xml:space="preserve">- </w:t>
      </w:r>
      <w:r w:rsidRPr="00746864">
        <w:rPr>
          <w:u w:val="single"/>
        </w:rPr>
        <w:t>Los griegos que abandonan a sus hijos por la crisis</w:t>
      </w:r>
      <w:r>
        <w:t xml:space="preserve"> (BBCMundo - </w:t>
      </w:r>
      <w:r w:rsidRPr="00746864">
        <w:rPr>
          <w:b/>
        </w:rPr>
        <w:t>14/1/12</w:t>
      </w:r>
      <w:r>
        <w:t>)</w:t>
      </w:r>
    </w:p>
    <w:p w:rsidR="00C32586" w:rsidRDefault="00C32586" w:rsidP="00387350">
      <w:pPr>
        <w:pStyle w:val="NormalWeb"/>
        <w:jc w:val="both"/>
      </w:pPr>
      <w:r w:rsidRPr="00FF265B">
        <w:t>Desesperadas por la crisis, muchas familias han optado por dejar atrás lo más preciado que tienen: sus hijos</w:t>
      </w:r>
      <w:r>
        <w:t>…</w:t>
      </w:r>
    </w:p>
    <w:p w:rsidR="00C32586" w:rsidRDefault="00C32586" w:rsidP="00387350">
      <w:pPr>
        <w:pStyle w:val="NormalWeb"/>
        <w:jc w:val="both"/>
      </w:pPr>
      <w:r>
        <w:rPr>
          <w:rFonts w:ascii="Helvetica" w:hAnsi="Helvetica"/>
          <w:noProof/>
          <w:color w:val="333333"/>
          <w:sz w:val="18"/>
          <w:szCs w:val="18"/>
        </w:rPr>
        <w:drawing>
          <wp:inline distT="0" distB="0" distL="0" distR="0" wp14:anchorId="5BFFDE72" wp14:editId="020592B6">
            <wp:extent cx="2896819" cy="3335731"/>
            <wp:effectExtent l="0" t="0" r="0" b="0"/>
            <wp:docPr id="26" name="Imagen 26" descr="120220140246_grecia_cr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20220140246_grecia_crisis"/>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2896870" cy="3335790"/>
                    </a:xfrm>
                    <a:prstGeom prst="rect">
                      <a:avLst/>
                    </a:prstGeom>
                    <a:noFill/>
                    <a:ln>
                      <a:noFill/>
                    </a:ln>
                  </pic:spPr>
                </pic:pic>
              </a:graphicData>
            </a:graphic>
          </wp:inline>
        </w:drawing>
      </w:r>
    </w:p>
    <w:p w:rsidR="00C92374" w:rsidRDefault="00C92374" w:rsidP="00387350">
      <w:pPr>
        <w:pStyle w:val="NormalWeb"/>
        <w:jc w:val="both"/>
      </w:pPr>
      <w:r>
        <w:t xml:space="preserve">(Fuente: BBCMundo.com - </w:t>
      </w:r>
      <w:r w:rsidRPr="004654D3">
        <w:rPr>
          <w:b/>
        </w:rPr>
        <w:t>20/2/12</w:t>
      </w:r>
      <w:r>
        <w:t>)</w:t>
      </w:r>
    </w:p>
    <w:p w:rsidR="00C32586" w:rsidRPr="006063EE" w:rsidRDefault="00C32586"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6063EE">
        <w:rPr>
          <w:rFonts w:ascii="Times New Roman" w:hAnsi="Times New Roman"/>
          <w:sz w:val="24"/>
          <w:szCs w:val="24"/>
          <w:u w:val="single"/>
        </w:rPr>
        <w:t>Conmoción en Grecia por el suicidio de un jubil</w:t>
      </w:r>
      <w:r>
        <w:rPr>
          <w:rFonts w:ascii="Times New Roman" w:hAnsi="Times New Roman"/>
          <w:sz w:val="24"/>
          <w:szCs w:val="24"/>
          <w:u w:val="single"/>
        </w:rPr>
        <w:t>ado: “la austeridad mata”</w:t>
      </w:r>
      <w:r>
        <w:rPr>
          <w:rFonts w:ascii="Times New Roman" w:hAnsi="Times New Roman"/>
          <w:sz w:val="24"/>
          <w:szCs w:val="24"/>
        </w:rPr>
        <w:t xml:space="preserve"> (El Economista - </w:t>
      </w:r>
      <w:r w:rsidRPr="006063EE">
        <w:rPr>
          <w:rFonts w:ascii="Times New Roman" w:hAnsi="Times New Roman"/>
          <w:b/>
          <w:sz w:val="24"/>
          <w:szCs w:val="24"/>
        </w:rPr>
        <w:t>5/4/12</w:t>
      </w:r>
      <w:r>
        <w:rPr>
          <w:rFonts w:ascii="Times New Roman" w:hAnsi="Times New Roman"/>
          <w:sz w:val="24"/>
          <w:szCs w:val="24"/>
        </w:rPr>
        <w:t>)</w:t>
      </w:r>
    </w:p>
    <w:p w:rsidR="00C32586" w:rsidRDefault="00C32586" w:rsidP="00387350">
      <w:pPr>
        <w:pStyle w:val="NormalWeb"/>
        <w:jc w:val="both"/>
      </w:pPr>
      <w:r w:rsidRPr="00301B47">
        <w:t xml:space="preserve">Indignación y dolor en Grecia el día después de que </w:t>
      </w:r>
      <w:hyperlink r:id="rId369" w:history="1">
        <w:r w:rsidRPr="00301B47">
          <w:rPr>
            <w:rStyle w:val="Hipervnculo"/>
            <w:rFonts w:eastAsiaTheme="majorEastAsia"/>
            <w:color w:val="auto"/>
            <w:u w:val="none"/>
          </w:rPr>
          <w:t>un jubilado griego de 77 años se suicidara ante el Parlamento heleno</w:t>
        </w:r>
      </w:hyperlink>
      <w:r w:rsidRPr="00301B47">
        <w:t>, situado en la plaza Syntagma de Atenas. El jubilado quería se disparó e</w:t>
      </w:r>
      <w:r>
        <w:t>n la cabeza después de gritar: “</w:t>
      </w:r>
      <w:r w:rsidRPr="00301B47">
        <w:t>¡Tengo d</w:t>
      </w:r>
      <w:r>
        <w:t>eudas, no puedo soportarlo más!” y “</w:t>
      </w:r>
      <w:r w:rsidRPr="00301B47">
        <w:t>no quie</w:t>
      </w:r>
      <w:r>
        <w:t>ro dejar mis deudas a mis hijos”…</w:t>
      </w:r>
    </w:p>
    <w:p w:rsidR="00C32586" w:rsidRDefault="00C32586" w:rsidP="00387350">
      <w:pPr>
        <w:pStyle w:val="NormalWeb"/>
        <w:jc w:val="both"/>
      </w:pPr>
      <w:r>
        <w:t xml:space="preserve">- </w:t>
      </w:r>
      <w:r w:rsidRPr="00401C7C">
        <w:rPr>
          <w:u w:val="single"/>
        </w:rPr>
        <w:t>El suicidio de un jubilado por la crisis desata la ira en Grecia</w:t>
      </w:r>
      <w:r>
        <w:t xml:space="preserve"> (El País - </w:t>
      </w:r>
      <w:r w:rsidRPr="00401C7C">
        <w:rPr>
          <w:b/>
        </w:rPr>
        <w:t>5/4/12</w:t>
      </w:r>
      <w:r>
        <w:t>)</w:t>
      </w:r>
    </w:p>
    <w:p w:rsidR="00C32586" w:rsidRDefault="00C32586" w:rsidP="00387350">
      <w:pPr>
        <w:pStyle w:val="NormalWeb"/>
        <w:jc w:val="both"/>
      </w:pPr>
      <w:r>
        <w:t xml:space="preserve"> “Soy jubilado. No puedo vivir en estas condiciones. Me niego a buscar comida en la basura. Por eso he decidido poner fin a mi vida”, decía el mensaje que llevaba en un bolsillo. El hombre, de 77 años, un farmacéutico retirado al que se le comían las deudas, se pegó un tiro en la sien y murió a escasos metros del Parlamento poco antes de las nueve de la mañana de este miércoles, en plena hora punta en el kilómetro cero ateniense. Fue un suicidio público que ha desatado una ola de cólera, dolor y </w:t>
      </w:r>
      <w:r>
        <w:lastRenderedPageBreak/>
        <w:t>reconocimiento: un final por el que cada vez más ciudadanos optan en una Grecia asfixiada por los recortes…</w:t>
      </w:r>
    </w:p>
    <w:p w:rsidR="00C32586" w:rsidRPr="007D6C52" w:rsidRDefault="00C32586"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7D6C52">
        <w:rPr>
          <w:rFonts w:ascii="Times New Roman" w:hAnsi="Times New Roman"/>
          <w:sz w:val="24"/>
          <w:szCs w:val="24"/>
          <w:u w:val="single"/>
        </w:rPr>
        <w:t>La crisis cercena vidas en Italia</w:t>
      </w:r>
      <w:r>
        <w:rPr>
          <w:rFonts w:ascii="Times New Roman" w:hAnsi="Times New Roman"/>
          <w:sz w:val="24"/>
          <w:szCs w:val="24"/>
        </w:rPr>
        <w:t xml:space="preserve"> (El País - </w:t>
      </w:r>
      <w:r>
        <w:rPr>
          <w:rFonts w:ascii="Times New Roman" w:hAnsi="Times New Roman"/>
          <w:b/>
          <w:sz w:val="24"/>
          <w:szCs w:val="24"/>
        </w:rPr>
        <w:t>21</w:t>
      </w:r>
      <w:r w:rsidRPr="007D6C52">
        <w:rPr>
          <w:rFonts w:ascii="Times New Roman" w:hAnsi="Times New Roman"/>
          <w:b/>
          <w:sz w:val="24"/>
          <w:szCs w:val="24"/>
        </w:rPr>
        <w:t>/4/12</w:t>
      </w:r>
      <w:r>
        <w:rPr>
          <w:rFonts w:ascii="Times New Roman" w:hAnsi="Times New Roman"/>
          <w:sz w:val="24"/>
          <w:szCs w:val="24"/>
        </w:rPr>
        <w:t>)</w:t>
      </w:r>
    </w:p>
    <w:p w:rsidR="00C32586" w:rsidRDefault="00C32586" w:rsidP="00387350">
      <w:pPr>
        <w:spacing w:line="240" w:lineRule="auto"/>
        <w:jc w:val="both"/>
        <w:rPr>
          <w:rFonts w:ascii="Times New Roman" w:hAnsi="Times New Roman"/>
          <w:sz w:val="24"/>
          <w:szCs w:val="24"/>
        </w:rPr>
      </w:pPr>
      <w:r w:rsidRPr="00301B47">
        <w:rPr>
          <w:rFonts w:ascii="Times New Roman" w:hAnsi="Times New Roman"/>
          <w:sz w:val="24"/>
          <w:szCs w:val="24"/>
        </w:rPr>
        <w:t>Si hay una palabra prohibida, esa es suicidio. Mucho más para las sociedades -como la italiana, como la española- que desde siglos han vivido a la sombra ética y estética de la religión. A pesar de que a los suicidas siempre se les negó un lugar en el cielo, en el camposanto y en los periódicos, los italianos se están quitando la vida por motivos económicos. A un ritmo de dos al día. Un pequeño empresario y un trabajador se sienten empujados diariamente a las vías del tren o a la horca por la desesperación que les provoca la crisis. No se llega todavía al r</w:t>
      </w:r>
      <w:r>
        <w:rPr>
          <w:rFonts w:ascii="Times New Roman" w:hAnsi="Times New Roman"/>
          <w:sz w:val="24"/>
          <w:szCs w:val="24"/>
        </w:rPr>
        <w:t>écord espantoso de los griegos -</w:t>
      </w:r>
      <w:r w:rsidRPr="00301B47">
        <w:rPr>
          <w:rFonts w:ascii="Times New Roman" w:hAnsi="Times New Roman"/>
          <w:sz w:val="24"/>
          <w:szCs w:val="24"/>
        </w:rPr>
        <w:t>1.725 su</w:t>
      </w:r>
      <w:r>
        <w:rPr>
          <w:rFonts w:ascii="Times New Roman" w:hAnsi="Times New Roman"/>
          <w:sz w:val="24"/>
          <w:szCs w:val="24"/>
        </w:rPr>
        <w:t>icidios en los dos últimos años-</w:t>
      </w:r>
      <w:r w:rsidRPr="00301B47">
        <w:rPr>
          <w:rFonts w:ascii="Times New Roman" w:hAnsi="Times New Roman"/>
          <w:sz w:val="24"/>
          <w:szCs w:val="24"/>
        </w:rPr>
        <w:t>, pero la progresión es tan alarmante que hasta el primer ministro Mario Monti, tan católico, nombró al diablo por su nombre. “Todos los días luchamos para evitar caer en el dramático precipicio de Grecia, con tantos empleos perdidos y tantos suicidios”, dijo. No hablaba, por una vez, de la dichosa prima de riesgo o del déficit de las cuentas públicas. Hablaba por fin del coste humano. De Vicenzo, de 28 años, o de Roberto, de 62, que se ahorcaron agobiados por las deudas. O de Mario, de 59, que huyó de la crisis pegándose un tiro en el pecho</w:t>
      </w:r>
      <w:r>
        <w:rPr>
          <w:rFonts w:ascii="Times New Roman" w:hAnsi="Times New Roman"/>
          <w:sz w:val="24"/>
          <w:szCs w:val="24"/>
        </w:rPr>
        <w:t>…</w:t>
      </w:r>
    </w:p>
    <w:p w:rsidR="00C32586" w:rsidRDefault="00C32586" w:rsidP="00387350">
      <w:pPr>
        <w:spacing w:line="240" w:lineRule="auto"/>
        <w:jc w:val="both"/>
        <w:rPr>
          <w:rFonts w:ascii="Times New Roman" w:hAnsi="Times New Roman"/>
          <w:sz w:val="24"/>
          <w:szCs w:val="24"/>
        </w:rPr>
      </w:pPr>
      <w:r>
        <w:rPr>
          <w:rFonts w:ascii="Times New Roman" w:hAnsi="Times New Roman"/>
          <w:sz w:val="24"/>
          <w:szCs w:val="24"/>
          <w:u w:val="single"/>
        </w:rPr>
        <w:t>EE</w:t>
      </w:r>
      <w:r w:rsidRPr="009C65C9">
        <w:rPr>
          <w:rFonts w:ascii="Times New Roman" w:hAnsi="Times New Roman"/>
          <w:sz w:val="24"/>
          <w:szCs w:val="24"/>
          <w:u w:val="single"/>
        </w:rPr>
        <w:t>UU: se triplica el número de bebés con síntomas de adicción</w:t>
      </w:r>
      <w:r>
        <w:rPr>
          <w:rFonts w:ascii="Times New Roman" w:hAnsi="Times New Roman"/>
          <w:sz w:val="24"/>
          <w:szCs w:val="24"/>
        </w:rPr>
        <w:t xml:space="preserve"> (BBCMundo - </w:t>
      </w:r>
      <w:r w:rsidRPr="009C65C9">
        <w:rPr>
          <w:rFonts w:ascii="Times New Roman" w:hAnsi="Times New Roman"/>
          <w:b/>
          <w:sz w:val="24"/>
          <w:szCs w:val="24"/>
        </w:rPr>
        <w:t>1/5/12</w:t>
      </w:r>
      <w:r>
        <w:rPr>
          <w:rFonts w:ascii="Times New Roman" w:hAnsi="Times New Roman"/>
          <w:sz w:val="24"/>
          <w:szCs w:val="24"/>
        </w:rPr>
        <w:t>)</w:t>
      </w:r>
    </w:p>
    <w:p w:rsidR="00C32586" w:rsidRPr="000F2367" w:rsidRDefault="00C32586" w:rsidP="00387350">
      <w:pPr>
        <w:spacing w:line="240" w:lineRule="auto"/>
        <w:jc w:val="both"/>
        <w:rPr>
          <w:rFonts w:ascii="Times New Roman" w:hAnsi="Times New Roman"/>
          <w:sz w:val="24"/>
          <w:szCs w:val="24"/>
        </w:rPr>
      </w:pPr>
      <w:r w:rsidRPr="000F2367">
        <w:rPr>
          <w:rFonts w:ascii="Times New Roman" w:hAnsi="Times New Roman"/>
          <w:sz w:val="24"/>
          <w:szCs w:val="24"/>
        </w:rPr>
        <w:t>El número de bebés nacidos en Estados Unidos con síntomas de adicción a los opiáceos se triplicó en la década 1999-2009, según un estudio publicado por la revista American Medical Association.</w:t>
      </w:r>
    </w:p>
    <w:p w:rsidR="00C32586" w:rsidRPr="000F2367" w:rsidRDefault="00C32586" w:rsidP="00387350">
      <w:pPr>
        <w:spacing w:line="240" w:lineRule="auto"/>
        <w:jc w:val="both"/>
        <w:rPr>
          <w:rFonts w:ascii="Times New Roman" w:hAnsi="Times New Roman"/>
          <w:sz w:val="24"/>
          <w:szCs w:val="24"/>
        </w:rPr>
      </w:pPr>
      <w:r w:rsidRPr="000F2367">
        <w:rPr>
          <w:rFonts w:ascii="Times New Roman" w:hAnsi="Times New Roman"/>
          <w:sz w:val="24"/>
          <w:szCs w:val="24"/>
        </w:rPr>
        <w:t>El informe, que es el primero de su tipo en Estados Unidos y está basado en los registros de más de 4.000 hospitales del país, resalta que uno de cada 1.000 bebés recién nacidos resultó afectado en 2009. Además, el número de mujeres embarazadas que dieron positivo por consumo de opiáceos legales o ilegales se quintuplicó en el mismo periodo.</w:t>
      </w:r>
    </w:p>
    <w:p w:rsidR="00C32586" w:rsidRDefault="00C32586" w:rsidP="00387350">
      <w:pPr>
        <w:spacing w:line="240" w:lineRule="auto"/>
        <w:jc w:val="both"/>
        <w:rPr>
          <w:rFonts w:ascii="Times New Roman" w:hAnsi="Times New Roman"/>
          <w:sz w:val="24"/>
          <w:szCs w:val="24"/>
        </w:rPr>
      </w:pPr>
      <w:r w:rsidRPr="000F2367">
        <w:rPr>
          <w:rFonts w:ascii="Times New Roman" w:hAnsi="Times New Roman"/>
          <w:sz w:val="24"/>
          <w:szCs w:val="24"/>
        </w:rPr>
        <w:t>Para los autores del informe, parte de la culpa está en el abuso de analgésicos vendidos bajo receta médica. Hallaron que en 2009, unos 13.500 bebés nacieron con síndromes de abstinencia, casi uno cada hora</w:t>
      </w:r>
      <w:r>
        <w:rPr>
          <w:rFonts w:ascii="Times New Roman" w:hAnsi="Times New Roman"/>
          <w:sz w:val="24"/>
          <w:szCs w:val="24"/>
        </w:rPr>
        <w:t>…</w:t>
      </w:r>
    </w:p>
    <w:p w:rsidR="00C32586" w:rsidRPr="00D64279" w:rsidRDefault="00C32586" w:rsidP="00387350">
      <w:pPr>
        <w:pStyle w:val="NormalWeb"/>
        <w:jc w:val="both"/>
      </w:pPr>
      <w:r>
        <w:t xml:space="preserve">- </w:t>
      </w:r>
      <w:r w:rsidRPr="00D64279">
        <w:rPr>
          <w:u w:val="single"/>
        </w:rPr>
        <w:t>Nuevo suicidio en Atenas con una nota que acusa a las deudas</w:t>
      </w:r>
      <w:r>
        <w:t xml:space="preserve"> (Vozpópuli - </w:t>
      </w:r>
      <w:r w:rsidRPr="00D64279">
        <w:rPr>
          <w:b/>
        </w:rPr>
        <w:t>31/5/12</w:t>
      </w:r>
      <w:r>
        <w:t>)</w:t>
      </w:r>
    </w:p>
    <w:p w:rsidR="00C32586" w:rsidRPr="000F2367" w:rsidRDefault="00C32586" w:rsidP="00387350">
      <w:pPr>
        <w:pStyle w:val="NormalWeb"/>
        <w:jc w:val="both"/>
      </w:pPr>
      <w:r w:rsidRPr="000F2367">
        <w:t>Un ciudadano de 61 años ha puesto fin a su existencia con una nota en la que se refiere a la situación económica como causante de su decisión</w:t>
      </w:r>
      <w:r>
        <w:t>: “</w:t>
      </w:r>
      <w:r w:rsidRPr="000F2367">
        <w:t>Espero que</w:t>
      </w:r>
      <w:r>
        <w:t xml:space="preserve"> mis nietos no nazcan en Grecia”</w:t>
      </w:r>
      <w:r w:rsidRPr="000F2367">
        <w:t xml:space="preserve">, decía. </w:t>
      </w:r>
    </w:p>
    <w:p w:rsidR="00C32586" w:rsidRPr="000F2367" w:rsidRDefault="00C32586" w:rsidP="00387350">
      <w:pPr>
        <w:pStyle w:val="NormalWeb"/>
        <w:jc w:val="both"/>
      </w:pPr>
      <w:r w:rsidRPr="000F2367">
        <w:t>Un pensionista griego ha sido hallado ahorcado este miércoles en el parque ateniense Agios Filipos al lado de una nota de suicidio en la que se hace referencia a su situación económica como causa del suicidio, según</w:t>
      </w:r>
      <w:r>
        <w:t xml:space="preserve"> ha informado el portal griego “</w:t>
      </w:r>
      <w:r w:rsidRPr="007B59FE">
        <w:rPr>
          <w:i/>
        </w:rPr>
        <w:t>Athens News</w:t>
      </w:r>
      <w:r>
        <w:t>”</w:t>
      </w:r>
      <w:r w:rsidRPr="000F2367">
        <w:t>.</w:t>
      </w:r>
    </w:p>
    <w:p w:rsidR="00C32586" w:rsidRDefault="00C32586" w:rsidP="00387350">
      <w:pPr>
        <w:pStyle w:val="NormalWeb"/>
        <w:jc w:val="both"/>
      </w:pPr>
      <w:r>
        <w:t>“</w:t>
      </w:r>
      <w:r w:rsidRPr="000F2367">
        <w:t>La Policía no me conoce. Nunca he tocado la bebida en mi vida. Nunca he soñado con mujeres ni con drogas y nunca he estado en una cafetería. Solo trabajé todo el día. Pero cometí un crimen horrendo: me hice profesional a los 4</w:t>
      </w:r>
      <w:r>
        <w:t>0 años y me hundí en las deudas”</w:t>
      </w:r>
      <w:r w:rsidRPr="000F2367">
        <w:t>, dice la nota</w:t>
      </w:r>
      <w:r>
        <w:t>..</w:t>
      </w:r>
      <w:r w:rsidRPr="000F2367">
        <w:t>.</w:t>
      </w:r>
    </w:p>
    <w:p w:rsidR="00C32586" w:rsidRPr="00D06998" w:rsidRDefault="00C32586" w:rsidP="00387350">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w:t>
      </w:r>
      <w:r w:rsidRPr="009C764F">
        <w:rPr>
          <w:rFonts w:ascii="Times New Roman" w:hAnsi="Times New Roman"/>
          <w:sz w:val="24"/>
          <w:szCs w:val="24"/>
          <w:u w:val="single"/>
        </w:rPr>
        <w:t>Estoy de más; e</w:t>
      </w:r>
      <w:r>
        <w:rPr>
          <w:rFonts w:ascii="Times New Roman" w:hAnsi="Times New Roman"/>
          <w:sz w:val="24"/>
          <w:szCs w:val="24"/>
          <w:u w:val="single"/>
        </w:rPr>
        <w:t>l suicidio es mi única solución”</w:t>
      </w:r>
      <w:r>
        <w:rPr>
          <w:rFonts w:ascii="Times New Roman" w:hAnsi="Times New Roman"/>
          <w:sz w:val="24"/>
          <w:szCs w:val="24"/>
        </w:rPr>
        <w:t xml:space="preserve"> (Gaceta.es - </w:t>
      </w:r>
      <w:r w:rsidRPr="009C764F">
        <w:rPr>
          <w:rFonts w:ascii="Times New Roman" w:hAnsi="Times New Roman"/>
          <w:b/>
          <w:sz w:val="24"/>
          <w:szCs w:val="24"/>
        </w:rPr>
        <w:t>9/7/12</w:t>
      </w:r>
      <w:r>
        <w:rPr>
          <w:rFonts w:ascii="Times New Roman" w:hAnsi="Times New Roman"/>
          <w:sz w:val="24"/>
          <w:szCs w:val="24"/>
        </w:rPr>
        <w:t>)</w:t>
      </w:r>
    </w:p>
    <w:p w:rsidR="00C32586" w:rsidRPr="000F2367" w:rsidRDefault="00C32586" w:rsidP="00387350">
      <w:pPr>
        <w:spacing w:line="240" w:lineRule="auto"/>
        <w:jc w:val="both"/>
        <w:rPr>
          <w:rFonts w:ascii="Times New Roman" w:hAnsi="Times New Roman"/>
          <w:sz w:val="24"/>
          <w:szCs w:val="24"/>
        </w:rPr>
      </w:pPr>
      <w:r w:rsidRPr="000F2367">
        <w:rPr>
          <w:rFonts w:ascii="Times New Roman" w:hAnsi="Times New Roman"/>
          <w:sz w:val="24"/>
          <w:szCs w:val="24"/>
        </w:rPr>
        <w:t xml:space="preserve">Esas fueron las palabras que un ex empleado de France Télécom dedicó a su empresa antes de morir. Como él, 35 trabajadores de la compañía se quitaron la vida en dos años. </w:t>
      </w:r>
    </w:p>
    <w:p w:rsidR="00C32586" w:rsidRDefault="00C32586" w:rsidP="00387350">
      <w:pPr>
        <w:spacing w:line="240" w:lineRule="auto"/>
        <w:jc w:val="both"/>
        <w:rPr>
          <w:rFonts w:ascii="Times New Roman" w:hAnsi="Times New Roman"/>
          <w:sz w:val="24"/>
          <w:szCs w:val="24"/>
        </w:rPr>
      </w:pPr>
      <w:r w:rsidRPr="000F2367">
        <w:rPr>
          <w:rFonts w:ascii="Times New Roman" w:hAnsi="Times New Roman"/>
          <w:sz w:val="24"/>
          <w:szCs w:val="24"/>
        </w:rPr>
        <w:t>“¡El suicidio es la única solución!”, escribió un empleado de France Télécom siete meses antes de quemarse vivo delante de los locales de su oficina, sin que nadie pudiera evitarlo. En una carta de seis páginas dirigida a la presidencia de la empresa y al Estado accionista a finales de 2009, el trabajador de 57 años de edad y padre de cuatro hijos explicaba las razones que le impulsaron a tomar la trágica decisión. En el texto, describió un ambiente laboral “endémico” debido al plan de reestructuración drástico que provocó 22.000 despidos y 10.000 traslados. La carta del empleado, publicada tras su muerte y que conmocionó al país, hacía referencia al “acoso” en el nuevo puesto que ocupaba después de su traslado forzado. “Estoy de más”, concluía en una llamada desesperada. Pero su grito de alarma nunca obtuvo respuesta y en abril de 2010 el empleado se suicidó</w:t>
      </w:r>
      <w:r>
        <w:rPr>
          <w:rFonts w:ascii="Times New Roman" w:hAnsi="Times New Roman"/>
          <w:sz w:val="24"/>
          <w:szCs w:val="24"/>
        </w:rPr>
        <w:t>..</w:t>
      </w:r>
      <w:r w:rsidRPr="000F2367">
        <w:rPr>
          <w:rFonts w:ascii="Times New Roman" w:hAnsi="Times New Roman"/>
          <w:sz w:val="24"/>
          <w:szCs w:val="24"/>
        </w:rPr>
        <w:t>.</w:t>
      </w:r>
    </w:p>
    <w:p w:rsidR="00C32586" w:rsidRPr="00380D99" w:rsidRDefault="00C32586"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066105">
        <w:rPr>
          <w:rFonts w:ascii="Times New Roman" w:hAnsi="Times New Roman"/>
          <w:sz w:val="24"/>
          <w:szCs w:val="24"/>
          <w:u w:val="single"/>
        </w:rPr>
        <w:t>Polémica en Europa por cunas para abandonar bebés</w:t>
      </w:r>
      <w:r>
        <w:rPr>
          <w:rFonts w:ascii="Times New Roman" w:hAnsi="Times New Roman"/>
          <w:sz w:val="24"/>
          <w:szCs w:val="24"/>
        </w:rPr>
        <w:t xml:space="preserve"> (BBCMundo - </w:t>
      </w:r>
      <w:r w:rsidRPr="00066105">
        <w:rPr>
          <w:rFonts w:ascii="Times New Roman" w:hAnsi="Times New Roman"/>
          <w:b/>
          <w:sz w:val="24"/>
          <w:szCs w:val="24"/>
        </w:rPr>
        <w:t>10/7/12</w:t>
      </w:r>
      <w:r>
        <w:rPr>
          <w:rFonts w:ascii="Times New Roman" w:hAnsi="Times New Roman"/>
          <w:sz w:val="24"/>
          <w:szCs w:val="24"/>
        </w:rPr>
        <w:t>)</w:t>
      </w:r>
    </w:p>
    <w:p w:rsidR="00C32586" w:rsidRPr="000F2367" w:rsidRDefault="00C32586" w:rsidP="00387350">
      <w:pPr>
        <w:spacing w:line="240" w:lineRule="auto"/>
        <w:jc w:val="both"/>
        <w:rPr>
          <w:rFonts w:ascii="Times New Roman" w:hAnsi="Times New Roman"/>
          <w:sz w:val="24"/>
          <w:szCs w:val="24"/>
        </w:rPr>
      </w:pPr>
      <w:r w:rsidRPr="000F2367">
        <w:rPr>
          <w:rFonts w:ascii="Times New Roman" w:hAnsi="Times New Roman"/>
          <w:sz w:val="24"/>
          <w:szCs w:val="24"/>
        </w:rPr>
        <w:t>A la vera de una tranquila calle de un suburbio de Berlín, un cartel con una flecha apunta hacia un sendero que se abre paso ent</w:t>
      </w:r>
      <w:r w:rsidR="002E6E34">
        <w:rPr>
          <w:rFonts w:ascii="Times New Roman" w:hAnsi="Times New Roman"/>
          <w:sz w:val="24"/>
          <w:szCs w:val="24"/>
        </w:rPr>
        <w:t>re los árboles. El cartel dice “Babywiege”</w:t>
      </w:r>
      <w:r w:rsidRPr="000F2367">
        <w:rPr>
          <w:rFonts w:ascii="Times New Roman" w:hAnsi="Times New Roman"/>
          <w:sz w:val="24"/>
          <w:szCs w:val="24"/>
        </w:rPr>
        <w:t>, en español: cuna.</w:t>
      </w:r>
    </w:p>
    <w:p w:rsidR="00C32586" w:rsidRPr="000F2367" w:rsidRDefault="00C32586" w:rsidP="00387350">
      <w:pPr>
        <w:spacing w:line="240" w:lineRule="auto"/>
        <w:jc w:val="both"/>
        <w:rPr>
          <w:rFonts w:ascii="Times New Roman" w:hAnsi="Times New Roman"/>
          <w:sz w:val="24"/>
          <w:szCs w:val="24"/>
        </w:rPr>
      </w:pPr>
      <w:r w:rsidRPr="000F2367">
        <w:rPr>
          <w:rFonts w:ascii="Times New Roman" w:hAnsi="Times New Roman"/>
          <w:sz w:val="24"/>
          <w:szCs w:val="24"/>
        </w:rPr>
        <w:t>Al final del camino hay una caja de acero inoxidable con una manija. Dentro de la caja hay un par de pequeñas mantas prolijamente dobladas para abrigar al recién nacido. La cálida temperatura del contenedor es tranquilizadora. En su interior también hay una carta con indicaciones de qué hacer si uno cambia de opinión.</w:t>
      </w:r>
    </w:p>
    <w:p w:rsidR="00C32586" w:rsidRDefault="00C32586" w:rsidP="00387350">
      <w:pPr>
        <w:spacing w:line="240" w:lineRule="auto"/>
        <w:jc w:val="both"/>
        <w:rPr>
          <w:rFonts w:ascii="Times New Roman" w:hAnsi="Times New Roman"/>
          <w:sz w:val="24"/>
          <w:szCs w:val="24"/>
        </w:rPr>
      </w:pPr>
      <w:r w:rsidRPr="000F2367">
        <w:rPr>
          <w:rFonts w:ascii="Times New Roman" w:hAnsi="Times New Roman"/>
          <w:sz w:val="24"/>
          <w:szCs w:val="24"/>
        </w:rPr>
        <w:t>Alrededor de dos veces al año, alguien -posiblemente una mujer- camina por esta recluida senda que conduce a la parte trasera del Hospital Waldfriede para dejar allí a un bebé nacido tal vez en secreto y pocas horas antes. Esta persona -posiblemente su madre- se marcha luego de allí. Ya no volverá a ver al recién nacido. Cuando éste crezca, no sabrá quién fue su madre</w:t>
      </w:r>
      <w:r>
        <w:rPr>
          <w:rFonts w:ascii="Times New Roman" w:hAnsi="Times New Roman"/>
          <w:sz w:val="24"/>
          <w:szCs w:val="24"/>
        </w:rPr>
        <w:t>..</w:t>
      </w:r>
      <w:r w:rsidRPr="000F2367">
        <w:rPr>
          <w:rFonts w:ascii="Times New Roman" w:hAnsi="Times New Roman"/>
          <w:sz w:val="24"/>
          <w:szCs w:val="24"/>
        </w:rPr>
        <w:t>.</w:t>
      </w:r>
    </w:p>
    <w:p w:rsidR="00C32586" w:rsidRDefault="00C32586" w:rsidP="00387350">
      <w:pPr>
        <w:pStyle w:val="NormalWeb"/>
        <w:jc w:val="both"/>
      </w:pPr>
      <w:r>
        <w:t xml:space="preserve">- </w:t>
      </w:r>
      <w:r w:rsidRPr="0064097B">
        <w:rPr>
          <w:u w:val="single"/>
        </w:rPr>
        <w:t>Los griegos cortan sus árboles en busca de calor</w:t>
      </w:r>
      <w:r>
        <w:t xml:space="preserve"> (BBCMundo - </w:t>
      </w:r>
      <w:r w:rsidRPr="0064097B">
        <w:rPr>
          <w:b/>
        </w:rPr>
        <w:t>3/2/13</w:t>
      </w:r>
      <w:r>
        <w:t>)</w:t>
      </w:r>
    </w:p>
    <w:p w:rsidR="00C32586" w:rsidRPr="000F2367" w:rsidRDefault="00C32586" w:rsidP="00387350">
      <w:pPr>
        <w:pStyle w:val="NormalWeb"/>
        <w:jc w:val="both"/>
      </w:pPr>
      <w:r w:rsidRPr="000F2367">
        <w:t>La tala ilegal en el hogar de los antiguos dioses griegos, según la mitología, se ha incrementado 300%. Al aumentar un tercio el costo del combustible para calefacción, muchos recurren a la madera del monte.</w:t>
      </w:r>
    </w:p>
    <w:p w:rsidR="00C32586" w:rsidRPr="000F2367" w:rsidRDefault="00C32586" w:rsidP="00387350">
      <w:pPr>
        <w:pStyle w:val="NormalWeb"/>
        <w:jc w:val="both"/>
      </w:pPr>
      <w:r w:rsidRPr="000F2367">
        <w:t>El hogar de los antiguos dioses griegos está cubierto de nieve. El camino empinado y las laderas que conducen al monte Olimpo, atraviesa un bosque exuberante y fértil. Sin embargo, ahora la vegetación está mostrando algunos espacios vacíos: los restos de árboles preciosos que ya no están.</w:t>
      </w:r>
    </w:p>
    <w:p w:rsidR="00C32586" w:rsidRDefault="00C32586" w:rsidP="00387350">
      <w:pPr>
        <w:pStyle w:val="NormalWeb"/>
        <w:jc w:val="both"/>
      </w:pPr>
      <w:r w:rsidRPr="000F2367">
        <w:t>Se trata de una de las peores talas ilegales de Grecia. La práctica, en este lugar, ha aumentado en más de 300% en el último año, luego de que un nuevo impuesto provocara el alza (de más de un tercio) del precio del aceite para la calefacción. La gente que ya no puede pagarlo está buscando madera que le ayude a calentar su hogar</w:t>
      </w:r>
      <w:r>
        <w:t>…</w:t>
      </w:r>
    </w:p>
    <w:p w:rsidR="00C92374" w:rsidRDefault="00C92374" w:rsidP="00387350">
      <w:pPr>
        <w:pStyle w:val="NormalWeb"/>
        <w:jc w:val="both"/>
      </w:pPr>
    </w:p>
    <w:p w:rsidR="00C32586" w:rsidRDefault="00C32586" w:rsidP="00387350">
      <w:pPr>
        <w:pStyle w:val="NormalWeb"/>
        <w:jc w:val="both"/>
      </w:pPr>
      <w:r>
        <w:rPr>
          <w:u w:val="single"/>
        </w:rPr>
        <w:lastRenderedPageBreak/>
        <w:t>El “súperbecario”</w:t>
      </w:r>
      <w:r w:rsidRPr="00AE1F80">
        <w:rPr>
          <w:u w:val="single"/>
        </w:rPr>
        <w:t xml:space="preserve"> o la lucha mezquina por un trabajo en la jungla empresarial</w:t>
      </w:r>
      <w:r>
        <w:t xml:space="preserve"> (El Confidencial - </w:t>
      </w:r>
      <w:r w:rsidRPr="00AE1F80">
        <w:rPr>
          <w:b/>
        </w:rPr>
        <w:t>3/9/13</w:t>
      </w:r>
      <w:r>
        <w:t>)</w:t>
      </w:r>
    </w:p>
    <w:p w:rsidR="00C32586" w:rsidRDefault="00C32586" w:rsidP="00387350">
      <w:pPr>
        <w:pStyle w:val="NormalWeb"/>
        <w:jc w:val="both"/>
      </w:pPr>
      <w:r>
        <w:t xml:space="preserve">La alarma la ha disparado </w:t>
      </w:r>
      <w:hyperlink r:id="rId370" w:tgtFrame="_blank" w:history="1">
        <w:r w:rsidRPr="00C1767D">
          <w:rPr>
            <w:rStyle w:val="Hipervnculo"/>
            <w:color w:val="auto"/>
            <w:u w:val="none"/>
          </w:rPr>
          <w:t xml:space="preserve">la muerte de </w:t>
        </w:r>
        <w:r w:rsidRPr="00C1767D">
          <w:rPr>
            <w:rStyle w:val="Textoennegrita"/>
            <w:b w:val="0"/>
          </w:rPr>
          <w:t>Moritz Erhardt</w:t>
        </w:r>
      </w:hyperlink>
      <w:r>
        <w:t>, joven de 21 años que trabajaba como becario en la sucursal que el Bank of America Merrill Lynch tenía en Londres. Erhardt falleció en la ducha tras haber trabajado 72 horas seguidas, y el acontecimiento hizo que la empresa anunciara una inminente revisión en las condiciones laborales que padecían los trabajadores en prácticas.</w:t>
      </w:r>
    </w:p>
    <w:p w:rsidR="00C32586" w:rsidRPr="00C1767D" w:rsidRDefault="00C32586" w:rsidP="00387350">
      <w:pPr>
        <w:pStyle w:val="NormalWeb"/>
        <w:jc w:val="both"/>
      </w:pPr>
      <w:r w:rsidRPr="00C1767D">
        <w:t xml:space="preserve">El caso de Erhardt ha puesto cara al feroz mundo financiero, en el que los trabajos cada vez son más escasos y la competitividad entre los jóvenes por obtener el premio final no conoce límites. Es lo que se ha dado a llamar </w:t>
      </w:r>
      <w:r w:rsidRPr="00C1767D">
        <w:rPr>
          <w:rStyle w:val="Textoennegrita"/>
          <w:b w:val="0"/>
        </w:rPr>
        <w:t>el “súperbecario”, ese perfil de joven muy cualificado, talentoso, obsesivo con el trabajo y dispuesto a trabajar un número incontable de horas en las condiciones que sean necesarias</w:t>
      </w:r>
      <w:r w:rsidRPr="00C1767D">
        <w:t xml:space="preserve"> para salir victorioso (si sale). De hecho, se ha señalado que el lema que presidía el perfil en línea de Ehardt era “La mejora constante y la búsqueda de la excelencia”.</w:t>
      </w:r>
    </w:p>
    <w:p w:rsidR="00C32586" w:rsidRDefault="00C32586" w:rsidP="00387350">
      <w:pPr>
        <w:pStyle w:val="NormalWeb"/>
        <w:jc w:val="both"/>
      </w:pPr>
      <w:r w:rsidRPr="00C1767D">
        <w:t xml:space="preserve">No ha quedado aún claro si el fallecido becario tenía una condición médica que ha contribuido a su muerte, pero lo que es un hecho es que estos jóvenes tienen que demostrar una resistencia asombrosa. </w:t>
      </w:r>
      <w:r w:rsidRPr="00C1767D">
        <w:rPr>
          <w:rStyle w:val="Textoennegrita"/>
          <w:b w:val="0"/>
        </w:rPr>
        <w:t>Una de las prácticas más comunes es la que se llama popularmente como “la rotonda de la magia</w:t>
      </w:r>
      <w:r w:rsidRPr="00C1767D">
        <w:rPr>
          <w:rStyle w:val="Textoennegrita"/>
        </w:rPr>
        <w:t>”</w:t>
      </w:r>
      <w:r w:rsidRPr="00C1767D">
        <w:t xml:space="preserve">: el becario en cuestión, tras 24 horas de trabajo intenso, coge un taxi camino de su casa y, una vez en el portal, le pide al taxista que espere; el joven sube, se pega una ducha veloz, un rápido lavado de dientes y en un abrir y cerrar de ojos se halla de nuevo en el asiento trasero del vehículo, pidiéndole al taxista que le devuelva a su lugar de trabajo para empezar una nueva jornada. </w:t>
      </w:r>
      <w:r w:rsidRPr="00C1767D">
        <w:rPr>
          <w:rStyle w:val="Textoennegrita"/>
          <w:b w:val="0"/>
        </w:rPr>
        <w:t>Jonathan</w:t>
      </w:r>
      <w:r w:rsidRPr="00C1767D">
        <w:t>, un abogado que pasó por la becaría, afirma que no sólo es una locura sino, también, muy triste: “Prácticamente sólo hablas con los taxistas, que acaban llamándote por tu nombre de pila”</w:t>
      </w:r>
      <w:r>
        <w:t>…</w:t>
      </w:r>
    </w:p>
    <w:p w:rsidR="00C32586" w:rsidRPr="00C1767D" w:rsidRDefault="00C32586" w:rsidP="00387350">
      <w:pPr>
        <w:pStyle w:val="NormalWeb"/>
        <w:jc w:val="both"/>
        <w:rPr>
          <w:u w:val="single"/>
          <w:lang w:val="en-US"/>
        </w:rPr>
      </w:pPr>
      <w:r w:rsidRPr="00C1767D">
        <w:rPr>
          <w:u w:val="single"/>
          <w:lang w:val="en-US"/>
        </w:rPr>
        <w:t>The sound and the fury (algunos titulares impactantes)</w:t>
      </w:r>
    </w:p>
    <w:p w:rsidR="00C32586" w:rsidRPr="009A1F92" w:rsidRDefault="00C32586" w:rsidP="00387350">
      <w:pPr>
        <w:spacing w:line="240" w:lineRule="auto"/>
        <w:jc w:val="both"/>
        <w:rPr>
          <w:rFonts w:ascii="Times New Roman" w:hAnsi="Times New Roman" w:cs="Times New Roman"/>
          <w:sz w:val="24"/>
          <w:szCs w:val="24"/>
        </w:rPr>
      </w:pPr>
      <w:r w:rsidRPr="009A1F92">
        <w:rPr>
          <w:rFonts w:ascii="Times New Roman" w:hAnsi="Times New Roman" w:cs="Times New Roman"/>
          <w:sz w:val="24"/>
          <w:szCs w:val="24"/>
        </w:rPr>
        <w:t xml:space="preserve">- </w:t>
      </w:r>
      <w:r w:rsidRPr="009A1F92">
        <w:rPr>
          <w:rFonts w:ascii="Times New Roman" w:hAnsi="Times New Roman" w:cs="Times New Roman"/>
          <w:sz w:val="24"/>
          <w:szCs w:val="24"/>
          <w:u w:val="single"/>
        </w:rPr>
        <w:t>Una semana de furia</w:t>
      </w:r>
      <w:r w:rsidRPr="009A1F92">
        <w:rPr>
          <w:rFonts w:ascii="Times New Roman" w:hAnsi="Times New Roman" w:cs="Times New Roman"/>
          <w:sz w:val="24"/>
          <w:szCs w:val="24"/>
        </w:rPr>
        <w:t xml:space="preserve"> (El País - </w:t>
      </w:r>
      <w:r w:rsidRPr="009A1F92">
        <w:rPr>
          <w:rFonts w:ascii="Times New Roman" w:hAnsi="Times New Roman" w:cs="Times New Roman"/>
          <w:b/>
          <w:sz w:val="24"/>
          <w:szCs w:val="24"/>
        </w:rPr>
        <w:t>14/8/11</w:t>
      </w:r>
      <w:r w:rsidRPr="009A1F92">
        <w:rPr>
          <w:rFonts w:ascii="Times New Roman" w:hAnsi="Times New Roman" w:cs="Times New Roman"/>
          <w:sz w:val="24"/>
          <w:szCs w:val="24"/>
        </w:rPr>
        <w:t>)</w:t>
      </w:r>
    </w:p>
    <w:p w:rsidR="00C32586" w:rsidRPr="009A1F92" w:rsidRDefault="00C32586" w:rsidP="00387350">
      <w:pPr>
        <w:spacing w:line="240" w:lineRule="auto"/>
        <w:jc w:val="both"/>
        <w:rPr>
          <w:rFonts w:ascii="Times New Roman" w:hAnsi="Times New Roman" w:cs="Times New Roman"/>
          <w:sz w:val="24"/>
          <w:szCs w:val="24"/>
        </w:rPr>
      </w:pPr>
      <w:r w:rsidRPr="009A1F92">
        <w:rPr>
          <w:rFonts w:ascii="Times New Roman" w:hAnsi="Times New Roman" w:cs="Times New Roman"/>
          <w:sz w:val="24"/>
          <w:szCs w:val="24"/>
        </w:rPr>
        <w:t xml:space="preserve">Los disturbios de Inglaterra son difíciles de comprender porque encierran diversos fenómenos a la vez. Algunos, conocidos: pobreza, delincuencia, exclusión social y compleja integración de las minorías étnicas. ¿Pero por qué había también jóvenes acomodados entre los alborotadores? </w:t>
      </w:r>
    </w:p>
    <w:p w:rsidR="00C32586" w:rsidRPr="00666584" w:rsidRDefault="00C32586"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666584">
        <w:rPr>
          <w:rFonts w:ascii="Times New Roman" w:eastAsia="Times New Roman" w:hAnsi="Times New Roman"/>
          <w:sz w:val="24"/>
          <w:szCs w:val="24"/>
          <w:u w:val="single"/>
          <w:lang w:eastAsia="es-ES"/>
        </w:rPr>
        <w:t>A la turba le sirve cualquier causa</w:t>
      </w:r>
      <w:r>
        <w:rPr>
          <w:rFonts w:ascii="Times New Roman" w:eastAsia="Times New Roman" w:hAnsi="Times New Roman"/>
          <w:sz w:val="24"/>
          <w:szCs w:val="24"/>
          <w:lang w:eastAsia="es-ES"/>
        </w:rPr>
        <w:t xml:space="preserve"> (El País - </w:t>
      </w:r>
      <w:r w:rsidRPr="00666584">
        <w:rPr>
          <w:rFonts w:ascii="Times New Roman" w:eastAsia="Times New Roman" w:hAnsi="Times New Roman"/>
          <w:b/>
          <w:sz w:val="24"/>
          <w:szCs w:val="24"/>
          <w:lang w:eastAsia="es-ES"/>
        </w:rPr>
        <w:t>20/8/11</w:t>
      </w:r>
      <w:r>
        <w:rPr>
          <w:rFonts w:ascii="Times New Roman" w:eastAsia="Times New Roman" w:hAnsi="Times New Roman"/>
          <w:sz w:val="24"/>
          <w:szCs w:val="24"/>
          <w:lang w:eastAsia="es-ES"/>
        </w:rPr>
        <w:t>)</w:t>
      </w:r>
    </w:p>
    <w:p w:rsidR="00C32586" w:rsidRDefault="00C32586" w:rsidP="00387350">
      <w:pPr>
        <w:spacing w:before="100" w:beforeAutospacing="1" w:after="100" w:afterAutospacing="1" w:line="240" w:lineRule="auto"/>
        <w:jc w:val="both"/>
        <w:rPr>
          <w:rFonts w:ascii="Times New Roman" w:eastAsia="Times New Roman" w:hAnsi="Times New Roman"/>
          <w:sz w:val="24"/>
          <w:szCs w:val="24"/>
          <w:lang w:eastAsia="es-ES"/>
        </w:rPr>
      </w:pPr>
      <w:r w:rsidRPr="00C1767D">
        <w:rPr>
          <w:rFonts w:ascii="Times New Roman" w:eastAsia="Times New Roman" w:hAnsi="Times New Roman"/>
          <w:sz w:val="24"/>
          <w:szCs w:val="24"/>
          <w:lang w:eastAsia="es-ES"/>
        </w:rPr>
        <w:t>Ni la pobreza ni el racismo, pueden explicar por s</w:t>
      </w:r>
      <w:r>
        <w:rPr>
          <w:rFonts w:ascii="Times New Roman" w:eastAsia="Times New Roman" w:hAnsi="Times New Roman"/>
          <w:sz w:val="24"/>
          <w:szCs w:val="24"/>
          <w:lang w:eastAsia="es-ES"/>
        </w:rPr>
        <w:t>í solos los saqueos de Londres.</w:t>
      </w:r>
      <w:r w:rsidRPr="00C1767D">
        <w:rPr>
          <w:rFonts w:ascii="Times New Roman" w:eastAsia="Times New Roman" w:hAnsi="Times New Roman"/>
          <w:sz w:val="24"/>
          <w:szCs w:val="24"/>
          <w:lang w:eastAsia="es-ES"/>
        </w:rPr>
        <w:t xml:space="preserve"> Robaron por ig</w:t>
      </w:r>
      <w:r>
        <w:rPr>
          <w:rFonts w:ascii="Times New Roman" w:eastAsia="Times New Roman" w:hAnsi="Times New Roman"/>
          <w:sz w:val="24"/>
          <w:szCs w:val="24"/>
          <w:lang w:eastAsia="es-ES"/>
        </w:rPr>
        <w:t xml:space="preserve">ual pandilleros y clase media. </w:t>
      </w:r>
      <w:r w:rsidRPr="00C1767D">
        <w:rPr>
          <w:rFonts w:ascii="Times New Roman" w:eastAsia="Times New Roman" w:hAnsi="Times New Roman"/>
          <w:sz w:val="24"/>
          <w:szCs w:val="24"/>
          <w:lang w:eastAsia="es-ES"/>
        </w:rPr>
        <w:t>Los analistas alertan, como Cameron, de una falta de cohesión moral</w:t>
      </w:r>
      <w:r>
        <w:rPr>
          <w:rFonts w:ascii="Times New Roman" w:eastAsia="Times New Roman" w:hAnsi="Times New Roman"/>
          <w:sz w:val="24"/>
          <w:szCs w:val="24"/>
          <w:lang w:eastAsia="es-ES"/>
        </w:rPr>
        <w:t>…</w:t>
      </w:r>
    </w:p>
    <w:p w:rsidR="00C32586" w:rsidRDefault="00C32586" w:rsidP="00387350">
      <w:pPr>
        <w:spacing w:before="100" w:beforeAutospacing="1" w:after="100" w:afterAutospacing="1" w:line="240" w:lineRule="auto"/>
        <w:jc w:val="both"/>
        <w:rPr>
          <w:rFonts w:ascii="Times New Roman" w:eastAsia="Times New Roman" w:hAnsi="Times New Roman"/>
          <w:sz w:val="24"/>
          <w:szCs w:val="24"/>
          <w:lang w:eastAsia="es-ES"/>
        </w:rPr>
      </w:pPr>
      <w:r w:rsidRPr="00C1767D">
        <w:rPr>
          <w:rFonts w:ascii="Times New Roman" w:eastAsia="Times New Roman" w:hAnsi="Times New Roman"/>
          <w:sz w:val="24"/>
          <w:szCs w:val="24"/>
          <w:lang w:eastAsia="es-ES"/>
        </w:rPr>
        <w:t xml:space="preserve">Los expertos destacan la importancia de las circunstancias que subyacen en estallidos de violencia como el de Inglaterra, que entre el 6 y el 10 de agosto se propagó desde Londres hasta Manchester, Nottingham y otras ciudades. Dejó cinco muertos y pérdidas que se elevan a 230 millones de euros. </w:t>
      </w:r>
      <w:r>
        <w:rPr>
          <w:rFonts w:ascii="Times New Roman" w:eastAsia="Times New Roman" w:hAnsi="Times New Roman"/>
          <w:sz w:val="24"/>
          <w:szCs w:val="24"/>
          <w:lang w:eastAsia="es-ES"/>
        </w:rPr>
        <w:t>“</w:t>
      </w:r>
      <w:r w:rsidRPr="00C1767D">
        <w:rPr>
          <w:rFonts w:ascii="Times New Roman" w:eastAsia="Times New Roman" w:hAnsi="Times New Roman"/>
          <w:sz w:val="24"/>
          <w:szCs w:val="24"/>
          <w:lang w:eastAsia="es-ES"/>
        </w:rPr>
        <w:t>Las revueltas juveniles en la Europa de hoy, y eso vale para la de los suburbios franceses de 2005, la de los airados griegos de 2008 y la de los indignados ibéricos y los suburbios ingleses de 2011, no son revueltas d</w:t>
      </w:r>
      <w:r>
        <w:rPr>
          <w:rFonts w:ascii="Times New Roman" w:eastAsia="Times New Roman" w:hAnsi="Times New Roman"/>
          <w:sz w:val="24"/>
          <w:szCs w:val="24"/>
          <w:lang w:eastAsia="es-ES"/>
        </w:rPr>
        <w:t xml:space="preserve">e la </w:t>
      </w:r>
      <w:r>
        <w:rPr>
          <w:rFonts w:ascii="Times New Roman" w:eastAsia="Times New Roman" w:hAnsi="Times New Roman"/>
          <w:sz w:val="24"/>
          <w:szCs w:val="24"/>
          <w:lang w:eastAsia="es-ES"/>
        </w:rPr>
        <w:lastRenderedPageBreak/>
        <w:t>miseria sino del bienestar”</w:t>
      </w:r>
      <w:r w:rsidRPr="00C1767D">
        <w:rPr>
          <w:rFonts w:ascii="Times New Roman" w:eastAsia="Times New Roman" w:hAnsi="Times New Roman"/>
          <w:sz w:val="24"/>
          <w:szCs w:val="24"/>
          <w:lang w:eastAsia="es-ES"/>
        </w:rPr>
        <w:t xml:space="preserve">, razona Carles Feixa, catedrático de Antropología Social de la Universidad de Lleida. </w:t>
      </w:r>
      <w:r>
        <w:rPr>
          <w:rFonts w:ascii="Times New Roman" w:eastAsia="Times New Roman" w:hAnsi="Times New Roman"/>
          <w:sz w:val="24"/>
          <w:szCs w:val="24"/>
          <w:lang w:eastAsia="es-ES"/>
        </w:rPr>
        <w:t>“</w:t>
      </w:r>
      <w:r w:rsidRPr="00C1767D">
        <w:rPr>
          <w:rFonts w:ascii="Times New Roman" w:eastAsia="Times New Roman" w:hAnsi="Times New Roman"/>
          <w:sz w:val="24"/>
          <w:szCs w:val="24"/>
          <w:lang w:eastAsia="es-ES"/>
        </w:rPr>
        <w:t>No surgen por problemas de subsistencia material, sino por problemas de cohesión moral; por crisis de valores o más bien por nuevos valores que se visibilizan con la crisis. Los valores con los que las nuevas generaciones han sido educadas, que ya no son los de la ética puritana del ahorro sino los de la ética hedonista del consumo, se ponen en duda en momentos de crisis, pues la promesa del ascensor social desaparece de golpe. Eso vale tanto para los jóvenes pobres como para la clase media: todos ven sus expectativas en ries</w:t>
      </w:r>
      <w:r>
        <w:rPr>
          <w:rFonts w:ascii="Times New Roman" w:eastAsia="Times New Roman" w:hAnsi="Times New Roman"/>
          <w:sz w:val="24"/>
          <w:szCs w:val="24"/>
          <w:lang w:eastAsia="es-ES"/>
        </w:rPr>
        <w:t>go”</w:t>
      </w:r>
      <w:r w:rsidRPr="00C1767D">
        <w:rPr>
          <w:rFonts w:ascii="Times New Roman" w:eastAsia="Times New Roman" w:hAnsi="Times New Roman"/>
          <w:sz w:val="24"/>
          <w:szCs w:val="24"/>
          <w:lang w:eastAsia="es-ES"/>
        </w:rPr>
        <w:t>, añade</w:t>
      </w:r>
      <w:r w:rsidR="00C92374">
        <w:rPr>
          <w:rFonts w:ascii="Times New Roman" w:eastAsia="Times New Roman" w:hAnsi="Times New Roman"/>
          <w:sz w:val="24"/>
          <w:szCs w:val="24"/>
          <w:lang w:eastAsia="es-ES"/>
        </w:rPr>
        <w:t>…</w:t>
      </w:r>
    </w:p>
    <w:p w:rsidR="00C32586" w:rsidRPr="0054382D" w:rsidRDefault="00C32586" w:rsidP="00387350">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Los “indignados”</w:t>
      </w:r>
      <w:r w:rsidRPr="0054382D">
        <w:rPr>
          <w:rFonts w:ascii="Times New Roman" w:hAnsi="Times New Roman"/>
          <w:sz w:val="24"/>
          <w:szCs w:val="24"/>
          <w:u w:val="single"/>
        </w:rPr>
        <w:t xml:space="preserve"> de Nueva York t</w:t>
      </w:r>
      <w:r>
        <w:rPr>
          <w:rFonts w:ascii="Times New Roman" w:hAnsi="Times New Roman"/>
          <w:sz w:val="24"/>
          <w:szCs w:val="24"/>
          <w:u w:val="single"/>
        </w:rPr>
        <w:t>oman Wall Street para quedarse “durante meses”</w:t>
      </w:r>
      <w:r>
        <w:rPr>
          <w:rFonts w:ascii="Times New Roman" w:hAnsi="Times New Roman"/>
          <w:sz w:val="24"/>
          <w:szCs w:val="24"/>
        </w:rPr>
        <w:t xml:space="preserve"> (Gaceta.es - </w:t>
      </w:r>
      <w:r w:rsidRPr="0054382D">
        <w:rPr>
          <w:rFonts w:ascii="Times New Roman" w:hAnsi="Times New Roman"/>
          <w:b/>
          <w:sz w:val="24"/>
          <w:szCs w:val="24"/>
        </w:rPr>
        <w:t>17/9/11</w:t>
      </w:r>
      <w:r>
        <w:rPr>
          <w:rFonts w:ascii="Times New Roman" w:hAnsi="Times New Roman"/>
          <w:sz w:val="24"/>
          <w:szCs w:val="24"/>
        </w:rPr>
        <w:t>)</w:t>
      </w:r>
    </w:p>
    <w:p w:rsidR="00C32586" w:rsidRPr="00C1767D" w:rsidRDefault="00C32586" w:rsidP="00387350">
      <w:pPr>
        <w:spacing w:line="240" w:lineRule="auto"/>
        <w:jc w:val="both"/>
        <w:rPr>
          <w:rFonts w:ascii="Times New Roman" w:hAnsi="Times New Roman"/>
          <w:sz w:val="24"/>
          <w:szCs w:val="24"/>
        </w:rPr>
      </w:pPr>
      <w:r w:rsidRPr="00C1767D">
        <w:rPr>
          <w:rFonts w:ascii="Times New Roman" w:hAnsi="Times New Roman"/>
          <w:sz w:val="24"/>
          <w:szCs w:val="24"/>
        </w:rPr>
        <w:t>Cientos de manifestantes se dieron cita en el sur de Manhattan para ocupar las calles del ce</w:t>
      </w:r>
      <w:r>
        <w:rPr>
          <w:rFonts w:ascii="Times New Roman" w:hAnsi="Times New Roman"/>
          <w:sz w:val="24"/>
          <w:szCs w:val="24"/>
        </w:rPr>
        <w:t>ntro financiero de Wall Street “durante meses”</w:t>
      </w:r>
      <w:r w:rsidRPr="00C1767D">
        <w:rPr>
          <w:rFonts w:ascii="Times New Roman" w:hAnsi="Times New Roman"/>
          <w:sz w:val="24"/>
          <w:szCs w:val="24"/>
        </w:rPr>
        <w:t>, insp</w:t>
      </w:r>
      <w:r>
        <w:rPr>
          <w:rFonts w:ascii="Times New Roman" w:hAnsi="Times New Roman"/>
          <w:sz w:val="24"/>
          <w:szCs w:val="24"/>
        </w:rPr>
        <w:t>irados por las protestas de la “primavera árabe” y de los “indignados”</w:t>
      </w:r>
      <w:r w:rsidRPr="00C1767D">
        <w:rPr>
          <w:rFonts w:ascii="Times New Roman" w:hAnsi="Times New Roman"/>
          <w:sz w:val="24"/>
          <w:szCs w:val="24"/>
        </w:rPr>
        <w:t xml:space="preserve"> en España. </w:t>
      </w:r>
    </w:p>
    <w:p w:rsidR="00C32586" w:rsidRPr="00C1767D" w:rsidRDefault="00C32586" w:rsidP="00387350">
      <w:pPr>
        <w:spacing w:line="240" w:lineRule="auto"/>
        <w:jc w:val="both"/>
        <w:rPr>
          <w:rFonts w:ascii="Times New Roman" w:hAnsi="Times New Roman"/>
          <w:sz w:val="24"/>
          <w:szCs w:val="24"/>
        </w:rPr>
      </w:pPr>
      <w:r w:rsidRPr="00C1767D">
        <w:rPr>
          <w:rFonts w:ascii="Times New Roman" w:hAnsi="Times New Roman"/>
          <w:sz w:val="24"/>
          <w:szCs w:val="24"/>
        </w:rPr>
        <w:t>Hacia el mediodía en Nueva Yo</w:t>
      </w:r>
      <w:r>
        <w:rPr>
          <w:rFonts w:ascii="Times New Roman" w:hAnsi="Times New Roman"/>
          <w:sz w:val="24"/>
          <w:szCs w:val="24"/>
        </w:rPr>
        <w:t>rk</w:t>
      </w:r>
      <w:r w:rsidRPr="00C1767D">
        <w:rPr>
          <w:rFonts w:ascii="Times New Roman" w:hAnsi="Times New Roman"/>
          <w:sz w:val="24"/>
          <w:szCs w:val="24"/>
        </w:rPr>
        <w:t>, docenas de personas comenzaron a concentrarse en el parque Bowling Green de Nueva York, donde se encuentra la famosa escultura del toro embistiendo que se ha convertido en icono de Wall Street.</w:t>
      </w:r>
    </w:p>
    <w:p w:rsidR="00C32586" w:rsidRDefault="00C32586" w:rsidP="00387350">
      <w:pPr>
        <w:spacing w:line="240" w:lineRule="auto"/>
        <w:jc w:val="both"/>
        <w:rPr>
          <w:rFonts w:ascii="Times New Roman" w:hAnsi="Times New Roman"/>
          <w:sz w:val="24"/>
          <w:szCs w:val="24"/>
        </w:rPr>
      </w:pPr>
      <w:r w:rsidRPr="00C1767D">
        <w:rPr>
          <w:rFonts w:ascii="Times New Roman" w:hAnsi="Times New Roman"/>
          <w:sz w:val="24"/>
          <w:szCs w:val="24"/>
        </w:rPr>
        <w:t xml:space="preserve">Con el lema </w:t>
      </w:r>
      <w:r>
        <w:rPr>
          <w:rFonts w:ascii="Times New Roman" w:hAnsi="Times New Roman"/>
          <w:sz w:val="24"/>
          <w:szCs w:val="24"/>
        </w:rPr>
        <w:t>“Toma al toro por los cuernos”</w:t>
      </w:r>
      <w:r w:rsidRPr="00C1767D">
        <w:rPr>
          <w:rFonts w:ascii="Times New Roman" w:hAnsi="Times New Roman"/>
          <w:sz w:val="24"/>
          <w:szCs w:val="24"/>
        </w:rPr>
        <w:t xml:space="preserve"> en sus panfletos, lo</w:t>
      </w:r>
      <w:r>
        <w:rPr>
          <w:rFonts w:ascii="Times New Roman" w:hAnsi="Times New Roman"/>
          <w:sz w:val="24"/>
          <w:szCs w:val="24"/>
        </w:rPr>
        <w:t>s organizadores del movimiento “Occupy Wall Street” buscaban atraer a “unas 20.000 personas”</w:t>
      </w:r>
      <w:r w:rsidRPr="00C1767D">
        <w:rPr>
          <w:rFonts w:ascii="Times New Roman" w:hAnsi="Times New Roman"/>
          <w:sz w:val="24"/>
          <w:szCs w:val="24"/>
        </w:rPr>
        <w:t xml:space="preserve"> que montaran un campamento con </w:t>
      </w:r>
      <w:r>
        <w:rPr>
          <w:rFonts w:ascii="Times New Roman" w:hAnsi="Times New Roman"/>
          <w:sz w:val="24"/>
          <w:szCs w:val="24"/>
        </w:rPr>
        <w:t>“</w:t>
      </w:r>
      <w:r w:rsidRPr="00C1767D">
        <w:rPr>
          <w:rFonts w:ascii="Times New Roman" w:hAnsi="Times New Roman"/>
          <w:sz w:val="24"/>
          <w:szCs w:val="24"/>
        </w:rPr>
        <w:t>camas, cocinas, y barricadas pacíficas para ocupar</w:t>
      </w:r>
      <w:r>
        <w:rPr>
          <w:rFonts w:ascii="Times New Roman" w:hAnsi="Times New Roman"/>
          <w:sz w:val="24"/>
          <w:szCs w:val="24"/>
        </w:rPr>
        <w:t xml:space="preserve"> Wall Street durante unos meses”</w:t>
      </w:r>
      <w:r w:rsidRPr="00C1767D">
        <w:rPr>
          <w:rFonts w:ascii="Times New Roman" w:hAnsi="Times New Roman"/>
          <w:sz w:val="24"/>
          <w:szCs w:val="24"/>
        </w:rPr>
        <w:t>, según indica la declaración de objetivos en su página web</w:t>
      </w:r>
      <w:r>
        <w:rPr>
          <w:rFonts w:ascii="Times New Roman" w:hAnsi="Times New Roman"/>
          <w:sz w:val="24"/>
          <w:szCs w:val="24"/>
        </w:rPr>
        <w:t>…</w:t>
      </w:r>
    </w:p>
    <w:p w:rsidR="00C32586" w:rsidRPr="00B01604" w:rsidRDefault="00C32586" w:rsidP="00387350">
      <w:pPr>
        <w:spacing w:after="0" w:line="240" w:lineRule="auto"/>
        <w:jc w:val="both"/>
        <w:rPr>
          <w:rFonts w:ascii="Times New Roman" w:hAnsi="Times New Roman"/>
          <w:sz w:val="24"/>
          <w:szCs w:val="24"/>
        </w:rPr>
      </w:pPr>
      <w:r>
        <w:rPr>
          <w:rFonts w:ascii="Times New Roman" w:hAnsi="Times New Roman"/>
          <w:sz w:val="24"/>
          <w:szCs w:val="24"/>
        </w:rPr>
        <w:t xml:space="preserve">- </w:t>
      </w:r>
      <w:r w:rsidRPr="00145743">
        <w:rPr>
          <w:rFonts w:ascii="Times New Roman" w:hAnsi="Times New Roman"/>
          <w:sz w:val="24"/>
          <w:szCs w:val="24"/>
          <w:u w:val="single"/>
        </w:rPr>
        <w:t>Las protestas contra Wall Street se extienden por Estados Unidos</w:t>
      </w:r>
      <w:r>
        <w:rPr>
          <w:rFonts w:ascii="Times New Roman" w:hAnsi="Times New Roman"/>
          <w:sz w:val="24"/>
          <w:szCs w:val="24"/>
        </w:rPr>
        <w:t xml:space="preserve"> (Gaceta.es - </w:t>
      </w:r>
      <w:r w:rsidRPr="00145743">
        <w:rPr>
          <w:rFonts w:ascii="Times New Roman" w:hAnsi="Times New Roman"/>
          <w:b/>
          <w:sz w:val="24"/>
          <w:szCs w:val="24"/>
        </w:rPr>
        <w:t>2/10/11</w:t>
      </w:r>
      <w:r>
        <w:rPr>
          <w:rFonts w:ascii="Times New Roman" w:hAnsi="Times New Roman"/>
          <w:sz w:val="24"/>
          <w:szCs w:val="24"/>
        </w:rPr>
        <w:t>)</w:t>
      </w:r>
    </w:p>
    <w:p w:rsidR="00C32586" w:rsidRPr="00B01604" w:rsidRDefault="00C32586" w:rsidP="00387350">
      <w:pPr>
        <w:spacing w:after="0" w:line="240" w:lineRule="auto"/>
        <w:jc w:val="both"/>
        <w:rPr>
          <w:rFonts w:ascii="Times New Roman" w:hAnsi="Times New Roman"/>
          <w:sz w:val="24"/>
          <w:szCs w:val="24"/>
        </w:rPr>
      </w:pPr>
    </w:p>
    <w:p w:rsidR="00C32586" w:rsidRPr="00247FF7" w:rsidRDefault="00C32586" w:rsidP="00387350">
      <w:pPr>
        <w:spacing w:after="0" w:line="240" w:lineRule="auto"/>
        <w:jc w:val="both"/>
        <w:rPr>
          <w:rFonts w:ascii="Times New Roman" w:hAnsi="Times New Roman"/>
          <w:sz w:val="24"/>
          <w:szCs w:val="24"/>
        </w:rPr>
      </w:pPr>
      <w:r w:rsidRPr="00247FF7">
        <w:rPr>
          <w:rFonts w:ascii="Times New Roman" w:hAnsi="Times New Roman"/>
          <w:sz w:val="24"/>
          <w:szCs w:val="24"/>
        </w:rPr>
        <w:t>Un grupo de activistas se congregó hoy en Washington para extender a la capital de Estados Unidos las protestas contra Wall Street y el Congreso que comenzaron en Nueva York y se han reproducido en otras ciudades.</w:t>
      </w:r>
    </w:p>
    <w:p w:rsidR="00C32586" w:rsidRPr="00247FF7" w:rsidRDefault="00C32586" w:rsidP="00387350">
      <w:pPr>
        <w:spacing w:after="0" w:line="240" w:lineRule="auto"/>
        <w:jc w:val="both"/>
        <w:rPr>
          <w:rFonts w:ascii="Times New Roman" w:hAnsi="Times New Roman"/>
          <w:sz w:val="24"/>
          <w:szCs w:val="24"/>
        </w:rPr>
      </w:pPr>
    </w:p>
    <w:p w:rsidR="00C32586" w:rsidRPr="00247FF7" w:rsidRDefault="00C32586" w:rsidP="00387350">
      <w:pPr>
        <w:spacing w:after="0" w:line="240" w:lineRule="auto"/>
        <w:jc w:val="both"/>
        <w:rPr>
          <w:rFonts w:ascii="Times New Roman" w:hAnsi="Times New Roman"/>
          <w:sz w:val="24"/>
          <w:szCs w:val="24"/>
        </w:rPr>
      </w:pPr>
      <w:r>
        <w:rPr>
          <w:rFonts w:ascii="Times New Roman" w:hAnsi="Times New Roman"/>
          <w:sz w:val="24"/>
          <w:szCs w:val="24"/>
        </w:rPr>
        <w:t>“</w:t>
      </w:r>
      <w:r w:rsidRPr="00247FF7">
        <w:rPr>
          <w:rFonts w:ascii="Times New Roman" w:hAnsi="Times New Roman"/>
          <w:sz w:val="24"/>
          <w:szCs w:val="24"/>
        </w:rPr>
        <w:t>Pedimos el arresto de (el presidente de la Reserva Federal) Ben Bernanke, por todo el dinero de los ciudadanos que se ha</w:t>
      </w:r>
      <w:r>
        <w:rPr>
          <w:rFonts w:ascii="Times New Roman" w:hAnsi="Times New Roman"/>
          <w:sz w:val="24"/>
          <w:szCs w:val="24"/>
        </w:rPr>
        <w:t xml:space="preserve"> usado para salvar a los bancos”</w:t>
      </w:r>
      <w:r w:rsidRPr="00247FF7">
        <w:rPr>
          <w:rFonts w:ascii="Times New Roman" w:hAnsi="Times New Roman"/>
          <w:sz w:val="24"/>
          <w:szCs w:val="24"/>
        </w:rPr>
        <w:t>, afirmó un veterano activista que se identificó sólo como AmonopNDC…</w:t>
      </w:r>
    </w:p>
    <w:p w:rsidR="00C32586" w:rsidRPr="00247FF7" w:rsidRDefault="00C32586" w:rsidP="00387350">
      <w:pPr>
        <w:spacing w:after="0" w:line="240" w:lineRule="auto"/>
        <w:jc w:val="both"/>
        <w:rPr>
          <w:rFonts w:ascii="Times New Roman" w:hAnsi="Times New Roman"/>
          <w:sz w:val="24"/>
          <w:szCs w:val="24"/>
        </w:rPr>
      </w:pPr>
    </w:p>
    <w:p w:rsidR="00C32586" w:rsidRPr="00247FF7" w:rsidRDefault="00C32586" w:rsidP="00387350">
      <w:pPr>
        <w:spacing w:after="0" w:line="240" w:lineRule="auto"/>
        <w:jc w:val="both"/>
        <w:rPr>
          <w:rFonts w:ascii="Times New Roman" w:hAnsi="Times New Roman"/>
          <w:sz w:val="24"/>
          <w:szCs w:val="24"/>
        </w:rPr>
      </w:pPr>
      <w:r w:rsidRPr="00247FF7">
        <w:rPr>
          <w:rFonts w:ascii="Times New Roman" w:hAnsi="Times New Roman"/>
          <w:sz w:val="24"/>
          <w:szCs w:val="24"/>
        </w:rPr>
        <w:t>En San Francisco, cientos de personas, también se s</w:t>
      </w:r>
      <w:r>
        <w:rPr>
          <w:rFonts w:ascii="Times New Roman" w:hAnsi="Times New Roman"/>
          <w:sz w:val="24"/>
          <w:szCs w:val="24"/>
        </w:rPr>
        <w:t>olidarizaron con el movimiento “Occupy Wall Street”</w:t>
      </w:r>
      <w:r w:rsidRPr="00247FF7">
        <w:rPr>
          <w:rFonts w:ascii="Times New Roman" w:hAnsi="Times New Roman"/>
          <w:sz w:val="24"/>
          <w:szCs w:val="24"/>
        </w:rPr>
        <w:t xml:space="preserve"> y se manifestaron frente a las oficinas de una sucursal de Chase Bank, en Market Street. La policía detuvo a seis de los manifestantes.</w:t>
      </w:r>
    </w:p>
    <w:p w:rsidR="00C32586" w:rsidRPr="00247FF7" w:rsidRDefault="00C32586" w:rsidP="00387350">
      <w:pPr>
        <w:spacing w:after="0" w:line="240" w:lineRule="auto"/>
        <w:jc w:val="both"/>
        <w:rPr>
          <w:rFonts w:ascii="Times New Roman" w:hAnsi="Times New Roman"/>
          <w:sz w:val="24"/>
          <w:szCs w:val="24"/>
        </w:rPr>
      </w:pPr>
    </w:p>
    <w:p w:rsidR="00C32586" w:rsidRPr="00247FF7" w:rsidRDefault="00C32586" w:rsidP="00387350">
      <w:pPr>
        <w:spacing w:after="0" w:line="240" w:lineRule="auto"/>
        <w:jc w:val="both"/>
        <w:rPr>
          <w:rFonts w:ascii="Times New Roman" w:hAnsi="Times New Roman"/>
          <w:sz w:val="24"/>
          <w:szCs w:val="24"/>
        </w:rPr>
      </w:pPr>
      <w:r w:rsidRPr="00247FF7">
        <w:rPr>
          <w:rFonts w:ascii="Times New Roman" w:hAnsi="Times New Roman"/>
          <w:sz w:val="24"/>
          <w:szCs w:val="24"/>
        </w:rPr>
        <w:t xml:space="preserve">Rachel LaForest, directora ejecutiva de la Alianza Derecho a la Ciudad, que realiza su convención nacional en Boston, explicó a su </w:t>
      </w:r>
      <w:r>
        <w:rPr>
          <w:rFonts w:ascii="Times New Roman" w:hAnsi="Times New Roman"/>
          <w:sz w:val="24"/>
          <w:szCs w:val="24"/>
        </w:rPr>
        <w:t>vez que las marchas son contra “</w:t>
      </w:r>
      <w:r w:rsidRPr="00247FF7">
        <w:rPr>
          <w:rFonts w:ascii="Times New Roman" w:hAnsi="Times New Roman"/>
          <w:sz w:val="24"/>
          <w:szCs w:val="24"/>
        </w:rPr>
        <w:t>la avaricia y los préstamos usurarios de los bancos, y el aumento de las ejecuciones hipoteca</w:t>
      </w:r>
      <w:r>
        <w:rPr>
          <w:rFonts w:ascii="Times New Roman" w:hAnsi="Times New Roman"/>
          <w:sz w:val="24"/>
          <w:szCs w:val="24"/>
        </w:rPr>
        <w:t>rias en las comunidades urbanas”</w:t>
      </w:r>
      <w:r w:rsidRPr="00247FF7">
        <w:rPr>
          <w:rFonts w:ascii="Times New Roman" w:hAnsi="Times New Roman"/>
          <w:sz w:val="24"/>
          <w:szCs w:val="24"/>
        </w:rPr>
        <w:t>.</w:t>
      </w:r>
    </w:p>
    <w:p w:rsidR="00C32586" w:rsidRPr="00247FF7" w:rsidRDefault="00C32586" w:rsidP="00387350">
      <w:pPr>
        <w:spacing w:after="0" w:line="240" w:lineRule="auto"/>
        <w:jc w:val="both"/>
        <w:rPr>
          <w:rFonts w:ascii="Times New Roman" w:hAnsi="Times New Roman"/>
          <w:sz w:val="24"/>
          <w:szCs w:val="24"/>
        </w:rPr>
      </w:pPr>
    </w:p>
    <w:p w:rsidR="00C32586" w:rsidRDefault="00C32586" w:rsidP="00387350">
      <w:pPr>
        <w:spacing w:after="0" w:line="240" w:lineRule="auto"/>
        <w:jc w:val="both"/>
        <w:rPr>
          <w:rFonts w:ascii="Times New Roman" w:hAnsi="Times New Roman"/>
          <w:sz w:val="24"/>
          <w:szCs w:val="24"/>
        </w:rPr>
      </w:pPr>
      <w:r w:rsidRPr="00247FF7">
        <w:rPr>
          <w:rFonts w:ascii="Times New Roman" w:hAnsi="Times New Roman"/>
          <w:sz w:val="24"/>
          <w:szCs w:val="24"/>
        </w:rPr>
        <w:t>El presidente de la central sindical estadounidense AFL-CI</w:t>
      </w:r>
      <w:r>
        <w:rPr>
          <w:rFonts w:ascii="Times New Roman" w:hAnsi="Times New Roman"/>
          <w:sz w:val="24"/>
          <w:szCs w:val="24"/>
        </w:rPr>
        <w:t>O, Richard Trumka, sostuvo que “</w:t>
      </w:r>
      <w:r w:rsidRPr="00247FF7">
        <w:rPr>
          <w:rFonts w:ascii="Times New Roman" w:hAnsi="Times New Roman"/>
          <w:sz w:val="24"/>
          <w:szCs w:val="24"/>
        </w:rPr>
        <w:t>Wall Street está fuera de control y, a veces, el único recurso que queda es largarse a la calle y llamar la aten</w:t>
      </w:r>
      <w:r>
        <w:rPr>
          <w:rFonts w:ascii="Times New Roman" w:hAnsi="Times New Roman"/>
          <w:sz w:val="24"/>
          <w:szCs w:val="24"/>
        </w:rPr>
        <w:t>ción sobre los problemas reales”</w:t>
      </w:r>
      <w:r w:rsidRPr="00247FF7">
        <w:rPr>
          <w:rFonts w:ascii="Times New Roman" w:hAnsi="Times New Roman"/>
          <w:sz w:val="24"/>
          <w:szCs w:val="24"/>
        </w:rPr>
        <w:t>...</w:t>
      </w:r>
    </w:p>
    <w:p w:rsidR="00C32586" w:rsidRPr="00B51963" w:rsidRDefault="00C32586" w:rsidP="00387350">
      <w:pPr>
        <w:pStyle w:val="Ttulo1"/>
        <w:spacing w:line="240" w:lineRule="auto"/>
        <w:jc w:val="both"/>
        <w:rPr>
          <w:rFonts w:ascii="Times New Roman" w:hAnsi="Times New Roman"/>
          <w:b w:val="0"/>
          <w:color w:val="000000"/>
          <w:sz w:val="24"/>
          <w:szCs w:val="24"/>
        </w:rPr>
      </w:pPr>
      <w:r>
        <w:rPr>
          <w:rFonts w:ascii="Times New Roman" w:hAnsi="Times New Roman"/>
          <w:b w:val="0"/>
          <w:color w:val="000000"/>
          <w:sz w:val="24"/>
          <w:szCs w:val="24"/>
        </w:rPr>
        <w:lastRenderedPageBreak/>
        <w:t xml:space="preserve">- </w:t>
      </w:r>
      <w:r w:rsidR="00DD3426">
        <w:rPr>
          <w:rFonts w:ascii="Times New Roman" w:hAnsi="Times New Roman"/>
          <w:b w:val="0"/>
          <w:color w:val="000000"/>
          <w:sz w:val="24"/>
          <w:szCs w:val="24"/>
          <w:u w:val="single"/>
        </w:rPr>
        <w:t>Los “indignados”</w:t>
      </w:r>
      <w:r w:rsidRPr="00B51963">
        <w:rPr>
          <w:rFonts w:ascii="Times New Roman" w:hAnsi="Times New Roman"/>
          <w:b w:val="0"/>
          <w:color w:val="000000"/>
          <w:sz w:val="24"/>
          <w:szCs w:val="24"/>
          <w:u w:val="single"/>
        </w:rPr>
        <w:t xml:space="preserve"> toman las calles de las principales ciudades del mundo</w:t>
      </w:r>
      <w:r>
        <w:rPr>
          <w:rFonts w:ascii="Times New Roman" w:hAnsi="Times New Roman"/>
          <w:b w:val="0"/>
          <w:color w:val="000000"/>
          <w:sz w:val="24"/>
          <w:szCs w:val="24"/>
        </w:rPr>
        <w:t xml:space="preserve"> (BBCMundo - </w:t>
      </w:r>
      <w:r w:rsidRPr="00B51963">
        <w:rPr>
          <w:rFonts w:ascii="Times New Roman" w:hAnsi="Times New Roman"/>
          <w:color w:val="000000"/>
          <w:sz w:val="24"/>
          <w:szCs w:val="24"/>
        </w:rPr>
        <w:t>15/10/11</w:t>
      </w:r>
      <w:r>
        <w:rPr>
          <w:rFonts w:ascii="Times New Roman" w:hAnsi="Times New Roman"/>
          <w:b w:val="0"/>
          <w:color w:val="000000"/>
          <w:sz w:val="24"/>
          <w:szCs w:val="24"/>
        </w:rPr>
        <w:t>)</w:t>
      </w:r>
    </w:p>
    <w:p w:rsidR="00C32586" w:rsidRPr="006C0516" w:rsidRDefault="00C32586" w:rsidP="00387350">
      <w:pPr>
        <w:pStyle w:val="ingress"/>
        <w:jc w:val="both"/>
        <w:rPr>
          <w:b w:val="0"/>
          <w:color w:val="000000"/>
        </w:rPr>
      </w:pPr>
      <w:r w:rsidRPr="00B51963">
        <w:rPr>
          <w:b w:val="0"/>
          <w:color w:val="000000"/>
        </w:rPr>
        <w:t>Las principales capitales del mundo vivieron este sábado una ola de protestas, inspiradas p</w:t>
      </w:r>
      <w:r>
        <w:rPr>
          <w:b w:val="0"/>
          <w:color w:val="000000"/>
        </w:rPr>
        <w:t>or el movimiento de Nueva York “Occupy Wall Street” y por los “indignados”</w:t>
      </w:r>
      <w:r w:rsidRPr="00B51963">
        <w:rPr>
          <w:b w:val="0"/>
          <w:color w:val="000000"/>
        </w:rPr>
        <w:t xml:space="preserve"> de España.</w:t>
      </w:r>
    </w:p>
    <w:p w:rsidR="00C32586" w:rsidRPr="00B51963" w:rsidRDefault="00C32586" w:rsidP="00387350">
      <w:pPr>
        <w:pStyle w:val="Epgrafe1"/>
        <w:jc w:val="both"/>
        <w:rPr>
          <w:color w:val="000000"/>
        </w:rPr>
      </w:pPr>
      <w:r w:rsidRPr="00B51963">
        <w:rPr>
          <w:color w:val="000000"/>
        </w:rPr>
        <w:t>Ciudadanos en más de 80 países salieron a las calles a protestar por un modelo económico que consideran injusto.</w:t>
      </w:r>
      <w:r>
        <w:rPr>
          <w:color w:val="000000"/>
        </w:rPr>
        <w:t xml:space="preserve"> </w:t>
      </w:r>
      <w:r w:rsidRPr="00B51963">
        <w:rPr>
          <w:color w:val="000000"/>
        </w:rPr>
        <w:t>Manifestantes colmaron las calles en 951 ciudades de 82 países. Sin embargo, la asistencia se mantuvo generalmente baja.</w:t>
      </w:r>
    </w:p>
    <w:p w:rsidR="00C32586" w:rsidRPr="00B51963" w:rsidRDefault="00C32586" w:rsidP="00387350">
      <w:pPr>
        <w:pStyle w:val="NormalWeb"/>
        <w:jc w:val="both"/>
        <w:rPr>
          <w:color w:val="000000"/>
        </w:rPr>
      </w:pPr>
      <w:r w:rsidRPr="00B51963">
        <w:rPr>
          <w:color w:val="000000"/>
        </w:rPr>
        <w:t>En Roma, donde se llevó a cabo la jornada de protesta más grande, al menos 70 personas resultaron heridas (tres de gravedad) cuando la policía antidisturbios se enfrentó con gas lacrimógeno y ráfagas de agua a quienes rompieron las vitrinas de bancos y almacenes.</w:t>
      </w:r>
    </w:p>
    <w:p w:rsidR="00C32586" w:rsidRPr="00B51963" w:rsidRDefault="00C32586" w:rsidP="00387350">
      <w:pPr>
        <w:pStyle w:val="NormalWeb"/>
        <w:jc w:val="both"/>
        <w:rPr>
          <w:color w:val="000000"/>
        </w:rPr>
      </w:pPr>
      <w:r w:rsidRPr="00B51963">
        <w:rPr>
          <w:color w:val="000000"/>
        </w:rPr>
        <w:t>En Madrid, que ha sido por meses uno de los centros principales de las protestas, también salieron miles de personas a las calles.</w:t>
      </w:r>
      <w:r>
        <w:rPr>
          <w:color w:val="000000"/>
        </w:rPr>
        <w:t xml:space="preserve"> </w:t>
      </w:r>
      <w:r w:rsidRPr="00B51963">
        <w:rPr>
          <w:color w:val="000000"/>
        </w:rPr>
        <w:t>Según la corresponsal de la BBC en la capital española, Sarah Rainsford, gente de todas las edades, y muchos desempleados jóvenes, se reunieron al final de la tarde en la Puerta del Sol, el epicentro del movimiento de los indignados.</w:t>
      </w:r>
    </w:p>
    <w:p w:rsidR="00C32586" w:rsidRDefault="00C32586" w:rsidP="00387350">
      <w:pPr>
        <w:pStyle w:val="Epgrafe1"/>
        <w:jc w:val="both"/>
        <w:rPr>
          <w:color w:val="000000"/>
        </w:rPr>
      </w:pPr>
      <w:r w:rsidRPr="00B51963">
        <w:rPr>
          <w:color w:val="000000"/>
        </w:rPr>
        <w:t>En varias ciudades del mundo, los manifestantes se situaron frente a los principales edificios gubernamentales.</w:t>
      </w:r>
      <w:r>
        <w:rPr>
          <w:color w:val="000000"/>
        </w:rPr>
        <w:t xml:space="preserve"> </w:t>
      </w:r>
      <w:r w:rsidRPr="00B51963">
        <w:rPr>
          <w:color w:val="000000"/>
        </w:rPr>
        <w:t>En Londres, un millar de ciudadanos trató de llegar a la Bolsa de Valores, pero fueron detenido</w:t>
      </w:r>
      <w:r>
        <w:rPr>
          <w:color w:val="000000"/>
        </w:rPr>
        <w:t>s</w:t>
      </w:r>
      <w:r w:rsidRPr="00B51963">
        <w:rPr>
          <w:color w:val="000000"/>
        </w:rPr>
        <w:t xml:space="preserve"> por la policía. En Dublín, unas 400 personas marcharon hasta un hotel donde se hospedaba una delegación de funcionarios europeos que están involucrados en el rescate financiero de ese país, según informó el diario </w:t>
      </w:r>
      <w:r w:rsidRPr="00B51963">
        <w:rPr>
          <w:rStyle w:val="nfasis"/>
          <w:color w:val="000000"/>
        </w:rPr>
        <w:t>Irish Times</w:t>
      </w:r>
      <w:r w:rsidRPr="00B51963">
        <w:rPr>
          <w:color w:val="000000"/>
        </w:rPr>
        <w:t>. Horas antes, Nueva Zelanda y Australia también registraron la presencia de ciudadanos en las calles. En Sydney, unas 2.000 personas -incluyendo miembros de grupos aborígenes, comunistas y sindicales- se dirigieron a las afueras del Banco Central de ese país.</w:t>
      </w:r>
      <w:r>
        <w:rPr>
          <w:color w:val="000000"/>
        </w:rPr>
        <w:t xml:space="preserve"> </w:t>
      </w:r>
      <w:r w:rsidRPr="00B51963">
        <w:rPr>
          <w:color w:val="000000"/>
        </w:rPr>
        <w:t>En Asia se registraron marchas en Filipinas, Corea del Sur, Taiwán y Hong Kong.</w:t>
      </w:r>
      <w:r>
        <w:rPr>
          <w:color w:val="000000"/>
        </w:rPr>
        <w:t xml:space="preserve"> </w:t>
      </w:r>
      <w:r w:rsidRPr="00B51963">
        <w:rPr>
          <w:color w:val="000000"/>
        </w:rPr>
        <w:t>En las principales ciudades de Estados Unidos también ha habido protestas, así como en algunas latinoamericanas</w:t>
      </w:r>
      <w:r>
        <w:rPr>
          <w:color w:val="000000"/>
        </w:rPr>
        <w:t>…</w:t>
      </w:r>
    </w:p>
    <w:p w:rsidR="00C32586" w:rsidRPr="00BA304A" w:rsidRDefault="00C32586"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1F6901">
        <w:rPr>
          <w:rFonts w:ascii="Times New Roman" w:hAnsi="Times New Roman"/>
          <w:sz w:val="24"/>
          <w:szCs w:val="24"/>
          <w:u w:val="single"/>
        </w:rPr>
        <w:t>El lenguaje de la protesta mundial</w:t>
      </w:r>
      <w:r>
        <w:rPr>
          <w:rFonts w:ascii="Times New Roman" w:hAnsi="Times New Roman"/>
          <w:sz w:val="24"/>
          <w:szCs w:val="24"/>
        </w:rPr>
        <w:t xml:space="preserve"> (</w:t>
      </w:r>
      <w:r w:rsidRPr="000067AB">
        <w:rPr>
          <w:rFonts w:ascii="Times New Roman" w:hAnsi="Times New Roman"/>
          <w:sz w:val="24"/>
          <w:szCs w:val="24"/>
        </w:rPr>
        <w:t>Jan-Werner Mueller</w:t>
      </w:r>
      <w:r w:rsidRPr="00BA304A">
        <w:rPr>
          <w:rFonts w:ascii="Times New Roman" w:hAnsi="Times New Roman"/>
          <w:sz w:val="24"/>
          <w:szCs w:val="24"/>
        </w:rPr>
        <w:t xml:space="preserve"> </w:t>
      </w:r>
      <w:r>
        <w:rPr>
          <w:rFonts w:ascii="Times New Roman" w:hAnsi="Times New Roman"/>
          <w:sz w:val="24"/>
          <w:szCs w:val="24"/>
        </w:rPr>
        <w:t xml:space="preserve">- </w:t>
      </w:r>
      <w:r w:rsidRPr="00BA304A">
        <w:rPr>
          <w:rFonts w:ascii="Times New Roman" w:hAnsi="Times New Roman"/>
          <w:sz w:val="24"/>
          <w:szCs w:val="24"/>
        </w:rPr>
        <w:t>Project Syndicate/Institute for Human Sciences</w:t>
      </w:r>
      <w:r>
        <w:rPr>
          <w:rFonts w:ascii="Times New Roman" w:hAnsi="Times New Roman"/>
          <w:sz w:val="24"/>
          <w:szCs w:val="24"/>
        </w:rPr>
        <w:t xml:space="preserve"> - </w:t>
      </w:r>
      <w:r w:rsidRPr="00247FF7">
        <w:rPr>
          <w:rFonts w:ascii="Times New Roman" w:hAnsi="Times New Roman"/>
          <w:b/>
          <w:sz w:val="24"/>
          <w:szCs w:val="24"/>
        </w:rPr>
        <w:t>24/10/11</w:t>
      </w:r>
      <w:r>
        <w:rPr>
          <w:rFonts w:ascii="Times New Roman" w:hAnsi="Times New Roman"/>
          <w:sz w:val="24"/>
          <w:szCs w:val="24"/>
        </w:rPr>
        <w:t>)</w:t>
      </w:r>
    </w:p>
    <w:p w:rsidR="00C32586" w:rsidRPr="00247FF7" w:rsidRDefault="00C32586" w:rsidP="00387350">
      <w:pPr>
        <w:spacing w:line="240" w:lineRule="auto"/>
        <w:jc w:val="both"/>
        <w:rPr>
          <w:rFonts w:ascii="Times New Roman" w:hAnsi="Times New Roman"/>
          <w:sz w:val="24"/>
          <w:szCs w:val="24"/>
        </w:rPr>
      </w:pPr>
      <w:r w:rsidRPr="00247FF7">
        <w:rPr>
          <w:rFonts w:ascii="Times New Roman" w:hAnsi="Times New Roman"/>
          <w:sz w:val="24"/>
          <w:szCs w:val="24"/>
        </w:rPr>
        <w:t>Los movimientos de protesta que han estallado en todo Occidente, desde Chile hasta Alemania, han permanecido curiosamente indefinidos y no se han analizado. Algunos hablan de ellos como de la mayor movilización mundial desde 1968, cuando los enragés de países muy diferentes se fundieron en torno a preocupaciones similares, pero otros insisten en que no hay nada nuevo.</w:t>
      </w:r>
    </w:p>
    <w:p w:rsidR="00C32586" w:rsidRDefault="00C32586" w:rsidP="00387350">
      <w:pPr>
        <w:spacing w:line="240" w:lineRule="auto"/>
        <w:jc w:val="both"/>
        <w:rPr>
          <w:rFonts w:ascii="Times New Roman" w:hAnsi="Times New Roman"/>
          <w:sz w:val="24"/>
          <w:szCs w:val="24"/>
        </w:rPr>
      </w:pPr>
      <w:r w:rsidRPr="00247FF7">
        <w:rPr>
          <w:rFonts w:ascii="Times New Roman" w:hAnsi="Times New Roman"/>
          <w:sz w:val="24"/>
          <w:szCs w:val="24"/>
        </w:rPr>
        <w:t>El experto búlgaro en ciencia política Ivan Krastev, por ejemplo, ha afirmado que lo que en realidad estamos experimentando es un 1968 “a la inversa”. “Entonces los estudiantes en las calles de Europa”, dice, “expresaron su deseo de vivir en un mundo diferente del de sus padres. Ahora los estudiantes están en las calles para expresar su deseo de vivir en el mundo de sus padres”</w:t>
      </w:r>
      <w:r w:rsidR="00DD3426">
        <w:rPr>
          <w:rFonts w:ascii="Times New Roman" w:hAnsi="Times New Roman"/>
          <w:sz w:val="24"/>
          <w:szCs w:val="24"/>
        </w:rPr>
        <w:t>…</w:t>
      </w:r>
    </w:p>
    <w:p w:rsidR="00C92374" w:rsidRDefault="00C92374" w:rsidP="00387350">
      <w:pPr>
        <w:spacing w:line="240" w:lineRule="auto"/>
        <w:jc w:val="both"/>
        <w:rPr>
          <w:rFonts w:ascii="Times New Roman" w:hAnsi="Times New Roman"/>
          <w:sz w:val="24"/>
          <w:szCs w:val="24"/>
        </w:rPr>
      </w:pPr>
    </w:p>
    <w:p w:rsidR="00C32586" w:rsidRPr="00077F7F" w:rsidRDefault="00C32586"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 </w:t>
      </w:r>
      <w:r w:rsidRPr="00A9526A">
        <w:rPr>
          <w:rFonts w:ascii="Times New Roman" w:eastAsia="Times New Roman" w:hAnsi="Times New Roman"/>
          <w:sz w:val="24"/>
          <w:szCs w:val="24"/>
          <w:u w:val="single"/>
          <w:lang w:eastAsia="es-ES"/>
        </w:rPr>
        <w:t>La globalización de la protesta</w:t>
      </w:r>
      <w:r>
        <w:rPr>
          <w:rFonts w:ascii="Times New Roman" w:eastAsia="Times New Roman" w:hAnsi="Times New Roman"/>
          <w:sz w:val="24"/>
          <w:szCs w:val="24"/>
          <w:lang w:eastAsia="es-ES"/>
        </w:rPr>
        <w:t xml:space="preserve"> (</w:t>
      </w:r>
      <w:r w:rsidRPr="00077F7F">
        <w:rPr>
          <w:rFonts w:ascii="Times New Roman" w:eastAsia="Times New Roman" w:hAnsi="Times New Roman"/>
          <w:sz w:val="24"/>
          <w:szCs w:val="24"/>
          <w:lang w:eastAsia="es-ES"/>
        </w:rPr>
        <w:t xml:space="preserve">Joseph E. Stiglitz </w:t>
      </w:r>
      <w:r>
        <w:rPr>
          <w:rFonts w:ascii="Times New Roman" w:eastAsia="Times New Roman" w:hAnsi="Times New Roman"/>
          <w:sz w:val="24"/>
          <w:szCs w:val="24"/>
          <w:lang w:eastAsia="es-ES"/>
        </w:rPr>
        <w:t xml:space="preserve">- </w:t>
      </w:r>
      <w:r w:rsidRPr="00077F7F">
        <w:rPr>
          <w:rFonts w:ascii="Times New Roman" w:eastAsia="Times New Roman" w:hAnsi="Times New Roman"/>
          <w:sz w:val="24"/>
          <w:szCs w:val="24"/>
          <w:lang w:eastAsia="es-ES"/>
        </w:rPr>
        <w:t>Project Syndicate</w:t>
      </w:r>
      <w:r>
        <w:rPr>
          <w:rFonts w:ascii="Times New Roman" w:eastAsia="Times New Roman" w:hAnsi="Times New Roman"/>
          <w:sz w:val="24"/>
          <w:szCs w:val="24"/>
          <w:lang w:eastAsia="es-ES"/>
        </w:rPr>
        <w:t xml:space="preserve"> - </w:t>
      </w:r>
      <w:r w:rsidRPr="00A9526A">
        <w:rPr>
          <w:rFonts w:ascii="Times New Roman" w:eastAsia="Times New Roman" w:hAnsi="Times New Roman"/>
          <w:b/>
          <w:sz w:val="24"/>
          <w:szCs w:val="24"/>
          <w:lang w:eastAsia="es-ES"/>
        </w:rPr>
        <w:t>4/11/11</w:t>
      </w:r>
      <w:r>
        <w:rPr>
          <w:rFonts w:ascii="Times New Roman" w:eastAsia="Times New Roman" w:hAnsi="Times New Roman"/>
          <w:sz w:val="24"/>
          <w:szCs w:val="24"/>
          <w:lang w:eastAsia="es-ES"/>
        </w:rPr>
        <w:t>)</w:t>
      </w:r>
    </w:p>
    <w:p w:rsidR="00C32586" w:rsidRPr="00077F7F" w:rsidRDefault="00C32586" w:rsidP="00387350">
      <w:pPr>
        <w:spacing w:after="0" w:line="240" w:lineRule="auto"/>
        <w:jc w:val="both"/>
        <w:rPr>
          <w:rFonts w:ascii="Times New Roman" w:eastAsia="Times New Roman" w:hAnsi="Times New Roman"/>
          <w:sz w:val="24"/>
          <w:szCs w:val="24"/>
          <w:lang w:eastAsia="es-ES"/>
        </w:rPr>
      </w:pPr>
    </w:p>
    <w:p w:rsidR="00C32586" w:rsidRPr="000B6AA9" w:rsidRDefault="00C32586" w:rsidP="00387350">
      <w:pPr>
        <w:spacing w:after="0" w:line="240" w:lineRule="auto"/>
        <w:jc w:val="both"/>
        <w:rPr>
          <w:rFonts w:ascii="Times New Roman" w:eastAsia="Times New Roman" w:hAnsi="Times New Roman"/>
          <w:sz w:val="24"/>
          <w:szCs w:val="24"/>
          <w:lang w:eastAsia="es-ES"/>
        </w:rPr>
      </w:pPr>
      <w:r w:rsidRPr="000B6AA9">
        <w:rPr>
          <w:rFonts w:ascii="Times New Roman" w:eastAsia="Times New Roman" w:hAnsi="Times New Roman"/>
          <w:sz w:val="24"/>
          <w:szCs w:val="24"/>
          <w:lang w:eastAsia="es-ES"/>
        </w:rPr>
        <w:t>El movimiento de protesta que nació en enero en Túnez, para luego extenderse a Egipto y de allí a España, ya es global: la marea de protestas llegó a Wall Street y a diversas ciudades de Estados Unidos. La globalización y la tecnología moderna ahora permiten a los movimientos sociales trascender las fronteras tan velozmente como las ideas. Y la protesta social halló en todas partes terreno fértil: hay una sensación de que el “sistema” fracasó, sumada a la convicción de que, incluso en una democracia, el proceso electoral no resuelve las cosas, o por lo menos, no las resuelve si no hay de por medio una fuerte presión en las calles.</w:t>
      </w:r>
    </w:p>
    <w:p w:rsidR="00C32586" w:rsidRPr="000B6AA9" w:rsidRDefault="00C32586" w:rsidP="00387350">
      <w:pPr>
        <w:spacing w:after="0" w:line="240" w:lineRule="auto"/>
        <w:jc w:val="both"/>
        <w:rPr>
          <w:rFonts w:ascii="Times New Roman" w:eastAsia="Times New Roman" w:hAnsi="Times New Roman"/>
          <w:sz w:val="24"/>
          <w:szCs w:val="24"/>
          <w:lang w:eastAsia="es-ES"/>
        </w:rPr>
      </w:pPr>
    </w:p>
    <w:p w:rsidR="00C32586" w:rsidRPr="000B6AA9" w:rsidRDefault="00C32586" w:rsidP="00387350">
      <w:pPr>
        <w:spacing w:after="0" w:line="240" w:lineRule="auto"/>
        <w:jc w:val="both"/>
        <w:rPr>
          <w:rFonts w:ascii="Times New Roman" w:eastAsia="Times New Roman" w:hAnsi="Times New Roman"/>
          <w:sz w:val="24"/>
          <w:szCs w:val="24"/>
          <w:lang w:eastAsia="es-ES"/>
        </w:rPr>
      </w:pPr>
      <w:r w:rsidRPr="000B6AA9">
        <w:rPr>
          <w:rFonts w:ascii="Times New Roman" w:eastAsia="Times New Roman" w:hAnsi="Times New Roman"/>
          <w:sz w:val="24"/>
          <w:szCs w:val="24"/>
          <w:lang w:eastAsia="es-ES"/>
        </w:rPr>
        <w:t>En mayo visité el escenario de las protestas tunecinas; en julio, hablé con los indignados españoles; de allí partí para reunirme con los jóvenes revolucionarios egipcios en la plaza Tahrir de El Cairo; y hace unas pocas semanas, conversé en Nueva York con los manifestantes del movimiento Ocupar Wall Street. Hay una misma idea que se repite en todos los casos, y que el movimiento OWS expresa en una frase muy sencilla: “Somos el 99%”.</w:t>
      </w:r>
    </w:p>
    <w:p w:rsidR="00C32586" w:rsidRPr="000B6AA9" w:rsidRDefault="00C32586" w:rsidP="00387350">
      <w:pPr>
        <w:spacing w:after="0" w:line="240" w:lineRule="auto"/>
        <w:jc w:val="both"/>
        <w:rPr>
          <w:rFonts w:ascii="Times New Roman" w:eastAsia="Times New Roman" w:hAnsi="Times New Roman"/>
          <w:sz w:val="24"/>
          <w:szCs w:val="24"/>
          <w:lang w:eastAsia="es-ES"/>
        </w:rPr>
      </w:pPr>
    </w:p>
    <w:p w:rsidR="00C32586" w:rsidRPr="000B6AA9" w:rsidRDefault="00C32586" w:rsidP="00387350">
      <w:pPr>
        <w:spacing w:after="0" w:line="240" w:lineRule="auto"/>
        <w:jc w:val="both"/>
        <w:rPr>
          <w:rFonts w:ascii="Times New Roman" w:eastAsia="Times New Roman" w:hAnsi="Times New Roman"/>
          <w:sz w:val="24"/>
          <w:szCs w:val="24"/>
          <w:lang w:eastAsia="es-ES"/>
        </w:rPr>
      </w:pPr>
      <w:r w:rsidRPr="000B6AA9">
        <w:rPr>
          <w:rFonts w:ascii="Times New Roman" w:eastAsia="Times New Roman" w:hAnsi="Times New Roman"/>
          <w:sz w:val="24"/>
          <w:szCs w:val="24"/>
          <w:lang w:eastAsia="es-ES"/>
        </w:rPr>
        <w:t>Este eslogan remite al título de un artículo que publiqué hace poco. El artículo se titula “Del 1%, por el 1% y para el 1%”, y en él describo el enorme aumento de la desigualdad en los Estados Unidos: el 1% de la población controla más del 40% de la riqueza y recibe más del 20% de los ingresos. Y los miembros de este selecto estrato no siempre reciben estas generosas gratificaciones porque hayan contribuido más a la sociedad (esta justificación de la desigualdad quedó totalmente vaciada de sentido a la vista de las bonificaciones y de los rescates); sino que a menudo las reciben porque, hablando mal y pronto, son exitosos (y en ocasiones corruptos) buscadores de rentas</w:t>
      </w:r>
      <w:r>
        <w:rPr>
          <w:rFonts w:ascii="Times New Roman" w:eastAsia="Times New Roman" w:hAnsi="Times New Roman"/>
          <w:sz w:val="24"/>
          <w:szCs w:val="24"/>
          <w:lang w:eastAsia="es-ES"/>
        </w:rPr>
        <w:t>…</w:t>
      </w:r>
    </w:p>
    <w:p w:rsidR="00C92374" w:rsidRDefault="00C92374" w:rsidP="00387350">
      <w:pPr>
        <w:spacing w:line="240" w:lineRule="auto"/>
        <w:jc w:val="both"/>
        <w:rPr>
          <w:rFonts w:ascii="Times New Roman" w:hAnsi="Times New Roman"/>
          <w:sz w:val="24"/>
          <w:szCs w:val="24"/>
        </w:rPr>
      </w:pPr>
    </w:p>
    <w:p w:rsidR="00C32586" w:rsidRPr="007E3520" w:rsidRDefault="00C32586"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7E3520">
        <w:rPr>
          <w:rFonts w:ascii="Times New Roman" w:hAnsi="Times New Roman"/>
          <w:sz w:val="24"/>
          <w:szCs w:val="24"/>
          <w:u w:val="single"/>
        </w:rPr>
        <w:t>Cameron se enfrenta a la mayor huelga general de los últimos 30 años</w:t>
      </w:r>
      <w:r>
        <w:rPr>
          <w:rFonts w:ascii="Times New Roman" w:hAnsi="Times New Roman"/>
          <w:sz w:val="24"/>
          <w:szCs w:val="24"/>
        </w:rPr>
        <w:t xml:space="preserve"> (Gaceta.es - </w:t>
      </w:r>
      <w:r w:rsidRPr="007E3520">
        <w:rPr>
          <w:rFonts w:ascii="Times New Roman" w:hAnsi="Times New Roman"/>
          <w:b/>
          <w:sz w:val="24"/>
          <w:szCs w:val="24"/>
        </w:rPr>
        <w:t>30/11/11</w:t>
      </w:r>
      <w:r>
        <w:rPr>
          <w:rFonts w:ascii="Times New Roman" w:hAnsi="Times New Roman"/>
          <w:sz w:val="24"/>
          <w:szCs w:val="24"/>
        </w:rPr>
        <w:t>)</w:t>
      </w:r>
    </w:p>
    <w:p w:rsidR="00C32586" w:rsidRPr="000B6AA9" w:rsidRDefault="00C32586" w:rsidP="00387350">
      <w:pPr>
        <w:spacing w:line="240" w:lineRule="auto"/>
        <w:jc w:val="both"/>
        <w:rPr>
          <w:rFonts w:ascii="Times New Roman" w:hAnsi="Times New Roman"/>
          <w:sz w:val="24"/>
          <w:szCs w:val="24"/>
        </w:rPr>
      </w:pPr>
      <w:r w:rsidRPr="000B6AA9">
        <w:rPr>
          <w:rFonts w:ascii="Times New Roman" w:hAnsi="Times New Roman"/>
          <w:sz w:val="24"/>
          <w:szCs w:val="24"/>
        </w:rPr>
        <w:t xml:space="preserve">Hospitales, colegios, aeropuertos, puertos y oficinas gubernamentales mantienen ya sus puertas cerradas. Unos dos millones de funcionarios están llamados. </w:t>
      </w:r>
    </w:p>
    <w:p w:rsidR="00C32586" w:rsidRPr="000B6AA9" w:rsidRDefault="00C32586" w:rsidP="00387350">
      <w:pPr>
        <w:spacing w:line="240" w:lineRule="auto"/>
        <w:jc w:val="both"/>
        <w:rPr>
          <w:rFonts w:ascii="Times New Roman" w:hAnsi="Times New Roman"/>
          <w:sz w:val="24"/>
          <w:szCs w:val="24"/>
        </w:rPr>
      </w:pPr>
      <w:r w:rsidRPr="000B6AA9">
        <w:rPr>
          <w:rFonts w:ascii="Times New Roman" w:hAnsi="Times New Roman"/>
          <w:sz w:val="24"/>
          <w:szCs w:val="24"/>
        </w:rPr>
        <w:t xml:space="preserve">Unos dos millones de funcionarios entre profesores, directores de colegio, personal sanitario y de juzgados secundan hoy la mayor huelga en Reino Unido desde los años 80 para rechazar las reformas del plan de pensiones impuestas por el Gobierno de coalición. </w:t>
      </w:r>
    </w:p>
    <w:p w:rsidR="00C32586" w:rsidRDefault="00C32586" w:rsidP="00387350">
      <w:pPr>
        <w:spacing w:line="240" w:lineRule="auto"/>
        <w:jc w:val="both"/>
        <w:rPr>
          <w:rFonts w:ascii="Times New Roman" w:hAnsi="Times New Roman"/>
          <w:sz w:val="24"/>
          <w:szCs w:val="24"/>
        </w:rPr>
      </w:pPr>
      <w:r w:rsidRPr="000B6AA9">
        <w:rPr>
          <w:rFonts w:ascii="Times New Roman" w:hAnsi="Times New Roman"/>
          <w:sz w:val="24"/>
          <w:szCs w:val="24"/>
        </w:rPr>
        <w:t>Cientos de miles de trabajadores del sector público apoyan hoy el paro laboral coordinado en todo el país, que secundan al menos 25 sindicatos, y que pretende poner de manifiesto el descontento de estos ciudadanos ante los recortes aplicados por el Ejecutivo de David Cameron</w:t>
      </w:r>
      <w:r>
        <w:rPr>
          <w:rFonts w:ascii="Times New Roman" w:hAnsi="Times New Roman"/>
          <w:sz w:val="24"/>
          <w:szCs w:val="24"/>
        </w:rPr>
        <w:t>…</w:t>
      </w:r>
    </w:p>
    <w:p w:rsidR="00C32586" w:rsidRPr="00DA39A0" w:rsidRDefault="00C32586" w:rsidP="00387350">
      <w:pPr>
        <w:pStyle w:val="NormalWeb"/>
        <w:jc w:val="both"/>
        <w:rPr>
          <w:color w:val="FF0000"/>
        </w:rPr>
      </w:pPr>
      <w:r>
        <w:t xml:space="preserve">- </w:t>
      </w:r>
      <w:r w:rsidRPr="00DA39A0">
        <w:rPr>
          <w:u w:val="single"/>
        </w:rPr>
        <w:t>Una bomba de relojería en la Francia de los barrios</w:t>
      </w:r>
      <w:r>
        <w:t xml:space="preserve"> (El País - </w:t>
      </w:r>
      <w:r w:rsidRPr="00DA39A0">
        <w:rPr>
          <w:b/>
        </w:rPr>
        <w:t>18/4/12</w:t>
      </w:r>
      <w:r>
        <w:t>)</w:t>
      </w:r>
    </w:p>
    <w:p w:rsidR="00C32586" w:rsidRPr="000B6AA9" w:rsidRDefault="00C32586" w:rsidP="00387350">
      <w:pPr>
        <w:pStyle w:val="NormalWeb"/>
        <w:jc w:val="both"/>
      </w:pPr>
      <w:r w:rsidRPr="000B6AA9">
        <w:rPr>
          <w:lang w:val="en-US"/>
        </w:rPr>
        <w:t xml:space="preserve">“April in Paris, chesnuts in blossom…”  </w:t>
      </w:r>
      <w:r w:rsidRPr="000B6AA9">
        <w:t xml:space="preserve">han cantado romántica y sensualmente Frank Sinatra, Ella Fitzgerald, Louis Armstrong y tantos otros en uno de los más sublimes himnos a la ciudad del amor, que se tiene a sí misma por la más bella del mundo. Sexys y cálidas sensaciones sobre “abril en París, castaños en flor…” que ha comprado el universo mundo sobre la Ciudad de la Luz y que saltan por los aires justo en la periferia </w:t>
      </w:r>
      <w:r w:rsidRPr="000B6AA9">
        <w:lastRenderedPageBreak/>
        <w:t>de la capital. En Clichy-sous-Bois, sin ir más lejos, la localidad deprimida foco de la insurrección popular del otoño de 2005 que durante tres semanas cortó el aliento a Francia y ofreció al orbe una imagen muy distinta a la de la armonía y el bienestar que la Francia de la libertad, la igualdad y la fraternidad gusta de presentar como singular etiqueta gloriosa.</w:t>
      </w:r>
    </w:p>
    <w:p w:rsidR="00C32586" w:rsidRPr="000B6AA9" w:rsidRDefault="00C32586" w:rsidP="00387350">
      <w:pPr>
        <w:pStyle w:val="NormalWeb"/>
        <w:jc w:val="both"/>
      </w:pPr>
      <w:r w:rsidRPr="000B6AA9">
        <w:t>Seis años y medio han pasado desde entonces, la mayor revuelta vivida por el país desde mayo del 68, unas jornadas en las que por toda Francia resonó el “morralla” con que el estridente Nicolas Sarkozy, a la sazón ministro del Interior, etiquetó a los jóvenes sin oficio, beneficio ni expectativas que protagonizaron aquel espontáneo alzamiento popular sin líder ni programa que convirtió a barriadas de todo el país en una tea.</w:t>
      </w:r>
    </w:p>
    <w:p w:rsidR="00C32586" w:rsidRDefault="00C32586" w:rsidP="00387350">
      <w:pPr>
        <w:pStyle w:val="NormalWeb"/>
        <w:jc w:val="both"/>
      </w:pPr>
      <w:r w:rsidRPr="000B6AA9">
        <w:t>“No han cambiado mucho las cosas desde la revuelta social de 2005, excepción hecha de la renovación urbana. No se ha tratado del lado humano. Es intolerable dejar que problemas existentes desde hace décadas, con Gobiernos de izquierda y de derecha, se acumulen sin que se les dé respuesta”, protesta Mohamed Mechmache, presidente y fundador de la asociación AC LeFeu, un afortunado nombre que fonéticamente suena como “Basta de fuego”, lo que define los objetivos de la entidad, y que en realidad responde a la iniciales de Asociación Colectiva Libertad Igualdad Fraternidad Juntos Unidos</w:t>
      </w:r>
      <w:r w:rsidR="00C92374">
        <w:t xml:space="preserve">… </w:t>
      </w:r>
      <w:r w:rsidRPr="000B6AA9">
        <w:t>Mechmache desgrana las calamidades del lado humano de la endémica crisis en Clichy-sous-Bois: “paro de más del 45% entre los jóvenes; gente sin vivienda y a la que no le llega para comer; creciente abandono escolar; cada vez mayores problemas sanitarios; cada vez menos acceso a la cultura”</w:t>
      </w:r>
      <w:r>
        <w:t>…</w:t>
      </w:r>
    </w:p>
    <w:p w:rsidR="00C32586" w:rsidRPr="00897B57" w:rsidRDefault="00C32586" w:rsidP="00387350">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A617D">
        <w:rPr>
          <w:rFonts w:ascii="Times New Roman" w:hAnsi="Times New Roman" w:cs="Times New Roman"/>
          <w:sz w:val="24"/>
          <w:szCs w:val="24"/>
          <w:u w:val="single"/>
        </w:rPr>
        <w:t>¿Por qué arde Suecia?</w:t>
      </w:r>
      <w:r>
        <w:rPr>
          <w:rFonts w:ascii="Times New Roman" w:hAnsi="Times New Roman" w:cs="Times New Roman"/>
          <w:sz w:val="24"/>
          <w:szCs w:val="24"/>
        </w:rPr>
        <w:t xml:space="preserve"> (Gaceta.es - </w:t>
      </w:r>
      <w:r w:rsidRPr="009A617D">
        <w:rPr>
          <w:rFonts w:ascii="Times New Roman" w:hAnsi="Times New Roman" w:cs="Times New Roman"/>
          <w:b/>
          <w:sz w:val="24"/>
          <w:szCs w:val="24"/>
        </w:rPr>
        <w:t>27/5/13</w:t>
      </w:r>
      <w:r>
        <w:rPr>
          <w:rFonts w:ascii="Times New Roman" w:hAnsi="Times New Roman" w:cs="Times New Roman"/>
          <w:sz w:val="24"/>
          <w:szCs w:val="24"/>
        </w:rPr>
        <w:t>)</w:t>
      </w:r>
    </w:p>
    <w:p w:rsidR="00C32586" w:rsidRPr="00152800" w:rsidRDefault="00C32586" w:rsidP="00387350">
      <w:pPr>
        <w:spacing w:before="100" w:beforeAutospacing="1" w:after="100" w:afterAutospacing="1" w:line="240" w:lineRule="auto"/>
        <w:jc w:val="both"/>
        <w:rPr>
          <w:rFonts w:ascii="Times New Roman" w:hAnsi="Times New Roman" w:cs="Times New Roman"/>
          <w:sz w:val="24"/>
          <w:szCs w:val="24"/>
        </w:rPr>
      </w:pPr>
      <w:r w:rsidRPr="00152800">
        <w:rPr>
          <w:rFonts w:ascii="Times New Roman" w:hAnsi="Times New Roman" w:cs="Times New Roman"/>
          <w:sz w:val="24"/>
          <w:szCs w:val="24"/>
        </w:rPr>
        <w:t xml:space="preserve"> “Suecia es más peligrosa que Mogadiscio”. Horas después de que Amun Abdullahi, una joven periodista somalí afincada en Suecia, dijera estas palabras, un hombre de 69 años que tenía un machete en la mano fue abatido por la policía. Un hecho que ha desatado una ola de violencia en las calles de Estocolmo…</w:t>
      </w:r>
    </w:p>
    <w:p w:rsidR="00C32586" w:rsidRDefault="00C32586" w:rsidP="00387350">
      <w:pPr>
        <w:spacing w:before="100" w:beforeAutospacing="1" w:after="100" w:afterAutospacing="1" w:line="240" w:lineRule="auto"/>
        <w:jc w:val="both"/>
        <w:rPr>
          <w:rFonts w:ascii="Times New Roman" w:hAnsi="Times New Roman" w:cs="Times New Roman"/>
          <w:sz w:val="24"/>
          <w:szCs w:val="24"/>
        </w:rPr>
      </w:pPr>
      <w:r w:rsidRPr="00152800">
        <w:rPr>
          <w:rFonts w:ascii="Times New Roman" w:hAnsi="Times New Roman" w:cs="Times New Roman"/>
          <w:sz w:val="24"/>
          <w:szCs w:val="24"/>
        </w:rPr>
        <w:t>Los disturbios han saltado de barrio en barrio. Desde el pasado fin de semana, cada noche en Estocolmo se ilumina con los coches convertidos en grandes antorchas. Los medios locales cuentan cómo los bomberos no dan abasto pese a trabajar a destajo. En el barrio de Tensa han prendido fuego a un colegio. En Kista a otro. En Älvsjö la comisaría de Policía fue objeto de la ira de un grupo de doscientos o trescientos jóvenes, que lanzaban cócteles molotov contra ella. Este viernes, sexta noche de disturbios en la capital sueca, los grupos de jóvenes islamistas atacaron otra comisaría de Policía, la de Örebro. En Linpöping, al suroeste de la capital, los objetos de su ira fueron una escuela y una guardería.</w:t>
      </w:r>
      <w:r>
        <w:rPr>
          <w:rFonts w:ascii="Times New Roman" w:hAnsi="Times New Roman" w:cs="Times New Roman"/>
          <w:sz w:val="24"/>
          <w:szCs w:val="24"/>
        </w:rPr>
        <w:t xml:space="preserve"> </w:t>
      </w:r>
      <w:r w:rsidRPr="00152800">
        <w:rPr>
          <w:rFonts w:ascii="Times New Roman" w:hAnsi="Times New Roman" w:cs="Times New Roman"/>
          <w:sz w:val="24"/>
          <w:szCs w:val="24"/>
        </w:rPr>
        <w:t>Nada hace pensar que se vayan a detener, al menos de forma inmediata</w:t>
      </w:r>
      <w:r>
        <w:rPr>
          <w:rFonts w:ascii="Times New Roman" w:hAnsi="Times New Roman" w:cs="Times New Roman"/>
          <w:sz w:val="24"/>
          <w:szCs w:val="24"/>
        </w:rPr>
        <w:t>…</w:t>
      </w:r>
    </w:p>
    <w:p w:rsidR="00C32586" w:rsidRPr="00094FEE" w:rsidRDefault="00C32586" w:rsidP="0038735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94FEE">
        <w:rPr>
          <w:rFonts w:ascii="Times New Roman" w:hAnsi="Times New Roman" w:cs="Times New Roman"/>
          <w:sz w:val="24"/>
          <w:szCs w:val="24"/>
          <w:u w:val="single"/>
        </w:rPr>
        <w:t>La exclusión laboral de los inmigrantes, causa de los disturbios en Suecia</w:t>
      </w:r>
      <w:r>
        <w:rPr>
          <w:rFonts w:ascii="Times New Roman" w:hAnsi="Times New Roman" w:cs="Times New Roman"/>
          <w:sz w:val="24"/>
          <w:szCs w:val="24"/>
        </w:rPr>
        <w:t xml:space="preserve"> (Libertad Digital - </w:t>
      </w:r>
      <w:r w:rsidRPr="00094FEE">
        <w:rPr>
          <w:rFonts w:ascii="Times New Roman" w:hAnsi="Times New Roman" w:cs="Times New Roman"/>
          <w:b/>
          <w:sz w:val="24"/>
          <w:szCs w:val="24"/>
        </w:rPr>
        <w:t>29/6/13</w:t>
      </w:r>
      <w:r>
        <w:rPr>
          <w:rFonts w:ascii="Times New Roman" w:hAnsi="Times New Roman" w:cs="Times New Roman"/>
          <w:sz w:val="24"/>
          <w:szCs w:val="24"/>
        </w:rPr>
        <w:t>)</w:t>
      </w:r>
    </w:p>
    <w:p w:rsidR="00C32586" w:rsidRPr="00152800" w:rsidRDefault="00C32586" w:rsidP="00387350">
      <w:pPr>
        <w:pStyle w:val="NormalWeb"/>
        <w:jc w:val="both"/>
      </w:pPr>
      <w:r w:rsidRPr="00152800">
        <w:t xml:space="preserve">Analistas como Johan Norberg, Andreas Bergh, Nima Sanandaji o Fredrik Segerfeldt coinciden en destacar que los inmigrantes viven en una especie de </w:t>
      </w:r>
      <w:r w:rsidR="000945E6">
        <w:t>“</w:t>
      </w:r>
      <w:r w:rsidRPr="000945E6">
        <w:rPr>
          <w:rStyle w:val="nfasis"/>
          <w:bCs/>
          <w:i w:val="0"/>
        </w:rPr>
        <w:t>apartheid</w:t>
      </w:r>
      <w:r w:rsidR="000945E6">
        <w:rPr>
          <w:rStyle w:val="nfasis"/>
          <w:bCs/>
          <w:i w:val="0"/>
        </w:rPr>
        <w:t>”</w:t>
      </w:r>
      <w:r w:rsidRPr="00152800">
        <w:rPr>
          <w:rStyle w:val="Textoennegrita"/>
        </w:rPr>
        <w:t xml:space="preserve"> </w:t>
      </w:r>
      <w:r w:rsidRPr="00152800">
        <w:rPr>
          <w:rStyle w:val="Textoennegrita"/>
          <w:b w:val="0"/>
        </w:rPr>
        <w:t>laboral.</w:t>
      </w:r>
      <w:r w:rsidRPr="00152800">
        <w:t xml:space="preserve"> Los cuatro expertos destacan que la </w:t>
      </w:r>
      <w:r w:rsidRPr="00152800">
        <w:rPr>
          <w:rStyle w:val="Textoennegrita"/>
          <w:b w:val="0"/>
        </w:rPr>
        <w:t>economía oficial permanece cerrada</w:t>
      </w:r>
      <w:r w:rsidRPr="00152800">
        <w:t xml:space="preserve"> para este colectivo, por lo que la única alternativa para sobrevivir son los subsidios y los trabajos informales.</w:t>
      </w:r>
    </w:p>
    <w:p w:rsidR="00C32586" w:rsidRPr="00152800" w:rsidRDefault="00C32586" w:rsidP="00387350">
      <w:pPr>
        <w:pStyle w:val="NormalWeb"/>
        <w:jc w:val="both"/>
      </w:pPr>
      <w:r w:rsidRPr="00152800">
        <w:lastRenderedPageBreak/>
        <w:t xml:space="preserve">Este </w:t>
      </w:r>
      <w:r w:rsidR="000945E6">
        <w:t>“</w:t>
      </w:r>
      <w:r w:rsidRPr="000945E6">
        <w:rPr>
          <w:rStyle w:val="nfasis"/>
          <w:i w:val="0"/>
        </w:rPr>
        <w:t>apartheid</w:t>
      </w:r>
      <w:r w:rsidR="000945E6">
        <w:rPr>
          <w:rStyle w:val="nfasis"/>
          <w:i w:val="0"/>
        </w:rPr>
        <w:t>”</w:t>
      </w:r>
      <w:r w:rsidRPr="00152800">
        <w:t xml:space="preserve"> laboral fue implementado en los años 70, cuando los gobiernos socialdemócratas y los principales sindicatos apoyaron una fórmula que, según Mauricio Rojas, podríamos resumir como </w:t>
      </w:r>
      <w:r>
        <w:t>un “</w:t>
      </w:r>
      <w:hyperlink r:id="rId371" w:history="1">
        <w:r w:rsidRPr="00152800">
          <w:rPr>
            <w:rStyle w:val="Hipervnculo"/>
            <w:color w:val="auto"/>
            <w:u w:val="none"/>
          </w:rPr>
          <w:t>cierre hermético</w:t>
        </w:r>
      </w:hyperlink>
      <w:r>
        <w:t xml:space="preserve"> a la inmigración laboral”</w:t>
      </w:r>
      <w:r w:rsidRPr="00152800">
        <w:t xml:space="preserve">. Hasta los más entusiastas del modelo socialdemócrata sueco reconocen la </w:t>
      </w:r>
      <w:r w:rsidRPr="00152800">
        <w:rPr>
          <w:rStyle w:val="Textoennegrita"/>
          <w:b w:val="0"/>
        </w:rPr>
        <w:t>naturaleza excluyente de aquel modelo de integración</w:t>
      </w:r>
      <w:r w:rsidRPr="00152800">
        <w:t xml:space="preserve"> que aún hoy sigue en pie. Es el caso de Vicenç Navarro, que hablando de esta cuestión </w:t>
      </w:r>
      <w:hyperlink r:id="rId372" w:history="1">
        <w:r w:rsidRPr="00152800">
          <w:rPr>
            <w:rStyle w:val="Hipervnculo"/>
            <w:color w:val="auto"/>
            <w:u w:val="none"/>
          </w:rPr>
          <w:t>ha escrito</w:t>
        </w:r>
      </w:hyperlink>
      <w:r w:rsidRPr="00152800">
        <w:t xml:space="preserve"> que el objetivo de aquellas medidas no e</w:t>
      </w:r>
      <w:r>
        <w:t>ra la integración laboral sino “</w:t>
      </w:r>
      <w:r w:rsidRPr="00152800">
        <w:t>la integración en el amplio esquem</w:t>
      </w:r>
      <w:r>
        <w:t>a de protección social del país”..</w:t>
      </w:r>
      <w:r w:rsidRPr="00152800">
        <w:t>.</w:t>
      </w:r>
    </w:p>
    <w:p w:rsidR="00C32586" w:rsidRPr="002B3331" w:rsidRDefault="00C32586" w:rsidP="00387350">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Viaje al corazón de la “Banlieue”</w:t>
      </w:r>
      <w:r>
        <w:rPr>
          <w:rFonts w:ascii="Times New Roman" w:hAnsi="Times New Roman" w:cs="Times New Roman"/>
          <w:sz w:val="24"/>
          <w:szCs w:val="24"/>
        </w:rPr>
        <w:t xml:space="preserve"> (El País - </w:t>
      </w:r>
      <w:r w:rsidRPr="002B3331">
        <w:rPr>
          <w:rFonts w:ascii="Times New Roman" w:hAnsi="Times New Roman" w:cs="Times New Roman"/>
          <w:b/>
          <w:sz w:val="24"/>
          <w:szCs w:val="24"/>
        </w:rPr>
        <w:t>30/6/13</w:t>
      </w:r>
      <w:r>
        <w:rPr>
          <w:rFonts w:ascii="Times New Roman" w:hAnsi="Times New Roman" w:cs="Times New Roman"/>
          <w:sz w:val="24"/>
          <w:szCs w:val="24"/>
        </w:rPr>
        <w:t>)</w:t>
      </w:r>
    </w:p>
    <w:p w:rsidR="00C32586" w:rsidRPr="002B3331" w:rsidRDefault="00C32586" w:rsidP="00387350">
      <w:pPr>
        <w:shd w:val="clear" w:color="auto" w:fill="FFFFFF"/>
        <w:spacing w:line="240" w:lineRule="auto"/>
        <w:jc w:val="both"/>
        <w:rPr>
          <w:rFonts w:ascii="Times New Roman" w:hAnsi="Times New Roman" w:cs="Times New Roman"/>
          <w:sz w:val="24"/>
          <w:szCs w:val="24"/>
        </w:rPr>
      </w:pPr>
      <w:r w:rsidRPr="002B3331">
        <w:rPr>
          <w:rFonts w:ascii="Times New Roman" w:hAnsi="Times New Roman" w:cs="Times New Roman"/>
          <w:sz w:val="24"/>
          <w:szCs w:val="24"/>
        </w:rPr>
        <w:t>Francia tiene miedo de ese mundo sin reglas ni derechos que gira a mil por hora. Pero también se asusta de sí misma. Cada poco tiempo se produce un sobresalto, aparecen las fobias, la desconfianza y la rabia acumulada en los pliegues producidos por el paro, la recesión y un sistema social partido en tres pedazos: las élites, la gran clase media y los olvidados. Hace tres años, Nicolas Sarkozy declaró l</w:t>
      </w:r>
      <w:r>
        <w:rPr>
          <w:rFonts w:ascii="Times New Roman" w:hAnsi="Times New Roman" w:cs="Times New Roman"/>
          <w:sz w:val="24"/>
          <w:szCs w:val="24"/>
        </w:rPr>
        <w:t>a guerra a los gitanos rumanos -los últimos del escalafón-</w:t>
      </w:r>
      <w:r w:rsidRPr="002B3331">
        <w:rPr>
          <w:rFonts w:ascii="Times New Roman" w:hAnsi="Times New Roman" w:cs="Times New Roman"/>
          <w:sz w:val="24"/>
          <w:szCs w:val="24"/>
        </w:rPr>
        <w:t xml:space="preserve"> e hizo suyas las tesis xenófobas del Frente Nacional. En 2012, Mohamed Merah, hijo de argelinos criado en la periferia de Toulouse, asesinó a siete personas en nombre de la yihad. En mayo de 2012, la victoria de François Hollande ­pareció serenar los ánimos, pero fue un espejismo. La derecha católica y la ultraderecha tomaron las calles contra el matrimonio gay. Tras meses de tensión, Esteban Morillo, un neonazi de 20 años nacido en Cádiz y criado en un pueblo que vota al Frente Nacional, mataba a puñetazos a un militante antifascista de 18 años. En París, y a plena luz del día.</w:t>
      </w:r>
    </w:p>
    <w:p w:rsidR="00C32586" w:rsidRPr="002B3331" w:rsidRDefault="00C32586" w:rsidP="00387350">
      <w:pPr>
        <w:shd w:val="clear" w:color="auto" w:fill="FFFFFF"/>
        <w:spacing w:line="240" w:lineRule="auto"/>
        <w:jc w:val="both"/>
        <w:rPr>
          <w:rFonts w:ascii="Times New Roman" w:hAnsi="Times New Roman" w:cs="Times New Roman"/>
          <w:sz w:val="24"/>
          <w:szCs w:val="24"/>
        </w:rPr>
      </w:pPr>
      <w:r w:rsidRPr="002B3331">
        <w:rPr>
          <w:rFonts w:ascii="Times New Roman" w:hAnsi="Times New Roman" w:cs="Times New Roman"/>
          <w:sz w:val="24"/>
          <w:szCs w:val="24"/>
        </w:rPr>
        <w:t>Los expertos señalan que la deriva de la quinta potencia mundial, el país de la Enciclopedia y los derechos humanos, no es nueva, y recuerdan que las pulsiones xenófobas y populistas llevan más de tres décadas dando dolores de cabeza a la República. Pero las señales de alarma no dejan de repetirse. Una de las pocas certidumbres que tienen lo</w:t>
      </w:r>
      <w:r w:rsidR="00DD3426">
        <w:rPr>
          <w:rFonts w:ascii="Times New Roman" w:hAnsi="Times New Roman" w:cs="Times New Roman"/>
          <w:sz w:val="24"/>
          <w:szCs w:val="24"/>
        </w:rPr>
        <w:t>s sociólogos y los politólogos -</w:t>
      </w:r>
      <w:r w:rsidRPr="002B3331">
        <w:rPr>
          <w:rFonts w:ascii="Times New Roman" w:hAnsi="Times New Roman" w:cs="Times New Roman"/>
          <w:sz w:val="24"/>
          <w:szCs w:val="24"/>
        </w:rPr>
        <w:t>dos de los</w:t>
      </w:r>
      <w:r w:rsidR="00DD3426">
        <w:rPr>
          <w:rFonts w:ascii="Times New Roman" w:hAnsi="Times New Roman" w:cs="Times New Roman"/>
          <w:sz w:val="24"/>
          <w:szCs w:val="24"/>
        </w:rPr>
        <w:t xml:space="preserve"> oficios más populares del país-</w:t>
      </w:r>
      <w:r w:rsidRPr="002B3331">
        <w:rPr>
          <w:rFonts w:ascii="Times New Roman" w:hAnsi="Times New Roman" w:cs="Times New Roman"/>
          <w:sz w:val="24"/>
          <w:szCs w:val="24"/>
        </w:rPr>
        <w:t xml:space="preserve"> es que la base de los problemas actuales está en la brecha que separa a las periferias de las grandes ciudades del resto de la sociedad. Y cuando se habla de periferia, de la banlieue, la</w:t>
      </w:r>
      <w:r>
        <w:rPr>
          <w:rFonts w:ascii="Times New Roman" w:hAnsi="Times New Roman" w:cs="Times New Roman"/>
          <w:sz w:val="24"/>
          <w:szCs w:val="24"/>
        </w:rPr>
        <w:t xml:space="preserve"> palabra se hace número: el 93.</w:t>
      </w:r>
      <w:r w:rsidR="00C92374">
        <w:rPr>
          <w:rFonts w:ascii="Times New Roman" w:hAnsi="Times New Roman" w:cs="Times New Roman"/>
          <w:sz w:val="24"/>
          <w:szCs w:val="24"/>
        </w:rPr>
        <w:t xml:space="preserve"> </w:t>
      </w:r>
      <w:r w:rsidRPr="002B3331">
        <w:rPr>
          <w:rFonts w:ascii="Times New Roman" w:hAnsi="Times New Roman" w:cs="Times New Roman"/>
          <w:sz w:val="24"/>
          <w:szCs w:val="24"/>
        </w:rPr>
        <w:t>El 93 está en la Isla de Francia, la gran región formada por la aglomeración urbana de París y el cinturón que rodea a la capital. Aquí viven más de 12 millones de personas bastante mal repartidas. Los 20 distritos del centro son la zona más densamente poblada de Francia: ocupa solo el 24% del territorio regional y alberga a un 88% de los habitantes de una comarca que es la segunda más rica de Europ</w:t>
      </w:r>
      <w:r w:rsidR="00DD3426">
        <w:rPr>
          <w:rFonts w:ascii="Times New Roman" w:hAnsi="Times New Roman" w:cs="Times New Roman"/>
          <w:sz w:val="24"/>
          <w:szCs w:val="24"/>
        </w:rPr>
        <w:t>a en términos de PIB comparado -tras Renania-Westfalia-</w:t>
      </w:r>
      <w:r w:rsidRPr="002B3331">
        <w:rPr>
          <w:rFonts w:ascii="Times New Roman" w:hAnsi="Times New Roman" w:cs="Times New Roman"/>
          <w:sz w:val="24"/>
          <w:szCs w:val="24"/>
        </w:rPr>
        <w:t xml:space="preserve"> y l</w:t>
      </w:r>
      <w:r>
        <w:rPr>
          <w:rFonts w:ascii="Times New Roman" w:hAnsi="Times New Roman" w:cs="Times New Roman"/>
          <w:sz w:val="24"/>
          <w:szCs w:val="24"/>
        </w:rPr>
        <w:t>a sexta en renta por habitante.</w:t>
      </w:r>
    </w:p>
    <w:p w:rsidR="00C32586" w:rsidRDefault="00C32586" w:rsidP="00387350">
      <w:pPr>
        <w:shd w:val="clear" w:color="auto" w:fill="FFFFFF"/>
        <w:spacing w:line="240" w:lineRule="auto"/>
        <w:jc w:val="both"/>
        <w:rPr>
          <w:rFonts w:ascii="Times New Roman" w:hAnsi="Times New Roman" w:cs="Times New Roman"/>
          <w:sz w:val="24"/>
          <w:szCs w:val="24"/>
        </w:rPr>
      </w:pPr>
      <w:r w:rsidRPr="002B3331">
        <w:rPr>
          <w:rFonts w:ascii="Times New Roman" w:hAnsi="Times New Roman" w:cs="Times New Roman"/>
          <w:sz w:val="24"/>
          <w:szCs w:val="24"/>
        </w:rPr>
        <w:t>La corona noreste es la provincia (o departamento) de Seine-Saint-Denis: el 93, por las dos primeras cifras de su código postal. Ocupada por los galos de Astérix, el 93 fue durante gran parte d</w:t>
      </w:r>
      <w:r>
        <w:rPr>
          <w:rFonts w:ascii="Times New Roman" w:hAnsi="Times New Roman" w:cs="Times New Roman"/>
          <w:sz w:val="24"/>
          <w:szCs w:val="24"/>
        </w:rPr>
        <w:t>el siglo XX un feudo comunista -</w:t>
      </w:r>
      <w:r w:rsidRPr="002B3331">
        <w:rPr>
          <w:rFonts w:ascii="Times New Roman" w:hAnsi="Times New Roman" w:cs="Times New Roman"/>
          <w:sz w:val="24"/>
          <w:szCs w:val="24"/>
        </w:rPr>
        <w:t xml:space="preserve">aquí tiene su sede el diario </w:t>
      </w:r>
      <w:r>
        <w:rPr>
          <w:rFonts w:ascii="Times New Roman" w:hAnsi="Times New Roman" w:cs="Times New Roman"/>
          <w:sz w:val="24"/>
          <w:szCs w:val="24"/>
        </w:rPr>
        <w:t>L’Humanité-</w:t>
      </w:r>
      <w:r w:rsidRPr="002B3331">
        <w:rPr>
          <w:rFonts w:ascii="Times New Roman" w:hAnsi="Times New Roman" w:cs="Times New Roman"/>
          <w:sz w:val="24"/>
          <w:szCs w:val="24"/>
        </w:rPr>
        <w:t xml:space="preserve">, y algunas de sus 40 ciudades dormitorio tienen todavía alcaldes del PCF, aunque los socialistas </w:t>
      </w:r>
      <w:r w:rsidR="00C92374">
        <w:rPr>
          <w:rFonts w:ascii="Times New Roman" w:hAnsi="Times New Roman" w:cs="Times New Roman"/>
          <w:sz w:val="24"/>
          <w:szCs w:val="24"/>
        </w:rPr>
        <w:t xml:space="preserve">gobiernan la región desde 2008… </w:t>
      </w:r>
      <w:r w:rsidRPr="002B3331">
        <w:rPr>
          <w:rFonts w:ascii="Times New Roman" w:hAnsi="Times New Roman" w:cs="Times New Roman"/>
          <w:sz w:val="24"/>
          <w:szCs w:val="24"/>
        </w:rPr>
        <w:t>La evolución de la banlieue es “dinámica, paradójica y nada monolítica”, concluye el politólogo. Energía, talento, participación, lucha, pasión, humor, hachís, hip-hop, sentido colectivo, multiculturalidad, boom inmobiliario… La visita al 93 deja una pregunta en el aire: ¿no será esta República de los suburbios la verdadera Francia, la Francia moderna, la Francia del futuro?</w:t>
      </w:r>
    </w:p>
    <w:p w:rsidR="00EF0AAF" w:rsidRPr="008B3730" w:rsidRDefault="00EF0AAF" w:rsidP="00387350">
      <w:pPr>
        <w:shd w:val="clear" w:color="auto" w:fill="FFFFFF"/>
        <w:spacing w:before="100" w:beforeAutospacing="1" w:after="100" w:afterAutospacing="1"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“Tinta fresca”: últimos acontecimientos al “cierre” de la edición </w:t>
      </w:r>
      <w:r w:rsidR="000945E6">
        <w:rPr>
          <w:rFonts w:ascii="Times New Roman" w:hAnsi="Times New Roman" w:cs="Times New Roman"/>
          <w:b/>
          <w:sz w:val="24"/>
          <w:szCs w:val="24"/>
        </w:rPr>
        <w:t>(de hemeroteca 4º Trimestre</w:t>
      </w:r>
      <w:r>
        <w:rPr>
          <w:rFonts w:ascii="Times New Roman" w:hAnsi="Times New Roman" w:cs="Times New Roman"/>
          <w:b/>
          <w:sz w:val="24"/>
          <w:szCs w:val="24"/>
        </w:rPr>
        <w:t xml:space="preserve"> 2013)</w:t>
      </w:r>
    </w:p>
    <w:p w:rsidR="00EF0AAF" w:rsidRDefault="00EF0AAF" w:rsidP="00387350">
      <w:pPr>
        <w:pStyle w:val="NormalWeb"/>
        <w:jc w:val="both"/>
      </w:pPr>
      <w:r>
        <w:t xml:space="preserve">- </w:t>
      </w:r>
      <w:r w:rsidRPr="00CD3744">
        <w:rPr>
          <w:u w:val="single"/>
        </w:rPr>
        <w:t>Todos somos pobres: por qué el 55% de España es ya proletaria</w:t>
      </w:r>
      <w:r>
        <w:t xml:space="preserve"> (El Confidencial - </w:t>
      </w:r>
      <w:r w:rsidRPr="00CD3744">
        <w:rPr>
          <w:b/>
        </w:rPr>
        <w:t>19/10/13</w:t>
      </w:r>
      <w:r>
        <w:t>)</w:t>
      </w:r>
    </w:p>
    <w:p w:rsidR="00EF0AAF" w:rsidRPr="00DC6AA9" w:rsidRDefault="00EF0AAF" w:rsidP="00387350">
      <w:pPr>
        <w:pStyle w:val="NormalWeb"/>
        <w:jc w:val="both"/>
      </w:pPr>
      <w:r w:rsidRPr="00EF0AAF">
        <w:rPr>
          <w:rStyle w:val="Textoennegrita"/>
          <w:b w:val="0"/>
        </w:rPr>
        <w:t>José Félix Tezanos,</w:t>
      </w:r>
      <w:r w:rsidRPr="00DC6AA9">
        <w:t xml:space="preserve"> catedrático de Sociología de la UNED, es uno de los investigadores españoles que ha estudiado más a fondo las clases sociales. Bajo su punto de vista, </w:t>
      </w:r>
      <w:r w:rsidRPr="00EF0AAF">
        <w:rPr>
          <w:rStyle w:val="Textoennegrita"/>
          <w:b w:val="0"/>
        </w:rPr>
        <w:t>con seis millones de parados, hemos llegado a un punto en el que resulta poco realista hablar de clase trabajadora. </w:t>
      </w:r>
      <w:r w:rsidRPr="00DC6AA9">
        <w:t xml:space="preserve">“Estamos utilizando conceptos engañosos, no podemos llamar clase trabajadora a los que no trabajan”, asegura Tezanos. “Hay una situación tan nueva… Antes el trabajador era necesario para que algunos ganaran, ahora hay gente que gana sin necesidad de que nadie trabaje para ellos”. El resultado de esta situación es una profunda desigualdad. Que no sólo alcanza a parados, sino también a una gran parte de los trabajadores asalariados. Basta con observar la evolución salarial en Europa. Según Eurostat, la oficina estadística de la Unión Europea, </w:t>
      </w:r>
      <w:r w:rsidRPr="00EF0AAF">
        <w:rPr>
          <w:rStyle w:val="Textoennegrita"/>
          <w:b w:val="0"/>
        </w:rPr>
        <w:t>en España la desigualdad entre quienes más y quienes menos cobran se ha disparado desde el 2007</w:t>
      </w:r>
      <w:r w:rsidRPr="00EF0AAF">
        <w:rPr>
          <w:b/>
        </w:rPr>
        <w:t>.</w:t>
      </w:r>
      <w:r w:rsidRPr="00DC6AA9">
        <w:t xml:space="preserve"> Si relacionamos los ingresos de la población que gana más que el 80% del resto de ciudadanos con los del 20% que gana menos (una relación estadística muy utilizada en comparaciones de este tipo), España se sitúa a la cabeza de la desigualdad. Desde el 2008 nuestro país ha dejado atrás al grupo de países entre los que suele ser incluida: Grecia, Italia e Irlanda. Los últimos datos disponibles sitúan a España a la cabeza de Europa en desigualdad, por detrás sólo de Rumanía y Bulgaria.</w:t>
      </w:r>
    </w:p>
    <w:p w:rsidR="00EF0AAF" w:rsidRPr="00DC6AA9" w:rsidRDefault="00EF0AAF" w:rsidP="00387350">
      <w:pPr>
        <w:pStyle w:val="chart-intro"/>
        <w:jc w:val="both"/>
      </w:pPr>
      <w:r w:rsidRPr="00DC6AA9">
        <w:t xml:space="preserve">Valor: ratio de la población que gana más del 80% del resto de ciudadanos comparado con el 20% que gana menos. </w:t>
      </w:r>
    </w:p>
    <w:p w:rsidR="00EF0AAF" w:rsidRPr="00DC6AA9" w:rsidRDefault="00EF0AAF" w:rsidP="00387350">
      <w:pPr>
        <w:pStyle w:val="NormalWeb"/>
        <w:jc w:val="both"/>
      </w:pPr>
      <w:r w:rsidRPr="00DC6AA9">
        <w:rPr>
          <w:noProof/>
        </w:rPr>
        <w:drawing>
          <wp:inline distT="0" distB="0" distL="0" distR="0" wp14:anchorId="2AD9F4AF" wp14:editId="068CA9A2">
            <wp:extent cx="5398614" cy="1404518"/>
            <wp:effectExtent l="0" t="0" r="0" b="571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398770" cy="1404559"/>
                    </a:xfrm>
                    <a:prstGeom prst="rect">
                      <a:avLst/>
                    </a:prstGeom>
                    <a:noFill/>
                    <a:ln>
                      <a:noFill/>
                    </a:ln>
                  </pic:spPr>
                </pic:pic>
              </a:graphicData>
            </a:graphic>
          </wp:inline>
        </w:drawing>
      </w:r>
    </w:p>
    <w:p w:rsidR="00EF0AAF" w:rsidRDefault="00EF0AAF" w:rsidP="00387350">
      <w:pPr>
        <w:pStyle w:val="NormalWeb"/>
        <w:jc w:val="both"/>
      </w:pPr>
      <w:r w:rsidRPr="00DC6AA9">
        <w:t xml:space="preserve">Es por esto que, según Tezanos, se puede hablar de exclusión, un concepto que alcanza a más del 55% de la población española. Se trata de una masa conformada por parados y los llamados “trabajadores pobres”, aquellos que, pese a tener un trabajo, llegan a fin de mes por los pelos. </w:t>
      </w:r>
      <w:hyperlink r:id="rId374" w:tgtFrame="_blank" w:history="1">
        <w:r w:rsidRPr="00EF0AAF">
          <w:rPr>
            <w:rStyle w:val="Hipervnculo"/>
            <w:color w:val="auto"/>
            <w:u w:val="none"/>
          </w:rPr>
          <w:t>Un reciente informe de Nielsen</w:t>
        </w:r>
      </w:hyperlink>
      <w:r w:rsidRPr="00DC6AA9">
        <w:t xml:space="preserve"> destaca que, el pasado año, un 48% de la población española sólo pudo afrontar los gastos relacionados con vivienda y alimentación.</w:t>
      </w:r>
      <w:r>
        <w:t xml:space="preserve"> </w:t>
      </w:r>
      <w:r w:rsidRPr="00DC6AA9">
        <w:t xml:space="preserve">“En los países de la OCDE a mediados de los 70 el número total de desempleados estaba en torno a los 10 millones, entre los cuales casi ninguno eran parados de larga duración, eran de ciclo corto”, explica Tezanos. “Ahora los países de la OCDE, los más ricos del planeta, tienen cerca de 50 millones de parados, sin contar a los precarios. No estamos hablando de la nueva clase obrera, estamos hablando de la </w:t>
      </w:r>
      <w:r w:rsidRPr="00EF0AAF">
        <w:rPr>
          <w:rStyle w:val="Textoennegrita"/>
          <w:b w:val="0"/>
        </w:rPr>
        <w:t>novísima clase obrera</w:t>
      </w:r>
      <w:r w:rsidRPr="00EF0AAF">
        <w:t>:</w:t>
      </w:r>
      <w:r w:rsidRPr="00DC6AA9">
        <w:t xml:space="preserve"> se vuelve a las situaciones anteriores, de deterioro y precarización general de las condiciones trabajo”… Los sociólogos entrevistados coinciden en que </w:t>
      </w:r>
      <w:r w:rsidRPr="00EF0AAF">
        <w:rPr>
          <w:rStyle w:val="Textoennegrita"/>
          <w:b w:val="0"/>
        </w:rPr>
        <w:t>son los jóvenes “el sector preponderante y mayoritario” de esta nueva “conciencia de situación social”.</w:t>
      </w:r>
      <w:r w:rsidRPr="00DC6AA9">
        <w:rPr>
          <w:rStyle w:val="Textoennegrita"/>
        </w:rPr>
        <w:t> </w:t>
      </w:r>
      <w:r w:rsidRPr="00DC6AA9">
        <w:t xml:space="preserve">Sin embargo, identifican también como parte de los </w:t>
      </w:r>
      <w:r w:rsidRPr="00DC6AA9">
        <w:lastRenderedPageBreak/>
        <w:t>excluidos a los desempleados de más de 50 años, que se enfrentan al paro de larga duración y a una empleabilidad que tiende a cero… Mujeres, inmigrantes, parados de más de 50 años y jóvenes bien formados que no alcanzan los 1.000 euros mensuales. Una nueva clase que, apuntan, no cuenta con ningún apoyo político: es vulnerable. “No sé si de forma consciente o inconsciente o porque la vida es así, </w:t>
      </w:r>
      <w:r w:rsidRPr="00EF0AAF">
        <w:rPr>
          <w:rStyle w:val="Textoennegrita"/>
          <w:b w:val="0"/>
        </w:rPr>
        <w:t>los sindicatos se han volcado con aquellos sectores y actividades en los cuales su grado de penetración era más grande”</w:t>
      </w:r>
      <w:r w:rsidRPr="00DC6AA9">
        <w:rPr>
          <w:rStyle w:val="Textoennegrita"/>
        </w:rPr>
        <w:t xml:space="preserve">, </w:t>
      </w:r>
      <w:r w:rsidRPr="00DC6AA9">
        <w:t>argumentan</w:t>
      </w:r>
      <w:r>
        <w:t>.</w:t>
      </w:r>
    </w:p>
    <w:p w:rsidR="00EF0AAF" w:rsidRDefault="00EF0AAF" w:rsidP="00387350">
      <w:pPr>
        <w:pStyle w:val="NormalWeb"/>
      </w:pPr>
      <w:r>
        <w:t xml:space="preserve">- </w:t>
      </w:r>
      <w:r w:rsidRPr="00925456">
        <w:rPr>
          <w:u w:val="single"/>
        </w:rPr>
        <w:t>La crisis, cruda: tres de cada cuatro jóvenes españoles de hasta 32 años viven todavía con sus padres</w:t>
      </w:r>
      <w:r>
        <w:t xml:space="preserve"> (Vozpópuli - </w:t>
      </w:r>
      <w:r w:rsidRPr="00925456">
        <w:rPr>
          <w:b/>
        </w:rPr>
        <w:t>23/10/13</w:t>
      </w:r>
      <w:r>
        <w:t>)</w:t>
      </w:r>
    </w:p>
    <w:p w:rsidR="00EF0AAF" w:rsidRPr="00EF0AAF" w:rsidRDefault="00EF0AAF" w:rsidP="00387350">
      <w:pPr>
        <w:pStyle w:val="NormalWeb"/>
        <w:jc w:val="both"/>
      </w:pPr>
      <w:r w:rsidRPr="002620C8">
        <w:t>El “</w:t>
      </w:r>
      <w:r w:rsidRPr="007B59FE">
        <w:rPr>
          <w:i/>
        </w:rPr>
        <w:t>Estudio de opiniones, actitudes y expectativas vitales de la juventud española</w:t>
      </w:r>
      <w:r w:rsidRPr="002620C8">
        <w:t>” elaborado por la fundación Pfizer ha comprendido un total de 1.412 entrevistas realizadas a jóvenes españoles de entre 15 y 32 años. Para el 67,5% de los encuestados el paro es el principal problema del conjunto de la juventud española.. Sólo la mitad de los jóvenes trabaja en un ámbito relacionado con lo que ha estudiado… Es sorprendente que la gran mayoría de los jóvenes españoles (el 72%) declara vivir todavía en casa de sus padres, y sólo un 20% se ha independizado, a pesar de que a partir de los 27 años a todos les gustaría haberse emancipado. En este mismo contexto, un alto porcentaje de los jóvenes (el 58%) vive de los ingresos ajenos, fundamentalmente de los proporcionados por sus padres, que en un 86% de los casos son los que financian a sus hijos. El análisis desarrollado por Pfizer ha comprendido un total de 1.412 entrevistas realizadas a jóvenes españoles de entre 15 y 32 años. Para el 67,5% de los encuestados el paro es el principal problema del conjunto de la juventud española. Le siguen los estudios y la educación (para el 28,1%), la calidad del empleo (el 10%), los problemas económicos (9%) y la falta de expectativas de futuro (7,7%).</w:t>
      </w:r>
    </w:p>
    <w:p w:rsidR="00EF0AAF" w:rsidRPr="00BB5417" w:rsidRDefault="00EF0AAF"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BB5417">
        <w:rPr>
          <w:rFonts w:ascii="Times New Roman" w:hAnsi="Times New Roman"/>
          <w:sz w:val="24"/>
          <w:szCs w:val="24"/>
          <w:u w:val="single"/>
        </w:rPr>
        <w:t>Estados Unidos inicia recorte de ayudas para alimentos</w:t>
      </w:r>
      <w:r>
        <w:rPr>
          <w:rFonts w:ascii="Times New Roman" w:hAnsi="Times New Roman"/>
          <w:sz w:val="24"/>
          <w:szCs w:val="24"/>
        </w:rPr>
        <w:t xml:space="preserve"> (BBCMundo - </w:t>
      </w:r>
      <w:r w:rsidRPr="00BB5417">
        <w:rPr>
          <w:rFonts w:ascii="Times New Roman" w:hAnsi="Times New Roman"/>
          <w:b/>
          <w:sz w:val="24"/>
          <w:szCs w:val="24"/>
        </w:rPr>
        <w:t>1/11/13</w:t>
      </w:r>
      <w:r>
        <w:rPr>
          <w:rFonts w:ascii="Times New Roman" w:hAnsi="Times New Roman"/>
          <w:sz w:val="24"/>
          <w:szCs w:val="24"/>
        </w:rPr>
        <w:t>)</w:t>
      </w:r>
      <w:r w:rsidRPr="00BB5417">
        <w:rPr>
          <w:rFonts w:ascii="Times New Roman" w:hAnsi="Times New Roman"/>
          <w:sz w:val="24"/>
          <w:szCs w:val="24"/>
        </w:rPr>
        <w:t xml:space="preserve"> </w:t>
      </w:r>
    </w:p>
    <w:p w:rsidR="00EF0AAF" w:rsidRDefault="00EF0AAF" w:rsidP="00387350">
      <w:pPr>
        <w:spacing w:line="240" w:lineRule="auto"/>
        <w:jc w:val="both"/>
        <w:rPr>
          <w:rFonts w:ascii="Times New Roman" w:hAnsi="Times New Roman"/>
          <w:sz w:val="24"/>
          <w:szCs w:val="24"/>
        </w:rPr>
      </w:pPr>
      <w:r w:rsidRPr="00BB5417">
        <w:rPr>
          <w:rFonts w:ascii="Times New Roman" w:hAnsi="Times New Roman"/>
          <w:sz w:val="24"/>
          <w:szCs w:val="24"/>
        </w:rPr>
        <w:t>Cerca de 47 millones de estadounidenses con bajos ingresos verán recortadas sus ayudas para compra</w:t>
      </w:r>
      <w:r>
        <w:rPr>
          <w:rFonts w:ascii="Times New Roman" w:hAnsi="Times New Roman"/>
          <w:sz w:val="24"/>
          <w:szCs w:val="24"/>
        </w:rPr>
        <w:t xml:space="preserve">r alimentos desde este viernes. </w:t>
      </w:r>
      <w:r w:rsidRPr="00BB5417">
        <w:rPr>
          <w:rFonts w:ascii="Times New Roman" w:hAnsi="Times New Roman"/>
          <w:sz w:val="24"/>
          <w:szCs w:val="24"/>
        </w:rPr>
        <w:t>Las ayudas para alimentos se introdujeron en el país para paliar los efectos de la crisis económica entre los más pobres, pero ahora e</w:t>
      </w:r>
      <w:r>
        <w:rPr>
          <w:rFonts w:ascii="Times New Roman" w:hAnsi="Times New Roman"/>
          <w:sz w:val="24"/>
          <w:szCs w:val="24"/>
        </w:rPr>
        <w:t xml:space="preserve">l plan está a punto de expirar. </w:t>
      </w:r>
      <w:r w:rsidRPr="00BB5417">
        <w:rPr>
          <w:rFonts w:ascii="Times New Roman" w:hAnsi="Times New Roman"/>
          <w:sz w:val="24"/>
          <w:szCs w:val="24"/>
        </w:rPr>
        <w:t>Como resultado, una familia de cuatro integrant</w:t>
      </w:r>
      <w:r>
        <w:rPr>
          <w:rFonts w:ascii="Times New Roman" w:hAnsi="Times New Roman"/>
          <w:sz w:val="24"/>
          <w:szCs w:val="24"/>
        </w:rPr>
        <w:t xml:space="preserve">es recibirá US$ 36 menos al mes. </w:t>
      </w:r>
      <w:r w:rsidRPr="00BB5417">
        <w:rPr>
          <w:rFonts w:ascii="Times New Roman" w:hAnsi="Times New Roman"/>
          <w:sz w:val="24"/>
          <w:szCs w:val="24"/>
        </w:rPr>
        <w:t>El partido Republicano pidió ante el Congreso más recortes en esta ayuda. Según dicen, debería apuntar a los más necesitados.</w:t>
      </w:r>
    </w:p>
    <w:p w:rsidR="00EF0AAF" w:rsidRPr="00B13721" w:rsidRDefault="00EF0AAF" w:rsidP="0038735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B13721">
        <w:rPr>
          <w:rFonts w:ascii="Times New Roman" w:hAnsi="Times New Roman"/>
          <w:sz w:val="24"/>
          <w:szCs w:val="24"/>
          <w:u w:val="single"/>
        </w:rPr>
        <w:t>Una guerra contra los pobres</w:t>
      </w:r>
      <w:r>
        <w:rPr>
          <w:rFonts w:ascii="Times New Roman" w:hAnsi="Times New Roman"/>
          <w:sz w:val="24"/>
          <w:szCs w:val="24"/>
        </w:rPr>
        <w:t xml:space="preserve"> (</w:t>
      </w:r>
      <w:r w:rsidRPr="00B13721">
        <w:rPr>
          <w:rFonts w:ascii="Times New Roman" w:hAnsi="Times New Roman"/>
          <w:sz w:val="24"/>
          <w:szCs w:val="24"/>
        </w:rPr>
        <w:t>Paul K</w:t>
      </w:r>
      <w:r>
        <w:rPr>
          <w:rFonts w:ascii="Times New Roman" w:hAnsi="Times New Roman"/>
          <w:sz w:val="24"/>
          <w:szCs w:val="24"/>
        </w:rPr>
        <w:t xml:space="preserve">rugman - El País - </w:t>
      </w:r>
      <w:r w:rsidRPr="00B13721">
        <w:rPr>
          <w:rFonts w:ascii="Times New Roman" w:hAnsi="Times New Roman"/>
          <w:b/>
          <w:sz w:val="24"/>
          <w:szCs w:val="24"/>
        </w:rPr>
        <w:t>3/11/13</w:t>
      </w:r>
      <w:r>
        <w:rPr>
          <w:rFonts w:ascii="Times New Roman" w:hAnsi="Times New Roman"/>
          <w:sz w:val="24"/>
          <w:szCs w:val="24"/>
        </w:rPr>
        <w:t>)</w:t>
      </w:r>
    </w:p>
    <w:p w:rsidR="00EF0AAF" w:rsidRDefault="00EF0AAF" w:rsidP="00387350">
      <w:pPr>
        <w:spacing w:before="100" w:beforeAutospacing="1" w:after="100" w:afterAutospacing="1" w:line="240" w:lineRule="auto"/>
        <w:jc w:val="both"/>
        <w:rPr>
          <w:rFonts w:ascii="Times New Roman" w:hAnsi="Times New Roman"/>
          <w:sz w:val="24"/>
          <w:szCs w:val="24"/>
        </w:rPr>
      </w:pPr>
      <w:r w:rsidRPr="00BD5752">
        <w:rPr>
          <w:rFonts w:ascii="Times New Roman" w:hAnsi="Times New Roman"/>
          <w:sz w:val="24"/>
          <w:szCs w:val="24"/>
        </w:rPr>
        <w:t xml:space="preserve">Últimamente, John Kasich, gobernador republicano de Ohio, ha hecho algunas cosas sorprendentes. En primer lugar, sorteó a la asamblea legislativa de su Estado -controlada por su propio partido- para llevar adelante el programa Medicaid, financiado con fondos federales y una pieza importante de la reforma sanitaria de Obama. Luego, en defensa de su actuación, disparó contra sus aliados diciendo: “Me preocupa el hecho de que, en apariencia, se está librando una guerra contra los pobres. O sea, que si eres pobre es que, de alguna manera, eres un incompetente y un vago”… La gran pregunta es: “¿Por qué?”. Pero antes vamos a hablar un poco de qué está corroyendo a la derecha… Entonces, ¿cuál es el quid de la cuestión? En un reciente ensayo, el sociólogo Daniel Little insinuaba que una de las razones es la ideología del mercado: si el mercado siempre tiene razón, entonces la gente que acaba en la pobreza es porque merece ser </w:t>
      </w:r>
      <w:r w:rsidRPr="00BD5752">
        <w:rPr>
          <w:rFonts w:ascii="Times New Roman" w:hAnsi="Times New Roman"/>
          <w:sz w:val="24"/>
          <w:szCs w:val="24"/>
        </w:rPr>
        <w:lastRenderedPageBreak/>
        <w:t>pobre. Y yo añadiría que algunos dirigentes republicanos representan en sus mentes fantasías libertarias adolescentes. “Es como si en este momento estuviésemos viviendo en una novela de Ayn Rand”, decía Paul Ryan en 2009. Pero, como afirma Little, también está el estigma que nunca se borra: la raza. En un informe reciente citado en múltiples ocasiones, Democracy Corps, una organización de tendencias demócratas dedicada a los estudios de opinión, exponía las conclusiones de los grupos de debate con miembros de diferentes facciones republicanas. Descubrieron que las bases republicanas son “muy conscientes de su condición de blancos en un país en el que esto es cada vez más minoritario”, y que consideraban que el sistema de protección social ayuda a los otros, no a la gente como ellos, y vincula a la población no blanca al Partido Demócrata. Y, efectivamente, la ampliación del programa Medicare que muchos Estados están rechazando habría favorecido de forma desproporcionada a los negros pobres. Así que es verdad que se está librando una guerra contra los pobres, coincidiendo con -y ahondando en- el padecimiento que ocasiona una economía con problemas. Y esa guerra es ahora el asunto central y definitorio de la política en Estados Unidos.</w:t>
      </w:r>
    </w:p>
    <w:p w:rsidR="00EF0AAF" w:rsidRDefault="00EF0AAF" w:rsidP="00387350">
      <w:pPr>
        <w:shd w:val="clear" w:color="auto" w:fill="FFFFFF"/>
        <w:spacing w:before="100" w:beforeAutospacing="1" w:after="345" w:line="240" w:lineRule="auto"/>
        <w:jc w:val="both"/>
        <w:rPr>
          <w:rFonts w:ascii="Times New Roman" w:hAnsi="Times New Roman"/>
          <w:sz w:val="24"/>
          <w:szCs w:val="24"/>
        </w:rPr>
      </w:pPr>
      <w:r>
        <w:rPr>
          <w:rFonts w:ascii="Times New Roman" w:hAnsi="Times New Roman"/>
          <w:sz w:val="24"/>
          <w:szCs w:val="24"/>
        </w:rPr>
        <w:t xml:space="preserve">- </w:t>
      </w:r>
      <w:r w:rsidRPr="0027180E">
        <w:rPr>
          <w:rFonts w:ascii="Times New Roman" w:hAnsi="Times New Roman"/>
          <w:sz w:val="24"/>
          <w:szCs w:val="24"/>
          <w:u w:val="single"/>
        </w:rPr>
        <w:t>La crisis económica y el</w:t>
      </w:r>
      <w:r>
        <w:rPr>
          <w:rFonts w:ascii="Times New Roman" w:hAnsi="Times New Roman"/>
          <w:sz w:val="24"/>
          <w:szCs w:val="24"/>
          <w:u w:val="single"/>
        </w:rPr>
        <w:t xml:space="preserve"> paro cambian el perfil de los “sin hogar”</w:t>
      </w:r>
      <w:r w:rsidRPr="0027180E">
        <w:rPr>
          <w:rFonts w:ascii="Times New Roman" w:hAnsi="Times New Roman"/>
          <w:sz w:val="24"/>
          <w:szCs w:val="24"/>
          <w:u w:val="single"/>
        </w:rPr>
        <w:t xml:space="preserve"> en España</w:t>
      </w:r>
      <w:r>
        <w:rPr>
          <w:rFonts w:ascii="Times New Roman" w:hAnsi="Times New Roman"/>
          <w:sz w:val="24"/>
          <w:szCs w:val="24"/>
        </w:rPr>
        <w:t xml:space="preserve"> (El Confidencial - </w:t>
      </w:r>
      <w:r w:rsidRPr="0027180E">
        <w:rPr>
          <w:rFonts w:ascii="Times New Roman" w:hAnsi="Times New Roman"/>
          <w:b/>
          <w:sz w:val="24"/>
          <w:szCs w:val="24"/>
        </w:rPr>
        <w:t>10/11/13</w:t>
      </w:r>
      <w:r>
        <w:rPr>
          <w:rFonts w:ascii="Times New Roman" w:hAnsi="Times New Roman"/>
          <w:sz w:val="24"/>
          <w:szCs w:val="24"/>
        </w:rPr>
        <w:t>)</w:t>
      </w:r>
    </w:p>
    <w:p w:rsidR="00EF0AAF" w:rsidRDefault="00EF0AAF" w:rsidP="00387350">
      <w:pPr>
        <w:shd w:val="clear" w:color="auto" w:fill="FFFFFF"/>
        <w:spacing w:before="100" w:beforeAutospacing="1" w:after="345" w:line="240" w:lineRule="auto"/>
        <w:jc w:val="both"/>
        <w:rPr>
          <w:rFonts w:ascii="Times New Roman" w:hAnsi="Times New Roman"/>
          <w:sz w:val="24"/>
          <w:szCs w:val="24"/>
        </w:rPr>
      </w:pPr>
      <w:r w:rsidRPr="00BD5752">
        <w:rPr>
          <w:rFonts w:ascii="Times New Roman" w:hAnsi="Times New Roman"/>
          <w:sz w:val="24"/>
          <w:szCs w:val="24"/>
        </w:rPr>
        <w:t>La sociedad tiene muchos nombres para Tomás. Tomás es un mendigo, un pobre, un excluido. Un “sin techo”, una persona sin hogar. Sin embargo, Tomás es un parado. También un estudiante. También un hombre que imagina otro futuro y que da pasos para hacerlo realidad. Tomás es una de las 22.938 personas que, según los últimos datos del INE, hicieron uso de los servicios asistenciales de alojamiento o restauración en municipios españoles de más de 20.000 habitantes en 2012. Se trata de la Encuesta a las Personas Sin Hogar, que, publicada a mediados de este año, arroja luz sobre un problema social cada vez más intenso -mil personas más de las que figuraban en el anterior estudio, de 2005-, que afecta a 71,3 de cada 100.000 habitantes en España. En su mayoría están en Cataluña (21,3%), Madrid (15,4%) y Andalucía (13,1%). Tomás cuadra bien además con el perfil que arroja ese informe: mayoría de españoles en la calle (54,2%, frente al 51% en 2005), entre los 30 y 44 años de edad (38,4%), que perdió el empleo (un mayoritario 45% atribuye su situación a esa causa) y que lo busca (52,1%), mientras duerme en alojamientos colectivos (43,9%). El número medio de las personas que duermen en alguno de los centros de atención fue de 14.050 en 2012. En ellos (sumando los de alojamiento, restauración, información, etc.) trabajaron más de 16.000 personas (57% de voluntarios), con un gasto de 201,13 millones de euros. El 75,8% de estos centros se financia única o mayoritariamente por las administraciones públicas… Desde el año 2012, cuando se recabaron los datos del INE, han detectado “un incremento y una modificación en el perfil de las personas que atendemos. Aumenta la población española, y entre la inmigrante entran personas que ya tenían un proyecto de larga duración en España, pierden el empleo y esto les lleva a una situación de irregularidad administrativa”, lo que desemboca en una “exclusión sobrevenida”. Hay una parte producida por la crisis: se trata, sobre todo, de personas que estaban ya “en una situación de vulnerabilidad, pero que se mantenían con trabajos precarios, y ya no”. “Ha cambiado el perfil y se han incorporado grupos de población que hasta hace poco tenían una situación ‘normalizada’”, confirman también desde Cruz Roja.</w:t>
      </w:r>
    </w:p>
    <w:p w:rsidR="00EF0AAF" w:rsidRDefault="00EF0AAF" w:rsidP="00387350">
      <w:pPr>
        <w:shd w:val="clear" w:color="auto" w:fill="FFFFFF"/>
        <w:spacing w:before="100" w:beforeAutospacing="1" w:after="345" w:line="240" w:lineRule="auto"/>
        <w:jc w:val="both"/>
        <w:rPr>
          <w:rFonts w:ascii="Times New Roman" w:hAnsi="Times New Roman"/>
          <w:sz w:val="24"/>
          <w:szCs w:val="24"/>
        </w:rPr>
      </w:pPr>
    </w:p>
    <w:p w:rsidR="00EF0AAF" w:rsidRPr="00945CD4" w:rsidRDefault="00EF0AAF" w:rsidP="00387350">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1829C5">
        <w:rPr>
          <w:rFonts w:ascii="Times New Roman" w:hAnsi="Times New Roman"/>
          <w:sz w:val="24"/>
          <w:szCs w:val="24"/>
          <w:u w:val="single"/>
        </w:rPr>
        <w:t>El riesgo de pobreza alcanza casi a un tercio de los españoles</w:t>
      </w:r>
      <w:r>
        <w:rPr>
          <w:rFonts w:ascii="Times New Roman" w:hAnsi="Times New Roman"/>
          <w:sz w:val="24"/>
          <w:szCs w:val="24"/>
        </w:rPr>
        <w:t xml:space="preserve"> (Gaceta.es - </w:t>
      </w:r>
      <w:r>
        <w:rPr>
          <w:rFonts w:ascii="Times New Roman" w:hAnsi="Times New Roman"/>
          <w:b/>
          <w:sz w:val="24"/>
          <w:szCs w:val="24"/>
        </w:rPr>
        <w:t>13</w:t>
      </w:r>
      <w:r w:rsidRPr="001829C5">
        <w:rPr>
          <w:rFonts w:ascii="Times New Roman" w:hAnsi="Times New Roman"/>
          <w:b/>
          <w:sz w:val="24"/>
          <w:szCs w:val="24"/>
        </w:rPr>
        <w:t>/11/13</w:t>
      </w:r>
      <w:r>
        <w:rPr>
          <w:rFonts w:ascii="Times New Roman" w:hAnsi="Times New Roman"/>
          <w:sz w:val="24"/>
          <w:szCs w:val="24"/>
        </w:rPr>
        <w:t>)</w:t>
      </w:r>
    </w:p>
    <w:p w:rsidR="00EF0AAF" w:rsidRDefault="00EF0AAF" w:rsidP="00387350">
      <w:pPr>
        <w:spacing w:line="240" w:lineRule="auto"/>
        <w:jc w:val="both"/>
        <w:rPr>
          <w:rFonts w:ascii="Times New Roman" w:hAnsi="Times New Roman"/>
          <w:sz w:val="24"/>
          <w:szCs w:val="24"/>
        </w:rPr>
      </w:pPr>
      <w:r w:rsidRPr="001E6B8F">
        <w:rPr>
          <w:rFonts w:ascii="Times New Roman" w:hAnsi="Times New Roman"/>
          <w:sz w:val="24"/>
          <w:szCs w:val="24"/>
        </w:rPr>
        <w:t>La población en riesgo de pobreza o exclusión social en España representa ya el 28,2% de todos los españoles, según datos del análisis de Eurostat realizado por el Instituto de Estudios Económicos (IEE) y difundido este martes. Según explica el estudio, desde el comienzo de la crisis en 2007, la población en riesgo de pobreza o exclusión social ha aumentado levemente en los países de la Unión Europea: La media de la UE-27 ha pasado de un 24,4% en 2007 a un 25,0% en 2012. Sin embargo, en España el incremento ha sido casi de cinco puntos porcentuales en el mismo periodo, pasando de un 23,3% de habitantes en riesgo de pobreza o exclusión al 28,2% del año 2012. El Estado miembro con la tasa de pobreza más alta sigue siendo Bulgaria, donde casi la mitad de la población sufre ése riesgo, seguido de Rumanía, que tiene en esta situación al 41,7 por ciento de sus habitantes. En Letonia, Grecia, Lituania y Hungría prácticamente un tercio de la población está en riesgo de pobreza y en Italia e Irlanda roza el 30%, conforme los datos difundidos por el IEE. Los países europeos con menos población en riesgo de pobreza son Alemania, Eslovenia, Francia y Dinamarca con cifras en torno al 19%. En Luxemburgo y Suecia las cifras bajan al 18% y se sitúan alrededor del 17% en Finlandia y Austria. La República Checa y los Países Bajos logran que sólo un 15% de su población esté en riesgo de pobreza o exclusión social.</w:t>
      </w:r>
    </w:p>
    <w:p w:rsidR="00EF0AAF" w:rsidRPr="001E6B8F" w:rsidRDefault="00EF0AAF" w:rsidP="00387350">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sidRPr="005B5D96">
        <w:rPr>
          <w:rFonts w:ascii="Times New Roman" w:hAnsi="Times New Roman"/>
          <w:sz w:val="24"/>
          <w:szCs w:val="24"/>
          <w:u w:val="single"/>
        </w:rPr>
        <w:t>De tener cuatro empresas a vender bisutería barata en el metro</w:t>
      </w:r>
      <w:r>
        <w:rPr>
          <w:rFonts w:ascii="Times New Roman" w:hAnsi="Times New Roman"/>
          <w:sz w:val="24"/>
          <w:szCs w:val="24"/>
        </w:rPr>
        <w:t xml:space="preserve"> (El Confidencial - </w:t>
      </w:r>
      <w:r w:rsidRPr="001E6B8F">
        <w:rPr>
          <w:rFonts w:ascii="Times New Roman" w:hAnsi="Times New Roman"/>
          <w:b/>
          <w:sz w:val="24"/>
          <w:szCs w:val="24"/>
        </w:rPr>
        <w:t>20/11/13</w:t>
      </w:r>
      <w:r>
        <w:rPr>
          <w:rFonts w:ascii="Times New Roman" w:hAnsi="Times New Roman"/>
          <w:sz w:val="24"/>
          <w:szCs w:val="24"/>
        </w:rPr>
        <w:t>)</w:t>
      </w:r>
    </w:p>
    <w:p w:rsidR="00EF0AAF" w:rsidRDefault="00EF0AAF" w:rsidP="00387350">
      <w:pPr>
        <w:spacing w:before="100" w:beforeAutospacing="1" w:after="100" w:afterAutospacing="1" w:line="240" w:lineRule="auto"/>
        <w:jc w:val="both"/>
        <w:rPr>
          <w:rFonts w:ascii="Times New Roman" w:hAnsi="Times New Roman"/>
          <w:sz w:val="24"/>
          <w:szCs w:val="24"/>
        </w:rPr>
      </w:pPr>
      <w:r w:rsidRPr="001E6B8F">
        <w:rPr>
          <w:rFonts w:ascii="Times New Roman" w:hAnsi="Times New Roman"/>
          <w:sz w:val="24"/>
          <w:szCs w:val="24"/>
        </w:rPr>
        <w:t xml:space="preserve">Anochece en Atenas y el metro está a reventar. En la parada de Syntagma, la más céntrica de la capital griega, se ha improvisado un bazar subterráneo. </w:t>
      </w:r>
      <w:r w:rsidRPr="001E6B8F">
        <w:rPr>
          <w:rFonts w:ascii="Times New Roman" w:hAnsi="Times New Roman"/>
          <w:bCs/>
          <w:sz w:val="24"/>
          <w:szCs w:val="24"/>
        </w:rPr>
        <w:t>Allí vende bisutería barata el empresario Manolis Poliudakis</w:t>
      </w:r>
      <w:r w:rsidRPr="001E6B8F">
        <w:rPr>
          <w:rFonts w:ascii="Times New Roman" w:hAnsi="Times New Roman"/>
          <w:sz w:val="24"/>
          <w:szCs w:val="24"/>
        </w:rPr>
        <w:t xml:space="preserve">. Lo hace con gran entusiasmo, a pesar de que es una de las miles de víctimas silenciosas de la crisis helena. </w:t>
      </w:r>
      <w:r w:rsidRPr="001E6B8F">
        <w:rPr>
          <w:rFonts w:ascii="Times New Roman" w:hAnsi="Times New Roman"/>
          <w:bCs/>
          <w:sz w:val="24"/>
          <w:szCs w:val="24"/>
        </w:rPr>
        <w:t>Hace tan sólo cuatro años era el dueño de cuatro empresas</w:t>
      </w:r>
      <w:r w:rsidRPr="001E6B8F">
        <w:rPr>
          <w:rFonts w:ascii="Times New Roman" w:hAnsi="Times New Roman"/>
          <w:sz w:val="24"/>
          <w:szCs w:val="24"/>
        </w:rPr>
        <w:t xml:space="preserve">. Diseñaba piezas de joyería valoradas en decenas de miles de euros y trabajaba con las mejores firmas del sector. La recesión llamó entonces a su puerta y tuvo que cerrar sus negocios, como lo han hecho decenas de miles de emprendedores helenos en los últimos meses. Hoy vende pulseras y collares de escaso valor. Incluso </w:t>
      </w:r>
      <w:r>
        <w:rPr>
          <w:rFonts w:ascii="Times New Roman" w:hAnsi="Times New Roman"/>
          <w:sz w:val="24"/>
          <w:szCs w:val="24"/>
        </w:rPr>
        <w:t>“</w:t>
      </w:r>
      <w:r w:rsidRPr="007359B0">
        <w:rPr>
          <w:rFonts w:ascii="Times New Roman" w:hAnsi="Times New Roman"/>
          <w:iCs/>
          <w:sz w:val="24"/>
          <w:szCs w:val="24"/>
        </w:rPr>
        <w:t>regala</w:t>
      </w:r>
      <w:r>
        <w:rPr>
          <w:rFonts w:ascii="Times New Roman" w:hAnsi="Times New Roman"/>
          <w:iCs/>
          <w:sz w:val="24"/>
          <w:szCs w:val="24"/>
        </w:rPr>
        <w:t>”</w:t>
      </w:r>
      <w:r w:rsidRPr="007359B0">
        <w:rPr>
          <w:rFonts w:ascii="Times New Roman" w:hAnsi="Times New Roman"/>
          <w:sz w:val="24"/>
          <w:szCs w:val="24"/>
        </w:rPr>
        <w:t xml:space="preserve"> </w:t>
      </w:r>
      <w:r w:rsidRPr="001E6B8F">
        <w:rPr>
          <w:rFonts w:ascii="Times New Roman" w:hAnsi="Times New Roman"/>
          <w:sz w:val="24"/>
          <w:szCs w:val="24"/>
        </w:rPr>
        <w:t xml:space="preserve">un vale de cinco euros por cada 20 euros de compra: “El Gobierno sabe todo lo que está pasando, porque hay muchos casos como el mío, pero le da igual. Son unos ladrones. El sistema no es el problema, porque no dicta que tenga que haber ladrones, pero nuestros políticos lo son”, lamenta el fornido y simpático tendero, ataviado con dos cordones dorados y un silbato de brillantes para atraer a sus clientes. Todo le fue bien hasta 2009. Cuatro años antes </w:t>
      </w:r>
      <w:r w:rsidRPr="001E6B8F">
        <w:rPr>
          <w:rFonts w:ascii="Times New Roman" w:hAnsi="Times New Roman"/>
          <w:bCs/>
          <w:sz w:val="24"/>
          <w:szCs w:val="24"/>
        </w:rPr>
        <w:t>había comprado un piso en un edificio neoclásico del centro por 300.000 euros</w:t>
      </w:r>
      <w:r w:rsidRPr="001E6B8F">
        <w:rPr>
          <w:rFonts w:ascii="Times New Roman" w:hAnsi="Times New Roman"/>
          <w:sz w:val="24"/>
          <w:szCs w:val="24"/>
        </w:rPr>
        <w:t xml:space="preserve">, valiéndose de un crédito bancario. Estableció allí sus empresas. Una se dedicaba sólo al oro y otra únicamente a la plata. Entre todas sumaban 17 trabajadores. No tenía problemas de pago: tanto los empleados como su prestamista cobraban sin demora alguna. </w:t>
      </w:r>
      <w:r w:rsidRPr="001E6B8F">
        <w:rPr>
          <w:rFonts w:ascii="Times New Roman" w:hAnsi="Times New Roman"/>
          <w:bCs/>
          <w:sz w:val="24"/>
          <w:szCs w:val="24"/>
        </w:rPr>
        <w:t>Comenzó la crisis y sus clientes se evaporaron</w:t>
      </w:r>
      <w:r w:rsidRPr="001E6B8F">
        <w:rPr>
          <w:rFonts w:ascii="Times New Roman" w:hAnsi="Times New Roman"/>
          <w:sz w:val="24"/>
          <w:szCs w:val="24"/>
        </w:rPr>
        <w:t xml:space="preserve">. Las empresas suministradoras de materias primas empezaron a dudar tanto de él como del país, y dejaron de enviar sus partidas o exigieron requisitos desmedidos. Poco a poco comenzó a perder dinero. Unos meses después ya había cerrado sus negocios y prescindido de todos sus trabajadores. Son las consecuencias de seis años de recesión: </w:t>
      </w:r>
      <w:r w:rsidRPr="001E6B8F">
        <w:rPr>
          <w:rFonts w:ascii="Times New Roman" w:hAnsi="Times New Roman"/>
          <w:bCs/>
          <w:sz w:val="24"/>
          <w:szCs w:val="24"/>
        </w:rPr>
        <w:t>el país ha perdido alrededor del 25% de su PIB</w:t>
      </w:r>
      <w:r w:rsidRPr="001E6B8F">
        <w:rPr>
          <w:rFonts w:ascii="Times New Roman" w:hAnsi="Times New Roman"/>
          <w:sz w:val="24"/>
          <w:szCs w:val="24"/>
        </w:rPr>
        <w:t>, lo que ha arruinado a miles de familias.</w:t>
      </w:r>
    </w:p>
    <w:p w:rsidR="001C7DC5" w:rsidRDefault="001C7DC5" w:rsidP="00387350">
      <w:pPr>
        <w:pStyle w:val="NormalWeb"/>
        <w:jc w:val="both"/>
        <w:rPr>
          <w:rFonts w:eastAsiaTheme="minorHAnsi" w:cstheme="minorBidi"/>
          <w:b/>
          <w:lang w:eastAsia="en-US"/>
        </w:rPr>
      </w:pPr>
    </w:p>
    <w:p w:rsidR="00EF0AAF" w:rsidRDefault="00EF0AAF" w:rsidP="00387350">
      <w:pPr>
        <w:pStyle w:val="NormalWeb"/>
        <w:jc w:val="both"/>
      </w:pPr>
      <w:r>
        <w:lastRenderedPageBreak/>
        <w:t xml:space="preserve">- </w:t>
      </w:r>
      <w:r w:rsidRPr="00E174C1">
        <w:rPr>
          <w:u w:val="single"/>
        </w:rPr>
        <w:t>Mueren intoxicados una niña y sus padres, que se alimentaban de comida caducada</w:t>
      </w:r>
      <w:r>
        <w:t xml:space="preserve"> (El Confidencial - </w:t>
      </w:r>
      <w:r>
        <w:rPr>
          <w:b/>
        </w:rPr>
        <w:t>14</w:t>
      </w:r>
      <w:r w:rsidRPr="007921E0">
        <w:rPr>
          <w:b/>
        </w:rPr>
        <w:t>/12/13</w:t>
      </w:r>
      <w:r>
        <w:t>)</w:t>
      </w:r>
    </w:p>
    <w:p w:rsidR="00EF0AAF" w:rsidRDefault="00EF0AAF" w:rsidP="00387350">
      <w:pPr>
        <w:pStyle w:val="NormalWeb"/>
        <w:jc w:val="both"/>
      </w:pPr>
      <w:r w:rsidRPr="001E6B8F">
        <w:t>Una intoxicación alimentaria ha provocado </w:t>
      </w:r>
      <w:r w:rsidRPr="00EF0AAF">
        <w:rPr>
          <w:rStyle w:val="Textoennegrita"/>
          <w:b w:val="0"/>
        </w:rPr>
        <w:t>la muerte de tres miembros de una misma familia</w:t>
      </w:r>
      <w:r w:rsidRPr="001E6B8F">
        <w:rPr>
          <w:b/>
        </w:rPr>
        <w:t>,</w:t>
      </w:r>
      <w:r w:rsidRPr="001E6B8F">
        <w:t xml:space="preserve"> un hombre de 61 años, su mujer de 50 y su hija de 14, en Alcalá de Guadaíra (Sevilla), ha confirmado el Ayuntamiento de la localidad mediante un comunicado. Otra hija, de 13 años, se encuentra ingresada en el Hospital Virgen del Rocío de Sevilla, con pronóstico reservado y con náuseas y vómitos.</w:t>
      </w:r>
      <w:r>
        <w:t xml:space="preserve"> </w:t>
      </w:r>
      <w:r w:rsidRPr="001E6B8F">
        <w:t>Fuentes de la investigación dijeron a Efe que los afectados </w:t>
      </w:r>
      <w:r w:rsidRPr="00EF0AAF">
        <w:rPr>
          <w:rStyle w:val="Textoennegrita"/>
          <w:b w:val="0"/>
        </w:rPr>
        <w:t>vivían de la recogida de cartones y se alimentaban de comida caducada</w:t>
      </w:r>
      <w:r w:rsidRPr="001E6B8F">
        <w:t> que le regalaban. Según las primeras indagaciones, los afectados cenaron anoche pescado y poco después comenzaron a sentirse mal. El Ayuntamiento de Alc</w:t>
      </w:r>
      <w:r>
        <w:t>alá de Guadaíra ha mostrado su “dolor y consternación”</w:t>
      </w:r>
      <w:r w:rsidRPr="001E6B8F">
        <w:t xml:space="preserve"> por estas muertes.</w:t>
      </w:r>
    </w:p>
    <w:p w:rsidR="00EF0AAF" w:rsidRDefault="00EF0AAF" w:rsidP="00387350">
      <w:pPr>
        <w:pStyle w:val="NormalWeb"/>
        <w:jc w:val="both"/>
      </w:pPr>
      <w:r>
        <w:t xml:space="preserve">- </w:t>
      </w:r>
      <w:r w:rsidRPr="00E174C1">
        <w:rPr>
          <w:u w:val="single"/>
        </w:rPr>
        <w:t>Comer de la basura</w:t>
      </w:r>
      <w:r>
        <w:t xml:space="preserve"> (Luis del Pino - Libertad Digital - </w:t>
      </w:r>
      <w:r w:rsidRPr="0010408A">
        <w:rPr>
          <w:b/>
        </w:rPr>
        <w:t>15/12/13</w:t>
      </w:r>
      <w:r>
        <w:t>)</w:t>
      </w:r>
    </w:p>
    <w:p w:rsidR="00EF0AAF" w:rsidRDefault="00EF0AAF" w:rsidP="00387350">
      <w:pPr>
        <w:pStyle w:val="NormalWeb"/>
        <w:jc w:val="both"/>
      </w:pPr>
      <w:r w:rsidRPr="001E6B8F">
        <w:t xml:space="preserve">Ayer se produjo en el pueblo sevillano de Alcalá de Guadaira un suceso terrible. Tres personas de una misma familia (el padre de 61 años, la madre de 50 años y una hija de 14) murieron por una intoxicación alimentaria. La otra hija, de 13 años, permanece en la Unidad de Cuidados Intensivos. Según contaron los vecinos, la familia vivía de recoger cartones y comida caducada. España entera es hoy un inmenso contenedor de basura, lleno de las sobras que dejan aquellos que ni con la crisis han dejado de forrarse a costa de los que menos tienen. Mientras algunos se repartían sobresueldos, organizaban EREs falsos, abrían cuentas en Suiza o desfalcaban “palaus”, hay gente que vive (y muere) de comer comida caducada. A lo largo de los últimos cinco años, los españoles han ido sumergiéndose cada vez más en la pobreza sin que la clase política haya hecho nada más que blindar sus privilegios. Podían haber cerrado tantos organismos inútiles, pero prefirieron subirnos los impuestos. Podían haber eliminado la financiación a partidos, a sindicatos y a patronales, pero prefirieron reducir el poder adquisitivo de los pensionistas y las prestaciones de los parados. Podían haber acabado con sus legiones de asesores, pero prefirieron introducir copagos en los juzgados o en las farmacias. Saquearon las cajas de ahorros en comandita... para luego pasarnos la factura de 50.000 millones de euros con los que tapar el agujero que ellos mismos habían creado. Consintieron que se estafara a millones de ahorradores con las preferentes, dejaron que se desahuciara a decenas de miles de familias... Buena parte de la clase media española ha quedado arrasada, mientras los políticos siguen gastando sin medida en mantener un estado autonómico que no necesitamos, pero que se ha convertido para los partidos en una macroagencia de colocación. En muchos lugares, Cáritas no da abasto. En otros casos, el pudor y la vergüenza impiden a familias enteras recurrir a la caridad. Y mientras tanto, los ladrones de cuello blanco se pasean por las portadas de los periódicos, los amigos del poder ven aireadas sus obscenas remuneraciones en consejos de administración pagados con dinero público y los sindicalistas corruptos se reparten el dinero de los parados. Habéis vivido por encima de vuestras posibilidades, nos dicen. Lo que significa que necesitan empobrecernos más aún para poder conceder amnistías fiscales a todo tipo de golfos de buena familia. Hay que hacer más recortes, nos dicen. Lo que significa que, para seguir manteniendo sus chollos, necesitan empujar a más españoles todavía a vivir de la caridad. En Alcalá de Guadaira, una familia ha muerto por comer comida caducada. Pero lo que está caducado, en realidad, es este régimen de ladrones con corazón de piedra, que siguen viviendo a nuestra costa mientras cada vez más españoles rebuscan en la basura. Es a esa basura a donde deberíamos arrojar a tanta </w:t>
      </w:r>
      <w:r w:rsidRPr="001E6B8F">
        <w:lastRenderedPageBreak/>
        <w:t>mala gente como nos gobierna. Porque esos que viven de causar a otros la desgracia son la verdadera basura.</w:t>
      </w:r>
    </w:p>
    <w:p w:rsidR="00EF0AAF" w:rsidRDefault="00EF0AAF" w:rsidP="00387350">
      <w:pPr>
        <w:pStyle w:val="NormalWeb"/>
        <w:jc w:val="both"/>
      </w:pPr>
      <w:r>
        <w:t xml:space="preserve">- </w:t>
      </w:r>
      <w:r w:rsidRPr="00881CC5">
        <w:rPr>
          <w:u w:val="single"/>
        </w:rPr>
        <w:t>Muerte entre contenedores</w:t>
      </w:r>
      <w:r>
        <w:t xml:space="preserve"> (Javier Carballo - El Confidencial - </w:t>
      </w:r>
      <w:r w:rsidRPr="00881CC5">
        <w:rPr>
          <w:b/>
        </w:rPr>
        <w:t>16/12/13</w:t>
      </w:r>
      <w:r>
        <w:t>)</w:t>
      </w:r>
    </w:p>
    <w:p w:rsidR="00EF0AAF" w:rsidRDefault="00EF0AAF" w:rsidP="00387350">
      <w:pPr>
        <w:pStyle w:val="NormalWeb"/>
        <w:jc w:val="both"/>
      </w:pPr>
      <w:r w:rsidRPr="001E6B8F">
        <w:t xml:space="preserve">La primera vez sorprende, a algunos les provoca arcadas, se les revuelve el estómago. Vas en el coche, camino del trabajo, y en el semáforo en rojo, miras a tu derecha. </w:t>
      </w:r>
      <w:r w:rsidRPr="00EF0AAF">
        <w:rPr>
          <w:rStyle w:val="Textoennegrita"/>
          <w:b w:val="0"/>
        </w:rPr>
        <w:t>Uno de esos mendigos que duerme entre cartones en el soportal de algún cajero automático</w:t>
      </w:r>
      <w:r w:rsidRPr="00AE3136">
        <w:rPr>
          <w:b/>
        </w:rPr>
        <w:t xml:space="preserve"> </w:t>
      </w:r>
      <w:r w:rsidRPr="001E6B8F">
        <w:t xml:space="preserve">se vuelca sobre el contenedor de basuras, comienza a rebuscar y de una de las bolsas, coge un muslo de pollo y se lo come a mordiscos. Son las nueve de la mañana. Lo que nunca sabes, ni jamás sabrás, es quién es ese tipo, cómo ha llegado hasta allí, cómo ha podido acabar así. Esa persona a la que ves desde el coche, hace dos años tenía trabajo, chapuzas con las que sobrevivir. Y una familia, y también hijos y hermanos. Pero todo se derrumba un día, en una secuencia de acontecimientos devastadora, implacable. Te despiden del trabajo, no encuentras nada, se acaban las mensualidades de desempleo, se agotan las ayudas, el banco te embarga el piso, te cortan la luz, el agua. </w:t>
      </w:r>
      <w:r w:rsidRPr="00EF0AAF">
        <w:rPr>
          <w:rStyle w:val="Textoennegrita"/>
          <w:b w:val="0"/>
        </w:rPr>
        <w:t>Y ya no tienes ni para comer</w:t>
      </w:r>
      <w:r w:rsidRPr="00EF0AAF">
        <w:rPr>
          <w:b/>
        </w:rPr>
        <w:t>.</w:t>
      </w:r>
      <w:r w:rsidRPr="001E6B8F">
        <w:t xml:space="preserve"> Ya eres uno más haciendo cola en los contenedores de basura. Dos años, tres... No hace falta más tiempo para pasar de la pobreza a la miseria, a la marginalidad. </w:t>
      </w:r>
      <w:hyperlink r:id="rId375" w:history="1">
        <w:r w:rsidRPr="00EF0AAF">
          <w:rPr>
            <w:rStyle w:val="Textoennegrita"/>
            <w:b w:val="0"/>
          </w:rPr>
          <w:t>Enrique Caño</w:t>
        </w:r>
        <w:r w:rsidRPr="00EF0AAF">
          <w:rPr>
            <w:rStyle w:val="Hipervnculo"/>
            <w:color w:val="auto"/>
            <w:u w:val="none"/>
          </w:rPr>
          <w:t xml:space="preserve"> era uno de esos tipos</w:t>
        </w:r>
      </w:hyperlink>
      <w:r w:rsidRPr="00EF0AAF">
        <w:t xml:space="preserve"> </w:t>
      </w:r>
      <w:r w:rsidRPr="001E6B8F">
        <w:t xml:space="preserve">que vemos cada mañana en el semáforo en rojo, cuando giramos la cabeza y vemos a alguien que se vuelca a rebuscar en un contenedor. La </w:t>
      </w:r>
      <w:r w:rsidRPr="00EF0AAF">
        <w:rPr>
          <w:rStyle w:val="Textoennegrita"/>
          <w:b w:val="0"/>
        </w:rPr>
        <w:t>secuencia que le llevó de la pobreza a la marginalidad</w:t>
      </w:r>
      <w:r w:rsidRPr="001E6B8F">
        <w:t xml:space="preserve"> es la de otros miles o cientos de miles en España. La vida le enseñó un oficio, fontanero, y con eso se ganaba la vida hasta que la crisis de los mercados se convirtió en un </w:t>
      </w:r>
      <w:r>
        <w:t>“</w:t>
      </w:r>
      <w:r w:rsidRPr="007359B0">
        <w:rPr>
          <w:rStyle w:val="nfasis"/>
          <w:i w:val="0"/>
        </w:rPr>
        <w:t>tsunami</w:t>
      </w:r>
      <w:r>
        <w:rPr>
          <w:rStyle w:val="nfasis"/>
          <w:i w:val="0"/>
        </w:rPr>
        <w:t>”</w:t>
      </w:r>
      <w:r w:rsidRPr="001E6B8F">
        <w:rPr>
          <w:rStyle w:val="nfasis"/>
        </w:rPr>
        <w:t xml:space="preserve"> </w:t>
      </w:r>
      <w:r w:rsidRPr="001E6B8F">
        <w:t xml:space="preserve">social que arrasó con todo. No es sólo que se quedase parado, es que sabía que a su edad, pasados los cincuenta, ya nunca más iba a encontrar trabajo. Y como todo son problemas en la casa del pobre, Enrique se vio desempleado, con un piso hipotecado, cinco hijos de dos familias y nada que llevarse a la boca. Se agotan los subsidios, las ayudas, y ya sólo queda el recurso de la caridad, una cola de pobres a las puertas de Cáritas para recoger dos paquetes de arroz y un litro de leche. La otra alternativa son </w:t>
      </w:r>
      <w:r w:rsidRPr="00EF0AAF">
        <w:rPr>
          <w:rStyle w:val="Textoennegrita"/>
          <w:b w:val="0"/>
        </w:rPr>
        <w:t>los contenedores, esa multinacional de la miseria</w:t>
      </w:r>
      <w:r w:rsidRPr="00AE3136">
        <w:rPr>
          <w:b/>
        </w:rPr>
        <w:t>.</w:t>
      </w:r>
      <w:r w:rsidRPr="001E6B8F">
        <w:t xml:space="preserve"> Cada mañana, a las siete en punto, la familia se ponía en marcha. Una vieja furgoneta, una Opel gris, servía para cargar dentro todo aquello que pudiera ser vendible, cartones, ropa vieja, hierros, plásticos, latas. Al final del recorrido de cada día, parada en algunos supermercados de la zona para recoger comida gratis, comida caducada o a punto de caducar. La ruleta rusa de esa vida entre contenedores puso una </w:t>
      </w:r>
      <w:hyperlink r:id="rId376" w:history="1">
        <w:r w:rsidRPr="00EF0AAF">
          <w:rPr>
            <w:rStyle w:val="Hipervnculo"/>
            <w:color w:val="auto"/>
            <w:u w:val="none"/>
          </w:rPr>
          <w:t>bala envenenada en el cargador el viernes pasado</w:t>
        </w:r>
      </w:hyperlink>
      <w:r w:rsidRPr="00EF0AAF">
        <w:t>,</w:t>
      </w:r>
      <w:r w:rsidRPr="001E6B8F">
        <w:t xml:space="preserve"> cuando se sentaron a cenar.</w:t>
      </w:r>
    </w:p>
    <w:p w:rsidR="00EF0AAF" w:rsidRDefault="00EF0AAF" w:rsidP="00387350">
      <w:pPr>
        <w:pStyle w:val="NormalWeb"/>
        <w:jc w:val="both"/>
      </w:pPr>
    </w:p>
    <w:p w:rsidR="00EF0AAF" w:rsidRDefault="00EF0AAF" w:rsidP="00387350">
      <w:pPr>
        <w:pStyle w:val="NormalWeb"/>
        <w:jc w:val="both"/>
      </w:pPr>
    </w:p>
    <w:p w:rsidR="00EF0AAF" w:rsidRDefault="00EF0AAF" w:rsidP="00387350">
      <w:pPr>
        <w:pStyle w:val="NormalWeb"/>
        <w:jc w:val="both"/>
      </w:pPr>
    </w:p>
    <w:p w:rsidR="00EF0AAF" w:rsidRDefault="00EF0AAF" w:rsidP="00387350">
      <w:pPr>
        <w:pStyle w:val="NormalWeb"/>
        <w:jc w:val="both"/>
      </w:pPr>
    </w:p>
    <w:p w:rsidR="00EF0AAF" w:rsidRDefault="00EF0AAF" w:rsidP="00387350">
      <w:pPr>
        <w:pStyle w:val="NormalWeb"/>
        <w:jc w:val="both"/>
      </w:pPr>
    </w:p>
    <w:p w:rsidR="00EF0AAF" w:rsidRDefault="00EF0AAF" w:rsidP="00387350">
      <w:pPr>
        <w:pStyle w:val="NormalWeb"/>
        <w:jc w:val="both"/>
      </w:pPr>
    </w:p>
    <w:p w:rsidR="00EF0AAF" w:rsidRDefault="00EF0AAF" w:rsidP="00387350">
      <w:pPr>
        <w:pStyle w:val="NormalWeb"/>
        <w:jc w:val="both"/>
      </w:pPr>
    </w:p>
    <w:p w:rsidR="00650C3D" w:rsidRDefault="00650C3D" w:rsidP="00387350">
      <w:pPr>
        <w:pStyle w:val="NormalWeb"/>
        <w:jc w:val="both"/>
        <w:rPr>
          <w:b/>
        </w:rPr>
      </w:pPr>
      <w:r w:rsidRPr="00650C3D">
        <w:rPr>
          <w:b/>
        </w:rPr>
        <w:lastRenderedPageBreak/>
        <w:t>Anexo IV: El Bienestar del Estado (el derroche de los políticos)</w:t>
      </w:r>
    </w:p>
    <w:p w:rsidR="00650C3D" w:rsidRDefault="00650C3D" w:rsidP="00387350">
      <w:pPr>
        <w:pStyle w:val="NormalWeb"/>
        <w:jc w:val="both"/>
        <w:rPr>
          <w:b/>
        </w:rPr>
      </w:pPr>
      <w:r>
        <w:rPr>
          <w:noProof/>
        </w:rPr>
        <w:drawing>
          <wp:inline distT="0" distB="0" distL="0" distR="0" wp14:anchorId="5D545DFA" wp14:editId="08A62D85">
            <wp:extent cx="5400040" cy="2239645"/>
            <wp:effectExtent l="0" t="0" r="0" b="8255"/>
            <wp:docPr id="44" name="Imagen 44" descr="Un &amp;#039;graffiti&amp;#039; en Lisboa que dice &amp;quot;Líbranos, Señor, de los cerdos corruptos que asolan Portugal&amp;quot;.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n &amp;#039;graffiti&amp;#039; en Lisboa que dice &amp;quot;Líbranos, Señor, de los cerdos corruptos que asolan Portugal&amp;quot;. (Reuters)"/>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400040" cy="2239645"/>
                    </a:xfrm>
                    <a:prstGeom prst="rect">
                      <a:avLst/>
                    </a:prstGeom>
                    <a:noFill/>
                    <a:ln>
                      <a:noFill/>
                    </a:ln>
                  </pic:spPr>
                </pic:pic>
              </a:graphicData>
            </a:graphic>
          </wp:inline>
        </w:drawing>
      </w:r>
    </w:p>
    <w:p w:rsidR="00650C3D" w:rsidRPr="000F1FB8" w:rsidRDefault="00650C3D" w:rsidP="00387350">
      <w:pPr>
        <w:pStyle w:val="NormalWeb"/>
        <w:jc w:val="both"/>
      </w:pPr>
      <w:r>
        <w:t xml:space="preserve">Un graffiti en Lisboa que dice: </w:t>
      </w:r>
      <w:r w:rsidRPr="00243361">
        <w:t xml:space="preserve">Líbranos, Señor, de los cerdos corruptos que </w:t>
      </w:r>
      <w:r>
        <w:t>asolan Portugal</w:t>
      </w:r>
    </w:p>
    <w:p w:rsidR="00650C3D" w:rsidRPr="000F1FB8" w:rsidRDefault="00650C3D" w:rsidP="00387350">
      <w:pPr>
        <w:spacing w:line="240" w:lineRule="auto"/>
        <w:jc w:val="both"/>
        <w:rPr>
          <w:rFonts w:ascii="Times New Roman" w:hAnsi="Times New Roman"/>
          <w:i/>
          <w:iCs/>
          <w:sz w:val="24"/>
          <w:szCs w:val="24"/>
        </w:rPr>
      </w:pPr>
      <w:r>
        <w:rPr>
          <w:rStyle w:val="nfasis"/>
          <w:rFonts w:ascii="Times New Roman" w:hAnsi="Times New Roman"/>
          <w:sz w:val="24"/>
          <w:szCs w:val="24"/>
        </w:rPr>
        <w:t>-“He observado”, dijo el señor K., “</w:t>
      </w:r>
      <w:r w:rsidRPr="000F1FB8">
        <w:rPr>
          <w:rStyle w:val="nfasis"/>
          <w:rFonts w:ascii="Times New Roman" w:hAnsi="Times New Roman"/>
          <w:sz w:val="24"/>
          <w:szCs w:val="24"/>
        </w:rPr>
        <w:t xml:space="preserve">que mucha gente se aleja, intimidada, de nuestra doctrina por la sencilla razón de que tenemos </w:t>
      </w:r>
      <w:r w:rsidRPr="000F1FB8">
        <w:rPr>
          <w:rStyle w:val="nfasis"/>
          <w:rFonts w:ascii="Times New Roman" w:hAnsi="Times New Roman"/>
          <w:b/>
          <w:bCs/>
          <w:sz w:val="24"/>
          <w:szCs w:val="24"/>
        </w:rPr>
        <w:t>respuesta para todo.</w:t>
      </w:r>
      <w:r w:rsidRPr="000F1FB8">
        <w:rPr>
          <w:rStyle w:val="nfasis"/>
          <w:rFonts w:ascii="Times New Roman" w:hAnsi="Times New Roman"/>
          <w:sz w:val="24"/>
          <w:szCs w:val="24"/>
        </w:rPr>
        <w:t xml:space="preserve"> ¿No sería conveniente que, en interés de la propaganda, elaborásemos una lista de los </w:t>
      </w:r>
      <w:r w:rsidRPr="000F1FB8">
        <w:rPr>
          <w:rStyle w:val="nfasis"/>
          <w:rFonts w:ascii="Times New Roman" w:hAnsi="Times New Roman"/>
          <w:b/>
          <w:bCs/>
          <w:sz w:val="24"/>
          <w:szCs w:val="24"/>
        </w:rPr>
        <w:t>problemas</w:t>
      </w:r>
      <w:r w:rsidRPr="000F1FB8">
        <w:rPr>
          <w:rStyle w:val="nfasis"/>
          <w:rFonts w:ascii="Times New Roman" w:hAnsi="Times New Roman"/>
          <w:sz w:val="24"/>
          <w:szCs w:val="24"/>
        </w:rPr>
        <w:t xml:space="preserve"> para los que aún no hemos encontrado </w:t>
      </w:r>
      <w:r w:rsidRPr="000F1FB8">
        <w:rPr>
          <w:rStyle w:val="nfasis"/>
          <w:rFonts w:ascii="Times New Roman" w:hAnsi="Times New Roman"/>
          <w:b/>
          <w:bCs/>
          <w:sz w:val="24"/>
          <w:szCs w:val="24"/>
        </w:rPr>
        <w:t>solución</w:t>
      </w:r>
      <w:r>
        <w:rPr>
          <w:rStyle w:val="nfasis"/>
          <w:rFonts w:ascii="Times New Roman" w:hAnsi="Times New Roman"/>
          <w:sz w:val="24"/>
          <w:szCs w:val="24"/>
        </w:rPr>
        <w:t xml:space="preserve">?” </w:t>
      </w:r>
      <w:r w:rsidRPr="007B59FE">
        <w:rPr>
          <w:rFonts w:ascii="Times New Roman" w:hAnsi="Times New Roman"/>
          <w:i/>
          <w:iCs/>
          <w:sz w:val="24"/>
          <w:szCs w:val="24"/>
        </w:rPr>
        <w:t>Historias de Almanaque</w:t>
      </w:r>
      <w:r w:rsidRPr="000B6290">
        <w:rPr>
          <w:rFonts w:ascii="Times New Roman" w:hAnsi="Times New Roman"/>
          <w:sz w:val="24"/>
          <w:szCs w:val="24"/>
        </w:rPr>
        <w:t xml:space="preserve">, de </w:t>
      </w:r>
      <w:r w:rsidRPr="000F1FB8">
        <w:rPr>
          <w:rFonts w:ascii="Times New Roman" w:hAnsi="Times New Roman"/>
          <w:bCs/>
          <w:sz w:val="24"/>
          <w:szCs w:val="24"/>
        </w:rPr>
        <w:t>Bertolt Brecht</w:t>
      </w:r>
    </w:p>
    <w:p w:rsidR="00650C3D" w:rsidRDefault="00650C3D" w:rsidP="00387350">
      <w:pPr>
        <w:spacing w:line="240" w:lineRule="auto"/>
        <w:jc w:val="both"/>
        <w:rPr>
          <w:rFonts w:ascii="Times New Roman" w:hAnsi="Times New Roman"/>
          <w:sz w:val="24"/>
          <w:szCs w:val="24"/>
        </w:rPr>
      </w:pPr>
      <w:r w:rsidRPr="000B6290">
        <w:rPr>
          <w:rFonts w:ascii="Times New Roman" w:hAnsi="Times New Roman"/>
          <w:sz w:val="24"/>
          <w:szCs w:val="24"/>
        </w:rPr>
        <w:t>Pocas frases como esta reflejan</w:t>
      </w:r>
      <w:r>
        <w:rPr>
          <w:rFonts w:ascii="Times New Roman" w:hAnsi="Times New Roman"/>
          <w:sz w:val="24"/>
          <w:szCs w:val="24"/>
        </w:rPr>
        <w:t xml:space="preserve"> la miseria de una clase dirigente</w:t>
      </w:r>
      <w:r w:rsidRPr="000B6290">
        <w:rPr>
          <w:rFonts w:ascii="Times New Roman" w:hAnsi="Times New Roman"/>
          <w:sz w:val="24"/>
          <w:szCs w:val="24"/>
        </w:rPr>
        <w:t xml:space="preserve"> que tiene re</w:t>
      </w:r>
      <w:r>
        <w:rPr>
          <w:rFonts w:ascii="Times New Roman" w:hAnsi="Times New Roman"/>
          <w:sz w:val="24"/>
          <w:szCs w:val="24"/>
        </w:rPr>
        <w:t xml:space="preserve">spuestas para todo </w:t>
      </w:r>
      <w:r w:rsidRPr="000B6290">
        <w:rPr>
          <w:rFonts w:ascii="Times New Roman" w:hAnsi="Times New Roman"/>
          <w:sz w:val="24"/>
          <w:szCs w:val="24"/>
        </w:rPr>
        <w:t xml:space="preserve"> pero que no ofrece soluciones para resolver ninguno de los problemas.</w:t>
      </w:r>
    </w:p>
    <w:p w:rsidR="00650C3D" w:rsidRDefault="00650C3D" w:rsidP="00387350">
      <w:pPr>
        <w:spacing w:line="240" w:lineRule="auto"/>
        <w:jc w:val="both"/>
        <w:rPr>
          <w:rFonts w:ascii="Times New Roman" w:hAnsi="Times New Roman"/>
          <w:sz w:val="24"/>
          <w:szCs w:val="24"/>
        </w:rPr>
      </w:pPr>
      <w:r w:rsidRPr="000B6290">
        <w:rPr>
          <w:rFonts w:ascii="Times New Roman" w:hAnsi="Times New Roman"/>
          <w:sz w:val="24"/>
          <w:szCs w:val="24"/>
        </w:rPr>
        <w:t>Es insoportable ver cada día la contradicción que supone ayudar a un sistema financiero en parte quebrado y, al mismo tiempo, recortar las prestaciones sociales. Las mismas entidades que reciben fondos públicos para tapar sus vergüenzas, son las que expulsan a muchos propietarios de sus v</w:t>
      </w:r>
      <w:r>
        <w:rPr>
          <w:rFonts w:ascii="Times New Roman" w:hAnsi="Times New Roman"/>
          <w:sz w:val="24"/>
          <w:szCs w:val="24"/>
        </w:rPr>
        <w:t>iviendas por falta de pago. Y los g</w:t>
      </w:r>
      <w:r w:rsidRPr="000B6290">
        <w:rPr>
          <w:rFonts w:ascii="Times New Roman" w:hAnsi="Times New Roman"/>
          <w:sz w:val="24"/>
          <w:szCs w:val="24"/>
        </w:rPr>
        <w:t>obierno</w:t>
      </w:r>
      <w:r>
        <w:rPr>
          <w:rFonts w:ascii="Times New Roman" w:hAnsi="Times New Roman"/>
          <w:sz w:val="24"/>
          <w:szCs w:val="24"/>
        </w:rPr>
        <w:t>s</w:t>
      </w:r>
      <w:r w:rsidRPr="000B6290">
        <w:rPr>
          <w:rFonts w:ascii="Times New Roman" w:hAnsi="Times New Roman"/>
          <w:sz w:val="24"/>
          <w:szCs w:val="24"/>
        </w:rPr>
        <w:t>, como se sabe, poniéndose de perfil sobre un asunto que mide la capacidad de los poderes públicos para atajar los problemas.</w:t>
      </w:r>
      <w:r>
        <w:rPr>
          <w:rFonts w:ascii="Times New Roman" w:hAnsi="Times New Roman"/>
          <w:sz w:val="24"/>
          <w:szCs w:val="24"/>
        </w:rPr>
        <w:t xml:space="preserve"> </w:t>
      </w:r>
      <w:r w:rsidRPr="000B6290">
        <w:rPr>
          <w:rFonts w:ascii="Times New Roman" w:hAnsi="Times New Roman"/>
          <w:sz w:val="24"/>
          <w:szCs w:val="24"/>
        </w:rPr>
        <w:t>Mala política y peor economía se retroalimentan</w:t>
      </w:r>
      <w:r>
        <w:rPr>
          <w:rFonts w:ascii="Times New Roman" w:hAnsi="Times New Roman"/>
          <w:sz w:val="24"/>
          <w:szCs w:val="24"/>
        </w:rPr>
        <w:t>. Y en la recámara no hay más que humo. Estamos ante un gigantesco fiasco.</w:t>
      </w:r>
    </w:p>
    <w:p w:rsidR="00650C3D" w:rsidRPr="000F1FB8" w:rsidRDefault="00650C3D" w:rsidP="00387350">
      <w:pPr>
        <w:spacing w:before="100" w:beforeAutospacing="1" w:after="100" w:afterAutospacing="1" w:line="240" w:lineRule="auto"/>
        <w:jc w:val="both"/>
        <w:rPr>
          <w:rFonts w:ascii="Times New Roman" w:eastAsia="Times New Roman" w:hAnsi="Times New Roman"/>
          <w:sz w:val="24"/>
          <w:szCs w:val="24"/>
          <w:lang w:eastAsia="es-ES"/>
        </w:rPr>
      </w:pPr>
      <w:r w:rsidRPr="000F1FB8">
        <w:rPr>
          <w:rFonts w:ascii="Times New Roman" w:eastAsia="Times New Roman" w:hAnsi="Times New Roman"/>
          <w:sz w:val="24"/>
          <w:szCs w:val="24"/>
          <w:lang w:eastAsia="es-ES"/>
        </w:rPr>
        <w:t>La economía no es una ciencia hasta el punto en que nos gustaría que fuera. Pero cuando hay pruebas abrumadoras para una premisa económica -como las hay para la premisa de que las recesiones causadas por crisis financiera son diferentes- tenemos el derecho a esperar que los políticos y sus asesores respeten esas pruebas. De otro modo, terminarán haciendo políticas basadas en fantasías en vez de enfrentarse a la realidad.</w:t>
      </w:r>
    </w:p>
    <w:p w:rsidR="00650C3D" w:rsidRDefault="00650C3D" w:rsidP="00387350">
      <w:pPr>
        <w:spacing w:line="240" w:lineRule="auto"/>
        <w:jc w:val="both"/>
        <w:rPr>
          <w:rFonts w:ascii="Times New Roman" w:hAnsi="Times New Roman"/>
          <w:sz w:val="24"/>
          <w:szCs w:val="24"/>
        </w:rPr>
      </w:pPr>
      <w:r w:rsidRPr="00551FA8">
        <w:rPr>
          <w:rFonts w:ascii="Times New Roman" w:eastAsia="Times New Roman" w:hAnsi="Times New Roman"/>
          <w:sz w:val="24"/>
          <w:szCs w:val="24"/>
          <w:lang w:eastAsia="es-ES"/>
        </w:rPr>
        <w:t>Y una vez que los políticos empiezan a negarse a reconocer hechos incómodos, ¿dónde pararán?</w:t>
      </w:r>
    </w:p>
    <w:p w:rsidR="00650C3D" w:rsidRDefault="00650C3D" w:rsidP="00387350">
      <w:pPr>
        <w:spacing w:line="240" w:lineRule="auto"/>
        <w:jc w:val="both"/>
        <w:rPr>
          <w:rFonts w:ascii="Times New Roman" w:hAnsi="Times New Roman"/>
          <w:sz w:val="24"/>
          <w:szCs w:val="24"/>
        </w:rPr>
      </w:pPr>
      <w:r>
        <w:rPr>
          <w:rFonts w:ascii="Times New Roman" w:hAnsi="Times New Roman"/>
          <w:sz w:val="24"/>
          <w:szCs w:val="24"/>
        </w:rPr>
        <w:t xml:space="preserve">¿Pueden los mismos dirigentes que causaron la crisis, gestionarla, resolverla? ¿Podrán entender la crisis a pesar de no querer entenderla? ¿Existen los hombres grandes para tiempos tan duros? </w:t>
      </w:r>
    </w:p>
    <w:p w:rsidR="001851AA" w:rsidRDefault="001851AA" w:rsidP="00387350">
      <w:pPr>
        <w:shd w:val="clear" w:color="auto" w:fill="FFFFFF"/>
        <w:spacing w:after="150" w:line="240" w:lineRule="auto"/>
        <w:jc w:val="both"/>
        <w:rPr>
          <w:rFonts w:ascii="Times New Roman" w:hAnsi="Times New Roman"/>
          <w:sz w:val="24"/>
          <w:szCs w:val="24"/>
        </w:rPr>
      </w:pPr>
    </w:p>
    <w:p w:rsidR="001851AA" w:rsidRPr="001851AA" w:rsidRDefault="001851AA" w:rsidP="00387350">
      <w:pPr>
        <w:shd w:val="clear" w:color="auto" w:fill="FFFFFF"/>
        <w:spacing w:after="15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w:t>
      </w:r>
      <w:r w:rsidRPr="001851AA">
        <w:rPr>
          <w:rFonts w:ascii="Times New Roman" w:eastAsia="Times New Roman" w:hAnsi="Times New Roman"/>
          <w:sz w:val="24"/>
          <w:szCs w:val="24"/>
          <w:lang w:eastAsia="es-ES"/>
        </w:rPr>
        <w:t>Tanto deseaban gastar los lusos, que su estancada producción interna -su PIB se ha mantenido plano durante toda la década- no les era suficiente, así que sus excesos tenían que comprarlos fuera... a crédito. No otra cosa indica ese desbocado déficit exterior ce</w:t>
      </w:r>
      <w:r w:rsidR="000945E6">
        <w:rPr>
          <w:rFonts w:ascii="Times New Roman" w:eastAsia="Times New Roman" w:hAnsi="Times New Roman"/>
          <w:sz w:val="24"/>
          <w:szCs w:val="24"/>
          <w:lang w:eastAsia="es-ES"/>
        </w:rPr>
        <w:t>rcano o incluso superior al 10%”</w:t>
      </w:r>
      <w:r w:rsidRPr="001851AA">
        <w:rPr>
          <w:rFonts w:ascii="Times New Roman" w:eastAsia="Times New Roman" w:hAnsi="Times New Roman"/>
          <w:sz w:val="24"/>
          <w:szCs w:val="24"/>
          <w:lang w:eastAsia="es-ES"/>
        </w:rPr>
        <w:t>, indica Rallo. Los portugueses se endeudaban con el resto del mundo para gastar de más en el presente.</w:t>
      </w:r>
    </w:p>
    <w:p w:rsidR="001851AA" w:rsidRPr="001851AA" w:rsidRDefault="001851AA" w:rsidP="00387350">
      <w:pPr>
        <w:shd w:val="clear" w:color="auto" w:fill="FFFFFF"/>
        <w:spacing w:after="150" w:line="240" w:lineRule="auto"/>
        <w:jc w:val="both"/>
        <w:rPr>
          <w:rFonts w:ascii="Times New Roman" w:eastAsia="Times New Roman" w:hAnsi="Times New Roman"/>
          <w:sz w:val="24"/>
          <w:szCs w:val="24"/>
          <w:lang w:eastAsia="es-ES"/>
        </w:rPr>
      </w:pPr>
      <w:r w:rsidRPr="001851AA">
        <w:rPr>
          <w:rFonts w:ascii="Times New Roman" w:eastAsia="Times New Roman" w:hAnsi="Times New Roman"/>
          <w:sz w:val="24"/>
          <w:szCs w:val="24"/>
          <w:lang w:eastAsia="es-ES"/>
        </w:rPr>
        <w:t>Y es aquí donde entra el Estado. Los gobiernos de izquierdas lusos aprovecharon el boom crediticio para no poner en marcha ninguna reforma estructural a fin de liberalizar su rígida economía y mejorar su competitividad. De hecho, lejos de apretarse el cinturón, se permitieron, igualmente, el lujo de aumentar el gasto público por encima de sus posibilidades. No hubo ni un ápice de rigor presupuestario sino, más bien al contrario, tal y como muestra la evolución de su déficit público.</w:t>
      </w:r>
    </w:p>
    <w:p w:rsidR="001851AA" w:rsidRPr="001851AA" w:rsidRDefault="001851AA" w:rsidP="00387350">
      <w:pPr>
        <w:shd w:val="clear" w:color="auto" w:fill="FFFFFF"/>
        <w:spacing w:after="150" w:line="240" w:lineRule="auto"/>
        <w:jc w:val="both"/>
        <w:rPr>
          <w:rFonts w:ascii="Times New Roman" w:eastAsia="Times New Roman" w:hAnsi="Times New Roman"/>
          <w:sz w:val="24"/>
          <w:szCs w:val="24"/>
          <w:lang w:eastAsia="es-ES"/>
        </w:rPr>
      </w:pPr>
      <w:r w:rsidRPr="001851AA">
        <w:rPr>
          <w:rFonts w:ascii="Times New Roman" w:eastAsia="Times New Roman" w:hAnsi="Times New Roman"/>
          <w:sz w:val="24"/>
          <w:szCs w:val="24"/>
          <w:lang w:eastAsia="es-ES"/>
        </w:rPr>
        <w:t>Así, el peso del Estado -medido en gasto público respecto al PIB- pasó del 40% al 45% entre 2000 y 2004, y continuó creciendo hasta alcanzar en la actualidad un nivel próximo al 50% del PIB.</w:t>
      </w:r>
      <w:r>
        <w:rPr>
          <w:rFonts w:ascii="Times New Roman" w:eastAsia="Times New Roman" w:hAnsi="Times New Roman"/>
          <w:sz w:val="24"/>
          <w:szCs w:val="24"/>
          <w:lang w:eastAsia="es-ES"/>
        </w:rPr>
        <w:t xml:space="preserve"> </w:t>
      </w:r>
      <w:r w:rsidRPr="001851AA">
        <w:rPr>
          <w:rFonts w:ascii="Times New Roman" w:eastAsia="Times New Roman" w:hAnsi="Times New Roman"/>
          <w:sz w:val="24"/>
          <w:szCs w:val="24"/>
          <w:lang w:eastAsia="es-ES"/>
        </w:rPr>
        <w:t>Asimismo, Portugal violó reiteradamente los límites de déficit exigidos por la normativa comunitaria (3% del PIB) durante la última década: 3% en 2003, 3,4% en 2004, 5,9% en 2005, 4,1% en 2006... Y así sucesivamente. Según la última revisión realizada por la oficina estadística europea (Eurostat), su déficit en 2007 fue del 3,1%, del 3,5% en 2008, del 10% en 2009 y del 8,6% en 2010.</w:t>
      </w:r>
    </w:p>
    <w:p w:rsidR="001851AA" w:rsidRPr="001851AA" w:rsidRDefault="001851AA" w:rsidP="00387350">
      <w:pPr>
        <w:shd w:val="clear" w:color="auto" w:fill="FFFFFF"/>
        <w:spacing w:after="150" w:line="240" w:lineRule="auto"/>
        <w:jc w:val="both"/>
        <w:rPr>
          <w:rFonts w:ascii="Times New Roman" w:eastAsia="Times New Roman" w:hAnsi="Times New Roman"/>
          <w:sz w:val="24"/>
          <w:szCs w:val="24"/>
          <w:lang w:eastAsia="es-ES"/>
        </w:rPr>
      </w:pPr>
      <w:r w:rsidRPr="001851AA">
        <w:rPr>
          <w:rFonts w:ascii="Times New Roman" w:eastAsia="Times New Roman" w:hAnsi="Times New Roman"/>
          <w:sz w:val="24"/>
          <w:szCs w:val="24"/>
          <w:lang w:eastAsia="es-ES"/>
        </w:rPr>
        <w:t>Lo mismo sucede con la deuda pública: 68,3% del PIB en 2007, 71,6% en 2008, 82,9% en 2009 y 92,4% en 2010. De cara a 2011, el instituto estadístico portugués ha mantenido su previsión de déficit respecto al PIB en el 4,6% y la correspondiente a la deuda pública en el 97,3%.</w:t>
      </w:r>
    </w:p>
    <w:p w:rsidR="001851AA" w:rsidRPr="001851AA" w:rsidRDefault="001851AA" w:rsidP="00387350">
      <w:pPr>
        <w:shd w:val="clear" w:color="auto" w:fill="FFFFFF"/>
        <w:spacing w:after="150" w:line="240" w:lineRule="auto"/>
        <w:jc w:val="both"/>
        <w:rPr>
          <w:rFonts w:ascii="Times New Roman" w:eastAsia="Times New Roman" w:hAnsi="Times New Roman"/>
          <w:sz w:val="24"/>
          <w:szCs w:val="24"/>
          <w:lang w:eastAsia="es-ES"/>
        </w:rPr>
      </w:pPr>
      <w:r w:rsidRPr="001851AA">
        <w:rPr>
          <w:rFonts w:ascii="Times New Roman" w:eastAsia="Times New Roman" w:hAnsi="Times New Roman"/>
          <w:sz w:val="24"/>
          <w:szCs w:val="24"/>
          <w:lang w:eastAsia="es-ES"/>
        </w:rPr>
        <w:t>De este modo, se comprueba que los gobiernos portugueses evitaron todo rigor presupuestario durante la época de bonanza sino más bien lo contrario. El problema es que este persistente déficit a base de gasto público contribuyó a impulsar todavía más las ya de por sí elevadas tensiones inflacionistas propias de Portugal…</w:t>
      </w:r>
    </w:p>
    <w:p w:rsidR="001851AA" w:rsidRDefault="001851AA" w:rsidP="00387350">
      <w:pPr>
        <w:shd w:val="clear" w:color="auto" w:fill="FFFFFF"/>
        <w:spacing w:after="150" w:line="240" w:lineRule="auto"/>
        <w:jc w:val="both"/>
        <w:rPr>
          <w:rFonts w:ascii="Times New Roman" w:eastAsia="Times New Roman" w:hAnsi="Times New Roman"/>
          <w:color w:val="000000"/>
          <w:sz w:val="24"/>
          <w:szCs w:val="24"/>
          <w:lang w:eastAsia="es-ES"/>
        </w:rPr>
      </w:pPr>
      <w:r>
        <w:rPr>
          <w:rFonts w:ascii="Times New Roman" w:eastAsia="Times New Roman" w:hAnsi="Times New Roman"/>
          <w:sz w:val="24"/>
          <w:szCs w:val="24"/>
          <w:lang w:eastAsia="es-ES"/>
        </w:rPr>
        <w:t>El boom crediticio fue “</w:t>
      </w:r>
      <w:r w:rsidRPr="001851AA">
        <w:rPr>
          <w:rFonts w:ascii="Times New Roman" w:eastAsia="Times New Roman" w:hAnsi="Times New Roman"/>
          <w:sz w:val="24"/>
          <w:szCs w:val="24"/>
          <w:lang w:eastAsia="es-ES"/>
        </w:rPr>
        <w:t>un festín para el Estado y la sociedad, que gastaron y gastaron -se endeudaron y se endeudaron- sin demasiada preocupación acerca de</w:t>
      </w:r>
      <w:r>
        <w:rPr>
          <w:rFonts w:ascii="Times New Roman" w:eastAsia="Times New Roman" w:hAnsi="Times New Roman"/>
          <w:sz w:val="24"/>
          <w:szCs w:val="24"/>
          <w:lang w:eastAsia="es-ES"/>
        </w:rPr>
        <w:t xml:space="preserve"> cómo iban a devolver el dinero”</w:t>
      </w:r>
      <w:r w:rsidRPr="001851AA">
        <w:rPr>
          <w:rFonts w:ascii="Times New Roman" w:eastAsia="Times New Roman" w:hAnsi="Times New Roman"/>
          <w:sz w:val="24"/>
          <w:szCs w:val="24"/>
          <w:lang w:eastAsia="es-ES"/>
        </w:rPr>
        <w:t>, señala Rallo. En resumen, mucha deuda y escasa capacidad de generar ingresos (crecimiento casi nulo). Y cuando llegó la hora de pagar... Portugal no pudo”…</w:t>
      </w:r>
      <w:r w:rsidRPr="001851AA">
        <w:rPr>
          <w:rFonts w:ascii="Times New Roman" w:eastAsia="Times New Roman" w:hAnsi="Times New Roman"/>
          <w:sz w:val="24"/>
          <w:szCs w:val="24"/>
          <w:u w:val="single"/>
          <w:lang w:eastAsia="es-ES"/>
        </w:rPr>
        <w:t xml:space="preserve"> </w:t>
      </w:r>
      <w:r w:rsidRPr="00BF468C">
        <w:rPr>
          <w:rFonts w:ascii="Times New Roman" w:eastAsia="Times New Roman" w:hAnsi="Times New Roman"/>
          <w:color w:val="000000"/>
          <w:sz w:val="24"/>
          <w:szCs w:val="24"/>
          <w:u w:val="single"/>
          <w:lang w:eastAsia="es-ES"/>
        </w:rPr>
        <w:t>El Estado mató a Portugal</w:t>
      </w:r>
      <w:r>
        <w:rPr>
          <w:rFonts w:ascii="Times New Roman" w:eastAsia="Times New Roman" w:hAnsi="Times New Roman"/>
          <w:color w:val="000000"/>
          <w:sz w:val="24"/>
          <w:szCs w:val="24"/>
          <w:lang w:eastAsia="es-ES"/>
        </w:rPr>
        <w:t xml:space="preserve"> (Libertad Digital - </w:t>
      </w:r>
      <w:r w:rsidRPr="00BF468C">
        <w:rPr>
          <w:rFonts w:ascii="Times New Roman" w:eastAsia="Times New Roman" w:hAnsi="Times New Roman"/>
          <w:b/>
          <w:color w:val="000000"/>
          <w:sz w:val="24"/>
          <w:szCs w:val="24"/>
          <w:lang w:eastAsia="es-ES"/>
        </w:rPr>
        <w:t>7/4/11</w:t>
      </w:r>
      <w:r>
        <w:rPr>
          <w:rFonts w:ascii="Times New Roman" w:eastAsia="Times New Roman" w:hAnsi="Times New Roman"/>
          <w:color w:val="000000"/>
          <w:sz w:val="24"/>
          <w:szCs w:val="24"/>
          <w:lang w:eastAsia="es-ES"/>
        </w:rPr>
        <w:t>)</w:t>
      </w:r>
    </w:p>
    <w:p w:rsidR="001851AA" w:rsidRPr="001851AA" w:rsidRDefault="001851AA" w:rsidP="00387350">
      <w:pPr>
        <w:pStyle w:val="NormalWeb"/>
        <w:jc w:val="both"/>
      </w:pPr>
      <w:r w:rsidRPr="001851AA">
        <w:t>“El salario medio de los empleados de los ferrocarriles públicos griegos supera los 66.000 euros al año. Y esto incluye a limpiadores y otros trabajadores de baja cualificación. El metro de Atenas recauda unos 90 millones de euros en tickets cada doce meses, mientras que el coste total de esta empresa pública es superior a los 500 millones anuales. Unos 600 tipos de profesionales helenos pueden jubilarse entre los 50 y los 55 años. Peluqueras, camareros, músicos o masajistas están entre estos oficios considerados como de alto riesgo para la salud. Menos de 5.000 contribuyentes griegos, en una población de 12 millones, reconocen cobrar más de 100.000 euros al año (en España, con 45 millones de habitantes, hay cerca de 200.000 contribuyentes en este nivel).</w:t>
      </w:r>
    </w:p>
    <w:p w:rsidR="001851AA" w:rsidRDefault="001851AA" w:rsidP="00387350">
      <w:pPr>
        <w:pStyle w:val="NormalWeb"/>
        <w:jc w:val="both"/>
      </w:pPr>
      <w:r w:rsidRPr="001851AA">
        <w:t xml:space="preserve">Con todos estos datos, quizás sea mucho más fácil explicarse por qué el Parlamento griego ha tenido que votar este miércoles uno de los planes de ajuste más duros que se recuerdan. El problema, aunque se quiera vender lo contrario, no es la crisis, sino años y años de despilfarro del dinero público, por parte del actual Gobierno, del anterior, del </w:t>
      </w:r>
      <w:r w:rsidRPr="001851AA">
        <w:lastRenderedPageBreak/>
        <w:t>precedente a éste y de muchos otros. El Estado griego está en bancarrota (se quiera vender como se quiera) y sólo su entrada en el euro, con las defensas que eso produjo, le permitió sobrevivir unos años más. Ahora, la recesión sólo ha hecho que se vea con claridad que el Rey estaba desnudo”...</w:t>
      </w:r>
      <w:r>
        <w:t xml:space="preserve"> </w:t>
      </w:r>
      <w:r w:rsidRPr="007A46CB">
        <w:rPr>
          <w:u w:val="single"/>
        </w:rPr>
        <w:t>Ferroviarios de lujo y jubilaciones a los 50: las razones del colapso heleno</w:t>
      </w:r>
      <w:r>
        <w:t xml:space="preserve"> (Libertad Digital - </w:t>
      </w:r>
      <w:r w:rsidRPr="00410C62">
        <w:rPr>
          <w:b/>
        </w:rPr>
        <w:t>29/6/11</w:t>
      </w:r>
      <w:r>
        <w:t>)</w:t>
      </w:r>
    </w:p>
    <w:p w:rsidR="004B5D35" w:rsidRPr="004B5D35" w:rsidRDefault="004B5D35" w:rsidP="00387350">
      <w:pPr>
        <w:pStyle w:val="NormalWeb"/>
        <w:jc w:val="both"/>
      </w:pPr>
      <w:r>
        <w:t>“</w:t>
      </w:r>
      <w:r w:rsidRPr="004B5D35">
        <w:t xml:space="preserve">Esta crisis solo saca a la superficie la realidad de lo que la UE siempre ha sido. </w:t>
      </w:r>
      <w:r w:rsidRPr="004B5D35">
        <w:rPr>
          <w:bCs/>
        </w:rPr>
        <w:t xml:space="preserve">Para la </w:t>
      </w:r>
      <w:hyperlink r:id="rId378" w:history="1">
        <w:r w:rsidRPr="004B5D35">
          <w:rPr>
            <w:rStyle w:val="Hipervnculo"/>
            <w:bCs/>
            <w:color w:val="auto"/>
            <w:u w:val="none"/>
          </w:rPr>
          <w:t>UE</w:t>
        </w:r>
      </w:hyperlink>
      <w:r w:rsidRPr="004B5D35">
        <w:rPr>
          <w:bCs/>
        </w:rPr>
        <w:t>, la crisis es por el excesivo sector público, el “estado del bienestar” y la irresponsabilidad de los ciudadanos</w:t>
      </w:r>
      <w:r w:rsidRPr="004B5D35">
        <w:t xml:space="preserve"> del Sur que provocan el aumento de los diferenciales de su deuda, lo cual lleva a la quiebra de sus Estados. Han existido múltiples casos de dispendio público y medidas económicas absurdas, pero ¿solo el gasto público y el “estado de bienestar” son las causas reales de la crisis?</w:t>
      </w:r>
    </w:p>
    <w:p w:rsidR="004B5D35" w:rsidRPr="004B5D35" w:rsidRDefault="004B5D35" w:rsidP="00387350">
      <w:pPr>
        <w:pStyle w:val="NormalWeb"/>
        <w:jc w:val="both"/>
      </w:pPr>
      <w:r w:rsidRPr="004B5D35">
        <w:t>La UE reconoce que el gasto público de Grecia, Portugal, Irlanda y España fueron menores al de Alemania de 1992 hasta el 2006 e incluso el 2011.</w:t>
      </w:r>
    </w:p>
    <w:p w:rsidR="001851AA" w:rsidRDefault="001851AA" w:rsidP="00387350">
      <w:pPr>
        <w:pStyle w:val="NormalWeb"/>
        <w:jc w:val="both"/>
      </w:pPr>
      <w:r>
        <w:rPr>
          <w:noProof/>
        </w:rPr>
        <w:drawing>
          <wp:inline distT="0" distB="0" distL="0" distR="0" wp14:anchorId="6A2CF7CB" wp14:editId="5A2B1497">
            <wp:extent cx="5764377" cy="2114093"/>
            <wp:effectExtent l="0" t="0" r="8255" b="635"/>
            <wp:docPr id="179" name="Imagen 179" descr="2011112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11121341"/>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794541" cy="2125156"/>
                    </a:xfrm>
                    <a:prstGeom prst="rect">
                      <a:avLst/>
                    </a:prstGeom>
                    <a:noFill/>
                    <a:ln>
                      <a:noFill/>
                    </a:ln>
                  </pic:spPr>
                </pic:pic>
              </a:graphicData>
            </a:graphic>
          </wp:inline>
        </w:drawing>
      </w:r>
    </w:p>
    <w:p w:rsidR="004B5D35" w:rsidRPr="004B5D35" w:rsidRDefault="004B5D35" w:rsidP="00387350">
      <w:pPr>
        <w:pStyle w:val="NormalWeb"/>
        <w:jc w:val="both"/>
      </w:pPr>
      <w:r w:rsidRPr="004B5D35">
        <w:t>¿Por qué Irlanda, con saldo positivo en sus cuentas públicas entre 1992-2007, quebró en el 2008? ¿Tendrá algo que ver el rescate de sus entidades con fondos públicos? Si el déficit público es la razón de las quiebras, ¿por qué Alemania y Francia no quebraron entre 2002-2006? ¿Por qué Italia está en la situación actual si siempre tuvo un saldo positivo entre 1992-2009?</w:t>
      </w:r>
    </w:p>
    <w:p w:rsidR="001851AA" w:rsidRDefault="001851AA" w:rsidP="00387350">
      <w:pPr>
        <w:pStyle w:val="NormalWeb"/>
        <w:jc w:val="both"/>
      </w:pPr>
      <w:r>
        <w:rPr>
          <w:noProof/>
        </w:rPr>
        <w:drawing>
          <wp:inline distT="0" distB="0" distL="0" distR="0" wp14:anchorId="41C1C9A2" wp14:editId="42613174">
            <wp:extent cx="5230368" cy="2282177"/>
            <wp:effectExtent l="0" t="0" r="0" b="4445"/>
            <wp:docPr id="178" name="Imagen 178" descr="2011112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11121192"/>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230397" cy="2282190"/>
                    </a:xfrm>
                    <a:prstGeom prst="rect">
                      <a:avLst/>
                    </a:prstGeom>
                    <a:noFill/>
                    <a:ln>
                      <a:noFill/>
                    </a:ln>
                  </pic:spPr>
                </pic:pic>
              </a:graphicData>
            </a:graphic>
          </wp:inline>
        </w:drawing>
      </w:r>
    </w:p>
    <w:p w:rsidR="004B5D35" w:rsidRPr="004B5D35" w:rsidRDefault="004B5D35" w:rsidP="00387350">
      <w:pPr>
        <w:pStyle w:val="NormalWeb"/>
        <w:jc w:val="both"/>
      </w:pPr>
      <w:r w:rsidRPr="004B5D35">
        <w:rPr>
          <w:bCs/>
        </w:rPr>
        <w:lastRenderedPageBreak/>
        <w:t xml:space="preserve">El </w:t>
      </w:r>
      <w:hyperlink r:id="rId381" w:history="1">
        <w:r w:rsidRPr="004B5D35">
          <w:rPr>
            <w:rStyle w:val="Hipervnculo"/>
            <w:bCs/>
            <w:color w:val="auto"/>
            <w:u w:val="none"/>
          </w:rPr>
          <w:t>FMI</w:t>
        </w:r>
      </w:hyperlink>
      <w:r w:rsidRPr="004B5D35">
        <w:rPr>
          <w:bCs/>
        </w:rPr>
        <w:t xml:space="preserve"> explica que los aumentos de los diferenciales tienen más que ver con la situación de las entidades financieras</w:t>
      </w:r>
      <w:r w:rsidRPr="004B5D35">
        <w:t xml:space="preserve"> de esos países que la situación interna del país.</w:t>
      </w:r>
    </w:p>
    <w:p w:rsidR="004B5D35" w:rsidRPr="004B5D35" w:rsidRDefault="004B5D35" w:rsidP="00387350">
      <w:pPr>
        <w:pStyle w:val="figcaption"/>
        <w:jc w:val="both"/>
      </w:pPr>
      <w:r w:rsidRPr="004B5D35">
        <w:rPr>
          <w:bCs/>
        </w:rPr>
        <w:t>¿Tendrá algo que ver con las quiebras los tremendos desequilibrios que la UME provoca?</w:t>
      </w:r>
      <w:r w:rsidRPr="004B5D35">
        <w:t xml:space="preserve"> El balance por cuenta corriente de Grecia paso del -0.5% en 1996 al -17% en 2008. Irlanda del +2% a -5%. Portugal del -5% a -12%. España del -1% a -9%. ¿No dice esto nada a la UE?</w:t>
      </w:r>
      <w:r>
        <w:t xml:space="preserve">... </w:t>
      </w:r>
      <w:r w:rsidRPr="0040207E">
        <w:rPr>
          <w:u w:val="single"/>
        </w:rPr>
        <w:t>¿Desde cuándo ha sido la UE democrática?</w:t>
      </w:r>
      <w:r>
        <w:t xml:space="preserve"> (El Confidencial - </w:t>
      </w:r>
      <w:r w:rsidRPr="0040207E">
        <w:rPr>
          <w:b/>
        </w:rPr>
        <w:t>22/11/11</w:t>
      </w:r>
      <w:r>
        <w:t>)</w:t>
      </w:r>
    </w:p>
    <w:p w:rsidR="004B5D35" w:rsidRDefault="004B5D35" w:rsidP="00387350">
      <w:pPr>
        <w:pStyle w:val="NormalWeb"/>
        <w:jc w:val="both"/>
      </w:pPr>
      <w:r>
        <w:rPr>
          <w:noProof/>
        </w:rPr>
        <w:drawing>
          <wp:inline distT="0" distB="0" distL="0" distR="0" wp14:anchorId="25B314AC" wp14:editId="622CC2AE">
            <wp:extent cx="5376672" cy="2282177"/>
            <wp:effectExtent l="0" t="0" r="0" b="4445"/>
            <wp:docPr id="25" name="Imagen 25" descr="2011112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11121663"/>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376702" cy="2282190"/>
                    </a:xfrm>
                    <a:prstGeom prst="rect">
                      <a:avLst/>
                    </a:prstGeom>
                    <a:noFill/>
                    <a:ln>
                      <a:noFill/>
                    </a:ln>
                  </pic:spPr>
                </pic:pic>
              </a:graphicData>
            </a:graphic>
          </wp:inline>
        </w:drawing>
      </w:r>
    </w:p>
    <w:p w:rsidR="00F66E67" w:rsidRPr="00F66E67" w:rsidRDefault="00F66E67" w:rsidP="00387350">
      <w:pPr>
        <w:pStyle w:val="NormalWeb"/>
        <w:jc w:val="both"/>
      </w:pPr>
      <w:r w:rsidRPr="00F66E67">
        <w:t xml:space="preserve">“El aparato burocrático-político-funcionarial de lo que </w:t>
      </w:r>
      <w:r w:rsidRPr="00F66E67">
        <w:rPr>
          <w:bCs/>
        </w:rPr>
        <w:t>Hans Magnus Enzensberger</w:t>
      </w:r>
      <w:r w:rsidRPr="00F66E67">
        <w:t xml:space="preserve"> denomina en su último libro (enero 2011. Editorial Anagrama) </w:t>
      </w:r>
      <w:r w:rsidRPr="00F66E67">
        <w:rPr>
          <w:i/>
          <w:iCs/>
        </w:rPr>
        <w:t>El gentil monstruo de Bruselas o Europa tutelada</w:t>
      </w:r>
      <w:r w:rsidRPr="00F66E67">
        <w:t xml:space="preserve">. Así se titula el ensayo -breve, ácido e irónico-, del escritor alemán (Baviera 1929) que denuncia la doble moral de exigir a las sociedades de los Estados miembros de la UE ajustes y sacrificios, mientras </w:t>
      </w:r>
      <w:r w:rsidRPr="00F66E67">
        <w:rPr>
          <w:bCs/>
        </w:rPr>
        <w:t>la estructura de la Unión se convierte en monstruosamente tentacular hasta el punto de desconocer cabalmente el coste de su sostenimiento</w:t>
      </w:r>
      <w:r w:rsidRPr="00F66E67">
        <w:t xml:space="preserve">. </w:t>
      </w:r>
    </w:p>
    <w:p w:rsidR="00F66E67" w:rsidRPr="00F66E67" w:rsidRDefault="00F66E67" w:rsidP="00387350">
      <w:pPr>
        <w:pStyle w:val="NormalWeb"/>
        <w:jc w:val="both"/>
      </w:pPr>
      <w:r w:rsidRPr="00F66E67">
        <w:t>El autor constata que la UE cada año subvenciona a la emisora</w:t>
      </w:r>
      <w:r w:rsidRPr="00F66E67">
        <w:rPr>
          <w:i/>
          <w:iCs/>
        </w:rPr>
        <w:t xml:space="preserve"> Euronews</w:t>
      </w:r>
      <w:r w:rsidRPr="00F66E67">
        <w:t xml:space="preserve"> con cinco millones de euros y “con otros seis a la poco conocida red de radiodifusión </w:t>
      </w:r>
      <w:r w:rsidRPr="00F66E67">
        <w:rPr>
          <w:i/>
          <w:iCs/>
        </w:rPr>
        <w:t>Euranet</w:t>
      </w:r>
      <w:r w:rsidRPr="00F66E67">
        <w:t>”</w:t>
      </w:r>
      <w:r w:rsidR="0088487E">
        <w:t>.</w:t>
      </w:r>
      <w:r w:rsidRPr="00F66E67">
        <w:t xml:space="preserve"> Además, dice, el Parlamento Europeo se “concede el lujo de manejar un canal de TV propio llamado </w:t>
      </w:r>
      <w:r w:rsidRPr="00F66E67">
        <w:rPr>
          <w:i/>
          <w:iCs/>
        </w:rPr>
        <w:t>Europarltv</w:t>
      </w:r>
      <w:r w:rsidRPr="00F66E67">
        <w:t xml:space="preserve">, por el cual está dispuesto a desembolsar diez millones pese a su muy reducida audiencia”. A ese conglomerado, Enzensberger lo denomina </w:t>
      </w:r>
      <w:r w:rsidRPr="00F66E67">
        <w:rPr>
          <w:bCs/>
        </w:rPr>
        <w:t>“prensa palaciega”</w:t>
      </w:r>
      <w:r w:rsidRPr="00F66E67">
        <w:t xml:space="preserve"> (página 13). Más datos: los directores generales del grupo salarial más alto ganan casi el doble que los funcionarios equiparables en Alemania y el 10% están libres de impuestos, lo mismo que sus dietas y complementos; </w:t>
      </w:r>
      <w:r w:rsidRPr="00F66E67">
        <w:rPr>
          <w:bCs/>
        </w:rPr>
        <w:t>se pueden jubilar a los 63 años y a los 55 acogerse a la jubilación anticipada</w:t>
      </w:r>
      <w:r w:rsidRPr="00F66E67">
        <w:t xml:space="preserve"> (página 24). Es difícil precisar, dice el ensayista, “cuánto nos cuestan nuestros empleados en Bruselas, Estrasburgo o Luxemburgo”. Su número exacto tampoco se conoce, aunque la cifra oscila entre los </w:t>
      </w:r>
      <w:r w:rsidRPr="00F66E67">
        <w:rPr>
          <w:bCs/>
        </w:rPr>
        <w:t>15.000</w:t>
      </w:r>
      <w:r w:rsidRPr="00F66E67">
        <w:t xml:space="preserve"> y los </w:t>
      </w:r>
      <w:r w:rsidRPr="00F66E67">
        <w:rPr>
          <w:bCs/>
        </w:rPr>
        <w:t>40.000</w:t>
      </w:r>
      <w:r w:rsidRPr="00F66E67">
        <w:t>, aunque se sabe que los gastos administrativos de la UE están en el 6% del presupuesto global, esto es,</w:t>
      </w:r>
      <w:r w:rsidRPr="00F66E67">
        <w:rPr>
          <w:bCs/>
        </w:rPr>
        <w:t xml:space="preserve"> 8.200 millones de euros</w:t>
      </w:r>
      <w:r w:rsidRPr="00F66E67">
        <w:t xml:space="preserve">. Algunos estiman que el aparato bruselense cuenta tanto como todo el presupuesto de la ciudad de Viena, o sea, muy por encima de los </w:t>
      </w:r>
      <w:r w:rsidRPr="00F66E67">
        <w:rPr>
          <w:bCs/>
        </w:rPr>
        <w:t>10.000 millones</w:t>
      </w:r>
      <w:r w:rsidRPr="00F66E67">
        <w:t xml:space="preserve"> (página 25).</w:t>
      </w:r>
    </w:p>
    <w:p w:rsidR="00F66E67" w:rsidRPr="00F66E67" w:rsidRDefault="00F66E67" w:rsidP="00387350">
      <w:pPr>
        <w:pStyle w:val="NormalWeb"/>
        <w:jc w:val="both"/>
      </w:pPr>
      <w:r w:rsidRPr="00F66E67">
        <w:t xml:space="preserve">Ese aparato se justifica -siguiendo el relato cortante de Enzensberger- </w:t>
      </w:r>
      <w:r w:rsidRPr="00F66E67">
        <w:rPr>
          <w:bCs/>
        </w:rPr>
        <w:t>en una voracidad regulatoria extraordinaria</w:t>
      </w:r>
      <w:r w:rsidRPr="00F66E67">
        <w:t xml:space="preserve"> extendiendo sus competencias cada vez sobre más materias: mercado común, política económica, sanitaria, industrial, regional, educativa, de </w:t>
      </w:r>
      <w:r w:rsidRPr="00F66E67">
        <w:lastRenderedPageBreak/>
        <w:t xml:space="preserve">pensiones, el clima, la energía, la investigación, la inmigración, el derecho civil, penal, procesal… llegando a regular </w:t>
      </w:r>
      <w:r w:rsidRPr="00F66E67">
        <w:rPr>
          <w:bCs/>
        </w:rPr>
        <w:t xml:space="preserve">la curvatura de los pepinos </w:t>
      </w:r>
      <w:r w:rsidRPr="00F66E67">
        <w:t xml:space="preserve">(sic) para ser comercializados, reglamentando todo lo relativo a los plátanos y </w:t>
      </w:r>
      <w:r w:rsidRPr="00F66E67">
        <w:rPr>
          <w:bCs/>
        </w:rPr>
        <w:t>¡hasta la dimensión mínima de los condones!</w:t>
      </w:r>
      <w:r w:rsidRPr="00F66E67">
        <w:t xml:space="preserve">(página 29). Para que nada falte, la UE ha dictado hasta un “Reglamento nº 244/2009 en lo relativo a los requisitos de diseño ecológico para lámparas de uso doméstico no direccionales”. Para atender a tanta diarrea normativa, la UE tiene </w:t>
      </w:r>
      <w:r w:rsidRPr="00F66E67">
        <w:rPr>
          <w:bCs/>
        </w:rPr>
        <w:t>decenas de esotéricos organismos atrincherados en acrónimos indescifrables</w:t>
      </w:r>
      <w:r w:rsidRPr="00F66E67">
        <w:t>. Es casi imposible saber cuántas direcciones generales y agencias existen en Bruselas, pero Enzesberger cree que al menos son 36 “y otras que se encuentran en fase de creación”. Una agencia se lleva, dice nuestro autor, la palma: la OSHA, organismo que se encarga de la seguridad y salud en el trabajo y que “</w:t>
      </w:r>
      <w:r w:rsidRPr="00F66E67">
        <w:rPr>
          <w:bCs/>
        </w:rPr>
        <w:t>pese a no tener más que 64 empleados cuenta con 84 consejeros</w:t>
      </w:r>
      <w:r w:rsidRPr="00F66E67">
        <w:t>”. Lo cual no les parece excesivo a los eurócratas: el presidente del Parlamento cuenta con 14 vicepresidentes para “ayudarle” en sus funciones (páginas 37 y siguientes).</w:t>
      </w:r>
    </w:p>
    <w:p w:rsidR="00F66E67" w:rsidRPr="00F66E67" w:rsidRDefault="00F66E67" w:rsidP="00387350">
      <w:pPr>
        <w:pStyle w:val="NormalWeb"/>
        <w:jc w:val="both"/>
      </w:pPr>
      <w:r w:rsidRPr="00F66E67">
        <w:t xml:space="preserve">La burocracia, no faltaría más, requiere soportes. En 2004 la recopilación de normas de la UE se contenía en </w:t>
      </w:r>
      <w:r w:rsidRPr="00F66E67">
        <w:rPr>
          <w:bCs/>
        </w:rPr>
        <w:t>85.000 páginas</w:t>
      </w:r>
      <w:r w:rsidRPr="00F66E67">
        <w:t xml:space="preserve"> y a día de hoy supera </w:t>
      </w:r>
      <w:r w:rsidRPr="00F66E67">
        <w:rPr>
          <w:bCs/>
        </w:rPr>
        <w:t>las 150.000. En 2005 el Diario Oficial de la Unión Europea “pesaba ya más de una tonelada</w:t>
      </w:r>
      <w:r w:rsidRPr="00F66E67">
        <w:t xml:space="preserve">”. Todas las directivas -que no emanan siempre ni principalmente del Parlamento sino del poder ejecutivo de la UE, es decir, la Comisión- regulan todos los aspectos. Y así lo relata Enzensberger: “Fumamos; comemos demasiadas grasa y azúcares, colgamos crucifijos en las aulas, acaparamos bombillas ilegales; ponemos a secar la ropa al aire libre. ¡Adónde iríamos a parar si pudiéramos decidir nosotros mismos a quién queremos alquilar nuestra vivienda! ¿Es posible que haya desviacionistas que paguen jubilaciones de empresa como les da la gana y que en Madrid o Helsinki quieran implantar un límite de velocidad que diverge de la euronorma?; ¿acaso no es necesario que en todas partes, sin consideración alguna del clima y de la experiencia, se utilicen exactamente los mismos materiales de construcción?; ¿puede quedar al arbitrio de cada país lo que ocurra en sus escuelas y universidades?; ¿quién sino la Comisión ha de disponer cual debe ser la forma de las prótesis dentales o de los inodoros europeos?… tales antojos son absolutamente intolerables. </w:t>
      </w:r>
      <w:r w:rsidRPr="00F66E67">
        <w:rPr>
          <w:bCs/>
        </w:rPr>
        <w:t>La Unión Europea lo sabe todo mejor que nosotros</w:t>
      </w:r>
      <w:r w:rsidRPr="00F66E67">
        <w:t>” (páginas 88 y siguientes).</w:t>
      </w:r>
    </w:p>
    <w:p w:rsidR="00F66E67" w:rsidRDefault="00F66E67" w:rsidP="00387350">
      <w:pPr>
        <w:pStyle w:val="NormalWeb"/>
        <w:jc w:val="both"/>
      </w:pPr>
      <w:r w:rsidRPr="00F66E67">
        <w:t xml:space="preserve">Estamos ante un monstruo -muy “gentil”, según Enzensberger- que impone, obliga, sanciona (los mercados, el directorio franco-alemán, la Comisión el BC) pero no se aplica la doctrina que preconiza y exige. Lo que ha propiciado que estemos introduciéndonos en una </w:t>
      </w:r>
      <w:r w:rsidRPr="00F66E67">
        <w:rPr>
          <w:bCs/>
        </w:rPr>
        <w:t>“etapa postdemocrática</w:t>
      </w:r>
      <w:r w:rsidRPr="00F66E67">
        <w:t xml:space="preserve">” respecto de la una Unión Europea que ya se permite suplir gobiernos “políticos” por otros “tecnocráticos” (casos de Grecia e Italia). Sin embargo, y como bien constata el ensayista alemán, “por ahora, </w:t>
      </w:r>
      <w:r w:rsidRPr="00F66E67">
        <w:rPr>
          <w:bCs/>
        </w:rPr>
        <w:t>poco apunta a que los europeos tiendan a oponerse a su expropiación política</w:t>
      </w:r>
      <w:r w:rsidRPr="00F66E67">
        <w:t xml:space="preserve">. No faltan manifestaciones de descontento, de sabotaje abierto o encubierto, pero en resumidas cuentas el famoso déficit democrático no conduce a la sublevación sino más bien a la indiferencia y al cinismo, </w:t>
      </w:r>
      <w:r w:rsidRPr="00F66E67">
        <w:rPr>
          <w:bCs/>
        </w:rPr>
        <w:t>al desprecio por la clase política o la depresión colectiva</w:t>
      </w:r>
      <w:r w:rsidRPr="00F66E67">
        <w:t>” (página 93)”…</w:t>
      </w:r>
      <w:r>
        <w:t xml:space="preserve"> </w:t>
      </w:r>
      <w:r>
        <w:rPr>
          <w:u w:val="single"/>
        </w:rPr>
        <w:t>El abuso expropiatorio del “gentil monstruo de Bruselas”</w:t>
      </w:r>
      <w:r>
        <w:t xml:space="preserve"> (El confidencial - </w:t>
      </w:r>
      <w:r w:rsidRPr="00117538">
        <w:rPr>
          <w:b/>
        </w:rPr>
        <w:t>11/2/12</w:t>
      </w:r>
      <w:r>
        <w:t>)</w:t>
      </w:r>
    </w:p>
    <w:p w:rsidR="00F66E67" w:rsidRPr="00F66E67" w:rsidRDefault="00F66E67" w:rsidP="00387350">
      <w:pPr>
        <w:pStyle w:val="NormalWeb"/>
        <w:jc w:val="both"/>
      </w:pPr>
      <w:r w:rsidRPr="00F66E67">
        <w:t>“Nada menos que 60.000 millones de euros: dos veces el plan de ajuste Salva Italia, recién aprobado para rescatar el país al borde del abismo. Tanto pesa la corrupción sobre la economía transalpina, según el Tribunal de Cuentas de Roma, que esta estimación atribuye a Italia la mitad de todos los sobornos de Europa.</w:t>
      </w:r>
    </w:p>
    <w:p w:rsidR="00F66E67" w:rsidRPr="00F66E67" w:rsidRDefault="00F66E67" w:rsidP="00387350">
      <w:pPr>
        <w:pStyle w:val="NormalWeb"/>
        <w:jc w:val="both"/>
      </w:pPr>
      <w:r w:rsidRPr="00F66E67">
        <w:lastRenderedPageBreak/>
        <w:t xml:space="preserve">El dato recién desvelado representa la magnitud del problema para un país que acaba de entrar en recesión y tiene que lidiar con 1,8 billones de débito, </w:t>
      </w:r>
      <w:r>
        <w:rPr>
          <w:bCs/>
        </w:rPr>
        <w:t>“</w:t>
      </w:r>
      <w:r w:rsidRPr="00F66E67">
        <w:rPr>
          <w:bCs/>
        </w:rPr>
        <w:t>una amen</w:t>
      </w:r>
      <w:r>
        <w:rPr>
          <w:bCs/>
        </w:rPr>
        <w:t>aza para la libertad de empresa” que “</w:t>
      </w:r>
      <w:r w:rsidRPr="00F66E67">
        <w:rPr>
          <w:bCs/>
        </w:rPr>
        <w:t>mina la confianza de los inversores extranjero</w:t>
      </w:r>
      <w:r>
        <w:rPr>
          <w:bCs/>
        </w:rPr>
        <w:t>s”</w:t>
      </w:r>
      <w:r w:rsidRPr="00F66E67">
        <w:t>, dicen los jueces fiscales. Aún más que los problemas del mercado de trabajo o la escasa liberalización de los servicios.</w:t>
      </w:r>
    </w:p>
    <w:p w:rsidR="00F66E67" w:rsidRPr="00F66E67" w:rsidRDefault="00F66E67" w:rsidP="00387350">
      <w:pPr>
        <w:pStyle w:val="NormalWeb"/>
        <w:jc w:val="both"/>
      </w:pPr>
      <w:r w:rsidRPr="00F66E67">
        <w:t>Desde hace décadas en Italia, el impuesto oculto que supone la corrupción supone sobre todo que los costes de las obras públicas son los más altos de Europa. Con las investigaciones que se sucedieron a raíz del escándalo de Ta</w:t>
      </w:r>
      <w:r>
        <w:t>ngentopoli</w:t>
      </w:r>
      <w:r w:rsidRPr="00F66E67">
        <w:t>, Italia descubrió hasta qué punto podía aumentar el presupuesto de una línea de ferrocarril en Milán administrada por los socialistas de Bettino Craxi: la obra que antes de 1992 costaba 83.000 millones de liras (unos 40 millones de euros) por kilómetro, tras la intervención de los fiscales había pasado a costar la mitad.</w:t>
      </w:r>
    </w:p>
    <w:p w:rsidR="00F66E67" w:rsidRDefault="00F66E67" w:rsidP="00387350">
      <w:pPr>
        <w:pStyle w:val="NormalWeb"/>
        <w:jc w:val="both"/>
      </w:pPr>
      <w:r w:rsidRPr="00F66E67">
        <w:t xml:space="preserve">Desde entonces, la situación ha vuelto a empeorar. </w:t>
      </w:r>
      <w:r w:rsidRPr="00F66E67">
        <w:rPr>
          <w:bCs/>
        </w:rPr>
        <w:t>Las cifras para la construcción del AVE italiano, que se está llevando a cabo estos años, son las más significativas</w:t>
      </w:r>
      <w:r w:rsidRPr="00F66E67">
        <w:t>: aunque la corrupción no sea el único problema de Italia (está la mafia, la lentitud de la burocracia y la justicia...) el dato sigue siendo sorprendente: el tren de alta velocidad cuesta en el país transalpino entre 20 y 96 millones por kilómetro, respecto a los 10 millones</w:t>
      </w:r>
      <w:r>
        <w:t xml:space="preserve"> de Francia y a los 9 de España… </w:t>
      </w:r>
    </w:p>
    <w:p w:rsidR="00F66E67" w:rsidRPr="00F66E67" w:rsidRDefault="00F66E67" w:rsidP="00387350">
      <w:pPr>
        <w:pStyle w:val="NormalWeb"/>
        <w:jc w:val="both"/>
      </w:pPr>
      <w:r w:rsidRPr="00F66E67">
        <w:t>La cuestión de la financiación de los partidos fue, hace veinte años, el tema central de Tangentopoli. Lo dejó claro el líder socialista Craxi en uno de sus últimos discursos ante el Parlamento en 1992. “Lo saben todos, gran parte de la financiación a los partidos políticos es irregular o ilegal. Los partidos han recurrido al uso de recursos adicionales de forma irregular o ilegal. Si esta materia tiene que ser considerada materia puramente criminal entonces gran parte del sistema sería un sistema criminal”.</w:t>
      </w:r>
    </w:p>
    <w:p w:rsidR="00F66E67" w:rsidRDefault="00F66E67" w:rsidP="00387350">
      <w:pPr>
        <w:pStyle w:val="NormalWeb"/>
        <w:jc w:val="both"/>
      </w:pPr>
      <w:r w:rsidRPr="00F66E67">
        <w:t>Este sistema criminal que contribuyó a crear la enorme deuda pública italiana (que justo en 1992 empezaba a superar el 100% del PIB) ha cambiado pero no ha desaparecido y sigue teniendo consecuencias sobre la tercera economía de la Eurozona. Se trata de un problema más sobre la mesa del Gobierno tecnócrata de Mario Monti que está estudiando una nueva norma anticorrupción”…</w:t>
      </w:r>
      <w:r>
        <w:t xml:space="preserve"> </w:t>
      </w:r>
      <w:r w:rsidRPr="007400A1">
        <w:rPr>
          <w:u w:val="single"/>
        </w:rPr>
        <w:t>La corrupción en Italia, un impuesto oculto que supone un lastre de 60.000 millones</w:t>
      </w:r>
      <w:r>
        <w:t xml:space="preserve"> (El Economista - </w:t>
      </w:r>
      <w:r w:rsidRPr="007400A1">
        <w:rPr>
          <w:b/>
        </w:rPr>
        <w:t>5/3/12</w:t>
      </w:r>
      <w:r>
        <w:t>)</w:t>
      </w:r>
    </w:p>
    <w:p w:rsidR="00F66E67" w:rsidRPr="00F66E67" w:rsidRDefault="00F66E67" w:rsidP="00387350">
      <w:pPr>
        <w:spacing w:line="240" w:lineRule="auto"/>
        <w:jc w:val="both"/>
        <w:rPr>
          <w:rFonts w:ascii="Times New Roman" w:hAnsi="Times New Roman"/>
          <w:sz w:val="24"/>
          <w:szCs w:val="24"/>
        </w:rPr>
      </w:pPr>
      <w:r w:rsidRPr="00F66E67">
        <w:rPr>
          <w:rFonts w:ascii="Times New Roman" w:hAnsi="Times New Roman"/>
          <w:sz w:val="24"/>
          <w:szCs w:val="24"/>
        </w:rPr>
        <w:t>“La isla de Zakynthos (Zacinto), famosa por sus ruinas venecianas y aguas turquesas, tiene desde hace un ti</w:t>
      </w:r>
      <w:r>
        <w:rPr>
          <w:rFonts w:ascii="Times New Roman" w:hAnsi="Times New Roman"/>
          <w:sz w:val="24"/>
          <w:szCs w:val="24"/>
        </w:rPr>
        <w:t>empo un nuevo apodo en Grecia: “la isla de los ciegos”</w:t>
      </w:r>
      <w:r w:rsidRPr="00F66E67">
        <w:rPr>
          <w:rFonts w:ascii="Times New Roman" w:hAnsi="Times New Roman"/>
          <w:sz w:val="24"/>
          <w:szCs w:val="24"/>
        </w:rPr>
        <w:t>.</w:t>
      </w:r>
      <w:r>
        <w:rPr>
          <w:rFonts w:ascii="Times New Roman" w:hAnsi="Times New Roman"/>
          <w:sz w:val="24"/>
          <w:szCs w:val="24"/>
        </w:rPr>
        <w:t xml:space="preserve"> </w:t>
      </w:r>
      <w:r w:rsidRPr="00F66E67">
        <w:rPr>
          <w:rFonts w:ascii="Times New Roman" w:hAnsi="Times New Roman"/>
          <w:sz w:val="24"/>
          <w:szCs w:val="24"/>
        </w:rPr>
        <w:t>El Ministerio de Salud griego está investigando Zakynthos después de que funcionarios locales sonaran las alarmas tras detectar un número inusualmente alto de solicitudes de pensiones por ceguera.</w:t>
      </w:r>
    </w:p>
    <w:p w:rsidR="00F66E67" w:rsidRPr="00F66E67" w:rsidRDefault="00F66E67" w:rsidP="00387350">
      <w:pPr>
        <w:spacing w:line="240" w:lineRule="auto"/>
        <w:jc w:val="both"/>
        <w:rPr>
          <w:rFonts w:ascii="Times New Roman" w:hAnsi="Times New Roman"/>
          <w:sz w:val="24"/>
          <w:szCs w:val="24"/>
        </w:rPr>
      </w:pPr>
      <w:r w:rsidRPr="00F66E67">
        <w:rPr>
          <w:rFonts w:ascii="Times New Roman" w:hAnsi="Times New Roman"/>
          <w:sz w:val="24"/>
          <w:szCs w:val="24"/>
        </w:rPr>
        <w:t>En torno a 1,8% de la población de la isla, que tiene unos 39.000 habitantes, cobró ese subsidio el año pasado, según el Ministerio de Salud. Ese porcentaje es nueve veces más alto que la prevalencia de ceguera estimada para muchos países europeos en un estudio de 2004 publicado por la Organización Mundial de la Salud.</w:t>
      </w:r>
      <w:r>
        <w:rPr>
          <w:rFonts w:ascii="Times New Roman" w:hAnsi="Times New Roman"/>
          <w:sz w:val="24"/>
          <w:szCs w:val="24"/>
        </w:rPr>
        <w:t xml:space="preserve"> </w:t>
      </w:r>
      <w:r w:rsidRPr="00F66E67">
        <w:rPr>
          <w:rFonts w:ascii="Times New Roman" w:hAnsi="Times New Roman"/>
          <w:sz w:val="24"/>
          <w:szCs w:val="24"/>
        </w:rPr>
        <w:t>Entre los que solicitaron la pensión por invidencia en Zakynthos, indica un funcionario, se encontraban un conductor de taxi y un cazador de aves.</w:t>
      </w:r>
    </w:p>
    <w:p w:rsidR="0066196D" w:rsidRDefault="00F66E67" w:rsidP="00387350">
      <w:pPr>
        <w:spacing w:line="240" w:lineRule="auto"/>
        <w:jc w:val="both"/>
        <w:rPr>
          <w:rFonts w:ascii="Times New Roman" w:hAnsi="Times New Roman"/>
          <w:sz w:val="24"/>
          <w:szCs w:val="24"/>
        </w:rPr>
      </w:pPr>
      <w:r w:rsidRPr="00F66E67">
        <w:rPr>
          <w:rFonts w:ascii="Times New Roman" w:hAnsi="Times New Roman"/>
          <w:sz w:val="24"/>
          <w:szCs w:val="24"/>
        </w:rPr>
        <w:t xml:space="preserve">Zakynthos se ha convertido en un símbolo de la corrupción endémica que contribuyó a la </w:t>
      </w:r>
      <w:r>
        <w:rPr>
          <w:rFonts w:ascii="Times New Roman" w:hAnsi="Times New Roman"/>
          <w:sz w:val="24"/>
          <w:szCs w:val="24"/>
        </w:rPr>
        <w:t>implosión financiera del país. “</w:t>
      </w:r>
      <w:r w:rsidR="0066196D">
        <w:rPr>
          <w:rFonts w:ascii="Times New Roman" w:hAnsi="Times New Roman"/>
          <w:sz w:val="24"/>
          <w:szCs w:val="24"/>
        </w:rPr>
        <w:t>Parece que los “</w:t>
      </w:r>
      <w:r w:rsidRPr="00F66E67">
        <w:rPr>
          <w:rFonts w:ascii="Times New Roman" w:hAnsi="Times New Roman"/>
          <w:sz w:val="24"/>
          <w:szCs w:val="24"/>
        </w:rPr>
        <w:t>cie</w:t>
      </w:r>
      <w:r w:rsidR="0066196D">
        <w:rPr>
          <w:rFonts w:ascii="Times New Roman" w:hAnsi="Times New Roman"/>
          <w:sz w:val="24"/>
          <w:szCs w:val="24"/>
        </w:rPr>
        <w:t>gos”</w:t>
      </w:r>
      <w:r w:rsidRPr="00F66E67">
        <w:rPr>
          <w:rFonts w:ascii="Times New Roman" w:hAnsi="Times New Roman"/>
          <w:sz w:val="24"/>
          <w:szCs w:val="24"/>
        </w:rPr>
        <w:t xml:space="preserve"> de Zakynthos</w:t>
      </w:r>
      <w:r w:rsidR="0066196D">
        <w:rPr>
          <w:rFonts w:ascii="Times New Roman" w:hAnsi="Times New Roman"/>
          <w:sz w:val="24"/>
          <w:szCs w:val="24"/>
        </w:rPr>
        <w:t xml:space="preserve"> sólo veían el color del dinero”</w:t>
      </w:r>
      <w:r w:rsidRPr="00F66E67">
        <w:rPr>
          <w:rFonts w:ascii="Times New Roman" w:hAnsi="Times New Roman"/>
          <w:sz w:val="24"/>
          <w:szCs w:val="24"/>
        </w:rPr>
        <w:t>, decía un artículo en el periódico griego Ethnos.</w:t>
      </w:r>
      <w:r>
        <w:rPr>
          <w:rFonts w:ascii="Times New Roman" w:hAnsi="Times New Roman"/>
          <w:sz w:val="24"/>
          <w:szCs w:val="24"/>
        </w:rPr>
        <w:t xml:space="preserve"> </w:t>
      </w:r>
      <w:r w:rsidRPr="00F66E67">
        <w:rPr>
          <w:rFonts w:ascii="Times New Roman" w:hAnsi="Times New Roman"/>
          <w:sz w:val="24"/>
          <w:szCs w:val="24"/>
        </w:rPr>
        <w:t xml:space="preserve">Pero la isla no está </w:t>
      </w:r>
      <w:r w:rsidRPr="00F66E67">
        <w:rPr>
          <w:rFonts w:ascii="Times New Roman" w:hAnsi="Times New Roman"/>
          <w:sz w:val="24"/>
          <w:szCs w:val="24"/>
        </w:rPr>
        <w:lastRenderedPageBreak/>
        <w:t>sola en esto, según los funcionarios, que aseguran que las solicitudes por discapacidad fraudulentas son un problema en todo el país, lo cual le cuesta al gobierno cientos de millones de euros al año</w:t>
      </w:r>
      <w:r w:rsidR="0066196D">
        <w:rPr>
          <w:rFonts w:ascii="Times New Roman" w:hAnsi="Times New Roman"/>
          <w:sz w:val="24"/>
          <w:szCs w:val="24"/>
        </w:rPr>
        <w:t>”..</w:t>
      </w:r>
      <w:r w:rsidRPr="00F66E67">
        <w:rPr>
          <w:rFonts w:ascii="Times New Roman" w:hAnsi="Times New Roman"/>
          <w:sz w:val="24"/>
          <w:szCs w:val="24"/>
        </w:rPr>
        <w:t>.</w:t>
      </w:r>
      <w:r w:rsidR="0066196D">
        <w:rPr>
          <w:rFonts w:ascii="Times New Roman" w:hAnsi="Times New Roman"/>
          <w:sz w:val="24"/>
          <w:szCs w:val="24"/>
        </w:rPr>
        <w:t xml:space="preserve"> </w:t>
      </w:r>
      <w:r w:rsidR="0066196D" w:rsidRPr="00E679E3">
        <w:rPr>
          <w:rFonts w:ascii="Times New Roman" w:hAnsi="Times New Roman"/>
          <w:sz w:val="24"/>
          <w:szCs w:val="24"/>
          <w:u w:val="single"/>
        </w:rPr>
        <w:t>En Grecia, la corrupción e</w:t>
      </w:r>
      <w:r w:rsidR="0066196D">
        <w:rPr>
          <w:rFonts w:ascii="Times New Roman" w:hAnsi="Times New Roman"/>
          <w:sz w:val="24"/>
          <w:szCs w:val="24"/>
          <w:u w:val="single"/>
        </w:rPr>
        <w:t>ndémica se ve claramente en la “isla de los ciegos”</w:t>
      </w:r>
      <w:r w:rsidR="0066196D" w:rsidRPr="00E679E3">
        <w:rPr>
          <w:rFonts w:ascii="Times New Roman" w:hAnsi="Times New Roman"/>
          <w:sz w:val="24"/>
          <w:szCs w:val="24"/>
          <w:u w:val="single"/>
        </w:rPr>
        <w:t xml:space="preserve"> </w:t>
      </w:r>
      <w:r w:rsidR="0066196D">
        <w:rPr>
          <w:rFonts w:ascii="Times New Roman" w:hAnsi="Times New Roman"/>
          <w:sz w:val="24"/>
          <w:szCs w:val="24"/>
        </w:rPr>
        <w:t xml:space="preserve">(The Wall Street Journal - </w:t>
      </w:r>
      <w:r w:rsidR="0066196D" w:rsidRPr="00E679E3">
        <w:rPr>
          <w:rFonts w:ascii="Times New Roman" w:hAnsi="Times New Roman"/>
          <w:b/>
          <w:sz w:val="24"/>
          <w:szCs w:val="24"/>
        </w:rPr>
        <w:t>7/4/12</w:t>
      </w:r>
      <w:r w:rsidR="0066196D">
        <w:rPr>
          <w:rFonts w:ascii="Times New Roman" w:hAnsi="Times New Roman"/>
          <w:sz w:val="24"/>
          <w:szCs w:val="24"/>
        </w:rPr>
        <w:t>)</w:t>
      </w:r>
    </w:p>
    <w:p w:rsidR="0066196D" w:rsidRPr="0066196D" w:rsidRDefault="0066196D" w:rsidP="00387350">
      <w:pPr>
        <w:pStyle w:val="NormalWeb"/>
        <w:jc w:val="both"/>
      </w:pPr>
      <w:r w:rsidRPr="0066196D">
        <w:t>“La Heritage Foundation de EEUU ha realizado unos cálculos para hallar el resultado financiero que tendría una familia americana media si gestionara su economía de la misma forma en que lo hace su Estado dirigido por el demócrata Barack Obama, que ha supeditado sus medidas para fomentar la recuperación económica en un desorbitado endeudamiento que ha disparado el déficit público.</w:t>
      </w:r>
    </w:p>
    <w:p w:rsidR="0066196D" w:rsidRPr="0066196D" w:rsidRDefault="0066196D" w:rsidP="00387350">
      <w:pPr>
        <w:pStyle w:val="NormalWeb"/>
        <w:jc w:val="both"/>
      </w:pPr>
      <w:r w:rsidRPr="0066196D">
        <w:t>Tal y como muest</w:t>
      </w:r>
      <w:r>
        <w:t>ra el gráfico elaborado por el “think tank”</w:t>
      </w:r>
      <w:r w:rsidRPr="0066196D">
        <w:t xml:space="preserve"> estadounidense, si el ingreso medio anual de una familia fuera de 51.360 dólares y se dedicara a gastar 73.319 dólares, que es la desviación típica de ingresos y gastos que ahora presenta Estados Unidos, cargando esa diferencia a deuda pública, al final de tan sólo un ejercicio económico debería a sus acreedores 21.959 dólares. </w:t>
      </w:r>
    </w:p>
    <w:p w:rsidR="0066196D" w:rsidRPr="0066196D" w:rsidRDefault="0066196D" w:rsidP="00387350">
      <w:pPr>
        <w:pStyle w:val="NormalWeb"/>
        <w:jc w:val="both"/>
      </w:pPr>
      <w:r w:rsidRPr="0066196D">
        <w:t>Si la operación deudora la ejecutara a crédito mediante una tarjeta, estaría destinando 30 céntimos de cada dólar que pide a endeudarse. Si esa cadena de endeudamiento no tuviera ningún tipo de activo como respaldo o aval, la pregunta sería: ¿Cuánto tiempo seguirían los acreedores aceptando engordar el agujero financiero de la familia sin pedir garantías a cambio?</w:t>
      </w:r>
    </w:p>
    <w:p w:rsidR="0066196D" w:rsidRDefault="0066196D" w:rsidP="00387350">
      <w:pPr>
        <w:pStyle w:val="NormalWeb"/>
        <w:jc w:val="both"/>
      </w:pPr>
      <w:r w:rsidRPr="0066196D">
        <w:t>Evidentemente esta situación nunca se la podría permitir una familia. Pero el Estado, que lleva ya décadas gestionando de esta manera lapidaria los recursos públicos, tampoco puede estar así eternamente, y menos tras los billonarios recursos públicos que ha puesto Obama sobre la mesa para intentar sacar a la economía americana del letargo</w:t>
      </w:r>
      <w:r>
        <w:t>”..</w:t>
      </w:r>
      <w:r w:rsidRPr="0066196D">
        <w:t>.</w:t>
      </w:r>
      <w:r>
        <w:t xml:space="preserve"> </w:t>
      </w:r>
      <w:r w:rsidRPr="00DE5CDA">
        <w:rPr>
          <w:u w:val="single"/>
        </w:rPr>
        <w:t>¿Qué pasaría si las familias gestionaran su economía como lo hace el Estado?</w:t>
      </w:r>
      <w:r>
        <w:t xml:space="preserve"> (Negocios.com - </w:t>
      </w:r>
      <w:r w:rsidRPr="00DE5CDA">
        <w:rPr>
          <w:b/>
        </w:rPr>
        <w:t>3/5/12</w:t>
      </w:r>
      <w:r>
        <w:t>)</w:t>
      </w:r>
    </w:p>
    <w:p w:rsidR="0066196D" w:rsidRDefault="0066196D" w:rsidP="00387350">
      <w:pPr>
        <w:pStyle w:val="NormalWeb"/>
        <w:jc w:val="both"/>
      </w:pPr>
      <w:r>
        <w:t xml:space="preserve">         </w:t>
      </w:r>
      <w:r>
        <w:rPr>
          <w:rFonts w:ascii="Arial" w:hAnsi="Arial" w:cs="Arial"/>
          <w:noProof/>
          <w:color w:val="666666"/>
          <w:sz w:val="23"/>
          <w:szCs w:val="23"/>
        </w:rPr>
        <w:drawing>
          <wp:inline distT="0" distB="0" distL="0" distR="0" wp14:anchorId="6A356FE4" wp14:editId="1F126023">
            <wp:extent cx="4762500" cy="3526155"/>
            <wp:effectExtent l="0" t="0" r="0" b="0"/>
            <wp:docPr id="27" name="Imagen 27" descr="Gastos-ingresos-fami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stos-ingresos-familia"/>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762500" cy="3526155"/>
                    </a:xfrm>
                    <a:prstGeom prst="rect">
                      <a:avLst/>
                    </a:prstGeom>
                    <a:noFill/>
                    <a:ln>
                      <a:noFill/>
                    </a:ln>
                  </pic:spPr>
                </pic:pic>
              </a:graphicData>
            </a:graphic>
          </wp:inline>
        </w:drawing>
      </w:r>
    </w:p>
    <w:p w:rsidR="0066196D" w:rsidRPr="0066196D" w:rsidRDefault="0066196D" w:rsidP="00387350">
      <w:pPr>
        <w:spacing w:before="100" w:beforeAutospacing="1" w:after="100" w:afterAutospacing="1" w:line="240" w:lineRule="auto"/>
        <w:jc w:val="both"/>
        <w:rPr>
          <w:rFonts w:ascii="Times New Roman" w:eastAsia="Times New Roman" w:hAnsi="Times New Roman"/>
          <w:sz w:val="24"/>
          <w:szCs w:val="24"/>
          <w:lang w:eastAsia="es-ES"/>
        </w:rPr>
      </w:pPr>
      <w:r w:rsidRPr="0066196D">
        <w:rPr>
          <w:rFonts w:ascii="Times New Roman" w:eastAsia="Times New Roman" w:hAnsi="Times New Roman"/>
          <w:sz w:val="24"/>
          <w:szCs w:val="24"/>
          <w:lang w:eastAsia="es-ES"/>
        </w:rPr>
        <w:lastRenderedPageBreak/>
        <w:t>Es cierto que</w:t>
      </w:r>
      <w:r w:rsidRPr="0066196D">
        <w:rPr>
          <w:rFonts w:ascii="Times New Roman" w:eastAsia="Times New Roman" w:hAnsi="Times New Roman"/>
          <w:bCs/>
          <w:sz w:val="24"/>
          <w:szCs w:val="24"/>
          <w:lang w:eastAsia="es-ES"/>
        </w:rPr>
        <w:t xml:space="preserve"> Cameron ha reducido en unos 40.000 millones de libras el déficit</w:t>
      </w:r>
      <w:r w:rsidRPr="0066196D">
        <w:rPr>
          <w:rFonts w:ascii="Times New Roman" w:eastAsia="Times New Roman" w:hAnsi="Times New Roman"/>
          <w:sz w:val="24"/>
          <w:szCs w:val="24"/>
          <w:lang w:eastAsia="es-ES"/>
        </w:rPr>
        <w:t xml:space="preserve"> público (del 10,4% al 8,3%), pero es fundamental entender que el componente de este ajuste ha sido ejecutado, principalmente, </w:t>
      </w:r>
      <w:r w:rsidRPr="0066196D">
        <w:rPr>
          <w:rFonts w:ascii="Times New Roman" w:eastAsia="Times New Roman" w:hAnsi="Times New Roman"/>
          <w:bCs/>
          <w:sz w:val="24"/>
          <w:szCs w:val="24"/>
          <w:lang w:eastAsia="es-ES"/>
        </w:rPr>
        <w:t>vía subidas de impuestos</w:t>
      </w:r>
      <w:r w:rsidRPr="0066196D">
        <w:rPr>
          <w:rFonts w:ascii="Times New Roman" w:eastAsia="Times New Roman" w:hAnsi="Times New Roman"/>
          <w:sz w:val="24"/>
          <w:szCs w:val="24"/>
          <w:lang w:eastAsia="es-ES"/>
        </w:rPr>
        <w:t xml:space="preserve">. </w:t>
      </w:r>
      <w:hyperlink r:id="rId384" w:history="1">
        <w:r w:rsidRPr="0066196D">
          <w:rPr>
            <w:rFonts w:ascii="Times New Roman" w:eastAsia="Times New Roman" w:hAnsi="Times New Roman"/>
            <w:sz w:val="24"/>
            <w:szCs w:val="24"/>
            <w:lang w:eastAsia="es-ES"/>
          </w:rPr>
          <w:t>Como explicó en junio la economista Veronique de Rugy</w:t>
        </w:r>
      </w:hyperlink>
      <w:r>
        <w:rPr>
          <w:rFonts w:ascii="Times New Roman" w:eastAsia="Times New Roman" w:hAnsi="Times New Roman"/>
          <w:sz w:val="24"/>
          <w:szCs w:val="24"/>
          <w:lang w:eastAsia="es-ES"/>
        </w:rPr>
        <w:t>, “</w:t>
      </w:r>
      <w:r w:rsidRPr="0066196D">
        <w:rPr>
          <w:rFonts w:ascii="Times New Roman" w:eastAsia="Times New Roman" w:hAnsi="Times New Roman"/>
          <w:sz w:val="24"/>
          <w:szCs w:val="24"/>
          <w:lang w:eastAsia="es-ES"/>
        </w:rPr>
        <w:t xml:space="preserve">por cada tres libras de nuevos ingresos tributarios, apenas se ha recortado una libra de los </w:t>
      </w:r>
      <w:r>
        <w:rPr>
          <w:rFonts w:ascii="Times New Roman" w:eastAsia="Times New Roman" w:hAnsi="Times New Roman"/>
          <w:sz w:val="24"/>
          <w:szCs w:val="24"/>
          <w:lang w:eastAsia="es-ES"/>
        </w:rPr>
        <w:t>presupuestos”</w:t>
      </w:r>
      <w:r w:rsidRPr="0066196D">
        <w:rPr>
          <w:rFonts w:ascii="Times New Roman" w:eastAsia="Times New Roman" w:hAnsi="Times New Roman"/>
          <w:sz w:val="24"/>
          <w:szCs w:val="24"/>
          <w:lang w:eastAsia="es-ES"/>
        </w:rPr>
        <w:t>.</w:t>
      </w:r>
    </w:p>
    <w:p w:rsidR="0066196D" w:rsidRPr="0066196D" w:rsidRDefault="0066196D" w:rsidP="00387350">
      <w:pPr>
        <w:spacing w:before="100" w:beforeAutospacing="1" w:after="100" w:afterAutospacing="1" w:line="240" w:lineRule="auto"/>
        <w:jc w:val="both"/>
        <w:rPr>
          <w:rFonts w:ascii="Times New Roman" w:eastAsia="Times New Roman" w:hAnsi="Times New Roman"/>
          <w:sz w:val="24"/>
          <w:szCs w:val="24"/>
          <w:lang w:eastAsia="es-ES"/>
        </w:rPr>
      </w:pPr>
      <w:r w:rsidRPr="0066196D">
        <w:rPr>
          <w:rFonts w:ascii="Times New Roman" w:eastAsia="Times New Roman" w:hAnsi="Times New Roman"/>
          <w:sz w:val="24"/>
          <w:szCs w:val="24"/>
          <w:lang w:eastAsia="es-ES"/>
        </w:rPr>
        <w:t xml:space="preserve">Así, los contribuyentes británicos pagan hoy al fisco una factura cada vez más abultada. Se han aprobado alzas en todo tipo de figuras fiscales, pasando por el </w:t>
      </w:r>
      <w:r w:rsidRPr="0066196D">
        <w:rPr>
          <w:rFonts w:ascii="Times New Roman" w:eastAsia="Times New Roman" w:hAnsi="Times New Roman"/>
          <w:bCs/>
          <w:sz w:val="24"/>
          <w:szCs w:val="24"/>
          <w:lang w:eastAsia="es-ES"/>
        </w:rPr>
        <w:t>IVA</w:t>
      </w:r>
      <w:r w:rsidRPr="0066196D">
        <w:rPr>
          <w:rFonts w:ascii="Times New Roman" w:eastAsia="Times New Roman" w:hAnsi="Times New Roman"/>
          <w:sz w:val="24"/>
          <w:szCs w:val="24"/>
          <w:lang w:eastAsia="es-ES"/>
        </w:rPr>
        <w:t xml:space="preserve"> (del 17,5% al 20%), las</w:t>
      </w:r>
      <w:r w:rsidRPr="0066196D">
        <w:rPr>
          <w:rFonts w:ascii="Times New Roman" w:eastAsia="Times New Roman" w:hAnsi="Times New Roman"/>
          <w:bCs/>
          <w:sz w:val="24"/>
          <w:szCs w:val="24"/>
          <w:lang w:eastAsia="es-ES"/>
        </w:rPr>
        <w:t xml:space="preserve"> tasas</w:t>
      </w:r>
      <w:r w:rsidRPr="0066196D">
        <w:rPr>
          <w:rFonts w:ascii="Times New Roman" w:eastAsia="Times New Roman" w:hAnsi="Times New Roman"/>
          <w:sz w:val="24"/>
          <w:szCs w:val="24"/>
          <w:lang w:eastAsia="es-ES"/>
        </w:rPr>
        <w:t xml:space="preserve"> aplicadas a las entidades financieras, el</w:t>
      </w:r>
      <w:r w:rsidRPr="0066196D">
        <w:rPr>
          <w:rFonts w:ascii="Times New Roman" w:eastAsia="Times New Roman" w:hAnsi="Times New Roman"/>
          <w:bCs/>
          <w:sz w:val="24"/>
          <w:szCs w:val="24"/>
          <w:lang w:eastAsia="es-ES"/>
        </w:rPr>
        <w:t xml:space="preserve"> Impuesto sobre la Renta </w:t>
      </w:r>
      <w:r w:rsidRPr="0066196D">
        <w:rPr>
          <w:rFonts w:ascii="Times New Roman" w:eastAsia="Times New Roman" w:hAnsi="Times New Roman"/>
          <w:sz w:val="24"/>
          <w:szCs w:val="24"/>
          <w:lang w:eastAsia="es-ES"/>
        </w:rPr>
        <w:t>(que será reducido en 2013, pero durante los últimos años ha mantenido un tipo máximo del 50%), las</w:t>
      </w:r>
      <w:r w:rsidRPr="0066196D">
        <w:rPr>
          <w:rFonts w:ascii="Times New Roman" w:eastAsia="Times New Roman" w:hAnsi="Times New Roman"/>
          <w:bCs/>
          <w:sz w:val="24"/>
          <w:szCs w:val="24"/>
          <w:lang w:eastAsia="es-ES"/>
        </w:rPr>
        <w:t xml:space="preserve"> tasas aeroportuarias</w:t>
      </w:r>
      <w:r w:rsidRPr="0066196D">
        <w:rPr>
          <w:rFonts w:ascii="Times New Roman" w:eastAsia="Times New Roman" w:hAnsi="Times New Roman"/>
          <w:sz w:val="24"/>
          <w:szCs w:val="24"/>
          <w:lang w:eastAsia="es-ES"/>
        </w:rPr>
        <w:t xml:space="preserve"> (que subieron un 8%), las c</w:t>
      </w:r>
      <w:r w:rsidRPr="0066196D">
        <w:rPr>
          <w:rFonts w:ascii="Times New Roman" w:eastAsia="Times New Roman" w:hAnsi="Times New Roman"/>
          <w:bCs/>
          <w:sz w:val="24"/>
          <w:szCs w:val="24"/>
          <w:lang w:eastAsia="es-ES"/>
        </w:rPr>
        <w:t xml:space="preserve">otizaciones de los </w:t>
      </w:r>
      <w:r w:rsidR="000945E6">
        <w:rPr>
          <w:rFonts w:ascii="Times New Roman" w:eastAsia="Times New Roman" w:hAnsi="Times New Roman"/>
          <w:bCs/>
          <w:sz w:val="24"/>
          <w:szCs w:val="24"/>
          <w:lang w:eastAsia="es-ES"/>
        </w:rPr>
        <w:t>“</w:t>
      </w:r>
      <w:r w:rsidRPr="000945E6">
        <w:rPr>
          <w:rFonts w:ascii="Times New Roman" w:eastAsia="Times New Roman" w:hAnsi="Times New Roman"/>
          <w:bCs/>
          <w:iCs/>
          <w:sz w:val="24"/>
          <w:szCs w:val="24"/>
          <w:lang w:eastAsia="es-ES"/>
        </w:rPr>
        <w:t>bonus</w:t>
      </w:r>
      <w:r w:rsidR="000945E6">
        <w:rPr>
          <w:rFonts w:ascii="Times New Roman" w:eastAsia="Times New Roman" w:hAnsi="Times New Roman"/>
          <w:bCs/>
          <w:iCs/>
          <w:sz w:val="24"/>
          <w:szCs w:val="24"/>
          <w:lang w:eastAsia="es-ES"/>
        </w:rPr>
        <w:t>”</w:t>
      </w:r>
      <w:r w:rsidRPr="000945E6">
        <w:rPr>
          <w:rFonts w:ascii="Times New Roman" w:eastAsia="Times New Roman" w:hAnsi="Times New Roman"/>
          <w:sz w:val="24"/>
          <w:szCs w:val="24"/>
          <w:lang w:eastAsia="es-ES"/>
        </w:rPr>
        <w:t xml:space="preserve"> </w:t>
      </w:r>
      <w:r w:rsidRPr="0066196D">
        <w:rPr>
          <w:rFonts w:ascii="Times New Roman" w:eastAsia="Times New Roman" w:hAnsi="Times New Roman"/>
          <w:sz w:val="24"/>
          <w:szCs w:val="24"/>
          <w:lang w:eastAsia="es-ES"/>
        </w:rPr>
        <w:t xml:space="preserve">(que gravarán en un 50% todas las primas por encima de 25.000 libras), el </w:t>
      </w:r>
      <w:r w:rsidRPr="0066196D">
        <w:rPr>
          <w:rFonts w:ascii="Times New Roman" w:eastAsia="Times New Roman" w:hAnsi="Times New Roman"/>
          <w:bCs/>
          <w:sz w:val="24"/>
          <w:szCs w:val="24"/>
          <w:lang w:eastAsia="es-ES"/>
        </w:rPr>
        <w:t>Impuesto de Capitales</w:t>
      </w:r>
      <w:r w:rsidRPr="0066196D">
        <w:rPr>
          <w:rFonts w:ascii="Times New Roman" w:eastAsia="Times New Roman" w:hAnsi="Times New Roman"/>
          <w:sz w:val="24"/>
          <w:szCs w:val="24"/>
          <w:lang w:eastAsia="es-ES"/>
        </w:rPr>
        <w:t>, las tasas aplicadas a la venta de inmuebles...</w:t>
      </w:r>
    </w:p>
    <w:p w:rsidR="0066196D" w:rsidRPr="0066196D" w:rsidRDefault="0066196D" w:rsidP="00387350">
      <w:pPr>
        <w:spacing w:before="100" w:beforeAutospacing="1" w:after="100" w:afterAutospacing="1" w:line="240" w:lineRule="auto"/>
        <w:jc w:val="both"/>
        <w:rPr>
          <w:rFonts w:ascii="Times New Roman" w:eastAsia="Times New Roman" w:hAnsi="Times New Roman"/>
          <w:sz w:val="24"/>
          <w:szCs w:val="24"/>
          <w:lang w:eastAsia="es-ES"/>
        </w:rPr>
      </w:pPr>
      <w:r w:rsidRPr="0066196D">
        <w:rPr>
          <w:rFonts w:ascii="Times New Roman" w:eastAsia="Times New Roman" w:hAnsi="Times New Roman"/>
          <w:sz w:val="24"/>
          <w:szCs w:val="24"/>
          <w:lang w:eastAsia="es-ES"/>
        </w:rPr>
        <w:t xml:space="preserve">Pese a todos los sacrificios impuestos al sector privado, lo cierto es que </w:t>
      </w:r>
      <w:r w:rsidRPr="0066196D">
        <w:rPr>
          <w:rFonts w:ascii="Times New Roman" w:eastAsia="Times New Roman" w:hAnsi="Times New Roman"/>
          <w:bCs/>
          <w:sz w:val="24"/>
          <w:szCs w:val="24"/>
          <w:lang w:eastAsia="es-ES"/>
        </w:rPr>
        <w:t>el gasto público ni siquiera reduce su monto total</w:t>
      </w:r>
      <w:r w:rsidRPr="0066196D">
        <w:rPr>
          <w:rFonts w:ascii="Times New Roman" w:eastAsia="Times New Roman" w:hAnsi="Times New Roman"/>
          <w:sz w:val="24"/>
          <w:szCs w:val="24"/>
          <w:lang w:eastAsia="es-ES"/>
        </w:rPr>
        <w:t>, tanto si medimos su evolución en términos nominales como si ajustamos los datos a la inflación. La siguiente tabla, publicada por el Mercatus Center de la George Mason University, confirma esta preocupante evolución de los presupuestos.</w:t>
      </w:r>
    </w:p>
    <w:p w:rsidR="0066196D" w:rsidRPr="0066196D" w:rsidRDefault="0066196D" w:rsidP="00387350">
      <w:pPr>
        <w:spacing w:before="100" w:beforeAutospacing="1" w:after="100" w:afterAutospacing="1" w:line="240" w:lineRule="auto"/>
        <w:jc w:val="both"/>
        <w:rPr>
          <w:rFonts w:ascii="Times New Roman" w:eastAsia="Times New Roman" w:hAnsi="Times New Roman"/>
          <w:sz w:val="24"/>
          <w:szCs w:val="24"/>
          <w:lang w:eastAsia="es-ES"/>
        </w:rPr>
      </w:pPr>
      <w:r w:rsidRPr="0066196D">
        <w:rPr>
          <w:rFonts w:ascii="Times New Roman" w:eastAsia="Times New Roman" w:hAnsi="Times New Roman"/>
          <w:noProof/>
          <w:sz w:val="24"/>
          <w:szCs w:val="24"/>
          <w:lang w:eastAsia="es-ES"/>
        </w:rPr>
        <w:drawing>
          <wp:inline distT="0" distB="0" distL="0" distR="0" wp14:anchorId="1EFEDE2E" wp14:editId="329E5EC8">
            <wp:extent cx="5647055" cy="3116580"/>
            <wp:effectExtent l="0" t="0" r="0" b="7620"/>
            <wp:docPr id="146" name="Imagen 146" descr="ausca1">
              <a:hlinkClick xmlns:a="http://schemas.openxmlformats.org/drawingml/2006/main" r:id="rId38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usca1"/>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647055" cy="3116580"/>
                    </a:xfrm>
                    <a:prstGeom prst="rect">
                      <a:avLst/>
                    </a:prstGeom>
                    <a:noFill/>
                    <a:ln>
                      <a:noFill/>
                    </a:ln>
                  </pic:spPr>
                </pic:pic>
              </a:graphicData>
            </a:graphic>
          </wp:inline>
        </w:drawing>
      </w:r>
    </w:p>
    <w:p w:rsidR="0066196D" w:rsidRPr="0066196D" w:rsidRDefault="0066196D" w:rsidP="00387350">
      <w:pPr>
        <w:spacing w:before="100" w:beforeAutospacing="1" w:after="100" w:afterAutospacing="1" w:line="240" w:lineRule="auto"/>
        <w:jc w:val="both"/>
        <w:rPr>
          <w:rFonts w:ascii="Times New Roman" w:eastAsia="Times New Roman" w:hAnsi="Times New Roman"/>
          <w:bCs/>
          <w:sz w:val="24"/>
          <w:szCs w:val="24"/>
          <w:lang w:eastAsia="es-ES"/>
        </w:rPr>
      </w:pPr>
      <w:r w:rsidRPr="0066196D">
        <w:rPr>
          <w:rFonts w:ascii="Times New Roman" w:eastAsia="Times New Roman" w:hAnsi="Times New Roman"/>
          <w:sz w:val="24"/>
          <w:szCs w:val="24"/>
          <w:lang w:eastAsia="es-ES"/>
        </w:rPr>
        <w:t>Midiendo el gasto público en porcentaje del PIB podemos apreciar que el peso del Estado sobre el resto de la economía de las islas apenas ha caído en dos puntos porcentuales. Este indicador llegaba al 47% del PIB en el último año de gobierno de</w:t>
      </w:r>
      <w:r w:rsidRPr="0066196D">
        <w:rPr>
          <w:rFonts w:ascii="Times New Roman" w:eastAsia="Times New Roman" w:hAnsi="Times New Roman"/>
          <w:bCs/>
          <w:sz w:val="24"/>
          <w:szCs w:val="24"/>
          <w:lang w:eastAsia="es-ES"/>
        </w:rPr>
        <w:t xml:space="preserve"> Gordon Brown</w:t>
      </w:r>
      <w:r w:rsidRPr="0066196D">
        <w:rPr>
          <w:rFonts w:ascii="Times New Roman" w:eastAsia="Times New Roman" w:hAnsi="Times New Roman"/>
          <w:sz w:val="24"/>
          <w:szCs w:val="24"/>
          <w:lang w:eastAsia="es-ES"/>
        </w:rPr>
        <w:t xml:space="preserve">, mientras que la previsión </w:t>
      </w:r>
      <w:r w:rsidRPr="0066196D">
        <w:rPr>
          <w:rFonts w:ascii="Times New Roman" w:eastAsia="Times New Roman" w:hAnsi="Times New Roman"/>
          <w:bCs/>
          <w:sz w:val="24"/>
          <w:szCs w:val="24"/>
          <w:lang w:eastAsia="es-ES"/>
        </w:rPr>
        <w:t>para 2012 lo sitúa en niveles del 45%.</w:t>
      </w:r>
    </w:p>
    <w:p w:rsidR="0066196D" w:rsidRPr="0066196D" w:rsidRDefault="0066196D" w:rsidP="00387350">
      <w:pPr>
        <w:spacing w:before="100" w:beforeAutospacing="1" w:after="100" w:afterAutospacing="1" w:line="240" w:lineRule="auto"/>
        <w:jc w:val="both"/>
        <w:rPr>
          <w:rFonts w:ascii="Times New Roman" w:eastAsia="Times New Roman" w:hAnsi="Times New Roman"/>
          <w:sz w:val="24"/>
          <w:szCs w:val="24"/>
          <w:lang w:eastAsia="es-ES"/>
        </w:rPr>
      </w:pPr>
      <w:r w:rsidRPr="0066196D">
        <w:rPr>
          <w:rFonts w:ascii="Times New Roman" w:eastAsia="Times New Roman" w:hAnsi="Times New Roman"/>
          <w:sz w:val="24"/>
          <w:szCs w:val="24"/>
          <w:lang w:eastAsia="es-ES"/>
        </w:rPr>
        <w:t>Midiendo el gasto público en porcentaje del PIB podemos apreciar que el peso del Estado sobre el resto de la economía de las islas apenas ha caído en dos puntos porcentuales. Este indicador llegaba al 47% del PIB en el último año de gobierno de</w:t>
      </w:r>
      <w:r w:rsidRPr="0066196D">
        <w:rPr>
          <w:rFonts w:ascii="Times New Roman" w:eastAsia="Times New Roman" w:hAnsi="Times New Roman"/>
          <w:bCs/>
          <w:sz w:val="24"/>
          <w:szCs w:val="24"/>
          <w:lang w:eastAsia="es-ES"/>
        </w:rPr>
        <w:t xml:space="preserve"> Gordon Brown</w:t>
      </w:r>
      <w:r w:rsidRPr="0066196D">
        <w:rPr>
          <w:rFonts w:ascii="Times New Roman" w:eastAsia="Times New Roman" w:hAnsi="Times New Roman"/>
          <w:sz w:val="24"/>
          <w:szCs w:val="24"/>
          <w:lang w:eastAsia="es-ES"/>
        </w:rPr>
        <w:t xml:space="preserve">, mientras que la previsión </w:t>
      </w:r>
      <w:r w:rsidRPr="0066196D">
        <w:rPr>
          <w:rFonts w:ascii="Times New Roman" w:eastAsia="Times New Roman" w:hAnsi="Times New Roman"/>
          <w:bCs/>
          <w:sz w:val="24"/>
          <w:szCs w:val="24"/>
          <w:lang w:eastAsia="es-ES"/>
        </w:rPr>
        <w:t>para 2012 lo sitúa en niveles del 45%.</w:t>
      </w:r>
    </w:p>
    <w:p w:rsidR="0066196D" w:rsidRPr="005C4BD0" w:rsidRDefault="0066196D" w:rsidP="00387350">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sidRPr="0066196D">
        <w:rPr>
          <w:rFonts w:ascii="Times New Roman" w:eastAsia="Times New Roman" w:hAnsi="Times New Roman"/>
          <w:sz w:val="24"/>
          <w:szCs w:val="24"/>
          <w:lang w:eastAsia="es-ES"/>
        </w:rPr>
        <w:lastRenderedPageBreak/>
        <w:t xml:space="preserve">Cierto es que el Ejecutivo </w:t>
      </w:r>
      <w:r w:rsidR="000945E6">
        <w:rPr>
          <w:rFonts w:ascii="Times New Roman" w:eastAsia="Times New Roman" w:hAnsi="Times New Roman"/>
          <w:sz w:val="24"/>
          <w:szCs w:val="24"/>
          <w:lang w:eastAsia="es-ES"/>
        </w:rPr>
        <w:t>“</w:t>
      </w:r>
      <w:r w:rsidRPr="000945E6">
        <w:rPr>
          <w:rFonts w:ascii="Times New Roman" w:eastAsia="Times New Roman" w:hAnsi="Times New Roman"/>
          <w:iCs/>
          <w:sz w:val="24"/>
          <w:szCs w:val="24"/>
          <w:lang w:eastAsia="es-ES"/>
        </w:rPr>
        <w:t>tory</w:t>
      </w:r>
      <w:r w:rsidR="000945E6">
        <w:rPr>
          <w:rFonts w:ascii="Times New Roman" w:eastAsia="Times New Roman" w:hAnsi="Times New Roman"/>
          <w:iCs/>
          <w:sz w:val="24"/>
          <w:szCs w:val="24"/>
          <w:lang w:eastAsia="es-ES"/>
        </w:rPr>
        <w:t>”</w:t>
      </w:r>
      <w:r w:rsidRPr="0066196D">
        <w:rPr>
          <w:rFonts w:ascii="Times New Roman" w:eastAsia="Times New Roman" w:hAnsi="Times New Roman"/>
          <w:sz w:val="24"/>
          <w:szCs w:val="24"/>
          <w:lang w:eastAsia="es-ES"/>
        </w:rPr>
        <w:t xml:space="preserve"> ha anunciado su intención de dejar dicho indicador en niveles más reducidos, por lo que ha proyectado ajustar el gasto público hasta el 39% del PIB. Sin embargo, el cumplimiento de este compromiso ha sido anunciado para el año... 2016”… </w:t>
      </w:r>
      <w:r>
        <w:rPr>
          <w:rFonts w:ascii="Times New Roman" w:eastAsia="Times New Roman" w:hAnsi="Times New Roman"/>
          <w:bCs/>
          <w:kern w:val="36"/>
          <w:sz w:val="24"/>
          <w:szCs w:val="24"/>
          <w:u w:val="single"/>
          <w:lang w:eastAsia="es-ES"/>
        </w:rPr>
        <w:t>La “austeridad”</w:t>
      </w:r>
      <w:r w:rsidRPr="001C4F72">
        <w:rPr>
          <w:rFonts w:ascii="Times New Roman" w:eastAsia="Times New Roman" w:hAnsi="Times New Roman"/>
          <w:bCs/>
          <w:kern w:val="36"/>
          <w:sz w:val="24"/>
          <w:szCs w:val="24"/>
          <w:u w:val="single"/>
          <w:lang w:eastAsia="es-ES"/>
        </w:rPr>
        <w:t xml:space="preserve"> de David Cameron, ¿mito o realidad?</w:t>
      </w:r>
      <w:r>
        <w:rPr>
          <w:rFonts w:ascii="Times New Roman" w:eastAsia="Times New Roman" w:hAnsi="Times New Roman"/>
          <w:bCs/>
          <w:kern w:val="36"/>
          <w:sz w:val="24"/>
          <w:szCs w:val="24"/>
          <w:lang w:eastAsia="es-ES"/>
        </w:rPr>
        <w:t xml:space="preserve"> (Libertad Digital - </w:t>
      </w:r>
      <w:r w:rsidRPr="001C4F72">
        <w:rPr>
          <w:rFonts w:ascii="Times New Roman" w:eastAsia="Times New Roman" w:hAnsi="Times New Roman"/>
          <w:b/>
          <w:bCs/>
          <w:kern w:val="36"/>
          <w:sz w:val="24"/>
          <w:szCs w:val="24"/>
          <w:lang w:eastAsia="es-ES"/>
        </w:rPr>
        <w:t>2/11/12</w:t>
      </w:r>
      <w:r>
        <w:rPr>
          <w:rFonts w:ascii="Times New Roman" w:eastAsia="Times New Roman" w:hAnsi="Times New Roman"/>
          <w:bCs/>
          <w:kern w:val="36"/>
          <w:sz w:val="24"/>
          <w:szCs w:val="24"/>
          <w:lang w:eastAsia="es-ES"/>
        </w:rPr>
        <w:t>)</w:t>
      </w:r>
    </w:p>
    <w:p w:rsidR="0066196D" w:rsidRDefault="00C92374" w:rsidP="00387350">
      <w:pPr>
        <w:pStyle w:val="NormalWeb"/>
        <w:jc w:val="both"/>
      </w:pPr>
      <w:r>
        <w:t xml:space="preserve">         </w:t>
      </w:r>
      <w:r w:rsidR="0066196D">
        <w:rPr>
          <w:noProof/>
        </w:rPr>
        <w:drawing>
          <wp:inline distT="0" distB="0" distL="0" distR="0" wp14:anchorId="00A6F0DB" wp14:editId="1F72BF01">
            <wp:extent cx="4564684" cy="2494483"/>
            <wp:effectExtent l="0" t="0" r="7620" b="1270"/>
            <wp:docPr id="145" name="Imagen 145" descr="ausc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usca2"/>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564380" cy="2494317"/>
                    </a:xfrm>
                    <a:prstGeom prst="rect">
                      <a:avLst/>
                    </a:prstGeom>
                    <a:noFill/>
                    <a:ln>
                      <a:noFill/>
                    </a:ln>
                  </pic:spPr>
                </pic:pic>
              </a:graphicData>
            </a:graphic>
          </wp:inline>
        </w:drawing>
      </w:r>
    </w:p>
    <w:p w:rsidR="0066196D" w:rsidRDefault="00C92374" w:rsidP="00387350">
      <w:pPr>
        <w:pStyle w:val="NormalWeb"/>
        <w:jc w:val="both"/>
      </w:pPr>
      <w:r>
        <w:t xml:space="preserve">            </w:t>
      </w:r>
      <w:r w:rsidR="0066196D">
        <w:rPr>
          <w:noProof/>
        </w:rPr>
        <w:drawing>
          <wp:inline distT="0" distB="0" distL="0" distR="0" wp14:anchorId="10163ABF" wp14:editId="3FD864E6">
            <wp:extent cx="4462272" cy="2004364"/>
            <wp:effectExtent l="0" t="0" r="0" b="0"/>
            <wp:docPr id="144" name="Imagen 144" descr="ausc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usca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4462145" cy="2004307"/>
                    </a:xfrm>
                    <a:prstGeom prst="rect">
                      <a:avLst/>
                    </a:prstGeom>
                    <a:noFill/>
                    <a:ln>
                      <a:noFill/>
                    </a:ln>
                  </pic:spPr>
                </pic:pic>
              </a:graphicData>
            </a:graphic>
          </wp:inline>
        </w:drawing>
      </w:r>
    </w:p>
    <w:p w:rsidR="00B15E64" w:rsidRPr="00B15E64" w:rsidRDefault="00B15E64" w:rsidP="00387350">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B15E64">
        <w:rPr>
          <w:rFonts w:ascii="Times New Roman" w:eastAsia="Times New Roman" w:hAnsi="Times New Roman"/>
          <w:sz w:val="24"/>
          <w:szCs w:val="24"/>
          <w:lang w:eastAsia="es-ES"/>
        </w:rPr>
        <w:t>Hervé Falciani es uno de esos nombres que a la gente de a pie no le dice nada y en cambio pasará a la historia</w:t>
      </w:r>
      <w:r w:rsidRPr="00B15E64">
        <w:t xml:space="preserve">… </w:t>
      </w:r>
      <w:r w:rsidRPr="00B15E64">
        <w:rPr>
          <w:rFonts w:ascii="Times New Roman" w:eastAsia="Times New Roman" w:hAnsi="Times New Roman"/>
          <w:sz w:val="24"/>
          <w:szCs w:val="24"/>
          <w:lang w:eastAsia="es-ES"/>
        </w:rPr>
        <w:t>Todo se debe al puesto que ocupó a partir de octubre de 2006; en esa fecha Hervé Falciani es ascendido y se le encomienda la responsabilidad de mejorar las bases de datos y la seguridad de HSBC desde la sede de Ginebra (Suiza). Su vida no volvería a ser la misma… En su operativa diaria el ingeniero comprueba que existen numerosas transacciones que no dejan rastro, transferencias desde cuentas anónimas sin origen trazable. Algo pasa, así que Hervé comienza a analizar la información y a guardarla en servidores remotos convencido de su importancia. Tenía toda la razón, pues en dichos datos se escondían los nombres de algunos de las personalidades más poderosas de Grecia, España, Francia o Italia, ocultando presuntamente su patrimonio del fisco. Algunos le apodan el “Robin Hood” de las finanzas, pero sus intenciones no están tan claras como las del arquero de Nottingham…</w:t>
      </w:r>
    </w:p>
    <w:p w:rsidR="00B15E64" w:rsidRPr="00B15E64" w:rsidRDefault="00B15E64" w:rsidP="00387350">
      <w:pPr>
        <w:spacing w:after="0" w:line="240" w:lineRule="auto"/>
        <w:jc w:val="both"/>
        <w:rPr>
          <w:rFonts w:ascii="Times New Roman" w:eastAsia="Times New Roman" w:hAnsi="Times New Roman"/>
          <w:sz w:val="24"/>
          <w:szCs w:val="24"/>
          <w:lang w:eastAsia="es-ES"/>
        </w:rPr>
      </w:pPr>
    </w:p>
    <w:p w:rsidR="00B15E64" w:rsidRPr="00B15E64" w:rsidRDefault="00B15E64" w:rsidP="00387350">
      <w:pPr>
        <w:spacing w:after="0" w:line="240" w:lineRule="auto"/>
        <w:jc w:val="both"/>
        <w:rPr>
          <w:rFonts w:ascii="Times New Roman" w:eastAsia="Times New Roman" w:hAnsi="Times New Roman"/>
          <w:sz w:val="24"/>
          <w:szCs w:val="24"/>
          <w:lang w:eastAsia="es-ES"/>
        </w:rPr>
      </w:pPr>
      <w:r w:rsidRPr="00B15E64">
        <w:rPr>
          <w:rFonts w:ascii="Times New Roman" w:eastAsia="Times New Roman" w:hAnsi="Times New Roman"/>
          <w:sz w:val="24"/>
          <w:szCs w:val="24"/>
          <w:lang w:eastAsia="es-ES"/>
        </w:rPr>
        <w:t xml:space="preserve">Existen </w:t>
      </w:r>
      <w:r w:rsidR="002E6E34" w:rsidRPr="00B15E64">
        <w:rPr>
          <w:rFonts w:ascii="Times New Roman" w:eastAsia="Times New Roman" w:hAnsi="Times New Roman"/>
          <w:sz w:val="24"/>
          <w:szCs w:val="24"/>
          <w:lang w:eastAsia="es-ES"/>
        </w:rPr>
        <w:t>serias</w:t>
      </w:r>
      <w:r w:rsidRPr="00B15E64">
        <w:rPr>
          <w:rFonts w:ascii="Times New Roman" w:eastAsia="Times New Roman" w:hAnsi="Times New Roman"/>
          <w:sz w:val="24"/>
          <w:szCs w:val="24"/>
          <w:lang w:eastAsia="es-ES"/>
        </w:rPr>
        <w:t xml:space="preserve"> dudas sobre la conducta de HSBC, pues a la par que Falciani robaba información, la entidad gestionaba dinero de capos de la droga, dictadores, paraísos fiscales, terroristas… desde México a Irán o Rusia. </w:t>
      </w:r>
      <w:hyperlink r:id="rId389" w:history="1">
        <w:r w:rsidRPr="00B15E64">
          <w:rPr>
            <w:rFonts w:ascii="Times New Roman" w:eastAsia="Times New Roman" w:hAnsi="Times New Roman"/>
            <w:sz w:val="24"/>
            <w:szCs w:val="24"/>
            <w:lang w:eastAsia="es-ES"/>
          </w:rPr>
          <w:t xml:space="preserve">Todo ello según la denuncia de Carl </w:t>
        </w:r>
        <w:r w:rsidRPr="00B15E64">
          <w:rPr>
            <w:rFonts w:ascii="Times New Roman" w:eastAsia="Times New Roman" w:hAnsi="Times New Roman"/>
            <w:sz w:val="24"/>
            <w:szCs w:val="24"/>
            <w:lang w:eastAsia="es-ES"/>
          </w:rPr>
          <w:lastRenderedPageBreak/>
          <w:t>Levin</w:t>
        </w:r>
      </w:hyperlink>
      <w:r w:rsidRPr="00B15E64">
        <w:rPr>
          <w:rFonts w:ascii="Times New Roman" w:eastAsia="Times New Roman" w:hAnsi="Times New Roman"/>
          <w:sz w:val="24"/>
          <w:szCs w:val="24"/>
          <w:lang w:eastAsia="es-ES"/>
        </w:rPr>
        <w:t xml:space="preserve"> conocida este verano. Incluso hay relaciones con Bin Laden, ya que por ejemplo uno de los clientes era Sulaimán bin Abdul-Aziz Al-Rajhi, uno de los hombres más ricos del mundo y presidente del banco de Arabia Saudí Al-Rajhi, el mayor banco islámico del mundo, </w:t>
      </w:r>
      <w:hyperlink r:id="rId390" w:history="1">
        <w:r w:rsidRPr="00B15E64">
          <w:rPr>
            <w:rFonts w:ascii="Times New Roman" w:eastAsia="Times New Roman" w:hAnsi="Times New Roman"/>
            <w:sz w:val="24"/>
            <w:szCs w:val="24"/>
            <w:lang w:eastAsia="es-ES"/>
          </w:rPr>
          <w:t>quien según la denuncia habría colaborado con fines terroristas</w:t>
        </w:r>
      </w:hyperlink>
      <w:r w:rsidRPr="00B15E64">
        <w:rPr>
          <w:rFonts w:ascii="Times New Roman" w:eastAsia="Times New Roman" w:hAnsi="Times New Roman"/>
          <w:sz w:val="24"/>
          <w:szCs w:val="24"/>
          <w:lang w:eastAsia="es-ES"/>
        </w:rPr>
        <w:t>…</w:t>
      </w:r>
    </w:p>
    <w:p w:rsidR="00B15E64" w:rsidRPr="00B15E64" w:rsidRDefault="00B15E64" w:rsidP="00387350">
      <w:pPr>
        <w:spacing w:after="0" w:line="240" w:lineRule="auto"/>
        <w:jc w:val="both"/>
        <w:rPr>
          <w:rFonts w:ascii="Times New Roman" w:eastAsia="Times New Roman" w:hAnsi="Times New Roman"/>
          <w:sz w:val="24"/>
          <w:szCs w:val="24"/>
          <w:lang w:eastAsia="es-ES"/>
        </w:rPr>
      </w:pPr>
    </w:p>
    <w:p w:rsidR="00B15E64" w:rsidRPr="00B15E64" w:rsidRDefault="00B15E64" w:rsidP="00387350">
      <w:pPr>
        <w:spacing w:after="0" w:line="240" w:lineRule="auto"/>
        <w:jc w:val="both"/>
        <w:rPr>
          <w:rFonts w:ascii="Times New Roman" w:eastAsia="Times New Roman" w:hAnsi="Times New Roman"/>
          <w:sz w:val="24"/>
          <w:szCs w:val="24"/>
          <w:lang w:eastAsia="es-ES"/>
        </w:rPr>
      </w:pPr>
      <w:r w:rsidRPr="00B15E64">
        <w:rPr>
          <w:rFonts w:ascii="Times New Roman" w:eastAsia="Times New Roman" w:hAnsi="Times New Roman"/>
          <w:sz w:val="24"/>
          <w:szCs w:val="24"/>
          <w:lang w:eastAsia="es-ES"/>
        </w:rPr>
        <w:t>Tras ir al Líbano, Falciani comienza a contactar con autoridades de varios países a las que podría interesarles la lista, pero al ser obtenida de forma ilícita parece no tener la salida esperada. Hay una excepción, Francia, quien le da crédito quizá por ser Falciani un ciudadano francés. Cuando las autoridades suizas lanzan una orden internacional de captura contra él, los servicios de seguridad franceses registran algunos inmuebles en su territorio y “casualmente” encuentran los datos con los nombres de los clientes de HSBC (que Falciani posteriormente les enseñaría a desencriptar). Lagarde, que por aquel entonces era Ministra de Finanzas, no solo usa la lista sino que la ofrece a otros países siguiendo los protocolos de fraude fiscal. La “lista Lagarde” ve la luz…</w:t>
      </w:r>
    </w:p>
    <w:p w:rsidR="00B15E64" w:rsidRPr="00B15E64" w:rsidRDefault="00B15E64" w:rsidP="00387350">
      <w:pPr>
        <w:spacing w:after="0" w:line="240" w:lineRule="auto"/>
        <w:jc w:val="both"/>
        <w:rPr>
          <w:rFonts w:ascii="Times New Roman" w:eastAsia="Times New Roman" w:hAnsi="Times New Roman"/>
          <w:sz w:val="24"/>
          <w:szCs w:val="24"/>
          <w:lang w:eastAsia="es-ES"/>
        </w:rPr>
      </w:pPr>
    </w:p>
    <w:p w:rsidR="00B15E64" w:rsidRPr="00B15E64" w:rsidRDefault="00B15E64" w:rsidP="00387350">
      <w:pPr>
        <w:spacing w:after="0" w:line="240" w:lineRule="auto"/>
        <w:jc w:val="both"/>
        <w:rPr>
          <w:rFonts w:ascii="Times New Roman" w:eastAsia="Times New Roman" w:hAnsi="Times New Roman"/>
          <w:sz w:val="24"/>
          <w:szCs w:val="24"/>
          <w:lang w:eastAsia="es-ES"/>
        </w:rPr>
      </w:pPr>
      <w:r w:rsidRPr="00B15E64">
        <w:rPr>
          <w:rFonts w:ascii="Times New Roman" w:eastAsia="Times New Roman" w:hAnsi="Times New Roman"/>
          <w:sz w:val="24"/>
          <w:szCs w:val="24"/>
          <w:lang w:eastAsia="es-ES"/>
        </w:rPr>
        <w:t>En otros países como Grecia las casualidades ocurren una tras otra y la recaudación no aumenta. En el año 2010 el ministro de finanzas griego, Giorgos Papaconstantinou, recibió la “Lista Lagarde” de la actual directora del FMI (</w:t>
      </w:r>
      <w:hyperlink r:id="rId391" w:history="1">
        <w:r w:rsidRPr="00B15E64">
          <w:rPr>
            <w:rFonts w:ascii="Times New Roman" w:eastAsia="Times New Roman" w:hAnsi="Times New Roman"/>
            <w:sz w:val="24"/>
            <w:szCs w:val="24"/>
            <w:lang w:eastAsia="es-ES"/>
          </w:rPr>
          <w:t>que por cierto no paga impuestos</w:t>
        </w:r>
      </w:hyperlink>
      <w:r w:rsidRPr="00B15E64">
        <w:rPr>
          <w:rFonts w:ascii="Times New Roman" w:eastAsia="Times New Roman" w:hAnsi="Times New Roman"/>
          <w:sz w:val="24"/>
          <w:szCs w:val="24"/>
          <w:lang w:eastAsia="es-ES"/>
        </w:rPr>
        <w:t>). Al contrario que en otros países, no se tomó medida alguna.</w:t>
      </w:r>
    </w:p>
    <w:p w:rsidR="00B15E64" w:rsidRPr="00B15E64" w:rsidRDefault="00B15E64" w:rsidP="00387350">
      <w:pPr>
        <w:spacing w:after="0" w:line="240" w:lineRule="auto"/>
        <w:jc w:val="both"/>
        <w:rPr>
          <w:rFonts w:ascii="Times New Roman" w:eastAsia="Times New Roman" w:hAnsi="Times New Roman"/>
          <w:sz w:val="24"/>
          <w:szCs w:val="24"/>
          <w:lang w:eastAsia="es-ES"/>
        </w:rPr>
      </w:pPr>
    </w:p>
    <w:p w:rsidR="00B15E64" w:rsidRPr="00B15E64" w:rsidRDefault="00B15E64" w:rsidP="00387350">
      <w:pPr>
        <w:spacing w:after="0" w:line="240" w:lineRule="auto"/>
        <w:jc w:val="both"/>
        <w:rPr>
          <w:rFonts w:ascii="Times New Roman" w:eastAsia="Times New Roman" w:hAnsi="Times New Roman"/>
          <w:sz w:val="24"/>
          <w:szCs w:val="24"/>
          <w:lang w:eastAsia="es-ES"/>
        </w:rPr>
      </w:pPr>
      <w:r w:rsidRPr="00B15E64">
        <w:rPr>
          <w:rFonts w:ascii="Times New Roman" w:eastAsia="Times New Roman" w:hAnsi="Times New Roman"/>
          <w:sz w:val="24"/>
          <w:szCs w:val="24"/>
          <w:lang w:eastAsia="es-ES"/>
        </w:rPr>
        <w:t xml:space="preserve">Venizelos, sucesor en el cargo, también dejó el tema a un lado cuando fue nombrado y tras reiteradas peticiones dijo que “se había extraviado”. Según el jefe de crímenes financieros Loannis Diotis, quien habría sido el encargado de pasar la lista de un ministro a otro, no se dieron órdenes de investigar </w:t>
      </w:r>
      <w:hyperlink r:id="rId392" w:history="1">
        <w:r w:rsidRPr="00B15E64">
          <w:rPr>
            <w:rFonts w:ascii="Times New Roman" w:eastAsia="Times New Roman" w:hAnsi="Times New Roman"/>
            <w:sz w:val="24"/>
            <w:szCs w:val="24"/>
            <w:lang w:eastAsia="es-ES"/>
          </w:rPr>
          <w:t>argumentando que no sabían si la lista era original</w:t>
        </w:r>
      </w:hyperlink>
      <w:r w:rsidRPr="00B15E64">
        <w:rPr>
          <w:rFonts w:ascii="Times New Roman" w:eastAsia="Times New Roman" w:hAnsi="Times New Roman"/>
          <w:sz w:val="24"/>
          <w:szCs w:val="24"/>
          <w:lang w:eastAsia="es-ES"/>
        </w:rPr>
        <w:t xml:space="preserve">. El actual ministro, Yannis Stournaras, desconoce dónde está la lista y le solicitará una nueva a Francia. El tiempo pasa y tras dos años no se ha hecho nada al respecto, lo que ha intensificado las críticas y </w:t>
      </w:r>
      <w:hyperlink r:id="rId393" w:history="1">
        <w:r w:rsidRPr="00B15E64">
          <w:rPr>
            <w:rFonts w:ascii="Times New Roman" w:eastAsia="Times New Roman" w:hAnsi="Times New Roman"/>
            <w:sz w:val="24"/>
            <w:szCs w:val="24"/>
            <w:lang w:eastAsia="es-ES"/>
          </w:rPr>
          <w:t>llevado una petición al Parlamento para que investigue por qué los políticos no cumplen con su obligación</w:t>
        </w:r>
      </w:hyperlink>
      <w:r w:rsidRPr="00B15E64">
        <w:rPr>
          <w:rFonts w:ascii="Times New Roman" w:eastAsia="Times New Roman" w:hAnsi="Times New Roman"/>
          <w:sz w:val="24"/>
          <w:szCs w:val="24"/>
          <w:lang w:eastAsia="es-ES"/>
        </w:rPr>
        <w:t>.</w:t>
      </w:r>
    </w:p>
    <w:p w:rsidR="00B15E64" w:rsidRPr="00B15E64" w:rsidRDefault="00B15E64" w:rsidP="00387350">
      <w:pPr>
        <w:spacing w:after="0" w:line="240" w:lineRule="auto"/>
        <w:jc w:val="both"/>
        <w:rPr>
          <w:rFonts w:ascii="Times New Roman" w:eastAsia="Times New Roman" w:hAnsi="Times New Roman"/>
          <w:sz w:val="24"/>
          <w:szCs w:val="24"/>
          <w:lang w:eastAsia="es-ES"/>
        </w:rPr>
      </w:pPr>
    </w:p>
    <w:p w:rsidR="00B15E64" w:rsidRPr="00B15E64" w:rsidRDefault="00B15E64" w:rsidP="00387350">
      <w:pPr>
        <w:spacing w:after="0" w:line="240" w:lineRule="auto"/>
        <w:jc w:val="both"/>
        <w:rPr>
          <w:rFonts w:ascii="Times New Roman" w:eastAsia="Times New Roman" w:hAnsi="Times New Roman"/>
          <w:sz w:val="24"/>
          <w:szCs w:val="24"/>
          <w:lang w:eastAsia="es-ES"/>
        </w:rPr>
      </w:pPr>
      <w:r w:rsidRPr="00B15E64">
        <w:rPr>
          <w:rFonts w:ascii="Times New Roman" w:eastAsia="Times New Roman" w:hAnsi="Times New Roman"/>
          <w:sz w:val="24"/>
          <w:szCs w:val="24"/>
          <w:lang w:eastAsia="es-ES"/>
        </w:rPr>
        <w:t xml:space="preserve">La teoría más extendida es que los nombres de esa lista incluyen a altos miembros políticos y empresariales, quienes tendrían un pacto de no agresión mientras se enriquecen ilegalmente y campan a sus anchas por paraísos fiscales. </w:t>
      </w:r>
      <w:hyperlink r:id="rId394" w:history="1">
        <w:r w:rsidRPr="00B15E64">
          <w:rPr>
            <w:rFonts w:ascii="Times New Roman" w:eastAsia="Times New Roman" w:hAnsi="Times New Roman"/>
            <w:sz w:val="24"/>
            <w:szCs w:val="24"/>
            <w:lang w:val="en-US" w:eastAsia="es-ES"/>
          </w:rPr>
          <w:t xml:space="preserve">Según fuentes del </w:t>
        </w:r>
        <w:r w:rsidRPr="00ED1C1D">
          <w:rPr>
            <w:rFonts w:ascii="Times New Roman" w:eastAsia="Times New Roman" w:hAnsi="Times New Roman"/>
            <w:i/>
            <w:sz w:val="24"/>
            <w:szCs w:val="24"/>
            <w:lang w:val="en-US" w:eastAsia="es-ES"/>
          </w:rPr>
          <w:t>Financial Times</w:t>
        </w:r>
      </w:hyperlink>
      <w:r w:rsidRPr="00B15E64">
        <w:rPr>
          <w:rFonts w:ascii="Times New Roman" w:eastAsia="Times New Roman" w:hAnsi="Times New Roman"/>
          <w:sz w:val="24"/>
          <w:szCs w:val="24"/>
          <w:lang w:val="en-US" w:eastAsia="es-ES"/>
        </w:rPr>
        <w:t xml:space="preserve"> </w:t>
      </w:r>
      <w:r w:rsidRPr="000945E6">
        <w:rPr>
          <w:rFonts w:ascii="Times New Roman" w:eastAsia="Times New Roman" w:hAnsi="Times New Roman"/>
          <w:sz w:val="24"/>
          <w:szCs w:val="24"/>
          <w:lang w:val="en-US" w:eastAsia="es-ES"/>
        </w:rPr>
        <w:t>“</w:t>
      </w:r>
      <w:r w:rsidRPr="000945E6">
        <w:rPr>
          <w:rFonts w:ascii="Times New Roman" w:eastAsia="Times New Roman" w:hAnsi="Times New Roman"/>
          <w:iCs/>
          <w:sz w:val="24"/>
          <w:szCs w:val="24"/>
          <w:lang w:val="en-US" w:eastAsia="es-ES"/>
        </w:rPr>
        <w:t>Two previous governments started similar procedures but failed to complete them because of pressure from politicians and senior businesspeople</w:t>
      </w:r>
      <w:r w:rsidRPr="000945E6">
        <w:rPr>
          <w:rFonts w:ascii="Times New Roman" w:eastAsia="Times New Roman" w:hAnsi="Times New Roman"/>
          <w:sz w:val="24"/>
          <w:szCs w:val="24"/>
          <w:lang w:val="en-US" w:eastAsia="es-ES"/>
        </w:rPr>
        <w:t>”,</w:t>
      </w:r>
      <w:r w:rsidRPr="00B15E64">
        <w:rPr>
          <w:rFonts w:ascii="Times New Roman" w:eastAsia="Times New Roman" w:hAnsi="Times New Roman"/>
          <w:sz w:val="24"/>
          <w:szCs w:val="24"/>
          <w:lang w:val="en-US" w:eastAsia="es-ES"/>
        </w:rPr>
        <w:t xml:space="preserve"> las presiones serían las causantes de que la “Lista Lagarde” no sea usada. </w:t>
      </w:r>
      <w:r w:rsidRPr="00B15E64">
        <w:rPr>
          <w:rFonts w:ascii="Times New Roman" w:eastAsia="Times New Roman" w:hAnsi="Times New Roman"/>
          <w:sz w:val="24"/>
          <w:szCs w:val="24"/>
          <w:lang w:eastAsia="es-ES"/>
        </w:rPr>
        <w:t xml:space="preserve">Y a la vez que todo esto ocurre, los sucesos extraños se hacen multitud, </w:t>
      </w:r>
      <w:hyperlink r:id="rId395" w:history="1">
        <w:r w:rsidRPr="00B15E64">
          <w:rPr>
            <w:rFonts w:ascii="Times New Roman" w:eastAsia="Times New Roman" w:hAnsi="Times New Roman"/>
            <w:sz w:val="24"/>
            <w:szCs w:val="24"/>
            <w:lang w:eastAsia="es-ES"/>
          </w:rPr>
          <w:t>un exministro aparece ahorcado supuestamente por un suicidio pero sin nota alguna</w:t>
        </w:r>
      </w:hyperlink>
      <w:r w:rsidRPr="00B15E64">
        <w:rPr>
          <w:rFonts w:ascii="Times New Roman" w:eastAsia="Times New Roman" w:hAnsi="Times New Roman"/>
          <w:sz w:val="24"/>
          <w:szCs w:val="24"/>
          <w:lang w:eastAsia="es-ES"/>
        </w:rPr>
        <w:t xml:space="preserve">, </w:t>
      </w:r>
      <w:hyperlink r:id="rId396" w:history="1">
        <w:r w:rsidRPr="00B15E64">
          <w:rPr>
            <w:rFonts w:ascii="Times New Roman" w:eastAsia="Times New Roman" w:hAnsi="Times New Roman"/>
            <w:sz w:val="24"/>
            <w:szCs w:val="24"/>
            <w:lang w:eastAsia="es-ES"/>
          </w:rPr>
          <w:t>y otro</w:t>
        </w:r>
      </w:hyperlink>
      <w:r w:rsidRPr="00B15E64">
        <w:rPr>
          <w:rFonts w:ascii="Times New Roman" w:eastAsia="Times New Roman" w:hAnsi="Times New Roman"/>
          <w:sz w:val="24"/>
          <w:szCs w:val="24"/>
          <w:lang w:eastAsia="es-ES"/>
        </w:rPr>
        <w:t xml:space="preserve"> </w:t>
      </w:r>
      <w:hyperlink r:id="rId397" w:history="1">
        <w:r w:rsidRPr="00B15E64">
          <w:rPr>
            <w:rFonts w:ascii="Times New Roman" w:eastAsia="Times New Roman" w:hAnsi="Times New Roman"/>
            <w:sz w:val="24"/>
            <w:szCs w:val="24"/>
            <w:lang w:eastAsia="es-ES"/>
          </w:rPr>
          <w:t>aparece muerto en su casa tras ser acusado de pertenecer a una trama de sobornos en defensa</w:t>
        </w:r>
      </w:hyperlink>
      <w:r w:rsidRPr="00B15E64">
        <w:rPr>
          <w:rFonts w:ascii="Times New Roman" w:eastAsia="Times New Roman" w:hAnsi="Times New Roman"/>
          <w:sz w:val="24"/>
          <w:szCs w:val="24"/>
          <w:lang w:eastAsia="es-ES"/>
        </w:rPr>
        <w:t>.</w:t>
      </w:r>
    </w:p>
    <w:p w:rsidR="00B15E64" w:rsidRPr="00B15E64" w:rsidRDefault="00B15E64" w:rsidP="00387350">
      <w:pPr>
        <w:spacing w:after="0" w:line="240" w:lineRule="auto"/>
        <w:jc w:val="both"/>
        <w:rPr>
          <w:rFonts w:ascii="Times New Roman" w:eastAsia="Times New Roman" w:hAnsi="Times New Roman"/>
          <w:sz w:val="24"/>
          <w:szCs w:val="24"/>
          <w:lang w:eastAsia="es-ES"/>
        </w:rPr>
      </w:pPr>
    </w:p>
    <w:p w:rsidR="00B15E64" w:rsidRPr="00B15E64" w:rsidRDefault="00B15E64" w:rsidP="00387350">
      <w:pPr>
        <w:spacing w:after="0" w:line="240" w:lineRule="auto"/>
        <w:jc w:val="both"/>
        <w:rPr>
          <w:rFonts w:ascii="Times New Roman" w:eastAsia="Times New Roman" w:hAnsi="Times New Roman"/>
          <w:sz w:val="24"/>
          <w:szCs w:val="24"/>
          <w:lang w:eastAsia="es-ES"/>
        </w:rPr>
      </w:pPr>
      <w:r w:rsidRPr="00B15E64">
        <w:rPr>
          <w:rFonts w:ascii="Times New Roman" w:eastAsia="Times New Roman" w:hAnsi="Times New Roman"/>
          <w:sz w:val="24"/>
          <w:szCs w:val="24"/>
          <w:lang w:eastAsia="es-ES"/>
        </w:rPr>
        <w:t xml:space="preserve">Lo que más indignación ha causado entre el público es que el único detenido no haya sido alguien que ha defraudado o que no ha cumplido con su deber, sino el editor de la revista </w:t>
      </w:r>
      <w:r w:rsidRPr="00B15E64">
        <w:rPr>
          <w:rFonts w:ascii="Times New Roman" w:eastAsia="Times New Roman" w:hAnsi="Times New Roman"/>
          <w:i/>
          <w:iCs/>
          <w:sz w:val="24"/>
          <w:szCs w:val="24"/>
          <w:lang w:eastAsia="es-ES"/>
        </w:rPr>
        <w:t xml:space="preserve">Hot Doc </w:t>
      </w:r>
      <w:r w:rsidRPr="00B15E64">
        <w:rPr>
          <w:rFonts w:ascii="Times New Roman" w:eastAsia="Times New Roman" w:hAnsi="Times New Roman"/>
          <w:sz w:val="24"/>
          <w:szCs w:val="24"/>
          <w:lang w:eastAsia="es-ES"/>
        </w:rPr>
        <w:t xml:space="preserve">tras publicar el sábado la “Lista Lagarde”. Hay que decir eso sí que fue liberado al día siguiente. El detenido, Kostas Vaxevanis que así se llama, ha incendiado aún más la opinión pública </w:t>
      </w:r>
      <w:hyperlink r:id="rId398" w:history="1">
        <w:r w:rsidRPr="00B15E64">
          <w:rPr>
            <w:rFonts w:ascii="Times New Roman" w:eastAsia="Times New Roman" w:hAnsi="Times New Roman"/>
            <w:sz w:val="24"/>
            <w:szCs w:val="24"/>
            <w:lang w:eastAsia="es-ES"/>
          </w:rPr>
          <w:t>tras publicar una columna de The Guardian</w:t>
        </w:r>
      </w:hyperlink>
      <w:r w:rsidRPr="00B15E64">
        <w:rPr>
          <w:rFonts w:ascii="Times New Roman" w:eastAsia="Times New Roman" w:hAnsi="Times New Roman"/>
          <w:sz w:val="24"/>
          <w:szCs w:val="24"/>
          <w:lang w:eastAsia="es-ES"/>
        </w:rPr>
        <w:t xml:space="preserve"> que transmite una imagen absolutamente corrupta y decadente del país heleno. Diciendo cosas como las siguientes:</w:t>
      </w:r>
    </w:p>
    <w:p w:rsidR="00B15E64" w:rsidRPr="00563A7F" w:rsidRDefault="00B15E64" w:rsidP="00387350">
      <w:pPr>
        <w:pStyle w:val="NormalWeb"/>
        <w:jc w:val="both"/>
      </w:pPr>
      <w:r w:rsidRPr="000945E6">
        <w:rPr>
          <w:iCs/>
        </w:rPr>
        <w:t xml:space="preserve">“Existe un club exclusivo de poderosos que realizan prácticas ilegales, a continuación cambian las leyes para legalizar dichas prácticas, concediéndose amnistías y sin medios que lo denuncien” … “El espacio que debería haberse concedido a los escándalos </w:t>
      </w:r>
      <w:r w:rsidRPr="000945E6">
        <w:rPr>
          <w:iCs/>
        </w:rPr>
        <w:lastRenderedPageBreak/>
        <w:t>financieros fue sustituido por anuncios patrocinados pagados por las mismas personas que hundieron el sistema financiero”… “La crisis no fue causada por todo el mundo, ni todo el mundo está pagando por la crisis. El exclusivo club corrupto en el poder intenta salvarse a sí mismo””…</w:t>
      </w:r>
      <w:r w:rsidRPr="00B15E64">
        <w:rPr>
          <w:i/>
          <w:iCs/>
        </w:rPr>
        <w:t xml:space="preserve"> </w:t>
      </w:r>
      <w:r w:rsidRPr="000267BB">
        <w:rPr>
          <w:u w:val="single"/>
        </w:rPr>
        <w:t>El último gran debate de Grecia: la élite corrupta</w:t>
      </w:r>
      <w:r>
        <w:t xml:space="preserve"> (El Confidencial - </w:t>
      </w:r>
      <w:r w:rsidRPr="000267BB">
        <w:rPr>
          <w:b/>
        </w:rPr>
        <w:t>5/11/12</w:t>
      </w:r>
      <w:r>
        <w:t>)</w:t>
      </w:r>
    </w:p>
    <w:p w:rsidR="00987427" w:rsidRPr="00987427" w:rsidRDefault="00987427" w:rsidP="00387350">
      <w:pPr>
        <w:spacing w:line="240" w:lineRule="auto"/>
        <w:jc w:val="both"/>
        <w:rPr>
          <w:rFonts w:ascii="Times New Roman" w:hAnsi="Times New Roman"/>
          <w:sz w:val="24"/>
          <w:szCs w:val="24"/>
        </w:rPr>
      </w:pPr>
      <w:r>
        <w:rPr>
          <w:rFonts w:ascii="Times New Roman" w:hAnsi="Times New Roman"/>
          <w:sz w:val="24"/>
          <w:szCs w:val="24"/>
        </w:rPr>
        <w:t>“</w:t>
      </w:r>
      <w:r w:rsidRPr="00987427">
        <w:rPr>
          <w:rFonts w:ascii="Times New Roman" w:hAnsi="Times New Roman"/>
          <w:sz w:val="24"/>
          <w:szCs w:val="24"/>
        </w:rPr>
        <w:t xml:space="preserve">Según se desprende de un estudio realizado por la consultora </w:t>
      </w:r>
      <w:r w:rsidRPr="007B59FE">
        <w:rPr>
          <w:rFonts w:ascii="Times New Roman" w:hAnsi="Times New Roman"/>
          <w:sz w:val="24"/>
          <w:szCs w:val="24"/>
        </w:rPr>
        <w:t>Havocscope</w:t>
      </w:r>
      <w:r w:rsidRPr="00987427">
        <w:rPr>
          <w:rFonts w:ascii="Times New Roman" w:hAnsi="Times New Roman"/>
          <w:sz w:val="24"/>
          <w:szCs w:val="24"/>
        </w:rPr>
        <w:t xml:space="preserve">… De todos los estudiados, el país con el mercado negro más potente en términos absolutos es Estados Unidos, donde el monto de estas actividades ascienden a los 625.000 millones de dólares o, lo que es lo mismo, la mitad de lo que España produce en un año. A Estados Unidos le sigue China y México, con sendos mercados negros de gran tamaño… o no tanto si los relacionamos con su población. Si en Estados Unidos tocan a 1.990 dólares “a la sombra” por habitante, en México son 1.115 y en China sólo 193 dólares. </w:t>
      </w:r>
    </w:p>
    <w:p w:rsidR="00987427" w:rsidRPr="00987427" w:rsidRDefault="00987427" w:rsidP="00387350">
      <w:pPr>
        <w:spacing w:line="240" w:lineRule="auto"/>
        <w:jc w:val="both"/>
        <w:rPr>
          <w:rFonts w:ascii="Times New Roman" w:hAnsi="Times New Roman"/>
          <w:sz w:val="24"/>
          <w:szCs w:val="24"/>
        </w:rPr>
      </w:pPr>
      <w:r w:rsidRPr="00987427">
        <w:rPr>
          <w:rFonts w:ascii="Times New Roman" w:hAnsi="Times New Roman"/>
          <w:sz w:val="24"/>
          <w:szCs w:val="24"/>
        </w:rPr>
        <w:t>Y es en este punto donde aparece la sorpresa. El cuarto país con mayor mercado negro en términos absoluto del mundo no es otro que España. Durante 2012 el tráfico de drogas, las falsificaciones, la piratería y la prostitución movieron en nuestro país la friolera de 123.000 millones de euros, es decir, aproximadamente el 10% del PIB.</w:t>
      </w:r>
    </w:p>
    <w:p w:rsidR="00987427" w:rsidRDefault="00987427" w:rsidP="00387350">
      <w:pPr>
        <w:spacing w:line="240" w:lineRule="auto"/>
        <w:jc w:val="both"/>
        <w:rPr>
          <w:rFonts w:ascii="Times New Roman" w:hAnsi="Times New Roman"/>
          <w:sz w:val="24"/>
          <w:szCs w:val="24"/>
        </w:rPr>
      </w:pPr>
      <w:r w:rsidRPr="00987427">
        <w:rPr>
          <w:rFonts w:ascii="Times New Roman" w:hAnsi="Times New Roman"/>
          <w:sz w:val="24"/>
          <w:szCs w:val="24"/>
        </w:rPr>
        <w:t xml:space="preserve"> Ser el cuarto en términos absolutos supone ser los primeros por habitante, ya que tanto Estados Unidos como México y China son países muy poblados. Mientras Estados Unidos tiene 314 millones de habitantes, México 113 millones y China 1.350 millones, España sólo cuenta con 47 millones. El resultado final es que, en España, “tocamos” a 2.600 dólares de mercado negro por habitante, niños y ancianos incluidos”… </w:t>
      </w:r>
      <w:r w:rsidRPr="00A11F60">
        <w:rPr>
          <w:rFonts w:ascii="Times New Roman" w:hAnsi="Times New Roman"/>
          <w:sz w:val="24"/>
          <w:szCs w:val="24"/>
          <w:u w:val="single"/>
        </w:rPr>
        <w:t>España tiene el mayor mercado negro del mundo</w:t>
      </w:r>
      <w:r>
        <w:rPr>
          <w:rFonts w:ascii="Times New Roman" w:hAnsi="Times New Roman"/>
          <w:sz w:val="24"/>
          <w:szCs w:val="24"/>
        </w:rPr>
        <w:t xml:space="preserve"> (Negocios.com - </w:t>
      </w:r>
      <w:r w:rsidRPr="00A11F60">
        <w:rPr>
          <w:rFonts w:ascii="Times New Roman" w:hAnsi="Times New Roman"/>
          <w:b/>
          <w:sz w:val="24"/>
          <w:szCs w:val="24"/>
        </w:rPr>
        <w:t>1/12/12</w:t>
      </w:r>
      <w:r>
        <w:rPr>
          <w:rFonts w:ascii="Times New Roman" w:hAnsi="Times New Roman"/>
          <w:sz w:val="24"/>
          <w:szCs w:val="24"/>
        </w:rPr>
        <w:t>)</w:t>
      </w:r>
    </w:p>
    <w:p w:rsidR="00987427" w:rsidRDefault="00987427" w:rsidP="00387350">
      <w:pPr>
        <w:spacing w:line="240" w:lineRule="auto"/>
        <w:jc w:val="both"/>
        <w:rPr>
          <w:rFonts w:ascii="Times New Roman" w:hAnsi="Times New Roman"/>
          <w:sz w:val="24"/>
          <w:szCs w:val="24"/>
        </w:rPr>
      </w:pPr>
    </w:p>
    <w:p w:rsidR="00987427" w:rsidRDefault="00987427" w:rsidP="00387350">
      <w:pPr>
        <w:spacing w:line="240" w:lineRule="auto"/>
        <w:jc w:val="both"/>
        <w:rPr>
          <w:rFonts w:ascii="Times New Roman" w:hAnsi="Times New Roman"/>
          <w:sz w:val="24"/>
          <w:szCs w:val="24"/>
        </w:rPr>
      </w:pPr>
      <w:r>
        <w:rPr>
          <w:rFonts w:ascii="Arial" w:eastAsia="Times New Roman" w:hAnsi="Arial" w:cs="Arial"/>
          <w:noProof/>
          <w:color w:val="666666"/>
          <w:sz w:val="23"/>
          <w:szCs w:val="23"/>
          <w:lang w:eastAsia="es-ES"/>
        </w:rPr>
        <w:drawing>
          <wp:inline distT="0" distB="0" distL="0" distR="0" wp14:anchorId="6BA3B3E4" wp14:editId="02391C61">
            <wp:extent cx="5354726" cy="2889504"/>
            <wp:effectExtent l="0" t="0" r="0" b="6350"/>
            <wp:docPr id="30" name="Imagen 30" descr="http://www.intereconomia.com/sites/default/files/imagecache/galeria_500/87192/cck_images/Mercado-Neg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www.intereconomia.com/sites/default/files/imagecache/galeria_500/87192/cck_images/Mercado-Negro.JP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354955" cy="2889628"/>
                    </a:xfrm>
                    <a:prstGeom prst="rect">
                      <a:avLst/>
                    </a:prstGeom>
                    <a:noFill/>
                    <a:ln>
                      <a:noFill/>
                    </a:ln>
                  </pic:spPr>
                </pic:pic>
              </a:graphicData>
            </a:graphic>
          </wp:inline>
        </w:drawing>
      </w:r>
    </w:p>
    <w:p w:rsidR="00987427" w:rsidRDefault="00987427" w:rsidP="00387350">
      <w:pPr>
        <w:spacing w:line="240" w:lineRule="auto"/>
        <w:jc w:val="both"/>
        <w:rPr>
          <w:rFonts w:ascii="Times New Roman" w:hAnsi="Times New Roman"/>
          <w:sz w:val="24"/>
          <w:szCs w:val="24"/>
        </w:rPr>
      </w:pPr>
    </w:p>
    <w:p w:rsidR="00987427" w:rsidRDefault="00987427" w:rsidP="00387350">
      <w:pPr>
        <w:spacing w:line="240" w:lineRule="auto"/>
        <w:jc w:val="both"/>
        <w:rPr>
          <w:rFonts w:ascii="Times New Roman" w:hAnsi="Times New Roman"/>
          <w:sz w:val="24"/>
          <w:szCs w:val="24"/>
        </w:rPr>
      </w:pPr>
    </w:p>
    <w:p w:rsidR="00987427" w:rsidRPr="00987427" w:rsidRDefault="00987427" w:rsidP="00387350">
      <w:pPr>
        <w:spacing w:line="240" w:lineRule="auto"/>
        <w:jc w:val="both"/>
        <w:rPr>
          <w:rFonts w:ascii="Times New Roman" w:hAnsi="Times New Roman"/>
          <w:sz w:val="24"/>
          <w:szCs w:val="24"/>
        </w:rPr>
      </w:pPr>
      <w:r>
        <w:rPr>
          <w:rFonts w:ascii="Arial" w:eastAsia="Times New Roman" w:hAnsi="Arial" w:cs="Arial"/>
          <w:noProof/>
          <w:color w:val="666666"/>
          <w:sz w:val="23"/>
          <w:szCs w:val="23"/>
          <w:u w:val="single"/>
          <w:lang w:eastAsia="es-ES"/>
        </w:rPr>
        <w:lastRenderedPageBreak/>
        <w:drawing>
          <wp:inline distT="0" distB="0" distL="0" distR="0" wp14:anchorId="6402741A" wp14:editId="4D2CF27F">
            <wp:extent cx="5398617" cy="2918765"/>
            <wp:effectExtent l="0" t="0" r="0" b="0"/>
            <wp:docPr id="158" name="Imagen 158" descr="http://www.intereconomia.com/sites/default/files/imagecache/galeria_500/87192/cck_images/Mercado-Negro-habita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http://www.intereconomia.com/sites/default/files/imagecache/galeria_500/87192/cck_images/Mercado-Negro-habitante.JP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398770" cy="2918848"/>
                    </a:xfrm>
                    <a:prstGeom prst="rect">
                      <a:avLst/>
                    </a:prstGeom>
                    <a:noFill/>
                    <a:ln>
                      <a:noFill/>
                    </a:ln>
                  </pic:spPr>
                </pic:pic>
              </a:graphicData>
            </a:graphic>
          </wp:inline>
        </w:drawing>
      </w:r>
    </w:p>
    <w:p w:rsidR="00987427" w:rsidRPr="00987427" w:rsidRDefault="00987427" w:rsidP="00387350">
      <w:pPr>
        <w:spacing w:before="100" w:beforeAutospacing="1" w:after="100" w:afterAutospacing="1" w:line="240" w:lineRule="auto"/>
        <w:jc w:val="both"/>
        <w:rPr>
          <w:rFonts w:ascii="Times New Roman" w:eastAsia="Times New Roman" w:hAnsi="Times New Roman"/>
          <w:bCs/>
          <w:sz w:val="24"/>
          <w:szCs w:val="24"/>
          <w:lang w:eastAsia="es-ES"/>
        </w:rPr>
      </w:pPr>
      <w:r w:rsidRPr="00987427">
        <w:rPr>
          <w:rFonts w:ascii="Times New Roman" w:hAnsi="Times New Roman"/>
          <w:sz w:val="24"/>
          <w:szCs w:val="24"/>
        </w:rPr>
        <w:t>“Los po</w:t>
      </w:r>
      <w:r>
        <w:rPr>
          <w:rFonts w:ascii="Times New Roman" w:hAnsi="Times New Roman"/>
          <w:sz w:val="24"/>
          <w:szCs w:val="24"/>
        </w:rPr>
        <w:t>líticos dicen que el AVE es un “motor económico”</w:t>
      </w:r>
      <w:r w:rsidRPr="00987427">
        <w:rPr>
          <w:rFonts w:ascii="Times New Roman" w:hAnsi="Times New Roman"/>
          <w:sz w:val="24"/>
          <w:szCs w:val="24"/>
        </w:rPr>
        <w:t xml:space="preserve">, pero los datos demuestran que es un inmenso agujero público. Ninguna línea es rentable… </w:t>
      </w:r>
      <w:r w:rsidRPr="00987427">
        <w:rPr>
          <w:rFonts w:ascii="Times New Roman" w:eastAsia="Times New Roman" w:hAnsi="Times New Roman"/>
          <w:sz w:val="24"/>
          <w:szCs w:val="24"/>
          <w:lang w:eastAsia="es-ES"/>
        </w:rPr>
        <w:t xml:space="preserve">Con el nuevo tramo Barcelona-Figueres (131 kilómetros), cuya construcción ha supuesto una inversión superior a los 3.700 millones de euros -sin incluir las obras de adecuación de las estaciones de Sants, Gerona y Figueras-Vilafant-, la </w:t>
      </w:r>
      <w:r w:rsidRPr="00987427">
        <w:rPr>
          <w:rFonts w:ascii="Times New Roman" w:eastAsia="Times New Roman" w:hAnsi="Times New Roman"/>
          <w:bCs/>
          <w:sz w:val="24"/>
          <w:szCs w:val="24"/>
          <w:lang w:eastAsia="es-ES"/>
        </w:rPr>
        <w:t xml:space="preserve">red nacional de alta velocidad </w:t>
      </w:r>
      <w:r w:rsidRPr="00987427">
        <w:rPr>
          <w:rFonts w:ascii="Times New Roman" w:eastAsia="Times New Roman" w:hAnsi="Times New Roman"/>
          <w:sz w:val="24"/>
          <w:szCs w:val="24"/>
          <w:lang w:eastAsia="es-ES"/>
        </w:rPr>
        <w:t xml:space="preserve">cuenta ya con </w:t>
      </w:r>
      <w:r w:rsidRPr="00987427">
        <w:rPr>
          <w:rFonts w:ascii="Times New Roman" w:eastAsia="Times New Roman" w:hAnsi="Times New Roman"/>
          <w:bCs/>
          <w:sz w:val="24"/>
          <w:szCs w:val="24"/>
          <w:lang w:eastAsia="es-ES"/>
        </w:rPr>
        <w:t>3.000 kilómetros</w:t>
      </w:r>
      <w:r w:rsidRPr="00987427">
        <w:rPr>
          <w:rFonts w:ascii="Times New Roman" w:eastAsia="Times New Roman" w:hAnsi="Times New Roman"/>
          <w:sz w:val="24"/>
          <w:szCs w:val="24"/>
          <w:lang w:eastAsia="es-ES"/>
        </w:rPr>
        <w:t xml:space="preserve"> (Km). España se sitúa como el s</w:t>
      </w:r>
      <w:r w:rsidRPr="00987427">
        <w:rPr>
          <w:rFonts w:ascii="Times New Roman" w:eastAsia="Times New Roman" w:hAnsi="Times New Roman"/>
          <w:bCs/>
          <w:sz w:val="24"/>
          <w:szCs w:val="24"/>
          <w:lang w:eastAsia="es-ES"/>
        </w:rPr>
        <w:t>egundo país del mundo</w:t>
      </w:r>
      <w:r w:rsidRPr="00987427">
        <w:rPr>
          <w:rFonts w:ascii="Times New Roman" w:eastAsia="Times New Roman" w:hAnsi="Times New Roman"/>
          <w:sz w:val="24"/>
          <w:szCs w:val="24"/>
          <w:lang w:eastAsia="es-ES"/>
        </w:rPr>
        <w:t xml:space="preserve">, por detrás de China, y el primero de Europa en kilómetros de alta velocidad en servicio. La inversión pública en alta velocidad hasta 2010 (excluyendo la línea Madrid-Sevilla) </w:t>
      </w:r>
      <w:r w:rsidRPr="00987427">
        <w:rPr>
          <w:rFonts w:ascii="Times New Roman" w:eastAsia="Times New Roman" w:hAnsi="Times New Roman"/>
          <w:bCs/>
          <w:sz w:val="24"/>
          <w:szCs w:val="24"/>
          <w:lang w:eastAsia="es-ES"/>
        </w:rPr>
        <w:t>superó los 40.000 millones de euros.</w:t>
      </w:r>
    </w:p>
    <w:p w:rsidR="00987427" w:rsidRPr="00987427" w:rsidRDefault="00987427" w:rsidP="00387350">
      <w:pPr>
        <w:spacing w:before="100" w:beforeAutospacing="1" w:after="100" w:afterAutospacing="1" w:line="240" w:lineRule="auto"/>
        <w:jc w:val="both"/>
        <w:rPr>
          <w:rFonts w:ascii="Times New Roman" w:eastAsia="Times New Roman" w:hAnsi="Times New Roman"/>
          <w:sz w:val="24"/>
          <w:szCs w:val="24"/>
          <w:lang w:eastAsia="es-ES"/>
        </w:rPr>
      </w:pPr>
      <w:r w:rsidRPr="00987427">
        <w:rPr>
          <w:rFonts w:ascii="Times New Roman" w:eastAsia="Times New Roman" w:hAnsi="Times New Roman"/>
          <w:sz w:val="24"/>
          <w:szCs w:val="24"/>
          <w:lang w:eastAsia="es-ES"/>
        </w:rPr>
        <w:t xml:space="preserve">Según los últimos datos homogéneos a nivel internacional publicados por </w:t>
      </w:r>
      <w:hyperlink r:id="rId401" w:history="1">
        <w:r w:rsidRPr="007B59FE">
          <w:rPr>
            <w:rFonts w:ascii="Times New Roman" w:eastAsia="Times New Roman" w:hAnsi="Times New Roman"/>
            <w:sz w:val="24"/>
            <w:szCs w:val="24"/>
            <w:lang w:eastAsia="es-ES"/>
          </w:rPr>
          <w:t>International Union of Railways</w:t>
        </w:r>
      </w:hyperlink>
      <w:r w:rsidRPr="00987427">
        <w:rPr>
          <w:rFonts w:ascii="Times New Roman" w:eastAsia="Times New Roman" w:hAnsi="Times New Roman"/>
          <w:sz w:val="24"/>
          <w:szCs w:val="24"/>
          <w:lang w:eastAsia="es-ES"/>
        </w:rPr>
        <w:t xml:space="preserve">, España contaba el pasado mes de julio con 2.144 Km de alta velocidad (líneas que permiten circular a más de 250 Km/h), </w:t>
      </w:r>
      <w:r w:rsidRPr="00987427">
        <w:rPr>
          <w:rFonts w:ascii="Times New Roman" w:eastAsia="Times New Roman" w:hAnsi="Times New Roman"/>
          <w:bCs/>
          <w:sz w:val="24"/>
          <w:szCs w:val="24"/>
          <w:lang w:eastAsia="es-ES"/>
        </w:rPr>
        <w:t>otros 1.679 Km en construcción </w:t>
      </w:r>
      <w:r w:rsidRPr="00987427">
        <w:rPr>
          <w:rFonts w:ascii="Times New Roman" w:eastAsia="Times New Roman" w:hAnsi="Times New Roman"/>
          <w:sz w:val="24"/>
          <w:szCs w:val="24"/>
          <w:lang w:eastAsia="es-ES"/>
        </w:rPr>
        <w:t xml:space="preserve">(de los 2.936 Km en construcción en toda Europa, por cierto) </w:t>
      </w:r>
      <w:r w:rsidRPr="00987427">
        <w:rPr>
          <w:rFonts w:ascii="Times New Roman" w:eastAsia="Times New Roman" w:hAnsi="Times New Roman"/>
          <w:bCs/>
          <w:sz w:val="24"/>
          <w:szCs w:val="24"/>
          <w:lang w:eastAsia="es-ES"/>
        </w:rPr>
        <w:t>y otros 1.702 planificados</w:t>
      </w:r>
      <w:r w:rsidRPr="00987427">
        <w:rPr>
          <w:rFonts w:ascii="Times New Roman" w:eastAsia="Times New Roman" w:hAnsi="Times New Roman"/>
          <w:sz w:val="24"/>
          <w:szCs w:val="24"/>
          <w:lang w:eastAsia="es-ES"/>
        </w:rPr>
        <w:t xml:space="preserve"> para los próximos años. Así pues, no cabe duda de la firme apuesta de los distintos gobiernos españoles -tanto PP como PSOE- por el AVE. Cosa muy distinta es su rentabilidad y coste para el conjunto de los contribuyentes.</w:t>
      </w:r>
    </w:p>
    <w:p w:rsidR="00987427" w:rsidRDefault="00987427" w:rsidP="00387350">
      <w:pPr>
        <w:spacing w:before="100" w:beforeAutospacing="1" w:after="100" w:afterAutospacing="1" w:line="240" w:lineRule="auto"/>
        <w:jc w:val="both"/>
        <w:rPr>
          <w:rFonts w:ascii="Times New Roman" w:eastAsia="Times New Roman" w:hAnsi="Times New Roman"/>
          <w:sz w:val="24"/>
          <w:szCs w:val="24"/>
          <w:lang w:eastAsia="es-ES"/>
        </w:rPr>
      </w:pPr>
      <w:r w:rsidRPr="00987427">
        <w:rPr>
          <w:rFonts w:ascii="Times New Roman" w:eastAsia="Times New Roman" w:hAnsi="Times New Roman"/>
          <w:bCs/>
          <w:noProof/>
          <w:sz w:val="24"/>
          <w:szCs w:val="24"/>
          <w:lang w:eastAsia="es-ES"/>
        </w:rPr>
        <w:drawing>
          <wp:inline distT="0" distB="0" distL="0" distR="0" wp14:anchorId="505FD5F1" wp14:editId="079F564C">
            <wp:extent cx="5306845" cy="2165299"/>
            <wp:effectExtent l="0" t="0" r="0" b="6985"/>
            <wp:docPr id="43" name="Imagen 43" descr="ave001">
              <a:hlinkClick xmlns:a="http://schemas.openxmlformats.org/drawingml/2006/main" r:id="rId40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ve001"/>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5325745" cy="2173011"/>
                    </a:xfrm>
                    <a:prstGeom prst="rect">
                      <a:avLst/>
                    </a:prstGeom>
                    <a:noFill/>
                    <a:ln>
                      <a:noFill/>
                    </a:ln>
                  </pic:spPr>
                </pic:pic>
              </a:graphicData>
            </a:graphic>
          </wp:inline>
        </w:drawing>
      </w:r>
    </w:p>
    <w:p w:rsidR="00987427" w:rsidRPr="00987427" w:rsidRDefault="00987427" w:rsidP="00387350">
      <w:pPr>
        <w:spacing w:before="100" w:beforeAutospacing="1" w:after="100" w:afterAutospacing="1" w:line="240" w:lineRule="auto"/>
        <w:jc w:val="both"/>
        <w:rPr>
          <w:rFonts w:ascii="Times New Roman" w:eastAsia="Times New Roman" w:hAnsi="Times New Roman"/>
          <w:sz w:val="24"/>
          <w:szCs w:val="24"/>
          <w:lang w:eastAsia="es-ES"/>
        </w:rPr>
      </w:pPr>
      <w:r w:rsidRPr="00987427">
        <w:rPr>
          <w:rFonts w:ascii="Times New Roman" w:eastAsia="Times New Roman" w:hAnsi="Times New Roman"/>
          <w:sz w:val="24"/>
          <w:szCs w:val="24"/>
          <w:lang w:eastAsia="es-ES"/>
        </w:rPr>
        <w:lastRenderedPageBreak/>
        <w:t xml:space="preserve">Los datos demuestran que el AVE no es rentable. Con poco más de </w:t>
      </w:r>
      <w:r w:rsidRPr="00987427">
        <w:rPr>
          <w:rFonts w:ascii="Times New Roman" w:eastAsia="Times New Roman" w:hAnsi="Times New Roman"/>
          <w:bCs/>
          <w:sz w:val="24"/>
          <w:szCs w:val="24"/>
          <w:lang w:eastAsia="es-ES"/>
        </w:rPr>
        <w:t>20 millones de pasajeros en toda la red</w:t>
      </w:r>
      <w:r w:rsidRPr="00987427">
        <w:rPr>
          <w:rFonts w:ascii="Times New Roman" w:eastAsia="Times New Roman" w:hAnsi="Times New Roman"/>
          <w:sz w:val="24"/>
          <w:szCs w:val="24"/>
          <w:lang w:eastAsia="es-ES"/>
        </w:rPr>
        <w:t xml:space="preserve"> durante 2011, la inversión en alta velocidad </w:t>
      </w:r>
      <w:r w:rsidRPr="00987427">
        <w:rPr>
          <w:rFonts w:ascii="Times New Roman" w:eastAsia="Times New Roman" w:hAnsi="Times New Roman"/>
          <w:bCs/>
          <w:sz w:val="24"/>
          <w:szCs w:val="24"/>
          <w:lang w:eastAsia="es-ES"/>
        </w:rPr>
        <w:t>no alcanza el umbral mínimo de rentabilidad</w:t>
      </w:r>
      <w:r w:rsidRPr="00987427">
        <w:rPr>
          <w:rFonts w:ascii="Times New Roman" w:eastAsia="Times New Roman" w:hAnsi="Times New Roman"/>
          <w:sz w:val="24"/>
          <w:szCs w:val="24"/>
          <w:lang w:eastAsia="es-ES"/>
        </w:rPr>
        <w:t xml:space="preserve"> que establece la Comisión Europea, unos </w:t>
      </w:r>
      <w:hyperlink r:id="rId404" w:tgtFrame="_blank" w:history="1">
        <w:r w:rsidRPr="00987427">
          <w:rPr>
            <w:rFonts w:ascii="Times New Roman" w:eastAsia="Times New Roman" w:hAnsi="Times New Roman"/>
            <w:sz w:val="24"/>
            <w:szCs w:val="24"/>
            <w:lang w:eastAsia="es-ES"/>
          </w:rPr>
          <w:t>9 millones de pasajeros</w:t>
        </w:r>
      </w:hyperlink>
      <w:r w:rsidRPr="00987427">
        <w:rPr>
          <w:rFonts w:ascii="Times New Roman" w:eastAsia="Times New Roman" w:hAnsi="Times New Roman"/>
          <w:sz w:val="24"/>
          <w:szCs w:val="24"/>
          <w:lang w:eastAsia="es-ES"/>
        </w:rPr>
        <w:t xml:space="preserve"> anuales por línea. Es más. Algunos </w:t>
      </w:r>
      <w:hyperlink r:id="rId405" w:tgtFrame="_blank" w:history="1">
        <w:r w:rsidRPr="00987427">
          <w:rPr>
            <w:rFonts w:ascii="Times New Roman" w:eastAsia="Times New Roman" w:hAnsi="Times New Roman"/>
            <w:sz w:val="24"/>
            <w:szCs w:val="24"/>
            <w:lang w:eastAsia="es-ES"/>
          </w:rPr>
          <w:t>expertos</w:t>
        </w:r>
      </w:hyperlink>
      <w:r w:rsidRPr="00987427">
        <w:rPr>
          <w:rFonts w:ascii="Times New Roman" w:eastAsia="Times New Roman" w:hAnsi="Times New Roman"/>
          <w:sz w:val="24"/>
          <w:szCs w:val="24"/>
          <w:lang w:eastAsia="es-ES"/>
        </w:rPr>
        <w:t xml:space="preserve"> estiman que una línea de 500 Km necesitaría 8 millones de viajeros al año para empezar a ser rentable. Sin embargo, líneas emblemáticas como las de Madrid-Barcelona o Madrid-Valencia no superaron los 6 y 3 millones de viajeros, respectivamente, en su primer año de servicio, tal y como explica </w:t>
      </w:r>
      <w:hyperlink r:id="rId406" w:tgtFrame="_blank" w:history="1">
        <w:r w:rsidRPr="00987427">
          <w:rPr>
            <w:rFonts w:ascii="Times New Roman" w:eastAsia="Times New Roman" w:hAnsi="Times New Roman"/>
            <w:sz w:val="24"/>
            <w:szCs w:val="24"/>
            <w:lang w:eastAsia="es-ES"/>
          </w:rPr>
          <w:t>Gerard Llobet</w:t>
        </w:r>
      </w:hyperlink>
      <w:r w:rsidRPr="00987427">
        <w:rPr>
          <w:rFonts w:ascii="Times New Roman" w:eastAsia="Times New Roman" w:hAnsi="Times New Roman"/>
          <w:sz w:val="24"/>
          <w:szCs w:val="24"/>
          <w:lang w:eastAsia="es-ES"/>
        </w:rPr>
        <w:t>, analista de Fedea.</w:t>
      </w:r>
    </w:p>
    <w:p w:rsidR="00987427" w:rsidRPr="00987427" w:rsidRDefault="00987427" w:rsidP="00387350">
      <w:pPr>
        <w:spacing w:before="100" w:beforeAutospacing="1" w:after="100" w:afterAutospacing="1" w:line="240" w:lineRule="auto"/>
        <w:jc w:val="both"/>
        <w:rPr>
          <w:rFonts w:ascii="Times New Roman" w:eastAsia="Times New Roman" w:hAnsi="Times New Roman"/>
          <w:sz w:val="24"/>
          <w:szCs w:val="24"/>
          <w:lang w:eastAsia="es-ES"/>
        </w:rPr>
      </w:pPr>
      <w:r w:rsidRPr="00987427">
        <w:rPr>
          <w:rFonts w:ascii="Times New Roman" w:eastAsia="Times New Roman" w:hAnsi="Times New Roman"/>
          <w:sz w:val="24"/>
          <w:szCs w:val="24"/>
          <w:lang w:eastAsia="es-ES"/>
        </w:rPr>
        <w:t xml:space="preserve">En este sentido, un </w:t>
      </w:r>
      <w:hyperlink r:id="rId407" w:tgtFrame="_blank" w:history="1">
        <w:r w:rsidRPr="00987427">
          <w:rPr>
            <w:rFonts w:ascii="Times New Roman" w:eastAsia="Times New Roman" w:hAnsi="Times New Roman"/>
            <w:sz w:val="24"/>
            <w:szCs w:val="24"/>
            <w:lang w:eastAsia="es-ES"/>
          </w:rPr>
          <w:t>informe elaborado por el RACC</w:t>
        </w:r>
      </w:hyperlink>
      <w:r w:rsidRPr="00987427">
        <w:rPr>
          <w:rFonts w:ascii="Times New Roman" w:eastAsia="Times New Roman" w:hAnsi="Times New Roman"/>
          <w:sz w:val="24"/>
          <w:szCs w:val="24"/>
          <w:lang w:eastAsia="es-ES"/>
        </w:rPr>
        <w:t xml:space="preserve"> a partir de distintos estudios, concluía que </w:t>
      </w:r>
      <w:r>
        <w:rPr>
          <w:rFonts w:ascii="Times New Roman" w:eastAsia="Times New Roman" w:hAnsi="Times New Roman"/>
          <w:bCs/>
          <w:sz w:val="24"/>
          <w:szCs w:val="24"/>
          <w:lang w:eastAsia="es-ES"/>
        </w:rPr>
        <w:t>“ninguno”</w:t>
      </w:r>
      <w:r w:rsidRPr="00987427">
        <w:rPr>
          <w:rFonts w:ascii="Times New Roman" w:eastAsia="Times New Roman" w:hAnsi="Times New Roman"/>
          <w:bCs/>
          <w:sz w:val="24"/>
          <w:szCs w:val="24"/>
          <w:lang w:eastAsia="es-ES"/>
        </w:rPr>
        <w:t xml:space="preserve"> de los corredores </w:t>
      </w:r>
      <w:r w:rsidRPr="00987427">
        <w:rPr>
          <w:rFonts w:ascii="Times New Roman" w:eastAsia="Times New Roman" w:hAnsi="Times New Roman"/>
          <w:sz w:val="24"/>
          <w:szCs w:val="24"/>
          <w:lang w:eastAsia="es-ES"/>
        </w:rPr>
        <w:t xml:space="preserve">de alta velocidad operativos en España </w:t>
      </w:r>
      <w:r w:rsidRPr="00987427">
        <w:rPr>
          <w:rFonts w:ascii="Times New Roman" w:eastAsia="Times New Roman" w:hAnsi="Times New Roman"/>
          <w:bCs/>
          <w:sz w:val="24"/>
          <w:szCs w:val="24"/>
          <w:lang w:eastAsia="es-ES"/>
        </w:rPr>
        <w:t>alcanza el umbral mínimo de rentabilidad</w:t>
      </w:r>
      <w:r w:rsidRPr="00987427">
        <w:rPr>
          <w:rFonts w:ascii="Times New Roman" w:eastAsia="Times New Roman" w:hAnsi="Times New Roman"/>
          <w:sz w:val="24"/>
          <w:szCs w:val="24"/>
          <w:lang w:eastAsia="es-ES"/>
        </w:rPr>
        <w:t xml:space="preserve"> para garantizar financieramente la línea, dado el bajo volumen de viajeros. Así, Madrid-Sevilla y Madrid-Barcelona, con 14.000 y 9.000 pasajeros por kilómet</w:t>
      </w:r>
      <w:r>
        <w:rPr>
          <w:rFonts w:ascii="Times New Roman" w:eastAsia="Times New Roman" w:hAnsi="Times New Roman"/>
          <w:sz w:val="24"/>
          <w:szCs w:val="24"/>
          <w:lang w:eastAsia="es-ES"/>
        </w:rPr>
        <w:t>ro de vía construida, quedan a “distancias insalvables”</w:t>
      </w:r>
      <w:r w:rsidRPr="00987427">
        <w:rPr>
          <w:rFonts w:ascii="Times New Roman" w:eastAsia="Times New Roman" w:hAnsi="Times New Roman"/>
          <w:sz w:val="24"/>
          <w:szCs w:val="24"/>
          <w:lang w:eastAsia="es-ES"/>
        </w:rPr>
        <w:t xml:space="preserve"> respecto a las líneas París-Lyon (59.000), Colonia-Frankfurt (51.000) o Tokyo-Osaka (235.000).</w:t>
      </w:r>
    </w:p>
    <w:p w:rsidR="00987427" w:rsidRPr="00987427" w:rsidRDefault="00987427" w:rsidP="00387350">
      <w:pPr>
        <w:spacing w:before="100" w:beforeAutospacing="1" w:after="100" w:afterAutospacing="1" w:line="240" w:lineRule="auto"/>
        <w:jc w:val="both"/>
        <w:rPr>
          <w:rFonts w:ascii="Times New Roman" w:eastAsia="Times New Roman" w:hAnsi="Times New Roman"/>
          <w:sz w:val="24"/>
          <w:szCs w:val="24"/>
          <w:lang w:eastAsia="es-ES"/>
        </w:rPr>
      </w:pPr>
      <w:r w:rsidRPr="00987427">
        <w:rPr>
          <w:rFonts w:ascii="Times New Roman" w:eastAsia="Times New Roman" w:hAnsi="Times New Roman"/>
          <w:noProof/>
          <w:sz w:val="24"/>
          <w:szCs w:val="24"/>
          <w:lang w:eastAsia="es-ES"/>
        </w:rPr>
        <w:drawing>
          <wp:inline distT="0" distB="0" distL="0" distR="0" wp14:anchorId="06BE49A0" wp14:editId="4D1B3273">
            <wp:extent cx="5574182" cy="2267634"/>
            <wp:effectExtent l="0" t="0" r="7620" b="0"/>
            <wp:docPr id="45" name="Imagen 45" descr="ave002">
              <a:hlinkClick xmlns:a="http://schemas.openxmlformats.org/drawingml/2006/main" r:id="rId40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ve002"/>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574063" cy="2267585"/>
                    </a:xfrm>
                    <a:prstGeom prst="rect">
                      <a:avLst/>
                    </a:prstGeom>
                    <a:noFill/>
                    <a:ln>
                      <a:noFill/>
                    </a:ln>
                  </pic:spPr>
                </pic:pic>
              </a:graphicData>
            </a:graphic>
          </wp:inline>
        </w:drawing>
      </w:r>
    </w:p>
    <w:p w:rsidR="00987427" w:rsidRPr="00987427" w:rsidRDefault="00987427" w:rsidP="00387350">
      <w:pPr>
        <w:spacing w:before="100" w:beforeAutospacing="1" w:after="100" w:afterAutospacing="1" w:line="240" w:lineRule="auto"/>
        <w:jc w:val="both"/>
        <w:rPr>
          <w:rFonts w:ascii="Times New Roman" w:eastAsia="Times New Roman" w:hAnsi="Times New Roman"/>
          <w:sz w:val="24"/>
          <w:szCs w:val="24"/>
          <w:lang w:eastAsia="es-ES"/>
        </w:rPr>
      </w:pPr>
      <w:r w:rsidRPr="00987427">
        <w:rPr>
          <w:rFonts w:ascii="Times New Roman" w:eastAsia="Times New Roman" w:hAnsi="Times New Roman"/>
          <w:sz w:val="24"/>
          <w:szCs w:val="24"/>
          <w:lang w:eastAsia="es-ES"/>
        </w:rPr>
        <w:t xml:space="preserve">A nivel global, con una inversión superior a los 40.000 millones de euros hasta 2010 (excluyendo Madrid-Sevilla), y teniendo en cuenta todos los pasajeros transportados en la historia por toda la red, el </w:t>
      </w:r>
      <w:r w:rsidRPr="00987427">
        <w:rPr>
          <w:rFonts w:ascii="Times New Roman" w:eastAsia="Times New Roman" w:hAnsi="Times New Roman"/>
          <w:bCs/>
          <w:sz w:val="24"/>
          <w:szCs w:val="24"/>
          <w:lang w:eastAsia="es-ES"/>
        </w:rPr>
        <w:t>coste medio de infraestructura por pasajero</w:t>
      </w:r>
      <w:r w:rsidRPr="00987427">
        <w:rPr>
          <w:rFonts w:ascii="Times New Roman" w:eastAsia="Times New Roman" w:hAnsi="Times New Roman"/>
          <w:sz w:val="24"/>
          <w:szCs w:val="24"/>
          <w:lang w:eastAsia="es-ES"/>
        </w:rPr>
        <w:t xml:space="preserve"> supera los </w:t>
      </w:r>
      <w:r w:rsidRPr="00987427">
        <w:rPr>
          <w:rFonts w:ascii="Times New Roman" w:eastAsia="Times New Roman" w:hAnsi="Times New Roman"/>
          <w:bCs/>
          <w:sz w:val="24"/>
          <w:szCs w:val="24"/>
          <w:lang w:eastAsia="es-ES"/>
        </w:rPr>
        <w:t>315 euros</w:t>
      </w:r>
      <w:r w:rsidRPr="00987427">
        <w:rPr>
          <w:rFonts w:ascii="Times New Roman" w:eastAsia="Times New Roman" w:hAnsi="Times New Roman"/>
          <w:sz w:val="24"/>
          <w:szCs w:val="24"/>
          <w:lang w:eastAsia="es-ES"/>
        </w:rPr>
        <w:t>. Una cuantía a la que habría que añadir, además, los costes de explotación.</w:t>
      </w:r>
    </w:p>
    <w:p w:rsidR="00D45575" w:rsidRDefault="00987427" w:rsidP="00387350">
      <w:pPr>
        <w:spacing w:before="100" w:beforeAutospacing="1" w:after="100" w:afterAutospacing="1" w:line="240" w:lineRule="auto"/>
        <w:jc w:val="both"/>
        <w:rPr>
          <w:rFonts w:ascii="Times New Roman" w:hAnsi="Times New Roman"/>
          <w:sz w:val="24"/>
          <w:szCs w:val="24"/>
        </w:rPr>
      </w:pPr>
      <w:r w:rsidRPr="00987427">
        <w:rPr>
          <w:rFonts w:ascii="Times New Roman" w:eastAsia="Times New Roman" w:hAnsi="Times New Roman"/>
          <w:sz w:val="24"/>
          <w:szCs w:val="24"/>
          <w:lang w:eastAsia="es-ES"/>
        </w:rPr>
        <w:t xml:space="preserve">Así, Llobet aclara que, incluso dejando de </w:t>
      </w:r>
      <w:r>
        <w:rPr>
          <w:rFonts w:ascii="Times New Roman" w:eastAsia="Times New Roman" w:hAnsi="Times New Roman"/>
          <w:sz w:val="24"/>
          <w:szCs w:val="24"/>
          <w:lang w:eastAsia="es-ES"/>
        </w:rPr>
        <w:t>lado el coste de la inversión, “</w:t>
      </w:r>
      <w:r w:rsidRPr="00987427">
        <w:rPr>
          <w:rFonts w:ascii="Times New Roman" w:eastAsia="Times New Roman" w:hAnsi="Times New Roman"/>
          <w:sz w:val="24"/>
          <w:szCs w:val="24"/>
          <w:lang w:eastAsia="es-ES"/>
        </w:rPr>
        <w:t xml:space="preserve">es prácticamente </w:t>
      </w:r>
      <w:r>
        <w:rPr>
          <w:rFonts w:ascii="Times New Roman" w:eastAsia="Times New Roman" w:hAnsi="Times New Roman"/>
          <w:bCs/>
          <w:sz w:val="24"/>
          <w:szCs w:val="24"/>
          <w:lang w:eastAsia="es-ES"/>
        </w:rPr>
        <w:t>imposible conseguir beneficios”</w:t>
      </w:r>
      <w:r>
        <w:rPr>
          <w:rFonts w:ascii="Times New Roman" w:eastAsia="Times New Roman" w:hAnsi="Times New Roman"/>
          <w:sz w:val="24"/>
          <w:szCs w:val="24"/>
          <w:lang w:eastAsia="es-ES"/>
        </w:rPr>
        <w:t xml:space="preserve"> en la explotación de la red “</w:t>
      </w:r>
      <w:r w:rsidRPr="00987427">
        <w:rPr>
          <w:rFonts w:ascii="Times New Roman" w:eastAsia="Times New Roman" w:hAnsi="Times New Roman"/>
          <w:sz w:val="24"/>
          <w:szCs w:val="24"/>
          <w:lang w:eastAsia="es-ES"/>
        </w:rPr>
        <w:t>sin ayuda de subsidios, dado el alto coste de funcionamiento y mant</w:t>
      </w:r>
      <w:r>
        <w:rPr>
          <w:rFonts w:ascii="Times New Roman" w:eastAsia="Times New Roman" w:hAnsi="Times New Roman"/>
          <w:sz w:val="24"/>
          <w:szCs w:val="24"/>
          <w:lang w:eastAsia="es-ES"/>
        </w:rPr>
        <w:t>enimiento de la infraestructura”</w:t>
      </w:r>
      <w:r w:rsidRPr="00987427">
        <w:rPr>
          <w:rFonts w:ascii="Times New Roman" w:eastAsia="Times New Roman" w:hAnsi="Times New Roman"/>
          <w:sz w:val="24"/>
          <w:szCs w:val="24"/>
          <w:lang w:eastAsia="es-ES"/>
        </w:rPr>
        <w:t xml:space="preserve">, entre 100.000 y 200.000 euros por kilómetro y año. Es decir, sin contar la fuerte inversión pública que conlleva la construcción de las vías y la compra de los trenes (el grueso del coste), el mero </w:t>
      </w:r>
      <w:r w:rsidRPr="00987427">
        <w:rPr>
          <w:rFonts w:ascii="Times New Roman" w:eastAsia="Times New Roman" w:hAnsi="Times New Roman"/>
          <w:bCs/>
          <w:sz w:val="24"/>
          <w:szCs w:val="24"/>
          <w:lang w:eastAsia="es-ES"/>
        </w:rPr>
        <w:t>funcionamiento operativo del AVE es deficitario</w:t>
      </w:r>
      <w:r w:rsidRPr="00987427">
        <w:rPr>
          <w:rFonts w:ascii="Times New Roman" w:eastAsia="Times New Roman" w:hAnsi="Times New Roman"/>
          <w:sz w:val="24"/>
          <w:szCs w:val="24"/>
          <w:lang w:eastAsia="es-ES"/>
        </w:rPr>
        <w:t xml:space="preserve"> o, lo que es lo mismo, la venta de billetes, no cubre el coste del servicio, de ahí la necesidad de subsidios y subvenciones para cubrir la diferencia entre ingresos y gastos</w:t>
      </w:r>
      <w:r>
        <w:rPr>
          <w:rFonts w:ascii="Times New Roman" w:eastAsia="Times New Roman" w:hAnsi="Times New Roman"/>
          <w:sz w:val="24"/>
          <w:szCs w:val="24"/>
          <w:lang w:eastAsia="es-ES"/>
        </w:rPr>
        <w:t>”..</w:t>
      </w:r>
      <w:r w:rsidRPr="00987427">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w:t>
      </w:r>
      <w:r w:rsidR="00D45575" w:rsidRPr="00B020C2">
        <w:rPr>
          <w:rFonts w:ascii="Times New Roman" w:hAnsi="Times New Roman"/>
          <w:sz w:val="24"/>
          <w:szCs w:val="24"/>
          <w:u w:val="single"/>
        </w:rPr>
        <w:t>AVE, el paradigma del despilfarro público en España</w:t>
      </w:r>
      <w:r w:rsidR="00D45575">
        <w:rPr>
          <w:rFonts w:ascii="Times New Roman" w:hAnsi="Times New Roman"/>
          <w:sz w:val="24"/>
          <w:szCs w:val="24"/>
        </w:rPr>
        <w:t xml:space="preserve"> (Libertad Digital - </w:t>
      </w:r>
      <w:r w:rsidR="00D45575" w:rsidRPr="00B020C2">
        <w:rPr>
          <w:rFonts w:ascii="Times New Roman" w:hAnsi="Times New Roman"/>
          <w:b/>
          <w:sz w:val="24"/>
          <w:szCs w:val="24"/>
        </w:rPr>
        <w:t>11/1/13</w:t>
      </w:r>
      <w:r w:rsidR="00D45575">
        <w:rPr>
          <w:rFonts w:ascii="Times New Roman" w:hAnsi="Times New Roman"/>
          <w:sz w:val="24"/>
          <w:szCs w:val="24"/>
        </w:rPr>
        <w:t>)</w:t>
      </w:r>
    </w:p>
    <w:p w:rsidR="00D45575" w:rsidRPr="00D45575" w:rsidRDefault="00D45575" w:rsidP="00387350">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D45575">
        <w:rPr>
          <w:rFonts w:ascii="Times New Roman" w:eastAsia="Times New Roman" w:hAnsi="Times New Roman"/>
          <w:sz w:val="24"/>
          <w:szCs w:val="24"/>
          <w:lang w:eastAsia="es-ES"/>
        </w:rPr>
        <w:t xml:space="preserve">La apertura del nuevo aeropuerto de Berlín, programada en un inicio para finales de 2011, ha sufrido esta semana su cuarto retraso. La debacle de uno de los proyectos de infraestructura más grandes de Alemania va camino de convertirse es un escándalo sin fin con los críticos preocupados con que la capital haya dañado seriamente su imagen. </w:t>
      </w:r>
      <w:r w:rsidRPr="00D45575">
        <w:rPr>
          <w:rFonts w:ascii="Times New Roman" w:eastAsia="Times New Roman" w:hAnsi="Times New Roman"/>
          <w:sz w:val="24"/>
          <w:szCs w:val="24"/>
          <w:lang w:eastAsia="es-ES"/>
        </w:rPr>
        <w:lastRenderedPageBreak/>
        <w:t xml:space="preserve">Pero no es el único lugar en Alemania que ha visto un proyecto plagado de retrasos y costes desorbitados. </w:t>
      </w:r>
      <w:r w:rsidRPr="00D45575">
        <w:rPr>
          <w:rFonts w:ascii="Times New Roman" w:eastAsia="Times New Roman" w:hAnsi="Times New Roman"/>
          <w:i/>
          <w:iCs/>
          <w:sz w:val="24"/>
          <w:szCs w:val="24"/>
          <w:lang w:eastAsia="es-ES"/>
        </w:rPr>
        <w:t>Der Spiegel</w:t>
      </w:r>
      <w:r w:rsidRPr="00D45575">
        <w:rPr>
          <w:rFonts w:ascii="Times New Roman" w:eastAsia="Times New Roman" w:hAnsi="Times New Roman"/>
          <w:sz w:val="24"/>
          <w:szCs w:val="24"/>
          <w:lang w:eastAsia="es-ES"/>
        </w:rPr>
        <w:t xml:space="preserve"> recoge hoy algunos de ellos.</w:t>
      </w:r>
    </w:p>
    <w:p w:rsidR="00D45575" w:rsidRPr="00D45575" w:rsidRDefault="00D45575" w:rsidP="00387350">
      <w:pPr>
        <w:spacing w:before="100" w:beforeAutospacing="1" w:after="100" w:afterAutospacing="1" w:line="240" w:lineRule="auto"/>
        <w:jc w:val="both"/>
        <w:rPr>
          <w:rFonts w:ascii="Times New Roman" w:eastAsia="Times New Roman" w:hAnsi="Times New Roman"/>
          <w:sz w:val="24"/>
          <w:szCs w:val="24"/>
          <w:lang w:eastAsia="es-ES"/>
        </w:rPr>
      </w:pPr>
      <w:r w:rsidRPr="00D45575">
        <w:rPr>
          <w:rFonts w:ascii="Times New Roman" w:eastAsia="Times New Roman" w:hAnsi="Times New Roman"/>
          <w:sz w:val="24"/>
          <w:szCs w:val="24"/>
          <w:lang w:eastAsia="es-ES"/>
        </w:rPr>
        <w:t xml:space="preserve">Alemania, respetada en todo el mundo por su eficiencia y por la calidad de sus construcciones y su ingeniería de clase mundial, </w:t>
      </w:r>
      <w:r w:rsidRPr="00D45575">
        <w:rPr>
          <w:rFonts w:ascii="Times New Roman" w:eastAsia="Times New Roman" w:hAnsi="Times New Roman"/>
          <w:bCs/>
          <w:sz w:val="24"/>
          <w:szCs w:val="24"/>
          <w:lang w:eastAsia="es-ES"/>
        </w:rPr>
        <w:t>está recibiendo un golpe a su reputación, dado los problemas que aquejan algunos de sus principales proyectos públicos</w:t>
      </w:r>
      <w:r w:rsidRPr="00D45575">
        <w:rPr>
          <w:rFonts w:ascii="Times New Roman" w:eastAsia="Times New Roman" w:hAnsi="Times New Roman"/>
          <w:sz w:val="24"/>
          <w:szCs w:val="24"/>
          <w:lang w:eastAsia="es-ES"/>
        </w:rPr>
        <w:t>, señala el semanario alemán.</w:t>
      </w:r>
    </w:p>
    <w:p w:rsidR="00D45575" w:rsidRPr="00D45575" w:rsidRDefault="00D45575" w:rsidP="00387350">
      <w:pPr>
        <w:spacing w:before="100" w:beforeAutospacing="1" w:after="100" w:afterAutospacing="1" w:line="240" w:lineRule="auto"/>
        <w:jc w:val="both"/>
        <w:rPr>
          <w:rFonts w:ascii="Times New Roman" w:eastAsia="Times New Roman" w:hAnsi="Times New Roman"/>
          <w:sz w:val="24"/>
          <w:szCs w:val="24"/>
          <w:lang w:eastAsia="es-ES"/>
        </w:rPr>
      </w:pPr>
      <w:r w:rsidRPr="00D45575">
        <w:rPr>
          <w:rFonts w:ascii="Times New Roman" w:eastAsia="Times New Roman" w:hAnsi="Times New Roman"/>
          <w:sz w:val="24"/>
          <w:szCs w:val="24"/>
          <w:lang w:eastAsia="es-ES"/>
        </w:rPr>
        <w:t xml:space="preserve">Bien sea la deslumbrante nueva estación de trenes de Stuttgart, el nuevo aeropuerto de estilo berlinés o la nueva sala de conciertos de Hamburgo, todos los proyectos lucen muy bien sobre el papel. Los costes parecen ser lógicos y los políticos se muestran eufóricos cuando presentan sus grandes planes, haciendo hincapié en la forma en que va a cambiar la región. Y por supuesto no requieren mucho tiempo para su construcción, o al menos eso es lo que recalcan, crítica </w:t>
      </w:r>
      <w:r w:rsidRPr="00D45575">
        <w:rPr>
          <w:rFonts w:ascii="Times New Roman" w:eastAsia="Times New Roman" w:hAnsi="Times New Roman"/>
          <w:i/>
          <w:iCs/>
          <w:sz w:val="24"/>
          <w:szCs w:val="24"/>
          <w:lang w:eastAsia="es-ES"/>
        </w:rPr>
        <w:t>Der Spiegel</w:t>
      </w:r>
      <w:r w:rsidRPr="00D45575">
        <w:rPr>
          <w:rFonts w:ascii="Times New Roman" w:eastAsia="Times New Roman" w:hAnsi="Times New Roman"/>
          <w:sz w:val="24"/>
          <w:szCs w:val="24"/>
          <w:lang w:eastAsia="es-ES"/>
        </w:rPr>
        <w:t>.</w:t>
      </w:r>
    </w:p>
    <w:p w:rsidR="00D45575" w:rsidRPr="00D45575" w:rsidRDefault="00D45575" w:rsidP="00387350">
      <w:pPr>
        <w:spacing w:before="100" w:beforeAutospacing="1" w:after="100" w:afterAutospacing="1" w:line="240" w:lineRule="auto"/>
        <w:jc w:val="both"/>
        <w:rPr>
          <w:rFonts w:ascii="Times New Roman" w:eastAsia="Times New Roman" w:hAnsi="Times New Roman"/>
          <w:sz w:val="24"/>
          <w:szCs w:val="24"/>
          <w:lang w:eastAsia="es-ES"/>
        </w:rPr>
      </w:pPr>
      <w:r w:rsidRPr="00D45575">
        <w:rPr>
          <w:rFonts w:ascii="Times New Roman" w:eastAsia="Times New Roman" w:hAnsi="Times New Roman"/>
          <w:sz w:val="24"/>
          <w:szCs w:val="24"/>
          <w:lang w:eastAsia="es-ES"/>
        </w:rPr>
        <w:t xml:space="preserve">Pero a la hora de la verdad un plazo da lugar a otro. Ya sea como consecuencia de las protestas, las solicitudes de cargos adicionales u otras demandas, las estaciones de tren, aeropuertos e incluso salas de concierto aún no se han construido. Sus costes se duplican e incluso cuadruplican. La gente se muestra indignada, lo cual puede afectar a la reputación de toda una ciudad, como ha demostrado ser el caso de Berlín con el enésimo retado del nuevo aeropuerto internacional. </w:t>
      </w:r>
      <w:r w:rsidRPr="00D45575">
        <w:rPr>
          <w:rFonts w:ascii="Times New Roman" w:eastAsia="Times New Roman" w:hAnsi="Times New Roman"/>
          <w:bCs/>
          <w:sz w:val="24"/>
          <w:szCs w:val="24"/>
          <w:lang w:eastAsia="es-ES"/>
        </w:rPr>
        <w:t>Los políticos siempre están dispuestos a celebrar el éxito de un proyecto terminado, pero cuando llegan los problemas pocos están dispuestos a asumir ninguna responsabilidad</w:t>
      </w:r>
      <w:r w:rsidRPr="00D45575">
        <w:rPr>
          <w:rFonts w:ascii="Times New Roman" w:eastAsia="Times New Roman" w:hAnsi="Times New Roman"/>
          <w:sz w:val="24"/>
          <w:szCs w:val="24"/>
          <w:lang w:eastAsia="es-ES"/>
        </w:rPr>
        <w:t>, denuncia el semanario.</w:t>
      </w:r>
    </w:p>
    <w:p w:rsidR="00D45575" w:rsidRPr="00D45575" w:rsidRDefault="00D45575" w:rsidP="00387350">
      <w:pPr>
        <w:spacing w:before="100" w:beforeAutospacing="1" w:after="100" w:afterAutospacing="1" w:line="240" w:lineRule="auto"/>
        <w:jc w:val="both"/>
        <w:rPr>
          <w:rFonts w:ascii="Times New Roman" w:eastAsia="Times New Roman" w:hAnsi="Times New Roman"/>
          <w:sz w:val="24"/>
          <w:szCs w:val="24"/>
          <w:lang w:eastAsia="es-ES"/>
        </w:rPr>
      </w:pPr>
      <w:r w:rsidRPr="00D45575">
        <w:rPr>
          <w:rFonts w:ascii="Times New Roman" w:eastAsia="Times New Roman" w:hAnsi="Times New Roman"/>
          <w:sz w:val="24"/>
          <w:szCs w:val="24"/>
          <w:lang w:eastAsia="es-ES"/>
        </w:rPr>
        <w:t xml:space="preserve">En muchos casos, los falsos cálculos son deliberados. Werner Rothengatter, investigador en el Instituto de Tecnología de Karlsruhe, ha estudiado los principales proyectos de obras públicas en todo el mundo. Una de sus conclusiones es que hay un patrón similar en las sociedades democráticas, </w:t>
      </w:r>
      <w:r w:rsidRPr="00D45575">
        <w:rPr>
          <w:rFonts w:ascii="Times New Roman" w:eastAsia="Times New Roman" w:hAnsi="Times New Roman"/>
          <w:bCs/>
          <w:sz w:val="24"/>
          <w:szCs w:val="24"/>
          <w:lang w:eastAsia="es-ES"/>
        </w:rPr>
        <w:t>donde los políticos tienen tendencia a engañar al público sobre el coste real de estos proyectos</w:t>
      </w:r>
      <w:r w:rsidRPr="00D45575">
        <w:rPr>
          <w:rFonts w:ascii="Times New Roman" w:eastAsia="Times New Roman" w:hAnsi="Times New Roman"/>
          <w:sz w:val="24"/>
          <w:szCs w:val="24"/>
          <w:lang w:eastAsia="es-ES"/>
        </w:rPr>
        <w:t>.</w:t>
      </w:r>
    </w:p>
    <w:p w:rsidR="00D45575" w:rsidRPr="00D45575" w:rsidRDefault="00D45575" w:rsidP="00387350">
      <w:pPr>
        <w:spacing w:before="100" w:beforeAutospacing="1" w:after="100" w:afterAutospacing="1" w:line="240" w:lineRule="auto"/>
        <w:jc w:val="both"/>
        <w:rPr>
          <w:rFonts w:ascii="Times New Roman" w:eastAsia="Times New Roman" w:hAnsi="Times New Roman"/>
          <w:sz w:val="24"/>
          <w:szCs w:val="24"/>
          <w:lang w:eastAsia="es-ES"/>
        </w:rPr>
      </w:pPr>
      <w:r w:rsidRPr="00D45575">
        <w:rPr>
          <w:rFonts w:ascii="Times New Roman" w:eastAsia="Times New Roman" w:hAnsi="Times New Roman"/>
          <w:sz w:val="24"/>
          <w:szCs w:val="24"/>
          <w:lang w:eastAsia="es-ES"/>
        </w:rPr>
        <w:t>Rothengatter argumenta que los sobrecostes rara vez son una sorpresa -con independencia de si se trata del aeropuerto de Berlín o la nueva sala de conciertos de Hamburgo. Durante su investigación, encontró que la mayoría de políticos tratan de que el precio sea lo más bajo posible a fin de obtener apoyo para los proyectos y deliberadamente ocultando los potenciales riesgos. A menudo, los que están en el timón político asumen el riesgo sabiendo que no serán personalmente responsables si los costes comienzan a elevarse.</w:t>
      </w:r>
    </w:p>
    <w:p w:rsidR="00D45575" w:rsidRPr="00D45575" w:rsidRDefault="00D45575" w:rsidP="00387350">
      <w:pPr>
        <w:spacing w:before="100" w:beforeAutospacing="1" w:after="100" w:afterAutospacing="1" w:line="240" w:lineRule="auto"/>
        <w:jc w:val="both"/>
        <w:rPr>
          <w:rFonts w:ascii="Times New Roman" w:eastAsia="Times New Roman" w:hAnsi="Times New Roman"/>
          <w:sz w:val="24"/>
          <w:szCs w:val="24"/>
          <w:lang w:eastAsia="es-ES"/>
        </w:rPr>
      </w:pPr>
      <w:r w:rsidRPr="00D45575">
        <w:rPr>
          <w:rFonts w:ascii="Times New Roman" w:eastAsia="Times New Roman" w:hAnsi="Times New Roman"/>
          <w:sz w:val="24"/>
          <w:szCs w:val="24"/>
          <w:lang w:eastAsia="es-ES"/>
        </w:rPr>
        <w:t xml:space="preserve">Un problema adicional, señala </w:t>
      </w:r>
      <w:r w:rsidRPr="00D45575">
        <w:rPr>
          <w:rFonts w:ascii="Times New Roman" w:eastAsia="Times New Roman" w:hAnsi="Times New Roman"/>
          <w:i/>
          <w:iCs/>
          <w:sz w:val="24"/>
          <w:szCs w:val="24"/>
          <w:lang w:eastAsia="es-ES"/>
        </w:rPr>
        <w:t>Der Spiegel</w:t>
      </w:r>
      <w:r w:rsidRPr="00D45575">
        <w:rPr>
          <w:rFonts w:ascii="Times New Roman" w:eastAsia="Times New Roman" w:hAnsi="Times New Roman"/>
          <w:sz w:val="24"/>
          <w:szCs w:val="24"/>
          <w:lang w:eastAsia="es-ES"/>
        </w:rPr>
        <w:t xml:space="preserve">, es que los consejos que supervisan estos proyectos suelen estar llenos de políticos que no tienen ninguna experiencia cuando se trata de grandes proyectos de infraestructura, como se evidencia en el caso del aeropuerto de Berlín, donde tanto el alcalde Klaus Wowereit y el Gobernador de </w:t>
      </w:r>
      <w:r w:rsidR="002E6E34" w:rsidRPr="00D45575">
        <w:rPr>
          <w:rFonts w:ascii="Times New Roman" w:eastAsia="Times New Roman" w:hAnsi="Times New Roman"/>
          <w:sz w:val="24"/>
          <w:szCs w:val="24"/>
          <w:lang w:eastAsia="es-ES"/>
        </w:rPr>
        <w:t>Brandemburgo</w:t>
      </w:r>
      <w:r w:rsidRPr="00D45575">
        <w:rPr>
          <w:rFonts w:ascii="Times New Roman" w:eastAsia="Times New Roman" w:hAnsi="Times New Roman"/>
          <w:sz w:val="24"/>
          <w:szCs w:val="24"/>
          <w:lang w:eastAsia="es-ES"/>
        </w:rPr>
        <w:t xml:space="preserve"> Matthias Platzeck (cuyo estado es también accionista) son miembros del Consejo. </w:t>
      </w:r>
    </w:p>
    <w:p w:rsidR="00D45575" w:rsidRPr="00D45575" w:rsidRDefault="00D45575" w:rsidP="00387350">
      <w:pPr>
        <w:spacing w:before="100" w:beforeAutospacing="1" w:after="100" w:afterAutospacing="1" w:line="240" w:lineRule="auto"/>
        <w:jc w:val="both"/>
        <w:rPr>
          <w:rFonts w:ascii="Times New Roman" w:eastAsia="Times New Roman" w:hAnsi="Times New Roman"/>
          <w:sz w:val="24"/>
          <w:szCs w:val="24"/>
          <w:lang w:eastAsia="es-ES"/>
        </w:rPr>
      </w:pPr>
      <w:r w:rsidRPr="00D45575">
        <w:rPr>
          <w:rFonts w:ascii="Times New Roman" w:eastAsia="Times New Roman" w:hAnsi="Times New Roman"/>
          <w:sz w:val="24"/>
          <w:szCs w:val="24"/>
          <w:lang w:eastAsia="es-ES"/>
        </w:rPr>
        <w:t xml:space="preserve">Entonces, ¿por qué asumen estos riesgos? La razón es simple, apunta </w:t>
      </w:r>
      <w:r w:rsidRPr="00D45575">
        <w:rPr>
          <w:rFonts w:ascii="Times New Roman" w:eastAsia="Times New Roman" w:hAnsi="Times New Roman"/>
          <w:i/>
          <w:iCs/>
          <w:sz w:val="24"/>
          <w:szCs w:val="24"/>
          <w:lang w:eastAsia="es-ES"/>
        </w:rPr>
        <w:t>Der Spiegel</w:t>
      </w:r>
      <w:r w:rsidRPr="00D45575">
        <w:rPr>
          <w:rFonts w:ascii="Times New Roman" w:eastAsia="Times New Roman" w:hAnsi="Times New Roman"/>
          <w:sz w:val="24"/>
          <w:szCs w:val="24"/>
          <w:lang w:eastAsia="es-ES"/>
        </w:rPr>
        <w:t xml:space="preserve">. Los políticos tienen miedo de </w:t>
      </w:r>
      <w:r w:rsidR="000945E6">
        <w:rPr>
          <w:rFonts w:ascii="Times New Roman" w:eastAsia="Times New Roman" w:hAnsi="Times New Roman"/>
          <w:sz w:val="24"/>
          <w:szCs w:val="24"/>
          <w:lang w:eastAsia="es-ES"/>
        </w:rPr>
        <w:t>“</w:t>
      </w:r>
      <w:r w:rsidRPr="000945E6">
        <w:rPr>
          <w:rFonts w:ascii="Times New Roman" w:eastAsia="Times New Roman" w:hAnsi="Times New Roman"/>
          <w:iCs/>
          <w:sz w:val="24"/>
          <w:szCs w:val="24"/>
          <w:lang w:eastAsia="es-ES"/>
        </w:rPr>
        <w:t>fichar</w:t>
      </w:r>
      <w:r w:rsidR="000945E6">
        <w:rPr>
          <w:rFonts w:ascii="Times New Roman" w:eastAsia="Times New Roman" w:hAnsi="Times New Roman"/>
          <w:iCs/>
          <w:sz w:val="24"/>
          <w:szCs w:val="24"/>
          <w:lang w:eastAsia="es-ES"/>
        </w:rPr>
        <w:t>”</w:t>
      </w:r>
      <w:r w:rsidRPr="00D45575">
        <w:rPr>
          <w:rFonts w:ascii="Times New Roman" w:eastAsia="Times New Roman" w:hAnsi="Times New Roman"/>
          <w:sz w:val="24"/>
          <w:szCs w:val="24"/>
          <w:lang w:eastAsia="es-ES"/>
        </w:rPr>
        <w:t xml:space="preserve"> a contratistas generales para ejecutar los proyectos. Los profesionales son capaces de establecer un precio fijo, pero a menudo es uno mucho más alto que el que los políticos sería capaz de vender a sus electores.</w:t>
      </w:r>
    </w:p>
    <w:p w:rsidR="00D45575" w:rsidRDefault="00D45575" w:rsidP="00387350">
      <w:pPr>
        <w:spacing w:before="100" w:beforeAutospacing="1" w:after="100" w:afterAutospacing="1" w:line="240" w:lineRule="auto"/>
        <w:jc w:val="both"/>
        <w:rPr>
          <w:rFonts w:ascii="Times New Roman" w:eastAsia="Times New Roman" w:hAnsi="Times New Roman"/>
          <w:sz w:val="24"/>
          <w:szCs w:val="24"/>
          <w:lang w:eastAsia="es-ES"/>
        </w:rPr>
      </w:pPr>
      <w:r w:rsidRPr="00D45575">
        <w:rPr>
          <w:rFonts w:ascii="Times New Roman" w:eastAsia="Times New Roman" w:hAnsi="Times New Roman"/>
          <w:sz w:val="24"/>
          <w:szCs w:val="24"/>
          <w:lang w:eastAsia="es-ES"/>
        </w:rPr>
        <w:lastRenderedPageBreak/>
        <w:t xml:space="preserve">Alemania está experimentando problemas considerables con una serie de grandes proyectos de obras públicas. El </w:t>
      </w:r>
      <w:r w:rsidRPr="00D45575">
        <w:rPr>
          <w:rFonts w:ascii="Times New Roman" w:eastAsia="Times New Roman" w:hAnsi="Times New Roman"/>
          <w:i/>
          <w:iCs/>
          <w:sz w:val="24"/>
          <w:szCs w:val="24"/>
          <w:lang w:eastAsia="es-ES"/>
        </w:rPr>
        <w:t>Spiegel Online</w:t>
      </w:r>
      <w:r w:rsidRPr="00D45575">
        <w:rPr>
          <w:rFonts w:ascii="Times New Roman" w:eastAsia="Times New Roman" w:hAnsi="Times New Roman"/>
          <w:sz w:val="24"/>
          <w:szCs w:val="24"/>
          <w:lang w:eastAsia="es-ES"/>
        </w:rPr>
        <w:t xml:space="preserve"> recoge algunos como los anteriormente citados, además del túnel de la ciudad de Leipzig o la líne</w:t>
      </w:r>
      <w:r>
        <w:rPr>
          <w:rFonts w:ascii="Times New Roman" w:eastAsia="Times New Roman" w:hAnsi="Times New Roman"/>
          <w:sz w:val="24"/>
          <w:szCs w:val="24"/>
          <w:lang w:eastAsia="es-ES"/>
        </w:rPr>
        <w:t xml:space="preserve">a de metro norte-sur de Colonia”. </w:t>
      </w:r>
      <w:r w:rsidRPr="00B551C5">
        <w:rPr>
          <w:rFonts w:ascii="Times New Roman" w:eastAsia="Times New Roman" w:hAnsi="Times New Roman"/>
          <w:sz w:val="24"/>
          <w:szCs w:val="24"/>
          <w:u w:val="single"/>
          <w:lang w:eastAsia="es-ES"/>
        </w:rPr>
        <w:t>Las obra públicas más desastrosas de Alemania: ¿historia de un engaño político?</w:t>
      </w:r>
      <w:r>
        <w:rPr>
          <w:rFonts w:ascii="Times New Roman" w:eastAsia="Times New Roman" w:hAnsi="Times New Roman"/>
          <w:sz w:val="24"/>
          <w:szCs w:val="24"/>
          <w:lang w:eastAsia="es-ES"/>
        </w:rPr>
        <w:t xml:space="preserve"> (El Economista - </w:t>
      </w:r>
      <w:r w:rsidRPr="00B551C5">
        <w:rPr>
          <w:rFonts w:ascii="Times New Roman" w:eastAsia="Times New Roman" w:hAnsi="Times New Roman"/>
          <w:b/>
          <w:sz w:val="24"/>
          <w:szCs w:val="24"/>
          <w:lang w:eastAsia="es-ES"/>
        </w:rPr>
        <w:t>11/1/13</w:t>
      </w:r>
      <w:r>
        <w:rPr>
          <w:rFonts w:ascii="Times New Roman" w:eastAsia="Times New Roman" w:hAnsi="Times New Roman"/>
          <w:sz w:val="24"/>
          <w:szCs w:val="24"/>
          <w:lang w:eastAsia="es-ES"/>
        </w:rPr>
        <w:t>)</w:t>
      </w:r>
    </w:p>
    <w:p w:rsidR="00D45575" w:rsidRPr="00D45575" w:rsidRDefault="00C9744F" w:rsidP="00387350">
      <w:pPr>
        <w:pStyle w:val="NormalWeb"/>
        <w:jc w:val="both"/>
      </w:pPr>
      <w:r>
        <w:t>“</w:t>
      </w:r>
      <w:r w:rsidR="00D45575" w:rsidRPr="00D45575">
        <w:t>Una sociedad exitosa necesita que el gobierno sea eficaz, asequible y que realice bien sus funciones, incluida la obtención de suficientes ingresos para financiarlas. Pero un gobierno excesivamente grande, centralizado, burocrático y caro reduce sustancialmente la economía privada al erosionar la iniciativa y la responsabilidad individual; desplazar a la inversión privada, el consumo y la caridad; y dañar los incentivos con elevadas tasas impositivas. También corre el riesgo de desplazar por otras a funciones gubernamentales necesarias, como la defensa. Así es, en pocas palabras, la Europa actual; y Estados Unidos la sigue de cerca.</w:t>
      </w:r>
    </w:p>
    <w:p w:rsidR="00D45575" w:rsidRPr="00D45575" w:rsidRDefault="00D45575" w:rsidP="00387350">
      <w:pPr>
        <w:pStyle w:val="NormalWeb"/>
        <w:jc w:val="both"/>
      </w:pPr>
      <w:r w:rsidRPr="00D45575">
        <w:t>El reciente fallecimiento de James M. Buchanan (Premio Nobel en 1986), padre de la economía de la elección pública, es motivo para reflexionar sobre sus sabias advertencias… Buchanan consideró a ese análisis romántico. Demostró que los funcionarios públicos, como el resto de las personas, buscan satisfacer su propio interés y se rigen por las reglas y restricciones de sus entornos económicos. Los hogares enfrentan restricciones presupuestarias. Las empresas encuentran restricciones tecnológicas, competitivas y de objetivos comerciales. Para los políticos,</w:t>
      </w:r>
      <w:r w:rsidR="00C9744F">
        <w:t xml:space="preserve"> la capacidad de ejercer poder -</w:t>
      </w:r>
      <w:r w:rsidRPr="00D45575">
        <w:t>en su propio ben</w:t>
      </w:r>
      <w:r w:rsidR="00C9744F">
        <w:t>eficio o para intereses creados-</w:t>
      </w:r>
      <w:r w:rsidRPr="00D45575">
        <w:t xml:space="preserve"> se ve limitada por su necesidad de ser elegidos. </w:t>
      </w:r>
    </w:p>
    <w:p w:rsidR="00D45575" w:rsidRPr="00D45575" w:rsidRDefault="00D45575" w:rsidP="00387350">
      <w:pPr>
        <w:pStyle w:val="NormalWeb"/>
        <w:jc w:val="both"/>
      </w:pPr>
      <w:r w:rsidRPr="00D45575">
        <w:t>Buchanan predijo que, como oculta el costo total, la capacidad de financiar el gasto público mediante déficits conduciría a mayores gastos y menores impuestos a expensas de las generaciones futuras, cuyos miembros no están directamente representados en las elecciones actuales. Predijo défici</w:t>
      </w:r>
      <w:r w:rsidR="00C9744F">
        <w:t>ts y endeudamientos crecientes -</w:t>
      </w:r>
      <w:r w:rsidRPr="00D45575">
        <w:t xml:space="preserve">y un gobierno aún mayor como resultado. </w:t>
      </w:r>
    </w:p>
    <w:p w:rsidR="00D45575" w:rsidRPr="00D45575" w:rsidRDefault="00D45575" w:rsidP="00387350">
      <w:pPr>
        <w:pStyle w:val="NormalWeb"/>
        <w:jc w:val="both"/>
      </w:pPr>
      <w:r w:rsidRPr="00D45575">
        <w:t>Sobre este tema Buchanan fue,</w:t>
      </w:r>
      <w:r w:rsidR="007B59FE">
        <w:t xml:space="preserve"> desafortunadamente, profético -</w:t>
      </w:r>
      <w:r w:rsidRPr="00D45575">
        <w:t>y mucho antes de que la crisis financiera y la profunda recesión condujeran a otro brusco aumento en el tamaño y alcance del gobierno, acompañado por grandes déficits y una deuda explosiva en Estados Unidos, Europa y Japón. Buchanan luchó incansablemente por un menor gasto gubernamental, presupuestos equilibrados (incluso por una enmienda a la constitución estadounidense para implementar los presupuestos equilibrados) y regulación racionalizada…</w:t>
      </w:r>
    </w:p>
    <w:p w:rsidR="00C9744F" w:rsidRDefault="00D45575" w:rsidP="00387350">
      <w:pPr>
        <w:pStyle w:val="NormalWeb"/>
        <w:jc w:val="both"/>
      </w:pPr>
      <w:r w:rsidRPr="00D45575">
        <w:t xml:space="preserve">Hemos visto lo que resulta en última instancia cuando el gasto insostenible conduce a una deuda explosiva: caos económico y tragedia humana. En algún punto entre </w:t>
      </w:r>
      <w:r w:rsidR="00C9744F">
        <w:t>las soluciones gubernamentales “idealizadas”</w:t>
      </w:r>
      <w:r w:rsidRPr="00D45575">
        <w:t xml:space="preserve"> y los funcionarios gubernamentales egoístas a la Buchanan, debemos encontrar líderes dispuestos a eliminar aquellos programas con mal desempeño; a modernizar, optimizar y consolidar algunos otros; a mejorar los servicios; y a limitar la creciente presión impositiva que destruye el crecimiento”.</w:t>
      </w:r>
      <w:r w:rsidR="00C9744F">
        <w:t xml:space="preserve"> </w:t>
      </w:r>
      <w:r w:rsidR="00C9744F" w:rsidRPr="00F57933">
        <w:rPr>
          <w:u w:val="single"/>
        </w:rPr>
        <w:t>La doma del leviatán</w:t>
      </w:r>
      <w:r w:rsidR="00C9744F">
        <w:t xml:space="preserve"> (</w:t>
      </w:r>
      <w:r w:rsidR="00C9744F" w:rsidRPr="005829B7">
        <w:t>Michael Boskin</w:t>
      </w:r>
      <w:r w:rsidR="00C9744F">
        <w:t xml:space="preserve"> - Project Syndicate - </w:t>
      </w:r>
      <w:r w:rsidR="00C9744F" w:rsidRPr="00F57933">
        <w:rPr>
          <w:b/>
        </w:rPr>
        <w:t>28/1/13</w:t>
      </w:r>
      <w:r w:rsidR="00C9744F">
        <w:t>)</w:t>
      </w:r>
    </w:p>
    <w:p w:rsidR="00C9744F" w:rsidRPr="00C9744F" w:rsidRDefault="00C9744F" w:rsidP="00387350">
      <w:pPr>
        <w:pStyle w:val="NormalWeb"/>
        <w:jc w:val="both"/>
      </w:pPr>
      <w:r>
        <w:t>“</w:t>
      </w:r>
      <w:r w:rsidRPr="00C9744F">
        <w:t xml:space="preserve">El semanario alemán </w:t>
      </w:r>
      <w:r w:rsidRPr="00C9744F">
        <w:rPr>
          <w:rStyle w:val="nfasis"/>
        </w:rPr>
        <w:t>Welt am Sonntag</w:t>
      </w:r>
      <w:r w:rsidRPr="00C9744F">
        <w:t xml:space="preserve"> publicaba esta semana que casi </w:t>
      </w:r>
      <w:r w:rsidRPr="00C9744F">
        <w:rPr>
          <w:rStyle w:val="Textoennegrita"/>
          <w:b w:val="0"/>
        </w:rPr>
        <w:t>4.000 eurócratas</w:t>
      </w:r>
      <w:r w:rsidRPr="00C9744F">
        <w:rPr>
          <w:b/>
        </w:rPr>
        <w:t xml:space="preserve"> </w:t>
      </w:r>
      <w:r w:rsidRPr="00C9744F">
        <w:t>ganan un</w:t>
      </w:r>
      <w:r w:rsidRPr="00C9744F">
        <w:rPr>
          <w:b/>
        </w:rPr>
        <w:t xml:space="preserve"> </w:t>
      </w:r>
      <w:r w:rsidRPr="00C9744F">
        <w:rPr>
          <w:rStyle w:val="Textoennegrita"/>
          <w:b w:val="0"/>
        </w:rPr>
        <w:t>sueldo</w:t>
      </w:r>
      <w:r w:rsidRPr="00C9744F">
        <w:rPr>
          <w:rStyle w:val="Textoennegrita"/>
        </w:rPr>
        <w:t xml:space="preserve"> </w:t>
      </w:r>
      <w:r w:rsidRPr="00C9744F">
        <w:t xml:space="preserve">mensual </w:t>
      </w:r>
      <w:r w:rsidRPr="00C9744F">
        <w:rPr>
          <w:rStyle w:val="Textoennegrita"/>
          <w:b w:val="0"/>
        </w:rPr>
        <w:t>superior al de la canciller</w:t>
      </w:r>
      <w:r w:rsidRPr="00C9744F">
        <w:rPr>
          <w:rStyle w:val="Textoennegrita"/>
        </w:rPr>
        <w:t xml:space="preserve"> </w:t>
      </w:r>
      <w:r w:rsidRPr="00C9744F">
        <w:t xml:space="preserve">germana, Angela Merkel: algo </w:t>
      </w:r>
      <w:r w:rsidRPr="00C9744F">
        <w:rPr>
          <w:rStyle w:val="Textoennegrita"/>
          <w:b w:val="0"/>
        </w:rPr>
        <w:t>más de 21.000 euros al mes</w:t>
      </w:r>
      <w:r w:rsidRPr="00C9744F">
        <w:t>, frente a los casi 16.300 de la canciller.</w:t>
      </w:r>
    </w:p>
    <w:p w:rsidR="00C9744F" w:rsidRPr="00C9744F" w:rsidRDefault="00C9744F" w:rsidP="00387350">
      <w:pPr>
        <w:pStyle w:val="NormalWeb"/>
        <w:jc w:val="both"/>
        <w:rPr>
          <w:b/>
        </w:rPr>
      </w:pPr>
      <w:r w:rsidRPr="00C9744F">
        <w:lastRenderedPageBreak/>
        <w:t>Desde la función pública europea, justifican sus altos sueldos por la alta cualificación de profesionales y por la necesidad de recompensarles económicamente la lejanía de su tierra natal. La mayoría comprende que la opinión pública les haya puesto en la diana en un momento e</w:t>
      </w:r>
      <w:r>
        <w:t>n que “la crisis azota más duro”</w:t>
      </w:r>
      <w:r w:rsidRPr="00C9744F">
        <w:t>. Sin embargo, se rebe</w:t>
      </w:r>
      <w:r>
        <w:t>lan contra lo que califican de “desinformaciones”</w:t>
      </w:r>
      <w:r w:rsidRPr="00C9744F">
        <w:t xml:space="preserve"> de la prensa, y disparan contra el Gobierno de Cameron, cuya tradicional batalla contra los dispend</w:t>
      </w:r>
      <w:r>
        <w:t>ios de los eurócratas, acusan, “no es más que populismo”</w:t>
      </w:r>
      <w:r w:rsidRPr="00C9744F">
        <w:t>. Pero,</w:t>
      </w:r>
      <w:r w:rsidRPr="00C9744F">
        <w:rPr>
          <w:rStyle w:val="Textoennegrita"/>
        </w:rPr>
        <w:t xml:space="preserve"> </w:t>
      </w:r>
      <w:r w:rsidRPr="00C9744F">
        <w:rPr>
          <w:rStyle w:val="Textoennegrita"/>
          <w:b w:val="0"/>
        </w:rPr>
        <w:t>¿cuál es exactamente el salario del funcionario europeo?</w:t>
      </w:r>
    </w:p>
    <w:p w:rsidR="00C9744F" w:rsidRPr="00C9744F" w:rsidRDefault="00C9744F" w:rsidP="00387350">
      <w:pPr>
        <w:pStyle w:val="NormalWeb"/>
        <w:jc w:val="both"/>
        <w:rPr>
          <w:b/>
        </w:rPr>
      </w:pPr>
      <w:r w:rsidRPr="00C9744F">
        <w:t xml:space="preserve">Con el reglamento en la mano, se puede observar esa amplia oscilación de sueldos base </w:t>
      </w:r>
      <w:r w:rsidRPr="00C9744F">
        <w:rPr>
          <w:rStyle w:val="Textoennegrita"/>
          <w:b w:val="0"/>
        </w:rPr>
        <w:t>desde los 2.600 hasta los 18.300 euros mensuales</w:t>
      </w:r>
      <w:r w:rsidRPr="00C9744F">
        <w:t>. Para fijarlo, se tiene en cuenta, además, un 16% de esa cantidad como</w:t>
      </w:r>
      <w:r w:rsidRPr="00C9744F">
        <w:rPr>
          <w:rStyle w:val="Textoennegrita"/>
        </w:rPr>
        <w:t xml:space="preserve"> </w:t>
      </w:r>
      <w:r>
        <w:rPr>
          <w:rStyle w:val="Textoennegrita"/>
          <w:b w:val="0"/>
        </w:rPr>
        <w:t>complemento de “</w:t>
      </w:r>
      <w:r w:rsidRPr="00C9744F">
        <w:rPr>
          <w:rStyle w:val="Textoennegrita"/>
          <w:b w:val="0"/>
        </w:rPr>
        <w:t>expatriación</w:t>
      </w:r>
      <w:r>
        <w:rPr>
          <w:rStyle w:val="Textoennegrita"/>
        </w:rPr>
        <w:t>”</w:t>
      </w:r>
      <w:r w:rsidRPr="00C9744F">
        <w:t xml:space="preserve"> que, lógicamente, no se aplicaría a los belgas. Hay quien discute la pertinencia de tal extra en casos en los que el funcionario pasa toda su vida laboral fuera de su país. A ello se suman las </w:t>
      </w:r>
      <w:r>
        <w:rPr>
          <w:rStyle w:val="Textoennegrita"/>
          <w:b w:val="0"/>
        </w:rPr>
        <w:t>“dietas familiares”</w:t>
      </w:r>
      <w:r w:rsidRPr="00C9744F">
        <w:t>, es decir, complementos de residencia, por hijo dependiente y de escolarización, un gasto este último que asciende a</w:t>
      </w:r>
      <w:r w:rsidRPr="00C9744F">
        <w:rPr>
          <w:rStyle w:val="Textoennegrita"/>
        </w:rPr>
        <w:t xml:space="preserve"> </w:t>
      </w:r>
      <w:r w:rsidRPr="00C9744F">
        <w:rPr>
          <w:rStyle w:val="Textoennegrita"/>
          <w:b w:val="0"/>
        </w:rPr>
        <w:t>12.000 euros al año.</w:t>
      </w:r>
    </w:p>
    <w:p w:rsidR="00C9744F" w:rsidRPr="00C9744F" w:rsidRDefault="00C9744F" w:rsidP="00387350">
      <w:pPr>
        <w:pStyle w:val="NormalWeb"/>
        <w:jc w:val="both"/>
      </w:pPr>
      <w:r w:rsidRPr="00C9744F">
        <w:t xml:space="preserve">La cuestión de los </w:t>
      </w:r>
      <w:r w:rsidRPr="00C9744F">
        <w:rPr>
          <w:rStyle w:val="Textoennegrita"/>
          <w:b w:val="0"/>
        </w:rPr>
        <w:t>impuestos</w:t>
      </w:r>
      <w:r w:rsidRPr="00C9744F">
        <w:t xml:space="preserve"> también ha sido objeto de controversia en el pasado. El sueldo de los eurócratas no está sujeto al sistema fiscal de cada país, pero sí a las normas europeas, aplicándoles un tipo desde el 8% mínimo hasta un 45% como máximo, según el estatuto europeo. También aquí es complicado obtener una respuesta clara sobre cuánto paga cada funcionario. Inge Grässle, eurodiputada alemana y miembro de la comisión de control presupuestario de la institución, dijo esta semana, en uno de sus desmentidos a la prensa, que el funcionario mejor pagado de la UE apenas sufre una </w:t>
      </w:r>
      <w:r w:rsidRPr="00C9744F">
        <w:rPr>
          <w:rStyle w:val="Textoennegrita"/>
          <w:b w:val="0"/>
        </w:rPr>
        <w:t>retención fiscal del 25%</w:t>
      </w:r>
      <w:r w:rsidRPr="00C9744F">
        <w:t xml:space="preserve"> de su salario.</w:t>
      </w:r>
    </w:p>
    <w:p w:rsidR="00C9744F" w:rsidRPr="00C9744F" w:rsidRDefault="00C9744F" w:rsidP="00387350">
      <w:pPr>
        <w:pStyle w:val="NormalWeb"/>
        <w:jc w:val="both"/>
      </w:pPr>
      <w:r w:rsidRPr="00C9744F">
        <w:t xml:space="preserve">Los </w:t>
      </w:r>
      <w:r w:rsidRPr="000945E6">
        <w:rPr>
          <w:rStyle w:val="Textoennegrita"/>
          <w:b w:val="0"/>
        </w:rPr>
        <w:t>27</w:t>
      </w:r>
      <w:r w:rsidRPr="00C9744F">
        <w:rPr>
          <w:rStyle w:val="Textoennegrita"/>
        </w:rPr>
        <w:t xml:space="preserve"> </w:t>
      </w:r>
      <w:r w:rsidR="000945E6">
        <w:rPr>
          <w:rStyle w:val="Textoennegrita"/>
        </w:rPr>
        <w:t>“</w:t>
      </w:r>
      <w:r w:rsidRPr="000945E6">
        <w:rPr>
          <w:rStyle w:val="nfasis"/>
          <w:i w:val="0"/>
        </w:rPr>
        <w:t>peces gordos</w:t>
      </w:r>
      <w:r w:rsidR="000945E6">
        <w:rPr>
          <w:rStyle w:val="nfasis"/>
          <w:i w:val="0"/>
        </w:rPr>
        <w:t>”</w:t>
      </w:r>
      <w:r w:rsidRPr="00C9744F">
        <w:t xml:space="preserve"> que se sientan en las alturas del complicado entramado burocrático que es la Comisión Europea, es decir, los </w:t>
      </w:r>
      <w:r w:rsidRPr="00C9744F">
        <w:rPr>
          <w:rStyle w:val="Textoennegrita"/>
          <w:b w:val="0"/>
        </w:rPr>
        <w:t>comisarios</w:t>
      </w:r>
      <w:r w:rsidRPr="00C9744F">
        <w:rPr>
          <w:b/>
        </w:rPr>
        <w:t>,</w:t>
      </w:r>
      <w:r w:rsidRPr="00C9744F">
        <w:t xml:space="preserve"> gozan aún de mejores condiciones. </w:t>
      </w:r>
      <w:r w:rsidRPr="00C9744F">
        <w:rPr>
          <w:rStyle w:val="Textoennegrita"/>
          <w:b w:val="0"/>
        </w:rPr>
        <w:t>José Manuel Durao Barroso</w:t>
      </w:r>
      <w:r w:rsidRPr="00C9744F">
        <w:t xml:space="preserve">, su presidente, recibe </w:t>
      </w:r>
      <w:r w:rsidRPr="00C9744F">
        <w:rPr>
          <w:rStyle w:val="Textoennegrita"/>
          <w:b w:val="0"/>
        </w:rPr>
        <w:t>25.351 euros al mes</w:t>
      </w:r>
      <w:r w:rsidRPr="00C9744F">
        <w:t xml:space="preserve">, más una </w:t>
      </w:r>
      <w:r w:rsidRPr="00C9744F">
        <w:rPr>
          <w:rStyle w:val="Textoennegrita"/>
          <w:b w:val="0"/>
        </w:rPr>
        <w:t>dieta</w:t>
      </w:r>
      <w:r w:rsidRPr="00C9744F">
        <w:t xml:space="preserve"> de residencia equivalente al </w:t>
      </w:r>
      <w:r w:rsidRPr="00C9744F">
        <w:rPr>
          <w:rStyle w:val="Textoennegrita"/>
          <w:b w:val="0"/>
        </w:rPr>
        <w:t>15%</w:t>
      </w:r>
      <w:r w:rsidRPr="00C9744F">
        <w:t xml:space="preserve"> de esa cantidad, </w:t>
      </w:r>
      <w:r w:rsidRPr="00C9744F">
        <w:rPr>
          <w:rStyle w:val="Textoennegrita"/>
          <w:b w:val="0"/>
        </w:rPr>
        <w:t>más complementos</w:t>
      </w:r>
      <w:r w:rsidRPr="00C9744F">
        <w:rPr>
          <w:rStyle w:val="Textoennegrita"/>
        </w:rPr>
        <w:t xml:space="preserve"> </w:t>
      </w:r>
      <w:r w:rsidRPr="00C9744F">
        <w:t xml:space="preserve">como el de gestión de una casa y escolarización para sus hijos. Por su parte, los siete vicepresidentes, entre los que se encuentra el español </w:t>
      </w:r>
      <w:r w:rsidRPr="00C9744F">
        <w:rPr>
          <w:rStyle w:val="Textoennegrita"/>
          <w:b w:val="0"/>
        </w:rPr>
        <w:t>Joaquín Almunia</w:t>
      </w:r>
      <w:r w:rsidRPr="00C9744F">
        <w:t xml:space="preserve"> (responsable de la cartera de competencia) perciben un </w:t>
      </w:r>
      <w:r w:rsidRPr="00C9744F">
        <w:rPr>
          <w:rStyle w:val="Textoennegrita"/>
          <w:b w:val="0"/>
        </w:rPr>
        <w:t>salario base de 22.963 euros al mes</w:t>
      </w:r>
      <w:r w:rsidRPr="00C9744F">
        <w:t>, más los consabidos extras.</w:t>
      </w:r>
    </w:p>
    <w:p w:rsidR="00C9744F" w:rsidRPr="00C9744F" w:rsidRDefault="00C9744F" w:rsidP="00387350">
      <w:pPr>
        <w:pStyle w:val="NormalWeb"/>
        <w:jc w:val="both"/>
      </w:pPr>
      <w:r w:rsidRPr="00C9744F">
        <w:t xml:space="preserve">Otra historia es la de los </w:t>
      </w:r>
      <w:r w:rsidRPr="00C9744F">
        <w:rPr>
          <w:rStyle w:val="Textoennegrita"/>
          <w:b w:val="0"/>
        </w:rPr>
        <w:t>miembros del Parlamento</w:t>
      </w:r>
      <w:r w:rsidRPr="00C9744F">
        <w:t xml:space="preserve">, los únicos democráticamente elegidos, que en el pasado ya han protagonizado </w:t>
      </w:r>
      <w:r w:rsidRPr="00C9744F">
        <w:rPr>
          <w:rStyle w:val="Textoennegrita"/>
          <w:b w:val="0"/>
        </w:rPr>
        <w:t>sonados escándalos</w:t>
      </w:r>
      <w:r w:rsidRPr="00C9744F">
        <w:t xml:space="preserve">, no por sus altos sueldos (tienen un </w:t>
      </w:r>
      <w:r w:rsidRPr="00C9744F">
        <w:rPr>
          <w:rStyle w:val="Textoennegrita"/>
          <w:b w:val="0"/>
        </w:rPr>
        <w:t>sueldo base de 6.200 euros netos</w:t>
      </w:r>
      <w:r w:rsidRPr="00C9744F">
        <w:t xml:space="preserve"> al mes, más dietas), sino por las malas prácticas y el mal gusto de algunos. En abril de 2011, por ejemplo, el bochorno llegó a todas las portadas cuando sus señorías votaron en contra de una enmienda que recomendaba </w:t>
      </w:r>
      <w:r w:rsidRPr="00C9744F">
        <w:rPr>
          <w:rStyle w:val="Textoennegrita"/>
          <w:b w:val="0"/>
        </w:rPr>
        <w:t>viajar en clase turista</w:t>
      </w:r>
      <w:r w:rsidRPr="00C9744F">
        <w:t xml:space="preserve"> en los vuelos de duración inferior a 4 horas. Entonces, todos menos cuatro se negaron a ahorrarle a las arcas comunitarias los cerca de 1.500 euros que cuesta un billete de primera clase a Bruselas, y los 1.900 que se paga por una ida y vuelta de Madrid a Estrasburgo.</w:t>
      </w:r>
    </w:p>
    <w:p w:rsidR="00C9744F" w:rsidRPr="00C9744F" w:rsidRDefault="00C9744F" w:rsidP="00387350">
      <w:pPr>
        <w:pStyle w:val="NormalWeb"/>
        <w:jc w:val="both"/>
      </w:pPr>
      <w:r w:rsidRPr="00C9744F">
        <w:t xml:space="preserve">Meses más tarde, llegaría el verdadero escándalo, cuando un tabloide publicó fotos de eurodiputados que </w:t>
      </w:r>
      <w:r w:rsidRPr="00C9744F">
        <w:rPr>
          <w:rStyle w:val="Textoennegrita"/>
          <w:b w:val="0"/>
        </w:rPr>
        <w:t>cobraban su dieta sin ir a trabajar</w:t>
      </w:r>
      <w:r w:rsidRPr="00C9744F">
        <w:rPr>
          <w:rStyle w:val="Textoennegrita"/>
        </w:rPr>
        <w:t>,</w:t>
      </w:r>
      <w:r w:rsidRPr="00C9744F">
        <w:t xml:space="preserve"> o que aceptaban dinero a cambio de presentar enmiendas, una práctica esta última que acabó en la dimisión de tres diputados de la Cámara.</w:t>
      </w:r>
    </w:p>
    <w:p w:rsidR="00C9744F" w:rsidRPr="00C9744F" w:rsidRDefault="00C9744F" w:rsidP="00387350">
      <w:pPr>
        <w:pStyle w:val="NormalWeb"/>
        <w:jc w:val="both"/>
      </w:pPr>
      <w:r w:rsidRPr="00C9744F">
        <w:lastRenderedPageBreak/>
        <w:t xml:space="preserve">Anécdotas y corrupción aparte, al sueldo base de los eurodiputados hay que sumar toda una serie de complementos. En primer lugar, reciben </w:t>
      </w:r>
      <w:r w:rsidRPr="00C9744F">
        <w:rPr>
          <w:rStyle w:val="Textoennegrita"/>
          <w:b w:val="0"/>
        </w:rPr>
        <w:t>304 euros</w:t>
      </w:r>
      <w:r w:rsidRPr="00C9744F">
        <w:rPr>
          <w:b/>
        </w:rPr>
        <w:t xml:space="preserve"> </w:t>
      </w:r>
      <w:r>
        <w:rPr>
          <w:rStyle w:val="Textoennegrita"/>
          <w:b w:val="0"/>
        </w:rPr>
        <w:t>“</w:t>
      </w:r>
      <w:r w:rsidRPr="00C9744F">
        <w:rPr>
          <w:rStyle w:val="Textoennegrita"/>
          <w:b w:val="0"/>
        </w:rPr>
        <w:t>por cada día de asistencia a reuniones</w:t>
      </w:r>
      <w:r w:rsidRPr="00C9744F">
        <w:t xml:space="preserve"> oficiales de órganos del Parlamento en los que e</w:t>
      </w:r>
      <w:r>
        <w:t>l diputado ejerce sus funciones”</w:t>
      </w:r>
      <w:r w:rsidRPr="00C9744F">
        <w:t xml:space="preserve">, para la comida y alojamiento. Los más viajeros pueden solicitar otros </w:t>
      </w:r>
      <w:r w:rsidRPr="00C9744F">
        <w:rPr>
          <w:rStyle w:val="Textoennegrita"/>
          <w:b w:val="0"/>
        </w:rPr>
        <w:t>4.243 euros al año para viajar</w:t>
      </w:r>
      <w:r w:rsidRPr="00C9744F">
        <w:t xml:space="preserve"> fuera de su Estado miembro y asistir a una conferencia o participar como ponente. No firman un contrato de exclusividad, por lo que pueden compartir su dedicación a la ciudadanía con el cuidado de</w:t>
      </w:r>
      <w:r w:rsidRPr="00C9744F">
        <w:rPr>
          <w:rStyle w:val="Textoennegrita"/>
        </w:rPr>
        <w:t xml:space="preserve"> </w:t>
      </w:r>
      <w:r w:rsidRPr="00C9744F">
        <w:rPr>
          <w:rStyle w:val="Textoennegrita"/>
          <w:b w:val="0"/>
        </w:rPr>
        <w:t>otros intereses privados.</w:t>
      </w:r>
      <w:r w:rsidRPr="00C9744F">
        <w:t xml:space="preserve"> Sus hijos, si es que alguno decidiera vivir en Bruselas, también tienen la </w:t>
      </w:r>
      <w:r w:rsidRPr="00C9744F">
        <w:rPr>
          <w:rStyle w:val="Textoennegrita"/>
          <w:b w:val="0"/>
        </w:rPr>
        <w:t>escolarización pagada</w:t>
      </w:r>
      <w:r w:rsidRPr="00C9744F">
        <w:t xml:space="preserve"> en la escuela europea (unos 1.000 euros por mes y por niño). A más a más, gozan de una cantidad para cursar </w:t>
      </w:r>
      <w:r w:rsidRPr="00C9744F">
        <w:rPr>
          <w:rStyle w:val="Textoennegrita"/>
          <w:b w:val="0"/>
        </w:rPr>
        <w:t>estudios de idiomas.</w:t>
      </w:r>
    </w:p>
    <w:p w:rsidR="00831858" w:rsidRDefault="00C9744F" w:rsidP="00387350">
      <w:pPr>
        <w:pStyle w:val="NormalWeb"/>
        <w:jc w:val="both"/>
      </w:pPr>
      <w:r w:rsidRPr="00C9744F">
        <w:t xml:space="preserve">Al margen de todo ello, los diputados cuentan con </w:t>
      </w:r>
      <w:r w:rsidRPr="00C9744F">
        <w:rPr>
          <w:rStyle w:val="Textoennegrita"/>
          <w:b w:val="0"/>
        </w:rPr>
        <w:t>22.000 euros al mes para contratar un séquito de asistentes</w:t>
      </w:r>
      <w:r w:rsidRPr="00C9744F">
        <w:t xml:space="preserve"> y, aunque la contratación de familiares no está</w:t>
      </w:r>
      <w:r>
        <w:t xml:space="preserve"> permitida, muchos admiten que “hecha la ley, hecha la trampa”</w:t>
      </w:r>
      <w:r w:rsidRPr="00C9744F">
        <w:t xml:space="preserve">. Además, disponen de </w:t>
      </w:r>
      <w:r w:rsidRPr="00C9744F">
        <w:rPr>
          <w:rStyle w:val="Textoennegrita"/>
          <w:b w:val="0"/>
        </w:rPr>
        <w:t>4.300 euros en gastos de oficina</w:t>
      </w:r>
      <w:r w:rsidRPr="00C9744F">
        <w:t xml:space="preserve"> que suelen destinar a montar una oficina en su país, gastos de teléfono o las últimas novedades tecnológicas</w:t>
      </w:r>
      <w:r>
        <w:t>”</w:t>
      </w:r>
      <w:r w:rsidR="00831858">
        <w:t xml:space="preserve">… </w:t>
      </w:r>
      <w:r w:rsidR="00831858" w:rsidRPr="00831858">
        <w:t xml:space="preserve"> </w:t>
      </w:r>
      <w:r w:rsidR="00831858" w:rsidRPr="005C4BD0">
        <w:t>“</w:t>
      </w:r>
      <w:r w:rsidR="00831858" w:rsidRPr="00831858">
        <w:rPr>
          <w:u w:val="single"/>
        </w:rPr>
        <w:t>Eurócratas”, los privilegios de la casta política europea</w:t>
      </w:r>
      <w:r w:rsidR="00831858" w:rsidRPr="00831858">
        <w:t xml:space="preserve"> (Libertad Digital - </w:t>
      </w:r>
      <w:r w:rsidR="00831858" w:rsidRPr="00831858">
        <w:rPr>
          <w:b/>
        </w:rPr>
        <w:t>7/2/13</w:t>
      </w:r>
      <w:r w:rsidR="00831858" w:rsidRPr="00831858">
        <w:t xml:space="preserve">) </w:t>
      </w:r>
    </w:p>
    <w:p w:rsidR="00831858" w:rsidRPr="00831858" w:rsidRDefault="00831858" w:rsidP="00387350">
      <w:pPr>
        <w:pStyle w:val="NormalWeb"/>
        <w:jc w:val="both"/>
      </w:pPr>
      <w:r>
        <w:t>“</w:t>
      </w:r>
      <w:r w:rsidRPr="00831858">
        <w:t xml:space="preserve">La corrupción desestabiliza el sistema. La confianza de la población hacia las élites político-económicas se desmorona y los inversores se retraen a la par que el desarrollo de los países. </w:t>
      </w:r>
      <w:r w:rsidRPr="00831858">
        <w:rPr>
          <w:bCs/>
        </w:rPr>
        <w:t>Hasta hace pocos años este fenómeno se limitaba a los denominados países del sur</w:t>
      </w:r>
      <w:r w:rsidRPr="00831858">
        <w:t xml:space="preserve">, pero la línea imaginaria que separaba ambas realidades socioeconómicas se ha desplazado hacia el norte y ya amenaza a la mayor potencia mundial, los EEUU. </w:t>
      </w:r>
    </w:p>
    <w:p w:rsidR="00831858" w:rsidRPr="00831858" w:rsidRDefault="00831858" w:rsidP="00387350">
      <w:pPr>
        <w:pStyle w:val="NormalWeb"/>
        <w:jc w:val="both"/>
      </w:pPr>
      <w:r w:rsidRPr="00831858">
        <w:rPr>
          <w:bCs/>
        </w:rPr>
        <w:t>El 60% de la población norteamericana piensa que la corrupción está “bastante o muy” extendida</w:t>
      </w:r>
      <w:r w:rsidRPr="00831858">
        <w:t xml:space="preserve"> en el sector financiero y empresarial, según los últimos datos Gallup. Una percepción de la que tampoco se libran los representantes políticos, pues el 54% de los encuestados califica la honestidad y los principios éticos de los congresistas como “muy escasos”. Y es que la lista de políticos con causas abiertas, imputados o que han tenido que dimitir no para de crecer, tanto a un lado como al otro de la cámara de representantes: </w:t>
      </w:r>
      <w:r w:rsidRPr="00831858">
        <w:rPr>
          <w:bCs/>
        </w:rPr>
        <w:t>Robert Menéndez, George Ryan, Rod Blagojevich, Vincent Gray, Diane Hathaway, John Ensign, Tom DeLay</w:t>
      </w:r>
      <w:r w:rsidRPr="00831858">
        <w:t>…</w:t>
      </w:r>
    </w:p>
    <w:p w:rsidR="00831858" w:rsidRPr="00831858" w:rsidRDefault="00831858" w:rsidP="00387350">
      <w:pPr>
        <w:spacing w:before="100" w:beforeAutospacing="1" w:after="100" w:afterAutospacing="1" w:line="240" w:lineRule="auto"/>
        <w:jc w:val="both"/>
        <w:rPr>
          <w:rFonts w:ascii="Times New Roman" w:hAnsi="Times New Roman" w:cs="Times New Roman"/>
          <w:noProof/>
          <w:sz w:val="24"/>
          <w:szCs w:val="24"/>
          <w:lang w:eastAsia="es-ES"/>
        </w:rPr>
      </w:pPr>
      <w:r w:rsidRPr="00831858">
        <w:rPr>
          <w:rFonts w:ascii="Times New Roman" w:hAnsi="Times New Roman" w:cs="Times New Roman"/>
          <w:sz w:val="24"/>
          <w:szCs w:val="24"/>
        </w:rPr>
        <w:t xml:space="preserve">Con este panorama, poco sorprende la desafección de los norteamericanos hacia los cargos políticos. Sin embargo, el sector financiero tampoco se aleja de esta percepción tan negativa. Según la misma encuesta realizada por Gallup </w:t>
      </w:r>
      <w:r w:rsidRPr="00831858">
        <w:rPr>
          <w:rFonts w:ascii="Times New Roman" w:hAnsi="Times New Roman" w:cs="Times New Roman"/>
          <w:bCs/>
          <w:sz w:val="24"/>
          <w:szCs w:val="24"/>
        </w:rPr>
        <w:t>solo uno de cada cinco estadounidenses manifiesta tener “mucha confianza” en los bancos</w:t>
      </w:r>
      <w:r w:rsidRPr="00831858">
        <w:rPr>
          <w:rFonts w:ascii="Times New Roman" w:hAnsi="Times New Roman" w:cs="Times New Roman"/>
          <w:sz w:val="24"/>
          <w:szCs w:val="24"/>
        </w:rPr>
        <w:t xml:space="preserve">. Y es que las hipotecas </w:t>
      </w:r>
      <w:r w:rsidR="001A3AAD">
        <w:rPr>
          <w:rFonts w:ascii="Times New Roman" w:hAnsi="Times New Roman" w:cs="Times New Roman"/>
          <w:sz w:val="24"/>
          <w:szCs w:val="24"/>
        </w:rPr>
        <w:t>“</w:t>
      </w:r>
      <w:r w:rsidRPr="001A3AAD">
        <w:rPr>
          <w:rFonts w:ascii="Times New Roman" w:hAnsi="Times New Roman" w:cs="Times New Roman"/>
          <w:iCs/>
          <w:sz w:val="24"/>
          <w:szCs w:val="24"/>
        </w:rPr>
        <w:t>subprime</w:t>
      </w:r>
      <w:r w:rsidR="001A3AAD">
        <w:rPr>
          <w:rFonts w:ascii="Times New Roman" w:hAnsi="Times New Roman" w:cs="Times New Roman"/>
          <w:iCs/>
          <w:sz w:val="24"/>
          <w:szCs w:val="24"/>
        </w:rPr>
        <w:t>”</w:t>
      </w:r>
      <w:r w:rsidRPr="00831858">
        <w:rPr>
          <w:rFonts w:ascii="Times New Roman" w:hAnsi="Times New Roman" w:cs="Times New Roman"/>
          <w:sz w:val="24"/>
          <w:szCs w:val="24"/>
        </w:rPr>
        <w:t xml:space="preserve"> o las pérdidas provocadas por los bonos hipotecarios de Standard &amp; Poor's (S&amp;P) con calificaciones infladas afectaron directamente al bolsillo de un amplio sector de la población. Sin embargo, y al contrario de lo que sí suceden con los políticos, ni un solo alto ejecutivo de las agencias de calificación o de la banca fue procesado por estos escándalos.</w:t>
      </w:r>
    </w:p>
    <w:p w:rsidR="00831858" w:rsidRPr="00831858" w:rsidRDefault="00831858" w:rsidP="00387350">
      <w:pPr>
        <w:spacing w:before="100" w:beforeAutospacing="1" w:after="100" w:afterAutospacing="1" w:line="240" w:lineRule="auto"/>
        <w:jc w:val="both"/>
        <w:rPr>
          <w:rFonts w:ascii="Times New Roman" w:hAnsi="Times New Roman" w:cs="Times New Roman"/>
          <w:sz w:val="24"/>
          <w:szCs w:val="24"/>
        </w:rPr>
      </w:pPr>
      <w:r w:rsidRPr="00831858">
        <w:rPr>
          <w:rFonts w:ascii="Times New Roman" w:hAnsi="Times New Roman" w:cs="Times New Roman"/>
          <w:sz w:val="24"/>
          <w:szCs w:val="24"/>
        </w:rPr>
        <w:t xml:space="preserve">La impunidad de estos directivos ha generado otra sensación entre la población norteamericana que, según refleja la mayoría de encuestas, tiene más que ver con una </w:t>
      </w:r>
      <w:r w:rsidRPr="00831858">
        <w:rPr>
          <w:rFonts w:ascii="Times New Roman" w:hAnsi="Times New Roman" w:cs="Times New Roman"/>
          <w:bCs/>
          <w:sz w:val="24"/>
          <w:szCs w:val="24"/>
        </w:rPr>
        <w:t>desconfianza en dos de los pilares fundamentales sobre los que se fundó EEUU: la justicia y la igualdad.</w:t>
      </w:r>
      <w:r w:rsidRPr="00831858">
        <w:rPr>
          <w:rFonts w:ascii="Times New Roman" w:hAnsi="Times New Roman" w:cs="Times New Roman"/>
          <w:sz w:val="24"/>
          <w:szCs w:val="24"/>
        </w:rPr>
        <w:t xml:space="preserve"> El grado de deterioro es tal que los analistas ya solo confían en una rápida recuperación económica, con un descenso del desempleo y una subida de los salarios, que lleve a los norteamericanos a recuperar la confianza en el sistema.</w:t>
      </w:r>
    </w:p>
    <w:p w:rsidR="00831858" w:rsidRDefault="00831858" w:rsidP="00387350">
      <w:pPr>
        <w:pStyle w:val="NormalWeb"/>
        <w:jc w:val="both"/>
      </w:pPr>
      <w:r w:rsidRPr="00831858">
        <w:lastRenderedPageBreak/>
        <w:t xml:space="preserve">La corrupción ha echado raíces en EEUU. Los estudios encargados por el propio gobierno norteamericano explican así la situación: “Existe una disminución reciente y drástica en la confianza hacia los políticos, empresarios, banqueros y, en menor medida, editores de medios de comunicación y jueces”. La organización Transparencia Internacional tampoco se queda corta en el </w:t>
      </w:r>
      <w:hyperlink r:id="rId410" w:tgtFrame="_blank" w:history="1">
        <w:r w:rsidRPr="00831858">
          <w:rPr>
            <w:rStyle w:val="Hipervnculo"/>
            <w:color w:val="auto"/>
            <w:u w:val="none"/>
          </w:rPr>
          <w:t>último informe global sobre corrupción</w:t>
        </w:r>
      </w:hyperlink>
      <w:r w:rsidRPr="00831858">
        <w:t xml:space="preserve"> publicado el pasado mes de diciembre, y es que </w:t>
      </w:r>
      <w:r w:rsidRPr="00831858">
        <w:rPr>
          <w:bCs/>
        </w:rPr>
        <w:t>dos tercios de los 174 países analizados suspendieron</w:t>
      </w:r>
      <w:r w:rsidRPr="00831858">
        <w:t xml:space="preserve"> con una nota por debajo de 50 puntos sobre 100</w:t>
      </w:r>
      <w:r>
        <w:t>…</w:t>
      </w:r>
    </w:p>
    <w:p w:rsidR="00831858" w:rsidRDefault="00831858" w:rsidP="00387350">
      <w:pPr>
        <w:pStyle w:val="NormalWeb"/>
        <w:jc w:val="both"/>
      </w:pPr>
      <w:r w:rsidRPr="00831858">
        <w:t>¿Cómo afecta a la economía mundial esta desconfianza gene</w:t>
      </w:r>
      <w:r w:rsidR="000945E6">
        <w:t>ralizada hacia las denominadas “élites extractivas”</w:t>
      </w:r>
      <w:r w:rsidRPr="00831858">
        <w:t xml:space="preserve">? El presidente en España de TI y catedrático de Economía Financiera en la Universidad Autónoma de Madrid, </w:t>
      </w:r>
      <w:r w:rsidRPr="00831858">
        <w:rPr>
          <w:bCs/>
        </w:rPr>
        <w:t>Jesús Lizcano</w:t>
      </w:r>
      <w:r w:rsidRPr="00831858">
        <w:t xml:space="preserve">, lo plasma en cifras: “El grado de corrupción internacional nos cuesta alrededor de un 10% del PIB mundial. No es fácil hacer estimaciones exactas, pero </w:t>
      </w:r>
      <w:r w:rsidRPr="00831858">
        <w:rPr>
          <w:bCs/>
        </w:rPr>
        <w:t>los sobornos pueden llegar a suponer unos 150.000 millones de dólares si se suman todos los sectores de actividad económica</w:t>
      </w:r>
      <w:r w:rsidRPr="00831858">
        <w:t>”. A todo ello hay que sumar, según añade el profesor, el coste de oportunidad que supone la desconfianza de los inversores o el derroche en las megaconstrucciones realizadas con dinero público que luego no sirven para nada</w:t>
      </w:r>
      <w:r>
        <w:t>”..</w:t>
      </w:r>
      <w:r w:rsidRPr="00831858">
        <w:t>.</w:t>
      </w:r>
      <w:r w:rsidRPr="00831858">
        <w:rPr>
          <w:noProof/>
        </w:rPr>
        <w:t xml:space="preserve"> </w:t>
      </w:r>
      <w:r>
        <w:t xml:space="preserve"> </w:t>
      </w:r>
      <w:r w:rsidRPr="00B101B9">
        <w:rPr>
          <w:u w:val="single"/>
        </w:rPr>
        <w:t>¿Que los españoles somos corruptos? Pues anda que los americanos...</w:t>
      </w:r>
      <w:r>
        <w:t xml:space="preserve"> (El Confidencial - </w:t>
      </w:r>
      <w:r w:rsidRPr="00B101B9">
        <w:rPr>
          <w:b/>
        </w:rPr>
        <w:t>15/2/13</w:t>
      </w:r>
      <w:r>
        <w:t>)</w:t>
      </w:r>
    </w:p>
    <w:p w:rsidR="00831858" w:rsidRPr="00831858" w:rsidRDefault="00831858" w:rsidP="00387350">
      <w:pPr>
        <w:pStyle w:val="NormalWeb"/>
        <w:jc w:val="both"/>
      </w:pPr>
      <w:r>
        <w:t>“</w:t>
      </w:r>
      <w:r w:rsidRPr="00831858">
        <w:t>Si según Karl Popper una sociedad abierta se caracteriza por ser “una asociación de individuos libres que respetan los derechos el uno del otro dentro del marco de la mutua protección proporcionada por el Estado y que logra, mediante la toma responsable y racional de decisiones, una vida más humana y rica para todos”, entonces España ha fracasado estrepitosamente…</w:t>
      </w:r>
    </w:p>
    <w:p w:rsidR="00831858" w:rsidRPr="00831858" w:rsidRDefault="00831858" w:rsidP="00387350">
      <w:pPr>
        <w:pStyle w:val="NormalWeb"/>
        <w:jc w:val="both"/>
      </w:pPr>
      <w:r w:rsidRPr="00831858">
        <w:t xml:space="preserve">El clientelismo es, no nos engañemos, una variante o sucedáneo de la corrupción. Es una forma de organización social que se salta las fronteras geográficas, llamado rousfeti en Grecia y de la misma forma en Italia y Portugal, y une en un mismo destino a los países del sur de Europa y a los latinoamericanos. La principal consecuencia que el clientelismo tiene en la vida de los ciudadanos es que el acceso a determinados recursos es controlado por una serie de patrones, cuya condición viene determinada por tratarse de políticos, detentadores de poder económico o ambas cosas a la vez, que reparten dádivas a sus clientes a cambio de su apoyo. Es un fenómeno social con raíces profundas en nuestro país, heredado de los tiempos feudales en que una mayoría de la población campesina dependía de los latifundistas. </w:t>
      </w:r>
    </w:p>
    <w:p w:rsidR="00831858" w:rsidRPr="00831858" w:rsidRDefault="00831858" w:rsidP="00387350">
      <w:pPr>
        <w:pStyle w:val="NormalWeb"/>
        <w:jc w:val="both"/>
      </w:pPr>
      <w:r w:rsidRPr="00831858">
        <w:t xml:space="preserve">La longevidad del fenómeno clientelista en una sociedad como la española solo puede explicarse como una carencia de capital social (usando el término del sociólogo francés Pierre Bourdieu, referido a la suma de los recursos con los que cuenta cada individuo en virtud de sus relaciones personales) de una mayoría de la población que carece de acceso a los centros de poder mediante un mercado libre, unas instituciones políticas representativas o un sistema legal igual para todos. Al individuo sin capital social no le queda más remedio que conectarse a redes de influencia buscando un atajo que le permita saltarse las barreras sociales. Este atajo puede consistir en entrar a formar parte de un partido político o, si se ofrece la posibilidad, aprovechar las conexiones familiares que uno tiene a mano. </w:t>
      </w:r>
    </w:p>
    <w:p w:rsidR="00831858" w:rsidRPr="00831858" w:rsidRDefault="00831858" w:rsidP="00387350">
      <w:pPr>
        <w:pStyle w:val="NormalWeb"/>
        <w:jc w:val="both"/>
      </w:pPr>
      <w:r w:rsidRPr="00831858">
        <w:t xml:space="preserve">El clientelismo, en suma, vendría a ser una respuesta a la persistencia de tradicionales estructuras sociales jerárquicas que alienan al individuo y caracterizan a las sociedades </w:t>
      </w:r>
      <w:r w:rsidRPr="00831858">
        <w:lastRenderedPageBreak/>
        <w:t>cerradas. Esta cruda naturaleza de las desigualdades sociales se expresa incluso en Norteamérica, paradigma de las sociedades abiertas, con el famoso dicho It is not what you know, it is who you know (“No es lo que uno sabe, sino a quién conoce”) que en román paladino vendría a equivaler que un buen enchufe vale más que una carrera.</w:t>
      </w:r>
    </w:p>
    <w:p w:rsidR="00831858" w:rsidRDefault="00831858" w:rsidP="00387350">
      <w:pPr>
        <w:pStyle w:val="NormalWeb"/>
        <w:jc w:val="both"/>
      </w:pPr>
      <w:r w:rsidRPr="00831858">
        <w:t>En las sociedades regidas por una lógica clientelista los niveles de protesta tienden a ser más bien escasos. El individuo acepta las situaciones injustas, tiende a desconfiar del Estado y de las instituciones y a buscar la solución individual renunciando a la lógica, la racionalidad o la aplicación de las leyes. La lógica clientelista salpica a la sociedad en su conjunto y no solamente a los políticos o los empresarios</w:t>
      </w:r>
      <w:r>
        <w:t>”..</w:t>
      </w:r>
      <w:r w:rsidRPr="00831858">
        <w:t>.</w:t>
      </w:r>
      <w:r>
        <w:t xml:space="preserve"> </w:t>
      </w:r>
      <w:r w:rsidRPr="00856187">
        <w:rPr>
          <w:u w:val="single"/>
        </w:rPr>
        <w:t>La enfermedad del clientelismo</w:t>
      </w:r>
      <w:r>
        <w:t xml:space="preserve"> (El País - </w:t>
      </w:r>
      <w:r w:rsidRPr="00856187">
        <w:rPr>
          <w:b/>
        </w:rPr>
        <w:t>28/3/13</w:t>
      </w:r>
      <w:r>
        <w:t>)</w:t>
      </w:r>
    </w:p>
    <w:p w:rsidR="00831858" w:rsidRPr="0026176E" w:rsidRDefault="0026176E" w:rsidP="00387350">
      <w:pPr>
        <w:pStyle w:val="NormalWeb"/>
        <w:jc w:val="both"/>
      </w:pPr>
      <w:r>
        <w:t>“</w:t>
      </w:r>
      <w:r w:rsidR="00831858" w:rsidRPr="0026176E">
        <w:t xml:space="preserve">Como dice </w:t>
      </w:r>
      <w:r w:rsidR="00831858" w:rsidRPr="0026176E">
        <w:rPr>
          <w:bCs/>
        </w:rPr>
        <w:t>Warren Buffett</w:t>
      </w:r>
      <w:r>
        <w:t>: “</w:t>
      </w:r>
      <w:r w:rsidR="00831858" w:rsidRPr="0026176E">
        <w:t>Si esto es una lucha de clases,</w:t>
      </w:r>
      <w:r>
        <w:t xml:space="preserve"> la mía ha ganado, y con creces”</w:t>
      </w:r>
      <w:r w:rsidR="00831858" w:rsidRPr="0026176E">
        <w:t>. Las causas, más que menos, se reconducen a la capacidad de las altas concentraciones de capital -corporativa y personal- para sesgar y condicionar el proceso legislativo y el aparato político a su favor, de hipotecar el interés público a las particularidades del privado. De tal suerte que todo lo que no es el 5% de arriba, sencillamente no tira de</w:t>
      </w:r>
      <w:r>
        <w:t>sde hace décadas y la economía “es”</w:t>
      </w:r>
      <w:r w:rsidR="00831858" w:rsidRPr="0026176E">
        <w:t xml:space="preserve"> la clase media...</w:t>
      </w:r>
    </w:p>
    <w:p w:rsidR="00831858" w:rsidRPr="0026176E" w:rsidRDefault="00831858" w:rsidP="00387350">
      <w:pPr>
        <w:pStyle w:val="NormalWeb"/>
        <w:jc w:val="both"/>
      </w:pPr>
      <w:r w:rsidRPr="0026176E">
        <w:t xml:space="preserve">No deja de ser irónico que un sistema que se precia de tener como uno de sus valores cardinales el mérito haya necesitado desarrollar los dos mayores esquemas de socialización de pérdidas de la Historia para sobrevivir. Ahí tenemos, la impresión de los bancos centrales o la deuda e inflación que sufriremos todos, y la crisis medioambiental con polución gratis a mansalva para todos... </w:t>
      </w:r>
    </w:p>
    <w:p w:rsidR="00831858" w:rsidRPr="0026176E" w:rsidRDefault="00831858" w:rsidP="00387350">
      <w:pPr>
        <w:pStyle w:val="NormalWeb"/>
        <w:jc w:val="both"/>
      </w:pPr>
      <w:r w:rsidRPr="0026176E">
        <w:t xml:space="preserve">Sólo un ejercicio de autocrítica consecuente puede llevar al resurgimiento de unos principios -la libertad y responsabilidad del individuo como criterio vertebrador de la sociedad- que son demasiado preciados como para quedar en manos de intereses particulares concentrados, economicistas o de posicionamientos políticos al uso. Ciertamente la recuperación de esos principios requiere necesariamente una regeneración del sentido de la cosa pública y el interés general. Ya aventuraba Spinoza que en sociedad, </w:t>
      </w:r>
      <w:r w:rsidRPr="0026176E">
        <w:rPr>
          <w:bCs/>
        </w:rPr>
        <w:t>la libertad sin Ley es un mito</w:t>
      </w:r>
      <w:r w:rsidRPr="0026176E">
        <w:t>…</w:t>
      </w:r>
    </w:p>
    <w:p w:rsidR="0026176E" w:rsidRDefault="0026176E" w:rsidP="00387350">
      <w:pPr>
        <w:pStyle w:val="NormalWeb"/>
        <w:jc w:val="both"/>
      </w:pPr>
      <w:r w:rsidRPr="0026176E">
        <w:t xml:space="preserve">No es casualidad que en EEUU las mayores concentraciones sectoriales se producen precisamente allí donde el entendimiento entre sector privado y Estado es más estrecho, los grandes </w:t>
      </w:r>
      <w:r w:rsidR="000945E6">
        <w:t>“</w:t>
      </w:r>
      <w:r w:rsidRPr="000945E6">
        <w:rPr>
          <w:bCs/>
          <w:iCs/>
        </w:rPr>
        <w:t>lobbies</w:t>
      </w:r>
      <w:r w:rsidR="000945E6">
        <w:rPr>
          <w:bCs/>
          <w:iCs/>
        </w:rPr>
        <w:t>”</w:t>
      </w:r>
      <w:r w:rsidRPr="0026176E">
        <w:t xml:space="preserve">: </w:t>
      </w:r>
      <w:r w:rsidRPr="0026176E">
        <w:rPr>
          <w:bCs/>
        </w:rPr>
        <w:t>financiero, energético, defensa y salud</w:t>
      </w:r>
      <w:r w:rsidRPr="0026176E">
        <w:t>. En Europa, a pesar de los designios del mercado único, cada tribu mantiene prerrogativas sobre sus predios</w:t>
      </w:r>
      <w:r>
        <w:t>”..</w:t>
      </w:r>
      <w:r w:rsidRPr="0026176E">
        <w:t>.</w:t>
      </w:r>
      <w:r>
        <w:t xml:space="preserve"> </w:t>
      </w:r>
      <w:r w:rsidRPr="00A06F10">
        <w:rPr>
          <w:u w:val="single"/>
        </w:rPr>
        <w:t>Liberalismo y plutocracia</w:t>
      </w:r>
      <w:r w:rsidRPr="00A06F10">
        <w:t xml:space="preserve"> (El Confidencial </w:t>
      </w:r>
      <w:r>
        <w:t>-</w:t>
      </w:r>
      <w:r w:rsidRPr="00A06F10">
        <w:t xml:space="preserve"> </w:t>
      </w:r>
      <w:r w:rsidRPr="00A06F10">
        <w:rPr>
          <w:b/>
        </w:rPr>
        <w:t>25/5/13</w:t>
      </w:r>
      <w:r w:rsidRPr="00A06F10">
        <w:t>)</w:t>
      </w:r>
    </w:p>
    <w:p w:rsidR="0026176E" w:rsidRPr="0026176E" w:rsidRDefault="0026176E" w:rsidP="00387350">
      <w:pPr>
        <w:pStyle w:val="NormalWeb"/>
        <w:jc w:val="both"/>
      </w:pPr>
      <w:r>
        <w:t>“</w:t>
      </w:r>
      <w:r w:rsidRPr="0026176E">
        <w:t>En la víspera de la reunión de las 8 economías más poderosas del mundo, en Irlanda del Norte las autoridades de la ciudad donde tendrá lugar la reunión han decidido ocultar la crisis. Y lo han hecho de una manera muy imaginativa.</w:t>
      </w:r>
    </w:p>
    <w:p w:rsidR="0026176E" w:rsidRPr="0026176E" w:rsidRDefault="0026176E" w:rsidP="00387350">
      <w:pPr>
        <w:pStyle w:val="NormalWeb"/>
        <w:jc w:val="both"/>
      </w:pPr>
      <w:r w:rsidRPr="0026176E">
        <w:t>Los habitantes de Belcoo puede que se hayan llevado un par de sorpresas al pasear por sus calles en los últimos días, ya que negocios que ellos saben que no viven sus mejores días lucían con una cara renovada.</w:t>
      </w:r>
      <w:r>
        <w:t xml:space="preserve"> </w:t>
      </w:r>
      <w:r w:rsidRPr="0026176E">
        <w:t>Y es que las autoridades del país han pintado sus fachadas y han cubierto edificios abandonados con grandes carteles para ocultar las dificultades económicas de esta zona del país, que recibirá este mes a los líderes del G8.</w:t>
      </w:r>
    </w:p>
    <w:p w:rsidR="0026176E" w:rsidRDefault="0026176E" w:rsidP="00387350">
      <w:pPr>
        <w:pStyle w:val="NormalWeb"/>
        <w:jc w:val="both"/>
      </w:pPr>
      <w:r w:rsidRPr="0026176E">
        <w:lastRenderedPageBreak/>
        <w:t>La idea es que la zona, fuertemente golpeada por la crisis, luzca lo mejor posible para los mandatarios de las potencias económicas mundiales.</w:t>
      </w:r>
      <w:r>
        <w:t xml:space="preserve"> </w:t>
      </w:r>
      <w:r w:rsidRPr="0026176E">
        <w:t>Pero los locales creen que la medida solo sirve para ocultar una crisis mucho más profunda que ni Barack Obama ni Angela Merkel podrán ver</w:t>
      </w:r>
      <w:r>
        <w:t>”..</w:t>
      </w:r>
      <w:r w:rsidRPr="0026176E">
        <w:t>.</w:t>
      </w:r>
      <w:r>
        <w:t xml:space="preserve"> </w:t>
      </w:r>
    </w:p>
    <w:p w:rsidR="0026176E" w:rsidRDefault="0026176E" w:rsidP="00387350">
      <w:pPr>
        <w:pStyle w:val="NormalWeb"/>
        <w:jc w:val="both"/>
      </w:pPr>
      <w:r>
        <w:rPr>
          <w:rFonts w:ascii="Arial" w:hAnsi="Arial" w:cs="Arial"/>
          <w:noProof/>
          <w:color w:val="333333"/>
          <w:sz w:val="20"/>
          <w:szCs w:val="20"/>
        </w:rPr>
        <w:drawing>
          <wp:inline distT="0" distB="0" distL="0" distR="0" wp14:anchorId="276B4FE1" wp14:editId="5AE42601">
            <wp:extent cx="5398617" cy="2318918"/>
            <wp:effectExtent l="0" t="0" r="0" b="5715"/>
            <wp:docPr id="49" name="Imagen 49" descr="http://wscdn.bbc.co.uk/worldservice/assets/images/2013/06/05/130605150432_ireland_fake_business_304x171_reu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scdn.bbc.co.uk/worldservice/assets/images/2013/06/05/130605150432_ireland_fake_business_304x171_reuters.jpg"/>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5400040" cy="2319529"/>
                    </a:xfrm>
                    <a:prstGeom prst="rect">
                      <a:avLst/>
                    </a:prstGeom>
                    <a:noFill/>
                    <a:ln>
                      <a:noFill/>
                    </a:ln>
                  </pic:spPr>
                </pic:pic>
              </a:graphicData>
            </a:graphic>
          </wp:inline>
        </w:drawing>
      </w:r>
    </w:p>
    <w:p w:rsidR="0026176E" w:rsidRDefault="0026176E" w:rsidP="00387350">
      <w:pPr>
        <w:pStyle w:val="NormalWeb"/>
        <w:jc w:val="both"/>
      </w:pPr>
      <w:r>
        <w:rPr>
          <w:rFonts w:ascii="Arial" w:hAnsi="Arial" w:cs="Arial"/>
          <w:noProof/>
          <w:color w:val="333333"/>
          <w:sz w:val="20"/>
          <w:szCs w:val="20"/>
        </w:rPr>
        <w:drawing>
          <wp:inline distT="0" distB="0" distL="0" distR="0" wp14:anchorId="7D92E833" wp14:editId="07E2E5B1">
            <wp:extent cx="5387806" cy="1909267"/>
            <wp:effectExtent l="0" t="0" r="3810" b="0"/>
            <wp:docPr id="50" name="Imagen 50" descr="http://wscdn.bbc.co.uk/worldservice/assets/images/2013/06/05/130605150731_ireland_fake_shop_304x171_reu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scdn.bbc.co.uk/worldservice/assets/images/2013/06/05/130605150731_ireland_fake_shop_304x171_reuters.jpg"/>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5400040" cy="1913602"/>
                    </a:xfrm>
                    <a:prstGeom prst="rect">
                      <a:avLst/>
                    </a:prstGeom>
                    <a:noFill/>
                    <a:ln>
                      <a:noFill/>
                    </a:ln>
                  </pic:spPr>
                </pic:pic>
              </a:graphicData>
            </a:graphic>
          </wp:inline>
        </w:drawing>
      </w:r>
    </w:p>
    <w:p w:rsidR="0026176E" w:rsidRDefault="0026176E" w:rsidP="00387350">
      <w:pPr>
        <w:pStyle w:val="NormalWeb"/>
        <w:jc w:val="both"/>
      </w:pPr>
      <w:r w:rsidRPr="007432FE">
        <w:t>“Las fachadas de los negocios son cirugía estética para problemas profundos”, dice un desempleado que vive en la ciudad</w:t>
      </w:r>
      <w:r>
        <w:t>”..</w:t>
      </w:r>
      <w:r w:rsidRPr="007432FE">
        <w:t>.</w:t>
      </w:r>
      <w:r>
        <w:t xml:space="preserve"> </w:t>
      </w:r>
      <w:r w:rsidRPr="001C0AB4">
        <w:rPr>
          <w:u w:val="single"/>
        </w:rPr>
        <w:t>Papel pintado contra la crisis</w:t>
      </w:r>
      <w:r>
        <w:t xml:space="preserve"> (BBCMundo - </w:t>
      </w:r>
      <w:r>
        <w:rPr>
          <w:b/>
        </w:rPr>
        <w:t>6</w:t>
      </w:r>
      <w:r w:rsidRPr="001C0AB4">
        <w:rPr>
          <w:b/>
        </w:rPr>
        <w:t>/6/13</w:t>
      </w:r>
      <w:r>
        <w:t>)</w:t>
      </w:r>
    </w:p>
    <w:p w:rsidR="0026176E" w:rsidRPr="0026176E" w:rsidRDefault="0026176E" w:rsidP="00387350">
      <w:pPr>
        <w:pStyle w:val="NormalWeb"/>
        <w:jc w:val="both"/>
        <w:rPr>
          <w:color w:val="000000"/>
        </w:rPr>
      </w:pPr>
      <w:r w:rsidRPr="0026176E">
        <w:rPr>
          <w:u w:val="single"/>
        </w:rPr>
        <w:t>Aumento del sector público</w:t>
      </w:r>
      <w:r>
        <w:t xml:space="preserve"> (Fuente: </w:t>
      </w:r>
      <w:r>
        <w:rPr>
          <w:color w:val="000000"/>
        </w:rPr>
        <w:t xml:space="preserve">Libertad Digital - </w:t>
      </w:r>
      <w:r w:rsidRPr="00B41871">
        <w:rPr>
          <w:b/>
          <w:color w:val="000000"/>
        </w:rPr>
        <w:t>21/6/13</w:t>
      </w:r>
      <w:r>
        <w:rPr>
          <w:color w:val="000000"/>
        </w:rPr>
        <w:t>)</w:t>
      </w:r>
    </w:p>
    <w:p w:rsidR="0026176E" w:rsidRDefault="0026176E" w:rsidP="00387350">
      <w:pPr>
        <w:pStyle w:val="NormalWeb"/>
        <w:jc w:val="both"/>
      </w:pPr>
      <w:r>
        <w:rPr>
          <w:noProof/>
          <w:color w:val="0000FF"/>
        </w:rPr>
        <w:drawing>
          <wp:inline distT="0" distB="0" distL="0" distR="0" wp14:anchorId="26925FD7" wp14:editId="587378D8">
            <wp:extent cx="5457137" cy="2150669"/>
            <wp:effectExtent l="0" t="0" r="0" b="2540"/>
            <wp:docPr id="52" name="Imagen 52" descr="http://s.libertaddigital.com/fotos/noticias/AUR02.jpg">
              <a:hlinkClick xmlns:a="http://schemas.openxmlformats.org/drawingml/2006/main" r:id="rId4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AUR02.jpg">
                      <a:hlinkClick r:id="rId413" tgtFrame="&quot;_blank&quot;"/>
                    </pic:cNvPr>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5456890" cy="2150572"/>
                    </a:xfrm>
                    <a:prstGeom prst="rect">
                      <a:avLst/>
                    </a:prstGeom>
                    <a:noFill/>
                    <a:ln>
                      <a:noFill/>
                    </a:ln>
                  </pic:spPr>
                </pic:pic>
              </a:graphicData>
            </a:graphic>
          </wp:inline>
        </w:drawing>
      </w:r>
    </w:p>
    <w:p w:rsidR="000F4E07" w:rsidRPr="000F4E07" w:rsidRDefault="000F4E07" w:rsidP="00387350">
      <w:pPr>
        <w:pStyle w:val="NormalWeb"/>
        <w:jc w:val="both"/>
        <w:rPr>
          <w:color w:val="000000"/>
        </w:rPr>
      </w:pPr>
      <w:r>
        <w:rPr>
          <w:u w:val="single"/>
        </w:rPr>
        <w:lastRenderedPageBreak/>
        <w:t>¿Cuá</w:t>
      </w:r>
      <w:r w:rsidRPr="000F4E07">
        <w:rPr>
          <w:u w:val="single"/>
        </w:rPr>
        <w:t>nto trabaja el contribuyente para el estado</w:t>
      </w:r>
      <w:r>
        <w:rPr>
          <w:u w:val="single"/>
        </w:rPr>
        <w:t xml:space="preserve">? </w:t>
      </w:r>
      <w:r>
        <w:t xml:space="preserve">(Fuente: </w:t>
      </w:r>
      <w:r>
        <w:rPr>
          <w:color w:val="000000"/>
        </w:rPr>
        <w:t xml:space="preserve">Libertad Digital - </w:t>
      </w:r>
      <w:r w:rsidRPr="00B41871">
        <w:rPr>
          <w:b/>
          <w:color w:val="000000"/>
        </w:rPr>
        <w:t>21/6/13</w:t>
      </w:r>
      <w:r>
        <w:rPr>
          <w:color w:val="000000"/>
        </w:rPr>
        <w:t>)</w:t>
      </w:r>
    </w:p>
    <w:p w:rsidR="0026176E" w:rsidRDefault="0026176E" w:rsidP="00387350">
      <w:pPr>
        <w:pStyle w:val="NormalWeb"/>
        <w:jc w:val="both"/>
      </w:pPr>
      <w:r>
        <w:rPr>
          <w:noProof/>
          <w:color w:val="0000FF"/>
        </w:rPr>
        <w:drawing>
          <wp:inline distT="0" distB="0" distL="0" distR="0" wp14:anchorId="60EFEA15" wp14:editId="6EF40BE1">
            <wp:extent cx="5266944" cy="2304288"/>
            <wp:effectExtent l="0" t="0" r="0" b="1270"/>
            <wp:docPr id="115" name="Imagen 115" descr="http://s.libertaddigital.com/fotos/noticias/AUR06.jpg">
              <a:hlinkClick xmlns:a="http://schemas.openxmlformats.org/drawingml/2006/main" r:id="rId4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ertaddigital.com/fotos/noticias/AUR06.jpg">
                      <a:hlinkClick r:id="rId415" tgtFrame="&quot;_blank&quot;"/>
                    </pic:cNvPr>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267169" cy="2304386"/>
                    </a:xfrm>
                    <a:prstGeom prst="rect">
                      <a:avLst/>
                    </a:prstGeom>
                    <a:noFill/>
                    <a:ln>
                      <a:noFill/>
                    </a:ln>
                  </pic:spPr>
                </pic:pic>
              </a:graphicData>
            </a:graphic>
          </wp:inline>
        </w:drawing>
      </w:r>
    </w:p>
    <w:p w:rsidR="000F4E07" w:rsidRPr="000F4E07" w:rsidRDefault="000F4E07" w:rsidP="00387350">
      <w:pPr>
        <w:pStyle w:val="NormalWeb"/>
        <w:jc w:val="both"/>
        <w:rPr>
          <w:color w:val="000000"/>
        </w:rPr>
      </w:pPr>
      <w:r w:rsidRPr="000F4E07">
        <w:rPr>
          <w:u w:val="single"/>
        </w:rPr>
        <w:t>Aumento de la presión fiscal</w:t>
      </w:r>
      <w:r>
        <w:t xml:space="preserve"> (Fuente: </w:t>
      </w:r>
      <w:r>
        <w:rPr>
          <w:color w:val="000000"/>
        </w:rPr>
        <w:t xml:space="preserve">Libertad Digital - </w:t>
      </w:r>
      <w:r w:rsidRPr="00B41871">
        <w:rPr>
          <w:b/>
          <w:color w:val="000000"/>
        </w:rPr>
        <w:t>21/6/13</w:t>
      </w:r>
      <w:r>
        <w:rPr>
          <w:color w:val="000000"/>
        </w:rPr>
        <w:t>)</w:t>
      </w:r>
    </w:p>
    <w:p w:rsidR="000F4E07" w:rsidRDefault="000F4E07" w:rsidP="00387350">
      <w:pPr>
        <w:pStyle w:val="NormalWeb"/>
        <w:jc w:val="both"/>
      </w:pPr>
      <w:r>
        <w:rPr>
          <w:noProof/>
          <w:color w:val="0000FF"/>
        </w:rPr>
        <w:drawing>
          <wp:inline distT="0" distB="0" distL="0" distR="0" wp14:anchorId="2378B84B" wp14:editId="6942CAF8">
            <wp:extent cx="5179060" cy="2282342"/>
            <wp:effectExtent l="0" t="0" r="2540" b="3810"/>
            <wp:docPr id="58" name="Imagen 58" descr="http://s.libertaddigital.com/fotos/noticias/AUR03.jpg">
              <a:hlinkClick xmlns:a="http://schemas.openxmlformats.org/drawingml/2006/main" r:id="rId4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ibertaddigital.com/fotos/noticias/AUR03.jpg">
                      <a:hlinkClick r:id="rId417"/>
                    </pic:cNvPr>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5179060" cy="2282342"/>
                    </a:xfrm>
                    <a:prstGeom prst="rect">
                      <a:avLst/>
                    </a:prstGeom>
                    <a:noFill/>
                    <a:ln>
                      <a:noFill/>
                    </a:ln>
                  </pic:spPr>
                </pic:pic>
              </a:graphicData>
            </a:graphic>
          </wp:inline>
        </w:drawing>
      </w:r>
    </w:p>
    <w:p w:rsidR="000F4E07" w:rsidRPr="000F4E07" w:rsidRDefault="000F4E07"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0F4E07">
        <w:rPr>
          <w:rFonts w:ascii="Times New Roman" w:eastAsia="Times New Roman" w:hAnsi="Times New Roman" w:cs="Times New Roman"/>
          <w:sz w:val="24"/>
          <w:szCs w:val="24"/>
        </w:rPr>
        <w:t xml:space="preserve">Cualquiera que analice por primera vez las conclusiones de una cumbre europea pensará que, entre toda esa farragosa verborrea burocrática, se esconde el esfuerzo definitivo contra los males de la crisis. No sólo por la decidida toma de postura del llamado Consejo Europeo, sino también porque los que la firman son nada menos que los líderes de la UE. Por ello, buenas noticias para los más de siete millones de jóvenes parados europeos, </w:t>
      </w:r>
      <w:r w:rsidRPr="000F4E07">
        <w:rPr>
          <w:rFonts w:ascii="Times New Roman" w:eastAsia="Times New Roman" w:hAnsi="Times New Roman" w:cs="Times New Roman"/>
          <w:bCs/>
          <w:sz w:val="24"/>
          <w:szCs w:val="24"/>
        </w:rPr>
        <w:t>945.000 en nuestro país en 2012</w:t>
      </w:r>
      <w:r w:rsidRPr="000F4E07">
        <w:rPr>
          <w:rFonts w:ascii="Times New Roman" w:eastAsia="Times New Roman" w:hAnsi="Times New Roman" w:cs="Times New Roman"/>
          <w:sz w:val="24"/>
          <w:szCs w:val="24"/>
        </w:rPr>
        <w:t>, porque los Merkel, Hollande, Cameron o Rajoy prometieron en el sanedrín celebrado la semana pasada que “</w:t>
      </w:r>
      <w:r w:rsidRPr="000F4E07">
        <w:rPr>
          <w:rFonts w:ascii="Times New Roman" w:eastAsia="Times New Roman" w:hAnsi="Times New Roman" w:cs="Times New Roman"/>
          <w:bCs/>
          <w:sz w:val="24"/>
          <w:szCs w:val="24"/>
        </w:rPr>
        <w:t>la UE movilizará todos los instrumentos disponibles para apoyar el empleo juvenil</w:t>
      </w:r>
      <w:r w:rsidRPr="000F4E07">
        <w:rPr>
          <w:rFonts w:ascii="Times New Roman" w:eastAsia="Times New Roman" w:hAnsi="Times New Roman" w:cs="Times New Roman"/>
          <w:sz w:val="24"/>
          <w:szCs w:val="24"/>
        </w:rPr>
        <w:t>”.</w:t>
      </w:r>
    </w:p>
    <w:p w:rsidR="000F4E07" w:rsidRPr="000F4E07" w:rsidRDefault="000F4E07"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F4E07">
        <w:rPr>
          <w:rFonts w:ascii="Times New Roman" w:eastAsia="Times New Roman" w:hAnsi="Times New Roman" w:cs="Times New Roman"/>
          <w:sz w:val="24"/>
          <w:szCs w:val="24"/>
        </w:rPr>
        <w:t xml:space="preserve">Con un </w:t>
      </w:r>
      <w:r w:rsidRPr="000F4E07">
        <w:rPr>
          <w:rFonts w:ascii="Times New Roman" w:eastAsia="Times New Roman" w:hAnsi="Times New Roman" w:cs="Times New Roman"/>
          <w:bCs/>
          <w:sz w:val="24"/>
          <w:szCs w:val="24"/>
        </w:rPr>
        <w:t>presupuesto de casi un billón de euros para los próximos siete años</w:t>
      </w:r>
      <w:r w:rsidRPr="000F4E07">
        <w:rPr>
          <w:rFonts w:ascii="Times New Roman" w:eastAsia="Times New Roman" w:hAnsi="Times New Roman" w:cs="Times New Roman"/>
          <w:sz w:val="24"/>
          <w:szCs w:val="24"/>
        </w:rPr>
        <w:t xml:space="preserve"> (2014-2020), y casi 55.000 millones sin gastar del periodo anterior, uno imagina que, cuando Europa compromete “todos los instrumentos”, no hay montaña lo suficientemente alta ni valle lo suficientemente profundo.</w:t>
      </w:r>
    </w:p>
    <w:p w:rsidR="000F4E07" w:rsidRPr="000F4E07" w:rsidRDefault="000F4E07"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F4E07">
        <w:rPr>
          <w:rFonts w:ascii="Times New Roman" w:eastAsia="Times New Roman" w:hAnsi="Times New Roman" w:cs="Times New Roman"/>
          <w:sz w:val="24"/>
          <w:szCs w:val="24"/>
        </w:rPr>
        <w:t>Pero poco tarda uno en darse cuenta de que las conclusiones de una cumbre no son motivo para descorchar el champán. Primero porque, como queda claro unas líneas más abajo, esa totalidad de recursos se reduce a una lista de promesas por detallar y otras encajadas después de costosas negociaciones, como los</w:t>
      </w:r>
      <w:r w:rsidRPr="000F4E07">
        <w:rPr>
          <w:rFonts w:ascii="Times New Roman" w:eastAsia="Times New Roman" w:hAnsi="Times New Roman" w:cs="Times New Roman"/>
          <w:bCs/>
          <w:sz w:val="24"/>
          <w:szCs w:val="24"/>
        </w:rPr>
        <w:t xml:space="preserve"> 6.000 millones que se han </w:t>
      </w:r>
      <w:r w:rsidRPr="000F4E07">
        <w:rPr>
          <w:rFonts w:ascii="Times New Roman" w:eastAsia="Times New Roman" w:hAnsi="Times New Roman" w:cs="Times New Roman"/>
          <w:bCs/>
          <w:sz w:val="24"/>
          <w:szCs w:val="24"/>
        </w:rPr>
        <w:lastRenderedPageBreak/>
        <w:t>prometido adelantar a 2014 y 2015 para luchar contra el paro juvenil</w:t>
      </w:r>
      <w:r w:rsidRPr="000F4E07">
        <w:rPr>
          <w:rFonts w:ascii="Times New Roman" w:eastAsia="Times New Roman" w:hAnsi="Times New Roman" w:cs="Times New Roman"/>
          <w:sz w:val="24"/>
          <w:szCs w:val="24"/>
        </w:rPr>
        <w:t xml:space="preserve">. Una cantidad bien generosa, pensará uno mirando su cuenta, pero no tanto cuando se reparte entre 28 países en siete años. </w:t>
      </w:r>
      <w:r w:rsidRPr="000F4E07">
        <w:rPr>
          <w:rFonts w:ascii="Times New Roman" w:eastAsia="Times New Roman" w:hAnsi="Times New Roman" w:cs="Times New Roman"/>
          <w:bCs/>
          <w:sz w:val="24"/>
          <w:szCs w:val="24"/>
        </w:rPr>
        <w:t>España se llevará 1.900 millones</w:t>
      </w:r>
      <w:r w:rsidRPr="000F4E07">
        <w:rPr>
          <w:rFonts w:ascii="Times New Roman" w:eastAsia="Times New Roman" w:hAnsi="Times New Roman" w:cs="Times New Roman"/>
          <w:sz w:val="24"/>
          <w:szCs w:val="24"/>
        </w:rPr>
        <w:t xml:space="preserve">, o lo que es lo mismo, </w:t>
      </w:r>
      <w:r w:rsidRPr="000F4E07">
        <w:rPr>
          <w:rFonts w:ascii="Times New Roman" w:eastAsia="Times New Roman" w:hAnsi="Times New Roman" w:cs="Times New Roman"/>
          <w:bCs/>
          <w:sz w:val="24"/>
          <w:szCs w:val="24"/>
        </w:rPr>
        <w:t>menos de 2.000 euros por joven parado</w:t>
      </w:r>
      <w:r w:rsidRPr="000F4E07">
        <w:rPr>
          <w:rFonts w:ascii="Times New Roman" w:eastAsia="Times New Roman" w:hAnsi="Times New Roman" w:cs="Times New Roman"/>
          <w:sz w:val="24"/>
          <w:szCs w:val="24"/>
        </w:rPr>
        <w:t xml:space="preserve">, lo que obligará al Gobierno a obrar el milagro de los panes y los peces. </w:t>
      </w:r>
    </w:p>
    <w:p w:rsidR="000F4E07" w:rsidRPr="000F4E07" w:rsidRDefault="000F4E07" w:rsidP="00387350">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F4E07">
        <w:rPr>
          <w:rFonts w:ascii="Times New Roman" w:eastAsia="Times New Roman" w:hAnsi="Times New Roman" w:cs="Times New Roman"/>
          <w:sz w:val="24"/>
          <w:szCs w:val="24"/>
        </w:rPr>
        <w:t xml:space="preserve">Una cifra que no parece tan abultada cuando se comprara con los miles de millones de euros </w:t>
      </w:r>
      <w:r w:rsidRPr="000F4E07">
        <w:rPr>
          <w:rFonts w:ascii="Times New Roman" w:eastAsia="Times New Roman" w:hAnsi="Times New Roman" w:cs="Times New Roman"/>
          <w:bCs/>
          <w:sz w:val="24"/>
          <w:szCs w:val="24"/>
        </w:rPr>
        <w:t>que ha gastado la UE en sus bancos</w:t>
      </w:r>
      <w:r w:rsidRPr="000F4E07">
        <w:rPr>
          <w:rFonts w:ascii="Times New Roman" w:eastAsia="Times New Roman" w:hAnsi="Times New Roman" w:cs="Times New Roman"/>
          <w:sz w:val="24"/>
          <w:szCs w:val="24"/>
        </w:rPr>
        <w:t xml:space="preserve"> (concretar la factura puede dar dolores de cabeza), o se piensa que </w:t>
      </w:r>
      <w:r w:rsidRPr="000F4E07">
        <w:rPr>
          <w:rFonts w:ascii="Times New Roman" w:eastAsia="Times New Roman" w:hAnsi="Times New Roman" w:cs="Times New Roman"/>
          <w:bCs/>
          <w:sz w:val="24"/>
          <w:szCs w:val="24"/>
        </w:rPr>
        <w:t>Europa gasta hoy diez veces más en sus vacas</w:t>
      </w:r>
      <w:r w:rsidRPr="000F4E07">
        <w:rPr>
          <w:rFonts w:ascii="Times New Roman" w:eastAsia="Times New Roman" w:hAnsi="Times New Roman" w:cs="Times New Roman"/>
          <w:sz w:val="24"/>
          <w:szCs w:val="24"/>
        </w:rPr>
        <w:t xml:space="preserve"> (12,7 euros de media) </w:t>
      </w:r>
      <w:r w:rsidRPr="000F4E07">
        <w:rPr>
          <w:rFonts w:ascii="Times New Roman" w:eastAsia="Times New Roman" w:hAnsi="Times New Roman" w:cs="Times New Roman"/>
          <w:bCs/>
          <w:sz w:val="24"/>
          <w:szCs w:val="24"/>
        </w:rPr>
        <w:t>que en sus jóvenes</w:t>
      </w:r>
      <w:r w:rsidRPr="000F4E07">
        <w:rPr>
          <w:rFonts w:ascii="Times New Roman" w:eastAsia="Times New Roman" w:hAnsi="Times New Roman" w:cs="Times New Roman"/>
          <w:sz w:val="24"/>
          <w:szCs w:val="24"/>
        </w:rPr>
        <w:t xml:space="preserve"> (1,26 euros), según datos de Eurostat. Más aún cuando uno recuerda que, para financiar apropiadamente la Garantía Juvenil, la </w:t>
      </w:r>
      <w:r w:rsidR="007F737C">
        <w:rPr>
          <w:rFonts w:ascii="Times New Roman" w:eastAsia="Times New Roman" w:hAnsi="Times New Roman" w:cs="Times New Roman"/>
          <w:sz w:val="24"/>
          <w:szCs w:val="24"/>
        </w:rPr>
        <w:t>“</w:t>
      </w:r>
      <w:r w:rsidRPr="007F737C">
        <w:rPr>
          <w:rFonts w:ascii="Times New Roman" w:eastAsia="Times New Roman" w:hAnsi="Times New Roman" w:cs="Times New Roman"/>
          <w:iCs/>
          <w:sz w:val="24"/>
          <w:szCs w:val="24"/>
        </w:rPr>
        <w:t>medida estrella</w:t>
      </w:r>
      <w:r w:rsidR="007F737C">
        <w:rPr>
          <w:rFonts w:ascii="Times New Roman" w:eastAsia="Times New Roman" w:hAnsi="Times New Roman" w:cs="Times New Roman"/>
          <w:iCs/>
          <w:sz w:val="24"/>
          <w:szCs w:val="24"/>
        </w:rPr>
        <w:t>”</w:t>
      </w:r>
      <w:r w:rsidRPr="000F4E07">
        <w:rPr>
          <w:rFonts w:ascii="Times New Roman" w:eastAsia="Times New Roman" w:hAnsi="Times New Roman" w:cs="Times New Roman"/>
          <w:sz w:val="24"/>
          <w:szCs w:val="24"/>
        </w:rPr>
        <w:t xml:space="preserve"> pilotada desde Bruselas, la Organización Internacional de Trabajo estima que se necesitarían 21.000 millones de euros.  </w:t>
      </w:r>
    </w:p>
    <w:p w:rsidR="000F4E07" w:rsidRDefault="000F4E07" w:rsidP="00387350">
      <w:pPr>
        <w:pStyle w:val="NormalWeb"/>
        <w:jc w:val="both"/>
      </w:pPr>
      <w:r w:rsidRPr="000F4E07">
        <w:t>El optimismo sigue desinflándose cuando se hace recuento de la pila de cumbres de fogueo dedicadas al empleo juvenil, que ya arrancaron en enero de 2012, o las iniciativas dedicadas al tema que cogen polvo en la nube comunitaria, como la infrasubvencionada Iniciativa de Oportunidades para la Juventud; o EURES, la red para la movilidad de los que buscan un empleo en Europa</w:t>
      </w:r>
      <w:r>
        <w:t>”..</w:t>
      </w:r>
      <w:r w:rsidRPr="000F4E07">
        <w:t>.</w:t>
      </w:r>
      <w:r>
        <w:t xml:space="preserve"> </w:t>
      </w:r>
      <w:r w:rsidRPr="00165E2A">
        <w:rPr>
          <w:u w:val="single"/>
        </w:rPr>
        <w:t>La UE gasta diez veces más dinero por vaca que por cada joven desempleado</w:t>
      </w:r>
      <w:r>
        <w:t xml:space="preserve"> (El Confidencial - </w:t>
      </w:r>
      <w:r w:rsidRPr="00165E2A">
        <w:rPr>
          <w:b/>
        </w:rPr>
        <w:t>2/7/13</w:t>
      </w:r>
      <w:r>
        <w:t>)</w:t>
      </w:r>
    </w:p>
    <w:p w:rsidR="000F4E07" w:rsidRPr="000F4E07" w:rsidRDefault="000F4E07" w:rsidP="00387350">
      <w:pPr>
        <w:pStyle w:val="NormalWeb"/>
        <w:shd w:val="clear" w:color="auto" w:fill="FFFFFF"/>
        <w:jc w:val="both"/>
      </w:pPr>
      <w:r w:rsidRPr="000F4E07">
        <w:t xml:space="preserve">Según el Banco Mundial, la corrupción puede recortar hasta un 0,5% del PIB de un país. Estudios de la misma entidad valoran el </w:t>
      </w:r>
      <w:r w:rsidRPr="000F4E07">
        <w:rPr>
          <w:bCs/>
        </w:rPr>
        <w:t>impacto de dicha corrupción</w:t>
      </w:r>
      <w:r w:rsidR="001A3AAD">
        <w:t xml:space="preserve"> -</w:t>
      </w:r>
      <w:r w:rsidRPr="000F4E07">
        <w:t xml:space="preserve">en todas sus escalas- </w:t>
      </w:r>
      <w:r w:rsidRPr="000F4E07">
        <w:rPr>
          <w:bCs/>
        </w:rPr>
        <w:t>hasta en un 2% del PIB de los países de la OCDE</w:t>
      </w:r>
      <w:r w:rsidRPr="000F4E07">
        <w:t>, incluido el nuestro. En un encuentro organizado por Transparency International en Lisboa, en junio de 2013, comentaban que:</w:t>
      </w:r>
    </w:p>
    <w:p w:rsidR="000F4E07" w:rsidRPr="000F4E07" w:rsidRDefault="000F4E07" w:rsidP="00387350">
      <w:pPr>
        <w:pStyle w:val="NormalWeb"/>
        <w:shd w:val="clear" w:color="auto" w:fill="FFFFFF"/>
        <w:jc w:val="both"/>
      </w:pPr>
      <w:r w:rsidRPr="000F4E07">
        <w:t>- En la Unión Europea, entre un 10% y hasta un 20% del total de los contratos públicos se pierde en corrupción</w:t>
      </w:r>
    </w:p>
    <w:p w:rsidR="000F4E07" w:rsidRPr="000F4E07" w:rsidRDefault="000F4E07" w:rsidP="00387350">
      <w:pPr>
        <w:pStyle w:val="NormalWeb"/>
        <w:shd w:val="clear" w:color="auto" w:fill="FFFFFF"/>
        <w:jc w:val="both"/>
      </w:pPr>
      <w:r w:rsidRPr="000F4E07">
        <w:t>- El cinco por ciento del presupuesto anual de la UE no se justifica</w:t>
      </w:r>
    </w:p>
    <w:p w:rsidR="000F4E07" w:rsidRPr="000F4E07" w:rsidRDefault="000F4E07" w:rsidP="00387350">
      <w:pPr>
        <w:pStyle w:val="NormalWeb"/>
        <w:shd w:val="clear" w:color="auto" w:fill="FFFFFF"/>
        <w:jc w:val="both"/>
      </w:pPr>
      <w:r w:rsidRPr="000F4E07">
        <w:t>- Tres de cada cuatro ciudadanos europeos perciben que la corrupción se ha disparado en los últimos cuatro años</w:t>
      </w:r>
    </w:p>
    <w:p w:rsidR="000F4E07" w:rsidRPr="000F4E07" w:rsidRDefault="000F4E07" w:rsidP="00387350">
      <w:pPr>
        <w:pStyle w:val="NormalWeb"/>
        <w:shd w:val="clear" w:color="auto" w:fill="FFFFFF"/>
        <w:jc w:val="both"/>
      </w:pPr>
      <w:r w:rsidRPr="000F4E07">
        <w:t xml:space="preserve">- Pero, sobre todo, </w:t>
      </w:r>
      <w:r w:rsidRPr="000F4E07">
        <w:rPr>
          <w:bCs/>
        </w:rPr>
        <w:t>supone una pérdida de casi un billón de inversión y capital anual</w:t>
      </w:r>
    </w:p>
    <w:p w:rsidR="000F4E07" w:rsidRPr="000F4E07" w:rsidRDefault="000F4E07" w:rsidP="00387350">
      <w:pPr>
        <w:pStyle w:val="NormalWeb"/>
        <w:shd w:val="clear" w:color="auto" w:fill="FFFFFF"/>
        <w:jc w:val="both"/>
      </w:pPr>
      <w:r w:rsidRPr="000F4E07">
        <w:t>- A escala global, el 55% de los ciudadanos de 107 países encuestados percibe una influencia excesiva de los gobiernos en la economía</w:t>
      </w:r>
    </w:p>
    <w:p w:rsidR="000F4E07" w:rsidRDefault="000F4E07" w:rsidP="00387350">
      <w:pPr>
        <w:pStyle w:val="NormalWeb"/>
        <w:shd w:val="clear" w:color="auto" w:fill="FFFFFF"/>
        <w:jc w:val="both"/>
      </w:pPr>
      <w:r>
        <w:t> </w:t>
      </w:r>
      <w:r>
        <w:rPr>
          <w:noProof/>
        </w:rPr>
        <w:drawing>
          <wp:inline distT="0" distB="0" distL="0" distR="0" wp14:anchorId="42716F00" wp14:editId="14BC23DA">
            <wp:extent cx="5186477" cy="1799539"/>
            <wp:effectExtent l="0" t="0" r="0" b="0"/>
            <wp:docPr id="59" name="Imagen 7" descr="http://www.cotizalia.com/archivos/cz/2013071294dani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otizalia.com/archivos/cz/2013071294daniel1.jpg"/>
                    <pic:cNvPicPr>
                      <a:picLocks noChangeAspect="1" noChangeArrowheads="1"/>
                    </pic:cNvPicPr>
                  </pic:nvPicPr>
                  <pic:blipFill>
                    <a:blip r:embed="rId419" cstate="print"/>
                    <a:srcRect/>
                    <a:stretch>
                      <a:fillRect/>
                    </a:stretch>
                  </pic:blipFill>
                  <pic:spPr bwMode="auto">
                    <a:xfrm>
                      <a:off x="0" y="0"/>
                      <a:ext cx="5186477" cy="1799539"/>
                    </a:xfrm>
                    <a:prstGeom prst="rect">
                      <a:avLst/>
                    </a:prstGeom>
                    <a:noFill/>
                    <a:ln w="9525">
                      <a:noFill/>
                      <a:miter lim="800000"/>
                      <a:headEnd/>
                      <a:tailEnd/>
                    </a:ln>
                  </pic:spPr>
                </pic:pic>
              </a:graphicData>
            </a:graphic>
          </wp:inline>
        </w:drawing>
      </w:r>
    </w:p>
    <w:p w:rsidR="000F4E07" w:rsidRDefault="000F4E07" w:rsidP="00387350">
      <w:pPr>
        <w:pStyle w:val="NormalWeb"/>
        <w:shd w:val="clear" w:color="auto" w:fill="FFFFFF"/>
        <w:jc w:val="both"/>
      </w:pPr>
      <w:r>
        <w:lastRenderedPageBreak/>
        <w:t xml:space="preserve">No es de extrañar que ante semejante situación, el capital se escape. </w:t>
      </w:r>
    </w:p>
    <w:p w:rsidR="000F4E07" w:rsidRPr="00C16ACE" w:rsidRDefault="000F4E07" w:rsidP="00387350">
      <w:pPr>
        <w:pStyle w:val="NormalWeb"/>
        <w:shd w:val="clear" w:color="auto" w:fill="FFFFFF"/>
        <w:jc w:val="both"/>
      </w:pPr>
      <w:r w:rsidRPr="00C16ACE">
        <w:rPr>
          <w:bCs/>
        </w:rPr>
        <w:t>Demasiado gobierno, demasiado poder, demasiada corrupción.</w:t>
      </w:r>
      <w:r w:rsidRPr="00C16ACE">
        <w:t xml:space="preserve"> Por ello hace falta transparencia absoluta, anteponer los principios a cualquier consenso, liderazgo y cercenar el acceso desproporcionado del Estado a la caja como parte de la solución. Precisamente porque </w:t>
      </w:r>
      <w:r w:rsidRPr="00C16ACE">
        <w:rPr>
          <w:bCs/>
        </w:rPr>
        <w:t>esa es la única manera de garantizar los servicios esenciales que la gente valora</w:t>
      </w:r>
      <w:r w:rsidRPr="00C16ACE">
        <w:t xml:space="preserve">. Si no, con la quiebra se hundirá todo, lo superfluo y lo necesario. </w:t>
      </w:r>
    </w:p>
    <w:p w:rsidR="000F4E07" w:rsidRPr="00C16ACE" w:rsidRDefault="000F4E07" w:rsidP="00387350">
      <w:pPr>
        <w:pStyle w:val="NormalWeb"/>
        <w:shd w:val="clear" w:color="auto" w:fill="FFFFFF"/>
        <w:jc w:val="both"/>
      </w:pPr>
      <w:r w:rsidRPr="00C16ACE">
        <w:t>Tengamos en cuenta que un colapso institucional, cuando la deuda se ha disparado a casi un 90% del PIB, supondría una quiebra en cadena, que se llevaría por delante a la Seguridad Social y las pensiones, que están invertidas hasta un 90% en deuda soberana, a los bancos que acumulan 241.000 millones de bonos y créditos públicos... Y con ellos a las pymes y familias.</w:t>
      </w:r>
    </w:p>
    <w:p w:rsidR="000F4E07" w:rsidRDefault="000F4E07" w:rsidP="00387350">
      <w:pPr>
        <w:pStyle w:val="NormalWeb"/>
        <w:shd w:val="clear" w:color="auto" w:fill="FFFFFF"/>
        <w:jc w:val="both"/>
      </w:pPr>
      <w:r>
        <w:t> </w:t>
      </w:r>
      <w:r>
        <w:rPr>
          <w:noProof/>
        </w:rPr>
        <w:drawing>
          <wp:inline distT="0" distB="0" distL="0" distR="0" wp14:anchorId="10B8154D" wp14:editId="0115D9CF">
            <wp:extent cx="5186833" cy="2801722"/>
            <wp:effectExtent l="19050" t="0" r="0" b="0"/>
            <wp:docPr id="61" name="Imagen 8" descr="http://www.cotizalia.com/archivos/cz/2013071234danie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otizalia.com/archivos/cz/2013071234daniel2.jpg"/>
                    <pic:cNvPicPr>
                      <a:picLocks noChangeAspect="1" noChangeArrowheads="1"/>
                    </pic:cNvPicPr>
                  </pic:nvPicPr>
                  <pic:blipFill>
                    <a:blip r:embed="rId420" cstate="print"/>
                    <a:srcRect/>
                    <a:stretch>
                      <a:fillRect/>
                    </a:stretch>
                  </pic:blipFill>
                  <pic:spPr bwMode="auto">
                    <a:xfrm>
                      <a:off x="0" y="0"/>
                      <a:ext cx="5186680" cy="2801639"/>
                    </a:xfrm>
                    <a:prstGeom prst="rect">
                      <a:avLst/>
                    </a:prstGeom>
                    <a:noFill/>
                    <a:ln w="9525">
                      <a:noFill/>
                      <a:miter lim="800000"/>
                      <a:headEnd/>
                      <a:tailEnd/>
                    </a:ln>
                  </pic:spPr>
                </pic:pic>
              </a:graphicData>
            </a:graphic>
          </wp:inline>
        </w:drawing>
      </w:r>
    </w:p>
    <w:p w:rsidR="000F4E07" w:rsidRPr="00C16ACE" w:rsidRDefault="000F4E07" w:rsidP="00387350">
      <w:pPr>
        <w:pStyle w:val="NormalWeb"/>
        <w:shd w:val="clear" w:color="auto" w:fill="FFFFFF"/>
        <w:jc w:val="both"/>
      </w:pPr>
      <w:r w:rsidRPr="00C16ACE">
        <w:t xml:space="preserve">¿Es casualidad que esa percepción de corrupción creciente coincida con la crisis? No. ¿Y que se genere con el aumento del intervencionismo y el gasto público, a niveles el 49% del PIB de la UE, que se supone que es precisamente para </w:t>
      </w:r>
      <w:r w:rsidR="007F737C">
        <w:t>“</w:t>
      </w:r>
      <w:r w:rsidRPr="007F737C">
        <w:rPr>
          <w:iCs/>
        </w:rPr>
        <w:t>combatir</w:t>
      </w:r>
      <w:r w:rsidR="007F737C">
        <w:rPr>
          <w:iCs/>
        </w:rPr>
        <w:t>”</w:t>
      </w:r>
      <w:r w:rsidRPr="00C16ACE">
        <w:t xml:space="preserve"> dicha crisis? Tampoco. Tras gastar cientos de miles de millones, la población sufre las consecuencias de lo que parecía un sistema muy atractivo, el </w:t>
      </w:r>
      <w:r w:rsidRPr="00C16ACE">
        <w:rPr>
          <w:bCs/>
        </w:rPr>
        <w:t>asistencialismo clientelista</w:t>
      </w:r>
      <w:r w:rsidRPr="00C16ACE">
        <w:t xml:space="preserve">, hasta que hay que pagarlo. “El socialismo es una idea estupenda hasta que se acaba el dinero de los demás” decía </w:t>
      </w:r>
      <w:r w:rsidRPr="00C16ACE">
        <w:rPr>
          <w:bCs/>
        </w:rPr>
        <w:t>Margaret Thatcher</w:t>
      </w:r>
      <w:r w:rsidRPr="00C16ACE">
        <w:t xml:space="preserve">. </w:t>
      </w:r>
    </w:p>
    <w:p w:rsidR="000F4E07" w:rsidRPr="00C16ACE" w:rsidRDefault="000F4E07" w:rsidP="00387350">
      <w:pPr>
        <w:pStyle w:val="NormalWeb"/>
        <w:shd w:val="clear" w:color="auto" w:fill="FFFFFF"/>
        <w:jc w:val="both"/>
      </w:pPr>
      <w:r w:rsidRPr="00C16ACE">
        <w:t>El helicóptero travieso ha dejado de repartir dinero entre todos, por poco que fuera, y solo se genera deuda. Hemos entregado libertad a cambio de seguridad y ahora no tenemos ni libertad ni seguridad.</w:t>
      </w:r>
    </w:p>
    <w:p w:rsidR="00C16ACE" w:rsidRPr="00C16ACE" w:rsidRDefault="00C16ACE" w:rsidP="00387350">
      <w:pPr>
        <w:pStyle w:val="NormalWeb"/>
        <w:jc w:val="both"/>
      </w:pPr>
      <w:r w:rsidRPr="00C16ACE">
        <w:t>La corrupción se tolera -</w:t>
      </w:r>
      <w:r w:rsidR="000F4E07" w:rsidRPr="00C16ACE">
        <w:t xml:space="preserve">incluso se incentiva- mientras a la mayoría le cae algo de la misma. </w:t>
      </w:r>
      <w:r w:rsidR="000F4E07" w:rsidRPr="00C16ACE">
        <w:rPr>
          <w:bCs/>
        </w:rPr>
        <w:t xml:space="preserve">Pero cuando se acaba el </w:t>
      </w:r>
      <w:r w:rsidR="007F737C">
        <w:rPr>
          <w:bCs/>
        </w:rPr>
        <w:t>“</w:t>
      </w:r>
      <w:r w:rsidR="000F4E07" w:rsidRPr="007F737C">
        <w:rPr>
          <w:bCs/>
          <w:iCs/>
        </w:rPr>
        <w:t>sobre</w:t>
      </w:r>
      <w:r w:rsidR="007F737C">
        <w:rPr>
          <w:bCs/>
          <w:iCs/>
        </w:rPr>
        <w:t>”</w:t>
      </w:r>
      <w:r w:rsidR="000F4E07" w:rsidRPr="00C16ACE">
        <w:rPr>
          <w:bCs/>
        </w:rPr>
        <w:t xml:space="preserve"> de la base de la pirámide</w:t>
      </w:r>
      <w:r w:rsidRPr="00C16ACE">
        <w:t xml:space="preserve"> -</w:t>
      </w:r>
      <w:r w:rsidR="000F4E07" w:rsidRPr="00C16ACE">
        <w:t xml:space="preserve">PER, subvenciones, ayudas, primas, enchufes, contratos, amiguismo- </w:t>
      </w:r>
      <w:r w:rsidR="000F4E07" w:rsidRPr="00C16ACE">
        <w:rPr>
          <w:bCs/>
        </w:rPr>
        <w:t>nos entra la indignación</w:t>
      </w:r>
      <w:r w:rsidR="000F4E07" w:rsidRPr="00C16ACE">
        <w:t>. Por eso hay que recuperar los principios de austeridad, meritocracia y esfuerzo y</w:t>
      </w:r>
      <w:r w:rsidR="000F4E07" w:rsidRPr="00C16ACE">
        <w:rPr>
          <w:bCs/>
        </w:rPr>
        <w:t xml:space="preserve"> dejar de pensar que volverá 2005 y la fiesta</w:t>
      </w:r>
      <w:r>
        <w:rPr>
          <w:bCs/>
        </w:rPr>
        <w:t>…</w:t>
      </w:r>
    </w:p>
    <w:p w:rsidR="00C16ACE" w:rsidRPr="00C16ACE" w:rsidRDefault="00C16ACE" w:rsidP="00387350">
      <w:pPr>
        <w:pStyle w:val="NormalWeb"/>
        <w:shd w:val="clear" w:color="auto" w:fill="FFFFFF"/>
        <w:jc w:val="both"/>
      </w:pPr>
      <w:r w:rsidRPr="00C16ACE">
        <w:lastRenderedPageBreak/>
        <w:t xml:space="preserve">El problema de la corrupción -y sus consecuencias- es que </w:t>
      </w:r>
      <w:r w:rsidRPr="00C16ACE">
        <w:rPr>
          <w:bCs/>
        </w:rPr>
        <w:t>se convierte en un gravísimo problema financiero</w:t>
      </w:r>
      <w:r w:rsidRPr="00C16ACE">
        <w:t xml:space="preserve">. Cuesta dinero cuando se pierde la confianza institucional y entonces, como en un país emergente, afecta a las primas de riesgo, que la Universidad de Cornell estima puede costar entre 300 y 350 puntos básicos de coste adicional de deuda. También cuesta por la huida de capital y caída de la inversión financiera directa, dos elementos que nuestro país necesita como el agua.  </w:t>
      </w:r>
    </w:p>
    <w:p w:rsidR="00C16ACE" w:rsidRPr="00C16ACE" w:rsidRDefault="005C4BD0" w:rsidP="00387350">
      <w:pPr>
        <w:shd w:val="clear" w:color="auto" w:fill="FFFFFF"/>
        <w:spacing w:line="240" w:lineRule="auto"/>
        <w:jc w:val="both"/>
      </w:pPr>
      <w:r>
        <w:t xml:space="preserve">                                           </w:t>
      </w:r>
      <w:hyperlink r:id="rId421" w:history="1">
        <w:r w:rsidR="00C16ACE" w:rsidRPr="00C16ACE">
          <w:rPr>
            <w:noProof/>
            <w:lang w:eastAsia="es-ES"/>
          </w:rPr>
          <w:drawing>
            <wp:inline distT="0" distB="0" distL="0" distR="0" wp14:anchorId="3E517B78" wp14:editId="56FA76F2">
              <wp:extent cx="2574925" cy="3379470"/>
              <wp:effectExtent l="19050" t="0" r="0" b="0"/>
              <wp:docPr id="62" name="Imagen 10" descr="http://www.cotizalia.com/archivos/cz/2013071216danielampliable.jpg">
                <a:hlinkClick xmlns:a="http://schemas.openxmlformats.org/drawingml/2006/main" r:id="rId4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otizalia.com/archivos/cz/2013071216danielampliable.jpg">
                        <a:hlinkClick r:id="rId421"/>
                      </pic:cNvPr>
                      <pic:cNvPicPr>
                        <a:picLocks noChangeAspect="1" noChangeArrowheads="1"/>
                      </pic:cNvPicPr>
                    </pic:nvPicPr>
                    <pic:blipFill>
                      <a:blip r:embed="rId422" cstate="print"/>
                      <a:srcRect/>
                      <a:stretch>
                        <a:fillRect/>
                      </a:stretch>
                    </pic:blipFill>
                    <pic:spPr bwMode="auto">
                      <a:xfrm>
                        <a:off x="0" y="0"/>
                        <a:ext cx="2574925" cy="3379470"/>
                      </a:xfrm>
                      <a:prstGeom prst="rect">
                        <a:avLst/>
                      </a:prstGeom>
                      <a:noFill/>
                      <a:ln w="9525">
                        <a:noFill/>
                        <a:miter lim="800000"/>
                        <a:headEnd/>
                        <a:tailEnd/>
                      </a:ln>
                    </pic:spPr>
                  </pic:pic>
                </a:graphicData>
              </a:graphic>
            </wp:inline>
          </w:drawing>
        </w:r>
      </w:hyperlink>
    </w:p>
    <w:p w:rsidR="00C16ACE" w:rsidRDefault="00C16ACE" w:rsidP="00387350">
      <w:pPr>
        <w:pStyle w:val="NormalWeb"/>
        <w:jc w:val="both"/>
      </w:pPr>
      <w:r w:rsidRPr="00C16ACE">
        <w:t>Y no es un problema causado por unos políticos, como si fueran extraterrestres que han caído de Ganímedes.</w:t>
      </w:r>
      <w:r w:rsidRPr="00C16ACE">
        <w:rPr>
          <w:b/>
          <w:bCs/>
        </w:rPr>
        <w:t xml:space="preserve"> </w:t>
      </w:r>
      <w:r w:rsidRPr="00C16ACE">
        <w:rPr>
          <w:bCs/>
        </w:rPr>
        <w:t>Son el reflejo de una sociedad, no una casualidad.</w:t>
      </w:r>
      <w:r w:rsidRPr="00C16ACE">
        <w:rPr>
          <w:b/>
          <w:bCs/>
        </w:rPr>
        <w:t xml:space="preserve"> </w:t>
      </w:r>
      <w:r w:rsidRPr="00C16ACE">
        <w:t xml:space="preserve">Es un problema de un sistema económico que tolera e incentiva el clientelismo como modo de evitar el libre mercado, la meritocracia y la competencia.”… </w:t>
      </w:r>
      <w:r w:rsidRPr="0041218F">
        <w:rPr>
          <w:u w:val="single"/>
        </w:rPr>
        <w:t>El precio de la corrupción</w:t>
      </w:r>
      <w:r>
        <w:t xml:space="preserve"> (El Economista - </w:t>
      </w:r>
      <w:r w:rsidRPr="0041218F">
        <w:rPr>
          <w:b/>
        </w:rPr>
        <w:t>13/7/13</w:t>
      </w:r>
      <w:r>
        <w:t>)</w:t>
      </w:r>
    </w:p>
    <w:p w:rsidR="001F1E4D" w:rsidRPr="001F1E4D" w:rsidRDefault="001F1E4D" w:rsidP="00387350">
      <w:pPr>
        <w:pStyle w:val="NormalWeb"/>
        <w:jc w:val="both"/>
      </w:pPr>
      <w:r>
        <w:t>“</w:t>
      </w:r>
      <w:r w:rsidRPr="001F1E4D">
        <w:t>Según los propios datos de la Unión Europea (</w:t>
      </w:r>
      <w:hyperlink r:id="rId423" w:history="1">
        <w:r w:rsidRPr="001F1E4D">
          <w:rPr>
            <w:rStyle w:val="Hipervnculo"/>
            <w:color w:val="auto"/>
            <w:u w:val="none"/>
          </w:rPr>
          <w:t>UE</w:t>
        </w:r>
      </w:hyperlink>
      <w:r w:rsidRPr="001F1E4D">
        <w:t>),</w:t>
      </w:r>
      <w:r w:rsidRPr="001F1E4D">
        <w:rPr>
          <w:rStyle w:val="Textoennegrita"/>
          <w:b w:val="0"/>
        </w:rPr>
        <w:t xml:space="preserve"> las instituciones europeas aprueban 3.076 normas al año</w:t>
      </w:r>
      <w:r w:rsidRPr="001F1E4D">
        <w:t>. Dicho de otra forma, entre reglamentos, directivas y dictámenes, la UE aprueba 280 normas jurídicas al mes y 18 normas jurídicas al día sobre casi todos los productos de consumo.</w:t>
      </w:r>
    </w:p>
    <w:p w:rsidR="001F1E4D" w:rsidRPr="001F1E4D" w:rsidRDefault="001F1E4D" w:rsidP="00387350">
      <w:pPr>
        <w:pStyle w:val="NormalWeb"/>
        <w:jc w:val="both"/>
      </w:pPr>
      <w:r w:rsidRPr="001F1E4D">
        <w:t>A pesar de la crisis europea, lejos de frenar el exceso de legislación respecto a los países miembros, la UE no ha parado en la elaboración de leyes y ya se estima que más del 70% de las normas de los países de la Unión proceden de Bruselas.</w:t>
      </w:r>
    </w:p>
    <w:p w:rsidR="001F1E4D" w:rsidRPr="001F1E4D" w:rsidRDefault="006D19CB" w:rsidP="00387350">
      <w:pPr>
        <w:pStyle w:val="NormalWeb"/>
        <w:jc w:val="both"/>
      </w:pPr>
      <w:hyperlink r:id="rId424" w:history="1">
        <w:r w:rsidR="001F1E4D" w:rsidRPr="00E1247A">
          <w:rPr>
            <w:rStyle w:val="Hipervnculo"/>
            <w:color w:val="auto"/>
            <w:u w:val="none"/>
          </w:rPr>
          <w:t>Foro Europa Ciudadana</w:t>
        </w:r>
      </w:hyperlink>
      <w:r w:rsidR="001F1E4D" w:rsidRPr="00E1247A">
        <w:t xml:space="preserve"> </w:t>
      </w:r>
      <w:r w:rsidR="001F1E4D" w:rsidRPr="001F1E4D">
        <w:t xml:space="preserve">ha elaborado el informe </w:t>
      </w:r>
      <w:r w:rsidR="001F1E4D" w:rsidRPr="001F1E4D">
        <w:rPr>
          <w:rStyle w:val="nfasis"/>
        </w:rPr>
        <w:t>Hiperregulación en la Unión Europea</w:t>
      </w:r>
      <w:r w:rsidR="001F1E4D" w:rsidRPr="001F1E4D">
        <w:t xml:space="preserve"> en el que advierte del exceso de regulación en la UE y analiza los cuatro sectores más regulados: el farmacéutico, el tabaquero, aéreo y el bancario. Este fenómeno se ha convertido en</w:t>
      </w:r>
      <w:r w:rsidR="001F1E4D">
        <w:rPr>
          <w:rStyle w:val="Textoennegrita"/>
          <w:b w:val="0"/>
        </w:rPr>
        <w:t xml:space="preserve"> “</w:t>
      </w:r>
      <w:r w:rsidR="001F1E4D" w:rsidRPr="001F1E4D">
        <w:rPr>
          <w:rStyle w:val="Textoennegrita"/>
          <w:b w:val="0"/>
        </w:rPr>
        <w:t>una de las principales trabas para el desar</w:t>
      </w:r>
      <w:r w:rsidR="001F1E4D">
        <w:rPr>
          <w:rStyle w:val="Textoennegrita"/>
          <w:b w:val="0"/>
        </w:rPr>
        <w:t>rollo económico de las empresas”</w:t>
      </w:r>
      <w:r w:rsidR="001F1E4D" w:rsidRPr="001F1E4D">
        <w:rPr>
          <w:rStyle w:val="Textoennegrita"/>
          <w:b w:val="0"/>
        </w:rPr>
        <w:t>,</w:t>
      </w:r>
      <w:r w:rsidR="001F1E4D" w:rsidRPr="001F1E4D">
        <w:t xml:space="preserve"> explican.</w:t>
      </w:r>
    </w:p>
    <w:p w:rsidR="001F1E4D" w:rsidRPr="001F1E4D" w:rsidRDefault="001F1E4D" w:rsidP="00387350">
      <w:pPr>
        <w:pStyle w:val="NormalWeb"/>
        <w:jc w:val="both"/>
      </w:pPr>
      <w:r w:rsidRPr="001F1E4D">
        <w:lastRenderedPageBreak/>
        <w:t>De hecho, se estima que una directiva europea cualquiera implica entre 30 y 300 medidas de transposición para que el derecho nacional pueda adaptarse a los requisitos comunitarios.</w:t>
      </w:r>
    </w:p>
    <w:p w:rsidR="001F1E4D" w:rsidRPr="001F1E4D" w:rsidRDefault="001F1E4D" w:rsidP="00387350">
      <w:pPr>
        <w:pStyle w:val="NormalWeb"/>
        <w:jc w:val="both"/>
      </w:pPr>
      <w:r w:rsidRPr="001F1E4D">
        <w:rPr>
          <w:rStyle w:val="Textoennegrita"/>
          <w:b w:val="0"/>
        </w:rPr>
        <w:t xml:space="preserve">Las pymes son las más perjudicadas por el exceso de burocracia </w:t>
      </w:r>
      <w:r w:rsidRPr="001F1E4D">
        <w:t>ya que no disponen de recursos suficientes para afrontar la carga que conlleva. Las duplicidades en la obligación de presentar info</w:t>
      </w:r>
      <w:r>
        <w:t>rmes y estadísticas al detalle “</w:t>
      </w:r>
      <w:r w:rsidRPr="001F1E4D">
        <w:t>hace que los costes administrativos derivados de la regulación sean int</w:t>
      </w:r>
      <w:r>
        <w:t>olerables para ciertos sectores”</w:t>
      </w:r>
      <w:r w:rsidRPr="001F1E4D">
        <w:t>, apuntan en el informe elaborado por el doctor José Carlos Cano Montejano, profesor de Derecho Constitucional de la Universidad Complutense.</w:t>
      </w:r>
    </w:p>
    <w:p w:rsidR="001F1E4D" w:rsidRDefault="001F1E4D" w:rsidP="00387350">
      <w:pPr>
        <w:pStyle w:val="NormalWeb"/>
        <w:jc w:val="both"/>
      </w:pPr>
      <w:r w:rsidRPr="001F1E4D">
        <w:t>Según los datos de la propia Comisión Europea, los beneficios económicos derivados de la reducción de las cargas administrativas</w:t>
      </w:r>
      <w:r w:rsidRPr="001F1E4D">
        <w:rPr>
          <w:rStyle w:val="Textoennegrita"/>
          <w:b w:val="0"/>
        </w:rPr>
        <w:t xml:space="preserve"> podrían provocar un aumento del 1,5% del PIB comunitario</w:t>
      </w:r>
      <w:r w:rsidRPr="001F1E4D">
        <w:t>, lo que supondría al menos 150.000 millones de euros</w:t>
      </w:r>
      <w:r>
        <w:t>”..</w:t>
      </w:r>
      <w:r w:rsidRPr="001F1E4D">
        <w:t>.</w:t>
      </w:r>
      <w:r>
        <w:t xml:space="preserve"> </w:t>
      </w:r>
      <w:r w:rsidRPr="00EC152C">
        <w:rPr>
          <w:u w:val="single"/>
        </w:rPr>
        <w:t>La burocracia de Bruselas cuesta 150.000 millones al año</w:t>
      </w:r>
      <w:r>
        <w:t xml:space="preserve"> (Libertad Digital - </w:t>
      </w:r>
      <w:r w:rsidRPr="00EC152C">
        <w:rPr>
          <w:b/>
        </w:rPr>
        <w:t>13/7/13</w:t>
      </w:r>
      <w:r>
        <w:t>)</w:t>
      </w:r>
    </w:p>
    <w:p w:rsidR="001F1E4D" w:rsidRPr="001F1E4D" w:rsidRDefault="001F1E4D" w:rsidP="00387350">
      <w:pPr>
        <w:pStyle w:val="NormalWeb"/>
        <w:jc w:val="both"/>
      </w:pPr>
      <w:r>
        <w:t>“L</w:t>
      </w:r>
      <w:r w:rsidRPr="001F1E4D">
        <w:t>a auditoría del Tribunal de Cuentas europeo (TCE) ha comparado las facturas de 24 proyectos viales en España, Polonia, Grecia y Alemania, los cuatro países donde más kilómetros de carreteras se han construido con apoyo comunitario entre 2000 y 2013.</w:t>
      </w:r>
    </w:p>
    <w:p w:rsidR="001F1E4D" w:rsidRPr="001F1E4D" w:rsidRDefault="001F1E4D" w:rsidP="00387350">
      <w:pPr>
        <w:pStyle w:val="NormalWeb"/>
        <w:jc w:val="both"/>
      </w:pPr>
      <w:r w:rsidRPr="001F1E4D">
        <w:t>El Tribunal concluye, tras analizar 24 proyectos con una inversión total de 3.000 millones de euros, que el coste medio de los seis analizados en España (tres en Andalucía y tres en Extremadura) resultó casi el doble de los seis evaluados en Alemania, tras excluir elementos de ingeniería como viaductos y túneles.</w:t>
      </w:r>
    </w:p>
    <w:p w:rsidR="001F1E4D" w:rsidRPr="001F1E4D" w:rsidRDefault="001F1E4D" w:rsidP="00387350">
      <w:pPr>
        <w:pStyle w:val="NormalWeb"/>
        <w:jc w:val="both"/>
      </w:pPr>
      <w:r w:rsidRPr="001F1E4D">
        <w:t>El informe, dirigido por el miembro austríaco del Tribunal, Harald Wögerbauer, recomienda a la CE que averigüe las causas de esa diferencia para garantizar que en el futuro los criterios de licitación y contratación persiguen el resultado más económico en toda la UE.</w:t>
      </w:r>
    </w:p>
    <w:p w:rsidR="001F1E4D" w:rsidRPr="001F1E4D" w:rsidRDefault="001F1E4D" w:rsidP="00387350">
      <w:pPr>
        <w:pStyle w:val="NormalWeb"/>
        <w:jc w:val="both"/>
      </w:pPr>
      <w:r w:rsidRPr="001F1E4D">
        <w:t>Los auditores sospechan que esa eficiencia no está garantizada en estos momentos. En España, por ejemplo, cada 1.000 metros de superficie de carretera construida cuestan 160.694 euros frente a los 87.217 euros de Alemania. Solo en Polonia resulta algo más caro, 163.379 euros, mientras que en Grecia se sitúa en 122.562 euros.</w:t>
      </w:r>
    </w:p>
    <w:p w:rsidR="001F1E4D" w:rsidRPr="001F1E4D" w:rsidRDefault="001F1E4D" w:rsidP="00387350">
      <w:pPr>
        <w:pStyle w:val="NormalWeb"/>
        <w:jc w:val="both"/>
      </w:pPr>
      <w:r w:rsidRPr="001F1E4D">
        <w:t>El informe del Tribunal señala que ese dato es el que mejor refleja el coste de los proyectos, porque descuenta el coste asociado a circunstancias como la orografía del terreno, mucho más abrupta en España que en Alemania. Las diferencias, según el Tribunal, tampoco aparecen asociadas a los costes laborales de cada país.</w:t>
      </w:r>
    </w:p>
    <w:p w:rsidR="00BA0E27" w:rsidRDefault="001F1E4D" w:rsidP="00387350">
      <w:pPr>
        <w:pStyle w:val="NormalWeb"/>
        <w:jc w:val="both"/>
      </w:pPr>
      <w:r w:rsidRPr="001F1E4D">
        <w:t>El informe de Wögerbauer apunta más bien al proceso de adjudicación de los proyectos, que rara vez se decantó por las ofe</w:t>
      </w:r>
      <w:r w:rsidR="00BA0E27">
        <w:t xml:space="preserve">rtas más económicas”… </w:t>
      </w:r>
      <w:r w:rsidR="00BA0E27" w:rsidRPr="00BA0E27">
        <w:rPr>
          <w:u w:val="single"/>
        </w:rPr>
        <w:t>La construcción cuesta el doble que en Alemania, según los auditores</w:t>
      </w:r>
      <w:r w:rsidR="00BA0E27">
        <w:t xml:space="preserve"> - </w:t>
      </w:r>
      <w:r w:rsidR="00BA0E27" w:rsidRPr="00C02240">
        <w:rPr>
          <w:u w:val="single"/>
        </w:rPr>
        <w:t xml:space="preserve">La UE pide que se investigue el coste de las autovías en España </w:t>
      </w:r>
      <w:r w:rsidR="00BA0E27">
        <w:t xml:space="preserve">(Cinco Días - </w:t>
      </w:r>
      <w:r w:rsidR="00BA0E27" w:rsidRPr="00C02240">
        <w:rPr>
          <w:b/>
        </w:rPr>
        <w:t>15/7/13</w:t>
      </w:r>
      <w:r w:rsidR="00BA0E27">
        <w:t>)</w:t>
      </w:r>
    </w:p>
    <w:p w:rsidR="00BA0E27" w:rsidRPr="00BA0E27" w:rsidRDefault="00BA0E27" w:rsidP="00387350">
      <w:pPr>
        <w:pStyle w:val="NormalWeb"/>
        <w:jc w:val="both"/>
      </w:pPr>
      <w:r w:rsidRPr="00BA0E27">
        <w:t xml:space="preserve">“La Comisión Europea </w:t>
      </w:r>
      <w:hyperlink r:id="rId425" w:history="1">
        <w:r w:rsidRPr="00BA0E27">
          <w:rPr>
            <w:rStyle w:val="Hipervnculo"/>
            <w:color w:val="auto"/>
            <w:u w:val="none"/>
          </w:rPr>
          <w:t>acaba de anunciar</w:t>
        </w:r>
      </w:hyperlink>
      <w:r w:rsidRPr="00BA0E27">
        <w:t xml:space="preserve"> que sacará a concurso la gestión de una agencia de noticias pública que funcionará </w:t>
      </w:r>
      <w:r w:rsidRPr="00BA0E27">
        <w:rPr>
          <w:rStyle w:val="Textoennegrita"/>
          <w:b w:val="0"/>
        </w:rPr>
        <w:t>con cargo a los presupuestos de la Unión</w:t>
      </w:r>
      <w:r w:rsidRPr="00BA0E27">
        <w:rPr>
          <w:b/>
        </w:rPr>
        <w:t>.</w:t>
      </w:r>
      <w:r w:rsidRPr="00BA0E27">
        <w:t xml:space="preserve"> La solicitud de ofertas argumenta la creación de este nuevo ente afirmando que “la información sobre los asuntos europeos es a menudo escasa, irregular y carente de una </w:t>
      </w:r>
      <w:r w:rsidRPr="007F737C">
        <w:rPr>
          <w:rStyle w:val="nfasis"/>
          <w:i w:val="0"/>
        </w:rPr>
        <w:lastRenderedPageBreak/>
        <w:t>perspectiva europea amplia</w:t>
      </w:r>
      <w:r w:rsidRPr="00BA0E27">
        <w:t>”. Además, señala que “los europeos carecen de una comprensión crítica de los asuntos de la UE”.</w:t>
      </w:r>
    </w:p>
    <w:p w:rsidR="00BA0E27" w:rsidRPr="00BA0E27" w:rsidRDefault="00BA0E27" w:rsidP="00387350">
      <w:pPr>
        <w:pStyle w:val="NormalWeb"/>
        <w:jc w:val="both"/>
      </w:pPr>
      <w:r w:rsidRPr="00BA0E27">
        <w:t xml:space="preserve">Es por eso que la Comisión Europea espera ofertas hasta el próximo 14 de agosto, fecha en que empezará a decidir qué propuesta </w:t>
      </w:r>
      <w:hyperlink r:id="rId426" w:history="1">
        <w:r w:rsidRPr="00BA0E27">
          <w:rPr>
            <w:rStyle w:val="Hipervnculo"/>
            <w:color w:val="auto"/>
            <w:u w:val="none"/>
          </w:rPr>
          <w:t>se lleva 3,2 millones</w:t>
        </w:r>
      </w:hyperlink>
      <w:r w:rsidRPr="00BA0E27">
        <w:t xml:space="preserve"> de euros</w:t>
      </w:r>
      <w:r w:rsidR="00E1247A">
        <w:t xml:space="preserve"> anuales por manejar este nuevo “servicio”</w:t>
      </w:r>
      <w:r w:rsidRPr="00BA0E27">
        <w:t xml:space="preserve"> comunitario.</w:t>
      </w:r>
    </w:p>
    <w:p w:rsidR="00BA0E27" w:rsidRPr="00BA0E27" w:rsidRDefault="00BA0E27" w:rsidP="00387350">
      <w:pPr>
        <w:pStyle w:val="NormalWeb"/>
        <w:jc w:val="both"/>
      </w:pPr>
      <w:r w:rsidRPr="00BA0E27">
        <w:t xml:space="preserve">La noticia ha llamado la atención de medios como el </w:t>
      </w:r>
      <w:r w:rsidRPr="00BA0E27">
        <w:rPr>
          <w:rStyle w:val="nfasis"/>
        </w:rPr>
        <w:t>Wall Street Journal</w:t>
      </w:r>
      <w:r w:rsidRPr="00BA0E27">
        <w:t xml:space="preserve">, que </w:t>
      </w:r>
      <w:hyperlink r:id="rId427" w:history="1">
        <w:r w:rsidRPr="00BA0E27">
          <w:rPr>
            <w:rStyle w:val="Hipervnculo"/>
            <w:color w:val="auto"/>
            <w:u w:val="none"/>
          </w:rPr>
          <w:t>se pregunta</w:t>
        </w:r>
      </w:hyperlink>
      <w:r w:rsidRPr="00BA0E27">
        <w:t xml:space="preserve"> por qué es necesario lanzar una agencia de noticias si la UE cuenta ya con más de 500 periodistas en nómina, 170 de los cuales trabajan directamente en la Comisión Europea. Vale la pena señalar que, cada año, la Dirección de Comunicación de la Comisión maneja </w:t>
      </w:r>
      <w:r w:rsidRPr="00BA0E27">
        <w:rPr>
          <w:rStyle w:val="Textoennegrita"/>
          <w:b w:val="0"/>
        </w:rPr>
        <w:t>más de 100 millones de euros para financiar medios</w:t>
      </w:r>
      <w:r w:rsidRPr="00BA0E27">
        <w:rPr>
          <w:b/>
        </w:rPr>
        <w:t xml:space="preserve"> </w:t>
      </w:r>
      <w:r w:rsidRPr="00BA0E27">
        <w:t xml:space="preserve">como el canal de </w:t>
      </w:r>
      <w:r w:rsidR="002E6E34" w:rsidRPr="00BA0E27">
        <w:t>televisión</w:t>
      </w:r>
      <w:r w:rsidRPr="00BA0E27">
        <w:t xml:space="preserve"> Euronews, el servicio Euranet o el ente Presseurop.</w:t>
      </w:r>
    </w:p>
    <w:p w:rsidR="00BA0E27" w:rsidRPr="00BA0E27" w:rsidRDefault="00BA0E27" w:rsidP="00387350">
      <w:pPr>
        <w:pStyle w:val="NormalWeb"/>
        <w:jc w:val="both"/>
      </w:pPr>
      <w:r w:rsidRPr="00BA0E27">
        <w:t xml:space="preserve">Evidentemente, éste no es el último caso, En los últimos años, diferentes burócratas europeos </w:t>
      </w:r>
      <w:hyperlink r:id="rId428" w:history="1">
        <w:r w:rsidRPr="00BA0E27">
          <w:rPr>
            <w:rStyle w:val="Hipervnculo"/>
            <w:color w:val="auto"/>
            <w:u w:val="none"/>
          </w:rPr>
          <w:t>han alzado la voz</w:t>
        </w:r>
      </w:hyperlink>
      <w:r w:rsidRPr="00BA0E27">
        <w:t xml:space="preserve"> para quejarse del mal uso del dinero público que hace la Unión Europea. Es el caso de la británica Marta Andreasen, que ha señalado que “2012 fue el 18º año consecutivo en el que la auditoría del Tribunal de Cuentas Europeo subrayó la mala salud de las cuentas comunitarios”.</w:t>
      </w:r>
    </w:p>
    <w:p w:rsidR="00BA0E27" w:rsidRPr="00BA0E27" w:rsidRDefault="00BA0E27" w:rsidP="00387350">
      <w:pPr>
        <w:pStyle w:val="NormalWeb"/>
        <w:jc w:val="both"/>
      </w:pPr>
      <w:r w:rsidRPr="00BA0E27">
        <w:t xml:space="preserve">De acuerdo con el último informe del Tribunal de Cuentas comunitario, la sombra de la sospecha se cierne </w:t>
      </w:r>
      <w:r w:rsidRPr="007F737C">
        <w:t>sobre</w:t>
      </w:r>
      <w:r w:rsidRPr="00BA0E27">
        <w:rPr>
          <w:b/>
        </w:rPr>
        <w:t xml:space="preserve"> </w:t>
      </w:r>
      <w:r w:rsidRPr="00BA0E27">
        <w:rPr>
          <w:rStyle w:val="Textoennegrita"/>
          <w:b w:val="0"/>
        </w:rPr>
        <w:t>programas de gasto que comprenden hasta 89.000 millones</w:t>
      </w:r>
      <w:r w:rsidRPr="00BA0E27">
        <w:t xml:space="preserve"> de euros. Entre los ejemplos que cita la auditoría más reciente, encontramos el de una agencia de ayuda al desarrollo que se pagó más de </w:t>
      </w:r>
      <w:hyperlink r:id="rId429" w:history="1">
        <w:r w:rsidRPr="00BA0E27">
          <w:rPr>
            <w:rStyle w:val="Hipervnculo"/>
            <w:color w:val="auto"/>
            <w:u w:val="none"/>
          </w:rPr>
          <w:t>cuatro millones de euros a sí misma</w:t>
        </w:r>
      </w:hyperlink>
      <w:r w:rsidRPr="00BA0E27">
        <w:t xml:space="preserve"> en concepto de “asistencia técnica”. Otro caso flagrante es la </w:t>
      </w:r>
      <w:hyperlink r:id="rId430" w:history="1">
        <w:r w:rsidRPr="00BA0E27">
          <w:rPr>
            <w:rStyle w:val="Hipervnculo"/>
            <w:color w:val="auto"/>
            <w:u w:val="none"/>
          </w:rPr>
          <w:t>donación de más de 500 millones</w:t>
        </w:r>
      </w:hyperlink>
      <w:r w:rsidRPr="00BA0E27">
        <w:t xml:space="preserve"> de euros a Egipto “para luchar contra la corrupción”. El destino de dicho aporte presupuestario no ha podido ser verificado, a pesar de que el dinero fue desembolsado.</w:t>
      </w:r>
    </w:p>
    <w:p w:rsidR="00BA0E27" w:rsidRPr="00BA0E27" w:rsidRDefault="00BA0E27" w:rsidP="00387350">
      <w:pPr>
        <w:pStyle w:val="NormalWeb"/>
        <w:jc w:val="both"/>
      </w:pPr>
      <w:r w:rsidRPr="00BA0E27">
        <w:t xml:space="preserve">El </w:t>
      </w:r>
      <w:r w:rsidR="001A3AAD">
        <w:t>“</w:t>
      </w:r>
      <w:r w:rsidRPr="001A3AAD">
        <w:rPr>
          <w:rStyle w:val="nfasis"/>
          <w:i w:val="0"/>
        </w:rPr>
        <w:t>think tank</w:t>
      </w:r>
      <w:r w:rsidR="001A3AAD">
        <w:rPr>
          <w:rStyle w:val="nfasis"/>
          <w:i w:val="0"/>
        </w:rPr>
        <w:t>”</w:t>
      </w:r>
      <w:r w:rsidRPr="00BA0E27">
        <w:t xml:space="preserve"> </w:t>
      </w:r>
      <w:r w:rsidRPr="00E1247A">
        <w:t>Open Europe</w:t>
      </w:r>
      <w:r w:rsidRPr="00BA0E27">
        <w:t xml:space="preserve"> produjo hace algunos años un </w:t>
      </w:r>
      <w:hyperlink r:id="rId431" w:tgtFrame="_blank" w:history="1">
        <w:r w:rsidRPr="00BA0E27">
          <w:rPr>
            <w:rStyle w:val="Hipervnculo"/>
            <w:color w:val="auto"/>
            <w:u w:val="none"/>
          </w:rPr>
          <w:t>informe</w:t>
        </w:r>
      </w:hyperlink>
      <w:r w:rsidRPr="00BA0E27">
        <w:t xml:space="preserve"> dedicado a analizar el despilfarro y descontrol de recursos públicos que rige en los gastos de la Unión Europea. No es esta una cuestión ajena a los lectores de </w:t>
      </w:r>
      <w:r w:rsidRPr="001A3AAD">
        <w:rPr>
          <w:rStyle w:val="Textoennegrita"/>
          <w:b w:val="0"/>
          <w:i/>
        </w:rPr>
        <w:t>Libertad Digital</w:t>
      </w:r>
      <w:r w:rsidRPr="00BA0E27">
        <w:t>, ya que con motivo de la última negociación de fondos europeos, este diario explicó que “</w:t>
      </w:r>
      <w:hyperlink r:id="rId432" w:tgtFrame="_blank" w:history="1">
        <w:r w:rsidRPr="00BA0E27">
          <w:rPr>
            <w:rStyle w:val="Hipervnculo"/>
            <w:color w:val="auto"/>
            <w:u w:val="none"/>
          </w:rPr>
          <w:t>casi el 90% del presupuesto</w:t>
        </w:r>
      </w:hyperlink>
      <w:r w:rsidRPr="00BA0E27">
        <w:t xml:space="preserve"> de la UE se destina a subvencionar sectores improductivos o a redistribuir recursos de unos países a otros vía inversión pública”.</w:t>
      </w:r>
    </w:p>
    <w:p w:rsidR="00BA0E27" w:rsidRDefault="00BA0E27" w:rsidP="00387350">
      <w:pPr>
        <w:spacing w:before="100" w:beforeAutospacing="1" w:after="100" w:afterAutospacing="1" w:line="240" w:lineRule="auto"/>
        <w:jc w:val="both"/>
        <w:rPr>
          <w:rFonts w:ascii="Times New Roman" w:eastAsia="Times New Roman" w:hAnsi="Times New Roman" w:cs="Times New Roman"/>
          <w:sz w:val="24"/>
          <w:szCs w:val="24"/>
        </w:rPr>
      </w:pPr>
      <w:r w:rsidRPr="00BA0E27">
        <w:rPr>
          <w:rFonts w:ascii="Times New Roman" w:hAnsi="Times New Roman" w:cs="Times New Roman"/>
          <w:sz w:val="24"/>
          <w:szCs w:val="24"/>
        </w:rPr>
        <w:t xml:space="preserve">Sin embargo, los estudios sobre el manejo concreto de estos fondos brillan por su ausencia, en gran medida por la lejanía de las instituciones europeas y por la dificultad de fiscalizar un enorme aparato burocrático que, en términos de transparencia, tiene mucho camino por delante. No en vano, el eurodiputado Daniel Hannan declaró en </w:t>
      </w:r>
      <w:r w:rsidRPr="00BA0E27">
        <w:rPr>
          <w:rStyle w:val="Textoennegrita"/>
          <w:rFonts w:ascii="Times New Roman" w:hAnsi="Times New Roman" w:cs="Times New Roman"/>
          <w:b w:val="0"/>
          <w:sz w:val="24"/>
          <w:szCs w:val="24"/>
        </w:rPr>
        <w:t>Libre Mercado</w:t>
      </w:r>
      <w:r w:rsidRPr="00BA0E27">
        <w:rPr>
          <w:rFonts w:ascii="Times New Roman" w:hAnsi="Times New Roman" w:cs="Times New Roman"/>
          <w:sz w:val="24"/>
          <w:szCs w:val="24"/>
        </w:rPr>
        <w:t xml:space="preserve"> que, “de acuerdo con el Tribunal de Cuentas de la UE, </w:t>
      </w:r>
      <w:hyperlink r:id="rId433" w:tgtFrame="_blank" w:history="1">
        <w:r w:rsidRPr="00BA0E27">
          <w:rPr>
            <w:rStyle w:val="Hipervnculo"/>
            <w:rFonts w:ascii="Times New Roman" w:hAnsi="Times New Roman" w:cs="Times New Roman"/>
            <w:color w:val="auto"/>
            <w:sz w:val="24"/>
            <w:szCs w:val="24"/>
            <w:u w:val="none"/>
          </w:rPr>
          <w:t>solamente el 11%</w:t>
        </w:r>
      </w:hyperlink>
      <w:r w:rsidRPr="00BA0E27">
        <w:rPr>
          <w:rFonts w:ascii="Times New Roman" w:hAnsi="Times New Roman" w:cs="Times New Roman"/>
          <w:sz w:val="24"/>
          <w:szCs w:val="24"/>
        </w:rPr>
        <w:t xml:space="preserve"> del gasto de la UE puede ser justificado de forma clara y definitiva”...</w:t>
      </w:r>
      <w:r>
        <w:t xml:space="preserve"> </w:t>
      </w:r>
      <w:r w:rsidRPr="00BA0E27">
        <w:rPr>
          <w:rFonts w:ascii="Times New Roman" w:eastAsia="Times New Roman" w:hAnsi="Times New Roman" w:cs="Times New Roman"/>
          <w:sz w:val="24"/>
          <w:szCs w:val="24"/>
          <w:u w:val="single"/>
        </w:rPr>
        <w:t>Ejemplos de despilfarro en Bruselas</w:t>
      </w:r>
      <w:r>
        <w:rPr>
          <w:rFonts w:ascii="Times New Roman" w:eastAsia="Times New Roman" w:hAnsi="Times New Roman" w:cs="Times New Roman"/>
          <w:sz w:val="24"/>
          <w:szCs w:val="24"/>
        </w:rPr>
        <w:t xml:space="preserve"> - </w:t>
      </w:r>
      <w:r w:rsidRPr="00821A0B">
        <w:rPr>
          <w:rFonts w:ascii="Times New Roman" w:eastAsia="Times New Roman" w:hAnsi="Times New Roman" w:cs="Times New Roman"/>
          <w:sz w:val="24"/>
          <w:szCs w:val="24"/>
          <w:u w:val="single"/>
        </w:rPr>
        <w:t>La U</w:t>
      </w:r>
      <w:r>
        <w:rPr>
          <w:rFonts w:ascii="Times New Roman" w:eastAsia="Times New Roman" w:hAnsi="Times New Roman" w:cs="Times New Roman"/>
          <w:sz w:val="24"/>
          <w:szCs w:val="24"/>
          <w:u w:val="single"/>
        </w:rPr>
        <w:t>E se gasta 3,2 millones en una “agencia de noticias europea”</w:t>
      </w:r>
      <w:r>
        <w:rPr>
          <w:rFonts w:ascii="Times New Roman" w:eastAsia="Times New Roman" w:hAnsi="Times New Roman" w:cs="Times New Roman"/>
          <w:sz w:val="24"/>
          <w:szCs w:val="24"/>
        </w:rPr>
        <w:t xml:space="preserve"> (Libertad Digital - </w:t>
      </w:r>
      <w:r w:rsidRPr="00821A0B">
        <w:rPr>
          <w:rFonts w:ascii="Times New Roman" w:eastAsia="Times New Roman" w:hAnsi="Times New Roman" w:cs="Times New Roman"/>
          <w:b/>
          <w:sz w:val="24"/>
          <w:szCs w:val="24"/>
        </w:rPr>
        <w:t>21/7/13</w:t>
      </w:r>
      <w:r>
        <w:rPr>
          <w:rFonts w:ascii="Times New Roman" w:eastAsia="Times New Roman" w:hAnsi="Times New Roman" w:cs="Times New Roman"/>
          <w:sz w:val="24"/>
          <w:szCs w:val="24"/>
        </w:rPr>
        <w:t>)</w:t>
      </w:r>
    </w:p>
    <w:p w:rsidR="00BA0E27" w:rsidRPr="00986D80" w:rsidRDefault="00BA0E27" w:rsidP="00387350">
      <w:pPr>
        <w:spacing w:before="100" w:beforeAutospacing="1" w:after="100" w:afterAutospacing="1" w:line="240" w:lineRule="auto"/>
        <w:jc w:val="both"/>
        <w:rPr>
          <w:rFonts w:ascii="Times New Roman" w:eastAsia="Times New Roman" w:hAnsi="Times New Roman" w:cs="Times New Roman"/>
          <w:sz w:val="24"/>
          <w:szCs w:val="24"/>
        </w:rPr>
      </w:pPr>
      <w:r w:rsidRPr="00986D80">
        <w:rPr>
          <w:rFonts w:ascii="Times New Roman" w:eastAsia="Times New Roman" w:hAnsi="Times New Roman" w:cs="Times New Roman"/>
          <w:sz w:val="24"/>
          <w:szCs w:val="24"/>
        </w:rPr>
        <w:t xml:space="preserve">“Para el post de hoy, me voy a basar en un artículo de Daniele Amore y Morten Bennedsen que muestra evidencia clara sobre la existencia de corrupción a nivel municipal en Dinamarca. El objeto de estudio es interesante por dos motivos. En primer lugar Dinamarca es el país con el menor nivel de corrupción percibida del mundo según los índices de Transparency International. En comparación España se encuentra en el </w:t>
      </w:r>
      <w:r w:rsidRPr="00986D80">
        <w:rPr>
          <w:rFonts w:ascii="Times New Roman" w:eastAsia="Times New Roman" w:hAnsi="Times New Roman" w:cs="Times New Roman"/>
          <w:sz w:val="24"/>
          <w:szCs w:val="24"/>
        </w:rPr>
        <w:lastRenderedPageBreak/>
        <w:t>número 30 de ese mismo ranking (empatada con Botsuana y justo por delante de Estonia). Aunque cualquier índice está sujeto a posibles críticas, no parece controvertido afirmar que Dinamarca es un país donde la corrupción es reducida y los niveles de responsabilidad política son altos. Como anécdota del nivel de responsabilidad que se exige a los políticos daneses, el primer ministro danés Poul Schlüter dimitió en 1993 por haber ocultado al parlamento que se habían retrasado deliberadamente los visados de los familiares de los refugiados tamiles. Identificar que la corrupción en los ámbitos municipales es sustancial en un contexto como este nos da una idea de los niveles mínimos de corrupción que se pueden alcanzar en condiciones que no fomentan la corrupción. Existen numerosos estudios sobre la incidencia de la corrupción en entornos más corruptos, países en desarrollo o en situaciones de crisis. Podríamos considerar que estos estudios marcan el límite superior de los niveles de corrupción. Por el contrario, el ejemplo de Dinamarca nos da un límite inferior a los niveles de corrupción. Como veremos, los resultados no son muy alentadores y este límite inferior es bastante alto. En segundo lugar, aunque los grandes casos de corrupción pueden ser los más visibles y los más fáciles de investigar, la corrupción local o de baja intensidad puede ser mucho más costosa para la sociedad. Los costes de la corrupción en el municipio, la ventanilla administrativa o la escalera de vecinos son difíciles de medir, pero potencialmente importantes. Este artículo nos da una idea de la incidencia de dichos casos.</w:t>
      </w:r>
    </w:p>
    <w:p w:rsidR="00BA0E27" w:rsidRPr="00986D80" w:rsidRDefault="00BA0E27" w:rsidP="00387350">
      <w:pPr>
        <w:spacing w:before="100" w:beforeAutospacing="1" w:after="100" w:afterAutospacing="1" w:line="240" w:lineRule="auto"/>
        <w:jc w:val="both"/>
        <w:rPr>
          <w:rFonts w:ascii="Times New Roman" w:eastAsia="Times New Roman" w:hAnsi="Times New Roman" w:cs="Times New Roman"/>
          <w:sz w:val="24"/>
          <w:szCs w:val="24"/>
        </w:rPr>
      </w:pPr>
      <w:r w:rsidRPr="00986D80">
        <w:rPr>
          <w:rFonts w:ascii="Times New Roman" w:eastAsia="Times New Roman" w:hAnsi="Times New Roman" w:cs="Times New Roman"/>
          <w:sz w:val="24"/>
          <w:szCs w:val="24"/>
        </w:rPr>
        <w:t>La metodología del estudio es además muy interesante. Aprovecha un cambio legislativo en 2005 que agrupó, a los municipios en Dinamarca en municipios más grandes. Antes del 2005 los 268 municipios existentes en Dinamarca oscilaban entre los 5</w:t>
      </w:r>
      <w:r w:rsidR="005C4BD0">
        <w:rPr>
          <w:rFonts w:ascii="Times New Roman" w:eastAsia="Times New Roman" w:hAnsi="Times New Roman" w:cs="Times New Roman"/>
          <w:sz w:val="24"/>
          <w:szCs w:val="24"/>
        </w:rPr>
        <w:t>.</w:t>
      </w:r>
      <w:r w:rsidRPr="00986D80">
        <w:rPr>
          <w:rFonts w:ascii="Times New Roman" w:eastAsia="Times New Roman" w:hAnsi="Times New Roman" w:cs="Times New Roman"/>
          <w:sz w:val="24"/>
          <w:szCs w:val="24"/>
        </w:rPr>
        <w:t>000 y los 400</w:t>
      </w:r>
      <w:r w:rsidR="005C4BD0">
        <w:rPr>
          <w:rFonts w:ascii="Times New Roman" w:eastAsia="Times New Roman" w:hAnsi="Times New Roman" w:cs="Times New Roman"/>
          <w:sz w:val="24"/>
          <w:szCs w:val="24"/>
        </w:rPr>
        <w:t>.</w:t>
      </w:r>
      <w:r w:rsidRPr="00986D80">
        <w:rPr>
          <w:rFonts w:ascii="Times New Roman" w:eastAsia="Times New Roman" w:hAnsi="Times New Roman" w:cs="Times New Roman"/>
          <w:sz w:val="24"/>
          <w:szCs w:val="24"/>
        </w:rPr>
        <w:t>000 habitantes. En 2005 se decidió a nivel nacional y hasta cierto punto por sorpresa que el número mínimo de habitantes de un municipio debería ser 20</w:t>
      </w:r>
      <w:r w:rsidR="005C4BD0">
        <w:rPr>
          <w:rFonts w:ascii="Times New Roman" w:eastAsia="Times New Roman" w:hAnsi="Times New Roman" w:cs="Times New Roman"/>
          <w:sz w:val="24"/>
          <w:szCs w:val="24"/>
        </w:rPr>
        <w:t>.</w:t>
      </w:r>
      <w:r w:rsidRPr="00986D80">
        <w:rPr>
          <w:rFonts w:ascii="Times New Roman" w:eastAsia="Times New Roman" w:hAnsi="Times New Roman" w:cs="Times New Roman"/>
          <w:sz w:val="24"/>
          <w:szCs w:val="24"/>
        </w:rPr>
        <w:t>000 habitantes. Esto implico que los municipios entre 5</w:t>
      </w:r>
      <w:r w:rsidR="005C4BD0">
        <w:rPr>
          <w:rFonts w:ascii="Times New Roman" w:eastAsia="Times New Roman" w:hAnsi="Times New Roman" w:cs="Times New Roman"/>
          <w:sz w:val="24"/>
          <w:szCs w:val="24"/>
        </w:rPr>
        <w:t>.</w:t>
      </w:r>
      <w:r w:rsidRPr="00986D80">
        <w:rPr>
          <w:rFonts w:ascii="Times New Roman" w:eastAsia="Times New Roman" w:hAnsi="Times New Roman" w:cs="Times New Roman"/>
          <w:sz w:val="24"/>
          <w:szCs w:val="24"/>
        </w:rPr>
        <w:t>000 y 20</w:t>
      </w:r>
      <w:r w:rsidR="005C4BD0">
        <w:rPr>
          <w:rFonts w:ascii="Times New Roman" w:eastAsia="Times New Roman" w:hAnsi="Times New Roman" w:cs="Times New Roman"/>
          <w:sz w:val="24"/>
          <w:szCs w:val="24"/>
        </w:rPr>
        <w:t>.</w:t>
      </w:r>
      <w:r w:rsidRPr="00986D80">
        <w:rPr>
          <w:rFonts w:ascii="Times New Roman" w:eastAsia="Times New Roman" w:hAnsi="Times New Roman" w:cs="Times New Roman"/>
          <w:sz w:val="24"/>
          <w:szCs w:val="24"/>
        </w:rPr>
        <w:t>000 habitantes se tuvieron que reagrupar mediante unos criterios geográficos y de tamaño hasta alcanzar el tamaño mínimo. En la práctica 238 municipios se tuvieron que reagrupar en 65 municipios de mayor tamaño. Los otros 33 municipios que ya eran grandes en 2005 no se vieron afectados por la medida. Este cambio legislativo es interesante para estudiar la corrupción, porque aquellos políticos que pertenecían a los municipios agrupados y fueron reelegidos después del 2005 aumentaron significativamente el volumen de recursos sobre el que tenían poder de decisión. En los municipios consolidados el número de habitantes por municipio creció más del doble. El gasto total se triplicó y el gasto en subcontratas se multiplicó por seis. En los municipios en los que no se produjo un cambio, estas medidas apenas se vieron afectadas.</w:t>
      </w:r>
    </w:p>
    <w:p w:rsidR="00BA0E27" w:rsidRPr="00986D80" w:rsidRDefault="00BA0E27" w:rsidP="00387350">
      <w:pPr>
        <w:spacing w:before="100" w:beforeAutospacing="1" w:after="100" w:afterAutospacing="1" w:line="240" w:lineRule="auto"/>
        <w:jc w:val="both"/>
        <w:rPr>
          <w:rFonts w:ascii="Times New Roman" w:eastAsia="Times New Roman" w:hAnsi="Times New Roman" w:cs="Times New Roman"/>
          <w:sz w:val="24"/>
          <w:szCs w:val="24"/>
        </w:rPr>
      </w:pPr>
      <w:r w:rsidRPr="00986D80">
        <w:rPr>
          <w:rFonts w:ascii="Times New Roman" w:eastAsia="Times New Roman" w:hAnsi="Times New Roman" w:cs="Times New Roman"/>
          <w:sz w:val="24"/>
          <w:szCs w:val="24"/>
        </w:rPr>
        <w:t>La idea fundamental del artículo no es muy diferente a la de los artículos que comento Gerard Padró en un post anterior. Podemos medir la corrupción midiendo cómo se ven afectados los beneficios de las empresas conectadas a ciertos políticos cuando cambian inesperadamente las circunstancias de estos. En el caso de los artículos que comentaba Gerard, la circunstancia que cambio fue el estado de salud del político. En este artículo sobre España de  Pau Castells y Francesc Trillas la circunstancia analizada es la victoria inesperada del PSOE  en el 2004. En el artículo de Amore y Bennedsen, lo que cambia son los recursos que el político tiene a su cargo.</w:t>
      </w:r>
    </w:p>
    <w:p w:rsidR="00BA0E27" w:rsidRPr="00986D80" w:rsidRDefault="00BA0E27" w:rsidP="00387350">
      <w:pPr>
        <w:spacing w:before="100" w:beforeAutospacing="1" w:after="100" w:afterAutospacing="1" w:line="240" w:lineRule="auto"/>
        <w:jc w:val="both"/>
        <w:rPr>
          <w:rFonts w:ascii="Times New Roman" w:eastAsia="Times New Roman" w:hAnsi="Times New Roman" w:cs="Times New Roman"/>
          <w:sz w:val="24"/>
          <w:szCs w:val="24"/>
        </w:rPr>
      </w:pPr>
      <w:r w:rsidRPr="00986D80">
        <w:rPr>
          <w:rFonts w:ascii="Times New Roman" w:eastAsia="Times New Roman" w:hAnsi="Times New Roman" w:cs="Times New Roman"/>
          <w:sz w:val="24"/>
          <w:szCs w:val="24"/>
        </w:rPr>
        <w:t xml:space="preserve">Siguiendo esta idea, Amore y Bennedsen obtienen la lista de los políticos municipales de los municipios agrupados en Dinamarca. En particular la lista de aquellos que fueron reelegidos después del 2005. Posteriormente cruzan esta lista con el censo de empresas </w:t>
      </w:r>
      <w:r w:rsidRPr="00986D80">
        <w:rPr>
          <w:rFonts w:ascii="Times New Roman" w:eastAsia="Times New Roman" w:hAnsi="Times New Roman" w:cs="Times New Roman"/>
          <w:sz w:val="24"/>
          <w:szCs w:val="24"/>
        </w:rPr>
        <w:lastRenderedPageBreak/>
        <w:t xml:space="preserve">en Dinamarca para identificar aquellas empresas que están conectadas con políticos. Las empresas conectadas se definen como aquellas en las que el director general o el presidente del consejo de administración, son padre/madre, hijo/hija, hermano o hermana de un político municipal. Posteriormente estudian los efectos de esta medida sobre los resultados de estas empresas. Lo hacen en términos relativos a otras empresas conectadas en municipios que no sufrieron cambios. También incluyen una parte del análisis en la que el grupo de comparación son municipios justo por encima de los 10000 habitantes para minimizar cualquier posible sesgo inducido por incluir municipios excesivamente grandes. Este último método es similar al que Antonio Cabrales explicaba en este post, que también habla de la medición de la corrupción municipal. Hay que remarcar que esta metodología parece fácil de adaptar y replicar para el caso español, más </w:t>
      </w:r>
      <w:r w:rsidR="002E6E34" w:rsidRPr="00986D80">
        <w:rPr>
          <w:rFonts w:ascii="Times New Roman" w:eastAsia="Times New Roman" w:hAnsi="Times New Roman" w:cs="Times New Roman"/>
          <w:sz w:val="24"/>
          <w:szCs w:val="24"/>
        </w:rPr>
        <w:t>aún</w:t>
      </w:r>
      <w:r w:rsidRPr="00986D80">
        <w:rPr>
          <w:rFonts w:ascii="Times New Roman" w:eastAsia="Times New Roman" w:hAnsi="Times New Roman" w:cs="Times New Roman"/>
          <w:sz w:val="24"/>
          <w:szCs w:val="24"/>
        </w:rPr>
        <w:t xml:space="preserve"> si fructifican los intentos actuales de agrupar municipios. ¿Alguien se anima a reproducir el artículo con datos españoles?</w:t>
      </w:r>
    </w:p>
    <w:p w:rsidR="00BA0E27" w:rsidRPr="00986D80" w:rsidRDefault="00BA0E27" w:rsidP="00387350">
      <w:pPr>
        <w:spacing w:before="100" w:beforeAutospacing="1" w:after="100" w:afterAutospacing="1" w:line="240" w:lineRule="auto"/>
        <w:jc w:val="both"/>
        <w:rPr>
          <w:rFonts w:ascii="Times New Roman" w:eastAsia="Times New Roman" w:hAnsi="Times New Roman" w:cs="Times New Roman"/>
          <w:sz w:val="24"/>
          <w:szCs w:val="24"/>
        </w:rPr>
      </w:pPr>
      <w:r w:rsidRPr="00986D80">
        <w:rPr>
          <w:rFonts w:ascii="Times New Roman" w:eastAsia="Times New Roman" w:hAnsi="Times New Roman" w:cs="Times New Roman"/>
          <w:sz w:val="24"/>
          <w:szCs w:val="24"/>
        </w:rPr>
        <w:t>Los resultados en Dinamarca muestran que si la población del municipio se dobla, los beneficios operativos de las empresas conectadas a los políticos también se doblan. El aumento de beneficios de las empresas conectadas es por tanto elevado y muy significativo. El efecto es debido a un aumento en los ingresos y no a ganancias de eficiencia.</w:t>
      </w:r>
    </w:p>
    <w:p w:rsidR="00986D80" w:rsidRDefault="00BA0E27" w:rsidP="00387350">
      <w:pPr>
        <w:spacing w:before="100" w:beforeAutospacing="1" w:after="100" w:afterAutospacing="1" w:line="240" w:lineRule="auto"/>
        <w:jc w:val="both"/>
        <w:rPr>
          <w:rFonts w:ascii="Times New Roman" w:eastAsia="Times New Roman" w:hAnsi="Times New Roman" w:cs="Times New Roman"/>
          <w:sz w:val="24"/>
          <w:szCs w:val="24"/>
        </w:rPr>
      </w:pPr>
      <w:r w:rsidRPr="00986D80">
        <w:rPr>
          <w:rFonts w:ascii="Times New Roman" w:eastAsia="Times New Roman" w:hAnsi="Times New Roman" w:cs="Times New Roman"/>
          <w:sz w:val="24"/>
          <w:szCs w:val="24"/>
        </w:rPr>
        <w:t>Hay que clarificar lo que el articulo mide y lo que no. Lo que queda muy claro es que el nepotismo entre políticos y empresas vinculadas a ellos existe en Dinamarca y es bastante importante desde el punto de vista de las empresas. Los canales por los que se produce esta corrupción son por otra parte difíciles de identificar</w:t>
      </w:r>
      <w:r w:rsidR="00986D80" w:rsidRPr="00986D80">
        <w:rPr>
          <w:rFonts w:ascii="Times New Roman" w:eastAsia="Times New Roman" w:hAnsi="Times New Roman" w:cs="Times New Roman"/>
          <w:sz w:val="24"/>
          <w:szCs w:val="24"/>
        </w:rPr>
        <w:t>”..</w:t>
      </w:r>
      <w:r w:rsidRPr="00986D80">
        <w:rPr>
          <w:rFonts w:ascii="Times New Roman" w:eastAsia="Times New Roman" w:hAnsi="Times New Roman" w:cs="Times New Roman"/>
          <w:sz w:val="24"/>
          <w:szCs w:val="24"/>
        </w:rPr>
        <w:t>.</w:t>
      </w:r>
      <w:r w:rsidR="00986D80" w:rsidRPr="00986D80">
        <w:rPr>
          <w:rFonts w:ascii="Times New Roman" w:eastAsia="Times New Roman" w:hAnsi="Times New Roman" w:cs="Times New Roman"/>
          <w:sz w:val="24"/>
          <w:szCs w:val="24"/>
        </w:rPr>
        <w:t xml:space="preserve"> </w:t>
      </w:r>
      <w:r w:rsidR="00986D80" w:rsidRPr="00D1450F">
        <w:rPr>
          <w:rFonts w:ascii="Times New Roman" w:eastAsia="Times New Roman" w:hAnsi="Times New Roman" w:cs="Times New Roman"/>
          <w:sz w:val="24"/>
          <w:szCs w:val="24"/>
          <w:u w:val="single"/>
        </w:rPr>
        <w:t>Corrupción Municipal (¡En Dinamarca!)</w:t>
      </w:r>
      <w:r w:rsidR="00986D80">
        <w:rPr>
          <w:rFonts w:ascii="Times New Roman" w:eastAsia="Times New Roman" w:hAnsi="Times New Roman" w:cs="Times New Roman"/>
          <w:sz w:val="24"/>
          <w:szCs w:val="24"/>
        </w:rPr>
        <w:t xml:space="preserve"> (Fedea - </w:t>
      </w:r>
      <w:r w:rsidR="00986D80" w:rsidRPr="00D1450F">
        <w:rPr>
          <w:rFonts w:ascii="Times New Roman" w:eastAsia="Times New Roman" w:hAnsi="Times New Roman" w:cs="Times New Roman"/>
          <w:b/>
          <w:sz w:val="24"/>
          <w:szCs w:val="24"/>
        </w:rPr>
        <w:t>22/7/13</w:t>
      </w:r>
      <w:r w:rsidR="00986D80">
        <w:rPr>
          <w:rFonts w:ascii="Times New Roman" w:eastAsia="Times New Roman" w:hAnsi="Times New Roman" w:cs="Times New Roman"/>
          <w:sz w:val="24"/>
          <w:szCs w:val="24"/>
        </w:rPr>
        <w:t>)</w:t>
      </w:r>
    </w:p>
    <w:p w:rsidR="00986D80" w:rsidRPr="00986D80" w:rsidRDefault="00986D80" w:rsidP="00387350">
      <w:pPr>
        <w:pStyle w:val="NormalWeb"/>
        <w:jc w:val="both"/>
      </w:pPr>
      <w:r>
        <w:t>“</w:t>
      </w:r>
      <w:r w:rsidRPr="00986D80">
        <w:t xml:space="preserve">Cualquier democracia plena no es más que un complicado y sibilino juego de poderes y contrapoderes entre los tres poderes del Estado, valga la triple redundancia, y una sociedad civil que tiene la obligación de vigilarlos y controlarlos. Un contrato con derechos y obligaciones para ambas partes, gobernante y gobernado. La mera existencia de </w:t>
      </w:r>
      <w:hyperlink r:id="rId434" w:history="1">
        <w:r w:rsidRPr="00986D80">
          <w:rPr>
            <w:rStyle w:val="Hipervnculo"/>
            <w:color w:val="auto"/>
            <w:u w:val="none"/>
          </w:rPr>
          <w:t>asuntos</w:t>
        </w:r>
      </w:hyperlink>
      <w:r w:rsidRPr="00986D80">
        <w:t xml:space="preserve"> como los de </w:t>
      </w:r>
      <w:r w:rsidRPr="00986D80">
        <w:rPr>
          <w:rStyle w:val="Textoennegrita"/>
          <w:b w:val="0"/>
        </w:rPr>
        <w:t>Snowden</w:t>
      </w:r>
      <w:r w:rsidRPr="00986D80">
        <w:t xml:space="preserve"> o </w:t>
      </w:r>
      <w:r w:rsidRPr="00986D80">
        <w:rPr>
          <w:rStyle w:val="Textoennegrita"/>
          <w:b w:val="0"/>
        </w:rPr>
        <w:t>Manning</w:t>
      </w:r>
      <w:r w:rsidRPr="00986D80">
        <w:t xml:space="preserve"> indica que </w:t>
      </w:r>
      <w:r w:rsidRPr="00986D80">
        <w:rPr>
          <w:rStyle w:val="Textoennegrita"/>
          <w:b w:val="0"/>
        </w:rPr>
        <w:t>las democracias occidentales están enfermas.</w:t>
      </w:r>
    </w:p>
    <w:p w:rsidR="00986D80" w:rsidRPr="00986D80" w:rsidRDefault="00986D80" w:rsidP="00387350">
      <w:pPr>
        <w:pStyle w:val="NormalWeb"/>
        <w:jc w:val="both"/>
      </w:pPr>
      <w:r w:rsidRPr="00986D80">
        <w:t xml:space="preserve">Parecen estar en manos de desalmadas sanguijuelas que pretenden enriquecerse obscenamente y apropiarse del control de la caja de los estados y sus </w:t>
      </w:r>
      <w:r w:rsidR="007F737C">
        <w:t>“</w:t>
      </w:r>
      <w:r w:rsidRPr="007F737C">
        <w:rPr>
          <w:rStyle w:val="nfasis"/>
          <w:i w:val="0"/>
        </w:rPr>
        <w:t>nacioncitas</w:t>
      </w:r>
      <w:r w:rsidR="007F737C">
        <w:rPr>
          <w:rStyle w:val="nfasis"/>
          <w:i w:val="0"/>
        </w:rPr>
        <w:t>”</w:t>
      </w:r>
      <w:r w:rsidRPr="007F737C">
        <w:rPr>
          <w:i/>
        </w:rPr>
        <w:t xml:space="preserve"> </w:t>
      </w:r>
      <w:r w:rsidRPr="00986D80">
        <w:t>para tapar su propia incompetencia, las pérdidas financieras provocadas y las atrocidades comerciales o, lo que es lo mismo, medioambientales, promovidas.</w:t>
      </w:r>
    </w:p>
    <w:p w:rsidR="00986D80" w:rsidRPr="00986D80" w:rsidRDefault="00986D80" w:rsidP="00387350">
      <w:pPr>
        <w:pStyle w:val="NormalWeb"/>
        <w:jc w:val="both"/>
      </w:pPr>
      <w:r w:rsidRPr="00986D80">
        <w:rPr>
          <w:rStyle w:val="Textoennegrita"/>
          <w:b w:val="0"/>
        </w:rPr>
        <w:t>El mecanismo de asalto al poder es genial</w:t>
      </w:r>
      <w:r w:rsidRPr="00986D80">
        <w:t>, por no decir demencial. Más bien absurdo: se proporciona crédito barato ilimitado a los Gobiernos y las empresas colocadas en la diana que obviamente es malgastado en locos proyectos, embajadas pueblerinas, AVEs, aeropuertos y desmesura incontinente de nuevo rico para atolondrar la bancada.</w:t>
      </w:r>
    </w:p>
    <w:p w:rsidR="00986D80" w:rsidRPr="00986D80" w:rsidRDefault="00986D80" w:rsidP="00387350">
      <w:pPr>
        <w:pStyle w:val="NormalWeb"/>
        <w:jc w:val="both"/>
      </w:pPr>
      <w:r w:rsidRPr="00986D80">
        <w:t>Una vez atrapado el deudor, promovida la corrupción que todo dinero abundante y sin esfuerzo promueve, y rescatados a prorrata los bancos que han provocado tal desbarajuste con el dinero del pagano contribuyente, se toma al asalto por los mismos la susodicha democracia, su caja, colocando a tontos útiles al mando, los que no lo son en origen, que deciden qué se paga y a quién, a los bancos por supuesto, destrozando de paso la cultura, la educación y la investigación para neutralizar toda crítica y oposición, todo atisbo de civilización.</w:t>
      </w:r>
    </w:p>
    <w:p w:rsidR="00986D80" w:rsidRPr="00986D80" w:rsidRDefault="00986D80" w:rsidP="00387350">
      <w:pPr>
        <w:pStyle w:val="NormalWeb"/>
        <w:jc w:val="both"/>
      </w:pPr>
      <w:r w:rsidRPr="00986D80">
        <w:lastRenderedPageBreak/>
        <w:t xml:space="preserve">El proceso es financiado, para más </w:t>
      </w:r>
      <w:r w:rsidR="007F737C">
        <w:t>“</w:t>
      </w:r>
      <w:r w:rsidRPr="007F737C">
        <w:rPr>
          <w:rStyle w:val="nfasis"/>
          <w:i w:val="0"/>
        </w:rPr>
        <w:t>inri</w:t>
      </w:r>
      <w:r w:rsidR="007F737C">
        <w:rPr>
          <w:rStyle w:val="nfasis"/>
          <w:i w:val="0"/>
        </w:rPr>
        <w:t>”</w:t>
      </w:r>
      <w:r w:rsidRPr="00986D80">
        <w:t xml:space="preserve">, por los mismos perjudicados. Vigilado por los supuestos acreedores que en el fondo somos nosotros mismos. Por el </w:t>
      </w:r>
      <w:r w:rsidRPr="00986D80">
        <w:rPr>
          <w:rStyle w:val="Textoennegrita"/>
          <w:b w:val="0"/>
        </w:rPr>
        <w:t>Banco Central Europeo (BCE)</w:t>
      </w:r>
      <w:r w:rsidRPr="00986D80">
        <w:t xml:space="preserve">, arrogante tonto útil, que es la guillotina escogida. Por </w:t>
      </w:r>
      <w:r w:rsidRPr="00986D80">
        <w:rPr>
          <w:rStyle w:val="Textoennegrita"/>
          <w:b w:val="0"/>
        </w:rPr>
        <w:t>Alemania</w:t>
      </w:r>
      <w:r w:rsidRPr="00986D80">
        <w:t xml:space="preserve"> en su inconsciente papel de líder de la patraña y por la </w:t>
      </w:r>
      <w:r w:rsidRPr="00986D80">
        <w:rPr>
          <w:rStyle w:val="Textoennegrita"/>
          <w:b w:val="0"/>
        </w:rPr>
        <w:t xml:space="preserve">Reserva Federal (FED) </w:t>
      </w:r>
      <w:r w:rsidRPr="00986D80">
        <w:t>en</w:t>
      </w:r>
      <w:r w:rsidRPr="00986D80">
        <w:rPr>
          <w:rStyle w:val="Textoennegrita"/>
          <w:b w:val="0"/>
        </w:rPr>
        <w:t xml:space="preserve"> EEUU.</w:t>
      </w:r>
    </w:p>
    <w:p w:rsidR="00986D80" w:rsidRPr="00986D80" w:rsidRDefault="00986D80" w:rsidP="00387350">
      <w:pPr>
        <w:pStyle w:val="NormalWeb"/>
        <w:jc w:val="both"/>
      </w:pPr>
      <w:r w:rsidRPr="00986D80">
        <w:t>Prestamistas ambos de último recurso sin fondos propios ni garantías tangibles más allá de la defraudada confianza depositada en ellos por los ciudadanos y el trabajo afanoso de la imprenta digital, capaz de fabricar dinero del aire a cambio de nada.</w:t>
      </w:r>
    </w:p>
    <w:p w:rsidR="00986D80" w:rsidRPr="00986D80" w:rsidRDefault="00986D80" w:rsidP="00387350">
      <w:pPr>
        <w:pStyle w:val="NormalWeb"/>
        <w:jc w:val="both"/>
      </w:pPr>
      <w:r w:rsidRPr="00986D80">
        <w:t>Los esbirros de la parte más malvada de la economía que han propiciado tal desbarajuste se ponen a continuación al volante con el fin de saquear con gozo y fruición al enfermo, de dirigir a su antojo la menguante democracia capturada mientras Alemania, ingenua arrogante, carga con el remordimiento y la culpa.</w:t>
      </w:r>
    </w:p>
    <w:p w:rsidR="00986D80" w:rsidRPr="00986D80" w:rsidRDefault="00986D80" w:rsidP="00387350">
      <w:pPr>
        <w:pStyle w:val="NormalWeb"/>
        <w:jc w:val="both"/>
      </w:pPr>
      <w:r w:rsidRPr="00986D80">
        <w:t>Acribillando a continuación a las desarboladas víctimas mediante impuestos al ser imposible cuadrar las cuentas, ya que el haber escasea y el debe se escaquea. Desfase que impedirá alcanzar el equilibrio presupuestario durante la eternidad más próxima.</w:t>
      </w:r>
    </w:p>
    <w:p w:rsidR="00986D80" w:rsidRDefault="00986D80" w:rsidP="00387350">
      <w:pPr>
        <w:pStyle w:val="NormalWeb"/>
        <w:jc w:val="both"/>
      </w:pPr>
      <w:r w:rsidRPr="00986D80">
        <w:t>Consiguen así que los votantes paguen sus dislates y remuneraciones astronómicas mediante mecanismos parásitos que han infiltrado entre los maltrechos entresijos de las democracias saqueadas, y en el puente de mando de las bobaliconas democracias agresoras que presumen de virtuosas</w:t>
      </w:r>
      <w:r>
        <w:t>”..</w:t>
      </w:r>
      <w:r w:rsidRPr="00986D80">
        <w:t>.</w:t>
      </w:r>
      <w:r>
        <w:t xml:space="preserve"> </w:t>
      </w:r>
      <w:r w:rsidRPr="00E50E68">
        <w:rPr>
          <w:u w:val="single"/>
        </w:rPr>
        <w:t>Asalto al poder</w:t>
      </w:r>
      <w:r>
        <w:t xml:space="preserve"> (El Confidencial - </w:t>
      </w:r>
      <w:r w:rsidRPr="00E50E68">
        <w:rPr>
          <w:b/>
        </w:rPr>
        <w:t>10/9/13</w:t>
      </w:r>
      <w:r>
        <w:t>)</w:t>
      </w:r>
    </w:p>
    <w:p w:rsidR="00986D80" w:rsidRPr="00986D80" w:rsidRDefault="00986D80" w:rsidP="00387350">
      <w:pPr>
        <w:pStyle w:val="NormalWeb"/>
        <w:jc w:val="both"/>
      </w:pPr>
      <w:r w:rsidRPr="00986D80">
        <w:t xml:space="preserve">“Además de la injusticia que representa, del deterioro del sistema, de la degradación moral, y de la lacra que supone para la imagen de España, la corrupción tiene una consecuencia económica: esquilma literalmente sus bolsillos. Ciertos alcaldes, concejales, diputados, ex ministros no sólo tratan de burlar a la Justicia y de </w:t>
      </w:r>
      <w:r w:rsidR="002E6E34" w:rsidRPr="00986D80">
        <w:t>reírse</w:t>
      </w:r>
      <w:r w:rsidRPr="00986D80">
        <w:t xml:space="preserve"> de los ciudadanos; no sólo se saltan la ley a la torera con sus prácticas irregulares; sino que producen un considerable quebranto a la economía del país. La corrupción tiene un precio.</w:t>
      </w:r>
    </w:p>
    <w:p w:rsidR="00986D80" w:rsidRPr="00986D80" w:rsidRDefault="00986D80" w:rsidP="00387350">
      <w:pPr>
        <w:pStyle w:val="NormalWeb"/>
        <w:jc w:val="both"/>
      </w:pPr>
      <w:r w:rsidRPr="00986D80">
        <w:t>Concretamente, el Banco Mundial calcula que puede implicar una bajada del 2% del PIB en países como España, lo que se traduce en que cada año se lleva por delante en torno a los 21.000 millones de euros…</w:t>
      </w:r>
    </w:p>
    <w:p w:rsidR="00986D80" w:rsidRPr="00986D80" w:rsidRDefault="00986D80" w:rsidP="00387350">
      <w:pPr>
        <w:pStyle w:val="NormalWeb"/>
        <w:jc w:val="both"/>
      </w:pPr>
      <w:r w:rsidRPr="00986D80">
        <w:t>La corrupción actúa como un impuesto que todo el mundo debe abonar y que genera un coste y un riesgo para las inversiones. Con ello, no es de extrañar que la prima de riesgo se eleve o que seamos poco competitivos, puesto que la baja calidad de nuestro sistema político nos hace ser poco atractivos para los dineros extranjeros, que prefieren irse a países como Holanda, Suiza, Japón o Australia, dónde el sistema lucha mucho más fervientemente contra estas actitudes.</w:t>
      </w:r>
    </w:p>
    <w:p w:rsidR="00986D80" w:rsidRDefault="00986D80" w:rsidP="00387350">
      <w:pPr>
        <w:pStyle w:val="NormalWeb"/>
        <w:jc w:val="both"/>
      </w:pPr>
      <w:r w:rsidRPr="00986D80">
        <w:t>Según algunos informes de la organización Transparencia Internacional, la corrupción es un escollo prácticamente insalvable para cualquier economía del mundo. En un encuentro organizado en junio, los expertos aseguraban que en torno al cinco por ciento del presupuesto anual de la Unión Europea no se justifica; que la corrupción en el Viejo Continente hace desaparecer como por arte de magia cerca de un billón de euros de inversión y capital cada año; o que entre un diez y un veinte por ciento de los contratos en la UE tienen detrás artimañas ilegales”…</w:t>
      </w:r>
      <w:r>
        <w:t xml:space="preserve"> </w:t>
      </w:r>
      <w:r>
        <w:rPr>
          <w:u w:val="single"/>
        </w:rPr>
        <w:t>La corrupción, el “impuesto”</w:t>
      </w:r>
      <w:r w:rsidRPr="00E96A7C">
        <w:rPr>
          <w:u w:val="single"/>
        </w:rPr>
        <w:t xml:space="preserve"> que sangra a los españoles</w:t>
      </w:r>
      <w:r>
        <w:t xml:space="preserve"> (Gaceta.es - </w:t>
      </w:r>
      <w:r w:rsidRPr="00E96A7C">
        <w:rPr>
          <w:b/>
        </w:rPr>
        <w:t>27/9/13</w:t>
      </w:r>
      <w:r>
        <w:t xml:space="preserve">)  </w:t>
      </w:r>
    </w:p>
    <w:p w:rsidR="00EF0AAF" w:rsidRPr="008B3730" w:rsidRDefault="00EF0AAF" w:rsidP="00387350">
      <w:pPr>
        <w:shd w:val="clear" w:color="auto" w:fill="FFFFFF"/>
        <w:spacing w:before="100" w:beforeAutospacing="1" w:after="100" w:afterAutospacing="1"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“Tinta fresca”: últimos acontecimientos al “cierre” de la edición </w:t>
      </w:r>
      <w:r w:rsidR="007F737C">
        <w:rPr>
          <w:rFonts w:ascii="Times New Roman" w:hAnsi="Times New Roman" w:cs="Times New Roman"/>
          <w:b/>
          <w:sz w:val="24"/>
          <w:szCs w:val="24"/>
        </w:rPr>
        <w:t>(de hemeroteca 4º Trimestre</w:t>
      </w:r>
      <w:r>
        <w:rPr>
          <w:rFonts w:ascii="Times New Roman" w:hAnsi="Times New Roman" w:cs="Times New Roman"/>
          <w:b/>
          <w:sz w:val="24"/>
          <w:szCs w:val="24"/>
        </w:rPr>
        <w:t xml:space="preserve"> 2013)</w:t>
      </w:r>
    </w:p>
    <w:p w:rsidR="00EF0AAF" w:rsidRPr="00CA612A" w:rsidRDefault="00EF0AAF" w:rsidP="00387350">
      <w:pPr>
        <w:pStyle w:val="NormalWeb"/>
        <w:jc w:val="both"/>
        <w:rPr>
          <w:b/>
        </w:rPr>
      </w:pPr>
      <w:r w:rsidRPr="007408ED">
        <w:rPr>
          <w:u w:val="single"/>
        </w:rPr>
        <w:t>El gasto público</w:t>
      </w:r>
      <w:r>
        <w:rPr>
          <w:u w:val="single"/>
        </w:rPr>
        <w:t xml:space="preserve"> según las previsiones del FMI</w:t>
      </w:r>
      <w:r>
        <w:t xml:space="preserve"> (Fuente: El Confidencial - </w:t>
      </w:r>
      <w:r w:rsidRPr="007408ED">
        <w:rPr>
          <w:b/>
        </w:rPr>
        <w:t>10/10/13</w:t>
      </w:r>
      <w:r w:rsidRPr="00CA612A">
        <w:t>)</w:t>
      </w:r>
    </w:p>
    <w:p w:rsidR="00EF0AAF" w:rsidRDefault="00EF0AAF" w:rsidP="00387350">
      <w:pPr>
        <w:pStyle w:val="NormalWeb"/>
        <w:jc w:val="both"/>
      </w:pPr>
      <w:r w:rsidRPr="00CA612A">
        <w:t>El FMI se hace una pregunta en su informe: ¿pueden los países recaudar más impuestos, de manera más eficaz y más equitativamente? Y la responde de la siguiente manera: los resultados presentados en este informe muestran que para muchas economías avanzadas “la posibilidad de recaudar más ingresos es limitada” y, en aquellos países donde la presión fiscal ya es elevada, la mayor parte del ajuste “tendrá que recaer sobre el gasto”. Los datos del FMI, en todo caso, reflejan una extraordinaria resistencia del gasto público para bajar, incluso en los países en los que el peso del sector público es menor. En EEUU, por ejemplo, habrá crecido algo menos de dos puntos (del 35</w:t>
      </w:r>
      <w:r>
        <w:t>,5% al 37,2%) entre 2007 y 2018.</w:t>
      </w:r>
    </w:p>
    <w:p w:rsidR="00EF0AAF" w:rsidRPr="00CA612A" w:rsidRDefault="00EF0AAF" w:rsidP="00387350">
      <w:pPr>
        <w:pStyle w:val="NormalWeb"/>
        <w:jc w:val="both"/>
      </w:pPr>
    </w:p>
    <w:p w:rsidR="00EF0AAF" w:rsidRDefault="00EF0AAF" w:rsidP="00387350">
      <w:pPr>
        <w:pStyle w:val="NormalWeb"/>
        <w:jc w:val="both"/>
        <w:rPr>
          <w:b/>
        </w:rPr>
      </w:pPr>
      <w:r>
        <w:rPr>
          <w:noProof/>
        </w:rPr>
        <w:drawing>
          <wp:inline distT="0" distB="0" distL="0" distR="0" wp14:anchorId="61B20ABD" wp14:editId="0652D2EC">
            <wp:extent cx="5398617" cy="5149901"/>
            <wp:effectExtent l="0" t="0" r="0" b="0"/>
            <wp:docPr id="92" name="Imagen 92" descr="http://www.ecestaticos.com/image/clipping/b93a567ab3388c957a643ddde85bfdb2/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cestaticos.com/image/clipping/b93a567ab3388c957a643ddde85bfdb2/imagen-sin-titulo.jpg"/>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400040" cy="5151258"/>
                    </a:xfrm>
                    <a:prstGeom prst="rect">
                      <a:avLst/>
                    </a:prstGeom>
                    <a:noFill/>
                    <a:ln>
                      <a:noFill/>
                    </a:ln>
                  </pic:spPr>
                </pic:pic>
              </a:graphicData>
            </a:graphic>
          </wp:inline>
        </w:drawing>
      </w:r>
    </w:p>
    <w:p w:rsidR="00EF0AAF" w:rsidRDefault="00EF0AAF" w:rsidP="00387350">
      <w:pPr>
        <w:pStyle w:val="NormalWeb"/>
        <w:jc w:val="both"/>
        <w:rPr>
          <w:b/>
        </w:rPr>
      </w:pPr>
      <w:r>
        <w:rPr>
          <w:noProof/>
        </w:rPr>
        <w:lastRenderedPageBreak/>
        <w:drawing>
          <wp:inline distT="0" distB="0" distL="0" distR="0" wp14:anchorId="32726E8B" wp14:editId="6B0796EC">
            <wp:extent cx="5395133" cy="6671462"/>
            <wp:effectExtent l="0" t="0" r="0" b="0"/>
            <wp:docPr id="93" name="Imagen 93" descr="http://www.ecestaticos.com/image/clipping/799e4a54f321a4eaf4c4fedc862fd3b8/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cestaticos.com/image/clipping/799e4a54f321a4eaf4c4fedc862fd3b8/imagen-sin-titulo.jpg"/>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5400040" cy="6677530"/>
                    </a:xfrm>
                    <a:prstGeom prst="rect">
                      <a:avLst/>
                    </a:prstGeom>
                    <a:noFill/>
                    <a:ln>
                      <a:noFill/>
                    </a:ln>
                  </pic:spPr>
                </pic:pic>
              </a:graphicData>
            </a:graphic>
          </wp:inline>
        </w:drawing>
      </w:r>
    </w:p>
    <w:p w:rsidR="00EF0AAF" w:rsidRPr="00E11B67" w:rsidRDefault="00EF0AAF" w:rsidP="00387350">
      <w:pPr>
        <w:pStyle w:val="NormalWeb"/>
        <w:jc w:val="both"/>
      </w:pPr>
      <w:r>
        <w:t xml:space="preserve">- </w:t>
      </w:r>
      <w:r w:rsidRPr="00E11B67">
        <w:rPr>
          <w:u w:val="single"/>
        </w:rPr>
        <w:t>Despilfarro a la alemana: aeropuertos cerrados, puentes para murciélagos, zanahorias amarillas</w:t>
      </w:r>
      <w:r w:rsidRPr="00E11B67">
        <w:t>...</w:t>
      </w:r>
      <w:r>
        <w:t xml:space="preserve"> (El Economista - </w:t>
      </w:r>
      <w:r w:rsidRPr="00E11B67">
        <w:rPr>
          <w:b/>
        </w:rPr>
        <w:t>18/10/13</w:t>
      </w:r>
      <w:r>
        <w:t>)</w:t>
      </w:r>
    </w:p>
    <w:p w:rsidR="00EF0AAF" w:rsidRDefault="00EF0AAF" w:rsidP="00387350">
      <w:pPr>
        <w:pStyle w:val="NormalWeb"/>
        <w:jc w:val="both"/>
      </w:pPr>
      <w:r w:rsidRPr="00125F19">
        <w:t xml:space="preserve">Puentes para murciélagos, hospitales que no se utilizan, subvenciones al cultivo de zanahorias amarillas o gastos que duplican el presupuesto son algunos de los casos recogidos en el Libro negro de la Unión del Contribuyente alemán (BdSt), que analiza el mal uso del dinero público en el país. El informe fue presentado hoy e incluye más de cien ejemplos de lo que esta asociación llamó “dispendio público”, con el objetivo de concienciar a ciudadanos y políticos sobre “un uso mejor y más eficiente de los recursos”. </w:t>
      </w:r>
      <w:r w:rsidRPr="00125F19">
        <w:rPr>
          <w:bCs/>
        </w:rPr>
        <w:t xml:space="preserve">El caso paradigmático sigue siendo el aeropuerto de Berlín Brandeburgo, cuyo coste ha pasado de 2.400 millones a más de 5.000 millones de euros </w:t>
      </w:r>
      <w:r w:rsidRPr="00125F19">
        <w:t xml:space="preserve">y que, tras </w:t>
      </w:r>
      <w:r w:rsidRPr="00125F19">
        <w:lastRenderedPageBreak/>
        <w:t>anunciarse su apertura en 2012, sigue cerrado mientras se intentan solucionar los sucesivos problemas que surgen en las instalaciones. El documento presenta casos tan sorprendentes como el de dos puentes levantados en Biberach (Baden-Württemberg, suroeste de Alemania) entre dos bosques para que los murciélagos puedan cruzar una carretera que divide la foresta en dos sin riesgo a ser atropellados y que no pueden ser utilizados por los viandantes, a pesar de que costaron 435.000 euros. Más gravoso ha sido hasta ahora el II Centro para Medicina Operativa del Uniclínico de Düsseldorf, que costó 170 millones euros y que desde que se finalizó su construcción, en 2010, no ha podido ser usado ni por los médicos ni por los pacientes, aunque cada año cuesta al erario público dos millones en concepto de calefacción, vigilancia, limpieza o mantenimiento. Proyectos que ven incrementados sus presupuestos en el tiempo por encima de las previsiones abundan en el resumen anual de la asociación de contribuyentes. Así sucede, por ejemplo, con la nueva sede de los servicios de inteligencia alemanes en Berlín, que está en construcción desde el año 2006 y que, sin haber concluido las obras, vio crecer su presupuesto desde los 720 millones iniciales a los 1.457 millones que se prevé que cueste finalmente… La BdSt estimó en su estudio que la mayoría de los proyectos fracasados o de los presupuestos incumplidos podrían haberse solucionado con una buena planificación inicial y un control efectivo de los costes.</w:t>
      </w:r>
    </w:p>
    <w:p w:rsidR="00EF0AAF" w:rsidRDefault="00EF0AAF" w:rsidP="00387350">
      <w:pPr>
        <w:pStyle w:val="NormalWeb"/>
        <w:jc w:val="both"/>
      </w:pPr>
      <w:r w:rsidRPr="001F4234">
        <w:rPr>
          <w:bCs/>
        </w:rPr>
        <w:t xml:space="preserve">- </w:t>
      </w:r>
      <w:hyperlink r:id="rId437" w:tooltip="Noticia de La corrupción en el sector público de la Unión Europea se traga 120.000 millones de euros" w:history="1">
        <w:r w:rsidRPr="001F4234">
          <w:rPr>
            <w:bCs/>
            <w:spacing w:val="-15"/>
            <w:u w:val="single"/>
          </w:rPr>
          <w:t>La corrupción en el sector público de la Unión Europea se traga 120.000 millones de euros</w:t>
        </w:r>
      </w:hyperlink>
      <w:r>
        <w:rPr>
          <w:bCs/>
          <w:color w:val="003C5B"/>
        </w:rPr>
        <w:t xml:space="preserve"> </w:t>
      </w:r>
      <w:r>
        <w:t xml:space="preserve">(El Confidencial - </w:t>
      </w:r>
      <w:r w:rsidRPr="001F4234">
        <w:rPr>
          <w:b/>
        </w:rPr>
        <w:t>19/10/13</w:t>
      </w:r>
      <w:r>
        <w:t>)</w:t>
      </w:r>
    </w:p>
    <w:p w:rsidR="00EF0AAF" w:rsidRDefault="00EF0AAF" w:rsidP="00387350">
      <w:pPr>
        <w:pStyle w:val="NormalWeb"/>
        <w:jc w:val="both"/>
      </w:pPr>
      <w:r w:rsidRPr="00125F19">
        <w:t xml:space="preserve">El informe que el próximo </w:t>
      </w:r>
      <w:r w:rsidRPr="00EF0AAF">
        <w:rPr>
          <w:rStyle w:val="Textoennegrita"/>
          <w:b w:val="0"/>
        </w:rPr>
        <w:t>martes 22 debatirá el Pleno del Parlamento Europeo</w:t>
      </w:r>
      <w:r w:rsidRPr="00125F19">
        <w:rPr>
          <w:rStyle w:val="Textoennegrita"/>
        </w:rPr>
        <w:t xml:space="preserve"> </w:t>
      </w:r>
      <w:r w:rsidRPr="00125F19">
        <w:t xml:space="preserve">trata de organizaciones económicas que “han ido ampliando progresivamente su radio de acción a escala internacional, aprovechando las oportunidades que ofrece la apertura de las fronteras interiores de la Unión Europea, así como la globalización económica y las nuevas tecnologías”, organismos que “diversifican cada vez más sus actividades” y que han conseguido “disminuir costes y maximizar los beneficios en un periodo de crisis económica mundial”... Escrito así, podría parecer que el informe habla de grandes firmas europeas, de compañías que, gracias a su “flexibilidad, movilidad y conectividad”,  han sabido adaptarse y crecer en tiempos convulsos. Y así es. Pero con un matiz: no se trata de empresas legalmente constituidas, sino de </w:t>
      </w:r>
      <w:r w:rsidRPr="00EF0AAF">
        <w:rPr>
          <w:rStyle w:val="Textoennegrita"/>
          <w:b w:val="0"/>
        </w:rPr>
        <w:t>organizaciones delictivas</w:t>
      </w:r>
      <w:r w:rsidRPr="00EF0AAF">
        <w:rPr>
          <w:b/>
        </w:rPr>
        <w:t>.</w:t>
      </w:r>
      <w:r w:rsidRPr="00125F19">
        <w:t xml:space="preserve"> La Comisión Especial sobre la Delincuencia Organizada, la Corrupción y el Blanqueo de Dinero (CRIM) fue creada en marzo de 2012 por el Parlamento para analizar la magnitud de un problema que abarca desde el narcotráfico a la venta ilegal de armas y el tráfico de especies animales salvajes y proponer medidas para reaccionar ante él. En su </w:t>
      </w:r>
      <w:hyperlink r:id="rId438" w:tgtFrame="_blank" w:history="1">
        <w:r w:rsidRPr="00EF0AAF">
          <w:rPr>
            <w:rStyle w:val="Hipervnculo"/>
            <w:color w:val="auto"/>
            <w:u w:val="none"/>
          </w:rPr>
          <w:t>informe final</w:t>
        </w:r>
      </w:hyperlink>
      <w:r w:rsidRPr="00125F19">
        <w:t xml:space="preserve"> establece 127 recomendaciones y peticiones a este respecto ante las autoridades de la Unión y los Estados, como la necesidad de que la Comisión presente una propuesta legislativa al respecto y desarrolle una política “global y coherente” contra la corrupción. También aporta un buen puñado de cifras sobre una delincuencia que “se parece cada vez más a un actor económico global, con un fuerte espíritu empresarial”. Estas son algunas de ellas: -En la UE operan </w:t>
      </w:r>
      <w:r w:rsidRPr="00EF0AAF">
        <w:rPr>
          <w:rStyle w:val="Textoennegrita"/>
          <w:b w:val="0"/>
        </w:rPr>
        <w:t>3.600 organizaciones</w:t>
      </w:r>
      <w:r w:rsidRPr="00125F19">
        <w:t xml:space="preserve"> delictivas internacionales. En un 70% tienen una composición y u</w:t>
      </w:r>
      <w:r>
        <w:t>n radio de acción heterogéneos -</w:t>
      </w:r>
      <w:r w:rsidRPr="00125F19">
        <w:t xml:space="preserve">sus miembros provienen de diferentes países y delinquen </w:t>
      </w:r>
      <w:r>
        <w:t>al margen de cualquier frontera-</w:t>
      </w:r>
      <w:r w:rsidRPr="00125F19">
        <w:t>, y en un 30%, vocación “pluridelictiva”, con niveles de infiltración en la economía lícita “muy elevados”. La delincuencia organizada supone unas pérdidas anuales de </w:t>
      </w:r>
      <w:r w:rsidRPr="00EF0AAF">
        <w:rPr>
          <w:rStyle w:val="Textoennegrita"/>
          <w:b w:val="0"/>
        </w:rPr>
        <w:t>670.000 millones de euros</w:t>
      </w:r>
      <w:r w:rsidRPr="00125F19">
        <w:t xml:space="preserve"> para las empresas cada año. -Hay, al menos, </w:t>
      </w:r>
      <w:r w:rsidRPr="00EF0AAF">
        <w:rPr>
          <w:rStyle w:val="Textoennegrita"/>
          <w:b w:val="0"/>
        </w:rPr>
        <w:t>20 millones de casos de corrupción</w:t>
      </w:r>
      <w:r w:rsidRPr="00125F19">
        <w:t xml:space="preserve"> de “poca envergadura” en los sectores públicos de la Unión. El coste de la corrupción en la UE se calcula en </w:t>
      </w:r>
      <w:r w:rsidRPr="00EF0AAF">
        <w:rPr>
          <w:rStyle w:val="Textoennegrita"/>
          <w:b w:val="0"/>
        </w:rPr>
        <w:t>120.000 millones de euros</w:t>
      </w:r>
      <w:r w:rsidRPr="00125F19">
        <w:t xml:space="preserve"> al </w:t>
      </w:r>
      <w:r w:rsidRPr="00125F19">
        <w:lastRenderedPageBreak/>
        <w:t xml:space="preserve">año, un 1% del PIB comunitario. Un </w:t>
      </w:r>
      <w:r w:rsidRPr="00EF0AAF">
        <w:rPr>
          <w:rStyle w:val="Textoennegrita"/>
          <w:b w:val="0"/>
        </w:rPr>
        <w:t>74%</w:t>
      </w:r>
      <w:r w:rsidRPr="00125F19">
        <w:t xml:space="preserve"> de sus ciudadanos lo percibe como un problema de primer orden. -El fraude del IVA supone una pérdida de ingresos entre los socios de </w:t>
      </w:r>
      <w:r w:rsidRPr="00EF0AAF">
        <w:rPr>
          <w:rStyle w:val="Textoennegrita"/>
          <w:b w:val="0"/>
        </w:rPr>
        <w:t>100.000 millones de euros</w:t>
      </w:r>
      <w:r w:rsidRPr="00125F19">
        <w:t xml:space="preserve"> al año. -El tráfico de seres humanos afecta a todos los países de la UE, y genera, en todo el mundo, beneficios de 25.000 millones de euros anuales.  El informe cifra en </w:t>
      </w:r>
      <w:r w:rsidRPr="00EF0AAF">
        <w:rPr>
          <w:rStyle w:val="Textoennegrita"/>
          <w:b w:val="0"/>
        </w:rPr>
        <w:t>880.000</w:t>
      </w:r>
      <w:r w:rsidRPr="00125F19">
        <w:t xml:space="preserve"> el número total de trabajadores ‘forzosos’ en el viejo continente, </w:t>
      </w:r>
      <w:r w:rsidRPr="00EF0AAF">
        <w:rPr>
          <w:rStyle w:val="Textoennegrita"/>
          <w:b w:val="0"/>
        </w:rPr>
        <w:t>270.000</w:t>
      </w:r>
      <w:r w:rsidRPr="00125F19">
        <w:t xml:space="preserve"> de ellos víctimas de la explotación sexual. Sólo 9 de los miembros de la Unión han llevado a su ordenamiento y aplican la Directiva Europea de 2011 sobre la Prevención y la Lucha contra la Trata de Seres Humanos. -El informe cuantifica algunas materias concretas, como el tráfico ilegal de cigarrillos, que supone una pérdida anual en impuestos de </w:t>
      </w:r>
      <w:r w:rsidRPr="00EF0AAF">
        <w:rPr>
          <w:rStyle w:val="Textoennegrita"/>
          <w:b w:val="0"/>
        </w:rPr>
        <w:t>10.000 millones de euros</w:t>
      </w:r>
      <w:r w:rsidRPr="00125F19">
        <w:t xml:space="preserve">. -De las </w:t>
      </w:r>
      <w:r w:rsidRPr="00EF0AAF">
        <w:rPr>
          <w:rStyle w:val="Textoennegrita"/>
          <w:b w:val="0"/>
        </w:rPr>
        <w:t>30.000</w:t>
      </w:r>
      <w:r w:rsidRPr="00125F19">
        <w:t xml:space="preserve"> páginas web que ofrecen a los ciudadanos europeos medicamentos, un 97% son ilegales, y sus productos, en su mayoría falsificaciones procedentes de India y China, pueden poner en riesgo su salud y vida. De hecho, su incidencia en la salud pública europea se estima en </w:t>
      </w:r>
      <w:r w:rsidRPr="00EF0AAF">
        <w:rPr>
          <w:rStyle w:val="Textoennegrita"/>
          <w:b w:val="0"/>
        </w:rPr>
        <w:t>3.000 millones de euros</w:t>
      </w:r>
      <w:r w:rsidRPr="00125F19">
        <w:t xml:space="preserve"> al año. -El </w:t>
      </w:r>
      <w:r w:rsidRPr="00EF0AAF">
        <w:rPr>
          <w:rStyle w:val="Textoennegrita"/>
          <w:b w:val="0"/>
        </w:rPr>
        <w:t>12%</w:t>
      </w:r>
      <w:r w:rsidRPr="00125F19">
        <w:t xml:space="preserve"> de los usuarios europeos de internet ha sufrido un fraude online, y el 8% ha sido o ha estado a punto de ser víctima de un robo de identidad.</w:t>
      </w:r>
    </w:p>
    <w:p w:rsidR="00EF0AAF" w:rsidRPr="00E04EE3" w:rsidRDefault="00EF0AAF" w:rsidP="00387350">
      <w:pPr>
        <w:pStyle w:val="NormalWeb"/>
        <w:jc w:val="both"/>
      </w:pPr>
      <w:r>
        <w:t xml:space="preserve">- </w:t>
      </w:r>
      <w:r w:rsidRPr="00E04EE3">
        <w:rPr>
          <w:u w:val="single"/>
        </w:rPr>
        <w:t>Eurodiputados cuestionan el despilfarro de la doble sede</w:t>
      </w:r>
      <w:r>
        <w:t xml:space="preserve"> (Libertad Digital - </w:t>
      </w:r>
      <w:r w:rsidRPr="00E04EE3">
        <w:rPr>
          <w:b/>
        </w:rPr>
        <w:t>23/10/13</w:t>
      </w:r>
      <w:r>
        <w:t>)</w:t>
      </w:r>
    </w:p>
    <w:p w:rsidR="00EF0AAF" w:rsidRDefault="00EF0AAF" w:rsidP="00387350">
      <w:pPr>
        <w:pStyle w:val="NormalWeb"/>
        <w:jc w:val="both"/>
      </w:pPr>
      <w:r w:rsidRPr="003B6C36">
        <w:t>Los eurodiputados críticos con la doble sede han dado un pas</w:t>
      </w:r>
      <w:r>
        <w:t>o esta semana para poner fin a “</w:t>
      </w:r>
      <w:r w:rsidRPr="003B6C36">
        <w:t xml:space="preserve">un </w:t>
      </w:r>
      <w:r>
        <w:t>derroche”</w:t>
      </w:r>
      <w:r w:rsidRPr="003B6C36">
        <w:t xml:space="preserve"> que cifran en 200 millones de euros y 19.000 toneladas de CO2 anuales. El informe, en el que piden un cambio en los tratados y la reorganización del calendario parlamentario, ha sido aprobado en la comisión de asuntos constitucionales y se votará en el pleno el próximo mes de noviembre.</w:t>
      </w:r>
      <w:r>
        <w:t xml:space="preserve"> </w:t>
      </w:r>
      <w:r w:rsidRPr="003B6C36">
        <w:t xml:space="preserve">La campaña por una sede única es una historia que se puede resumir en cifras. Más de 400 kilómetros separan los dos despachos que cada uno de los 766 eurodiputados tienen en Bruselas y Estrasburgo. La distancia es recorrida por sus señorías, sus más de 5.000 empleados, papeles y material de oficina, 12 veces al año para celebrar la sesión plenaria, </w:t>
      </w:r>
      <w:r>
        <w:t>un vaivén que muchos tildan de “circo parlamentario”</w:t>
      </w:r>
      <w:r w:rsidRPr="003B6C36">
        <w:t xml:space="preserve"> y que, de momento, tiene la bendición de los tratados y la sacrosanta protección de Francia. En concreto, Estrasburgo defiende con uñas y dientes un estatus que hoteles y servicios se encargan de aprovechar subiendo los precios cuando, cada mes, desembarcan en la ciudad alsaciana miles de empleados con los bolsillos llenos de dinero público.</w:t>
      </w:r>
    </w:p>
    <w:p w:rsidR="00EF0AAF" w:rsidRPr="00BB5417" w:rsidRDefault="00EF0AAF"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BB5417">
        <w:rPr>
          <w:rFonts w:ascii="Times New Roman" w:hAnsi="Times New Roman"/>
          <w:sz w:val="24"/>
          <w:szCs w:val="24"/>
          <w:u w:val="single"/>
        </w:rPr>
        <w:t>Francia aprueba 200 subidas de impuestos en plena crisis</w:t>
      </w:r>
      <w:r>
        <w:rPr>
          <w:rFonts w:ascii="Times New Roman" w:hAnsi="Times New Roman"/>
          <w:sz w:val="24"/>
          <w:szCs w:val="24"/>
        </w:rPr>
        <w:t xml:space="preserve"> (Negocios.com - </w:t>
      </w:r>
      <w:r w:rsidRPr="00BB5417">
        <w:rPr>
          <w:rFonts w:ascii="Times New Roman" w:hAnsi="Times New Roman"/>
          <w:b/>
          <w:sz w:val="24"/>
          <w:szCs w:val="24"/>
        </w:rPr>
        <w:t>1/11/13</w:t>
      </w:r>
      <w:r>
        <w:rPr>
          <w:rFonts w:ascii="Times New Roman" w:hAnsi="Times New Roman"/>
          <w:sz w:val="24"/>
          <w:szCs w:val="24"/>
        </w:rPr>
        <w:t>)</w:t>
      </w:r>
      <w:r w:rsidRPr="00BB5417">
        <w:rPr>
          <w:rFonts w:ascii="Times New Roman" w:hAnsi="Times New Roman"/>
          <w:sz w:val="24"/>
          <w:szCs w:val="24"/>
        </w:rPr>
        <w:t xml:space="preserve"> </w:t>
      </w:r>
    </w:p>
    <w:p w:rsidR="00EF0AAF" w:rsidRDefault="00EF0AAF" w:rsidP="00387350">
      <w:pPr>
        <w:spacing w:line="240" w:lineRule="auto"/>
        <w:jc w:val="both"/>
        <w:rPr>
          <w:rFonts w:ascii="Times New Roman" w:hAnsi="Times New Roman"/>
          <w:sz w:val="24"/>
          <w:szCs w:val="24"/>
        </w:rPr>
      </w:pPr>
      <w:r w:rsidRPr="003B6C36">
        <w:rPr>
          <w:rFonts w:ascii="Times New Roman" w:hAnsi="Times New Roman"/>
          <w:sz w:val="24"/>
          <w:szCs w:val="24"/>
        </w:rPr>
        <w:t xml:space="preserve">En el año 2012, el gasto público en Francia subió a niveles cercanos al 57% del PIB. Antes de la crisis, en 2007, esta ratio superaba ligeramente el 52,6%. Durante el último lustro, los presupuestos de las Administraciones han crecido un 13%, al calor de las políticas expansivas implementadas por los gobiernos de Sarkozy y Hollande. En octubre de 2008, el “rescate bancario” supuso cerca de 500.000 millones de euros. Meses después, en febrero de 2009, se aprobó un “plan de estímulo” por valor de casi 47.000 millones de euros. Apenas un mes después, un “rescate” de la industria del automóvil sumó 1.240 millones de euros. Este año, el Ejecutivo de Hollande ha retomado esta senda anunciando dos “planes de estímulo”: uno de inversiones por 37.600 millones y otro tecnológico por 16.500 millones. Por el lado de los ingresos, Francia ha apostado por subir de forma compulsiva la presión fiscal. Si en 2007 el Estado obtenía rentas por el 49,9% del PIB, hoy ya está en niveles del 52%. Hablando en términos nominales, esta es una subida del 10%: de 1,3 a 1,45 billones entre 2007 y 2012. Pese a ello, Francia sigue arrojando un agujero presupuestario de 138.000 </w:t>
      </w:r>
      <w:r w:rsidRPr="003B6C36">
        <w:rPr>
          <w:rFonts w:ascii="Times New Roman" w:hAnsi="Times New Roman"/>
          <w:sz w:val="24"/>
          <w:szCs w:val="24"/>
        </w:rPr>
        <w:lastRenderedPageBreak/>
        <w:t>millones de euros. Solamente entre 2007 y 2012 se han aprobado más de 200 subidas de impuestos: - En 2008 se crearon tributos especiales aplicados al sector farmacéutico, tasas a las “stock options” y la compraventa de acciones, mayores retenciones fiscales en las pensiones por jubilación, fin de determinadas deducciones por accidentes o enfermedades laborales, etc. - En 2009 se aplicaron impuestos a la matriculación de automóviles, se subió el gravamen aplicado a los seguros médicos, se aprobaron nuevos gravámenes “medioambientales”, etc. - En 2010 se subieron los impuestos sobre el tabaco, se crearon nuevos tributos aplicables a las operaciones financieras, se extendieron recargos en las cotizaciones sociales, etc. - En 2011 crecieron los impuestos a las rentas del capital, aumentaron los gravámenes inmobiliarios, se eliminaron deducciones fiscales que rebajaban sustancialmente la factura tributaria del trabajo en horas extra, se aumentó el tipo reducido de IVA del 5,5% al 7%, etc. - En 2012 se subió el Impuesto de Sucesiones, se aplicó un nuevo recargo al reparto de dividendos, se volvieron a aumentar los gravámenes aplicados a las rentas del capital o a la propiedad inmobiliarias, se subió el tributo por el reparto de dividendos, se multiplicó la fiscalidad del tabaco, etc. En el último año, el gobierno francés ha centrado sus esfuerzos fiscales en dos tributos: - Por un lado, se intentó aplicar un tipo máximo del 75% en el Impuesto sobre la Renta. Diferentes decisiones judiciales retrasaron su aplicación… pero el gobierno decidió reconfigurar el gravamen a base de convertirlo en un recargo adicional del Impuesto de Sociedades. - Por otro lado, se aprobó un anticipo de la “Tasa Tobin” que ha recaudado menos de la mitad de lo previsto y ha hundido un 20% la negociación en los mercados financieros del país galo.</w:t>
      </w:r>
    </w:p>
    <w:p w:rsidR="00EF0AAF" w:rsidRDefault="00EF0AAF" w:rsidP="0038735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B666D5">
        <w:rPr>
          <w:rFonts w:ascii="Times New Roman" w:hAnsi="Times New Roman"/>
          <w:sz w:val="24"/>
          <w:szCs w:val="24"/>
          <w:u w:val="single"/>
        </w:rPr>
        <w:t>El gasto público sube 8,6 puntos con la crisis y alcanza ya el 47,8% del PIB</w:t>
      </w:r>
      <w:r>
        <w:rPr>
          <w:rFonts w:ascii="Times New Roman" w:hAnsi="Times New Roman"/>
          <w:sz w:val="24"/>
          <w:szCs w:val="24"/>
        </w:rPr>
        <w:t xml:space="preserve"> (El Economista - </w:t>
      </w:r>
      <w:r w:rsidRPr="00B666D5">
        <w:rPr>
          <w:rFonts w:ascii="Times New Roman" w:hAnsi="Times New Roman"/>
          <w:b/>
          <w:sz w:val="24"/>
          <w:szCs w:val="24"/>
        </w:rPr>
        <w:t>7/12/13</w:t>
      </w:r>
      <w:r>
        <w:rPr>
          <w:rFonts w:ascii="Times New Roman" w:hAnsi="Times New Roman"/>
          <w:sz w:val="24"/>
          <w:szCs w:val="24"/>
        </w:rPr>
        <w:t>)</w:t>
      </w:r>
    </w:p>
    <w:p w:rsidR="00EF0AAF" w:rsidRDefault="00EF0AAF" w:rsidP="00387350">
      <w:pPr>
        <w:spacing w:before="100" w:beforeAutospacing="1" w:after="100" w:afterAutospacing="1" w:line="240" w:lineRule="auto"/>
        <w:jc w:val="both"/>
        <w:rPr>
          <w:rFonts w:ascii="Times New Roman" w:hAnsi="Times New Roman"/>
          <w:sz w:val="24"/>
          <w:szCs w:val="24"/>
        </w:rPr>
      </w:pPr>
      <w:r w:rsidRPr="003B6C36">
        <w:rPr>
          <w:rFonts w:ascii="Times New Roman" w:hAnsi="Times New Roman"/>
          <w:sz w:val="24"/>
          <w:szCs w:val="24"/>
        </w:rPr>
        <w:t xml:space="preserve">La crisis económica ha disparado los gastos totales del Gobierno español en 8,6 puntos de Producto Interior Bruto (PIB), desde el 39,2 por ciento que suponían en 2007 al 47,8 por ciento que representaban en 2012, según las últimas cifras homogéneas auditadas por la oficina de estadísticas europea, </w:t>
      </w:r>
      <w:r w:rsidRPr="00E1247A">
        <w:rPr>
          <w:rFonts w:ascii="Times New Roman" w:hAnsi="Times New Roman"/>
          <w:sz w:val="24"/>
          <w:szCs w:val="24"/>
        </w:rPr>
        <w:t>Eurostat</w:t>
      </w:r>
      <w:r w:rsidRPr="003B6C36">
        <w:rPr>
          <w:rFonts w:ascii="Times New Roman" w:hAnsi="Times New Roman"/>
          <w:sz w:val="24"/>
          <w:szCs w:val="24"/>
        </w:rPr>
        <w:t>. Es decir,</w:t>
      </w:r>
      <w:r w:rsidRPr="003B6C36">
        <w:rPr>
          <w:rFonts w:ascii="Times New Roman" w:hAnsi="Times New Roman"/>
          <w:bCs/>
          <w:sz w:val="24"/>
          <w:szCs w:val="24"/>
        </w:rPr>
        <w:t xml:space="preserve"> un incremento de 79.052 millones de euros que agravan la ya de por sí complicada situación de las finanzas públicas</w:t>
      </w:r>
      <w:r w:rsidRPr="003B6C36">
        <w:rPr>
          <w:rFonts w:ascii="Times New Roman" w:hAnsi="Times New Roman"/>
          <w:sz w:val="24"/>
          <w:szCs w:val="24"/>
        </w:rPr>
        <w:t xml:space="preserve">, muy comprometidas por la obligación inexcusable de cerrar el año, como mucho, con un déficit del 6,5 por ciento del PIB. Durante la crisis, ni el Gobierno socialista de José Luis Rodríguez Zapatero fue capaz de embridar el gasto de la Administración, ni tampoco lo ha hecho el de Mariano Rajoy en los dos años de legislatura transcurridos. Así, la realidad es que </w:t>
      </w:r>
      <w:r w:rsidRPr="003B6C36">
        <w:rPr>
          <w:rFonts w:ascii="Times New Roman" w:hAnsi="Times New Roman"/>
          <w:bCs/>
          <w:sz w:val="24"/>
          <w:szCs w:val="24"/>
        </w:rPr>
        <w:t>el desembolso del sector público se come ya cerca del 50 por ciento del PIB</w:t>
      </w:r>
      <w:r w:rsidRPr="003B6C36">
        <w:rPr>
          <w:rFonts w:ascii="Times New Roman" w:hAnsi="Times New Roman"/>
          <w:sz w:val="24"/>
          <w:szCs w:val="24"/>
        </w:rPr>
        <w:t>, lo que significa que casi la mitad de la producción nacional de 2012 se destinó, fundamentalmente, a sufragar las partidas de gasto en pensiones, educación, sanidad, desempleo y exclusión social. De hecho, el gasto público supera hoy el listón histórico dejado por el expresidente socialista Felipe González en su última época (1993-1996), cuando el desembolso total de las Administraciones Públicas alcanzó la cota del 46,7 por ciento del PIB, inédita hasta entonces.</w:t>
      </w:r>
    </w:p>
    <w:p w:rsidR="00EF0AAF" w:rsidRDefault="00EF0AAF" w:rsidP="00387350">
      <w:pPr>
        <w:pStyle w:val="NormalWeb"/>
        <w:jc w:val="both"/>
      </w:pPr>
      <w:r>
        <w:t xml:space="preserve">- </w:t>
      </w:r>
      <w:r w:rsidRPr="006E7DBC">
        <w:rPr>
          <w:u w:val="single"/>
        </w:rPr>
        <w:t>Bruselas subraya el elevado coste de la burocracia española</w:t>
      </w:r>
      <w:r>
        <w:t xml:space="preserve"> (Libertad Digital - </w:t>
      </w:r>
      <w:r w:rsidRPr="006E7DBC">
        <w:rPr>
          <w:b/>
        </w:rPr>
        <w:t>16/12/13</w:t>
      </w:r>
      <w:r>
        <w:t>)</w:t>
      </w:r>
    </w:p>
    <w:p w:rsidR="00EF0AAF" w:rsidRDefault="00EF0AAF" w:rsidP="00387350">
      <w:pPr>
        <w:pStyle w:val="NormalWeb"/>
        <w:jc w:val="both"/>
      </w:pPr>
      <w:r w:rsidRPr="001A6C4B">
        <w:t xml:space="preserve">El trío de economistas formado por Francisco de Castro, Matteo Salto and Hugo Steiner acaba de firmar un estudio publicado por la Comisión Europea en el que se analiza el peso del empleo público en los países del Viejo Continente. Es notorio que comparando </w:t>
      </w:r>
      <w:r w:rsidRPr="001A6C4B">
        <w:lastRenderedPageBreak/>
        <w:t>datos de 2006 y 2010, el informe señala que el tamaño de la plantilla de empleados públicos ha pasado de situarse por debajo del 10% a niveles superiores al 20%.</w:t>
      </w:r>
      <w:r>
        <w:t xml:space="preserve"> </w:t>
      </w:r>
      <w:r w:rsidRPr="001A6C4B">
        <w:t>El estudio señala que “prácticamente todas las fórmulas de contratación pública analizadas en Europa registran salarios más elevados que los del sector privado. En 2006, el diferencial era especialmente alto en el caso de los trabajadores públicos con contrato indefinido. No obstante, en países como España, Italia o Portugal, los sueldos de los trabajadores temporales superaban en un 60% a la retribución media del sector privado”. Actualizando la comparación a 2010, el informe apunta que “en España, la prima de los salarios públicos frente a los privados es de entre un 10% y un 20%. En este rango también están Italia y Portugal”. El rango de fechas observado por el estudio de la Comisión Europea no contempla la evolución entre 2011 y 2013. No obstante, durante este periodo podemos apreciar que los sueldos públicos siguen estando muy por encima de los salarios del sector privado (hasta un 46%, según el INE). Por otro lado, aunque las plantillas de empleados públicos se han reducido en 2012 y 2013, su tamaño y su coste siguen en niveles dignos de los años de la “burbuja” inmobiliaria. Así, la partida de personal de todas las Administraciones sumó en 2012 unos 115.223 millones de euros, apenas 3.000 millones menos que en 2008. Por otro lado, de acuerdo con los datos comunicados a la Comisión Europea, hay que señalar que esta partida de gasto volverá a subir con la restitución de la “paga extra”. Pero no solamente la Comisión Europea llama la atención sobre este asunto. También la escuela de negocios IESE, una de las más pres</w:t>
      </w:r>
      <w:r w:rsidR="004C03BC">
        <w:t>tigiosas del mundo, señala que “</w:t>
      </w:r>
      <w:r w:rsidRPr="001A6C4B">
        <w:t>el gasto en empleo público representa más de un 12% del PIB y supone la parte mayoritaria de los presupu</w:t>
      </w:r>
      <w:r w:rsidR="004C03BC">
        <w:t>estos ordinarios”. Según IESE, “</w:t>
      </w:r>
      <w:r w:rsidRPr="001A6C4B">
        <w:t>el empleo público tiene un peso considerable en el mercado laboral. Hablamos de un colect</w:t>
      </w:r>
      <w:r w:rsidR="004C03BC">
        <w:t>ivo creciente y poco productivo”</w:t>
      </w:r>
      <w:r w:rsidRPr="001A6C4B">
        <w:t>. La e</w:t>
      </w:r>
      <w:r w:rsidR="004C03BC">
        <w:t>scuela de negocios explica que “</w:t>
      </w:r>
      <w:r w:rsidRPr="001A6C4B">
        <w:t>entre 2008 y 2010, pese al contexto de crisis económica y aumento del déficit público, las plantillas de las Administraciones crecieron un 7,4%. Mientras tanto, el emp</w:t>
      </w:r>
      <w:r w:rsidR="004C03BC">
        <w:t>leo privado se hundía en un 12%”</w:t>
      </w:r>
      <w:r w:rsidRPr="001A6C4B">
        <w:t>. Según IESE, la optimización de la productividad de los burócratas españoles debe empezar por una reforma de las administraciones locales. Fuera de España también se han analizado estas cuestiones con ánimo de mejorar el rendimiento del sector público. En el caso de Gran Bretaña, la Oficina Nacional de Estadísticas ha señalado que “entre 1995 y 2008, el sector privado aumentó su productividad un 28% mientras que el sector público la redujo en un 3,5%. De haber evolucionado a la par ambos indicadores, el gasto público ahorrado hubiera supuesto cerca de 70.000 millones de euros”. Ampliando el campo de estudio a la totalidad de las Administraciones Públicas, el economista Vito Tanzi ha explicado que la productividad de la burocracia española está un 20% por debajo del nivel alcanzado por países como Estados Unidos, Japón, Luxemburgo… Asumiendo que se aprueban reformas para recortar este diferencial, el gasto público podría recortarse significativamente. Estas observaciones van en la misma línea que las del profesor de la Universidad Complutense José Félix Sanz, quien encabezó en 2013 una propuesta de reforma fiscal publicada por la Fundación para el Análisis y los Estudios Sociales (FAES). Dicho estudio pidió una mejora de la productividad en el sector público. Según el documento, “por cada euro efectivo de gasto, España necesita recaudar entre 1,4 y 1,6 euros”. Si cruzamos al otro lado del Atlántico podemos ver que los salarios de los empleados federales de EEUU también son muy superiores a las retribuciones del sector privado. En 2000, los primeros ganaban, de media, $</w:t>
      </w:r>
      <w:r>
        <w:t xml:space="preserve"> </w:t>
      </w:r>
      <w:r w:rsidRPr="001A6C4B">
        <w:t>51.518 dólares al año frente a los $</w:t>
      </w:r>
      <w:r>
        <w:t xml:space="preserve"> </w:t>
      </w:r>
      <w:r w:rsidRPr="001A6C4B">
        <w:t>38.862 dólares del ámbito empresarial. Pues bien, en 2011 este diferencial era aún mayor: los trabajadores de la Administración central ganaban, de media, $ 84.671 dólares frente a los $ 53.463 de los empleados del sector privado.</w:t>
      </w:r>
    </w:p>
    <w:p w:rsidR="00986D80" w:rsidRDefault="00142E05" w:rsidP="00387350">
      <w:pPr>
        <w:pStyle w:val="NormalWeb"/>
        <w:jc w:val="both"/>
        <w:rPr>
          <w:b/>
        </w:rPr>
      </w:pPr>
      <w:r>
        <w:rPr>
          <w:b/>
        </w:rPr>
        <w:lastRenderedPageBreak/>
        <w:t xml:space="preserve">Anexo V: Spain is different (un esperpento donde la disfuncionalidad es el sistema) </w:t>
      </w:r>
    </w:p>
    <w:p w:rsidR="00142E05" w:rsidRDefault="00142E05" w:rsidP="00387350">
      <w:pPr>
        <w:spacing w:line="240" w:lineRule="auto"/>
        <w:jc w:val="both"/>
        <w:rPr>
          <w:rFonts w:ascii="Times New Roman" w:hAnsi="Times New Roman"/>
          <w:sz w:val="24"/>
          <w:szCs w:val="24"/>
        </w:rPr>
      </w:pPr>
      <w:r w:rsidRPr="00F047AD">
        <w:rPr>
          <w:rFonts w:ascii="Times New Roman" w:hAnsi="Times New Roman"/>
          <w:i/>
          <w:sz w:val="24"/>
          <w:szCs w:val="24"/>
        </w:rPr>
        <w:t>“La vida es una tragedia si la ves de cerca, pero una comedia si la miras con distancia”.</w:t>
      </w:r>
      <w:r>
        <w:rPr>
          <w:rFonts w:ascii="Times New Roman" w:hAnsi="Times New Roman"/>
          <w:i/>
          <w:sz w:val="24"/>
          <w:szCs w:val="24"/>
        </w:rPr>
        <w:t xml:space="preserve"> </w:t>
      </w:r>
      <w:r w:rsidRPr="00F047AD">
        <w:rPr>
          <w:rFonts w:ascii="Times New Roman" w:hAnsi="Times New Roman"/>
          <w:sz w:val="24"/>
          <w:szCs w:val="24"/>
        </w:rPr>
        <w:t>Charles Chaplin</w:t>
      </w:r>
    </w:p>
    <w:p w:rsidR="00142E05" w:rsidRPr="00842B95" w:rsidRDefault="00142E05" w:rsidP="00387350">
      <w:pPr>
        <w:spacing w:line="240" w:lineRule="auto"/>
        <w:jc w:val="both"/>
        <w:rPr>
          <w:rFonts w:ascii="Times New Roman" w:hAnsi="Times New Roman"/>
          <w:i/>
          <w:sz w:val="24"/>
          <w:szCs w:val="24"/>
        </w:rPr>
      </w:pPr>
      <w:r>
        <w:rPr>
          <w:rFonts w:ascii="Arial" w:eastAsia="Times New Roman" w:hAnsi="Arial" w:cs="Arial"/>
          <w:noProof/>
          <w:color w:val="333333"/>
          <w:sz w:val="23"/>
          <w:szCs w:val="23"/>
          <w:lang w:eastAsia="es-ES"/>
        </w:rPr>
        <w:drawing>
          <wp:inline distT="0" distB="0" distL="0" distR="0" wp14:anchorId="1D35C011" wp14:editId="3216080B">
            <wp:extent cx="5398617" cy="2253081"/>
            <wp:effectExtent l="0" t="0" r="0" b="0"/>
            <wp:docPr id="480" name="Imagen 480" descr="Baja el paro por sexto mes consecutivo |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ja el paro por sexto mes consecutivo | EFE"/>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400040" cy="2253675"/>
                    </a:xfrm>
                    <a:prstGeom prst="rect">
                      <a:avLst/>
                    </a:prstGeom>
                    <a:noFill/>
                    <a:ln>
                      <a:noFill/>
                    </a:ln>
                  </pic:spPr>
                </pic:pic>
              </a:graphicData>
            </a:graphic>
          </wp:inline>
        </w:drawing>
      </w:r>
    </w:p>
    <w:p w:rsidR="00142E05" w:rsidRDefault="00142E05" w:rsidP="00387350">
      <w:pPr>
        <w:spacing w:before="100" w:beforeAutospacing="1" w:after="100" w:afterAutospacing="1" w:line="240" w:lineRule="auto"/>
        <w:jc w:val="both"/>
        <w:rPr>
          <w:rFonts w:ascii="Times New Roman" w:eastAsia="Times New Roman" w:hAnsi="Times New Roman" w:cs="Times New Roman"/>
          <w:sz w:val="24"/>
          <w:szCs w:val="24"/>
        </w:rPr>
      </w:pPr>
      <w:r w:rsidRPr="00ED35ED">
        <w:rPr>
          <w:rFonts w:ascii="Times New Roman" w:eastAsia="Times New Roman" w:hAnsi="Times New Roman" w:cs="Times New Roman"/>
          <w:i/>
          <w:sz w:val="24"/>
          <w:szCs w:val="24"/>
        </w:rPr>
        <w:t>“Soy consciente de que exigimos sacrificios a los ciudadanos, pero somos cuidadosos de repartir las cargas de forma justa”</w:t>
      </w:r>
      <w:r>
        <w:rPr>
          <w:rFonts w:ascii="Times New Roman" w:eastAsia="Times New Roman" w:hAnsi="Times New Roman" w:cs="Times New Roman"/>
          <w:i/>
          <w:sz w:val="24"/>
          <w:szCs w:val="24"/>
        </w:rPr>
        <w:t>… “</w:t>
      </w:r>
      <w:r w:rsidRPr="00EC13E7">
        <w:rPr>
          <w:rFonts w:ascii="Times New Roman" w:eastAsia="Times New Roman" w:hAnsi="Times New Roman" w:cs="Times New Roman"/>
          <w:i/>
          <w:sz w:val="24"/>
          <w:szCs w:val="24"/>
        </w:rPr>
        <w:t>El déficit se ha reducido claramente. Se pudo recapitalizar a los bancos arruinados. Las medid</w:t>
      </w:r>
      <w:r>
        <w:rPr>
          <w:rFonts w:ascii="Times New Roman" w:eastAsia="Times New Roman" w:hAnsi="Times New Roman" w:cs="Times New Roman"/>
          <w:i/>
          <w:sz w:val="24"/>
          <w:szCs w:val="24"/>
        </w:rPr>
        <w:t xml:space="preserve">as radicales han valido la pena”. </w:t>
      </w:r>
      <w:r>
        <w:rPr>
          <w:rFonts w:ascii="Times New Roman" w:eastAsia="Times New Roman" w:hAnsi="Times New Roman" w:cs="Times New Roman"/>
          <w:sz w:val="24"/>
          <w:szCs w:val="24"/>
        </w:rPr>
        <w:t xml:space="preserve">Mariano Rajoy (entrevista en el periódico austríaco Kurier - </w:t>
      </w:r>
      <w:r w:rsidRPr="008F0CC6">
        <w:rPr>
          <w:rFonts w:ascii="Times New Roman" w:eastAsia="Times New Roman" w:hAnsi="Times New Roman" w:cs="Times New Roman"/>
          <w:b/>
          <w:sz w:val="24"/>
          <w:szCs w:val="24"/>
        </w:rPr>
        <w:t>13/10/13</w:t>
      </w:r>
      <w:r>
        <w:rPr>
          <w:rFonts w:ascii="Times New Roman" w:eastAsia="Times New Roman" w:hAnsi="Times New Roman" w:cs="Times New Roman"/>
          <w:sz w:val="24"/>
          <w:szCs w:val="24"/>
        </w:rPr>
        <w:t>)</w:t>
      </w:r>
    </w:p>
    <w:p w:rsidR="00142E05" w:rsidRDefault="00142E05" w:rsidP="00387350">
      <w:pPr>
        <w:spacing w:before="100" w:beforeAutospacing="1" w:after="100" w:afterAutospacing="1" w:line="240" w:lineRule="auto"/>
        <w:jc w:val="both"/>
        <w:rPr>
          <w:rFonts w:ascii="Times New Roman" w:eastAsia="Times New Roman" w:hAnsi="Times New Roman" w:cs="Times New Roman"/>
          <w:sz w:val="24"/>
          <w:szCs w:val="24"/>
        </w:rPr>
      </w:pPr>
      <w:r w:rsidRPr="008F0CC6">
        <w:rPr>
          <w:rFonts w:ascii="Times New Roman" w:eastAsia="Times New Roman" w:hAnsi="Times New Roman" w:cs="Times New Roman"/>
          <w:i/>
          <w:sz w:val="24"/>
          <w:szCs w:val="24"/>
        </w:rPr>
        <w:t>“España no es hoy un pueblo civilizado, es un país bárbaro que utiliza los términos empleados por Kant, porque una minoría que se encuentra por encima de la ley es capaz de imponer su inmoralidad enriqueciendo sin freno a una oligarquía política, financiera y monopolista, a costa del empobrecimiento general y la miseria de los colectivos marginados del trabajo”.</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Roberto Centeno (El Confidencial - </w:t>
      </w:r>
      <w:r w:rsidRPr="008F0CC6">
        <w:rPr>
          <w:rFonts w:ascii="Times New Roman" w:eastAsia="Times New Roman" w:hAnsi="Times New Roman" w:cs="Times New Roman"/>
          <w:b/>
          <w:sz w:val="24"/>
          <w:szCs w:val="24"/>
        </w:rPr>
        <w:t>14/10/13</w:t>
      </w:r>
      <w:r>
        <w:rPr>
          <w:rFonts w:ascii="Times New Roman" w:eastAsia="Times New Roman" w:hAnsi="Times New Roman" w:cs="Times New Roman"/>
          <w:sz w:val="24"/>
          <w:szCs w:val="24"/>
        </w:rPr>
        <w:t>)</w:t>
      </w:r>
    </w:p>
    <w:p w:rsidR="00A928E8" w:rsidRDefault="00A928E8" w:rsidP="00387350">
      <w:pPr>
        <w:pStyle w:val="NormalWeb"/>
        <w:jc w:val="both"/>
      </w:pPr>
      <w:r w:rsidRPr="007D5787">
        <w:rPr>
          <w:u w:val="single"/>
        </w:rPr>
        <w:t>Socio rico, socio pobre: la diferencia entre Alemania y España en siete imágenes</w:t>
      </w:r>
      <w:r>
        <w:t xml:space="preserve"> (</w:t>
      </w:r>
      <w:r w:rsidR="00403F3B">
        <w:t xml:space="preserve">Fuente: </w:t>
      </w:r>
      <w:r>
        <w:t xml:space="preserve">Libertad Digital - </w:t>
      </w:r>
      <w:r w:rsidRPr="007D5787">
        <w:rPr>
          <w:b/>
        </w:rPr>
        <w:t>16/1/11</w:t>
      </w:r>
      <w:r>
        <w:t>)</w:t>
      </w:r>
    </w:p>
    <w:p w:rsidR="00403F3B" w:rsidRDefault="00C6682E" w:rsidP="00387350">
      <w:pPr>
        <w:pStyle w:val="NormalWeb"/>
        <w:jc w:val="both"/>
      </w:pPr>
      <w:r>
        <w:rPr>
          <w:noProof/>
        </w:rPr>
        <w:drawing>
          <wp:inline distT="0" distB="0" distL="0" distR="0" wp14:anchorId="123F6CDC" wp14:editId="263FE5C0">
            <wp:extent cx="5398617" cy="2889504"/>
            <wp:effectExtent l="0" t="0" r="0" b="6350"/>
            <wp:docPr id="482" name="Imagen 482" descr="espana_alemani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spana_alemania_1"/>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398617" cy="2889504"/>
                    </a:xfrm>
                    <a:prstGeom prst="rect">
                      <a:avLst/>
                    </a:prstGeom>
                    <a:noFill/>
                    <a:ln>
                      <a:noFill/>
                    </a:ln>
                  </pic:spPr>
                </pic:pic>
              </a:graphicData>
            </a:graphic>
          </wp:inline>
        </w:drawing>
      </w:r>
    </w:p>
    <w:p w:rsidR="00403F3B" w:rsidRDefault="00403F3B" w:rsidP="00387350">
      <w:pPr>
        <w:pStyle w:val="NormalWeb"/>
        <w:jc w:val="both"/>
      </w:pPr>
      <w:r w:rsidRPr="00A928E8">
        <w:lastRenderedPageBreak/>
        <w:t>Aunque son socios en la UE y comparten moneda, es difícil encontrar una coyuntura económica más diferente que la de España y Alemania.</w:t>
      </w:r>
    </w:p>
    <w:p w:rsidR="00C6682E" w:rsidRDefault="00C6682E" w:rsidP="00387350">
      <w:pPr>
        <w:pStyle w:val="NormalWeb"/>
        <w:jc w:val="both"/>
      </w:pPr>
      <w:r>
        <w:rPr>
          <w:noProof/>
        </w:rPr>
        <w:drawing>
          <wp:inline distT="0" distB="0" distL="0" distR="0" wp14:anchorId="7C5DC891" wp14:editId="34E4705E">
            <wp:extent cx="5120640" cy="2063115"/>
            <wp:effectExtent l="0" t="0" r="3810" b="0"/>
            <wp:docPr id="483" name="Imagen 483" descr="espana_alemani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spana_alemania_2"/>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120640" cy="2063115"/>
                    </a:xfrm>
                    <a:prstGeom prst="rect">
                      <a:avLst/>
                    </a:prstGeom>
                    <a:noFill/>
                    <a:ln>
                      <a:noFill/>
                    </a:ln>
                  </pic:spPr>
                </pic:pic>
              </a:graphicData>
            </a:graphic>
          </wp:inline>
        </w:drawing>
      </w:r>
    </w:p>
    <w:p w:rsidR="00C6682E" w:rsidRDefault="00C6682E" w:rsidP="00387350">
      <w:pPr>
        <w:pStyle w:val="NormalWeb"/>
        <w:jc w:val="both"/>
      </w:pPr>
      <w:r>
        <w:t xml:space="preserve">                                </w:t>
      </w:r>
      <w:r>
        <w:rPr>
          <w:noProof/>
        </w:rPr>
        <w:drawing>
          <wp:inline distT="0" distB="0" distL="0" distR="0" wp14:anchorId="3AB78C35" wp14:editId="2E8AA0BA">
            <wp:extent cx="2809018" cy="3233319"/>
            <wp:effectExtent l="0" t="0" r="0" b="5715"/>
            <wp:docPr id="484" name="Imagen 484" descr="espana_alemani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spana_alemania_3"/>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809240" cy="3233574"/>
                    </a:xfrm>
                    <a:prstGeom prst="rect">
                      <a:avLst/>
                    </a:prstGeom>
                    <a:noFill/>
                    <a:ln>
                      <a:noFill/>
                    </a:ln>
                  </pic:spPr>
                </pic:pic>
              </a:graphicData>
            </a:graphic>
          </wp:inline>
        </w:drawing>
      </w:r>
    </w:p>
    <w:p w:rsidR="00C6682E" w:rsidRDefault="00C6682E" w:rsidP="00387350">
      <w:pPr>
        <w:pStyle w:val="NormalWeb"/>
        <w:jc w:val="both"/>
      </w:pPr>
      <w:r>
        <w:t xml:space="preserve">              </w:t>
      </w:r>
      <w:r>
        <w:rPr>
          <w:noProof/>
        </w:rPr>
        <w:drawing>
          <wp:inline distT="0" distB="0" distL="0" distR="0" wp14:anchorId="1744C063" wp14:editId="43954E03">
            <wp:extent cx="4374359" cy="2150669"/>
            <wp:effectExtent l="0" t="0" r="7620" b="2540"/>
            <wp:docPr id="485" name="Imagen 485" descr="espana_alemani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spana_alemania_4"/>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374515" cy="2150746"/>
                    </a:xfrm>
                    <a:prstGeom prst="rect">
                      <a:avLst/>
                    </a:prstGeom>
                    <a:noFill/>
                    <a:ln>
                      <a:noFill/>
                    </a:ln>
                  </pic:spPr>
                </pic:pic>
              </a:graphicData>
            </a:graphic>
          </wp:inline>
        </w:drawing>
      </w:r>
    </w:p>
    <w:p w:rsidR="00C6682E" w:rsidRDefault="00C6682E" w:rsidP="00387350">
      <w:pPr>
        <w:pStyle w:val="NormalWeb"/>
        <w:jc w:val="both"/>
      </w:pPr>
      <w:r>
        <w:rPr>
          <w:noProof/>
        </w:rPr>
        <w:lastRenderedPageBreak/>
        <w:drawing>
          <wp:inline distT="0" distB="0" distL="0" distR="0" wp14:anchorId="51DE9DD5" wp14:editId="6459DEED">
            <wp:extent cx="5392520" cy="2743200"/>
            <wp:effectExtent l="0" t="0" r="0" b="0"/>
            <wp:docPr id="486" name="Imagen 486" descr="espana_alemani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spana_alemania_5"/>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400040" cy="2747025"/>
                    </a:xfrm>
                    <a:prstGeom prst="rect">
                      <a:avLst/>
                    </a:prstGeom>
                    <a:noFill/>
                    <a:ln>
                      <a:noFill/>
                    </a:ln>
                  </pic:spPr>
                </pic:pic>
              </a:graphicData>
            </a:graphic>
          </wp:inline>
        </w:drawing>
      </w:r>
    </w:p>
    <w:p w:rsidR="00C6682E" w:rsidRDefault="00C6682E" w:rsidP="00387350">
      <w:pPr>
        <w:pStyle w:val="NormalWeb"/>
        <w:jc w:val="both"/>
      </w:pPr>
      <w:r>
        <w:rPr>
          <w:noProof/>
        </w:rPr>
        <w:drawing>
          <wp:inline distT="0" distB="0" distL="0" distR="0" wp14:anchorId="66CA0F2D" wp14:editId="70B50C75">
            <wp:extent cx="5164038" cy="2267712"/>
            <wp:effectExtent l="0" t="0" r="0" b="0"/>
            <wp:docPr id="487" name="Imagen 487" descr="espana_alemania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spana_alemania_6"/>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5164455" cy="2267895"/>
                    </a:xfrm>
                    <a:prstGeom prst="rect">
                      <a:avLst/>
                    </a:prstGeom>
                    <a:noFill/>
                    <a:ln>
                      <a:noFill/>
                    </a:ln>
                  </pic:spPr>
                </pic:pic>
              </a:graphicData>
            </a:graphic>
          </wp:inline>
        </w:drawing>
      </w:r>
    </w:p>
    <w:p w:rsidR="00403F3B" w:rsidRDefault="00403F3B" w:rsidP="00387350">
      <w:pPr>
        <w:pStyle w:val="NormalWeb"/>
        <w:jc w:val="both"/>
      </w:pPr>
    </w:p>
    <w:p w:rsidR="00C6682E" w:rsidRDefault="00C6682E" w:rsidP="00387350">
      <w:pPr>
        <w:pStyle w:val="NormalWeb"/>
        <w:jc w:val="both"/>
      </w:pPr>
      <w:r>
        <w:rPr>
          <w:noProof/>
        </w:rPr>
        <w:drawing>
          <wp:inline distT="0" distB="0" distL="0" distR="0" wp14:anchorId="6CABDFE9" wp14:editId="18B9CDC8">
            <wp:extent cx="5230368" cy="2428647"/>
            <wp:effectExtent l="0" t="0" r="8890" b="0"/>
            <wp:docPr id="488" name="Imagen 488" descr="espana_alemania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spana_alemania_7"/>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5230495" cy="2428706"/>
                    </a:xfrm>
                    <a:prstGeom prst="rect">
                      <a:avLst/>
                    </a:prstGeom>
                    <a:noFill/>
                    <a:ln>
                      <a:noFill/>
                    </a:ln>
                  </pic:spPr>
                </pic:pic>
              </a:graphicData>
            </a:graphic>
          </wp:inline>
        </w:drawing>
      </w:r>
    </w:p>
    <w:p w:rsidR="00403F3B" w:rsidRDefault="00403F3B" w:rsidP="00387350">
      <w:pPr>
        <w:pStyle w:val="NormalWeb"/>
        <w:jc w:val="both"/>
      </w:pPr>
    </w:p>
    <w:p w:rsidR="00403F3B" w:rsidRDefault="00403F3B" w:rsidP="00387350">
      <w:pPr>
        <w:pStyle w:val="NormalWeb"/>
        <w:jc w:val="both"/>
      </w:pPr>
    </w:p>
    <w:p w:rsidR="00403F3B" w:rsidRPr="00403F3B" w:rsidRDefault="00403F3B" w:rsidP="00387350">
      <w:pPr>
        <w:spacing w:line="240" w:lineRule="auto"/>
        <w:jc w:val="both"/>
        <w:rPr>
          <w:rFonts w:ascii="Times New Roman" w:hAnsi="Times New Roman"/>
          <w:sz w:val="24"/>
          <w:szCs w:val="24"/>
        </w:rPr>
      </w:pPr>
      <w:r w:rsidRPr="00C10C35">
        <w:rPr>
          <w:rFonts w:ascii="Times New Roman" w:hAnsi="Times New Roman"/>
          <w:sz w:val="24"/>
          <w:szCs w:val="24"/>
          <w:u w:val="single"/>
        </w:rPr>
        <w:lastRenderedPageBreak/>
        <w:t>España redujo su competitividad un 12% ligando los salarios a la inflación</w:t>
      </w:r>
      <w:r>
        <w:rPr>
          <w:rFonts w:ascii="Times New Roman" w:hAnsi="Times New Roman"/>
          <w:sz w:val="24"/>
          <w:szCs w:val="24"/>
        </w:rPr>
        <w:t xml:space="preserve"> (Fuente: Expansión - </w:t>
      </w:r>
      <w:r w:rsidRPr="00C10C35">
        <w:rPr>
          <w:rFonts w:ascii="Times New Roman" w:hAnsi="Times New Roman"/>
          <w:b/>
          <w:sz w:val="24"/>
          <w:szCs w:val="24"/>
        </w:rPr>
        <w:t>8/3/11</w:t>
      </w:r>
      <w:r>
        <w:rPr>
          <w:rFonts w:ascii="Times New Roman" w:hAnsi="Times New Roman"/>
          <w:sz w:val="24"/>
          <w:szCs w:val="24"/>
        </w:rPr>
        <w:t>)</w:t>
      </w:r>
    </w:p>
    <w:p w:rsidR="00142E05" w:rsidRDefault="00403F3B" w:rsidP="00387350">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noProof/>
          <w:sz w:val="24"/>
          <w:szCs w:val="24"/>
          <w:lang w:eastAsia="es-ES"/>
        </w:rPr>
        <w:drawing>
          <wp:inline distT="0" distB="0" distL="0" distR="0" wp14:anchorId="2B1826EF" wp14:editId="589A57EB">
            <wp:extent cx="5400040" cy="3443156"/>
            <wp:effectExtent l="0" t="0" r="0" b="5080"/>
            <wp:docPr id="489" name="Imagen 489" descr="1299540535_g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299540535_g_0"/>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5400040" cy="3443156"/>
                    </a:xfrm>
                    <a:prstGeom prst="rect">
                      <a:avLst/>
                    </a:prstGeom>
                    <a:noFill/>
                    <a:ln>
                      <a:noFill/>
                    </a:ln>
                  </pic:spPr>
                </pic:pic>
              </a:graphicData>
            </a:graphic>
          </wp:inline>
        </w:drawing>
      </w:r>
    </w:p>
    <w:p w:rsidR="00403F3B" w:rsidRPr="00403F3B" w:rsidRDefault="00403F3B" w:rsidP="00387350">
      <w:pPr>
        <w:spacing w:line="240" w:lineRule="auto"/>
        <w:jc w:val="both"/>
        <w:rPr>
          <w:rFonts w:ascii="Times New Roman" w:hAnsi="Times New Roman"/>
          <w:sz w:val="24"/>
          <w:szCs w:val="24"/>
        </w:rPr>
      </w:pPr>
      <w:r w:rsidRPr="00403F3B">
        <w:rPr>
          <w:rFonts w:ascii="Times New Roman" w:hAnsi="Times New Roman"/>
          <w:sz w:val="24"/>
          <w:szCs w:val="24"/>
        </w:rPr>
        <w:t>En la década del boom inmobiliario (entre 1998 y 2007), la desvinculación de los salarios con respecto a la evolución de la productividad, ligando los sueldos a la evolución de los precios de consumo de forma automática, provocó una pérdida de competitividad en costes del 20% con respecto a la media de zona euro, según un informe de Funcas elaborado por Ángel Laborda y María Jesús Fernández. Tras la destrucción de empleo por la crisis, la competitividad medida en costes laborales cae un 12,5%.</w:t>
      </w:r>
    </w:p>
    <w:p w:rsidR="00403F3B" w:rsidRPr="00403F3B" w:rsidRDefault="00403F3B" w:rsidP="00387350">
      <w:pPr>
        <w:spacing w:line="240" w:lineRule="auto"/>
        <w:jc w:val="both"/>
        <w:rPr>
          <w:rFonts w:ascii="Times New Roman" w:hAnsi="Times New Roman"/>
          <w:sz w:val="24"/>
          <w:szCs w:val="24"/>
        </w:rPr>
      </w:pPr>
      <w:r w:rsidRPr="00403F3B">
        <w:rPr>
          <w:rFonts w:ascii="Times New Roman" w:hAnsi="Times New Roman"/>
          <w:sz w:val="24"/>
          <w:szCs w:val="24"/>
        </w:rPr>
        <w:t>España ha recuperado entre 2009 y 2010 un 35% de la desventaja cosechada por el aumento de los costes laborales unitarios industriales durante la década previa a la crisis. Ahora bien, esto no ha conseguido atajar de raíz el problema: la economía nacional, después de la italiana, ha sufrido la peor evolución de la competitividad de las cuatro grandes economías del euro desde que se creó la Unión Monetaria (UEM).</w:t>
      </w:r>
    </w:p>
    <w:p w:rsidR="007C5918" w:rsidRPr="00C71294" w:rsidRDefault="007C5918" w:rsidP="00387350">
      <w:pPr>
        <w:pStyle w:val="NormalWeb"/>
        <w:jc w:val="both"/>
      </w:pPr>
      <w:r w:rsidRPr="00C71294">
        <w:t>“El sector público puede recortar más de 80.000 millones sin tocar servicios básicos. Vender empresas y activos aportaría más de 40.000 en ingresos…</w:t>
      </w:r>
    </w:p>
    <w:p w:rsidR="007C5918" w:rsidRPr="00C71294" w:rsidRDefault="007C5918" w:rsidP="00387350">
      <w:pPr>
        <w:pStyle w:val="NormalWeb"/>
        <w:jc w:val="both"/>
      </w:pPr>
      <w:r w:rsidRPr="00C71294">
        <w:t xml:space="preserve">¿Cómo reducir 80.000 millones en un año? </w:t>
      </w:r>
    </w:p>
    <w:p w:rsidR="007C5918" w:rsidRPr="00C71294" w:rsidRDefault="007C5918" w:rsidP="00387350">
      <w:pPr>
        <w:pStyle w:val="NormalWeb"/>
        <w:jc w:val="both"/>
      </w:pPr>
      <w:r w:rsidRPr="00C71294">
        <w:t>La guía se divide en cuatro grandes bloques: recortes en la Administración General del Estado (Gobierno central); en los presupuestos de las CCAA; reestructuración y reforma de la administración local; e ingresos extra derivados de la privatización y venta de empresas y activos estatales.</w:t>
      </w:r>
    </w:p>
    <w:p w:rsidR="007C5918" w:rsidRPr="00C71294" w:rsidRDefault="007C5918" w:rsidP="00387350">
      <w:pPr>
        <w:pStyle w:val="NormalWeb"/>
        <w:jc w:val="both"/>
      </w:pPr>
      <w:r w:rsidRPr="00C71294">
        <w:t xml:space="preserve">Ninguno de los recortes descritos afecta en modo alguno a los servicios y prestaciones públicas básicas (prestaciones, pensiones, sanidad, educación...) ni implica reducciones </w:t>
      </w:r>
      <w:r w:rsidRPr="00C71294">
        <w:lastRenderedPageBreak/>
        <w:t>de salario a los funcionarios, los temas más espinosos y polémicos de los ajustes de cara a la opinión pública.</w:t>
      </w:r>
    </w:p>
    <w:p w:rsidR="007C5918" w:rsidRPr="00C71294" w:rsidRDefault="007C5918" w:rsidP="00387350">
      <w:pPr>
        <w:pStyle w:val="NormalWeb"/>
        <w:numPr>
          <w:ilvl w:val="0"/>
          <w:numId w:val="8"/>
        </w:numPr>
        <w:jc w:val="both"/>
      </w:pPr>
      <w:r w:rsidRPr="00C71294">
        <w:t>Presupuestos Generales del Estado para 2011: 39.000 millones</w:t>
      </w:r>
    </w:p>
    <w:p w:rsidR="007C5918" w:rsidRPr="00C71294" w:rsidRDefault="007C5918" w:rsidP="00387350">
      <w:pPr>
        <w:pStyle w:val="NormalWeb"/>
        <w:numPr>
          <w:ilvl w:val="0"/>
          <w:numId w:val="8"/>
        </w:numPr>
        <w:jc w:val="both"/>
      </w:pPr>
      <w:r w:rsidRPr="00C71294">
        <w:t>Presupuestos de las CCAA para 2011: 33.000 millones</w:t>
      </w:r>
    </w:p>
    <w:p w:rsidR="007C5918" w:rsidRPr="00C71294" w:rsidRDefault="007C5918" w:rsidP="00387350">
      <w:pPr>
        <w:pStyle w:val="NormalWeb"/>
        <w:numPr>
          <w:ilvl w:val="0"/>
          <w:numId w:val="8"/>
        </w:numPr>
        <w:jc w:val="both"/>
      </w:pPr>
      <w:r w:rsidRPr="00C71294">
        <w:t xml:space="preserve">Reestructuración de la administración local: 16.000 millones </w:t>
      </w:r>
    </w:p>
    <w:p w:rsidR="007C5918" w:rsidRPr="00C71294" w:rsidRDefault="007C5918" w:rsidP="00387350">
      <w:pPr>
        <w:pStyle w:val="NormalWeb"/>
        <w:numPr>
          <w:ilvl w:val="0"/>
          <w:numId w:val="8"/>
        </w:numPr>
        <w:jc w:val="both"/>
      </w:pPr>
      <w:r w:rsidRPr="00C71294">
        <w:t>Ingresos mediante venta y privatizaciones: 43.000 millones</w:t>
      </w:r>
    </w:p>
    <w:p w:rsidR="007C5918" w:rsidRPr="00C71294" w:rsidRDefault="007C5918" w:rsidP="00387350">
      <w:pPr>
        <w:pStyle w:val="NormalWeb"/>
        <w:jc w:val="both"/>
      </w:pPr>
      <w:r w:rsidRPr="00C71294">
        <w:t>RESULTADO: 88.000 mi</w:t>
      </w:r>
      <w:r w:rsidR="00C71294" w:rsidRPr="00C71294">
        <w:t xml:space="preserve">llones menos </w:t>
      </w:r>
      <w:r w:rsidRPr="00C71294">
        <w:t xml:space="preserve"> </w:t>
      </w:r>
    </w:p>
    <w:p w:rsidR="00C71294" w:rsidRDefault="007C5918" w:rsidP="00387350">
      <w:pPr>
        <w:pStyle w:val="NormalWeb"/>
        <w:jc w:val="both"/>
      </w:pPr>
      <w:r w:rsidRPr="00C71294">
        <w:t>La suma de todas las partidas de ajuste arrojan el siguiente resultado: recorte del gasto público de hasta 88.000 millones de euros en 2012 (81.000 excluyendo la particular cuestión de las primas renovables), lo cual supondría eliminar de un plumazo todo el déficit público. España lograría así el ansiado equilibrio presupuestario; por otro lado, la venta y privatización de empresas podría reducir la deuda hasta un nivel</w:t>
      </w:r>
      <w:r w:rsidR="00C71294">
        <w:t xml:space="preserve"> próximo al 60% del PIB en 2012”… </w:t>
      </w:r>
      <w:r w:rsidR="00C71294" w:rsidRPr="00BC31C8">
        <w:rPr>
          <w:u w:val="single"/>
        </w:rPr>
        <w:t>Cómo eliminar todo el déficit público sin subir impuestos</w:t>
      </w:r>
      <w:r w:rsidR="00C71294">
        <w:t xml:space="preserve"> (Libertad Digital - </w:t>
      </w:r>
      <w:r w:rsidR="00C71294" w:rsidRPr="00BC31C8">
        <w:rPr>
          <w:b/>
        </w:rPr>
        <w:t>5/1/12</w:t>
      </w:r>
      <w:r w:rsidR="00C71294">
        <w:t>)</w:t>
      </w:r>
    </w:p>
    <w:p w:rsidR="00C71294" w:rsidRDefault="00C71294" w:rsidP="00387350">
      <w:pPr>
        <w:pStyle w:val="NormalWeb"/>
        <w:jc w:val="both"/>
      </w:pPr>
      <w:r w:rsidRPr="00184AF2">
        <w:rPr>
          <w:u w:val="single"/>
        </w:rPr>
        <w:t>Los miles de empresas públicas que las administraciones se resisten a cerrar</w:t>
      </w:r>
      <w:r>
        <w:t xml:space="preserve"> (Fuente: Libertad Digital - </w:t>
      </w:r>
      <w:r w:rsidRPr="00184AF2">
        <w:rPr>
          <w:b/>
        </w:rPr>
        <w:t>18/8/12</w:t>
      </w:r>
      <w:r>
        <w:t>)</w:t>
      </w:r>
    </w:p>
    <w:p w:rsidR="00C71294" w:rsidRDefault="00C71294" w:rsidP="00387350">
      <w:pPr>
        <w:pStyle w:val="NormalWeb"/>
        <w:jc w:val="both"/>
      </w:pPr>
      <w:r>
        <w:t>De todas estas administraciones (y del propio Estado) cuelga un entramado de todo tipo de entidades, muchas de ellas ajenas a cualquier tipo de fiscalización, como se muestra en el siguiente cuadro:</w:t>
      </w:r>
    </w:p>
    <w:p w:rsidR="00C71294" w:rsidRDefault="00C71294" w:rsidP="00387350">
      <w:pPr>
        <w:pStyle w:val="NormalWeb"/>
        <w:jc w:val="both"/>
      </w:pPr>
      <w:r>
        <w:rPr>
          <w:noProof/>
        </w:rPr>
        <w:drawing>
          <wp:inline distT="0" distB="0" distL="0" distR="0" wp14:anchorId="342BBBF2" wp14:editId="0CD60A22">
            <wp:extent cx="5398770" cy="3672205"/>
            <wp:effectExtent l="0" t="0" r="0" b="4445"/>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5398770" cy="3672205"/>
                    </a:xfrm>
                    <a:prstGeom prst="rect">
                      <a:avLst/>
                    </a:prstGeom>
                    <a:noFill/>
                    <a:ln>
                      <a:noFill/>
                    </a:ln>
                  </pic:spPr>
                </pic:pic>
              </a:graphicData>
            </a:graphic>
          </wp:inline>
        </w:drawing>
      </w:r>
    </w:p>
    <w:p w:rsidR="00C71294" w:rsidRDefault="00C71294" w:rsidP="00387350">
      <w:pPr>
        <w:pStyle w:val="NormalWeb"/>
        <w:jc w:val="both"/>
      </w:pPr>
      <w:r>
        <w:t xml:space="preserve">Como puede verse, de las distintas administraciones dependen varios miles de entidades regidas por distintas normativas y con diferentes grados de autonomía. Eso hace que las trabas burocráticas para la contratación de personal y para el gasto sean muy variables </w:t>
      </w:r>
      <w:r>
        <w:lastRenderedPageBreak/>
        <w:t>entre unas entidades y otras, y muy diferentes de las que existen en la Administración Pública.</w:t>
      </w:r>
    </w:p>
    <w:p w:rsidR="00C71294" w:rsidRDefault="00C71294" w:rsidP="00387350">
      <w:pPr>
        <w:pStyle w:val="NormalWeb"/>
      </w:pPr>
      <w:r>
        <w:t>.</w:t>
      </w:r>
    </w:p>
    <w:p w:rsidR="00C71294" w:rsidRDefault="005C4BD0" w:rsidP="00387350">
      <w:pPr>
        <w:pStyle w:val="NormalWeb"/>
        <w:jc w:val="center"/>
      </w:pPr>
      <w:r>
        <w:t xml:space="preserve">             </w:t>
      </w:r>
      <w:r w:rsidR="00C71294">
        <w:rPr>
          <w:noProof/>
        </w:rPr>
        <w:drawing>
          <wp:inline distT="0" distB="0" distL="0" distR="0" wp14:anchorId="0A4F7E51" wp14:editId="26AD933D">
            <wp:extent cx="4315968" cy="2465222"/>
            <wp:effectExtent l="0" t="0" r="8890" b="0"/>
            <wp:docPr id="491" name="Imagen 491" descr="grafica-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rafica-estado"/>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4316033" cy="2465259"/>
                    </a:xfrm>
                    <a:prstGeom prst="rect">
                      <a:avLst/>
                    </a:prstGeom>
                    <a:noFill/>
                    <a:ln>
                      <a:noFill/>
                    </a:ln>
                  </pic:spPr>
                </pic:pic>
              </a:graphicData>
            </a:graphic>
          </wp:inline>
        </w:drawing>
      </w:r>
    </w:p>
    <w:p w:rsidR="00C71294" w:rsidRDefault="00C71294" w:rsidP="00387350">
      <w:pPr>
        <w:pStyle w:val="NormalWeb"/>
        <w:jc w:val="both"/>
      </w:pPr>
      <w:r>
        <w:t>De mayor a menor grado de control, la clasificación de entidades sería la siguiente:</w:t>
      </w:r>
    </w:p>
    <w:p w:rsidR="00C71294" w:rsidRDefault="00C71294" w:rsidP="00387350">
      <w:pPr>
        <w:pStyle w:val="NormalWeb"/>
        <w:jc w:val="both"/>
      </w:pPr>
      <w:r>
        <w:t xml:space="preserve"> •Organismos autónomos, regidos por el Derecho público</w:t>
      </w:r>
    </w:p>
    <w:p w:rsidR="00C71294" w:rsidRDefault="00C71294" w:rsidP="00387350">
      <w:pPr>
        <w:pStyle w:val="NormalWeb"/>
        <w:jc w:val="both"/>
      </w:pPr>
      <w:r>
        <w:t>•Agencias, regidas por el Derecho público, pero con más autonomía</w:t>
      </w:r>
    </w:p>
    <w:p w:rsidR="00C71294" w:rsidRDefault="00C71294" w:rsidP="00387350">
      <w:pPr>
        <w:pStyle w:val="NormalWeb"/>
        <w:jc w:val="both"/>
      </w:pPr>
      <w:r>
        <w:t>•Entes públicos, regidos principalmente por el Derecho privado</w:t>
      </w:r>
    </w:p>
    <w:p w:rsidR="00C71294" w:rsidRDefault="00C71294" w:rsidP="00387350">
      <w:pPr>
        <w:pStyle w:val="NormalWeb"/>
        <w:jc w:val="both"/>
      </w:pPr>
      <w:r>
        <w:t>•Sociedades mercantiles, regidas por el Derecho privado, con obligación de presentar (y en algunos casos auditar) sus cuentas</w:t>
      </w:r>
    </w:p>
    <w:p w:rsidR="00C71294" w:rsidRDefault="00C71294" w:rsidP="00387350">
      <w:pPr>
        <w:pStyle w:val="NormalWeb"/>
        <w:jc w:val="both"/>
      </w:pPr>
      <w:r>
        <w:t>•Fundaciones, con menos obligaciones a la hora de presentar o auditar sus cuentas</w:t>
      </w:r>
    </w:p>
    <w:p w:rsidR="00C71294" w:rsidRPr="00C71294" w:rsidRDefault="00C71294" w:rsidP="00387350">
      <w:pPr>
        <w:pStyle w:val="NormalWeb"/>
        <w:jc w:val="both"/>
      </w:pPr>
      <w:r w:rsidRPr="00C71294">
        <w:t>Quizá sea precisamente esa opacidad la que ha hecho que las fundaciones participadas por la administración se multipliquen en nuestro país como setas. En concreto, el número de fundaciones dependientes de las administraciones autonómicas, o participadas por ellas, ha pasado de 357 en abril de 2003, a 498 en enero de 2007 y a 561 en julio de 2011.</w:t>
      </w:r>
    </w:p>
    <w:p w:rsidR="00C71294" w:rsidRDefault="00C71294" w:rsidP="00387350">
      <w:pPr>
        <w:pStyle w:val="NormalWeb"/>
        <w:jc w:val="center"/>
      </w:pPr>
      <w:r>
        <w:rPr>
          <w:noProof/>
        </w:rPr>
        <w:drawing>
          <wp:inline distT="0" distB="0" distL="0" distR="0" wp14:anchorId="6BF64C45" wp14:editId="62D8ED59">
            <wp:extent cx="3284453" cy="1960474"/>
            <wp:effectExtent l="0" t="0" r="0" b="1905"/>
            <wp:docPr id="492" name="Imagen 492" descr="fundaciones-dependie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undaciones-dependientes"/>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3284220" cy="1960335"/>
                    </a:xfrm>
                    <a:prstGeom prst="rect">
                      <a:avLst/>
                    </a:prstGeom>
                    <a:noFill/>
                    <a:ln>
                      <a:noFill/>
                    </a:ln>
                  </pic:spPr>
                </pic:pic>
              </a:graphicData>
            </a:graphic>
          </wp:inline>
        </w:drawing>
      </w:r>
    </w:p>
    <w:p w:rsidR="00C71294" w:rsidRDefault="00200055" w:rsidP="00387350">
      <w:pPr>
        <w:pStyle w:val="NormalWeb"/>
        <w:jc w:val="both"/>
      </w:pPr>
      <w:r>
        <w:rPr>
          <w:noProof/>
        </w:rPr>
        <w:lastRenderedPageBreak/>
        <w:drawing>
          <wp:inline distT="0" distB="0" distL="0" distR="0" wp14:anchorId="371659F5" wp14:editId="6F85D1AF">
            <wp:extent cx="5396479" cy="2574950"/>
            <wp:effectExtent l="0" t="0" r="0" b="0"/>
            <wp:docPr id="105" name="Imagen 105" descr="mapa-entes-autonom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pa-entes-autonomicas"/>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5400040" cy="2576649"/>
                    </a:xfrm>
                    <a:prstGeom prst="rect">
                      <a:avLst/>
                    </a:prstGeom>
                    <a:noFill/>
                    <a:ln>
                      <a:noFill/>
                    </a:ln>
                  </pic:spPr>
                </pic:pic>
              </a:graphicData>
            </a:graphic>
          </wp:inline>
        </w:drawing>
      </w:r>
    </w:p>
    <w:p w:rsidR="00200055" w:rsidRPr="005D4161" w:rsidRDefault="00200055" w:rsidP="00387350">
      <w:pPr>
        <w:pStyle w:val="NormalWeb"/>
        <w:jc w:val="both"/>
      </w:pPr>
      <w:r w:rsidRPr="005D4161">
        <w:t>“En lo que sigue, argumento que la clase política española ha desarrollado en las últimas décadas un interés particular, sostenido por un sistema de captura de rentas, que se sitúa por encima del interés general de la nación. En este sentido forma una élite extractiva, según la terminología popularizada por Acemoglu y Robinson. Los políticos españoles son los principales responsables de la burbuja inmobiliaria, del colapso de las cajas de ahorro, de la burbuja de las energías renovables y de la burbuja de las infraestructuras innecesarias. Estos procesos han llevado a España a los rescates europeos, resistidos de forma numantina por nuestra clase política porque obligan a hacer reformas que erosionan su interés particular. Una reforma legal que implantase un sistema electoral mayoritario provocaría que los cargos electos fuesen responsables ante sus votantes en vez de serlo ante la cúpula de su partido, daría un vuelco muy positivo a la democracia española y facilitaría el proceso de reforma estructural…</w:t>
      </w:r>
    </w:p>
    <w:p w:rsidR="00200055" w:rsidRPr="005D4161" w:rsidRDefault="00200055" w:rsidP="00387350">
      <w:pPr>
        <w:spacing w:line="240" w:lineRule="auto"/>
        <w:jc w:val="both"/>
        <w:rPr>
          <w:rFonts w:ascii="Times New Roman" w:hAnsi="Times New Roman"/>
          <w:sz w:val="24"/>
          <w:szCs w:val="24"/>
        </w:rPr>
      </w:pPr>
      <w:r w:rsidRPr="005D4161">
        <w:rPr>
          <w:rFonts w:ascii="Times New Roman" w:hAnsi="Times New Roman"/>
          <w:sz w:val="24"/>
          <w:szCs w:val="24"/>
        </w:rPr>
        <w:t>Los políticos de la Transición tenían procedencias muy diversas: unos venían del franquismo, otros del exilio y otros estaban en la oposición ilegal del interior. No tenían ni espíritu de gremio ni un interés particular como colectivo. Muchos de ellos no se veían a sí mismos como políticos profesionales y, de hecho, muchos no lo fueron nunca. Estos políticos tomaron dos decisiones trascendentales que dieron forma a la clase política que les sucedió. La primera fue adoptar un sistema electoral proporcional corregido, con listas electorales cerradas y bloqueadas. El objetivo era consolidar el sistema de partidos políticos fortaleciendo el poder interno de sus dirigentes, algo que entonces, en el marco de una democracia incipiente y dubitativa, parecía razonable. La segunda decisión, cuyo éxito se condicionaba al de la primera, fue descentralizar fuertemente el Estado, adoptando la versión café para todos del Estado de las autonomías. Los peligros de una descentralización excesiva, que eran evidentes, se debían conjurar a partir del papel vertebrador que tendrían los grandes partidos políticos nacionales, cohesionados por el fuerte poder de sus cúpulas. El plan, por aquel entonces, parecía sensato.</w:t>
      </w:r>
    </w:p>
    <w:p w:rsidR="00200055" w:rsidRPr="005D4161" w:rsidRDefault="00200055" w:rsidP="00387350">
      <w:pPr>
        <w:spacing w:line="240" w:lineRule="auto"/>
        <w:jc w:val="both"/>
        <w:rPr>
          <w:rFonts w:ascii="Times New Roman" w:hAnsi="Times New Roman"/>
          <w:sz w:val="24"/>
          <w:szCs w:val="24"/>
        </w:rPr>
      </w:pPr>
      <w:r w:rsidRPr="005D4161">
        <w:rPr>
          <w:rFonts w:ascii="Times New Roman" w:hAnsi="Times New Roman"/>
          <w:sz w:val="24"/>
          <w:szCs w:val="24"/>
        </w:rPr>
        <w:t xml:space="preserve">Pero, tal y como le ocurrió al Dr. Frankenstein, lo que creó al monstruo no fue el plan, que no era malo, sino su implementación. Por una serie de infortunios, a la criatura de Frankenstein se le acabó implantando el cerebro equivocado. Por una serie de imponderables, a la joven democracia española se le acabó implantando una clase política profesional que rápidamente devino disfuncional y monstruosa. Matt Taibbi, en su célebre artículo de 2009 en </w:t>
      </w:r>
      <w:r w:rsidRPr="00E1247A">
        <w:rPr>
          <w:rFonts w:ascii="Times New Roman" w:hAnsi="Times New Roman"/>
          <w:sz w:val="24"/>
          <w:szCs w:val="24"/>
        </w:rPr>
        <w:t>Rolling Stone</w:t>
      </w:r>
      <w:r w:rsidRPr="005D4161">
        <w:rPr>
          <w:rFonts w:ascii="Times New Roman" w:hAnsi="Times New Roman"/>
          <w:sz w:val="24"/>
          <w:szCs w:val="24"/>
        </w:rPr>
        <w:t xml:space="preserve"> sobre Goldman Sachs </w:t>
      </w:r>
      <w:r w:rsidRPr="001A3AAD">
        <w:rPr>
          <w:rFonts w:ascii="Times New Roman" w:hAnsi="Times New Roman"/>
          <w:i/>
          <w:sz w:val="24"/>
          <w:szCs w:val="24"/>
        </w:rPr>
        <w:t xml:space="preserve">“La gran máquina </w:t>
      </w:r>
      <w:r w:rsidRPr="001A3AAD">
        <w:rPr>
          <w:rFonts w:ascii="Times New Roman" w:hAnsi="Times New Roman"/>
          <w:i/>
          <w:sz w:val="24"/>
          <w:szCs w:val="24"/>
        </w:rPr>
        <w:lastRenderedPageBreak/>
        <w:t>americana de hacer burbujas”</w:t>
      </w:r>
      <w:r w:rsidRPr="005D4161">
        <w:rPr>
          <w:rFonts w:ascii="Times New Roman" w:hAnsi="Times New Roman"/>
          <w:sz w:val="24"/>
          <w:szCs w:val="24"/>
        </w:rPr>
        <w:t xml:space="preserve"> comparaba al banco de inversión con un gran calamar vampiro abrazado a la cara de la humanidad que va creando una burbuja tras otra para succionar de ellas todo el dinero posible. Más adelante propondré un símil parecido para la actual clase política española, pero antes conviene analizar cuáles han sido los cuatro imponderables que han acabado generando a nuestro monstruo</w:t>
      </w:r>
      <w:r w:rsidR="005D4161" w:rsidRPr="005D4161">
        <w:rPr>
          <w:rFonts w:ascii="Times New Roman" w:hAnsi="Times New Roman"/>
          <w:sz w:val="24"/>
          <w:szCs w:val="24"/>
        </w:rPr>
        <w:t>.</w:t>
      </w:r>
    </w:p>
    <w:p w:rsidR="005D4161" w:rsidRPr="005D4161" w:rsidRDefault="005D4161" w:rsidP="00387350">
      <w:pPr>
        <w:spacing w:line="240" w:lineRule="auto"/>
        <w:jc w:val="both"/>
        <w:rPr>
          <w:rFonts w:ascii="Times New Roman" w:hAnsi="Times New Roman"/>
          <w:sz w:val="24"/>
          <w:szCs w:val="24"/>
        </w:rPr>
      </w:pPr>
      <w:r w:rsidRPr="005D4161">
        <w:rPr>
          <w:rFonts w:ascii="Times New Roman" w:hAnsi="Times New Roman"/>
          <w:sz w:val="24"/>
          <w:szCs w:val="24"/>
        </w:rPr>
        <w:t>En primer lugar, el sistema electoral proporcional, con listas cerradas y bloqueadas, ha creado una clase política profesional muy distinta de la que protagonizó la Transición… En segundo lugar, la descentralización del Estado, que comenzó a principios de los 80, fue mucho más allá de lo que era imaginable cuando se aprobó la Constitución…</w:t>
      </w:r>
    </w:p>
    <w:p w:rsidR="00200055" w:rsidRPr="005D4161" w:rsidRDefault="00200055" w:rsidP="00387350">
      <w:pPr>
        <w:spacing w:line="240" w:lineRule="auto"/>
        <w:jc w:val="both"/>
        <w:rPr>
          <w:rFonts w:ascii="Times New Roman" w:hAnsi="Times New Roman"/>
          <w:sz w:val="24"/>
          <w:szCs w:val="24"/>
        </w:rPr>
      </w:pPr>
      <w:r w:rsidRPr="005D4161">
        <w:rPr>
          <w:rFonts w:ascii="Times New Roman" w:hAnsi="Times New Roman"/>
          <w:sz w:val="24"/>
          <w:szCs w:val="24"/>
        </w:rPr>
        <w:t>Como resultante de estas fuerzas, se produjo un crecimiento vertiginoso de las Administraciones Públicas: 17 administraciones y gobiernos autonómicos, 17 parlamentos y miles -literalmente miles- de nuevas empresas y organismos públicos territoriales cuyo objetivo último en muchos casos, era generar nóminas y dietas. En ausencia de procedimientos establecidos para seleccionar plantillas, los políticos colocaron en las nuevas administraciones y organismos a deudos, familiares, nepotes y camaradas, lo que llevó a una estructura clientelar y politizada de las administraciones territoriales que era inimaginable cuando se diseñó la Constitución. A partir de una Administración hipertrofiada, la nueva clase política se había asegurado un sistema de captura de rentas -es decir un sistema que no crea riqueza nueva, sino que se apodera de la ya creada por otros- por cuyas alcantarillas circulaba la financiación de los partidos.</w:t>
      </w:r>
    </w:p>
    <w:p w:rsidR="00200055" w:rsidRPr="005D4161" w:rsidRDefault="00200055" w:rsidP="00387350">
      <w:pPr>
        <w:spacing w:line="240" w:lineRule="auto"/>
        <w:jc w:val="both"/>
        <w:rPr>
          <w:rFonts w:ascii="Times New Roman" w:hAnsi="Times New Roman"/>
          <w:sz w:val="24"/>
          <w:szCs w:val="24"/>
        </w:rPr>
      </w:pPr>
      <w:r w:rsidRPr="005D4161">
        <w:rPr>
          <w:rFonts w:ascii="Times New Roman" w:hAnsi="Times New Roman"/>
          <w:sz w:val="24"/>
          <w:szCs w:val="24"/>
        </w:rPr>
        <w:t>En tercer lugar, llegó la gran sorpresa. El poder dentro de los partidos políticos se descentralizó a un ritmo todavía más rápido que las Administraciones Públicas. La idea de que la España autonómica podía ser vertebrada por los dos grandes partidos mayoritarios saltó hecha añicos cuando los llamados barones territoriales adquirieron bases de poder de “abajo a arriba” y se convirtieron, en la mejor tradición del conde de Warwick, en los hacedores de reyes de sus respectivos partidos. En este imprevisto contexto, se aceleró la descentralización del control y la supervisión de las Cajas de Ahorro. Las comunidades autónomas se apresuraron a aprobar sus propias leyes de Cajas y, una vez asegurado su control, poblaron los consejos de administración y cargos directivos con políticos, sindicalistas, amigos y compinches. Por si esto fuera poco, las Cajas tuteladas por los gobiernos autonómicos hicieron proliferar empresas, organismos y fundaciones filiales, en muchas ocasiones sin objetivos claros aparte del de generar más dietas y más nóminas.</w:t>
      </w:r>
    </w:p>
    <w:p w:rsidR="00200055" w:rsidRPr="005D4161" w:rsidRDefault="00200055" w:rsidP="00387350">
      <w:pPr>
        <w:spacing w:line="240" w:lineRule="auto"/>
        <w:jc w:val="both"/>
        <w:rPr>
          <w:rFonts w:ascii="Times New Roman" w:hAnsi="Times New Roman"/>
          <w:sz w:val="24"/>
          <w:szCs w:val="24"/>
        </w:rPr>
      </w:pPr>
      <w:r w:rsidRPr="005D4161">
        <w:rPr>
          <w:rFonts w:ascii="Times New Roman" w:hAnsi="Times New Roman"/>
          <w:sz w:val="24"/>
          <w:szCs w:val="24"/>
        </w:rPr>
        <w:t>Y en cuarto lugar, aunque la lista podría prolongarse, la clase política española se ha dedicado a colonizar ámbitos que no son propios de la política como, por ejemplo y sin ánimo de ser exhaustivo, el Tribunal Constitucional, el Consejo General del Poder Judicial, el Banco de España, la CNMV, los reguladores sectoriales de energía y telecomunicaciones, la Comisión de la Competencia…</w:t>
      </w:r>
    </w:p>
    <w:p w:rsidR="00200055" w:rsidRPr="005D4161" w:rsidRDefault="00200055" w:rsidP="00387350">
      <w:pPr>
        <w:spacing w:line="240" w:lineRule="auto"/>
        <w:jc w:val="both"/>
        <w:rPr>
          <w:rFonts w:ascii="Times New Roman" w:hAnsi="Times New Roman"/>
          <w:sz w:val="24"/>
          <w:szCs w:val="24"/>
        </w:rPr>
      </w:pPr>
      <w:r w:rsidRPr="005D4161">
        <w:rPr>
          <w:rFonts w:ascii="Times New Roman" w:hAnsi="Times New Roman"/>
          <w:sz w:val="24"/>
          <w:szCs w:val="24"/>
        </w:rPr>
        <w:t xml:space="preserve">Los cuatro procesos descritos en los párrafos anteriores han conformado un sistema político en el que las instituciones están, en el mal sentido de la palabra, excesivamente politizadas y en el que nadie acaba siendo responsable de sus actos porque nunca se exige en serio rendición de cuentas. Nadie dentro del sistema pone en cuestión los mecanismos de capturas de rentas que constituyen el interés particular de la clase política española. Este es el contexto en el que se desarrollaron no sólo la burbuja inmobiliaria y el saqueo y quiebra de la gran mayoría de las Cajas de Ahorro, sino también otras “catástrofes naturales”, otros “actos de Dios”, a cuya generación tan adictos son nuestros políticos. Porque, como el gran calamar de Taibbi, la clase política </w:t>
      </w:r>
      <w:r w:rsidRPr="005D4161">
        <w:rPr>
          <w:rFonts w:ascii="Times New Roman" w:hAnsi="Times New Roman"/>
          <w:sz w:val="24"/>
          <w:szCs w:val="24"/>
        </w:rPr>
        <w:lastRenderedPageBreak/>
        <w:t>española genera burbujas de manera compulsiva. Y lo hace no tanto por ignorancia o por incompetencia como porque en todas ellas captura rentas. Hagamos, sin pretensión alguna de exhaustividad, un brevísimo repaso de las principales tropelías impunes de las últimas dos décadas: la burbuja inmobiliaria, las Cajas de Ahorro, las energías renovables y las nuevas autopistas de peaje</w:t>
      </w:r>
      <w:r w:rsidR="005D4161" w:rsidRPr="005D4161">
        <w:rPr>
          <w:rFonts w:ascii="Times New Roman" w:hAnsi="Times New Roman"/>
          <w:sz w:val="24"/>
          <w:szCs w:val="24"/>
        </w:rPr>
        <w:t xml:space="preserve">… </w:t>
      </w:r>
    </w:p>
    <w:p w:rsidR="005D4161" w:rsidRPr="005D4161" w:rsidRDefault="005D4161" w:rsidP="00387350">
      <w:pPr>
        <w:spacing w:line="240" w:lineRule="auto"/>
        <w:jc w:val="both"/>
        <w:rPr>
          <w:rFonts w:ascii="Times New Roman" w:hAnsi="Times New Roman"/>
          <w:sz w:val="24"/>
          <w:szCs w:val="24"/>
        </w:rPr>
      </w:pPr>
      <w:r w:rsidRPr="005D4161">
        <w:rPr>
          <w:rFonts w:ascii="Times New Roman" w:hAnsi="Times New Roman"/>
          <w:sz w:val="24"/>
          <w:szCs w:val="24"/>
        </w:rPr>
        <w:t>El enunciado de la teoría es muy simple. La clase política española no sólo se ha constituido en un grupo de interés particular, como los controladores aéreos, por poner un ejemplo, sino que ha dado un paso más, consolidándose como una élite extractiva, en el sentido que dan a este término Acemoglu y Robinson en su reciente y ya célebre libro Por qué fracasan las naciones. Una élite extractiva se caracteriza por:</w:t>
      </w:r>
    </w:p>
    <w:p w:rsidR="005D4161" w:rsidRPr="005D4161" w:rsidRDefault="005D4161" w:rsidP="00387350">
      <w:pPr>
        <w:spacing w:line="240" w:lineRule="auto"/>
        <w:jc w:val="both"/>
        <w:rPr>
          <w:rFonts w:ascii="Times New Roman" w:hAnsi="Times New Roman"/>
          <w:sz w:val="24"/>
          <w:szCs w:val="24"/>
        </w:rPr>
      </w:pPr>
      <w:r>
        <w:rPr>
          <w:rFonts w:ascii="Times New Roman" w:hAnsi="Times New Roman"/>
          <w:sz w:val="24"/>
          <w:szCs w:val="24"/>
        </w:rPr>
        <w:t>“</w:t>
      </w:r>
      <w:r w:rsidRPr="005D4161">
        <w:rPr>
          <w:rFonts w:ascii="Times New Roman" w:hAnsi="Times New Roman"/>
          <w:sz w:val="24"/>
          <w:szCs w:val="24"/>
        </w:rPr>
        <w:t>Tener un sistema de captura de rentas que permite, sin crear riqueza nueva, detraer rentas de la mayoría de l</w:t>
      </w:r>
      <w:r>
        <w:rPr>
          <w:rFonts w:ascii="Times New Roman" w:hAnsi="Times New Roman"/>
          <w:sz w:val="24"/>
          <w:szCs w:val="24"/>
        </w:rPr>
        <w:t>a población en beneficio propio”</w:t>
      </w:r>
      <w:r w:rsidRPr="005D4161">
        <w:rPr>
          <w:rFonts w:ascii="Times New Roman" w:hAnsi="Times New Roman"/>
          <w:sz w:val="24"/>
          <w:szCs w:val="24"/>
        </w:rPr>
        <w:t>.</w:t>
      </w:r>
    </w:p>
    <w:p w:rsidR="005D4161" w:rsidRPr="005D4161" w:rsidRDefault="005D4161" w:rsidP="00387350">
      <w:pPr>
        <w:spacing w:line="240" w:lineRule="auto"/>
        <w:jc w:val="both"/>
        <w:rPr>
          <w:rFonts w:ascii="Times New Roman" w:hAnsi="Times New Roman"/>
          <w:sz w:val="24"/>
          <w:szCs w:val="24"/>
        </w:rPr>
      </w:pPr>
      <w:r>
        <w:rPr>
          <w:rFonts w:ascii="Times New Roman" w:hAnsi="Times New Roman"/>
          <w:sz w:val="24"/>
          <w:szCs w:val="24"/>
        </w:rPr>
        <w:t>“</w:t>
      </w:r>
      <w:r w:rsidRPr="005D4161">
        <w:rPr>
          <w:rFonts w:ascii="Times New Roman" w:hAnsi="Times New Roman"/>
          <w:sz w:val="24"/>
          <w:szCs w:val="24"/>
        </w:rPr>
        <w:t>Tener el poder suficiente para impedir un sistema institucional inclusivo, es decir, un sistema que distribuya el poder político y económico de manera amplia, que respete el Estado de derecho y las reglas del mercado libre. Dicho de otro modo, tener el poder suficiente para condicionar el funcionamiento de una sociedad abierta -en el sentido de Popper- u opti</w:t>
      </w:r>
      <w:r>
        <w:rPr>
          <w:rFonts w:ascii="Times New Roman" w:hAnsi="Times New Roman"/>
          <w:sz w:val="24"/>
          <w:szCs w:val="24"/>
        </w:rPr>
        <w:t>mista -en el sentido de Deutsch”</w:t>
      </w:r>
      <w:r w:rsidRPr="005D4161">
        <w:rPr>
          <w:rFonts w:ascii="Times New Roman" w:hAnsi="Times New Roman"/>
          <w:sz w:val="24"/>
          <w:szCs w:val="24"/>
        </w:rPr>
        <w:t>.</w:t>
      </w:r>
    </w:p>
    <w:p w:rsidR="005D4161" w:rsidRDefault="005D4161" w:rsidP="00387350">
      <w:pPr>
        <w:spacing w:line="240" w:lineRule="auto"/>
        <w:jc w:val="both"/>
        <w:rPr>
          <w:rFonts w:ascii="Times New Roman" w:hAnsi="Times New Roman"/>
          <w:sz w:val="24"/>
          <w:szCs w:val="24"/>
        </w:rPr>
      </w:pPr>
      <w:r>
        <w:rPr>
          <w:rFonts w:ascii="Times New Roman" w:hAnsi="Times New Roman"/>
          <w:sz w:val="24"/>
          <w:szCs w:val="24"/>
        </w:rPr>
        <w:t>“Abominar la “destrucción creativa”</w:t>
      </w:r>
      <w:r w:rsidRPr="005D4161">
        <w:rPr>
          <w:rFonts w:ascii="Times New Roman" w:hAnsi="Times New Roman"/>
          <w:sz w:val="24"/>
          <w:szCs w:val="24"/>
        </w:rPr>
        <w:t>, que caracteriza al capitalismo más dinám</w:t>
      </w:r>
      <w:r>
        <w:rPr>
          <w:rFonts w:ascii="Times New Roman" w:hAnsi="Times New Roman"/>
          <w:sz w:val="24"/>
          <w:szCs w:val="24"/>
        </w:rPr>
        <w:t>ico. En palabras de Schumpeter “</w:t>
      </w:r>
      <w:r w:rsidRPr="005D4161">
        <w:rPr>
          <w:rFonts w:ascii="Times New Roman" w:hAnsi="Times New Roman"/>
          <w:sz w:val="24"/>
          <w:szCs w:val="24"/>
        </w:rPr>
        <w:t>la destrucción creativa es la revolución incesante de la estructura económica desde dentro, continuamente destruyend</w:t>
      </w:r>
      <w:r>
        <w:rPr>
          <w:rFonts w:ascii="Times New Roman" w:hAnsi="Times New Roman"/>
          <w:sz w:val="24"/>
          <w:szCs w:val="24"/>
        </w:rPr>
        <w:t>o lo antiguo y creando lo nuevo”</w:t>
      </w:r>
      <w:r w:rsidRPr="005D4161">
        <w:rPr>
          <w:rFonts w:ascii="Times New Roman" w:hAnsi="Times New Roman"/>
          <w:sz w:val="24"/>
          <w:szCs w:val="24"/>
        </w:rPr>
        <w:t>.  Este proceso de destrucción creativa es el rasgo esencial del capitalismo.</w:t>
      </w:r>
      <w:r>
        <w:rPr>
          <w:rFonts w:ascii="Times New Roman" w:hAnsi="Times New Roman"/>
          <w:sz w:val="24"/>
          <w:szCs w:val="24"/>
        </w:rPr>
        <w:t xml:space="preserve"> “</w:t>
      </w:r>
      <w:r w:rsidRPr="005D4161">
        <w:rPr>
          <w:rFonts w:ascii="Times New Roman" w:hAnsi="Times New Roman"/>
          <w:sz w:val="24"/>
          <w:szCs w:val="24"/>
        </w:rPr>
        <w:t>Una élite extractiva abomina, además, cualquier proceso innovador lo suficientemente amplio como para acabar creando nuevos núcleos de pod</w:t>
      </w:r>
      <w:r>
        <w:rPr>
          <w:rFonts w:ascii="Times New Roman" w:hAnsi="Times New Roman"/>
          <w:sz w:val="24"/>
          <w:szCs w:val="24"/>
        </w:rPr>
        <w:t>er económico, social o político”</w:t>
      </w:r>
      <w:r w:rsidR="007F737C">
        <w:rPr>
          <w:rFonts w:ascii="Times New Roman" w:hAnsi="Times New Roman"/>
          <w:sz w:val="24"/>
          <w:szCs w:val="24"/>
        </w:rPr>
        <w:t>”</w:t>
      </w:r>
      <w:r>
        <w:rPr>
          <w:rFonts w:ascii="Times New Roman" w:hAnsi="Times New Roman"/>
          <w:sz w:val="24"/>
          <w:szCs w:val="24"/>
        </w:rPr>
        <w:t>..</w:t>
      </w:r>
      <w:r w:rsidRPr="005D4161">
        <w:rPr>
          <w:rFonts w:ascii="Times New Roman" w:hAnsi="Times New Roman"/>
          <w:sz w:val="24"/>
          <w:szCs w:val="24"/>
        </w:rPr>
        <w:t>.</w:t>
      </w:r>
      <w:r>
        <w:rPr>
          <w:rFonts w:ascii="Times New Roman" w:hAnsi="Times New Roman"/>
          <w:sz w:val="24"/>
          <w:szCs w:val="24"/>
        </w:rPr>
        <w:t xml:space="preserve"> </w:t>
      </w:r>
      <w:r w:rsidRPr="006D7C68">
        <w:rPr>
          <w:rFonts w:ascii="Times New Roman" w:hAnsi="Times New Roman"/>
          <w:sz w:val="24"/>
          <w:szCs w:val="24"/>
          <w:u w:val="single"/>
        </w:rPr>
        <w:t>Una teoría de la clase política española</w:t>
      </w:r>
      <w:r>
        <w:rPr>
          <w:rFonts w:ascii="Times New Roman" w:hAnsi="Times New Roman"/>
          <w:sz w:val="24"/>
          <w:szCs w:val="24"/>
        </w:rPr>
        <w:t xml:space="preserve"> (</w:t>
      </w:r>
      <w:r w:rsidRPr="00941E90">
        <w:rPr>
          <w:rFonts w:ascii="Times New Roman" w:hAnsi="Times New Roman"/>
          <w:sz w:val="24"/>
          <w:szCs w:val="24"/>
        </w:rPr>
        <w:t>César Molinas</w:t>
      </w:r>
      <w:r>
        <w:rPr>
          <w:rFonts w:ascii="Times New Roman" w:hAnsi="Times New Roman"/>
          <w:sz w:val="24"/>
          <w:szCs w:val="24"/>
        </w:rPr>
        <w:t xml:space="preserve"> - El País - </w:t>
      </w:r>
      <w:r w:rsidRPr="00941E90">
        <w:rPr>
          <w:rFonts w:ascii="Times New Roman" w:hAnsi="Times New Roman"/>
          <w:b/>
          <w:sz w:val="24"/>
          <w:szCs w:val="24"/>
        </w:rPr>
        <w:t>9/9/12</w:t>
      </w:r>
      <w:r>
        <w:rPr>
          <w:rFonts w:ascii="Times New Roman" w:hAnsi="Times New Roman"/>
          <w:sz w:val="24"/>
          <w:szCs w:val="24"/>
        </w:rPr>
        <w:t>)</w:t>
      </w:r>
    </w:p>
    <w:p w:rsidR="005D4161" w:rsidRPr="005D4161" w:rsidRDefault="005D4161" w:rsidP="00387350">
      <w:pPr>
        <w:pStyle w:val="NormalWeb"/>
        <w:jc w:val="both"/>
      </w:pPr>
      <w:r>
        <w:t>“</w:t>
      </w:r>
      <w:r w:rsidRPr="005D4161">
        <w:t xml:space="preserve">Desde que se aprobó la Constitución, explica el Círculo, el número de empleados públicos en nuestro país se ha multiplicado por cuatro, hasta superar los tres millones. Ello nos supone la mitad de todo el gasto público. Un gasto difícil de amortizar, puesto que </w:t>
      </w:r>
      <w:r w:rsidRPr="005D4161">
        <w:rPr>
          <w:bCs/>
        </w:rPr>
        <w:t>en España el 73,63 por ciento de los funcionarios tienen garantizado su empleo de por vida.</w:t>
      </w:r>
    </w:p>
    <w:p w:rsidR="005D4161" w:rsidRDefault="005D4161" w:rsidP="00387350">
      <w:pPr>
        <w:pStyle w:val="NormalWeb"/>
        <w:jc w:val="both"/>
      </w:pPr>
      <w:r w:rsidRPr="005D4161">
        <w:t>Este dato contrasta notablemente con lo que ocurre en Europa, donde generalmente el porcentaje de funcionarios vitalicios se sitúa en el 10 por ciento. Ese es el caso, por ejemplo, de Reino Unido y los países escandinavos, donde incluso no lo tienen garantizado</w:t>
      </w:r>
      <w:r>
        <w:t>..</w:t>
      </w:r>
      <w:r w:rsidRPr="005D4161">
        <w:t>.</w:t>
      </w:r>
    </w:p>
    <w:p w:rsidR="00C82E2C" w:rsidRDefault="00C82E2C" w:rsidP="00387350">
      <w:pPr>
        <w:pStyle w:val="NormalWeb"/>
        <w:jc w:val="both"/>
      </w:pPr>
      <w:r w:rsidRPr="00C82E2C">
        <w:t>Los expertos reconocen que ya no se pueden suprimir unos derechos adquiridos. Sin embargo, recomiendan que se realice una reconfiguración para que de ahora en adelante quienes se presenten a las oposiciones para un puesto en la administración pública e</w:t>
      </w:r>
      <w:r>
        <w:t xml:space="preserve">ntren con un estatus diferentes”… </w:t>
      </w:r>
      <w:r w:rsidRPr="00BC0AA5">
        <w:rPr>
          <w:u w:val="single"/>
        </w:rPr>
        <w:t>En Europa sólo el 10% de los funcionarios tiene un empleo vitalicio</w:t>
      </w:r>
      <w:r>
        <w:t xml:space="preserve"> (El Economista - </w:t>
      </w:r>
      <w:r w:rsidRPr="00BC0AA5">
        <w:rPr>
          <w:b/>
        </w:rPr>
        <w:t>27/10/12</w:t>
      </w:r>
      <w:r>
        <w:t>)</w:t>
      </w:r>
    </w:p>
    <w:p w:rsidR="00C82E2C" w:rsidRPr="00C82E2C" w:rsidRDefault="00C82E2C" w:rsidP="00387350">
      <w:pPr>
        <w:pStyle w:val="NormalWeb"/>
        <w:jc w:val="both"/>
      </w:pPr>
      <w:r>
        <w:t>“</w:t>
      </w:r>
      <w:r w:rsidRPr="00C82E2C">
        <w:t xml:space="preserve">La elección de médico, las listas de espera, el ahorro presupuestario, entre otras ventajas, hacen que la asistencia médica privada sea elegida mayoritariamente por los empleados públicos. </w:t>
      </w:r>
    </w:p>
    <w:p w:rsidR="00C82E2C" w:rsidRPr="00C82E2C" w:rsidRDefault="00C82E2C" w:rsidP="00387350">
      <w:pPr>
        <w:pStyle w:val="NormalWeb"/>
        <w:jc w:val="both"/>
      </w:pPr>
      <w:r w:rsidRPr="00C82E2C">
        <w:lastRenderedPageBreak/>
        <w:t xml:space="preserve">A la hora de optar por la asistencia médica, los funcionarios lo tienen claro. Más del 80% de los empleados públicos, en total casi 1,3 millones de personas, ha elegido el seguro privado frente a un minoritario 18% que prefirió la provisión sanitaria de la Seguridad Social.  </w:t>
      </w:r>
    </w:p>
    <w:p w:rsidR="00C82E2C" w:rsidRPr="00C82E2C" w:rsidRDefault="00C82E2C" w:rsidP="00387350">
      <w:pPr>
        <w:pStyle w:val="NormalWeb"/>
        <w:jc w:val="both"/>
      </w:pPr>
      <w:r w:rsidRPr="00C82E2C">
        <w:t>Además, no sólo el 82% de los funcionarios públicos disfruta de las ventajas de la Mutualidad General de Funcionarios Civiles del Estado (Muface). Indirectamente hay que sumarle 700.000 beneficiarios, fundamentalmente hijos, parejas y otras personas a cargo sin ingresos.</w:t>
      </w:r>
    </w:p>
    <w:p w:rsidR="00C82E2C" w:rsidRPr="00C82E2C" w:rsidRDefault="00C82E2C" w:rsidP="00387350">
      <w:pPr>
        <w:pStyle w:val="NormalWeb"/>
        <w:jc w:val="both"/>
      </w:pPr>
      <w:r w:rsidRPr="00C82E2C">
        <w:t xml:space="preserve">Prácticamente los únicos que optan por la sanidad pública son los propios trabajadores de la Seguridad Social y algunos de sus familiares funcionarios que trabajan en otras ramas de la Administración. </w:t>
      </w:r>
    </w:p>
    <w:p w:rsidR="00C82E2C" w:rsidRPr="00C82E2C" w:rsidRDefault="00C82E2C" w:rsidP="00387350">
      <w:pPr>
        <w:pStyle w:val="NormalWeb"/>
        <w:jc w:val="both"/>
      </w:pPr>
      <w:r w:rsidRPr="00C82E2C">
        <w:t>En el modelo Muface, las mutualidades de funcionarios conciertan la provisión de asistencia sanitaria con entidades de seguro privadas y con el Instituto Nacional de la Seguridad Social (INSS), abonando a las entidades concertadas la cuota caritativa mediante una prima mensual por persona protegida.</w:t>
      </w:r>
    </w:p>
    <w:p w:rsidR="00C82E2C" w:rsidRPr="00C82E2C" w:rsidRDefault="00C82E2C" w:rsidP="00387350">
      <w:pPr>
        <w:shd w:val="clear" w:color="auto" w:fill="FFFFFF"/>
        <w:spacing w:before="100" w:beforeAutospacing="1" w:after="100" w:afterAutospacing="1" w:line="240" w:lineRule="auto"/>
        <w:ind w:left="284"/>
        <w:rPr>
          <w:rFonts w:ascii="Arial" w:eastAsia="Times New Roman" w:hAnsi="Arial" w:cs="Arial"/>
          <w:sz w:val="23"/>
          <w:szCs w:val="23"/>
          <w:lang w:eastAsia="es-ES"/>
        </w:rPr>
      </w:pPr>
      <w:r w:rsidRPr="00C82E2C">
        <w:rPr>
          <w:rFonts w:ascii="Arial" w:eastAsia="Times New Roman" w:hAnsi="Arial" w:cs="Arial"/>
          <w:sz w:val="23"/>
          <w:szCs w:val="23"/>
          <w:lang w:eastAsia="es-ES"/>
        </w:rPr>
        <w:t xml:space="preserve">              </w:t>
      </w:r>
      <w:r w:rsidRPr="00C82E2C">
        <w:rPr>
          <w:rFonts w:ascii="Arial" w:eastAsia="Times New Roman" w:hAnsi="Arial" w:cs="Arial"/>
          <w:noProof/>
          <w:sz w:val="23"/>
          <w:szCs w:val="23"/>
          <w:lang w:eastAsia="es-ES"/>
        </w:rPr>
        <w:drawing>
          <wp:inline distT="0" distB="0" distL="0" distR="0" wp14:anchorId="7BCA23ED" wp14:editId="14D136F5">
            <wp:extent cx="3811219" cy="4630522"/>
            <wp:effectExtent l="0" t="0" r="0" b="0"/>
            <wp:docPr id="190" name="Imagen 190" descr="ventaj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ventajas"/>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3811270" cy="4630584"/>
                    </a:xfrm>
                    <a:prstGeom prst="rect">
                      <a:avLst/>
                    </a:prstGeom>
                    <a:noFill/>
                    <a:ln>
                      <a:noFill/>
                    </a:ln>
                  </pic:spPr>
                </pic:pic>
              </a:graphicData>
            </a:graphic>
          </wp:inline>
        </w:drawing>
      </w:r>
    </w:p>
    <w:p w:rsidR="00C82E2C" w:rsidRPr="00C82E2C" w:rsidRDefault="00C82E2C" w:rsidP="00387350">
      <w:pPr>
        <w:pStyle w:val="NormalWeb"/>
        <w:jc w:val="both"/>
      </w:pPr>
      <w:r w:rsidRPr="00C82E2C">
        <w:t xml:space="preserve">A partir de ahí, son los propios funcionarios del Estado quienes eligen libre y voluntariamente si quieren ser atendidos por el Sistema Nacional de Salud (SNS) o por una aseguradora. Aunque parece una ironía que el propio funcionario reniegue de los servicios públicos, la decisión mayoritaria de la plantilla estatal además de ofrecerle </w:t>
      </w:r>
      <w:r w:rsidRPr="00C82E2C">
        <w:lastRenderedPageBreak/>
        <w:t>servicios que no da la Seguridad Social otorga un suculento respiro presupuestario. Según un informe de PWC, por cada funcionario que opta por el seguro privado se ahorra un 40% con respecto a si el empleado hubiese elegido la Seguridad Social.</w:t>
      </w:r>
    </w:p>
    <w:p w:rsidR="00C82E2C" w:rsidRPr="00C82E2C" w:rsidRDefault="00C82E2C" w:rsidP="00387350">
      <w:pPr>
        <w:pStyle w:val="NormalWeb"/>
        <w:jc w:val="both"/>
      </w:pPr>
      <w:r w:rsidRPr="00C82E2C">
        <w:t>En cuanto a los motivos que hacen que los funcionarios se decanten por la sanidad privada destacan  las ventajas asistenciales que otorga, tales como libertad de elección de médico, listas de espera, dotación tecnológica, etc</w:t>
      </w:r>
      <w:r>
        <w:t>.</w:t>
      </w:r>
      <w:r w:rsidRPr="00C82E2C">
        <w:t>, así como por otros beneficios no cubiertos en la Seguridad Social, como las endodoncias o la óptica.</w:t>
      </w:r>
    </w:p>
    <w:p w:rsidR="00C82E2C" w:rsidRPr="00C82E2C" w:rsidRDefault="005C4BD0" w:rsidP="00387350">
      <w:pPr>
        <w:shd w:val="clear" w:color="auto" w:fill="FFFFFF"/>
        <w:spacing w:before="100" w:beforeAutospacing="1" w:after="100" w:afterAutospacing="1" w:line="240" w:lineRule="auto"/>
        <w:rPr>
          <w:rFonts w:ascii="Arial" w:eastAsia="Times New Roman" w:hAnsi="Arial" w:cs="Arial"/>
          <w:sz w:val="23"/>
          <w:szCs w:val="23"/>
          <w:lang w:eastAsia="es-ES"/>
        </w:rPr>
      </w:pPr>
      <w:r>
        <w:rPr>
          <w:rFonts w:ascii="Arial" w:eastAsia="Times New Roman" w:hAnsi="Arial" w:cs="Arial"/>
          <w:sz w:val="23"/>
          <w:szCs w:val="23"/>
          <w:lang w:eastAsia="es-ES"/>
        </w:rPr>
        <w:t xml:space="preserve">       </w:t>
      </w:r>
      <w:r w:rsidR="00C82E2C" w:rsidRPr="00C82E2C">
        <w:rPr>
          <w:rFonts w:ascii="Arial" w:eastAsia="Times New Roman" w:hAnsi="Arial" w:cs="Arial"/>
          <w:noProof/>
          <w:sz w:val="23"/>
          <w:szCs w:val="23"/>
          <w:lang w:eastAsia="es-ES"/>
        </w:rPr>
        <w:drawing>
          <wp:inline distT="0" distB="0" distL="0" distR="0" wp14:anchorId="39361239" wp14:editId="6A65D78A">
            <wp:extent cx="4762500" cy="1814195"/>
            <wp:effectExtent l="0" t="0" r="0" b="0"/>
            <wp:docPr id="189" name="Imagen 189" descr="seg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seguros"/>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762500" cy="1814195"/>
                    </a:xfrm>
                    <a:prstGeom prst="rect">
                      <a:avLst/>
                    </a:prstGeom>
                    <a:noFill/>
                    <a:ln>
                      <a:noFill/>
                    </a:ln>
                  </pic:spPr>
                </pic:pic>
              </a:graphicData>
            </a:graphic>
          </wp:inline>
        </w:drawing>
      </w:r>
    </w:p>
    <w:p w:rsidR="00C82E2C" w:rsidRDefault="00C82E2C" w:rsidP="00387350">
      <w:pPr>
        <w:pStyle w:val="NormalWeb"/>
        <w:jc w:val="both"/>
      </w:pPr>
      <w:r w:rsidRPr="00C82E2C">
        <w:t>El modelo Muface consiste en un sistema de prestación pública ejecutado por proveedores privados, con la libertad de elección de entidad y facultativo por parte de los beneficiarios. Cada año los mutualistas pueden cambiar de compañía, entre las que suscriben el concierto, que se renueva cada tres años, o bien decidir su cobertura a través del proveedor del sistema público</w:t>
      </w:r>
      <w:r>
        <w:t>”..</w:t>
      </w:r>
      <w:r w:rsidRPr="00C82E2C">
        <w:t xml:space="preserve">. </w:t>
      </w:r>
      <w:r w:rsidRPr="0040189F">
        <w:rPr>
          <w:u w:val="single"/>
        </w:rPr>
        <w:t>La sanidad que disfrutan los funcionarios</w:t>
      </w:r>
      <w:r>
        <w:t xml:space="preserve"> (Negocios.com - </w:t>
      </w:r>
      <w:r w:rsidRPr="0040189F">
        <w:rPr>
          <w:b/>
        </w:rPr>
        <w:t>19/12/12</w:t>
      </w:r>
      <w:r>
        <w:t>)</w:t>
      </w:r>
    </w:p>
    <w:p w:rsidR="00C82E2C" w:rsidRDefault="00C82E2C" w:rsidP="00387350">
      <w:pPr>
        <w:pStyle w:val="NormalWeb"/>
        <w:jc w:val="both"/>
      </w:pPr>
      <w:r w:rsidRPr="00A40ADF">
        <w:rPr>
          <w:u w:val="single"/>
        </w:rPr>
        <w:t>Las duplicidades generadas por las autonomías cuestan casi un 3% del PIB</w:t>
      </w:r>
      <w:r>
        <w:t xml:space="preserve"> (Fuente: El Economista - </w:t>
      </w:r>
      <w:r w:rsidRPr="00A40ADF">
        <w:rPr>
          <w:b/>
        </w:rPr>
        <w:t>25/3/13</w:t>
      </w:r>
      <w:r>
        <w:t>)</w:t>
      </w:r>
    </w:p>
    <w:p w:rsidR="00C82E2C" w:rsidRDefault="00C82E2C" w:rsidP="00387350">
      <w:pPr>
        <w:pStyle w:val="NormalWeb"/>
        <w:jc w:val="both"/>
      </w:pPr>
      <w:r>
        <w:rPr>
          <w:noProof/>
        </w:rPr>
        <w:drawing>
          <wp:inline distT="0" distB="0" distL="0" distR="0" wp14:anchorId="600ACA3C" wp14:editId="18FD385D">
            <wp:extent cx="5388331" cy="3518612"/>
            <wp:effectExtent l="0" t="0" r="3175" b="5715"/>
            <wp:docPr id="494" name="Imagen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5388329" cy="3518611"/>
                    </a:xfrm>
                    <a:prstGeom prst="rect">
                      <a:avLst/>
                    </a:prstGeom>
                    <a:noFill/>
                    <a:ln>
                      <a:noFill/>
                    </a:ln>
                  </pic:spPr>
                </pic:pic>
              </a:graphicData>
            </a:graphic>
          </wp:inline>
        </w:drawing>
      </w:r>
    </w:p>
    <w:p w:rsidR="003B633D" w:rsidRDefault="003B633D" w:rsidP="00387350">
      <w:pPr>
        <w:pStyle w:val="NormalWeb"/>
        <w:jc w:val="both"/>
      </w:pPr>
      <w:r>
        <w:lastRenderedPageBreak/>
        <w:t>“</w:t>
      </w:r>
      <w:r w:rsidRPr="003B633D">
        <w:t xml:space="preserve">En España las organizaciones sindicales representan a más de 7 de cada 10 trabajadores a través de la negociación colectiva, no sólo a sus afiliados, y ésta es una de las diferencias con el modelo existente en Reino Unido (su tradición se remonta a la Revolución Industrial) donde las </w:t>
      </w:r>
      <w:r w:rsidR="007F737C">
        <w:t>“</w:t>
      </w:r>
      <w:r w:rsidRPr="007F737C">
        <w:rPr>
          <w:iCs/>
        </w:rPr>
        <w:t>trade unions</w:t>
      </w:r>
      <w:r w:rsidR="007F737C">
        <w:rPr>
          <w:iCs/>
        </w:rPr>
        <w:t>”</w:t>
      </w:r>
      <w:r w:rsidRPr="003B633D">
        <w:t xml:space="preserve"> luchan solo por sus miembros, de ahí que el porcentaje de afiliación sindical sea más alto. Según el último informe Trade Union Membership 2011, publicado por el gobierno británico, ese año había 6,4 millones de trabajadores afiliados a un sindicato, el 26% (fre</w:t>
      </w:r>
      <w:r>
        <w:t xml:space="preserve">nte al 32,4 por ciento de 1995)”… </w:t>
      </w:r>
      <w:r w:rsidRPr="007D2622">
        <w:rPr>
          <w:u w:val="single"/>
        </w:rPr>
        <w:t>Los expertos piden para España un modelo sindical menos dependiente de lo público</w:t>
      </w:r>
      <w:r>
        <w:t xml:space="preserve"> (El Economista - </w:t>
      </w:r>
      <w:r w:rsidRPr="007D2622">
        <w:rPr>
          <w:b/>
        </w:rPr>
        <w:t>29/3/13</w:t>
      </w:r>
      <w:r>
        <w:t>)</w:t>
      </w:r>
    </w:p>
    <w:p w:rsidR="00C82E2C" w:rsidRDefault="00C82E2C" w:rsidP="00387350">
      <w:pPr>
        <w:pStyle w:val="NormalWeb"/>
        <w:jc w:val="both"/>
      </w:pPr>
      <w:r w:rsidRPr="007D2622">
        <w:rPr>
          <w:noProof/>
        </w:rPr>
        <w:drawing>
          <wp:inline distT="0" distB="0" distL="0" distR="0" wp14:anchorId="45681616" wp14:editId="45241CB7">
            <wp:extent cx="5398617" cy="4125772"/>
            <wp:effectExtent l="0" t="0" r="0" b="8255"/>
            <wp:docPr id="495" name="Imagen 495" descr="http://s01.s3c.es/imag/_v0/630x808/b/f/a/afiliacion-sindical-euro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01.s3c.es/imag/_v0/630x808/b/f/a/afiliacion-sindical-europa.jp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5400040" cy="4126859"/>
                    </a:xfrm>
                    <a:prstGeom prst="rect">
                      <a:avLst/>
                    </a:prstGeom>
                    <a:noFill/>
                    <a:ln>
                      <a:noFill/>
                    </a:ln>
                  </pic:spPr>
                </pic:pic>
              </a:graphicData>
            </a:graphic>
          </wp:inline>
        </w:drawing>
      </w:r>
    </w:p>
    <w:p w:rsidR="003B633D" w:rsidRDefault="003B633D" w:rsidP="00387350">
      <w:pPr>
        <w:pStyle w:val="NormalWeb"/>
        <w:jc w:val="both"/>
      </w:pPr>
      <w:r>
        <w:t>“</w:t>
      </w:r>
      <w:r w:rsidRPr="003B633D">
        <w:t xml:space="preserve">La inmensa mayoría de españoles reclama que se mantenga e incluso incremente el actual modelo de </w:t>
      </w:r>
      <w:r w:rsidRPr="003B633D">
        <w:rPr>
          <w:rStyle w:val="Textoennegrita"/>
          <w:b w:val="0"/>
        </w:rPr>
        <w:t>Estado del Bienestar,</w:t>
      </w:r>
      <w:r w:rsidRPr="003B633D">
        <w:t xml:space="preserve"> aún a costa de tener que subir los impuestos, aboga por un</w:t>
      </w:r>
      <w:r w:rsidRPr="003B633D">
        <w:rPr>
          <w:b/>
        </w:rPr>
        <w:t xml:space="preserve"> </w:t>
      </w:r>
      <w:r w:rsidRPr="003B633D">
        <w:rPr>
          <w:rStyle w:val="Textoennegrita"/>
          <w:b w:val="0"/>
        </w:rPr>
        <w:t>papel muy activo del Gobierno</w:t>
      </w:r>
      <w:r w:rsidRPr="003B633D">
        <w:t xml:space="preserve"> en la economía y opta por incrementar el </w:t>
      </w:r>
      <w:r w:rsidRPr="003B633D">
        <w:rPr>
          <w:rStyle w:val="Textoennegrita"/>
          <w:b w:val="0"/>
        </w:rPr>
        <w:t>gasto público</w:t>
      </w:r>
      <w:r w:rsidRPr="003B633D">
        <w:t xml:space="preserve"> para salir de la crisis. Éstas son algunas de las conclusiones del Estudio </w:t>
      </w:r>
      <w:r w:rsidRPr="003B633D">
        <w:rPr>
          <w:rStyle w:val="nfasis"/>
        </w:rPr>
        <w:t>Values and Worldviews</w:t>
      </w:r>
      <w:r w:rsidRPr="003B633D">
        <w:t xml:space="preserve"> que la </w:t>
      </w:r>
      <w:r w:rsidRPr="003B633D">
        <w:rPr>
          <w:rStyle w:val="Textoennegrita"/>
          <w:b w:val="0"/>
        </w:rPr>
        <w:t>Fundación BBVA</w:t>
      </w:r>
      <w:r w:rsidRPr="003B633D">
        <w:t xml:space="preserve"> presentó este jueves. La encuesta examina un amplio conjunto de percepciones, actitudes y valores de los ciudadanos de 10 países europeos, y el resultado es que la </w:t>
      </w:r>
      <w:r w:rsidRPr="003B633D">
        <w:rPr>
          <w:rStyle w:val="Textoennegrita"/>
          <w:b w:val="0"/>
        </w:rPr>
        <w:t>población española se declara abiertamente intervencionista</w:t>
      </w:r>
      <w:r w:rsidRPr="003B633D">
        <w:t>, es decir, prefiere mucho más Estado y menos mercado, por encima del resto de europeos</w:t>
      </w:r>
      <w:r>
        <w:t>..</w:t>
      </w:r>
    </w:p>
    <w:p w:rsidR="003B633D" w:rsidRDefault="003B633D" w:rsidP="00387350">
      <w:pPr>
        <w:pStyle w:val="NormalWeb"/>
        <w:jc w:val="both"/>
      </w:pPr>
      <w:r w:rsidRPr="003B633D">
        <w:t xml:space="preserve">El informe refleja que, en el actual contexto de crisis, la mayoría de europeos pide que se mantenga el Estado del Bienestar, aunque ello suponga pagar más impuestos. Así, por ejemplo, predomina claramente la preferencia por contar con un amplio </w:t>
      </w:r>
      <w:r w:rsidRPr="003B633D">
        <w:rPr>
          <w:rStyle w:val="Textoennegrita"/>
          <w:b w:val="0"/>
        </w:rPr>
        <w:t>sistema de Seguridad Social</w:t>
      </w:r>
      <w:r w:rsidRPr="003B633D">
        <w:rPr>
          <w:b/>
        </w:rPr>
        <w:t>,</w:t>
      </w:r>
      <w:r w:rsidRPr="003B633D">
        <w:t xml:space="preserve"> pero en España se acentúa esta preferencia de forma muy sustancial (</w:t>
      </w:r>
      <w:r w:rsidRPr="003B633D">
        <w:rPr>
          <w:rStyle w:val="Textoennegrita"/>
        </w:rPr>
        <w:t>81%</w:t>
      </w:r>
      <w:r w:rsidRPr="003B633D">
        <w:t xml:space="preserve"> frente al 66% en el promedio europeo)</w:t>
      </w:r>
      <w:r>
        <w:t>”..</w:t>
      </w:r>
      <w:r w:rsidRPr="003B633D">
        <w:t>.</w:t>
      </w:r>
      <w:r>
        <w:t xml:space="preserve"> </w:t>
      </w:r>
      <w:r w:rsidRPr="008723B6">
        <w:rPr>
          <w:u w:val="single"/>
        </w:rPr>
        <w:t>Los españoles quieren más Estado y menos mercado</w:t>
      </w:r>
      <w:r>
        <w:t xml:space="preserve"> (Libertad Digital - </w:t>
      </w:r>
      <w:r w:rsidRPr="008723B6">
        <w:rPr>
          <w:b/>
        </w:rPr>
        <w:t>5/4/13</w:t>
      </w:r>
      <w:r>
        <w:t>)</w:t>
      </w:r>
    </w:p>
    <w:p w:rsidR="003B633D" w:rsidRDefault="003B633D" w:rsidP="00387350">
      <w:pPr>
        <w:pStyle w:val="NormalWeb"/>
        <w:jc w:val="both"/>
      </w:pPr>
      <w:r>
        <w:lastRenderedPageBreak/>
        <w:tab/>
      </w:r>
      <w:r>
        <w:rPr>
          <w:noProof/>
        </w:rPr>
        <w:drawing>
          <wp:inline distT="0" distB="0" distL="0" distR="0" wp14:anchorId="156E6057" wp14:editId="4672A480">
            <wp:extent cx="5394052" cy="2677363"/>
            <wp:effectExtent l="0" t="0" r="0" b="8890"/>
            <wp:docPr id="496" name="Imagen 496" descr="http://s.libertaddigital.com/fotos/noticias/esps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espso1.jpg"/>
                    <pic:cNvPicPr>
                      <a:picLocks noChangeAspect="1" noChangeArrowheads="1"/>
                    </pic:cNvPicPr>
                  </pic:nvPicPr>
                  <pic:blipFill>
                    <a:blip r:embed="rId456" cstate="print"/>
                    <a:srcRect/>
                    <a:stretch>
                      <a:fillRect/>
                    </a:stretch>
                  </pic:blipFill>
                  <pic:spPr bwMode="auto">
                    <a:xfrm>
                      <a:off x="0" y="0"/>
                      <a:ext cx="5400040" cy="2680335"/>
                    </a:xfrm>
                    <a:prstGeom prst="rect">
                      <a:avLst/>
                    </a:prstGeom>
                    <a:noFill/>
                    <a:ln w="9525">
                      <a:noFill/>
                      <a:miter lim="800000"/>
                      <a:headEnd/>
                      <a:tailEnd/>
                    </a:ln>
                  </pic:spPr>
                </pic:pic>
              </a:graphicData>
            </a:graphic>
          </wp:inline>
        </w:drawing>
      </w:r>
    </w:p>
    <w:p w:rsidR="003B633D" w:rsidRDefault="003B633D" w:rsidP="00387350">
      <w:pPr>
        <w:pStyle w:val="NormalWeb"/>
        <w:jc w:val="both"/>
      </w:pPr>
      <w:r>
        <w:rPr>
          <w:noProof/>
        </w:rPr>
        <w:drawing>
          <wp:inline distT="0" distB="0" distL="0" distR="0" wp14:anchorId="371D9380" wp14:editId="04B0568B">
            <wp:extent cx="5400040" cy="3046095"/>
            <wp:effectExtent l="0" t="0" r="0" b="1905"/>
            <wp:docPr id="497" name="Imagen 497" descr="http://s.libertaddigital.com/fotos/noticias/esps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ibertaddigital.com/fotos/noticias/espso2.jpg"/>
                    <pic:cNvPicPr>
                      <a:picLocks noChangeAspect="1" noChangeArrowheads="1"/>
                    </pic:cNvPicPr>
                  </pic:nvPicPr>
                  <pic:blipFill>
                    <a:blip r:embed="rId457" cstate="print"/>
                    <a:srcRect/>
                    <a:stretch>
                      <a:fillRect/>
                    </a:stretch>
                  </pic:blipFill>
                  <pic:spPr bwMode="auto">
                    <a:xfrm>
                      <a:off x="0" y="0"/>
                      <a:ext cx="5400040" cy="3046095"/>
                    </a:xfrm>
                    <a:prstGeom prst="rect">
                      <a:avLst/>
                    </a:prstGeom>
                    <a:noFill/>
                    <a:ln w="9525">
                      <a:noFill/>
                      <a:miter lim="800000"/>
                      <a:headEnd/>
                      <a:tailEnd/>
                    </a:ln>
                  </pic:spPr>
                </pic:pic>
              </a:graphicData>
            </a:graphic>
          </wp:inline>
        </w:drawing>
      </w:r>
    </w:p>
    <w:p w:rsidR="003B633D" w:rsidRDefault="003B633D" w:rsidP="00387350">
      <w:pPr>
        <w:pStyle w:val="NormalWeb"/>
        <w:jc w:val="both"/>
      </w:pPr>
      <w:r>
        <w:rPr>
          <w:noProof/>
          <w:color w:val="0000FF"/>
        </w:rPr>
        <w:drawing>
          <wp:inline distT="0" distB="0" distL="0" distR="0" wp14:anchorId="7BF4B915" wp14:editId="766D495F">
            <wp:extent cx="5115915" cy="2245767"/>
            <wp:effectExtent l="19050" t="0" r="8535" b="0"/>
            <wp:docPr id="498" name="Imagen 3" descr="http://s.libertaddigital.com/fotos/noticias/espso3.jpg">
              <a:hlinkClick xmlns:a="http://schemas.openxmlformats.org/drawingml/2006/main" r:id="rId45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espso3.jpg">
                      <a:hlinkClick r:id="rId458" tgtFrame="_blank"/>
                    </pic:cNvPr>
                    <pic:cNvPicPr>
                      <a:picLocks noChangeAspect="1" noChangeArrowheads="1"/>
                    </pic:cNvPicPr>
                  </pic:nvPicPr>
                  <pic:blipFill>
                    <a:blip r:embed="rId459" cstate="print"/>
                    <a:srcRect/>
                    <a:stretch>
                      <a:fillRect/>
                    </a:stretch>
                  </pic:blipFill>
                  <pic:spPr bwMode="auto">
                    <a:xfrm>
                      <a:off x="0" y="0"/>
                      <a:ext cx="5116220" cy="2245901"/>
                    </a:xfrm>
                    <a:prstGeom prst="rect">
                      <a:avLst/>
                    </a:prstGeom>
                    <a:noFill/>
                    <a:ln w="9525">
                      <a:noFill/>
                      <a:miter lim="800000"/>
                      <a:headEnd/>
                      <a:tailEnd/>
                    </a:ln>
                  </pic:spPr>
                </pic:pic>
              </a:graphicData>
            </a:graphic>
          </wp:inline>
        </w:drawing>
      </w:r>
    </w:p>
    <w:p w:rsidR="003B633D" w:rsidRDefault="003B633D" w:rsidP="00387350">
      <w:pPr>
        <w:pStyle w:val="NormalWeb"/>
        <w:jc w:val="both"/>
      </w:pPr>
      <w:r>
        <w:rPr>
          <w:noProof/>
        </w:rPr>
        <w:lastRenderedPageBreak/>
        <w:drawing>
          <wp:inline distT="0" distB="0" distL="0" distR="0" wp14:anchorId="59A4AD55" wp14:editId="1D9A7E68">
            <wp:extent cx="5400040" cy="3006725"/>
            <wp:effectExtent l="0" t="0" r="0" b="3175"/>
            <wp:docPr id="499" name="Imagen 499" descr="http://s.libertaddigital.com/fotos/noticias/esps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ibertaddigital.com/fotos/noticias/espso4.jpg"/>
                    <pic:cNvPicPr>
                      <a:picLocks noChangeAspect="1" noChangeArrowheads="1"/>
                    </pic:cNvPicPr>
                  </pic:nvPicPr>
                  <pic:blipFill>
                    <a:blip r:embed="rId460" cstate="print"/>
                    <a:srcRect/>
                    <a:stretch>
                      <a:fillRect/>
                    </a:stretch>
                  </pic:blipFill>
                  <pic:spPr bwMode="auto">
                    <a:xfrm>
                      <a:off x="0" y="0"/>
                      <a:ext cx="5400040" cy="3006725"/>
                    </a:xfrm>
                    <a:prstGeom prst="rect">
                      <a:avLst/>
                    </a:prstGeom>
                    <a:noFill/>
                    <a:ln w="9525">
                      <a:noFill/>
                      <a:miter lim="800000"/>
                      <a:headEnd/>
                      <a:tailEnd/>
                    </a:ln>
                  </pic:spPr>
                </pic:pic>
              </a:graphicData>
            </a:graphic>
          </wp:inline>
        </w:drawing>
      </w:r>
    </w:p>
    <w:p w:rsidR="003B633D" w:rsidRDefault="003B633D" w:rsidP="00387350">
      <w:pPr>
        <w:pStyle w:val="NormalWeb"/>
        <w:jc w:val="both"/>
      </w:pPr>
      <w:r>
        <w:rPr>
          <w:noProof/>
        </w:rPr>
        <w:drawing>
          <wp:inline distT="0" distB="0" distL="0" distR="0" wp14:anchorId="4AF01E2B" wp14:editId="78C22EE9">
            <wp:extent cx="5400040" cy="2592070"/>
            <wp:effectExtent l="0" t="0" r="0" b="0"/>
            <wp:docPr id="500" name="Imagen 500" descr="http://s.libertaddigital.com/fotos/noticias/esps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ibertaddigital.com/fotos/noticias/espso5.jpg"/>
                    <pic:cNvPicPr>
                      <a:picLocks noChangeAspect="1" noChangeArrowheads="1"/>
                    </pic:cNvPicPr>
                  </pic:nvPicPr>
                  <pic:blipFill>
                    <a:blip r:embed="rId461" cstate="print"/>
                    <a:srcRect/>
                    <a:stretch>
                      <a:fillRect/>
                    </a:stretch>
                  </pic:blipFill>
                  <pic:spPr bwMode="auto">
                    <a:xfrm>
                      <a:off x="0" y="0"/>
                      <a:ext cx="5400040" cy="2592070"/>
                    </a:xfrm>
                    <a:prstGeom prst="rect">
                      <a:avLst/>
                    </a:prstGeom>
                    <a:noFill/>
                    <a:ln w="9525">
                      <a:noFill/>
                      <a:miter lim="800000"/>
                      <a:headEnd/>
                      <a:tailEnd/>
                    </a:ln>
                  </pic:spPr>
                </pic:pic>
              </a:graphicData>
            </a:graphic>
          </wp:inline>
        </w:drawing>
      </w:r>
    </w:p>
    <w:p w:rsidR="003B633D" w:rsidRDefault="003B633D" w:rsidP="00387350">
      <w:pPr>
        <w:pStyle w:val="NormalWeb"/>
        <w:jc w:val="both"/>
      </w:pPr>
      <w:r>
        <w:rPr>
          <w:noProof/>
        </w:rPr>
        <w:drawing>
          <wp:inline distT="0" distB="0" distL="0" distR="0" wp14:anchorId="4C8E91F0" wp14:editId="1481703E">
            <wp:extent cx="5400040" cy="2779395"/>
            <wp:effectExtent l="0" t="0" r="0" b="1905"/>
            <wp:docPr id="501" name="Imagen 501" descr="http://s.libertaddigital.com/fotos/noticias/espso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libertaddigital.com/fotos/noticias/espso6.jpg"/>
                    <pic:cNvPicPr>
                      <a:picLocks noChangeAspect="1" noChangeArrowheads="1"/>
                    </pic:cNvPicPr>
                  </pic:nvPicPr>
                  <pic:blipFill>
                    <a:blip r:embed="rId462" cstate="print"/>
                    <a:srcRect/>
                    <a:stretch>
                      <a:fillRect/>
                    </a:stretch>
                  </pic:blipFill>
                  <pic:spPr bwMode="auto">
                    <a:xfrm>
                      <a:off x="0" y="0"/>
                      <a:ext cx="5400040" cy="2779395"/>
                    </a:xfrm>
                    <a:prstGeom prst="rect">
                      <a:avLst/>
                    </a:prstGeom>
                    <a:noFill/>
                    <a:ln w="9525">
                      <a:noFill/>
                      <a:miter lim="800000"/>
                      <a:headEnd/>
                      <a:tailEnd/>
                    </a:ln>
                  </pic:spPr>
                </pic:pic>
              </a:graphicData>
            </a:graphic>
          </wp:inline>
        </w:drawing>
      </w:r>
    </w:p>
    <w:p w:rsidR="003B633D" w:rsidRPr="003B633D" w:rsidRDefault="003B633D" w:rsidP="00387350">
      <w:pPr>
        <w:pStyle w:val="NormalWeb"/>
        <w:jc w:val="both"/>
      </w:pPr>
      <w:r>
        <w:rPr>
          <w:noProof/>
          <w:color w:val="0000FF"/>
        </w:rPr>
        <w:lastRenderedPageBreak/>
        <w:drawing>
          <wp:inline distT="0" distB="0" distL="0" distR="0" wp14:anchorId="44BBBC03" wp14:editId="71288F7C">
            <wp:extent cx="5020818" cy="2662732"/>
            <wp:effectExtent l="19050" t="0" r="8382" b="0"/>
            <wp:docPr id="502" name="Imagen 502" descr="http://s.libertaddigital.com/fotos/noticias/espso7.jpg">
              <a:hlinkClick xmlns:a="http://schemas.openxmlformats.org/drawingml/2006/main" r:id="rId46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ertaddigital.com/fotos/noticias/espso7.jpg">
                      <a:hlinkClick r:id="rId463" tgtFrame="_blank"/>
                    </pic:cNvPr>
                    <pic:cNvPicPr>
                      <a:picLocks noChangeAspect="1" noChangeArrowheads="1"/>
                    </pic:cNvPicPr>
                  </pic:nvPicPr>
                  <pic:blipFill>
                    <a:blip r:embed="rId464" cstate="print"/>
                    <a:srcRect/>
                    <a:stretch>
                      <a:fillRect/>
                    </a:stretch>
                  </pic:blipFill>
                  <pic:spPr bwMode="auto">
                    <a:xfrm>
                      <a:off x="0" y="0"/>
                      <a:ext cx="5021679" cy="2663189"/>
                    </a:xfrm>
                    <a:prstGeom prst="rect">
                      <a:avLst/>
                    </a:prstGeom>
                    <a:noFill/>
                    <a:ln w="9525">
                      <a:noFill/>
                      <a:miter lim="800000"/>
                      <a:headEnd/>
                      <a:tailEnd/>
                    </a:ln>
                  </pic:spPr>
                </pic:pic>
              </a:graphicData>
            </a:graphic>
          </wp:inline>
        </w:drawing>
      </w:r>
    </w:p>
    <w:p w:rsidR="003B633D" w:rsidRPr="003B633D" w:rsidRDefault="003B633D" w:rsidP="00387350">
      <w:pPr>
        <w:pStyle w:val="NormalWeb"/>
        <w:jc w:val="both"/>
        <w:rPr>
          <w:b/>
        </w:rPr>
      </w:pPr>
      <w:r>
        <w:t>“</w:t>
      </w:r>
      <w:hyperlink r:id="rId465" w:history="1">
        <w:r w:rsidRPr="003B633D">
          <w:rPr>
            <w:rStyle w:val="Hipervnculo"/>
            <w:color w:val="auto"/>
            <w:u w:val="none"/>
          </w:rPr>
          <w:t>Los datos son claros</w:t>
        </w:r>
      </w:hyperlink>
      <w:r w:rsidRPr="003B633D">
        <w:t xml:space="preserve">: por mucho que se hable de austeridad, las Comunidades Autónomas </w:t>
      </w:r>
      <w:r w:rsidRPr="003B633D">
        <w:rPr>
          <w:rStyle w:val="Textoennegrita"/>
          <w:b w:val="0"/>
        </w:rPr>
        <w:t>gastan en 2012 más que en 2006.</w:t>
      </w:r>
      <w:r w:rsidRPr="003B633D">
        <w:t xml:space="preserve"> Los presupuestos regionales para el ejercicio pasado alcanzaron los 174.500 millones de euros,</w:t>
      </w:r>
      <w:r w:rsidRPr="003B633D">
        <w:rPr>
          <w:rStyle w:val="Textoennegrita"/>
        </w:rPr>
        <w:t xml:space="preserve"> </w:t>
      </w:r>
      <w:r w:rsidRPr="003B633D">
        <w:rPr>
          <w:rStyle w:val="Textoennegrita"/>
          <w:b w:val="0"/>
        </w:rPr>
        <w:t>28.000 millones</w:t>
      </w:r>
      <w:r w:rsidRPr="003B633D">
        <w:t xml:space="preserve"> más que en 2006, cuando el país estaba en la fase expansiva de la </w:t>
      </w:r>
      <w:r w:rsidR="007F737C">
        <w:t>“</w:t>
      </w:r>
      <w:r w:rsidRPr="007F737C">
        <w:rPr>
          <w:rStyle w:val="nfasis"/>
          <w:i w:val="0"/>
        </w:rPr>
        <w:t>burbuja</w:t>
      </w:r>
      <w:r w:rsidR="007F737C">
        <w:rPr>
          <w:rStyle w:val="nfasis"/>
          <w:i w:val="0"/>
        </w:rPr>
        <w:t>”</w:t>
      </w:r>
      <w:r w:rsidRPr="007F737C">
        <w:rPr>
          <w:i/>
        </w:rPr>
        <w:t>.</w:t>
      </w:r>
      <w:r w:rsidRPr="003B633D">
        <w:t xml:space="preserve"> Las plantillas de empleados autonómicos son hoy mayores que entonces en más de 300.000 personas, y tanto el gasto en educación como el</w:t>
      </w:r>
      <w:r w:rsidRPr="003B633D">
        <w:rPr>
          <w:rStyle w:val="Textoennegrita"/>
        </w:rPr>
        <w:t xml:space="preserve"> </w:t>
      </w:r>
      <w:r w:rsidRPr="003B633D">
        <w:rPr>
          <w:rStyle w:val="Textoennegrita"/>
          <w:b w:val="0"/>
        </w:rPr>
        <w:t>gasto en sanidad han crecido más de un 16% respecto a 2006.</w:t>
      </w:r>
    </w:p>
    <w:p w:rsidR="003B633D" w:rsidRPr="003B633D" w:rsidRDefault="003B633D" w:rsidP="00387350">
      <w:pPr>
        <w:pStyle w:val="NormalWeb"/>
        <w:jc w:val="both"/>
      </w:pPr>
      <w:r w:rsidRPr="003B633D">
        <w:t xml:space="preserve">Siguiendo con los datos de las CCAAs, es importante señalar que el </w:t>
      </w:r>
      <w:hyperlink r:id="rId466" w:history="1">
        <w:r w:rsidRPr="003B633D">
          <w:rPr>
            <w:rStyle w:val="Hipervnculo"/>
            <w:color w:val="auto"/>
            <w:u w:val="none"/>
          </w:rPr>
          <w:t>nuevo informe de BBVA</w:t>
        </w:r>
      </w:hyperlink>
      <w:r w:rsidRPr="003B633D">
        <w:t xml:space="preserve"> sobre el déficit autonómico subraya que las administraciones regionales han gastado 112.000 millones más de lo que ingresaron durante el periodo 2003-2012. El </w:t>
      </w:r>
      <w:r w:rsidRPr="003B633D">
        <w:rPr>
          <w:rStyle w:val="Textoennegrita"/>
          <w:b w:val="0"/>
        </w:rPr>
        <w:t>presupuesto autonómico por habitante es hoy un 8% mayor</w:t>
      </w:r>
      <w:r w:rsidRPr="003B633D">
        <w:t xml:space="preserve"> que entonces, y el 80% del déficit autonómico se debe a este aumento del gasto público. Por otra parte, y sin dejar de hablar de las CCAAs, hay que subrayar también que los gobiernos regionales mantienen </w:t>
      </w:r>
      <w:r w:rsidRPr="003B633D">
        <w:rPr>
          <w:rStyle w:val="Textoennegrita"/>
          <w:b w:val="0"/>
        </w:rPr>
        <w:t>facturas sin pagar</w:t>
      </w:r>
      <w:r w:rsidRPr="003B633D">
        <w:t xml:space="preserve"> por </w:t>
      </w:r>
      <w:hyperlink r:id="rId467" w:history="1">
        <w:r w:rsidRPr="003B633D">
          <w:rPr>
            <w:rStyle w:val="Hipervnculo"/>
            <w:color w:val="auto"/>
            <w:u w:val="none"/>
          </w:rPr>
          <w:t>más de 10.300 millones</w:t>
        </w:r>
      </w:hyperlink>
      <w:r w:rsidRPr="003B633D">
        <w:t xml:space="preserve"> de euros.</w:t>
      </w:r>
    </w:p>
    <w:p w:rsidR="0069143A" w:rsidRDefault="003B633D" w:rsidP="00387350">
      <w:pPr>
        <w:pStyle w:val="NormalWeb"/>
        <w:jc w:val="both"/>
        <w:rPr>
          <w:color w:val="000000"/>
        </w:rPr>
      </w:pPr>
      <w:r w:rsidRPr="003B633D">
        <w:t xml:space="preserve">Ante semejante descontrol, no debería sorprendernos que el Gobierno español reconozca que </w:t>
      </w:r>
      <w:r w:rsidRPr="003B633D">
        <w:rPr>
          <w:rStyle w:val="Textoennegrita"/>
          <w:b w:val="0"/>
        </w:rPr>
        <w:t>no sabe lo que cuestan las 149</w:t>
      </w:r>
      <w:r w:rsidRPr="003B633D">
        <w:rPr>
          <w:rStyle w:val="Textoennegrita"/>
        </w:rPr>
        <w:t xml:space="preserve"> </w:t>
      </w:r>
      <w:r w:rsidR="007F737C">
        <w:rPr>
          <w:rStyle w:val="Textoennegrita"/>
        </w:rPr>
        <w:t>“</w:t>
      </w:r>
      <w:r w:rsidRPr="007F737C">
        <w:rPr>
          <w:rStyle w:val="nfasis"/>
          <w:bCs/>
          <w:i w:val="0"/>
        </w:rPr>
        <w:t>embajadas autonómicas</w:t>
      </w:r>
      <w:r w:rsidR="007F737C">
        <w:rPr>
          <w:rStyle w:val="nfasis"/>
          <w:bCs/>
          <w:i w:val="0"/>
        </w:rPr>
        <w:t>”</w:t>
      </w:r>
      <w:r w:rsidRPr="003B633D">
        <w:rPr>
          <w:rStyle w:val="Textoennegrita"/>
        </w:rPr>
        <w:t xml:space="preserve"> </w:t>
      </w:r>
      <w:r w:rsidRPr="003B633D">
        <w:t xml:space="preserve">que siguen abiertas después de un año y medio de legislatura. En 2010, su coste fue estimado en </w:t>
      </w:r>
      <w:hyperlink r:id="rId468" w:history="1">
        <w:r w:rsidRPr="003B633D">
          <w:rPr>
            <w:rStyle w:val="Hipervnculo"/>
            <w:color w:val="auto"/>
            <w:u w:val="none"/>
          </w:rPr>
          <w:t>150 millones</w:t>
        </w:r>
      </w:hyperlink>
      <w:r w:rsidRPr="003B633D">
        <w:t xml:space="preserve"> de euros por el Partido Popular. La región con más </w:t>
      </w:r>
      <w:r w:rsidR="007F737C">
        <w:t>“</w:t>
      </w:r>
      <w:r w:rsidRPr="007F737C">
        <w:rPr>
          <w:rStyle w:val="nfasis"/>
          <w:i w:val="0"/>
        </w:rPr>
        <w:t>embajadas autonómicas</w:t>
      </w:r>
      <w:r w:rsidR="007F737C">
        <w:rPr>
          <w:rStyle w:val="nfasis"/>
          <w:i w:val="0"/>
        </w:rPr>
        <w:t>”</w:t>
      </w:r>
      <w:r w:rsidRPr="003B633D">
        <w:rPr>
          <w:rStyle w:val="nfasis"/>
        </w:rPr>
        <w:t xml:space="preserve"> </w:t>
      </w:r>
      <w:r w:rsidRPr="003B633D">
        <w:t>es Cataluña, que llegó a</w:t>
      </w:r>
      <w:r>
        <w:t xml:space="preserve"> tener 48 oficinas de este tipo”… </w:t>
      </w:r>
      <w:r w:rsidR="0069143A" w:rsidRPr="0009583F">
        <w:rPr>
          <w:color w:val="000000"/>
          <w:u w:val="single"/>
        </w:rPr>
        <w:t>Las CCAA gastan 28.000 millones más que en plena burbuja inmobiliaria</w:t>
      </w:r>
      <w:r w:rsidR="0069143A">
        <w:rPr>
          <w:color w:val="000000"/>
        </w:rPr>
        <w:t xml:space="preserve"> (Libertad Digital - </w:t>
      </w:r>
      <w:r w:rsidR="0069143A" w:rsidRPr="0009583F">
        <w:rPr>
          <w:b/>
          <w:color w:val="000000"/>
        </w:rPr>
        <w:t>12/5/13</w:t>
      </w:r>
      <w:r w:rsidR="0069143A">
        <w:rPr>
          <w:color w:val="000000"/>
        </w:rPr>
        <w:t>)</w:t>
      </w:r>
    </w:p>
    <w:p w:rsidR="0069143A" w:rsidRDefault="0069143A" w:rsidP="00387350">
      <w:pPr>
        <w:pStyle w:val="NormalWeb"/>
        <w:jc w:val="both"/>
      </w:pPr>
      <w:r>
        <w:t>“Este es el marco contractual (laboral) actual en España y que a la vista de los últimos acontecimientos parece que nadie quiere cambiar:</w:t>
      </w:r>
    </w:p>
    <w:p w:rsidR="0069143A" w:rsidRPr="0055066B" w:rsidRDefault="0069143A" w:rsidP="00387350">
      <w:pPr>
        <w:numPr>
          <w:ilvl w:val="0"/>
          <w:numId w:val="9"/>
        </w:numPr>
        <w:spacing w:before="100" w:beforeAutospacing="1" w:after="100" w:afterAutospacing="1" w:line="240" w:lineRule="auto"/>
        <w:jc w:val="both"/>
        <w:rPr>
          <w:rFonts w:ascii="Times New Roman" w:hAnsi="Times New Roman" w:cs="Times New Roman"/>
          <w:sz w:val="24"/>
          <w:szCs w:val="24"/>
        </w:rPr>
      </w:pPr>
      <w:r w:rsidRPr="0055066B">
        <w:rPr>
          <w:rFonts w:ascii="Times New Roman" w:hAnsi="Times New Roman" w:cs="Times New Roman"/>
          <w:sz w:val="24"/>
          <w:szCs w:val="24"/>
        </w:rPr>
        <w:t>Según la legislación actual existen tres tipos de contrato indefinido y ocho tipos de contrato temporal.</w:t>
      </w:r>
    </w:p>
    <w:p w:rsidR="0069143A" w:rsidRPr="0069143A" w:rsidRDefault="0069143A" w:rsidP="00387350">
      <w:pPr>
        <w:numPr>
          <w:ilvl w:val="0"/>
          <w:numId w:val="9"/>
        </w:numPr>
        <w:spacing w:before="100" w:beforeAutospacing="1" w:after="100" w:afterAutospacing="1" w:line="240" w:lineRule="auto"/>
        <w:jc w:val="both"/>
        <w:rPr>
          <w:color w:val="000000"/>
        </w:rPr>
      </w:pPr>
      <w:r w:rsidRPr="0055066B">
        <w:rPr>
          <w:rFonts w:ascii="Times New Roman" w:hAnsi="Times New Roman" w:cs="Times New Roman"/>
          <w:sz w:val="24"/>
          <w:szCs w:val="24"/>
        </w:rPr>
        <w:t>Pero si consideramos además las modalidades específicas diseñadas en distintos momentos del tiempo para acomodar circunstancias diversas, se pueden listar hasta 15 modalidades distintas de co</w:t>
      </w:r>
      <w:r>
        <w:rPr>
          <w:rFonts w:ascii="Times New Roman" w:hAnsi="Times New Roman" w:cs="Times New Roman"/>
          <w:sz w:val="24"/>
          <w:szCs w:val="24"/>
        </w:rPr>
        <w:t xml:space="preserve">ntratación indefinida </w:t>
      </w:r>
      <w:r w:rsidRPr="0055066B">
        <w:rPr>
          <w:rFonts w:ascii="Times New Roman" w:hAnsi="Times New Roman" w:cs="Times New Roman"/>
          <w:sz w:val="24"/>
          <w:szCs w:val="24"/>
        </w:rPr>
        <w:t>y 20 modalidades distintas de cont</w:t>
      </w:r>
      <w:r>
        <w:rPr>
          <w:rFonts w:ascii="Times New Roman" w:hAnsi="Times New Roman" w:cs="Times New Roman"/>
          <w:sz w:val="24"/>
          <w:szCs w:val="24"/>
        </w:rPr>
        <w:t>rato temporal…</w:t>
      </w:r>
    </w:p>
    <w:p w:rsidR="0069143A" w:rsidRDefault="0069143A" w:rsidP="00387350">
      <w:pPr>
        <w:pStyle w:val="NormalWeb"/>
        <w:jc w:val="both"/>
      </w:pPr>
      <w:r w:rsidRPr="0055066B">
        <w:lastRenderedPageBreak/>
        <w:t>A esta maraña de contratos tenemos que añadir una segunda maraña de subvenciones, bonificaciones e incentivos a la contratación que incrementan notablemente la complejidad y la incertidumbre asociadas a la decisión de contratación</w:t>
      </w:r>
      <w:r>
        <w:t xml:space="preserve"> laboral</w:t>
      </w:r>
      <w:r w:rsidRPr="0055066B">
        <w:t>. ¿Tiene esto algún sentido?, ¿Se atreve alguien a explicárselo a un inversor que tenga algún interés en invertir en España? , ¿No sería todo más fácil con un único contrato con coste indemnizatorio creciente?</w:t>
      </w:r>
      <w:r>
        <w:t xml:space="preserve">”… </w:t>
      </w:r>
      <w:r w:rsidRPr="004937AD">
        <w:rPr>
          <w:u w:val="single"/>
        </w:rPr>
        <w:t>La maraña contractual actual: ¿No sería todo más fácil con un contrato único?</w:t>
      </w:r>
      <w:r w:rsidRPr="004937AD">
        <w:t xml:space="preserve"> (Fedea - </w:t>
      </w:r>
      <w:r w:rsidRPr="0069143A">
        <w:rPr>
          <w:b/>
        </w:rPr>
        <w:t>15/5/13</w:t>
      </w:r>
      <w:r w:rsidRPr="004937AD">
        <w:t>)</w:t>
      </w:r>
    </w:p>
    <w:p w:rsidR="0069143A" w:rsidRPr="0010572B" w:rsidRDefault="00685CCF" w:rsidP="00387350">
      <w:pPr>
        <w:pStyle w:val="NormalWeb"/>
        <w:jc w:val="both"/>
      </w:pPr>
      <w:r>
        <w:t>“</w:t>
      </w:r>
      <w:r w:rsidR="0069143A" w:rsidRPr="0010572B">
        <w:t>A continuación, pueden consultar una colección de diez gastos rocambolescos que demuestran que los contribuyentes españoles siguen sufriendo el manejo irresponsable de los fondos públicos.</w:t>
      </w:r>
    </w:p>
    <w:p w:rsidR="0069143A" w:rsidRPr="0069143A" w:rsidRDefault="0069143A" w:rsidP="00387350">
      <w:pPr>
        <w:pStyle w:val="NormalWeb"/>
        <w:jc w:val="both"/>
      </w:pPr>
      <w:r w:rsidRPr="0069143A">
        <w:rPr>
          <w:rStyle w:val="Textoennegrita"/>
          <w:b w:val="0"/>
        </w:rPr>
        <w:t xml:space="preserve">1. </w:t>
      </w:r>
      <w:r w:rsidRPr="0069143A">
        <w:t xml:space="preserve">Según la Asociación Española de Empresas Gestoras de los Servicios de Agua a Poblaciones (AGA), la Administración Pública gasta </w:t>
      </w:r>
      <w:hyperlink r:id="rId469" w:history="1">
        <w:r w:rsidRPr="0069143A">
          <w:rPr>
            <w:rStyle w:val="Hipervnculo"/>
            <w:color w:val="auto"/>
            <w:u w:val="none"/>
          </w:rPr>
          <w:t>50 millones de euros al año</w:t>
        </w:r>
      </w:hyperlink>
      <w:r w:rsidRPr="0069143A">
        <w:t xml:space="preserve"> en comprar </w:t>
      </w:r>
      <w:r w:rsidRPr="0069143A">
        <w:rPr>
          <w:rStyle w:val="Textoennegrita"/>
          <w:b w:val="0"/>
        </w:rPr>
        <w:t>agua embotellada</w:t>
      </w:r>
      <w:r w:rsidRPr="0069143A">
        <w:t xml:space="preserve"> para reuniones, entrevistas, encuentros o seminarios.</w:t>
      </w:r>
    </w:p>
    <w:p w:rsidR="0069143A" w:rsidRPr="0069143A" w:rsidRDefault="0069143A" w:rsidP="00387350">
      <w:pPr>
        <w:pStyle w:val="NormalWeb"/>
        <w:jc w:val="both"/>
      </w:pPr>
      <w:r w:rsidRPr="0069143A">
        <w:rPr>
          <w:rStyle w:val="Textoennegrita"/>
          <w:b w:val="0"/>
        </w:rPr>
        <w:t>2.</w:t>
      </w:r>
      <w:r w:rsidRPr="0069143A">
        <w:t xml:space="preserve"> El ex presidente de Extremadura </w:t>
      </w:r>
      <w:r w:rsidRPr="0069143A">
        <w:rPr>
          <w:rStyle w:val="Textoennegrita"/>
          <w:b w:val="0"/>
        </w:rPr>
        <w:t>Fernández Vara</w:t>
      </w:r>
      <w:r w:rsidRPr="0069143A">
        <w:t xml:space="preserve"> cargó a la Sanidad extremeña </w:t>
      </w:r>
      <w:r w:rsidRPr="0069143A">
        <w:rPr>
          <w:rStyle w:val="Textoennegrita"/>
          <w:b w:val="0"/>
        </w:rPr>
        <w:t xml:space="preserve">jamones y bebidas </w:t>
      </w:r>
      <w:r w:rsidRPr="0069143A">
        <w:t xml:space="preserve">alcohólicas. Las </w:t>
      </w:r>
      <w:hyperlink r:id="rId470" w:history="1">
        <w:r w:rsidRPr="0069143A">
          <w:rPr>
            <w:rStyle w:val="Hipervnculo"/>
            <w:color w:val="auto"/>
            <w:u w:val="none"/>
          </w:rPr>
          <w:t>facturas</w:t>
        </w:r>
      </w:hyperlink>
      <w:r w:rsidRPr="0069143A">
        <w:t xml:space="preserve"> que ahora salen a la luz también incluyen la compra de una decena de carteras de piel a razón de 2.500 euros. La polémica se une a la de las </w:t>
      </w:r>
      <w:hyperlink r:id="rId471" w:history="1">
        <w:r w:rsidRPr="0069143A">
          <w:rPr>
            <w:rStyle w:val="Hipervnculo"/>
            <w:color w:val="auto"/>
            <w:u w:val="none"/>
          </w:rPr>
          <w:t>oficinas con spa y jacuzzi</w:t>
        </w:r>
      </w:hyperlink>
      <w:r w:rsidRPr="0069143A">
        <w:t xml:space="preserve"> de la institución pública extremeña FEVAL. Según una auditoría, este ente no ha justificado gastos por valor de hasta 600.000 euros.</w:t>
      </w:r>
    </w:p>
    <w:p w:rsidR="007F737C" w:rsidRDefault="0069143A" w:rsidP="00387350">
      <w:pPr>
        <w:pStyle w:val="NormalWeb"/>
        <w:jc w:val="both"/>
      </w:pPr>
      <w:r w:rsidRPr="0069143A">
        <w:rPr>
          <w:rStyle w:val="Textoennegrita"/>
          <w:b w:val="0"/>
        </w:rPr>
        <w:t xml:space="preserve">3. </w:t>
      </w:r>
      <w:r w:rsidRPr="0069143A">
        <w:t xml:space="preserve">El Congreso de los Diputados </w:t>
      </w:r>
      <w:hyperlink r:id="rId472" w:history="1">
        <w:r w:rsidRPr="0069143A">
          <w:rPr>
            <w:rStyle w:val="Hipervnculo"/>
            <w:color w:val="auto"/>
            <w:u w:val="none"/>
          </w:rPr>
          <w:t>subvenciona</w:t>
        </w:r>
      </w:hyperlink>
      <w:r w:rsidRPr="0069143A">
        <w:t xml:space="preserve"> el </w:t>
      </w:r>
      <w:r w:rsidRPr="0069143A">
        <w:rPr>
          <w:rStyle w:val="Textoennegrita"/>
          <w:b w:val="0"/>
        </w:rPr>
        <w:t>vino, el cava o el vermouth</w:t>
      </w:r>
      <w:r w:rsidRPr="0069143A">
        <w:t xml:space="preserve">. La </w:t>
      </w:r>
      <w:hyperlink r:id="rId473" w:history="1">
        <w:r w:rsidRPr="0069143A">
          <w:rPr>
            <w:rStyle w:val="Hipervnculo"/>
            <w:color w:val="auto"/>
            <w:u w:val="none"/>
          </w:rPr>
          <w:t>polémica generada sobre el gin-tonic</w:t>
        </w:r>
      </w:hyperlink>
      <w:r w:rsidRPr="0069143A">
        <w:t xml:space="preserve"> de la Cafetería del Parlamento no ha evitado que otras bebidas sigan despachándose a precios artificialmente bajos, cortesía del contribuyente. </w:t>
      </w:r>
    </w:p>
    <w:p w:rsidR="0069143A" w:rsidRPr="0069143A" w:rsidRDefault="0069143A" w:rsidP="00387350">
      <w:pPr>
        <w:pStyle w:val="NormalWeb"/>
        <w:jc w:val="both"/>
      </w:pPr>
      <w:r w:rsidRPr="0069143A">
        <w:rPr>
          <w:rStyle w:val="Textoennegrita"/>
          <w:b w:val="0"/>
        </w:rPr>
        <w:t>4.</w:t>
      </w:r>
      <w:r w:rsidRPr="0069143A">
        <w:t xml:space="preserve"> El Gobierno de Rajoy </w:t>
      </w:r>
      <w:hyperlink r:id="rId474" w:history="1">
        <w:r w:rsidRPr="0069143A">
          <w:rPr>
            <w:rStyle w:val="Hipervnculo"/>
            <w:color w:val="auto"/>
            <w:u w:val="none"/>
          </w:rPr>
          <w:t>aún no ha extinguido</w:t>
        </w:r>
      </w:hyperlink>
      <w:r w:rsidRPr="0069143A">
        <w:t xml:space="preserve"> la sociedad pública creada en 1992 para celebrar el </w:t>
      </w:r>
      <w:r w:rsidRPr="0069143A">
        <w:rPr>
          <w:rStyle w:val="Textoennegrita"/>
          <w:b w:val="0"/>
        </w:rPr>
        <w:t>Quinto Centenario del Descubrimiento de América</w:t>
      </w:r>
      <w:r w:rsidRPr="0069143A">
        <w:t xml:space="preserve">. Así lo ha reconocido la vicepresidenta Sáenz de Santamaría, que en su día puso este ente público como ejemplo del despilfarro vigente en la </w:t>
      </w:r>
      <w:r w:rsidR="007F737C">
        <w:t>“</w:t>
      </w:r>
      <w:r w:rsidRPr="007F737C">
        <w:rPr>
          <w:rStyle w:val="nfasis"/>
          <w:i w:val="0"/>
        </w:rPr>
        <w:t>administración paralela</w:t>
      </w:r>
      <w:r w:rsidR="007F737C">
        <w:rPr>
          <w:rStyle w:val="nfasis"/>
          <w:i w:val="0"/>
        </w:rPr>
        <w:t>”</w:t>
      </w:r>
      <w:r w:rsidRPr="007F737C">
        <w:rPr>
          <w:i/>
        </w:rPr>
        <w:t>.</w:t>
      </w:r>
    </w:p>
    <w:p w:rsidR="0069143A" w:rsidRPr="0069143A" w:rsidRDefault="0069143A" w:rsidP="00387350">
      <w:pPr>
        <w:pStyle w:val="NormalWeb"/>
        <w:jc w:val="both"/>
      </w:pPr>
      <w:r w:rsidRPr="0069143A">
        <w:rPr>
          <w:rStyle w:val="Textoennegrita"/>
          <w:b w:val="0"/>
        </w:rPr>
        <w:t xml:space="preserve">5. </w:t>
      </w:r>
      <w:r w:rsidRPr="0069143A">
        <w:t xml:space="preserve">El Gobierno de Cataluña aprobó recientemente una </w:t>
      </w:r>
      <w:hyperlink r:id="rId475" w:history="1">
        <w:r w:rsidRPr="0069143A">
          <w:rPr>
            <w:rStyle w:val="Hipervnculo"/>
            <w:color w:val="auto"/>
            <w:u w:val="none"/>
          </w:rPr>
          <w:t>nueva ronda de subvenciones</w:t>
        </w:r>
      </w:hyperlink>
      <w:r w:rsidRPr="0069143A">
        <w:t xml:space="preserve"> que incluye</w:t>
      </w:r>
      <w:r w:rsidR="00685CCF">
        <w:t xml:space="preserve"> 2,5 millones de euros para la “</w:t>
      </w:r>
      <w:r w:rsidRPr="0069143A">
        <w:t>traducción, doblaje o creación de películas en c</w:t>
      </w:r>
      <w:r w:rsidR="00685CCF">
        <w:t>atalán”, 378.896 euros para la “</w:t>
      </w:r>
      <w:r w:rsidRPr="0069143A">
        <w:t>creación, traducción o la promoción de obras literar</w:t>
      </w:r>
      <w:r w:rsidR="00685CCF">
        <w:t>ias en catalán”, 147.321 euros “</w:t>
      </w:r>
      <w:r w:rsidRPr="0069143A">
        <w:t>para que los sindicatos</w:t>
      </w:r>
      <w:r w:rsidR="00685CCF">
        <w:t xml:space="preserve"> promocionen la lengua catalana”</w:t>
      </w:r>
      <w:r w:rsidRPr="0069143A">
        <w:t xml:space="preserve">, 301.381 euros “para la promoción y la dinamización de la </w:t>
      </w:r>
      <w:r w:rsidR="00685CCF">
        <w:rPr>
          <w:rStyle w:val="Textoennegrita"/>
          <w:b w:val="0"/>
        </w:rPr>
        <w:t>sardana”</w:t>
      </w:r>
      <w:r w:rsidR="00685CCF">
        <w:t>, 64.436 euros destinados a “</w:t>
      </w:r>
      <w:r w:rsidRPr="0069143A">
        <w:t xml:space="preserve">la promoción y fomento </w:t>
      </w:r>
      <w:r w:rsidR="00685CCF">
        <w:t>del pesebrismo” o 45.836 euros “</w:t>
      </w:r>
      <w:r w:rsidRPr="0069143A">
        <w:t>para la traducción y la producción de videojuegos en lengua catal</w:t>
      </w:r>
      <w:r w:rsidR="00685CCF">
        <w:t>ana”</w:t>
      </w:r>
      <w:r w:rsidRPr="0069143A">
        <w:t xml:space="preserve">. Otro capítulo de gasto que ha dado mucho que hablar es el </w:t>
      </w:r>
      <w:r w:rsidRPr="0069143A">
        <w:rPr>
          <w:rStyle w:val="Textoennegrita"/>
          <w:b w:val="0"/>
        </w:rPr>
        <w:t>Pabellón de Cataluña en la Bienal de Venecia</w:t>
      </w:r>
      <w:r w:rsidRPr="0069143A">
        <w:t xml:space="preserve">, que </w:t>
      </w:r>
      <w:hyperlink r:id="rId476" w:history="1">
        <w:r w:rsidRPr="0069143A">
          <w:rPr>
            <w:rStyle w:val="Hipervnculo"/>
            <w:color w:val="auto"/>
            <w:u w:val="none"/>
          </w:rPr>
          <w:t>ha costado 470.000 euros</w:t>
        </w:r>
      </w:hyperlink>
      <w:r w:rsidRPr="0069143A">
        <w:t xml:space="preserve"> frente a los 400.000 euros de la plataforma que ha sufragado el gobierno de España.</w:t>
      </w:r>
    </w:p>
    <w:p w:rsidR="0069143A" w:rsidRPr="0069143A" w:rsidRDefault="0069143A" w:rsidP="00387350">
      <w:pPr>
        <w:pStyle w:val="NormalWeb"/>
        <w:jc w:val="both"/>
      </w:pPr>
      <w:r w:rsidRPr="0069143A">
        <w:t>Record</w:t>
      </w:r>
      <w:r w:rsidR="00685CCF">
        <w:t>emos que el Ejecutivo de Rajoy “rescató”</w:t>
      </w:r>
      <w:r w:rsidRPr="0069143A">
        <w:t xml:space="preserve"> con </w:t>
      </w:r>
      <w:hyperlink r:id="rId477" w:history="1">
        <w:r w:rsidRPr="0069143A">
          <w:rPr>
            <w:rStyle w:val="Hipervnculo"/>
            <w:color w:val="auto"/>
            <w:u w:val="none"/>
          </w:rPr>
          <w:t>13.000 millones</w:t>
        </w:r>
      </w:hyperlink>
      <w:r w:rsidRPr="0069143A">
        <w:t xml:space="preserve"> a Cataluña a través del Fondo de Liquidez Autonómica. Por otro lado, también conviene tener en cuenta que, al contrario de lo que argumenta de forma recurrente el gobierno de Mas, Cataluña tiene un saldo positivo con el gobierno central, ya que en los dos últimos años recibió 3.000 millones de euros más por encima de lo aportado a la hucha común.</w:t>
      </w:r>
    </w:p>
    <w:p w:rsidR="0069143A" w:rsidRPr="0069143A" w:rsidRDefault="0069143A" w:rsidP="00387350">
      <w:pPr>
        <w:pStyle w:val="NormalWeb"/>
        <w:jc w:val="both"/>
      </w:pPr>
      <w:r w:rsidRPr="0069143A">
        <w:rPr>
          <w:rStyle w:val="Textoennegrita"/>
          <w:b w:val="0"/>
        </w:rPr>
        <w:lastRenderedPageBreak/>
        <w:t>6.</w:t>
      </w:r>
      <w:r w:rsidRPr="0069143A">
        <w:t xml:space="preserve"> La Junta de Andalucía lleva desembolsados </w:t>
      </w:r>
      <w:hyperlink r:id="rId478" w:history="1">
        <w:r w:rsidRPr="0069143A">
          <w:rPr>
            <w:rStyle w:val="Hipervnculo"/>
            <w:color w:val="auto"/>
            <w:u w:val="none"/>
          </w:rPr>
          <w:t>más de 405 millones de euros</w:t>
        </w:r>
      </w:hyperlink>
      <w:r w:rsidRPr="0069143A">
        <w:t xml:space="preserve"> en programas de </w:t>
      </w:r>
      <w:r>
        <w:rPr>
          <w:rStyle w:val="Textoennegrita"/>
          <w:b w:val="0"/>
        </w:rPr>
        <w:t>“cooperación internacional”</w:t>
      </w:r>
      <w:r w:rsidRPr="0069143A">
        <w:t xml:space="preserve"> como la digitalización del cine cubano, la promoción turística en Nicaragua o la reforma de una playa en El Salvador. Este desembolso casi coincide con los </w:t>
      </w:r>
      <w:hyperlink r:id="rId479" w:history="1">
        <w:r w:rsidRPr="0069143A">
          <w:rPr>
            <w:rStyle w:val="Hipervnculo"/>
            <w:color w:val="auto"/>
            <w:u w:val="none"/>
          </w:rPr>
          <w:t>415 millones</w:t>
        </w:r>
      </w:hyperlink>
      <w:r w:rsidRPr="0069143A">
        <w:t xml:space="preserve"> que debe el Ejecutivo andaluz a determinados grupos de proveedores. Cabe recordar que </w:t>
      </w:r>
      <w:r>
        <w:t>Andalucía recibió un “rescate”</w:t>
      </w:r>
      <w:r w:rsidRPr="0069143A">
        <w:t xml:space="preserve"> del gobierno de Rajoy valorado en 5.400 millones de euros y canalizado mediante el Fondo de Liquidez Autonómica.</w:t>
      </w:r>
    </w:p>
    <w:p w:rsidR="0069143A" w:rsidRPr="0069143A" w:rsidRDefault="0069143A" w:rsidP="00387350">
      <w:pPr>
        <w:pStyle w:val="NormalWeb"/>
        <w:jc w:val="both"/>
      </w:pPr>
      <w:r w:rsidRPr="0069143A">
        <w:t xml:space="preserve">Mientras tanto, los diputados andaluces presentes en la Mesa del Parlamento regional </w:t>
      </w:r>
      <w:r w:rsidRPr="0069143A">
        <w:rPr>
          <w:rStyle w:val="Textoennegrita"/>
          <w:b w:val="0"/>
        </w:rPr>
        <w:t>suben sus sueldos</w:t>
      </w:r>
      <w:r w:rsidRPr="0069143A">
        <w:t xml:space="preserve"> tras aprobar un aumento que les supondrá unos ingresos mensuales adicionales de </w:t>
      </w:r>
      <w:hyperlink r:id="rId480" w:anchor=".UbJH1yKHJ2E.twitter" w:history="1">
        <w:r w:rsidRPr="0069143A">
          <w:rPr>
            <w:rStyle w:val="Hipervnculo"/>
            <w:color w:val="auto"/>
            <w:u w:val="none"/>
          </w:rPr>
          <w:t>entre 2.000 y 2.400 euros</w:t>
        </w:r>
      </w:hyperlink>
      <w:r w:rsidRPr="0069143A">
        <w:t xml:space="preserve">. Se trata de la </w:t>
      </w:r>
      <w:hyperlink r:id="rId481" w:history="1">
        <w:r w:rsidRPr="0069143A">
          <w:rPr>
            <w:rStyle w:val="Hipervnculo"/>
            <w:color w:val="auto"/>
            <w:u w:val="none"/>
          </w:rPr>
          <w:t>enésima polémica</w:t>
        </w:r>
      </w:hyperlink>
      <w:r w:rsidRPr="0069143A">
        <w:t xml:space="preserve"> por los elevados sueldos que siguen disfrutando los políticos andaluces.</w:t>
      </w:r>
    </w:p>
    <w:p w:rsidR="0069143A" w:rsidRPr="0069143A" w:rsidRDefault="0069143A" w:rsidP="00387350">
      <w:pPr>
        <w:pStyle w:val="NormalWeb"/>
        <w:jc w:val="both"/>
      </w:pPr>
      <w:r w:rsidRPr="0069143A">
        <w:rPr>
          <w:rStyle w:val="Textoennegrita"/>
          <w:b w:val="0"/>
        </w:rPr>
        <w:t xml:space="preserve">7. </w:t>
      </w:r>
      <w:r w:rsidRPr="0069143A">
        <w:t xml:space="preserve">El </w:t>
      </w:r>
      <w:r w:rsidRPr="0069143A">
        <w:rPr>
          <w:rStyle w:val="Textoennegrita"/>
          <w:b w:val="0"/>
        </w:rPr>
        <w:t>Banco de España</w:t>
      </w:r>
      <w:r w:rsidRPr="0069143A">
        <w:t xml:space="preserve"> </w:t>
      </w:r>
      <w:hyperlink r:id="rId482" w:history="1">
        <w:r w:rsidRPr="0069143A">
          <w:rPr>
            <w:rStyle w:val="Hipervnculo"/>
            <w:color w:val="auto"/>
            <w:u w:val="none"/>
          </w:rPr>
          <w:t>paga un 6,5% más</w:t>
        </w:r>
      </w:hyperlink>
      <w:r w:rsidRPr="0069143A">
        <w:t xml:space="preserve"> a sus empleados que el Bundesbank y gasta más en administración que antes de la cesión de poderes al BCE. Los costes laborales de la institución dirigida por Luis María Linde han saltado de 170 a 211 millones entre 1999 y 2012. Por otra parte, los gastos operativos han crecido de 298 a 411 millones en el mismo periodo.</w:t>
      </w:r>
    </w:p>
    <w:p w:rsidR="0069143A" w:rsidRPr="0069143A" w:rsidRDefault="0069143A" w:rsidP="00387350">
      <w:pPr>
        <w:pStyle w:val="NormalWeb"/>
        <w:jc w:val="both"/>
      </w:pPr>
      <w:r w:rsidRPr="0069143A">
        <w:rPr>
          <w:rStyle w:val="Textoennegrita"/>
          <w:b w:val="0"/>
        </w:rPr>
        <w:t xml:space="preserve">8. </w:t>
      </w:r>
      <w:r w:rsidRPr="0069143A">
        <w:t xml:space="preserve">El </w:t>
      </w:r>
      <w:r w:rsidRPr="0069143A">
        <w:rPr>
          <w:rStyle w:val="Textoennegrita"/>
          <w:b w:val="0"/>
        </w:rPr>
        <w:t>aeropuerto de Huesca</w:t>
      </w:r>
      <w:r w:rsidRPr="0069143A">
        <w:t xml:space="preserve"> </w:t>
      </w:r>
      <w:hyperlink r:id="rId483" w:history="1">
        <w:r w:rsidRPr="0069143A">
          <w:rPr>
            <w:rStyle w:val="Hipervnculo"/>
            <w:color w:val="auto"/>
            <w:u w:val="none"/>
          </w:rPr>
          <w:t>cierra marzo con sólo cuatro pasajeros</w:t>
        </w:r>
      </w:hyperlink>
      <w:r w:rsidRPr="0069143A">
        <w:t>, pese a la nieve y Semana Santa. Tras una inversión de 45 millones de euros, la terminal sigue prácticamente desierta. La deuda del aeropuerto supera ya los 70 millones.</w:t>
      </w:r>
    </w:p>
    <w:p w:rsidR="0069143A" w:rsidRPr="0069143A" w:rsidRDefault="0069143A" w:rsidP="00387350">
      <w:pPr>
        <w:pStyle w:val="NormalWeb"/>
        <w:jc w:val="both"/>
      </w:pPr>
      <w:r w:rsidRPr="0069143A">
        <w:rPr>
          <w:rStyle w:val="Textoennegrita"/>
          <w:b w:val="0"/>
        </w:rPr>
        <w:t>9.</w:t>
      </w:r>
      <w:r w:rsidRPr="0069143A">
        <w:t xml:space="preserve"> El ex presidente de Cantabria </w:t>
      </w:r>
      <w:r w:rsidRPr="0069143A">
        <w:rPr>
          <w:rStyle w:val="Textoennegrita"/>
          <w:b w:val="0"/>
        </w:rPr>
        <w:t>Miguel Ángel Revilla</w:t>
      </w:r>
      <w:r w:rsidRPr="0069143A">
        <w:t xml:space="preserve"> ocultó facturas por </w:t>
      </w:r>
      <w:hyperlink r:id="rId484" w:history="1">
        <w:r w:rsidRPr="0069143A">
          <w:rPr>
            <w:rStyle w:val="Hipervnculo"/>
            <w:color w:val="auto"/>
            <w:u w:val="none"/>
          </w:rPr>
          <w:t>200 millones de euros</w:t>
        </w:r>
      </w:hyperlink>
      <w:r w:rsidRPr="0069143A">
        <w:t xml:space="preserve"> en la red de empresas públicas de la Comunidad Autónoma. Revilla, que a menudo se jacta de la transp</w:t>
      </w:r>
      <w:r>
        <w:t>arencia de su gestión, cebó la “administración paralela”</w:t>
      </w:r>
      <w:r w:rsidRPr="0069143A">
        <w:t xml:space="preserve"> para camuflar deudas que, en 2009, habían sido fijados en 83,7 millones. El tiempo ha demostrado que, en realidad, ascienden a casi 300 millones.</w:t>
      </w:r>
    </w:p>
    <w:p w:rsidR="0069143A" w:rsidRDefault="0069143A" w:rsidP="00387350">
      <w:pPr>
        <w:pStyle w:val="NormalWeb"/>
        <w:jc w:val="both"/>
      </w:pPr>
      <w:r w:rsidRPr="0069143A">
        <w:rPr>
          <w:rStyle w:val="Textoennegrita"/>
          <w:b w:val="0"/>
        </w:rPr>
        <w:t>10.</w:t>
      </w:r>
      <w:r w:rsidRPr="0069143A">
        <w:t xml:space="preserve"> En Manilva, provincia de Málaga, el equipo de gobierno de Izquierda Unida ha </w:t>
      </w:r>
      <w:r w:rsidRPr="0069143A">
        <w:rPr>
          <w:rStyle w:val="Textoennegrita"/>
          <w:b w:val="0"/>
        </w:rPr>
        <w:t xml:space="preserve">contratado </w:t>
      </w:r>
      <w:r w:rsidRPr="0069143A">
        <w:rPr>
          <w:rStyle w:val="nfasis"/>
          <w:bCs/>
        </w:rPr>
        <w:t>a dedo</w:t>
      </w:r>
      <w:r w:rsidRPr="0069143A">
        <w:rPr>
          <w:rStyle w:val="Textoennegrita"/>
          <w:b w:val="0"/>
        </w:rPr>
        <w:t xml:space="preserve"> a 470 persona</w:t>
      </w:r>
      <w:r w:rsidRPr="0069143A">
        <w:t xml:space="preserve">s, 80 de las cuales son afiliados o familiares de los integrantes del gobierno municipal. Así consta en un </w:t>
      </w:r>
      <w:hyperlink r:id="rId485" w:anchor=".UauX29HWrCR.twitter" w:history="1">
        <w:r w:rsidRPr="0069143A">
          <w:rPr>
            <w:rStyle w:val="Hipervnculo"/>
            <w:color w:val="auto"/>
            <w:u w:val="none"/>
          </w:rPr>
          <w:t>informe</w:t>
        </w:r>
      </w:hyperlink>
      <w:r w:rsidRPr="0069143A">
        <w:t xml:space="preserve"> de la Guardia Civil de más de 500 páginas. L</w:t>
      </w:r>
      <w:r>
        <w:t>a propia Alcaldesa reconoce el “enchufe”</w:t>
      </w:r>
      <w:r w:rsidRPr="0069143A">
        <w:t xml:space="preserve"> de varios empleados del consistorio, entre los que figura su marido</w:t>
      </w:r>
      <w:r w:rsidR="00685CCF">
        <w:t>..</w:t>
      </w:r>
      <w:r w:rsidRPr="0069143A">
        <w:t>.</w:t>
      </w:r>
      <w:r w:rsidR="00685CCF">
        <w:t xml:space="preserve"> </w:t>
      </w:r>
      <w:r w:rsidR="00685CCF" w:rsidRPr="0010572B">
        <w:rPr>
          <w:u w:val="single"/>
        </w:rPr>
        <w:t>Diez ejemplos rocambolescos de despilfarro público</w:t>
      </w:r>
      <w:r w:rsidR="00685CCF">
        <w:t xml:space="preserve"> (Libertad Digital - </w:t>
      </w:r>
      <w:r w:rsidR="00685CCF" w:rsidRPr="0010572B">
        <w:rPr>
          <w:b/>
        </w:rPr>
        <w:t>16/6/13</w:t>
      </w:r>
      <w:r w:rsidR="00685CCF">
        <w:t>)</w:t>
      </w:r>
    </w:p>
    <w:p w:rsidR="00685CCF" w:rsidRPr="00685CCF" w:rsidRDefault="00685CCF" w:rsidP="00387350">
      <w:pPr>
        <w:pStyle w:val="NormalWeb"/>
        <w:shd w:val="clear" w:color="auto" w:fill="FFFFFF"/>
        <w:jc w:val="both"/>
      </w:pPr>
      <w:r>
        <w:t>“</w:t>
      </w:r>
      <w:r w:rsidRPr="00A53A3F">
        <w:t xml:space="preserve">España no es Alemania, por muchas razones. Una de ellas: en Berlín ha provocado una tormenta política el fiasco del </w:t>
      </w:r>
      <w:r w:rsidR="007F737C">
        <w:t>“</w:t>
      </w:r>
      <w:hyperlink r:id="rId486" w:history="1">
        <w:r w:rsidRPr="007F737C">
          <w:rPr>
            <w:rStyle w:val="nfasis"/>
            <w:i w:val="0"/>
          </w:rPr>
          <w:t>Euro Hawk</w:t>
        </w:r>
        <w:r w:rsidR="007F737C">
          <w:rPr>
            <w:rStyle w:val="nfasis"/>
            <w:i w:val="0"/>
          </w:rPr>
          <w:t>”</w:t>
        </w:r>
        <w:r w:rsidRPr="00685CCF">
          <w:rPr>
            <w:rStyle w:val="nfasis"/>
          </w:rPr>
          <w:t>,</w:t>
        </w:r>
      </w:hyperlink>
      <w:r>
        <w:t xml:space="preserve"> </w:t>
      </w:r>
      <w:r w:rsidRPr="00A53A3F">
        <w:t>el avión no tripulado que Defensa decidió cancelar, tras invertir más de 500 millones, porque no obtuvo la licencia de vuelo en su propio país.</w:t>
      </w:r>
      <w:r w:rsidRPr="00685CCF">
        <w:t xml:space="preserve"> </w:t>
      </w:r>
      <w:r>
        <w:fldChar w:fldCharType="begin"/>
      </w:r>
      <w:r>
        <w:instrText xml:space="preserve"> HYPERLINK "http://politica.elpais.com/politica/2013/05/08/actualidad/1368033966_797022.html" </w:instrText>
      </w:r>
      <w:r>
        <w:fldChar w:fldCharType="separate"/>
      </w:r>
    </w:p>
    <w:p w:rsidR="00685CCF" w:rsidRPr="00A53A3F" w:rsidRDefault="00685CCF" w:rsidP="00387350">
      <w:pPr>
        <w:pStyle w:val="NormalWeb"/>
        <w:shd w:val="clear" w:color="auto" w:fill="FFFFFF"/>
        <w:jc w:val="both"/>
      </w:pPr>
      <w:r w:rsidRPr="00685CCF">
        <w:t>En España, nadie se ha dado por aludido ante</w:t>
      </w:r>
      <w:r w:rsidRPr="00685CCF">
        <w:rPr>
          <w:rStyle w:val="Hipervnculo"/>
          <w:color w:val="auto"/>
          <w:u w:val="none"/>
        </w:rPr>
        <w:t xml:space="preserve"> caso del submarino S-80</w:t>
      </w:r>
      <w:r>
        <w:rPr>
          <w:rStyle w:val="Hipervnculo"/>
        </w:rPr>
        <w:fldChar w:fldCharType="end"/>
      </w:r>
      <w:r>
        <w:t xml:space="preserve"> -</w:t>
      </w:r>
      <w:r w:rsidRPr="00A53A3F">
        <w:t xml:space="preserve">el mayor proyecto de la industria militar española, </w:t>
      </w:r>
      <w:r>
        <w:t>presupuestado en 2.135 millones-</w:t>
      </w:r>
      <w:r w:rsidRPr="00A53A3F">
        <w:t>, tras saberse que tiene 75 toneladas de sobrepeso; lo que le impide sumergirse con garantías de volver a emerger.</w:t>
      </w:r>
    </w:p>
    <w:p w:rsidR="00685CCF" w:rsidRPr="00A53A3F" w:rsidRDefault="00685CCF" w:rsidP="00387350">
      <w:pPr>
        <w:pStyle w:val="NormalWeb"/>
        <w:shd w:val="clear" w:color="auto" w:fill="FFFFFF"/>
        <w:jc w:val="both"/>
      </w:pPr>
      <w:r w:rsidRPr="00A53A3F">
        <w:t>Aunque se ha intentado minimizar el fallo, aludiendo a los problemas propios de cualquier prototipo, lo datos que se van conociendo permiten intuir sus dime</w:t>
      </w:r>
      <w:r>
        <w:t>nsiones. La empresa fabricante -el astillero Navantia-</w:t>
      </w:r>
      <w:r w:rsidRPr="00A53A3F">
        <w:t xml:space="preserve"> ha anunciado que la botadura del primero de los cuatro submarinos se retrasa al menos dos años, lo que ha obligado a la Armada a </w:t>
      </w:r>
      <w:r w:rsidRPr="00A53A3F">
        <w:lastRenderedPageBreak/>
        <w:t xml:space="preserve">alargar la vida del Tramontana (S-74), al que estaba </w:t>
      </w:r>
      <w:r>
        <w:t>previsto dar de baja. La obra c</w:t>
      </w:r>
      <w:r w:rsidRPr="00A53A3F">
        <w:t>ostará unos 30 millones.</w:t>
      </w:r>
      <w:r>
        <w:t xml:space="preserve"> </w:t>
      </w:r>
      <w:r w:rsidRPr="00A53A3F">
        <w:t>Además, se ha contratado a la empresa estadounidense Electric Boat para que diga cómo arreglar el desaguisado. Su asesoramiento técnico costará 14 millones y lo pagará la Armada.</w:t>
      </w:r>
    </w:p>
    <w:p w:rsidR="00685CCF" w:rsidRPr="00A53A3F" w:rsidRDefault="00685CCF" w:rsidP="00387350">
      <w:pPr>
        <w:pStyle w:val="NormalWeb"/>
        <w:shd w:val="clear" w:color="auto" w:fill="FFFFFF"/>
        <w:jc w:val="both"/>
      </w:pPr>
      <w:r w:rsidRPr="00A53A3F">
        <w:t>¿Por qué paga la Armada y no la empresa? Fuentes de Defensa alegan que, por razones de urgencia, el estudio se financia</w:t>
      </w:r>
      <w:r>
        <w:t>rá con créditos oficiales de EE</w:t>
      </w:r>
      <w:r w:rsidRPr="00A53A3F">
        <w:t>UU y que, debido a ello, el cliente tenía que ser la Armada, “lo que no presupone que al final no se repercuta a Navantia”.</w:t>
      </w:r>
    </w:p>
    <w:p w:rsidR="00685CCF" w:rsidRPr="00A53A3F" w:rsidRDefault="006D19CB" w:rsidP="00387350">
      <w:pPr>
        <w:shd w:val="clear" w:color="auto" w:fill="FFFFFF"/>
        <w:spacing w:line="240" w:lineRule="auto"/>
        <w:jc w:val="both"/>
        <w:rPr>
          <w:rFonts w:ascii="Times New Roman" w:hAnsi="Times New Roman" w:cs="Times New Roman"/>
          <w:sz w:val="24"/>
          <w:szCs w:val="24"/>
        </w:rPr>
      </w:pPr>
      <w:hyperlink r:id="rId487" w:tooltip="ampliar foto" w:history="1">
        <w:r w:rsidR="00685CCF" w:rsidRPr="00A53A3F">
          <w:rPr>
            <w:rFonts w:ascii="Times New Roman" w:hAnsi="Times New Roman" w:cs="Times New Roman"/>
            <w:noProof/>
            <w:color w:val="CE6030"/>
            <w:sz w:val="24"/>
            <w:szCs w:val="24"/>
            <w:lang w:eastAsia="es-ES"/>
          </w:rPr>
          <w:drawing>
            <wp:inline distT="0" distB="0" distL="0" distR="0" wp14:anchorId="3C15846E" wp14:editId="20863785">
              <wp:extent cx="5332730" cy="3284220"/>
              <wp:effectExtent l="0" t="0" r="1270" b="0"/>
              <wp:docPr id="503" name="Imagen 503" descr="http://ep01.epimg.net/politica/imagenes/2013/06/15/actualidad/1371323200_944201_1371327207_sumario_normal.png">
                <a:hlinkClick xmlns:a="http://schemas.openxmlformats.org/drawingml/2006/main" r:id="rId272" tooltip="&quot;ampliar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p01.epimg.net/politica/imagenes/2013/06/15/actualidad/1371323200_944201_1371327207_sumario_normal.png">
                        <a:hlinkClick r:id="rId272" tooltip="&quot;ampliar foto&quot;"/>
                      </pic:cNvPr>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5332730" cy="3284220"/>
                      </a:xfrm>
                      <a:prstGeom prst="rect">
                        <a:avLst/>
                      </a:prstGeom>
                      <a:noFill/>
                      <a:ln>
                        <a:noFill/>
                      </a:ln>
                    </pic:spPr>
                  </pic:pic>
                </a:graphicData>
              </a:graphic>
            </wp:inline>
          </w:drawing>
        </w:r>
        <w:r w:rsidR="00685CCF" w:rsidRPr="00A53A3F">
          <w:rPr>
            <w:rStyle w:val="ampliarfoto1"/>
            <w:rFonts w:ascii="Times New Roman" w:hAnsi="Times New Roman" w:cs="Times New Roman"/>
            <w:vanish/>
            <w:color w:val="CE6030"/>
            <w:sz w:val="24"/>
            <w:szCs w:val="24"/>
            <w:specVanish w:val="0"/>
          </w:rPr>
          <w:t>ampliar foto</w:t>
        </w:r>
        <w:r w:rsidR="00685CCF" w:rsidRPr="00A53A3F">
          <w:rPr>
            <w:rStyle w:val="Hipervnculo"/>
            <w:rFonts w:ascii="Times New Roman" w:hAnsi="Times New Roman" w:cs="Times New Roman"/>
            <w:sz w:val="24"/>
            <w:szCs w:val="24"/>
          </w:rPr>
          <w:t xml:space="preserve"> </w:t>
        </w:r>
      </w:hyperlink>
    </w:p>
    <w:p w:rsidR="00685CCF" w:rsidRPr="00A53A3F" w:rsidRDefault="00685CCF" w:rsidP="00387350">
      <w:pPr>
        <w:pStyle w:val="figcaption"/>
        <w:shd w:val="clear" w:color="auto" w:fill="FFFFFF"/>
        <w:jc w:val="both"/>
      </w:pPr>
      <w:r w:rsidRPr="00A53A3F">
        <w:t xml:space="preserve">Fuente: Ministerio de Hacienda, Ministerio de Defensa y OTAN. / </w:t>
      </w:r>
      <w:r w:rsidRPr="00A53A3F">
        <w:rPr>
          <w:rStyle w:val="firma6"/>
        </w:rPr>
        <w:t>EL PAÍS</w:t>
      </w:r>
    </w:p>
    <w:p w:rsidR="00685CCF" w:rsidRDefault="00685CCF" w:rsidP="00387350">
      <w:pPr>
        <w:pStyle w:val="NormalWeb"/>
        <w:jc w:val="both"/>
      </w:pPr>
      <w:r w:rsidRPr="00A53A3F">
        <w:t>Es dudoso. Defensa tendrá bastante con pelearse por la parte del león: el coste del arreglo. El primer submarino está ya construido al 70% y del segundo casi la mitad, lo que hace muy cara la corrección. Aunque las conclusiones del estudio técnico se esperan para el verano, en la Armada se baraja ya un sobrecoste de unos 800 millones (más del 35% de incremento).</w:t>
      </w:r>
      <w:r>
        <w:t xml:space="preserve"> </w:t>
      </w:r>
      <w:r w:rsidRPr="00A53A3F">
        <w:t>Navantia es una empresa pública así que, de una manera u otra, el fallo lo acabarán pagando todos los ciudadanos. Lo que diferencia a España de Alemania, entre otras cosas, es que no se ha anunciado ninguna auditoría o investigación, el Parlamento no ha exigido explicaciones, y nadie ha sido destituido ni ha presentado la dimisión</w:t>
      </w:r>
      <w:r>
        <w:t>”..</w:t>
      </w:r>
      <w:r w:rsidRPr="00A53A3F">
        <w:t>.</w:t>
      </w:r>
      <w:r>
        <w:t xml:space="preserve"> </w:t>
      </w:r>
      <w:r w:rsidRPr="00A53A3F">
        <w:rPr>
          <w:u w:val="single"/>
        </w:rPr>
        <w:t>La Armada pa</w:t>
      </w:r>
      <w:r w:rsidR="005C4BD0">
        <w:rPr>
          <w:u w:val="single"/>
        </w:rPr>
        <w:t>ga 14 millones para saber cómo “adelgazar”</w:t>
      </w:r>
      <w:r w:rsidRPr="00A53A3F">
        <w:rPr>
          <w:u w:val="single"/>
        </w:rPr>
        <w:t xml:space="preserve"> el submarino</w:t>
      </w:r>
      <w:r>
        <w:t xml:space="preserve"> (El País - </w:t>
      </w:r>
      <w:r w:rsidRPr="00A53A3F">
        <w:rPr>
          <w:b/>
        </w:rPr>
        <w:t>16/6/13</w:t>
      </w:r>
      <w:r>
        <w:t>)</w:t>
      </w:r>
    </w:p>
    <w:p w:rsidR="008642A9" w:rsidRDefault="008642A9" w:rsidP="00387350">
      <w:pPr>
        <w:pStyle w:val="NormalWeb"/>
        <w:jc w:val="both"/>
      </w:pPr>
      <w:r>
        <w:t>“</w:t>
      </w:r>
      <w:r w:rsidRPr="008642A9">
        <w:t xml:space="preserve">España mantiene </w:t>
      </w:r>
      <w:hyperlink r:id="rId489" w:history="1">
        <w:r>
          <w:rPr>
            <w:rStyle w:val="Textoennegrita"/>
            <w:b w:val="0"/>
          </w:rPr>
          <w:t>400.000 empleados públicos “</w:t>
        </w:r>
        <w:r w:rsidRPr="008642A9">
          <w:rPr>
            <w:rStyle w:val="Textoennegrita"/>
            <w:b w:val="0"/>
          </w:rPr>
          <w:t>fantasma</w:t>
        </w:r>
      </w:hyperlink>
      <w:r>
        <w:rPr>
          <w:b/>
        </w:rPr>
        <w:t>”</w:t>
      </w:r>
      <w:r w:rsidRPr="008642A9">
        <w:t>. El Ministerio de Hacienda tiene un Boletín Estadístico Oficial que recoge el personal al servicio de las Administraciones. Dicho informe cuenta 2,63 millones de asalariados. Sin embargo, si nos fijamos en la Encuesta de Población Activa, el número sube hasta los 3,04 millones. ¿Qué hacen esas 400.000 personas? La mayoría trabaja en</w:t>
      </w:r>
      <w:r w:rsidRPr="008642A9">
        <w:rPr>
          <w:rStyle w:val="Textoennegrita"/>
        </w:rPr>
        <w:t xml:space="preserve"> </w:t>
      </w:r>
      <w:r w:rsidRPr="008642A9">
        <w:rPr>
          <w:rStyle w:val="Textoennegrita"/>
          <w:b w:val="0"/>
        </w:rPr>
        <w:t>entes públicos</w:t>
      </w:r>
      <w:r w:rsidRPr="008642A9">
        <w:rPr>
          <w:rStyle w:val="Textoennegrita"/>
        </w:rPr>
        <w:t>,</w:t>
      </w:r>
      <w:r w:rsidRPr="008642A9">
        <w:t xml:space="preserve"> donde la contratación es enormemente discrecional. De hecho</w:t>
      </w:r>
      <w:r w:rsidRPr="008642A9">
        <w:rPr>
          <w:rStyle w:val="Textoennegrita"/>
        </w:rPr>
        <w:t xml:space="preserve">, </w:t>
      </w:r>
      <w:r w:rsidRPr="008642A9">
        <w:t>apenas el 1,5% de la plantilla de estos organismos</w:t>
      </w:r>
      <w:r w:rsidRPr="008642A9">
        <w:rPr>
          <w:rStyle w:val="Textoennegrita"/>
        </w:rPr>
        <w:t xml:space="preserve"> </w:t>
      </w:r>
      <w:r w:rsidRPr="008642A9">
        <w:t>es funcionario</w:t>
      </w:r>
      <w:r>
        <w:t>”..</w:t>
      </w:r>
      <w:r w:rsidRPr="008642A9">
        <w:t>.</w:t>
      </w:r>
      <w:r>
        <w:t xml:space="preserve"> </w:t>
      </w:r>
      <w:r w:rsidRPr="004A7EC1">
        <w:rPr>
          <w:u w:val="single"/>
        </w:rPr>
        <w:t>España mantiene a más</w:t>
      </w:r>
      <w:r w:rsidR="006D2201">
        <w:rPr>
          <w:u w:val="single"/>
        </w:rPr>
        <w:t xml:space="preserve"> de 400.000 empleados públicos “fantasma”</w:t>
      </w:r>
      <w:r>
        <w:t xml:space="preserve"> (Libertad Digital - </w:t>
      </w:r>
      <w:r w:rsidRPr="004A7EC1">
        <w:rPr>
          <w:b/>
        </w:rPr>
        <w:t>23/6/13</w:t>
      </w:r>
      <w:r>
        <w:t>)</w:t>
      </w:r>
    </w:p>
    <w:p w:rsidR="006D2201" w:rsidRPr="006D2201" w:rsidRDefault="006D2201" w:rsidP="00387350">
      <w:pPr>
        <w:pStyle w:val="NormalWeb"/>
        <w:jc w:val="both"/>
      </w:pPr>
      <w:r>
        <w:lastRenderedPageBreak/>
        <w:t>“</w:t>
      </w:r>
      <w:r w:rsidRPr="006D2201">
        <w:t>La reforma de las Administraciones públicas que echó a andarla semana pasada marca como una de sus prioridades la eliminación de las denominadas embajadas autonómicas, y el trabajo se presenta complicado. No en vano las regiones mantienen abiertas 149 oficinas representativas abiertas en otros países, según el recuento más reciente, elaborado en abril pasado, con el que cuenta el Gobierno.</w:t>
      </w:r>
    </w:p>
    <w:p w:rsidR="006D2201" w:rsidRPr="006D2201" w:rsidRDefault="006D2201" w:rsidP="00387350">
      <w:pPr>
        <w:pStyle w:val="NormalWeb"/>
        <w:jc w:val="both"/>
      </w:pPr>
      <w:r w:rsidRPr="006D2201">
        <w:rPr>
          <w:bCs/>
        </w:rPr>
        <w:t xml:space="preserve">Según esas mismas fuentes, el número ha descendido desde las casi 200 que sumaban en 2009, al inicio de la todavía omnipresente crisis; </w:t>
      </w:r>
      <w:r w:rsidRPr="006D2201">
        <w:t>ahora bien, su total sigue situándose notablemente por encima de las únicamente 118 delegaciones que tienen la responsabilidad de representar al conjunto de España en todo el mundo.</w:t>
      </w:r>
    </w:p>
    <w:p w:rsidR="006D2201" w:rsidRDefault="006D2201" w:rsidP="00387350">
      <w:pPr>
        <w:pStyle w:val="NormalWeb"/>
        <w:jc w:val="both"/>
        <w:rPr>
          <w:color w:val="000000"/>
        </w:rPr>
      </w:pPr>
      <w:r w:rsidRPr="006D2201">
        <w:t>Es más, el otro brazo de la diplomacia española, el que se articula a través de los consulados, generalmente más numerosos que las embajadas, no logra superar en gran medida al gran despliegue internacional autonómico, dado que no pasan de 182</w:t>
      </w:r>
      <w:r>
        <w:t>”..</w:t>
      </w:r>
      <w:r w:rsidRPr="006D2201">
        <w:t>.</w:t>
      </w:r>
      <w:r>
        <w:t xml:space="preserve"> </w:t>
      </w:r>
      <w:r>
        <w:rPr>
          <w:color w:val="000000"/>
          <w:u w:val="single"/>
        </w:rPr>
        <w:t>Las 149 “embajadas”</w:t>
      </w:r>
      <w:r w:rsidRPr="00B643E0">
        <w:rPr>
          <w:color w:val="000000"/>
          <w:u w:val="single"/>
        </w:rPr>
        <w:t xml:space="preserve"> autonómicas compiten contra sólo 118 del Estado</w:t>
      </w:r>
      <w:r>
        <w:rPr>
          <w:color w:val="000000"/>
        </w:rPr>
        <w:t xml:space="preserve"> (El Economista - </w:t>
      </w:r>
      <w:r w:rsidRPr="00B643E0">
        <w:rPr>
          <w:b/>
          <w:color w:val="000000"/>
        </w:rPr>
        <w:t>24/6/13</w:t>
      </w:r>
      <w:r>
        <w:rPr>
          <w:color w:val="000000"/>
        </w:rPr>
        <w:t>)</w:t>
      </w:r>
    </w:p>
    <w:p w:rsidR="006D2201" w:rsidRPr="00A73048" w:rsidRDefault="006D2201" w:rsidP="00387350">
      <w:pPr>
        <w:pStyle w:val="NormalWeb"/>
        <w:shd w:val="clear" w:color="auto" w:fill="FFFFFF"/>
        <w:jc w:val="both"/>
        <w:rPr>
          <w:color w:val="000000"/>
        </w:rPr>
      </w:pPr>
      <w:r>
        <w:rPr>
          <w:color w:val="000000"/>
        </w:rPr>
        <w:t>“</w:t>
      </w:r>
      <w:r w:rsidRPr="00A73048">
        <w:rPr>
          <w:color w:val="000000"/>
        </w:rPr>
        <w:t>España tiene una de las redes viarias más extensas y caras de Europa.</w:t>
      </w:r>
    </w:p>
    <w:p w:rsidR="006D2201" w:rsidRPr="006D2201" w:rsidRDefault="006D2201" w:rsidP="00387350">
      <w:pPr>
        <w:pStyle w:val="NormalWeb"/>
        <w:shd w:val="clear" w:color="auto" w:fill="FFFFFF"/>
        <w:jc w:val="both"/>
        <w:rPr>
          <w:color w:val="000000"/>
        </w:rPr>
      </w:pPr>
      <w:r>
        <w:rPr>
          <w:rFonts w:ascii="Arial" w:hAnsi="Arial" w:cs="Arial"/>
          <w:noProof/>
          <w:color w:val="333333"/>
          <w:sz w:val="23"/>
          <w:szCs w:val="23"/>
        </w:rPr>
        <w:drawing>
          <wp:inline distT="0" distB="0" distL="0" distR="0" wp14:anchorId="580CAEB3" wp14:editId="7996EA82">
            <wp:extent cx="5647334" cy="4140403"/>
            <wp:effectExtent l="0" t="0" r="0" b="0"/>
            <wp:docPr id="138" name="Imagen 138" descr="Gráfico carret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carreteras"/>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663814" cy="4152485"/>
                    </a:xfrm>
                    <a:prstGeom prst="rect">
                      <a:avLst/>
                    </a:prstGeom>
                    <a:noFill/>
                    <a:ln>
                      <a:noFill/>
                    </a:ln>
                  </pic:spPr>
                </pic:pic>
              </a:graphicData>
            </a:graphic>
          </wp:inline>
        </w:drawing>
      </w:r>
      <w:r w:rsidRPr="006D2201">
        <w:rPr>
          <w:color w:val="000000"/>
        </w:rPr>
        <w:t>La Administración Pública derrocha el dinero de todos los españoles en una extensa red viaria que cada vez tiene menos tráfico. Si nos comparamos con países de nuestro entorno geográfico y económico la dilapidación de los recursos públicos es palpable.</w:t>
      </w:r>
    </w:p>
    <w:p w:rsidR="006D2201" w:rsidRPr="006D2201" w:rsidRDefault="006D2201" w:rsidP="00387350">
      <w:pPr>
        <w:pStyle w:val="NormalWeb"/>
        <w:shd w:val="clear" w:color="auto" w:fill="FFFFFF"/>
        <w:jc w:val="both"/>
        <w:rPr>
          <w:color w:val="000000"/>
        </w:rPr>
      </w:pPr>
      <w:r w:rsidRPr="006D2201">
        <w:rPr>
          <w:color w:val="000000"/>
        </w:rPr>
        <w:t xml:space="preserve">España posee una red de carreteras con una extensión total de 165.810 kilómetros. El 9,6% de esta cantidad corresponde a autovías y autopistas, es decir, 14.262 kilómetros. Este porcentaje es menor en todos los países de nuestro entorno. En Francia tienen 11.042 kilómetros de vías de alta capacidad, tan solo un 4,1% del total. Por su parte, </w:t>
      </w:r>
      <w:r w:rsidRPr="006D2201">
        <w:rPr>
          <w:color w:val="000000"/>
        </w:rPr>
        <w:lastRenderedPageBreak/>
        <w:t>Italia posee 6.629 kilómetros de autopistas y autovías (3,6% del total de kilómetros de sus carreteras). En Alemania disponen de una longitud de 12.174 kilómetros en este tipo de vías, lo que representa el 6,3% de su red de carreteras. En el caso de Portugal, existen 2.860 kilómetros de autopistas y autovías (3,6% de su red viaria).</w:t>
      </w:r>
    </w:p>
    <w:p w:rsidR="006D2201" w:rsidRPr="006D2201" w:rsidRDefault="006D2201" w:rsidP="00387350">
      <w:pPr>
        <w:pStyle w:val="NormalWeb"/>
        <w:shd w:val="clear" w:color="auto" w:fill="FFFFFF"/>
        <w:jc w:val="both"/>
        <w:rPr>
          <w:color w:val="000000"/>
        </w:rPr>
      </w:pPr>
      <w:r w:rsidRPr="006D2201">
        <w:rPr>
          <w:color w:val="000000"/>
        </w:rPr>
        <w:t>Si se relaciona el número de habitantes con los kilómetros cuadrados de carreteras disponibles en nuestro país, y comparamos esa cifra con otros países europeos, las diferencias se acentúan aún más. En España hay 90,8 habitantes por kilómetro cuadrado de carreteras, mientras que en Alemania tienen 230 hab/km², en Italia, 201,69 km²; en Portugal, 122,5 hab/km² y en Francia, 97 hab/km².</w:t>
      </w:r>
    </w:p>
    <w:p w:rsidR="006D2201" w:rsidRPr="006D2201" w:rsidRDefault="006D2201" w:rsidP="00387350">
      <w:pPr>
        <w:pStyle w:val="NormalWeb"/>
        <w:shd w:val="clear" w:color="auto" w:fill="FFFFFF"/>
        <w:jc w:val="both"/>
        <w:rPr>
          <w:color w:val="000000"/>
        </w:rPr>
      </w:pPr>
      <w:r w:rsidRPr="006D2201">
        <w:rPr>
          <w:color w:val="000000"/>
        </w:rPr>
        <w:t>Sin embargo, a pesar de poseer una de las redes viarias de alta capacidad más extensas de Europa, España está a la cola en longitud de carreteras de peaje. En total, hay en Europa unos 30.000 kilómetros de autopistas con peaje y apenas el 10% están en España. Nuestro país cuenta actualmente con 2.991 kilómetros de vías que exigen un pago al usuario, lo que representa tan solo un 21% respecto a la extensión total de autovías y autopistas. Además, de media el conductor español que viaja por autopista de peaje paga siete céntimos de euro por kilómetro que recorre. Una cuantía menor si se compara con otros países.</w:t>
      </w:r>
    </w:p>
    <w:p w:rsidR="006D2201" w:rsidRDefault="006D2201" w:rsidP="00387350">
      <w:pPr>
        <w:pStyle w:val="NormalWeb"/>
        <w:shd w:val="clear" w:color="auto" w:fill="FFFFFF"/>
        <w:jc w:val="both"/>
        <w:rPr>
          <w:color w:val="000000"/>
        </w:rPr>
      </w:pPr>
      <w:r w:rsidRPr="006D2201">
        <w:rPr>
          <w:color w:val="000000"/>
        </w:rPr>
        <w:t>Y es que la gran mayoría de países europeos han escogido el peaje como modo de pagar las infraestructuras. En Francia, el 80% de sus autopistas y autovías son de peaje… En el caso de Italia, el 86% de sus autopistas son de peaje y están gestionadas por empresas privadas que se encargan de mantenerlas e invertir en ellas, a cambio de los beneficios que les reportan los peajes, que se abonan por tramos… En Alemania, la circulación por los 12.000 kilómetros de autopistas está libre de peaje para los turismos. Sin embargo, para los vehículos pesados y camiones de más de doce toneladas está implantada la euroviñeta, por la que tienen que pagar una cuota por kilómetro recorrido… Bélgica, Holanda, Luxemburgo, Dinamarca o Suecia también han implantado un sistema común de euroviñeta y algunos de estos países estudian aplicarla también a vehículos ligeros</w:t>
      </w:r>
      <w:r>
        <w:rPr>
          <w:color w:val="000000"/>
        </w:rPr>
        <w:t>”</w:t>
      </w:r>
      <w:r w:rsidRPr="006D2201">
        <w:rPr>
          <w:color w:val="000000"/>
        </w:rPr>
        <w:t>…</w:t>
      </w:r>
      <w:r>
        <w:rPr>
          <w:color w:val="000000"/>
        </w:rPr>
        <w:t xml:space="preserve"> </w:t>
      </w:r>
      <w:r w:rsidRPr="00A73048">
        <w:rPr>
          <w:color w:val="000000"/>
          <w:u w:val="single"/>
        </w:rPr>
        <w:t>Derroche político en las carreteras españolas</w:t>
      </w:r>
      <w:r>
        <w:rPr>
          <w:color w:val="000000"/>
        </w:rPr>
        <w:t xml:space="preserve"> (Negocios.com - </w:t>
      </w:r>
      <w:r w:rsidRPr="001747DE">
        <w:rPr>
          <w:b/>
          <w:color w:val="000000"/>
        </w:rPr>
        <w:t>7/7/13</w:t>
      </w:r>
      <w:r>
        <w:rPr>
          <w:color w:val="000000"/>
        </w:rPr>
        <w:t>)</w:t>
      </w:r>
    </w:p>
    <w:p w:rsidR="004B4EC1" w:rsidRPr="004B4EC1" w:rsidRDefault="004B4EC1" w:rsidP="00387350">
      <w:pPr>
        <w:pStyle w:val="NormalWeb"/>
        <w:jc w:val="both"/>
      </w:pPr>
      <w:r w:rsidRPr="004B4EC1">
        <w:t>“Lo primero para tener una buena industria es tener buenos profesionales. Y ésta es nuestra primera carencia. No porque los que hay no sean competitivos, sino porque no hay suficientes.</w:t>
      </w:r>
    </w:p>
    <w:p w:rsidR="004B4EC1" w:rsidRPr="004B4EC1" w:rsidRDefault="004B4EC1" w:rsidP="00387350">
      <w:pPr>
        <w:numPr>
          <w:ilvl w:val="0"/>
          <w:numId w:val="10"/>
        </w:numPr>
        <w:spacing w:before="100" w:beforeAutospacing="1" w:after="100" w:afterAutospacing="1" w:line="240" w:lineRule="auto"/>
        <w:jc w:val="both"/>
        <w:rPr>
          <w:rFonts w:ascii="Times New Roman" w:hAnsi="Times New Roman" w:cs="Times New Roman"/>
          <w:sz w:val="24"/>
          <w:szCs w:val="24"/>
        </w:rPr>
      </w:pPr>
      <w:r w:rsidRPr="004B4EC1">
        <w:rPr>
          <w:rFonts w:ascii="Times New Roman" w:hAnsi="Times New Roman" w:cs="Times New Roman"/>
          <w:sz w:val="24"/>
          <w:szCs w:val="24"/>
        </w:rPr>
        <w:t>Formación básica: en la UE-27, el 23,2% de la población ocupada tiene la formación básica (el equivalente a la ESO) o menos. Mientras, en España ese porcentaje sube al 42,2%.</w:t>
      </w:r>
    </w:p>
    <w:p w:rsidR="004B4EC1" w:rsidRPr="004B4EC1" w:rsidRDefault="004B4EC1" w:rsidP="00387350">
      <w:pPr>
        <w:numPr>
          <w:ilvl w:val="0"/>
          <w:numId w:val="10"/>
        </w:numPr>
        <w:spacing w:before="100" w:beforeAutospacing="1" w:after="100" w:afterAutospacing="1" w:line="240" w:lineRule="auto"/>
        <w:jc w:val="both"/>
        <w:rPr>
          <w:rFonts w:ascii="Times New Roman" w:hAnsi="Times New Roman" w:cs="Times New Roman"/>
          <w:sz w:val="24"/>
          <w:szCs w:val="24"/>
        </w:rPr>
      </w:pPr>
      <w:r w:rsidRPr="004B4EC1">
        <w:rPr>
          <w:rFonts w:ascii="Times New Roman" w:hAnsi="Times New Roman" w:cs="Times New Roman"/>
          <w:sz w:val="24"/>
          <w:szCs w:val="24"/>
        </w:rPr>
        <w:t>Secundaria: por el contrario, el 48,9% de los ocupados de la UE tiene bachillerato o FP. En nuestro país el porcentaje es menos de la mitad: 23%.</w:t>
      </w:r>
    </w:p>
    <w:p w:rsidR="004B4EC1" w:rsidRPr="004B4EC1" w:rsidRDefault="004B4EC1" w:rsidP="00387350">
      <w:pPr>
        <w:numPr>
          <w:ilvl w:val="0"/>
          <w:numId w:val="10"/>
        </w:numPr>
        <w:spacing w:before="100" w:beforeAutospacing="1" w:after="100" w:afterAutospacing="1" w:line="240" w:lineRule="auto"/>
        <w:jc w:val="both"/>
        <w:rPr>
          <w:rFonts w:ascii="Times New Roman" w:hAnsi="Times New Roman" w:cs="Times New Roman"/>
          <w:sz w:val="24"/>
          <w:szCs w:val="24"/>
        </w:rPr>
      </w:pPr>
      <w:r w:rsidRPr="004B4EC1">
        <w:rPr>
          <w:rFonts w:ascii="Times New Roman" w:hAnsi="Times New Roman" w:cs="Times New Roman"/>
          <w:sz w:val="24"/>
          <w:szCs w:val="24"/>
        </w:rPr>
        <w:t>Terciaria: curiosamente, el porcentaje de universitarios es mayor en España (34,5%) que en el resto de la UE (27,8%).</w:t>
      </w:r>
    </w:p>
    <w:p w:rsidR="004B4EC1" w:rsidRPr="004B4EC1" w:rsidRDefault="004B4EC1" w:rsidP="00387350">
      <w:pPr>
        <w:pStyle w:val="NormalWeb"/>
        <w:jc w:val="both"/>
      </w:pPr>
      <w:r w:rsidRPr="004B4EC1">
        <w:t xml:space="preserve">La foto muestra un país con muchas personas que no tienen la cualificación mínima que normalmente requiere el mercado laboral: </w:t>
      </w:r>
      <w:hyperlink r:id="rId491" w:history="1">
        <w:r w:rsidRPr="004B4EC1">
          <w:rPr>
            <w:rStyle w:val="Hipervnculo"/>
            <w:color w:val="auto"/>
            <w:u w:val="none"/>
          </w:rPr>
          <w:t>educación secundaria superior</w:t>
        </w:r>
      </w:hyperlink>
      <w:r w:rsidRPr="004B4EC1">
        <w:t xml:space="preserve">. Sin embargo, le </w:t>
      </w:r>
      <w:r w:rsidR="00AC567C">
        <w:t>“</w:t>
      </w:r>
      <w:r w:rsidRPr="00AC567C">
        <w:rPr>
          <w:rStyle w:val="nfasis"/>
          <w:i w:val="0"/>
        </w:rPr>
        <w:t>sobran</w:t>
      </w:r>
      <w:r w:rsidR="00AC567C">
        <w:rPr>
          <w:rStyle w:val="nfasis"/>
          <w:i w:val="0"/>
        </w:rPr>
        <w:t>”</w:t>
      </w:r>
      <w:r w:rsidRPr="004B4EC1">
        <w:t xml:space="preserve"> infratitulados o universitarios. Y no sólo eso, en lo que hace referencia a la educación secundaria, sólo el 35% de los alumnos españoles escoge FP (la rama más adecuada para luego trabajar en la industria), mientras que en la UE casi el 60% opta por este camino.</w:t>
      </w:r>
    </w:p>
    <w:p w:rsidR="004B4EC1" w:rsidRPr="004B4EC1" w:rsidRDefault="004B4EC1" w:rsidP="00387350">
      <w:pPr>
        <w:pStyle w:val="NormalWeb"/>
        <w:jc w:val="both"/>
      </w:pPr>
      <w:r w:rsidRPr="004B4EC1">
        <w:lastRenderedPageBreak/>
        <w:t>Esto no está cambiando en los últimos años. En el último informe de la OCDE sobre educación se puede comprobar que entre los españoles de 25 y 34 años, sólo el 65% tiene educación secundaria superior, frente al 82% de media en los países ricos.</w:t>
      </w:r>
    </w:p>
    <w:p w:rsidR="004B4EC1" w:rsidRPr="004B4EC1" w:rsidRDefault="004B4EC1" w:rsidP="00387350">
      <w:pPr>
        <w:pStyle w:val="NormalWeb"/>
        <w:jc w:val="both"/>
      </w:pPr>
      <w:r w:rsidRPr="004B4EC1">
        <w:t>El problema es que las cosas no mejoran especialmente cuando los estudiantes dejan de serlo y pasan a formar parte del mercado laboral. Las empresas españolas, especialmente las del sector industrial, llevan décadas lamentándose de que no existe ningún tipo de relación entre las escuelas y las factorías…</w:t>
      </w:r>
    </w:p>
    <w:p w:rsidR="004B4EC1" w:rsidRPr="004B4EC1" w:rsidRDefault="004B4EC1" w:rsidP="00387350">
      <w:pPr>
        <w:pStyle w:val="NormalWeb"/>
        <w:jc w:val="both"/>
      </w:pPr>
      <w:r w:rsidRPr="004B4EC1">
        <w:t xml:space="preserve">En cualquier caso, los problemas no se acaban ahí. El </w:t>
      </w:r>
      <w:hyperlink r:id="rId492" w:history="1">
        <w:r w:rsidRPr="004B4EC1">
          <w:rPr>
            <w:rStyle w:val="Hipervnculo"/>
            <w:color w:val="auto"/>
            <w:u w:val="none"/>
          </w:rPr>
          <w:t>mercado español de trabajo</w:t>
        </w:r>
      </w:hyperlink>
      <w:r w:rsidRPr="004B4EC1">
        <w:t xml:space="preserve"> tiene sus propias carencias, de las que la alta temporalidad es una de las más preocupantes. La dualidad de la legislación divide en dos a los trabajadores: indefinidos y no indefinidos, tanto si las tareas que se les encomiendan son verdaderamente para empleaos eventuales (reforzar una campaña puntual) como si son para puestos fijos. Cuando llega una crisis, </w:t>
      </w:r>
      <w:hyperlink r:id="rId493" w:history="1">
        <w:r w:rsidRPr="004B4EC1">
          <w:rPr>
            <w:rStyle w:val="Hipervnculo"/>
            <w:color w:val="auto"/>
            <w:u w:val="none"/>
          </w:rPr>
          <w:t>son los temporales</w:t>
        </w:r>
      </w:hyperlink>
      <w:r w:rsidRPr="004B4EC1">
        <w:t xml:space="preserve"> los que sufren las consecuencias. De hecho, desde 2007, el número de empleos de estas características </w:t>
      </w:r>
      <w:hyperlink r:id="rId494" w:history="1">
        <w:r w:rsidRPr="004B4EC1">
          <w:rPr>
            <w:rStyle w:val="Hipervnculo"/>
            <w:color w:val="auto"/>
            <w:u w:val="none"/>
          </w:rPr>
          <w:t>ha caído en casi dos millones</w:t>
        </w:r>
      </w:hyperlink>
      <w:r w:rsidRPr="004B4EC1">
        <w:t>, mientras que el número de indefinidos casi permanece constante…</w:t>
      </w:r>
    </w:p>
    <w:p w:rsidR="004B4EC1" w:rsidRPr="004B4EC1" w:rsidRDefault="004B4EC1" w:rsidP="00387350">
      <w:pPr>
        <w:pStyle w:val="NormalWeb"/>
        <w:jc w:val="both"/>
      </w:pPr>
      <w:r w:rsidRPr="004B4EC1">
        <w:t xml:space="preserve">Esto tiene unas implicaciones importantísimas para todos los sectores, pero especialmente para la industria. Para la productividad de un trabajador, mantener su empleo, tener formación en la empresa y dominar su puesto de trabajo es fundamental. Tomando una terminología en desuso, podríamos decir que lo lógico es que el empleado se esfuerce por pasar de </w:t>
      </w:r>
      <w:r w:rsidR="007F737C">
        <w:t>“</w:t>
      </w:r>
      <w:r w:rsidRPr="007F737C">
        <w:rPr>
          <w:rStyle w:val="nfasis"/>
          <w:i w:val="0"/>
        </w:rPr>
        <w:t>aprendiz a oficial y luego a maestro</w:t>
      </w:r>
      <w:r w:rsidR="007F737C">
        <w:rPr>
          <w:rStyle w:val="nfasis"/>
          <w:i w:val="0"/>
        </w:rPr>
        <w:t>”</w:t>
      </w:r>
      <w:r w:rsidRPr="004B4EC1">
        <w:t>. Y lo normal es que la empresa lo fomente. Pero la estructura dual del mercado laboral se carga esta evolución y eso tiene consecuencias.</w:t>
      </w:r>
    </w:p>
    <w:p w:rsidR="004B4EC1" w:rsidRPr="004B4EC1" w:rsidRDefault="004B4EC1" w:rsidP="00387350">
      <w:pPr>
        <w:pStyle w:val="NormalWeb"/>
        <w:jc w:val="both"/>
      </w:pPr>
      <w:r w:rsidRPr="004B4EC1">
        <w:t>Así pues, los problemas del sector industrial, buena parte de ellos derivados de los perversos sistemas educativo y laboral de España, queda</w:t>
      </w:r>
      <w:r w:rsidR="002E6E34">
        <w:t>n</w:t>
      </w:r>
      <w:r w:rsidRPr="004B4EC1">
        <w:t xml:space="preserve"> reflejado</w:t>
      </w:r>
      <w:r w:rsidR="002E6E34">
        <w:t>s</w:t>
      </w:r>
      <w:r w:rsidR="00A408F3">
        <w:t xml:space="preserve"> en</w:t>
      </w:r>
      <w:r w:rsidRPr="004B4EC1">
        <w:t xml:space="preserve"> las estadísticas. España ocupa los últimos puestos en diferentes ranking</w:t>
      </w:r>
      <w:r w:rsidR="00A408F3">
        <w:t>s</w:t>
      </w:r>
      <w:r w:rsidRPr="004B4EC1">
        <w:t xml:space="preserve"> de </w:t>
      </w:r>
      <w:r w:rsidRPr="004B4EC1">
        <w:rPr>
          <w:rStyle w:val="Textoennegrita"/>
          <w:b w:val="0"/>
        </w:rPr>
        <w:t>competitividad, innovación y tecnología</w:t>
      </w:r>
      <w:r w:rsidRPr="004B4EC1">
        <w:rPr>
          <w:b/>
        </w:rPr>
        <w:t xml:space="preserve"> </w:t>
      </w:r>
      <w:r w:rsidRPr="004B4EC1">
        <w:t xml:space="preserve">(según datos de 2009). Tanto que, según las tablas que maneja la Oficina de Estadística de la UE, </w:t>
      </w:r>
      <w:hyperlink r:id="rId495" w:history="1">
        <w:r w:rsidRPr="004B4EC1">
          <w:rPr>
            <w:rStyle w:val="Hipervnculo"/>
            <w:color w:val="auto"/>
            <w:u w:val="none"/>
          </w:rPr>
          <w:t>Eurostat</w:t>
        </w:r>
      </w:hyperlink>
      <w:r w:rsidRPr="004B4EC1">
        <w:t xml:space="preserve">, España ocupa el puesto número 22 de los 27 países de la UE en </w:t>
      </w:r>
      <w:r w:rsidRPr="004B4EC1">
        <w:rPr>
          <w:rStyle w:val="Textoennegrita"/>
          <w:b w:val="0"/>
        </w:rPr>
        <w:t>participación del sector industrial</w:t>
      </w:r>
      <w:r w:rsidRPr="004B4EC1">
        <w:t xml:space="preserve"> (manufactura, extracción, energía y agua) en el valor añadido del país con el 15,4%.</w:t>
      </w:r>
    </w:p>
    <w:p w:rsidR="004B4EC1" w:rsidRPr="004B4EC1" w:rsidRDefault="004B4EC1" w:rsidP="00387350">
      <w:pPr>
        <w:pStyle w:val="NormalWeb"/>
        <w:jc w:val="both"/>
      </w:pPr>
      <w:r w:rsidRPr="004B4EC1">
        <w:t xml:space="preserve">Esta posición nos coloca </w:t>
      </w:r>
      <w:r w:rsidRPr="004B4EC1">
        <w:rPr>
          <w:rStyle w:val="Textoennegrita"/>
          <w:b w:val="0"/>
        </w:rPr>
        <w:t>lejos de la media de la UE-27</w:t>
      </w:r>
      <w:r w:rsidRPr="004B4EC1">
        <w:t xml:space="preserve"> (18,1%) y muy lejos de los primeros puestos que ocupan países como República Checa con el 29,3% o Irlanda, con el 26%. Alemania ocupa el octavo lugar con una contribución del sector industrial al valor añadido del país germano del 22,4%. En este caso, Reino Unido y Francia reciben peores calificaciones que España.</w:t>
      </w:r>
    </w:p>
    <w:p w:rsidR="004B4EC1" w:rsidRPr="004B4EC1" w:rsidRDefault="004B4EC1" w:rsidP="00387350">
      <w:pPr>
        <w:pStyle w:val="NormalWeb"/>
        <w:jc w:val="both"/>
      </w:pPr>
      <w:r w:rsidRPr="004B4EC1">
        <w:t xml:space="preserve">Uno de los indicadores más significativos del nivel de industrialización y posicionamiento en desarrollo tecnológico y de innovación es el que se refiere al </w:t>
      </w:r>
      <w:r w:rsidRPr="004B4EC1">
        <w:rPr>
          <w:rStyle w:val="Textoennegrita"/>
          <w:b w:val="0"/>
        </w:rPr>
        <w:t>número de patentes concedidas</w:t>
      </w:r>
      <w:r w:rsidRPr="004B4EC1">
        <w:t>. Este indicador no habla solo de grandes genios o académicos brillantes que después de muchas horas de estudio e investigación y gracias a la mejor tecnología punta logran concebir una innovación tecnológica que patentar. En la mayoría de las ocasiones estas patentes surgen en las cadenas de montaje, donde los profesionales industriales conciben mecanismos, herramientas o métodos de desarrollar mejor, más rápidamente y de forma más segura su trabajo diario.</w:t>
      </w:r>
    </w:p>
    <w:p w:rsidR="004B4EC1" w:rsidRPr="004B4EC1" w:rsidRDefault="004B4EC1" w:rsidP="00387350">
      <w:pPr>
        <w:pStyle w:val="NormalWeb"/>
        <w:jc w:val="both"/>
      </w:pPr>
      <w:r w:rsidRPr="004B4EC1">
        <w:lastRenderedPageBreak/>
        <w:t xml:space="preserve">Según datos de la OCDE, España ocupa </w:t>
      </w:r>
      <w:r w:rsidRPr="004B4EC1">
        <w:rPr>
          <w:rStyle w:val="Textoennegrita"/>
          <w:b w:val="0"/>
        </w:rPr>
        <w:t>los últimos puestos en el ranking de patentes triádicas</w:t>
      </w:r>
      <w:r w:rsidRPr="004B4EC1">
        <w:rPr>
          <w:rStyle w:val="Textoennegrita"/>
        </w:rPr>
        <w:t xml:space="preserve"> </w:t>
      </w:r>
      <w:r w:rsidRPr="004B4EC1">
        <w:t>concedidas en porcentaje sobre el total mundial. Las patentes triádicas, definidas así por la OCDE, son las que se conceden con efectos conjun</w:t>
      </w:r>
      <w:r w:rsidR="00A408F3">
        <w:t>tos en la Oficina Europea de Pa</w:t>
      </w:r>
      <w:r w:rsidRPr="004B4EC1">
        <w:t>tentes, la Oficina estadounidense de Patentes y Mar</w:t>
      </w:r>
      <w:r w:rsidR="00A408F3">
        <w:t>cas y la Oficina Japonesa de Pa</w:t>
      </w:r>
      <w:r w:rsidRPr="004B4EC1">
        <w:t>tentes. Son las consideradas de mayor valor comercial. Así, España representaba en 2009 un 0,5% de las patentes sobre el total mundial, frente a la número uno del ranking, Alemania, con el 12% de las patentes, seguida de Francia, Corea y Reino Unido.</w:t>
      </w:r>
    </w:p>
    <w:p w:rsidR="004B4EC1" w:rsidRPr="004B4EC1" w:rsidRDefault="004B4EC1" w:rsidP="00387350">
      <w:pPr>
        <w:pStyle w:val="NormalWeb"/>
        <w:jc w:val="both"/>
      </w:pPr>
      <w:r w:rsidRPr="004B4EC1">
        <w:t>También estamos a la cola si la estadística es el número de patentes triádicas por millón de habitantes. En el mismo año, 2009, España presenta 5,1 patentes por cada millón de habitantes frente a Suiza con 112,5, Japón con 101,9 y Alemania con 68,2.</w:t>
      </w:r>
    </w:p>
    <w:p w:rsidR="004B4EC1" w:rsidRPr="004B4EC1" w:rsidRDefault="004B4EC1" w:rsidP="00387350">
      <w:pPr>
        <w:pStyle w:val="NormalWeb"/>
        <w:jc w:val="both"/>
      </w:pPr>
      <w:r w:rsidRPr="004B4EC1">
        <w:rPr>
          <w:noProof/>
        </w:rPr>
        <w:drawing>
          <wp:inline distT="0" distB="0" distL="0" distR="0" wp14:anchorId="2DAF6321" wp14:editId="3C7AC407">
            <wp:extent cx="5354726" cy="1828800"/>
            <wp:effectExtent l="0" t="0" r="0" b="0"/>
            <wp:docPr id="149" name="Imagen 7" descr="http://s.libertaddigital.com/fotos/noticias/patentes-triadic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ertaddigital.com/fotos/noticias/patentes-triadicas-1.jpg"/>
                    <pic:cNvPicPr>
                      <a:picLocks noChangeAspect="1" noChangeArrowheads="1"/>
                    </pic:cNvPicPr>
                  </pic:nvPicPr>
                  <pic:blipFill>
                    <a:blip r:embed="rId496" cstate="print"/>
                    <a:srcRect/>
                    <a:stretch>
                      <a:fillRect/>
                    </a:stretch>
                  </pic:blipFill>
                  <pic:spPr bwMode="auto">
                    <a:xfrm>
                      <a:off x="0" y="0"/>
                      <a:ext cx="5359856" cy="1830552"/>
                    </a:xfrm>
                    <a:prstGeom prst="rect">
                      <a:avLst/>
                    </a:prstGeom>
                    <a:noFill/>
                    <a:ln w="9525">
                      <a:noFill/>
                      <a:miter lim="800000"/>
                      <a:headEnd/>
                      <a:tailEnd/>
                    </a:ln>
                  </pic:spPr>
                </pic:pic>
              </a:graphicData>
            </a:graphic>
          </wp:inline>
        </w:drawing>
      </w:r>
    </w:p>
    <w:p w:rsidR="004B4EC1" w:rsidRPr="004B4EC1" w:rsidRDefault="004B4EC1" w:rsidP="00387350">
      <w:pPr>
        <w:pStyle w:val="NormalWeb"/>
        <w:jc w:val="both"/>
      </w:pPr>
      <w:r w:rsidRPr="004B4EC1">
        <w:t xml:space="preserve">Pero si hay una estadística en la que España aparece </w:t>
      </w:r>
      <w:r w:rsidRPr="004B4EC1">
        <w:rPr>
          <w:rStyle w:val="Textoennegrita"/>
          <w:b w:val="0"/>
        </w:rPr>
        <w:t>en último lugar es la de artículos científicos</w:t>
      </w:r>
      <w:r w:rsidRPr="004B4EC1">
        <w:rPr>
          <w:rStyle w:val="Textoennegrita"/>
        </w:rPr>
        <w:t xml:space="preserve"> </w:t>
      </w:r>
      <w:r w:rsidRPr="004B4EC1">
        <w:t>por millón de habitantes en los países del mundo más productores. En 2010, España sólo presentaba 1.446 artículos científicos por millón de habitantes, frente a los 4.005 de Suiza o los 2.954 de Dinamarca, que encabezan el ranking.</w:t>
      </w:r>
    </w:p>
    <w:p w:rsidR="004B4EC1" w:rsidRPr="004B4EC1" w:rsidRDefault="004B4EC1" w:rsidP="00387350">
      <w:pPr>
        <w:pStyle w:val="NormalWeb"/>
        <w:jc w:val="both"/>
      </w:pPr>
      <w:r w:rsidRPr="004B4EC1">
        <w:t xml:space="preserve">Ante esta situación, la inversión en Innovación y Desarrollo tampoco destaca en nuestro país. Según los datos que maneja Eurostat, España es </w:t>
      </w:r>
      <w:r w:rsidRPr="004B4EC1">
        <w:rPr>
          <w:rStyle w:val="Textoennegrita"/>
          <w:b w:val="0"/>
        </w:rPr>
        <w:t>de los países que menos invierte en I+D</w:t>
      </w:r>
      <w:r w:rsidRPr="004B4EC1">
        <w:rPr>
          <w:rStyle w:val="Textoennegrita"/>
        </w:rPr>
        <w:t xml:space="preserve"> </w:t>
      </w:r>
      <w:r w:rsidRPr="004B4EC1">
        <w:t>de los principales países de la UE-27. En 2010, mientras nuestro país estaba a la cola en esta estadística, EEUU encabezaba el ranking, seguido por la media de los países de la UE-27, Japón, China, Alemania, Francia, Rein</w:t>
      </w:r>
      <w:r>
        <w:t xml:space="preserve">o Unido, Corea del sur e Italia”… </w:t>
      </w:r>
      <w:r w:rsidRPr="00DA1E64">
        <w:rPr>
          <w:u w:val="single"/>
        </w:rPr>
        <w:t>La industria española, a la cola en formación, competitividad, innovación y empleo</w:t>
      </w:r>
      <w:r>
        <w:t xml:space="preserve"> (Libertad Digital - </w:t>
      </w:r>
      <w:r w:rsidRPr="00DA1E64">
        <w:rPr>
          <w:b/>
        </w:rPr>
        <w:t>18/7/13</w:t>
      </w:r>
      <w:r>
        <w:t>)</w:t>
      </w:r>
    </w:p>
    <w:p w:rsidR="004B4EC1" w:rsidRDefault="004B4EC1" w:rsidP="00387350">
      <w:pPr>
        <w:pStyle w:val="NormalWeb"/>
        <w:jc w:val="both"/>
      </w:pPr>
      <w:r>
        <w:rPr>
          <w:noProof/>
        </w:rPr>
        <w:drawing>
          <wp:inline distT="0" distB="0" distL="0" distR="0" wp14:anchorId="4CBF0E9E" wp14:editId="58A0A794">
            <wp:extent cx="5572201" cy="2099463"/>
            <wp:effectExtent l="0" t="0" r="0" b="0"/>
            <wp:docPr id="150" name="Imagen 8" descr="http://s.libertaddigital.com/fotos/noticias/gasto-en-imas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ibertaddigital.com/fotos/noticias/gasto-en-imasd-1.jpg"/>
                    <pic:cNvPicPr>
                      <a:picLocks noChangeAspect="1" noChangeArrowheads="1"/>
                    </pic:cNvPicPr>
                  </pic:nvPicPr>
                  <pic:blipFill>
                    <a:blip r:embed="rId497" cstate="print"/>
                    <a:srcRect/>
                    <a:stretch>
                      <a:fillRect/>
                    </a:stretch>
                  </pic:blipFill>
                  <pic:spPr bwMode="auto">
                    <a:xfrm>
                      <a:off x="0" y="0"/>
                      <a:ext cx="5571738" cy="2099289"/>
                    </a:xfrm>
                    <a:prstGeom prst="rect">
                      <a:avLst/>
                    </a:prstGeom>
                    <a:noFill/>
                    <a:ln w="9525">
                      <a:noFill/>
                      <a:miter lim="800000"/>
                      <a:headEnd/>
                      <a:tailEnd/>
                    </a:ln>
                  </pic:spPr>
                </pic:pic>
              </a:graphicData>
            </a:graphic>
          </wp:inline>
        </w:drawing>
      </w:r>
    </w:p>
    <w:p w:rsidR="004B4EC1" w:rsidRPr="004B4EC1" w:rsidRDefault="004B4EC1" w:rsidP="00387350">
      <w:pPr>
        <w:pStyle w:val="NormalWeb"/>
        <w:jc w:val="both"/>
      </w:pPr>
      <w:r w:rsidRPr="004B4EC1">
        <w:lastRenderedPageBreak/>
        <w:t xml:space="preserve">“Lejos de protagonizar un firme ejercicio de austeridad, el </w:t>
      </w:r>
      <w:r w:rsidRPr="004B4EC1">
        <w:rPr>
          <w:rStyle w:val="Textoennegrita"/>
          <w:b w:val="0"/>
        </w:rPr>
        <w:t>gasto autonómico ha crecido</w:t>
      </w:r>
      <w:r w:rsidRPr="004B4EC1">
        <w:rPr>
          <w:rStyle w:val="Textoennegrita"/>
        </w:rPr>
        <w:t xml:space="preserve"> </w:t>
      </w:r>
      <w:r w:rsidRPr="004B4EC1">
        <w:t xml:space="preserve">de forma muy sustancial durante la crisis. En concreto, las CCAA gastaron un total de 186.474 millones de euros en 2012, casi </w:t>
      </w:r>
      <w:r w:rsidRPr="004B4EC1">
        <w:rPr>
          <w:rStyle w:val="Textoennegrita"/>
          <w:b w:val="0"/>
        </w:rPr>
        <w:t>30.000 millones más que en 2007</w:t>
      </w:r>
      <w:r w:rsidRPr="004B4EC1">
        <w:rPr>
          <w:rStyle w:val="Textoennegrita"/>
        </w:rPr>
        <w:t>,</w:t>
      </w:r>
      <w:r w:rsidRPr="004B4EC1">
        <w:t xml:space="preserve"> en pleno auge de la burbuja. Así pues, su gasto público, lejos de retroceder, se ha disparado un 20% durante los años de crisis.</w:t>
      </w:r>
    </w:p>
    <w:p w:rsidR="004B4EC1" w:rsidRPr="004B4EC1" w:rsidRDefault="004B4EC1" w:rsidP="00387350">
      <w:pPr>
        <w:pStyle w:val="NormalWeb"/>
        <w:jc w:val="both"/>
      </w:pPr>
      <w:r w:rsidRPr="004B4EC1">
        <w:t>Algo similar sucede con los</w:t>
      </w:r>
      <w:r w:rsidRPr="004B4EC1">
        <w:rPr>
          <w:rStyle w:val="Textoennegrita"/>
        </w:rPr>
        <w:t xml:space="preserve"> </w:t>
      </w:r>
      <w:r w:rsidRPr="004B4EC1">
        <w:rPr>
          <w:rStyle w:val="Textoennegrita"/>
          <w:b w:val="0"/>
        </w:rPr>
        <w:t>ingresos</w:t>
      </w:r>
      <w:r w:rsidRPr="004B4EC1">
        <w:t>, ya que han pasado de los 154.322 millones de euros en 2007 a los 168.038 millones recaudados en 2012,</w:t>
      </w:r>
      <w:r w:rsidRPr="004B4EC1">
        <w:rPr>
          <w:rStyle w:val="Textoennegrita"/>
        </w:rPr>
        <w:t xml:space="preserve"> </w:t>
      </w:r>
      <w:r w:rsidRPr="003232B9">
        <w:rPr>
          <w:rStyle w:val="Textoennegrita"/>
          <w:b w:val="0"/>
        </w:rPr>
        <w:t>creciendo casi un 9%</w:t>
      </w:r>
      <w:r w:rsidRPr="004B4EC1">
        <w:rPr>
          <w:rStyle w:val="Textoennegrita"/>
        </w:rPr>
        <w:t xml:space="preserve"> </w:t>
      </w:r>
      <w:r w:rsidRPr="004B4EC1">
        <w:t>durante la crisis (13.716 millones extra), según la contabilidad oficial remitida a Bruselas, en base al Protocolo de Déficit Excesivo (PDE). En este sentido, hay que tener en cuenta que la reforma de la financiación autonómica, en vigor desde 2009, otorgó un mayor volumen de recursos a las CCAA, aminorando así el desplome de la recaudación fiscal que ha provocado el estallido de la burbuja crediticia.</w:t>
      </w:r>
    </w:p>
    <w:p w:rsidR="003232B9" w:rsidRDefault="004B4EC1" w:rsidP="00387350">
      <w:pPr>
        <w:pStyle w:val="NormalWeb"/>
        <w:jc w:val="both"/>
      </w:pPr>
      <w:r w:rsidRPr="004B4EC1">
        <w:t xml:space="preserve">Como consecuencia del sustancial aumento del gasto y el menor crecimiento de los ingresos, las regiones siguen presentando un </w:t>
      </w:r>
      <w:r w:rsidRPr="003232B9">
        <w:rPr>
          <w:rStyle w:val="Textoennegrita"/>
          <w:b w:val="0"/>
        </w:rPr>
        <w:t>abultado déficit público</w:t>
      </w:r>
      <w:r w:rsidRPr="004B4EC1">
        <w:t xml:space="preserve"> en comparación con los años previos a la crisis. En 2007, el desajuste fiscal apenas superaba los 2.000 millones frente a los más de 18.000 sufrido en 2012, equivalente al</w:t>
      </w:r>
      <w:r w:rsidRPr="004B4EC1">
        <w:rPr>
          <w:rStyle w:val="Textoennegrita"/>
        </w:rPr>
        <w:t xml:space="preserve"> </w:t>
      </w:r>
      <w:r w:rsidRPr="003232B9">
        <w:rPr>
          <w:rStyle w:val="Textoennegrita"/>
          <w:b w:val="0"/>
        </w:rPr>
        <w:t>1,76% del PIB</w:t>
      </w:r>
      <w:r w:rsidRPr="004B4EC1">
        <w:t>, superando así el objetivo del 1,5% marcado por Bruselas. El déficit autonómico de 2012 multiplica por ocho el registrado en 2007</w:t>
      </w:r>
      <w:r w:rsidR="003232B9">
        <w:t>”..</w:t>
      </w:r>
      <w:r w:rsidRPr="004B4EC1">
        <w:t>.</w:t>
      </w:r>
      <w:r w:rsidR="003232B9">
        <w:t xml:space="preserve"> </w:t>
      </w:r>
      <w:r w:rsidR="003232B9" w:rsidRPr="008040A0">
        <w:rPr>
          <w:u w:val="single"/>
        </w:rPr>
        <w:t>El gasto de las CCAA se dispara un 20% en plena crisis</w:t>
      </w:r>
      <w:r w:rsidR="003232B9">
        <w:t xml:space="preserve"> (Libertad Digital - </w:t>
      </w:r>
      <w:r w:rsidR="003232B9" w:rsidRPr="008040A0">
        <w:rPr>
          <w:b/>
        </w:rPr>
        <w:t>22/8/13</w:t>
      </w:r>
      <w:r w:rsidR="003232B9">
        <w:t>)</w:t>
      </w:r>
    </w:p>
    <w:p w:rsidR="003232B9" w:rsidRPr="003232B9" w:rsidRDefault="003232B9" w:rsidP="00387350">
      <w:pPr>
        <w:pStyle w:val="NormalWeb"/>
        <w:jc w:val="both"/>
      </w:pPr>
      <w:r>
        <w:t>“</w:t>
      </w:r>
      <w:r w:rsidRPr="003232B9">
        <w:t xml:space="preserve">De hecho, a pesar de las recurrentes críticas y protestas en contra de los </w:t>
      </w:r>
      <w:r>
        <w:rPr>
          <w:rStyle w:val="Textoennegrita"/>
          <w:b w:val="0"/>
        </w:rPr>
        <w:t>“recortes sociales”</w:t>
      </w:r>
      <w:r w:rsidRPr="003232B9">
        <w:t xml:space="preserve">, éstos brillan por su ausencia. El gasto autonómico no sólo ha crecido como consecuencia de los mayores costes financieros (intereses de la deuda) derivados del déficit sino también por el </w:t>
      </w:r>
      <w:r>
        <w:rPr>
          <w:rStyle w:val="Textoennegrita"/>
          <w:b w:val="0"/>
        </w:rPr>
        <w:t>incremento del denominado “gasto social”</w:t>
      </w:r>
      <w:r w:rsidRPr="003232B9">
        <w:t>. A diferencia de lo que se suele aducir, los gobiernos regionales han elevado las partidas destinadas a los servicios públicos esenciales a pesar de la crisis.</w:t>
      </w:r>
    </w:p>
    <w:p w:rsidR="003232B9" w:rsidRPr="003232B9" w:rsidRDefault="003232B9" w:rsidP="00387350">
      <w:pPr>
        <w:pStyle w:val="NormalWeb"/>
        <w:jc w:val="both"/>
      </w:pPr>
      <w:r w:rsidRPr="003232B9">
        <w:t xml:space="preserve">En este sentido, cabe recordar que las </w:t>
      </w:r>
      <w:r>
        <w:t>CCAA desarrollan el grueso del “gasto social”</w:t>
      </w:r>
      <w:r w:rsidRPr="003232B9">
        <w:t xml:space="preserve"> en España, a excepción de las pensiones y las prestaciones por desempleo, ya que tienen transferidas las competencias en materia de Sanidad, Educación y Justicia, además de destinar algunos recursos a Seguridad Ciudadana e Instituciones Penitenciarias.</w:t>
      </w:r>
    </w:p>
    <w:p w:rsidR="003232B9" w:rsidRDefault="003232B9" w:rsidP="00387350">
      <w:pPr>
        <w:pStyle w:val="NormalWeb"/>
        <w:jc w:val="both"/>
      </w:pPr>
      <w:r w:rsidRPr="003232B9">
        <w:t>Por un lado, el análisis de los Presupuestos regionales muestra que el dinero destinado al denominado</w:t>
      </w:r>
      <w:r w:rsidRPr="003232B9">
        <w:rPr>
          <w:rStyle w:val="Textoennegrita"/>
        </w:rPr>
        <w:t xml:space="preserve"> </w:t>
      </w:r>
      <w:r>
        <w:rPr>
          <w:rStyle w:val="Textoennegrita"/>
          <w:b w:val="0"/>
        </w:rPr>
        <w:t>“gasto social”</w:t>
      </w:r>
      <w:r w:rsidRPr="003232B9">
        <w:rPr>
          <w:rStyle w:val="Textoennegrita"/>
          <w:b w:val="0"/>
        </w:rPr>
        <w:t xml:space="preserve"> ha aumentado un 7%</w:t>
      </w:r>
      <w:r w:rsidRPr="003232B9">
        <w:t xml:space="preserve"> desde que estalló la crisis, al pasar de 111.718 millones de euros en 2007 a </w:t>
      </w:r>
      <w:r w:rsidRPr="003232B9">
        <w:rPr>
          <w:rStyle w:val="Textoennegrita"/>
          <w:b w:val="0"/>
        </w:rPr>
        <w:t>119.528 millones en 2012</w:t>
      </w:r>
      <w:r w:rsidRPr="003232B9">
        <w:t xml:space="preserve"> (último ejercicio fiscal consolidado). Es decir, ha crecido en algo más de</w:t>
      </w:r>
      <w:r w:rsidRPr="003232B9">
        <w:rPr>
          <w:rStyle w:val="Textoennegrita"/>
        </w:rPr>
        <w:t xml:space="preserve"> </w:t>
      </w:r>
      <w:r w:rsidRPr="003232B9">
        <w:rPr>
          <w:rStyle w:val="Textoennegrita"/>
          <w:b w:val="0"/>
        </w:rPr>
        <w:t>7.800 millones</w:t>
      </w:r>
      <w:r w:rsidRPr="003232B9">
        <w:t xml:space="preserve"> de euros en plena crisis</w:t>
      </w:r>
      <w:r>
        <w:t>”..</w:t>
      </w:r>
      <w:r w:rsidRPr="003232B9">
        <w:t>.</w:t>
      </w:r>
      <w:r>
        <w:t xml:space="preserve"> </w:t>
      </w:r>
      <w:r w:rsidRPr="003232B9">
        <w:rPr>
          <w:u w:val="single"/>
        </w:rPr>
        <w:t>El mito de los recortes, al descubierto</w:t>
      </w:r>
      <w:r w:rsidRPr="008040A0">
        <w:t xml:space="preserve"> - </w:t>
      </w:r>
      <w:r w:rsidRPr="008040A0">
        <w:rPr>
          <w:u w:val="single"/>
        </w:rPr>
        <w:t>Las autonomías aumentan el gasto en Sanidad y Educación durante la crisis</w:t>
      </w:r>
      <w:r w:rsidRPr="008040A0">
        <w:t xml:space="preserve"> (Libertad Digital - </w:t>
      </w:r>
      <w:r w:rsidRPr="008040A0">
        <w:rPr>
          <w:b/>
        </w:rPr>
        <w:t>23/8/13</w:t>
      </w:r>
      <w:r w:rsidRPr="008040A0">
        <w:t>)</w:t>
      </w:r>
    </w:p>
    <w:p w:rsidR="003232B9" w:rsidRPr="003232B9" w:rsidRDefault="003232B9" w:rsidP="00387350">
      <w:pPr>
        <w:pStyle w:val="NormalWeb"/>
        <w:jc w:val="both"/>
      </w:pPr>
      <w:r>
        <w:t>“</w:t>
      </w:r>
      <w:r w:rsidR="00FA6AA2">
        <w:t xml:space="preserve">Las CCAA aún cuentan con 2.114 entes públicos de todo tipo. Algunos se crearon para organizar eventos que se celebraron hace años, y aún perviven. </w:t>
      </w:r>
      <w:r w:rsidRPr="003232B9">
        <w:t xml:space="preserve">De los </w:t>
      </w:r>
      <w:hyperlink r:id="rId498" w:tgtFrame="_blank" w:history="1">
        <w:r w:rsidRPr="003232B9">
          <w:rPr>
            <w:rStyle w:val="Hipervnculo"/>
            <w:color w:val="auto"/>
            <w:u w:val="none"/>
          </w:rPr>
          <w:t>2.114 entes públicos</w:t>
        </w:r>
      </w:hyperlink>
      <w:r w:rsidRPr="003232B9">
        <w:t xml:space="preserve"> que aún poseen las comunidades autónomas (CCAA), existe un amplio elenco de ejemplos que llaman la atención en cuanto al uso de dinero público. Más allá de las polémicas </w:t>
      </w:r>
      <w:r w:rsidRPr="003232B9">
        <w:rPr>
          <w:rStyle w:val="Textoennegrita"/>
          <w:b w:val="0"/>
        </w:rPr>
        <w:t>duplicidades administrativas</w:t>
      </w:r>
      <w:r w:rsidRPr="003232B9">
        <w:t xml:space="preserve">, por las que las autonomías replican ciertas funciones que ya desempeña el Estado a nivel nacional (defensores del Pueblo, institutos estadísticos y cartográficos, agencias meteorológicas, embajadas en el exterior, organismos reguladores o radiotelevisiones públicas, entre otras), las regiones </w:t>
      </w:r>
      <w:r w:rsidRPr="003232B9">
        <w:lastRenderedPageBreak/>
        <w:t>siguen manteniendo empresas y organismos públicos cuyo objeto social poco o nada tiene que ver con el desarrollo de servicios básicos.</w:t>
      </w:r>
    </w:p>
    <w:p w:rsidR="003232B9" w:rsidRPr="003232B9" w:rsidRDefault="003232B9" w:rsidP="00387350">
      <w:pPr>
        <w:pStyle w:val="NormalWeb"/>
        <w:jc w:val="both"/>
      </w:pPr>
      <w:r w:rsidRPr="003232B9">
        <w:t>Así, entre otras muchas entidades, los gobiernos regionales cuentan a día de hoy con empresas dedicadas a la</w:t>
      </w:r>
      <w:r w:rsidRPr="003232B9">
        <w:rPr>
          <w:rStyle w:val="Textoennegrita"/>
        </w:rPr>
        <w:t xml:space="preserve"> </w:t>
      </w:r>
      <w:r w:rsidRPr="003232B9">
        <w:rPr>
          <w:rStyle w:val="Textoennegrita"/>
          <w:b w:val="0"/>
        </w:rPr>
        <w:t>fabricación de tapones</w:t>
      </w:r>
      <w:r w:rsidRPr="003232B9">
        <w:t xml:space="preserve">, cuchillos y navajas, el reciclaje y tratamiento de residuos cárnicos, casinos, </w:t>
      </w:r>
      <w:r w:rsidRPr="003232B9">
        <w:rPr>
          <w:rStyle w:val="Textoennegrita"/>
          <w:b w:val="0"/>
        </w:rPr>
        <w:t>circuitos de carreras</w:t>
      </w:r>
      <w:r w:rsidRPr="003232B9">
        <w:rPr>
          <w:rStyle w:val="Textoennegrita"/>
        </w:rPr>
        <w:t>,</w:t>
      </w:r>
      <w:r w:rsidRPr="003232B9">
        <w:t xml:space="preserve"> papeleras, jardinería, </w:t>
      </w:r>
      <w:r w:rsidRPr="003232B9">
        <w:rPr>
          <w:rStyle w:val="Textoennegrita"/>
          <w:b w:val="0"/>
        </w:rPr>
        <w:t>productoras</w:t>
      </w:r>
      <w:r w:rsidRPr="003232B9">
        <w:t xml:space="preserve">, academias de idiomas, escuelas de tauromaquia, inmobiliarias, gasolineras, marketing, sostenibilidad y eficiencia energética, producción y comercialización de patatas, </w:t>
      </w:r>
      <w:r w:rsidRPr="003232B9">
        <w:rPr>
          <w:rStyle w:val="Textoennegrita"/>
          <w:b w:val="0"/>
        </w:rPr>
        <w:t>carrocería</w:t>
      </w:r>
      <w:r w:rsidRPr="003232B9">
        <w:t xml:space="preserve"> de autocares y trenes, festivales de música, estaciones de esquí, centros de </w:t>
      </w:r>
      <w:r w:rsidRPr="003232B9">
        <w:rPr>
          <w:rStyle w:val="Textoennegrita"/>
          <w:b w:val="0"/>
        </w:rPr>
        <w:t>hidromasaje</w:t>
      </w:r>
      <w:r w:rsidRPr="003232B9">
        <w:t xml:space="preserve"> e incluso estudios de cine y </w:t>
      </w:r>
      <w:r w:rsidR="00DD6D81">
        <w:t>“</w:t>
      </w:r>
      <w:r w:rsidRPr="00DD6D81">
        <w:rPr>
          <w:rStyle w:val="nfasis"/>
          <w:i w:val="0"/>
        </w:rPr>
        <w:t>embriones</w:t>
      </w:r>
      <w:r w:rsidR="00DD6D81">
        <w:rPr>
          <w:rStyle w:val="nfasis"/>
          <w:i w:val="0"/>
        </w:rPr>
        <w:t>”</w:t>
      </w:r>
      <w:r w:rsidRPr="00DD6D81">
        <w:rPr>
          <w:i/>
        </w:rPr>
        <w:t xml:space="preserve"> </w:t>
      </w:r>
      <w:r w:rsidRPr="003232B9">
        <w:t>de agencias espaciales.</w:t>
      </w:r>
    </w:p>
    <w:p w:rsidR="00FA6AA2" w:rsidRDefault="003232B9" w:rsidP="00387350">
      <w:pPr>
        <w:pStyle w:val="NormalWeb"/>
        <w:jc w:val="both"/>
      </w:pPr>
      <w:r w:rsidRPr="003232B9">
        <w:t>Y ello, sin contar fundaciones cuya utilidad es más que dudosa, así como la pervivencia de ciertos entes que, pese a ser creados específicamente para promover un acto o acontecimiento deportivo y cultural que se celebró años atrás, todavía no han sido liquidados y, por tanto, siguen formando parte del sector público regional</w:t>
      </w:r>
      <w:r>
        <w:t>”..</w:t>
      </w:r>
      <w:r w:rsidRPr="003232B9">
        <w:t>.</w:t>
      </w:r>
      <w:r>
        <w:t xml:space="preserve"> </w:t>
      </w:r>
      <w:r w:rsidR="00FA6AA2" w:rsidRPr="001D2038">
        <w:rPr>
          <w:u w:val="single"/>
        </w:rPr>
        <w:t>Los entes autonómicos más surrealistas: agencia espacial, estudio de cine, casino...</w:t>
      </w:r>
      <w:r w:rsidR="00FA6AA2">
        <w:t xml:space="preserve"> (Libertad Digital - </w:t>
      </w:r>
      <w:r w:rsidR="00FA6AA2" w:rsidRPr="001D2038">
        <w:rPr>
          <w:b/>
        </w:rPr>
        <w:t>27/8/13</w:t>
      </w:r>
      <w:r w:rsidR="00FA6AA2">
        <w:t>)</w:t>
      </w:r>
    </w:p>
    <w:p w:rsidR="00FA6AA2" w:rsidRPr="00FA6AA2" w:rsidRDefault="00FA6AA2" w:rsidP="00387350">
      <w:pPr>
        <w:pStyle w:val="NormalWeb"/>
        <w:jc w:val="both"/>
      </w:pPr>
      <w:r>
        <w:t>“</w:t>
      </w:r>
      <w:r w:rsidRPr="00FA6AA2">
        <w:t>Para la mayor parte de los españoles (y sus políticos) el AVE es considerado un motivo de orgullo patrio. Según el </w:t>
      </w:r>
      <w:hyperlink r:id="rId499" w:history="1">
        <w:r w:rsidRPr="00FA6AA2">
          <w:rPr>
            <w:rStyle w:val="Hipervnculo"/>
            <w:color w:val="auto"/>
            <w:u w:val="none"/>
          </w:rPr>
          <w:t>International Union of Railways</w:t>
        </w:r>
      </w:hyperlink>
      <w:r w:rsidRPr="00FA6AA2">
        <w:t>, España era en julio de 2012 el segundo país del mundo en kilómetros de alta velocidad en funcionamiento con 2144, solo superada por China (dado que muchos kilómetros de la red japonesa de alta velocidad no se consideran como tales). Además, existen 1679 kilómetros en construcción (de los 2936 kilómetros en construcción en toda Europa, por cierto) y otros 1702 planificados.</w:t>
      </w:r>
    </w:p>
    <w:p w:rsidR="00FA6AA2" w:rsidRDefault="00FA6AA2" w:rsidP="00387350">
      <w:pPr>
        <w:pStyle w:val="NormalWeb"/>
        <w:jc w:val="both"/>
      </w:pPr>
      <w:r>
        <w:rPr>
          <w:noProof/>
          <w:color w:val="0000FF"/>
        </w:rPr>
        <w:drawing>
          <wp:inline distT="0" distB="0" distL="0" distR="0" wp14:anchorId="2649ACFD" wp14:editId="737E1FAD">
            <wp:extent cx="5369356" cy="3972154"/>
            <wp:effectExtent l="0" t="0" r="3175" b="0"/>
            <wp:docPr id="504" name="Imagen 504" descr="http://www.fedeablogs.net/economia/wp-content/uploads/kms-ave-ESP.jpg">
              <a:hlinkClick xmlns:a="http://schemas.openxmlformats.org/drawingml/2006/main" r:id="rId5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edeablogs.net/economia/wp-content/uploads/kms-ave-ESP.jpg">
                      <a:hlinkClick r:id="rId500"/>
                    </pic:cNvPr>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369560" cy="3972305"/>
                    </a:xfrm>
                    <a:prstGeom prst="rect">
                      <a:avLst/>
                    </a:prstGeom>
                    <a:noFill/>
                    <a:ln>
                      <a:noFill/>
                    </a:ln>
                  </pic:spPr>
                </pic:pic>
              </a:graphicData>
            </a:graphic>
          </wp:inline>
        </w:drawing>
      </w:r>
    </w:p>
    <w:p w:rsidR="00FA6AA2" w:rsidRPr="00FA6AA2" w:rsidRDefault="00FA6AA2" w:rsidP="00387350">
      <w:pPr>
        <w:pStyle w:val="NormalWeb"/>
        <w:jc w:val="both"/>
      </w:pPr>
      <w:r w:rsidRPr="00FA6AA2">
        <w:lastRenderedPageBreak/>
        <w:t>La apuesta de España por la Alta Velocidad es por tanto innegable. Sin embargo, todo parece indicar que la rentabilidad económica de estas líneas es (muy) negativa. En 2011 hubo alrededor de 20 millones de viajes en toda la red del AVE. Esto contrasta con las estimaciones de la </w:t>
      </w:r>
      <w:hyperlink r:id="rId502" w:history="1">
        <w:r w:rsidRPr="00FA6AA2">
          <w:rPr>
            <w:rStyle w:val="Hipervnculo"/>
            <w:color w:val="auto"/>
            <w:u w:val="none"/>
          </w:rPr>
          <w:t>Comisión Europea</w:t>
        </w:r>
      </w:hyperlink>
      <w:r w:rsidRPr="00FA6AA2">
        <w:t>, que en 2008 ponía el umbral de rentabilidad de la inversión de una línea de alta velocidad en 9 millones de pasajeros anuales, lo que está en consonancia con las estimaciones de </w:t>
      </w:r>
      <w:hyperlink r:id="rId503" w:history="1">
        <w:r w:rsidRPr="00FA6AA2">
          <w:rPr>
            <w:rStyle w:val="Hipervnculo"/>
            <w:color w:val="auto"/>
            <w:u w:val="none"/>
          </w:rPr>
          <w:t>De Rus y Nombela (2007)</w:t>
        </w:r>
      </w:hyperlink>
      <w:r w:rsidRPr="00FA6AA2">
        <w:t> que hablan de un número de pasajeros inicial de 8 millones para que una línea de 500 kilómetros sea rentable. En contraste, las líneas Madrid-Barcelona y Madrid-Valencia en su primer año de servicio no superaron los 6 millones y 3 millones de viajeros, respectivamente. Esta pobre rentabilidad no cambiará aunque, como afirmaba la ministra, se eviten hacer “estaciones faraónicas” dado que eso representa una partida modesta comparada con los 11 millones de euros que ADIF estima como coste de cada kilómetro de AVE. Continuar construyendo tramos de AVE nos mete más y más en un </w:t>
      </w:r>
      <w:hyperlink r:id="rId504" w:history="1">
        <w:r w:rsidRPr="00FA6AA2">
          <w:rPr>
            <w:rStyle w:val="Hipervnculo"/>
            <w:color w:val="auto"/>
            <w:u w:val="none"/>
          </w:rPr>
          <w:t>agujero</w:t>
        </w:r>
      </w:hyperlink>
      <w:r w:rsidRPr="00FA6AA2">
        <w:t>.</w:t>
      </w:r>
    </w:p>
    <w:p w:rsidR="00FA6AA2" w:rsidRDefault="00FA6AA2" w:rsidP="00387350">
      <w:pPr>
        <w:pStyle w:val="NormalWeb"/>
        <w:jc w:val="both"/>
      </w:pPr>
      <w:r w:rsidRPr="00FA6AA2">
        <w:t>Ese no es, sin embargo, el final de la historia. Todo parece indicar que dejando el coste de la inversión de lado, es prácticamente imposible conseguir beneficios de la explotación de la red sin ayuda de subsidios, dado el alto coste de funcionamiento y mantenimiento de la infraestructura (entre 100 y 200 mil euros por kilómetro y año). Tal y como </w:t>
      </w:r>
      <w:hyperlink r:id="rId505" w:history="1">
        <w:r w:rsidRPr="00FA6AA2">
          <w:rPr>
            <w:rStyle w:val="Hipervnculo"/>
            <w:color w:val="auto"/>
            <w:u w:val="none"/>
          </w:rPr>
          <w:t>Albalate y Bel (2011)</w:t>
        </w:r>
      </w:hyperlink>
      <w:r w:rsidRPr="00FA6AA2">
        <w:t xml:space="preserve"> afirman “Las tarifas difícilmente permiten recuperar incluso los costes variables en el AVE, lo que explica la importancia de los subsidios públicos otorgados en España. Incluso asumiendo una tarificación que permita recuperar todos los costes variables, y para proyectos con una demanda que duplique la del Madrid-Barcelona, serían necesarios subsidios por valor </w:t>
      </w:r>
      <w:r w:rsidR="00206061">
        <w:t xml:space="preserve">de la mitad del coste marginal”. </w:t>
      </w:r>
      <w:r>
        <w:t xml:space="preserve">Además de la rentabilidad financiera (de la empresa) una vez excluidos los costes de inversión, la rentabilidad social es probablemente negativa”... </w:t>
      </w:r>
      <w:r w:rsidRPr="00FA6AA2">
        <w:rPr>
          <w:u w:val="single"/>
        </w:rPr>
        <w:t>A ninguna parte per</w:t>
      </w:r>
      <w:r>
        <w:rPr>
          <w:u w:val="single"/>
        </w:rPr>
        <w:t>o en Alta Velocidad</w:t>
      </w:r>
      <w:r w:rsidRPr="00FA6AA2">
        <w:t xml:space="preserve">  (Fedea - </w:t>
      </w:r>
      <w:r w:rsidRPr="00FA6AA2">
        <w:rPr>
          <w:b/>
        </w:rPr>
        <w:t>27/8/13</w:t>
      </w:r>
      <w:r w:rsidRPr="00FA6AA2">
        <w:t>)</w:t>
      </w:r>
    </w:p>
    <w:p w:rsidR="00FA6AA2" w:rsidRDefault="00206061" w:rsidP="00387350">
      <w:pPr>
        <w:pStyle w:val="NormalWeb"/>
        <w:jc w:val="both"/>
      </w:pPr>
      <w:r>
        <w:t>“</w:t>
      </w:r>
      <w:r w:rsidR="00FA6AA2" w:rsidRPr="00FA6AA2">
        <w:t>El conjunto del</w:t>
      </w:r>
      <w:r w:rsidR="00FA6AA2" w:rsidRPr="00FA6AA2">
        <w:rPr>
          <w:rStyle w:val="Textoennegrita"/>
        </w:rPr>
        <w:t xml:space="preserve"> </w:t>
      </w:r>
      <w:r w:rsidR="00FA6AA2" w:rsidRPr="00FA6AA2">
        <w:rPr>
          <w:rStyle w:val="Textoennegrita"/>
          <w:b w:val="0"/>
        </w:rPr>
        <w:t>sector público</w:t>
      </w:r>
      <w:r w:rsidR="00FA6AA2" w:rsidRPr="00FA6AA2">
        <w:t xml:space="preserve"> ocupaba a algo más de</w:t>
      </w:r>
      <w:r w:rsidR="00FA6AA2" w:rsidRPr="00FA6AA2">
        <w:rPr>
          <w:rStyle w:val="Textoennegrita"/>
        </w:rPr>
        <w:t xml:space="preserve"> </w:t>
      </w:r>
      <w:r w:rsidR="00FA6AA2" w:rsidRPr="00FA6AA2">
        <w:rPr>
          <w:rStyle w:val="Textoennegrita"/>
          <w:b w:val="0"/>
        </w:rPr>
        <w:t>2,84 millones</w:t>
      </w:r>
      <w:r w:rsidR="00FA6AA2" w:rsidRPr="00FA6AA2">
        <w:t xml:space="preserve"> de personas el pasado junio, según la última </w:t>
      </w:r>
      <w:r w:rsidR="00FA6AA2" w:rsidRPr="00FA6AA2">
        <w:rPr>
          <w:rStyle w:val="Textoennegrita"/>
          <w:b w:val="0"/>
        </w:rPr>
        <w:t>Encuesta de Población Activa</w:t>
      </w:r>
      <w:r w:rsidR="00FA6AA2" w:rsidRPr="00FA6AA2">
        <w:t xml:space="preserve"> (EPA) correspondiente al segundo trimestre. Esta cifra contrasta con la registrada en el tercer trimestre de 2011, cuando el volumen de empleados públicos alcanzó su récord histórico, con un total de 3,22 millones. Desde entonces, sin embargo, en poco menos de dos años, su tamaño se ha reducido en casi 377.000 personas, situándose así en un nivel muy similar al existente a</w:t>
      </w:r>
      <w:r w:rsidR="00FA6AA2" w:rsidRPr="00FA6AA2">
        <w:rPr>
          <w:rStyle w:val="Textoennegrita"/>
        </w:rPr>
        <w:t xml:space="preserve"> </w:t>
      </w:r>
      <w:r w:rsidR="00FA6AA2" w:rsidRPr="00FA6AA2">
        <w:rPr>
          <w:rStyle w:val="Textoennegrita"/>
          <w:b w:val="0"/>
        </w:rPr>
        <w:t>mediados de 2005.</w:t>
      </w:r>
      <w:r w:rsidR="00FA6AA2" w:rsidRPr="00FA6AA2">
        <w:t xml:space="preserve"> Es decir, el empleo público en España ha retrocedido ocho años, tras</w:t>
      </w:r>
      <w:r w:rsidR="00FA6AA2" w:rsidRPr="00FA6AA2">
        <w:rPr>
          <w:rStyle w:val="Textoennegrita"/>
        </w:rPr>
        <w:t xml:space="preserve"> </w:t>
      </w:r>
      <w:r w:rsidR="00FA6AA2" w:rsidRPr="00FA6AA2">
        <w:rPr>
          <w:rStyle w:val="Textoennegrita"/>
          <w:b w:val="0"/>
        </w:rPr>
        <w:t>caer un 11,7%</w:t>
      </w:r>
      <w:r w:rsidR="00FA6AA2" w:rsidRPr="00FA6AA2">
        <w:t xml:space="preserve"> desde su nivel máximo.</w:t>
      </w:r>
    </w:p>
    <w:p w:rsidR="00206061" w:rsidRPr="00FA6AA2" w:rsidRDefault="00A408F3" w:rsidP="00387350">
      <w:pPr>
        <w:pStyle w:val="NormalWeb"/>
        <w:jc w:val="both"/>
      </w:pPr>
      <w:r>
        <w:t xml:space="preserve">          </w:t>
      </w:r>
      <w:r w:rsidR="00206061">
        <w:rPr>
          <w:noProof/>
          <w:color w:val="0000FF"/>
        </w:rPr>
        <w:drawing>
          <wp:inline distT="0" distB="0" distL="0" distR="0" wp14:anchorId="489231C6" wp14:editId="2B8C5192">
            <wp:extent cx="4992927" cy="2377440"/>
            <wp:effectExtent l="0" t="0" r="0" b="3810"/>
            <wp:docPr id="505" name="Imagen 505" descr="http://s.libertaddigital.com/fotos/noticias/EPA-PU1.jpg">
              <a:hlinkClick xmlns:a="http://schemas.openxmlformats.org/drawingml/2006/main" r:id="rId50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EPA-PU1.jpg">
                      <a:hlinkClick r:id="rId506" tgtFrame="&quot;_blank&quot;"/>
                    </pic:cNvPr>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010640" cy="2385874"/>
                    </a:xfrm>
                    <a:prstGeom prst="rect">
                      <a:avLst/>
                    </a:prstGeom>
                    <a:noFill/>
                    <a:ln>
                      <a:noFill/>
                    </a:ln>
                  </pic:spPr>
                </pic:pic>
              </a:graphicData>
            </a:graphic>
          </wp:inline>
        </w:drawing>
      </w:r>
    </w:p>
    <w:p w:rsidR="00FA6AA2" w:rsidRDefault="00FA6AA2" w:rsidP="00387350">
      <w:pPr>
        <w:pStyle w:val="NormalWeb"/>
        <w:jc w:val="both"/>
      </w:pPr>
      <w:r w:rsidRPr="00FA6AA2">
        <w:lastRenderedPageBreak/>
        <w:t>El pasado junio, la Administración Central empleaba a un total de 503.200 personas, el 18% del total; las Comunidades Autónomas (CCAA), por su parte, a cerca de 1,57 millones (55%); los Entes Locales (Diputaciones, Ayuntamientos y Cabildos) a 578.000 (20,3%); y el sector público empresarial a casi 157.000 trabajadores (5,5%)</w:t>
      </w:r>
      <w:r>
        <w:t>…</w:t>
      </w:r>
    </w:p>
    <w:p w:rsidR="00206061" w:rsidRDefault="00206061" w:rsidP="00387350">
      <w:pPr>
        <w:pStyle w:val="NormalWeb"/>
        <w:jc w:val="both"/>
      </w:pPr>
      <w:r w:rsidRPr="00206061">
        <w:t xml:space="preserve">Sin embargo, esta imagen cambia de forma muy sustancial cuando se observa la evolución del </w:t>
      </w:r>
      <w:r w:rsidRPr="00206061">
        <w:rPr>
          <w:rStyle w:val="Textoennegrita"/>
          <w:b w:val="0"/>
        </w:rPr>
        <w:t>empleo público desde que estalló la crisis</w:t>
      </w:r>
      <w:r w:rsidRPr="00206061">
        <w:t xml:space="preserve"> financiera internacional, a mediados de 2007. Y es que, lejos de protagonizar un drástico ejercicio de austeridad, los políticos de todas las administraciones se dedicaron a aumentar el volumen de contrataciones, a pesar del desplome de la recaudación fiscal y las evidentes dificultades financieras que ello podría provocar a la sostenibilidad de las cuentas públicas y, sobre todo, al bolsillo de los contribuyentes. Así, lejos de reducirse, el volumen de empleados públicos (funcionarios y personal laboral)</w:t>
      </w:r>
      <w:r w:rsidRPr="00206061">
        <w:rPr>
          <w:rStyle w:val="Textoennegrita"/>
        </w:rPr>
        <w:t xml:space="preserve"> </w:t>
      </w:r>
      <w:r w:rsidRPr="00206061">
        <w:rPr>
          <w:rStyle w:val="Textoennegrita"/>
          <w:b w:val="0"/>
        </w:rPr>
        <w:t>se disparó en 346.000</w:t>
      </w:r>
      <w:r w:rsidRPr="00206061">
        <w:rPr>
          <w:rStyle w:val="Textoennegrita"/>
        </w:rPr>
        <w:t xml:space="preserve"> </w:t>
      </w:r>
      <w:r w:rsidRPr="00206061">
        <w:t>personas entre el segundo trimestre de 2007 y finales de 2011, lo que implica un aumento del 12%. Tan sólo a partir de ese momento comenzó el ajuste de plantillas.</w:t>
      </w:r>
    </w:p>
    <w:p w:rsidR="00206061" w:rsidRPr="00206061" w:rsidRDefault="00206061" w:rsidP="00387350">
      <w:pPr>
        <w:pStyle w:val="NormalWeb"/>
        <w:jc w:val="both"/>
      </w:pPr>
      <w:r w:rsidRPr="00206061">
        <w:t xml:space="preserve">Por ello, hasta el momento, el conjunto del sector público apenas ha logrado </w:t>
      </w:r>
      <w:r w:rsidRPr="00206061">
        <w:rPr>
          <w:rStyle w:val="Textoennegrita"/>
          <w:b w:val="0"/>
        </w:rPr>
        <w:t>reducir 32.000 efectivos durante toda la crisis</w:t>
      </w:r>
      <w:r w:rsidRPr="00206061">
        <w:t xml:space="preserve"> económica. Esta rebaja contrasta diametralmente con el histórico desplome laboral que ha sufrido el sector privado, con más de 3,55 millones de puestos de trabajo destruidos en este mismo período, al pasar de 17,5 millones de ocupados a mediados de 2007 a 13,9 millones el pasado junio. Dicho de otro modo, el empleo público tan sólo ha experimentado un</w:t>
      </w:r>
      <w:r w:rsidRPr="00206061">
        <w:rPr>
          <w:rStyle w:val="Textoennegrita"/>
        </w:rPr>
        <w:t xml:space="preserve"> </w:t>
      </w:r>
      <w:r w:rsidRPr="00206061">
        <w:rPr>
          <w:rStyle w:val="Textoennegrita"/>
          <w:b w:val="0"/>
        </w:rPr>
        <w:t>recorte mínimo del 1,1% durante la crisis</w:t>
      </w:r>
      <w:r w:rsidRPr="00206061">
        <w:rPr>
          <w:b/>
        </w:rPr>
        <w:t>,</w:t>
      </w:r>
      <w:r w:rsidRPr="00206061">
        <w:t xml:space="preserve"> mientras que el empleo privado se ha hundido un 20,3%.</w:t>
      </w:r>
    </w:p>
    <w:p w:rsidR="00206061" w:rsidRPr="00206061" w:rsidRDefault="00206061" w:rsidP="00387350">
      <w:pPr>
        <w:pStyle w:val="NormalWeb"/>
        <w:jc w:val="both"/>
      </w:pPr>
      <w:r w:rsidRPr="00206061">
        <w:rPr>
          <w:noProof/>
        </w:rPr>
        <w:drawing>
          <wp:inline distT="0" distB="0" distL="0" distR="0" wp14:anchorId="4122234F" wp14:editId="55B15C4C">
            <wp:extent cx="5471723" cy="2896819"/>
            <wp:effectExtent l="0" t="0" r="0" b="0"/>
            <wp:docPr id="506" name="Imagen 506" descr="http://s.libertaddigital.com/fotos/noticias/EPA-PU2.jpg">
              <a:hlinkClick xmlns:a="http://schemas.openxmlformats.org/drawingml/2006/main" r:id="rId50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EPA-PU2.jpg">
                      <a:hlinkClick r:id="rId508" tgtFrame="&quot;_blank&quot;"/>
                    </pic:cNvPr>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5471744" cy="2896830"/>
                    </a:xfrm>
                    <a:prstGeom prst="rect">
                      <a:avLst/>
                    </a:prstGeom>
                    <a:noFill/>
                    <a:ln>
                      <a:noFill/>
                    </a:ln>
                  </pic:spPr>
                </pic:pic>
              </a:graphicData>
            </a:graphic>
          </wp:inline>
        </w:drawing>
      </w:r>
    </w:p>
    <w:p w:rsidR="00206061" w:rsidRPr="00206061" w:rsidRDefault="00206061" w:rsidP="00387350">
      <w:pPr>
        <w:pStyle w:val="NormalWeb"/>
        <w:jc w:val="both"/>
      </w:pPr>
      <w:r w:rsidRPr="00206061">
        <w:t xml:space="preserve">Fuente gráfica: </w:t>
      </w:r>
      <w:hyperlink r:id="rId510" w:tgtFrame="_blank" w:history="1">
        <w:r w:rsidRPr="00206061">
          <w:rPr>
            <w:rStyle w:val="Hipervnculo"/>
            <w:color w:val="auto"/>
            <w:u w:val="none"/>
          </w:rPr>
          <w:t>@Absolutexe</w:t>
        </w:r>
      </w:hyperlink>
      <w:r w:rsidRPr="00206061">
        <w:t>, con datos de la EPA.</w:t>
      </w:r>
    </w:p>
    <w:p w:rsidR="00206061" w:rsidRPr="00206061" w:rsidRDefault="00206061" w:rsidP="00387350">
      <w:pPr>
        <w:pStyle w:val="NormalWeb"/>
        <w:jc w:val="both"/>
      </w:pPr>
      <w:r w:rsidRPr="00206061">
        <w:t xml:space="preserve">Es cierto que las autonomías han reducido sus plantillas de forma significativa desde el tercer trimestre de 2011, cuando marcó récord, al pasar de 1,8 millones de empleados a 1,56 millones. En concreto, el personal autonómico ha bajado en 241.400 personas en estos dos últimos años. Pero, una vez más, la clave reside en observar la evolución durante toda la crisis. Y, en este caso, los datos de la EPA revelan que las </w:t>
      </w:r>
      <w:r w:rsidRPr="00206061">
        <w:rPr>
          <w:rStyle w:val="Textoennegrita"/>
        </w:rPr>
        <w:t xml:space="preserve">CCAA </w:t>
      </w:r>
      <w:r w:rsidRPr="00206061">
        <w:t xml:space="preserve">cuentan hoy con </w:t>
      </w:r>
      <w:r w:rsidRPr="00206061">
        <w:rPr>
          <w:rStyle w:val="Textoennegrita"/>
          <w:b w:val="0"/>
        </w:rPr>
        <w:t>32.300 trabajadores más que a mediados de 2007</w:t>
      </w:r>
      <w:r w:rsidRPr="00206061">
        <w:t xml:space="preserve">, cuando su personal ascendía a un total de 1,53 millones. Es decir, la plantilla autonómica no se ha reducido </w:t>
      </w:r>
      <w:r w:rsidRPr="00206061">
        <w:lastRenderedPageBreak/>
        <w:t xml:space="preserve">durante la crisis sino que </w:t>
      </w:r>
      <w:r w:rsidRPr="00206061">
        <w:rPr>
          <w:rStyle w:val="Textoennegrita"/>
          <w:b w:val="0"/>
        </w:rPr>
        <w:t>ha aumentado un 2,1%</w:t>
      </w:r>
      <w:r w:rsidRPr="00206061">
        <w:t xml:space="preserve"> en los últimos seis años, con lo que hoy presenta un tamaño superior al registrado en el cénit de la burbuja económica (2007).</w:t>
      </w:r>
    </w:p>
    <w:p w:rsidR="00206061" w:rsidRDefault="00206061" w:rsidP="00387350">
      <w:pPr>
        <w:pStyle w:val="NormalWeb"/>
        <w:jc w:val="both"/>
      </w:pPr>
      <w:r w:rsidRPr="00206061">
        <w:t xml:space="preserve">Por último, el peor balance en términos relativos corresponde al numeroso elenco de </w:t>
      </w:r>
      <w:r w:rsidRPr="00206061">
        <w:rPr>
          <w:rStyle w:val="Textoennegrita"/>
          <w:b w:val="0"/>
        </w:rPr>
        <w:t>empresas y organismos públicos</w:t>
      </w:r>
      <w:r w:rsidRPr="00206061">
        <w:t xml:space="preserve">. Su personal rozaba los 157.000 efectivos el pasado junio, lo que supone un 13,8% menos que su récord histórico, registrado en el tercer trimestre de 2006 (182.000 personas), pero un </w:t>
      </w:r>
      <w:r w:rsidRPr="00206061">
        <w:rPr>
          <w:rStyle w:val="Textoennegrita"/>
          <w:b w:val="0"/>
        </w:rPr>
        <w:t>5,2% más</w:t>
      </w:r>
      <w:r w:rsidRPr="00206061">
        <w:t xml:space="preserve"> respecto al estallido de la crisis. En la actualidad, las empresas públicas ocupan a </w:t>
      </w:r>
      <w:r w:rsidRPr="00206061">
        <w:rPr>
          <w:rStyle w:val="Textoennegrita"/>
          <w:b w:val="0"/>
        </w:rPr>
        <w:t>7.700 empleados extra</w:t>
      </w:r>
      <w:r w:rsidRPr="00206061">
        <w:rPr>
          <w:rStyle w:val="Textoennegrita"/>
        </w:rPr>
        <w:t xml:space="preserve"> </w:t>
      </w:r>
      <w:r w:rsidRPr="00206061">
        <w:t>respecto a mediados de 2007</w:t>
      </w:r>
      <w:r>
        <w:t>”</w:t>
      </w:r>
      <w:r w:rsidRPr="00206061">
        <w:t>.</w:t>
      </w:r>
      <w:r>
        <w:t xml:space="preserve"> </w:t>
      </w:r>
      <w:r w:rsidRPr="001A241C">
        <w:rPr>
          <w:u w:val="single"/>
        </w:rPr>
        <w:t>Las autonomías contratan a 32.000 empleados extra durante la crisis</w:t>
      </w:r>
      <w:r>
        <w:t xml:space="preserve"> (Libertad Digital - </w:t>
      </w:r>
      <w:r w:rsidRPr="001A241C">
        <w:rPr>
          <w:b/>
        </w:rPr>
        <w:t>28/8/13</w:t>
      </w:r>
      <w:r>
        <w:t>)</w:t>
      </w:r>
    </w:p>
    <w:p w:rsidR="00206061" w:rsidRPr="009D67EC" w:rsidRDefault="00206061" w:rsidP="00387350">
      <w:pPr>
        <w:pStyle w:val="NormalWeb"/>
        <w:jc w:val="both"/>
        <w:rPr>
          <w:color w:val="000000"/>
        </w:rPr>
      </w:pPr>
      <w:r>
        <w:rPr>
          <w:color w:val="000000"/>
        </w:rPr>
        <w:t>“</w:t>
      </w:r>
      <w:r w:rsidRPr="009D67EC">
        <w:rPr>
          <w:color w:val="000000"/>
        </w:rPr>
        <w:t>El gasto público no ha parado de crecer desde que comenzó la crisis económica. En concreto, esta partida se incrementó en España un 8,8% desde el año 2007 hasta el 2012. Es decir, pasó del 39,2% del PIB al 48% registrado el año pasado, según el Instituto d</w:t>
      </w:r>
      <w:r>
        <w:rPr>
          <w:color w:val="000000"/>
        </w:rPr>
        <w:t>e Estudios Económicos.</w:t>
      </w:r>
    </w:p>
    <w:p w:rsidR="00206061" w:rsidRPr="009D67EC" w:rsidRDefault="00206061" w:rsidP="00387350">
      <w:pPr>
        <w:pStyle w:val="NormalWeb"/>
        <w:jc w:val="both"/>
        <w:rPr>
          <w:color w:val="000000"/>
        </w:rPr>
      </w:pPr>
      <w:r w:rsidRPr="009D67EC">
        <w:rPr>
          <w:color w:val="000000"/>
        </w:rPr>
        <w:t xml:space="preserve">Este aumento del gasto público en los cinco años analizados es el segundo más fuerte de la Unión Europea, sólo por detrás de </w:t>
      </w:r>
      <w:r w:rsidR="00301881" w:rsidRPr="009D67EC">
        <w:rPr>
          <w:color w:val="000000"/>
        </w:rPr>
        <w:t>Finlandia</w:t>
      </w:r>
      <w:r w:rsidRPr="009D67EC">
        <w:rPr>
          <w:color w:val="000000"/>
        </w:rPr>
        <w:t>, que lo incrementó en 9,2 puntos porcentuales.</w:t>
      </w:r>
    </w:p>
    <w:p w:rsidR="00206061" w:rsidRPr="009D67EC" w:rsidRDefault="00206061" w:rsidP="00387350">
      <w:pPr>
        <w:pStyle w:val="NormalWeb"/>
        <w:jc w:val="both"/>
        <w:rPr>
          <w:color w:val="000000"/>
        </w:rPr>
      </w:pPr>
      <w:r w:rsidRPr="009D67EC">
        <w:rPr>
          <w:color w:val="000000"/>
        </w:rPr>
        <w:t xml:space="preserve"> Entre los 27 países que conforman la Unión Europea, el gasto de los Estados en el periodo de crisis económica se ha incrementado un 3,8% de media. Así pues, pasó de representar del 45,5% en 2007 al 49,3% en 2012. </w:t>
      </w:r>
    </w:p>
    <w:p w:rsidR="00206061" w:rsidRPr="009D67EC" w:rsidRDefault="00206061" w:rsidP="00387350">
      <w:pPr>
        <w:pStyle w:val="NormalWeb"/>
        <w:jc w:val="both"/>
        <w:rPr>
          <w:color w:val="000000"/>
        </w:rPr>
      </w:pPr>
      <w:r w:rsidRPr="009D67EC">
        <w:rPr>
          <w:color w:val="000000"/>
        </w:rPr>
        <w:t xml:space="preserve">Sólo tres de los 27 países europeos han registrado caídas en las partidas de gasto público desde el 2007: Bulgaria (-3,5%), </w:t>
      </w:r>
      <w:r w:rsidR="00301881" w:rsidRPr="009D67EC">
        <w:rPr>
          <w:color w:val="000000"/>
        </w:rPr>
        <w:t>Hun</w:t>
      </w:r>
      <w:r w:rsidR="00301881">
        <w:rPr>
          <w:color w:val="000000"/>
        </w:rPr>
        <w:t>gría</w:t>
      </w:r>
      <w:r>
        <w:rPr>
          <w:color w:val="000000"/>
        </w:rPr>
        <w:t xml:space="preserve"> (-2,1%) y Rumanía (-1,8%).</w:t>
      </w:r>
    </w:p>
    <w:p w:rsidR="00206061" w:rsidRPr="009D67EC" w:rsidRDefault="00206061" w:rsidP="00387350">
      <w:pPr>
        <w:pStyle w:val="NormalWeb"/>
        <w:jc w:val="both"/>
        <w:rPr>
          <w:color w:val="000000"/>
        </w:rPr>
      </w:pPr>
      <w:r w:rsidRPr="009D67EC">
        <w:rPr>
          <w:color w:val="000000"/>
        </w:rPr>
        <w:t>El país que más gastó en 2012 en relación con su PIB fue Dinamarca, con un 60%. Le sigue Francia, con un 56,6% y Finlandia, que registró la misma cifra. Bélgica y Grecia rozaron el 55%, mientras que Suecia se situó en un 51,9% y Austria en un 51,7%. Italia y los Países Bajos superan el promedio de la UE-27 con un gasto público levemente por encima del 50%.</w:t>
      </w:r>
    </w:p>
    <w:p w:rsidR="00301881" w:rsidRDefault="00206061" w:rsidP="00387350">
      <w:pPr>
        <w:pStyle w:val="NormalWeb"/>
        <w:jc w:val="both"/>
        <w:rPr>
          <w:color w:val="000000"/>
        </w:rPr>
      </w:pPr>
      <w:r w:rsidRPr="009D67EC">
        <w:rPr>
          <w:color w:val="000000"/>
        </w:rPr>
        <w:t>Los países más austeros en 2012 fueron Alemania, que apenas aumentó su nivel de gasto público a un 44,6%. Luxemburgo contó con una cifra del 43,0% e Irlanda del 42,0%, después de unas subidas considerables en los últimos años. La clasificación la cierran Letonia, Rumania, Lituania y Bulgaria con un gasto público en torno al 36% sobre el PIB</w:t>
      </w:r>
      <w:r>
        <w:rPr>
          <w:color w:val="000000"/>
        </w:rPr>
        <w:t>”..</w:t>
      </w:r>
      <w:r w:rsidRPr="009D67EC">
        <w:rPr>
          <w:color w:val="000000"/>
        </w:rPr>
        <w:t>.</w:t>
      </w:r>
      <w:r>
        <w:rPr>
          <w:color w:val="000000"/>
        </w:rPr>
        <w:t xml:space="preserve"> </w:t>
      </w:r>
      <w:r w:rsidR="00301881" w:rsidRPr="00390979">
        <w:rPr>
          <w:color w:val="000000"/>
          <w:u w:val="single"/>
        </w:rPr>
        <w:t>El gasto público en España ha subido un 9% durante la crisis</w:t>
      </w:r>
      <w:r w:rsidR="00301881">
        <w:rPr>
          <w:color w:val="000000"/>
        </w:rPr>
        <w:t xml:space="preserve"> (Negocios.com - </w:t>
      </w:r>
      <w:r w:rsidR="00301881" w:rsidRPr="009D67EC">
        <w:rPr>
          <w:b/>
          <w:color w:val="000000"/>
        </w:rPr>
        <w:t>26/9/13</w:t>
      </w:r>
      <w:r w:rsidR="00301881">
        <w:rPr>
          <w:color w:val="000000"/>
        </w:rPr>
        <w:t>)</w:t>
      </w:r>
    </w:p>
    <w:p w:rsidR="00D51697" w:rsidRPr="00DD6D81" w:rsidRDefault="00D51697" w:rsidP="00DD6D81">
      <w:pPr>
        <w:shd w:val="clear" w:color="auto" w:fill="FFFFFF"/>
        <w:spacing w:before="100" w:beforeAutospacing="1" w:after="100" w:afterAutospacing="1"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“Tinta fresca”: últimos acontecimientos al “cierre” de la edición </w:t>
      </w:r>
      <w:r>
        <w:rPr>
          <w:rFonts w:ascii="Times New Roman" w:hAnsi="Times New Roman" w:cs="Times New Roman"/>
          <w:b/>
          <w:sz w:val="24"/>
          <w:szCs w:val="24"/>
        </w:rPr>
        <w:t>(de hemeroteca</w:t>
      </w:r>
      <w:r w:rsidR="00DD6D81">
        <w:rPr>
          <w:rFonts w:ascii="Times New Roman" w:hAnsi="Times New Roman" w:cs="Times New Roman"/>
          <w:b/>
          <w:sz w:val="24"/>
          <w:szCs w:val="24"/>
        </w:rPr>
        <w:t xml:space="preserve"> 4º Trimestre</w:t>
      </w:r>
      <w:r>
        <w:rPr>
          <w:rFonts w:ascii="Times New Roman" w:hAnsi="Times New Roman" w:cs="Times New Roman"/>
          <w:b/>
          <w:sz w:val="24"/>
          <w:szCs w:val="24"/>
        </w:rPr>
        <w:t xml:space="preserve"> 2013)</w:t>
      </w:r>
    </w:p>
    <w:p w:rsidR="00D51697" w:rsidRPr="00913F4E" w:rsidRDefault="00D51697" w:rsidP="00387350">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913F4E">
        <w:rPr>
          <w:rFonts w:ascii="Times New Roman" w:eastAsia="Times New Roman" w:hAnsi="Times New Roman" w:cs="Times New Roman"/>
          <w:sz w:val="24"/>
          <w:szCs w:val="24"/>
          <w:u w:val="single"/>
        </w:rPr>
        <w:t>¿La austeridad de Montoro? El gasto público alcanza el 47,3% del PIB entre junio de 2012 y junio de 2013, unos niveles nunca vistos</w:t>
      </w:r>
      <w:r w:rsidRPr="00913F4E">
        <w:rPr>
          <w:rFonts w:ascii="Times New Roman" w:eastAsia="Times New Roman" w:hAnsi="Times New Roman" w:cs="Times New Roman"/>
          <w:sz w:val="24"/>
          <w:szCs w:val="24"/>
        </w:rPr>
        <w:t xml:space="preserve"> (Vozpópuli </w:t>
      </w:r>
      <w:r>
        <w:rPr>
          <w:rFonts w:ascii="Times New Roman" w:eastAsia="Times New Roman" w:hAnsi="Times New Roman" w:cs="Times New Roman"/>
          <w:sz w:val="24"/>
          <w:szCs w:val="24"/>
        </w:rPr>
        <w:t>-</w:t>
      </w:r>
      <w:r w:rsidRPr="00913F4E">
        <w:rPr>
          <w:rFonts w:ascii="Times New Roman" w:eastAsia="Times New Roman" w:hAnsi="Times New Roman" w:cs="Times New Roman"/>
          <w:sz w:val="24"/>
          <w:szCs w:val="24"/>
        </w:rPr>
        <w:t xml:space="preserve"> </w:t>
      </w:r>
      <w:r w:rsidRPr="00913F4E">
        <w:rPr>
          <w:rFonts w:ascii="Times New Roman" w:eastAsia="Times New Roman" w:hAnsi="Times New Roman" w:cs="Times New Roman"/>
          <w:b/>
          <w:sz w:val="24"/>
          <w:szCs w:val="24"/>
        </w:rPr>
        <w:t>7/10/13</w:t>
      </w:r>
      <w:r w:rsidRPr="00913F4E">
        <w:rPr>
          <w:rFonts w:ascii="Times New Roman" w:eastAsia="Times New Roman" w:hAnsi="Times New Roman" w:cs="Times New Roman"/>
          <w:sz w:val="24"/>
          <w:szCs w:val="24"/>
        </w:rPr>
        <w:t>)</w:t>
      </w:r>
    </w:p>
    <w:p w:rsidR="00D51697" w:rsidRDefault="00D51697" w:rsidP="00387350">
      <w:pPr>
        <w:spacing w:before="100" w:beforeAutospacing="1" w:after="100" w:afterAutospacing="1" w:line="240" w:lineRule="auto"/>
        <w:jc w:val="both"/>
        <w:rPr>
          <w:rFonts w:ascii="Times New Roman" w:eastAsia="Times New Roman" w:hAnsi="Times New Roman" w:cs="Times New Roman"/>
          <w:bCs/>
          <w:sz w:val="24"/>
          <w:szCs w:val="24"/>
        </w:rPr>
      </w:pPr>
      <w:r w:rsidRPr="00A40A33">
        <w:rPr>
          <w:rFonts w:ascii="Times New Roman" w:eastAsia="Times New Roman" w:hAnsi="Times New Roman" w:cs="Times New Roman"/>
          <w:sz w:val="24"/>
          <w:szCs w:val="24"/>
        </w:rPr>
        <w:t xml:space="preserve">Sin las ayudas a la banca, los desembolsos públicos se sitúan en el 45% del PIB, una cifra igual a la que gasta Alemania y a la misma altura que cuando Zapatero se vio obligado a un recorte drástico. Incluso en esos niveles, el ministro Montoro insiste en </w:t>
      </w:r>
      <w:r w:rsidRPr="00A40A33">
        <w:rPr>
          <w:rFonts w:ascii="Times New Roman" w:eastAsia="Times New Roman" w:hAnsi="Times New Roman" w:cs="Times New Roman"/>
          <w:sz w:val="24"/>
          <w:szCs w:val="24"/>
        </w:rPr>
        <w:lastRenderedPageBreak/>
        <w:t xml:space="preserve">aumentar el gasto en los Presupuestos de 2014 un 2,4 por ciento, muy por encima de lo que crecerá el PIB nominal y, por lo tanto, la riqueza del país. Estos hechos subrayan la dificultad de embridar las cuentas y ponen de relieve la dimensión del reto que todavía hay que afrontar. El ajuste del gasto que se ha hecho en España no tiene precedentes, reitera machaconamente el ministro de Hacienda, </w:t>
      </w:r>
      <w:r w:rsidRPr="00A40A33">
        <w:rPr>
          <w:rFonts w:ascii="Times New Roman" w:eastAsia="Times New Roman" w:hAnsi="Times New Roman" w:cs="Times New Roman"/>
          <w:bCs/>
          <w:sz w:val="24"/>
          <w:szCs w:val="24"/>
        </w:rPr>
        <w:t>Cristóbal Montoro</w:t>
      </w:r>
      <w:r w:rsidRPr="00A40A33">
        <w:rPr>
          <w:rFonts w:ascii="Times New Roman" w:eastAsia="Times New Roman" w:hAnsi="Times New Roman" w:cs="Times New Roman"/>
          <w:sz w:val="24"/>
          <w:szCs w:val="24"/>
        </w:rPr>
        <w:t xml:space="preserve">. Durante la rueda de prensa en la que presentó los Presupuestos de 2014, incluso dibujó un cuadro en el que sostenía que se había recortado el gasto en 20.956 millones a lo largo de 2012. Sin embargo, los números ponen en tela de juicio las afirmaciones del titular de Hacienda. No se ha hecho lo suficiente. De acuerdo con las estadísticas que arroja el INE, </w:t>
      </w:r>
      <w:r w:rsidRPr="00A40A33">
        <w:rPr>
          <w:rFonts w:ascii="Times New Roman" w:eastAsia="Times New Roman" w:hAnsi="Times New Roman" w:cs="Times New Roman"/>
          <w:bCs/>
          <w:sz w:val="24"/>
          <w:szCs w:val="24"/>
        </w:rPr>
        <w:t>el gasto público alcanza el 47,3 por ciento del PIB entre junio de 2012 y junio de 2013, unos niveles nunca registrados en la historia.</w:t>
      </w:r>
    </w:p>
    <w:p w:rsidR="00D51697" w:rsidRDefault="00D51697" w:rsidP="00387350">
      <w:pPr>
        <w:pStyle w:val="NormalWeb"/>
        <w:jc w:val="both"/>
      </w:pPr>
      <w:r>
        <w:t xml:space="preserve">- </w:t>
      </w:r>
      <w:r w:rsidRPr="00DD26E2">
        <w:rPr>
          <w:u w:val="single"/>
        </w:rPr>
        <w:t>El Estado gastará el próximo año 63.000 millones más que en el pico de la burbuja</w:t>
      </w:r>
      <w:r>
        <w:t xml:space="preserve"> (Libertad Digital - </w:t>
      </w:r>
      <w:r w:rsidRPr="00DD26E2">
        <w:rPr>
          <w:b/>
        </w:rPr>
        <w:t>9/10/13</w:t>
      </w:r>
      <w:r>
        <w:t>)</w:t>
      </w:r>
    </w:p>
    <w:p w:rsidR="00D51697" w:rsidRPr="00DD26E2" w:rsidRDefault="00D51697" w:rsidP="00387350">
      <w:pPr>
        <w:pStyle w:val="NormalWeb"/>
        <w:jc w:val="both"/>
      </w:pPr>
      <w:r w:rsidRPr="00DD26E2">
        <w:rPr>
          <w:noProof/>
        </w:rPr>
        <w:drawing>
          <wp:inline distT="0" distB="0" distL="0" distR="0" wp14:anchorId="102EBE35" wp14:editId="6C43AEA0">
            <wp:extent cx="5398600" cy="2296972"/>
            <wp:effectExtent l="0" t="0" r="0" b="8255"/>
            <wp:docPr id="514" name="Imagen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5398600" cy="2296972"/>
                    </a:xfrm>
                    <a:prstGeom prst="rect">
                      <a:avLst/>
                    </a:prstGeom>
                    <a:noFill/>
                    <a:ln>
                      <a:noFill/>
                    </a:ln>
                  </pic:spPr>
                </pic:pic>
              </a:graphicData>
            </a:graphic>
          </wp:inline>
        </w:drawing>
      </w:r>
    </w:p>
    <w:p w:rsidR="00D51697" w:rsidRDefault="00D51697" w:rsidP="00387350">
      <w:pPr>
        <w:pStyle w:val="NormalWeb"/>
        <w:jc w:val="both"/>
      </w:pPr>
      <w:r w:rsidRPr="001C7DC5">
        <w:rPr>
          <w:rStyle w:val="Textoennegrita"/>
          <w:b w:val="0"/>
        </w:rPr>
        <w:t>“Austeridad”</w:t>
      </w:r>
      <w:r w:rsidRPr="001C7DC5">
        <w:rPr>
          <w:b/>
        </w:rPr>
        <w:t>.</w:t>
      </w:r>
      <w:r w:rsidRPr="00A40A33">
        <w:t xml:space="preserve"> Éste es uno de los términos que ha empleado el Gobierno y, más concretamente, el ministro de Hacienda, </w:t>
      </w:r>
      <w:r w:rsidRPr="001C7DC5">
        <w:rPr>
          <w:rStyle w:val="Textoennegrita"/>
          <w:b w:val="0"/>
        </w:rPr>
        <w:t>Cristóbal Montoro</w:t>
      </w:r>
      <w:r w:rsidRPr="001C7DC5">
        <w:rPr>
          <w:b/>
        </w:rPr>
        <w:t xml:space="preserve">, </w:t>
      </w:r>
      <w:r w:rsidRPr="00DD6D81">
        <w:t>para anunciar el proyecto de</w:t>
      </w:r>
      <w:r w:rsidRPr="001C7DC5">
        <w:rPr>
          <w:b/>
        </w:rPr>
        <w:t xml:space="preserve"> </w:t>
      </w:r>
      <w:r w:rsidRPr="001C7DC5">
        <w:rPr>
          <w:rStyle w:val="Textoennegrita"/>
          <w:b w:val="0"/>
        </w:rPr>
        <w:t>Presupuestos Generales del Estado (PGE) para 2014</w:t>
      </w:r>
      <w:r w:rsidRPr="00A40A33">
        <w:t xml:space="preserve"> presentado al Congreso la semana pasada. Sin embargo, el análisis de las grandes cifras por el lado de los gastos arroja una imagen muy diferente a lo que, comúnmente, se entiende por austeridad. Y es que, el gasto público, lejos de reducirse, aumentará, como mínimo, otro</w:t>
      </w:r>
      <w:r w:rsidRPr="00A40A33">
        <w:rPr>
          <w:rStyle w:val="Textoennegrita"/>
        </w:rPr>
        <w:t xml:space="preserve"> </w:t>
      </w:r>
      <w:r w:rsidRPr="001C7DC5">
        <w:rPr>
          <w:rStyle w:val="Textoennegrita"/>
          <w:b w:val="0"/>
        </w:rPr>
        <w:t>2,7% interanual</w:t>
      </w:r>
      <w:r w:rsidRPr="00A40A33">
        <w:rPr>
          <w:rStyle w:val="Textoennegrita"/>
        </w:rPr>
        <w:t xml:space="preserve"> </w:t>
      </w:r>
      <w:r w:rsidRPr="00A40A33">
        <w:t>el próximo ejercicio. En concreto, el</w:t>
      </w:r>
      <w:r w:rsidRPr="00A40A33">
        <w:rPr>
          <w:rStyle w:val="Textoennegrita"/>
        </w:rPr>
        <w:t xml:space="preserve"> </w:t>
      </w:r>
      <w:r w:rsidRPr="00DD6D81">
        <w:rPr>
          <w:rStyle w:val="Textoennegrita"/>
          <w:b w:val="0"/>
        </w:rPr>
        <w:t>gasto total</w:t>
      </w:r>
      <w:r w:rsidRPr="00A40A33">
        <w:rPr>
          <w:rStyle w:val="Textoennegrita"/>
        </w:rPr>
        <w:t xml:space="preserve"> </w:t>
      </w:r>
      <w:r w:rsidRPr="00A40A33">
        <w:t xml:space="preserve">del Estado (Gobierno central, organismos autónomos, Seguridad Social y otras agencias) subirá hasta los </w:t>
      </w:r>
      <w:r w:rsidRPr="001C7DC5">
        <w:rPr>
          <w:rStyle w:val="Textoennegrita"/>
          <w:b w:val="0"/>
        </w:rPr>
        <w:t>423.227 millones</w:t>
      </w:r>
      <w:r w:rsidRPr="00A40A33">
        <w:t xml:space="preserve"> de euros en 2014, según las estimaciones de Hacienda. Es decir, unos </w:t>
      </w:r>
      <w:hyperlink r:id="rId512" w:tgtFrame="_blank" w:history="1">
        <w:r w:rsidRPr="001C7DC5">
          <w:rPr>
            <w:rStyle w:val="Hipervnculo"/>
            <w:color w:val="auto"/>
            <w:u w:val="none"/>
          </w:rPr>
          <w:t>15.000 millones más</w:t>
        </w:r>
      </w:hyperlink>
      <w:r w:rsidRPr="001C7DC5">
        <w:t xml:space="preserve"> </w:t>
      </w:r>
      <w:r w:rsidRPr="00A40A33">
        <w:t xml:space="preserve">(3,7%) que los PGE de 2013. Sin embargo, a esta rúbrica es preciso restarle la partida destinada a refinanciar deuda pública (68.605 millones que se emiten para amortizar vencimientos), con lo que el gasto real del Estado se situará </w:t>
      </w:r>
      <w:r w:rsidRPr="00DD6D81">
        <w:t>en</w:t>
      </w:r>
      <w:r w:rsidRPr="001C7DC5">
        <w:rPr>
          <w:b/>
        </w:rPr>
        <w:t xml:space="preserve"> </w:t>
      </w:r>
      <w:r w:rsidRPr="001C7DC5">
        <w:rPr>
          <w:rStyle w:val="Textoennegrita"/>
          <w:b w:val="0"/>
        </w:rPr>
        <w:t>354.622 millones, un 2,7% más</w:t>
      </w:r>
      <w:r w:rsidRPr="00A40A33">
        <w:t xml:space="preserve"> que en 2013 (9.172 millones extra), un ritmo casi cuatro veces superior al crecimiento económico previsto para el próximo año (0,7%). Sin embargo, lo más relevante de este dato es que</w:t>
      </w:r>
      <w:r w:rsidRPr="00A40A33">
        <w:rPr>
          <w:rStyle w:val="Textoennegrita"/>
        </w:rPr>
        <w:t xml:space="preserve"> </w:t>
      </w:r>
      <w:r w:rsidRPr="001C7DC5">
        <w:rPr>
          <w:rStyle w:val="Textoennegrita"/>
          <w:b w:val="0"/>
        </w:rPr>
        <w:t>supera en cerca de 63.400 millones de euros el gasto registrado en 2007</w:t>
      </w:r>
      <w:r w:rsidRPr="001C7DC5">
        <w:rPr>
          <w:b/>
        </w:rPr>
        <w:t>,</w:t>
      </w:r>
      <w:r w:rsidRPr="00A40A33">
        <w:t xml:space="preserve"> según refleja la evolución de los Presupuestos consolidados. Es decir, el Estado gastará el próximo año un </w:t>
      </w:r>
      <w:r w:rsidRPr="001C7DC5">
        <w:rPr>
          <w:rStyle w:val="Textoennegrita"/>
          <w:b w:val="0"/>
        </w:rPr>
        <w:t>21,8% más</w:t>
      </w:r>
      <w:r w:rsidRPr="00A40A33">
        <w:rPr>
          <w:rStyle w:val="Textoennegrita"/>
        </w:rPr>
        <w:t xml:space="preserve"> </w:t>
      </w:r>
      <w:r w:rsidRPr="00A40A33">
        <w:t>que en el pico de la burbuja inmobiliaria, cuando el PIB crecía a un fuerte ritmo y la tasa de paro se situaba en mínimos históricos. En ese ejercicio, 2007, el gasto estatal ascendía a 291.191 millones de euros.</w:t>
      </w:r>
    </w:p>
    <w:p w:rsidR="00D51697" w:rsidRDefault="00D51697" w:rsidP="00387350">
      <w:pPr>
        <w:pStyle w:val="NormalWeb"/>
        <w:jc w:val="both"/>
      </w:pPr>
      <w:r w:rsidRPr="005F0662">
        <w:lastRenderedPageBreak/>
        <w:t xml:space="preserve">- </w:t>
      </w:r>
      <w:r w:rsidRPr="007408ED">
        <w:rPr>
          <w:u w:val="single"/>
        </w:rPr>
        <w:t>El gasto público seguirá por encima del 40% del PIB al menos hasta 2018</w:t>
      </w:r>
      <w:r>
        <w:t xml:space="preserve"> (El Confidencial - </w:t>
      </w:r>
      <w:r w:rsidRPr="007408ED">
        <w:rPr>
          <w:b/>
        </w:rPr>
        <w:t>10/10/13</w:t>
      </w:r>
      <w:r>
        <w:t>) (Por Carlos Sánchez)</w:t>
      </w:r>
    </w:p>
    <w:p w:rsidR="00D51697" w:rsidRDefault="00D51697" w:rsidP="00387350">
      <w:pPr>
        <w:pStyle w:val="NormalWeb"/>
        <w:jc w:val="both"/>
      </w:pPr>
      <w:r w:rsidRPr="00A40A33">
        <w:t>¿Qué significa esto? Pues que pese a la disciplina presupuestaria y la senda de consolidación fiscal (con recortes de salarios públicos y pensiones), el nivel de gasto público respecto de la riqueza nacional apenas cede. De hecho, en 2018 seguirá siendo superior al nivel registrado en 2007, al comienzo de la crisis, lo que pone de relieve las dificultades para reducirlo, fundamentalmente por el peso de la carga financiera y de los costes del desempleo. Al comenzar la crisis, el gasto público apenas representaba el 39,2% del PIB, mientras que en 2013 acabará, según las previsiones del FMI, en un 44,4% del indicador.</w:t>
      </w:r>
      <w:r>
        <w:t xml:space="preserve"> </w:t>
      </w:r>
      <w:r w:rsidRPr="00A40A33">
        <w:t>Este nivel, con todo, seguirá siendo de los más bajos de la Eurozona, donde el sector público representará este año el 49,8% del PIB. Es decir, algo más de cinco puntos más que en España. La diferencia estriba en que, si en la Eurozona el peso del gasto público ha crecido apenas tres puntos de PIB desde que estallara la crisis, en España ha subido algo más cinco puntos.</w:t>
      </w:r>
      <w:r>
        <w:t xml:space="preserve"> </w:t>
      </w:r>
      <w:r w:rsidRPr="00A40A33">
        <w:t>Estos dos puntos de diferencia, sin embargo, no explican la persistencia de elevados déficits públicos en el caso español. La causa de tan abultados desequilibrios tiene que ver, sobre todo, con la caída de los ingresos, que ha sido especialmente intensa. Hasta el extremo de que España seguirá siendo en 2013 el país de la Eurozona con menos recaudación. En concreto, un 37,7% del PIB pese a que ha sido una de las naciones -junto a Grecia y Portugal- que más ha elevado los tipos impositivos.</w:t>
      </w:r>
      <w:r>
        <w:t xml:space="preserve"> </w:t>
      </w:r>
      <w:r w:rsidRPr="00A40A33">
        <w:t>Pues bien, pese a ello, la Hacienda española recaudará este año nueve puntos de PIB menos que la de la Eurozona (un 46,7% del PIB). Incluso Grecia (42,9% del PIB) y Portugal (43,1%) ingresarán más, lo que pone de relieve las dificultades de España para recaudar.</w:t>
      </w:r>
    </w:p>
    <w:p w:rsidR="00D51697" w:rsidRDefault="00D51697" w:rsidP="00387350">
      <w:pPr>
        <w:pStyle w:val="NormalWeb"/>
        <w:jc w:val="both"/>
      </w:pPr>
      <w:r>
        <w:t xml:space="preserve">- </w:t>
      </w:r>
      <w:r w:rsidRPr="00E5015C">
        <w:rPr>
          <w:u w:val="single"/>
        </w:rPr>
        <w:t>Montoro podría cuadrar las cuentas quitando subvenciones y ayudas</w:t>
      </w:r>
      <w:r>
        <w:t xml:space="preserve"> (Libertad Digital - </w:t>
      </w:r>
      <w:r w:rsidRPr="00E5015C">
        <w:rPr>
          <w:b/>
        </w:rPr>
        <w:t>10/10/13</w:t>
      </w:r>
      <w:r>
        <w:t>)</w:t>
      </w:r>
    </w:p>
    <w:p w:rsidR="00D51697" w:rsidRDefault="00D51697" w:rsidP="00387350">
      <w:pPr>
        <w:pStyle w:val="NormalWeb"/>
        <w:jc w:val="both"/>
      </w:pPr>
      <w:r w:rsidRPr="00150228">
        <w:t xml:space="preserve">Entre 2007 y 2014, el gasto no financiero (quitando refinanciaciones de deuda pública y activos financieros) ha pasado de 270.000 a 314.000 millones de euros. Esto se ha debido, fundamentalmente, a tres líneas: prestaciones por desempleo (unos 15.000 millones más), Seguridad Social (aproximadamente 31.000 millones más) </w:t>
      </w:r>
      <w:r w:rsidRPr="00DD6D81">
        <w:t xml:space="preserve">y </w:t>
      </w:r>
      <w:r w:rsidRPr="00DD6D81">
        <w:rPr>
          <w:rStyle w:val="Textoennegrita"/>
          <w:b w:val="0"/>
        </w:rPr>
        <w:t>pago de los intereses de la deuda</w:t>
      </w:r>
      <w:r w:rsidRPr="00150228">
        <w:t xml:space="preserve"> (21.000 millones de incremento). Ni siquiera el ahorro en personal (8.000 millones) o inversiones (9.000 millones) han logrado equilibrar las cuentas. Es evidente que el Gobierno tiene un problema. Las partidas que se incrementan son del denominado </w:t>
      </w:r>
      <w:r>
        <w:rPr>
          <w:rStyle w:val="Textoennegrita"/>
          <w:b w:val="0"/>
        </w:rPr>
        <w:t>“gasto estructural”</w:t>
      </w:r>
      <w:r w:rsidRPr="00150228">
        <w:t xml:space="preserve">. Quizás podría pensarse en una reducción de los subsidios del paro si se lograse crear empleo con fuerza (algo complicado según las propias previsiones oficiales). Pero en cualquier caso, las otras dos grandes losas de los PGE, pensiones e intereses de la deuda, seguirán ahí, creciendo año a año, dejando a Hacienda sin demasiado margen de maniobra… Sin embargo, un vistazo rápido a las grandes partidas ministeriales deja margen para discutir el planteamiento oficial. No hablamos de plantear recortes dentro de cada uno de los programas, algo para lo que habría que analizarlos uno a uno. O de reducir un coche oficial aquí y una dieta allá; este tipo de gastos son muy </w:t>
      </w:r>
      <w:r>
        <w:t>“</w:t>
      </w:r>
      <w:r w:rsidRPr="0016672C">
        <w:rPr>
          <w:rStyle w:val="nfasis"/>
          <w:i w:val="0"/>
        </w:rPr>
        <w:t>molestos</w:t>
      </w:r>
      <w:r>
        <w:rPr>
          <w:rStyle w:val="nfasis"/>
          <w:i w:val="0"/>
        </w:rPr>
        <w:t>”</w:t>
      </w:r>
      <w:r w:rsidRPr="0016672C">
        <w:rPr>
          <w:i/>
        </w:rPr>
        <w:t xml:space="preserve"> </w:t>
      </w:r>
      <w:r w:rsidRPr="00150228">
        <w:t xml:space="preserve">desde el punto de vista de la opinión pública, pero apenas suponen unas </w:t>
      </w:r>
      <w:r>
        <w:t>“</w:t>
      </w:r>
      <w:r w:rsidRPr="0016672C">
        <w:rPr>
          <w:rStyle w:val="nfasis"/>
          <w:i w:val="0"/>
        </w:rPr>
        <w:t>migajas</w:t>
      </w:r>
      <w:r>
        <w:rPr>
          <w:rStyle w:val="nfasis"/>
          <w:i w:val="0"/>
        </w:rPr>
        <w:t>”</w:t>
      </w:r>
      <w:r w:rsidRPr="00150228">
        <w:t xml:space="preserve"> en el total de los PGE. El planteamiento sería eliminar programas que en su mayor parte consisten en </w:t>
      </w:r>
      <w:r w:rsidRPr="001C7DC5">
        <w:rPr>
          <w:rStyle w:val="Textoennegrita"/>
          <w:b w:val="0"/>
        </w:rPr>
        <w:t>inyecciones directas de dinero</w:t>
      </w:r>
      <w:r w:rsidRPr="00150228">
        <w:t xml:space="preserve"> (normalmente en forma de subvenciones o ayudas) desde el Estado hacia un sector, una empresa o una organización. Habría que preguntarse por qué hay que entregar dinero de los contribuyentes, si el consumidor-cliente-benefactor no lo hace voluntariamente. Y eso sin entrar en los que podríamos llamar costes de </w:t>
      </w:r>
      <w:r>
        <w:t>“</w:t>
      </w:r>
      <w:r w:rsidRPr="0016672C">
        <w:rPr>
          <w:rStyle w:val="nfasis"/>
          <w:i w:val="0"/>
        </w:rPr>
        <w:t>segunda ronda</w:t>
      </w:r>
      <w:r>
        <w:rPr>
          <w:rStyle w:val="nfasis"/>
          <w:i w:val="0"/>
        </w:rPr>
        <w:t>”</w:t>
      </w:r>
      <w:r w:rsidRPr="00150228">
        <w:t xml:space="preserve">, derivados de los </w:t>
      </w:r>
      <w:r w:rsidRPr="00150228">
        <w:lastRenderedPageBreak/>
        <w:t>precios más elevados de determinados bienes o servicios subvencionados</w:t>
      </w:r>
      <w:r>
        <w:t xml:space="preserve">… </w:t>
      </w:r>
      <w:r w:rsidRPr="00150228">
        <w:t xml:space="preserve">La mayoría son </w:t>
      </w:r>
      <w:r w:rsidRPr="0016672C">
        <w:rPr>
          <w:rStyle w:val="Textoennegrita"/>
          <w:b w:val="0"/>
        </w:rPr>
        <w:t>ayudas directas del Estado</w:t>
      </w:r>
      <w:r w:rsidRPr="00150228">
        <w:t xml:space="preserve"> hacia un sector determinado. La tipología es enorme. Habrá quien esté a favor de quitar unas y no de otras. Pero si mañana el Gobierno quisiera quitarse una mochila de 27.000 millones de un día para otro, podría hacerlo perfectamente</w:t>
      </w:r>
      <w:r>
        <w:t>.</w:t>
      </w:r>
    </w:p>
    <w:p w:rsidR="00D51697" w:rsidRDefault="00D51697" w:rsidP="00387350">
      <w:pPr>
        <w:pStyle w:val="NormalWeb"/>
        <w:jc w:val="both"/>
      </w:pPr>
      <w:r>
        <w:t xml:space="preserve">- </w:t>
      </w:r>
      <w:r w:rsidRPr="00195DD2">
        <w:rPr>
          <w:u w:val="single"/>
        </w:rPr>
        <w:t xml:space="preserve">El 70% de los políticos jamás ha trabajado en el sector privado </w:t>
      </w:r>
      <w:r>
        <w:t xml:space="preserve">(El Confidencial - </w:t>
      </w:r>
      <w:r w:rsidRPr="00195DD2">
        <w:rPr>
          <w:b/>
        </w:rPr>
        <w:t>12/10/13</w:t>
      </w:r>
      <w:r>
        <w:t>)</w:t>
      </w:r>
    </w:p>
    <w:p w:rsidR="00D51697" w:rsidRPr="001C7DC5" w:rsidRDefault="00D51697" w:rsidP="00387350">
      <w:pPr>
        <w:pStyle w:val="NormalWeb"/>
        <w:jc w:val="both"/>
      </w:pPr>
      <w:r w:rsidRPr="00150228">
        <w:t xml:space="preserve">¿Cuánto ha aumentado la presión fiscal en España desde la llegada al poder de Mariano Rajoy? La respuesta a esta pregunta la encontramos en el </w:t>
      </w:r>
      <w:hyperlink r:id="rId513" w:history="1">
        <w:r w:rsidRPr="001C7DC5">
          <w:rPr>
            <w:rStyle w:val="Hipervnculo"/>
            <w:color w:val="auto"/>
            <w:u w:val="none"/>
          </w:rPr>
          <w:t>Informe Económico Financiero</w:t>
        </w:r>
      </w:hyperlink>
      <w:r w:rsidRPr="001C7DC5">
        <w:t xml:space="preserve"> que el gabinete ha publicado de la mano de los Presupuestos Generales del Estado para 2014. El documento en cuestión confirma que las subidas de impuestos aprobadas desde finales de 2011 van a costar a las empresas y los trabajadores españoles la friolera de 31.000 millones de euros. Semejante aumento de la presión fiscal no será suficiente para que las cuentas del Ministerio de Hacienda cumplan con los objetivos previstos. En 2013, Cristóbal Montoro esperaba tener ingresos fiscales por valor de 177.860 millones de euros… pero la recaudación final estimada ahora por el gobierno para el presente año es de 175.520 millones de euros, </w:t>
      </w:r>
      <w:hyperlink r:id="rId514" w:history="1">
        <w:r w:rsidRPr="001C7DC5">
          <w:rPr>
            <w:rStyle w:val="Hipervnculo"/>
            <w:color w:val="auto"/>
            <w:u w:val="none"/>
          </w:rPr>
          <w:t>una caída de 2.340 millones</w:t>
        </w:r>
      </w:hyperlink>
      <w:r w:rsidRPr="001C7DC5">
        <w:t xml:space="preserve"> respecto a lo esperado... Diferentes informaciones apuntan que el gobierno da por bueno cerrar el año con un </w:t>
      </w:r>
      <w:hyperlink r:id="rId515" w:history="1">
        <w:r w:rsidRPr="001C7DC5">
          <w:rPr>
            <w:rStyle w:val="Hipervnculo"/>
            <w:color w:val="auto"/>
            <w:u w:val="none"/>
          </w:rPr>
          <w:t>déficit cercano al 7%</w:t>
        </w:r>
      </w:hyperlink>
      <w:r w:rsidRPr="001C7DC5">
        <w:t xml:space="preserve">. No obstante, hay estimaciones aún más pesimistas: el equipo económico de La Caixa cree que el déficit ha crecido en 6.000 millones, pasando de 39.000 a 45.000 millones entre agosto de 2012 y 2013. Por su parte, Libre Mercado señala que este desajuste podría ser aún mayor, </w:t>
      </w:r>
      <w:hyperlink r:id="rId516" w:history="1">
        <w:r w:rsidRPr="001C7DC5">
          <w:rPr>
            <w:rStyle w:val="Hipervnculo"/>
            <w:color w:val="auto"/>
            <w:u w:val="none"/>
          </w:rPr>
          <w:t>alcanzando el déficit un nivel del 8% del PIB</w:t>
        </w:r>
      </w:hyperlink>
      <w:r w:rsidRPr="001C7DC5">
        <w:t xml:space="preserve">… Parece evidente que los gestores del dinero de los contribuyentes españoles no parecen tener mucha preocupación por la riqueza del sector privado. Es posible que esto se deba a </w:t>
      </w:r>
      <w:hyperlink r:id="rId517" w:history="1">
        <w:r w:rsidRPr="001C7DC5">
          <w:rPr>
            <w:rStyle w:val="Hipervnculo"/>
            <w:color w:val="auto"/>
            <w:u w:val="none"/>
          </w:rPr>
          <w:t>que siete de cada diez cargos públicos no tiene experiencia alguna en el sector empresarial</w:t>
        </w:r>
      </w:hyperlink>
      <w:r w:rsidRPr="001C7DC5">
        <w:t>, bien como gestores o como trabajadores.</w:t>
      </w:r>
    </w:p>
    <w:p w:rsidR="00D51697" w:rsidRDefault="00D51697" w:rsidP="00387350">
      <w:pPr>
        <w:pStyle w:val="NormalWeb"/>
        <w:jc w:val="both"/>
      </w:pPr>
      <w:r>
        <w:t xml:space="preserve">- </w:t>
      </w:r>
      <w:r w:rsidRPr="00B151D6">
        <w:rPr>
          <w:u w:val="single"/>
        </w:rPr>
        <w:t>Las capitales de provincia aprueban 50 subidas de impuestos</w:t>
      </w:r>
      <w:r>
        <w:t xml:space="preserve"> (Libertad Digital - </w:t>
      </w:r>
      <w:r w:rsidRPr="00B151D6">
        <w:rPr>
          <w:b/>
        </w:rPr>
        <w:t>14/10/13</w:t>
      </w:r>
      <w:r>
        <w:t>)</w:t>
      </w:r>
    </w:p>
    <w:p w:rsidR="00D51697" w:rsidRDefault="00D51697" w:rsidP="00387350">
      <w:pPr>
        <w:pStyle w:val="NormalWeb"/>
        <w:jc w:val="both"/>
        <w:rPr>
          <w:rStyle w:val="Textoennegrita"/>
          <w:b w:val="0"/>
        </w:rPr>
      </w:pPr>
      <w:r w:rsidRPr="001C7DC5">
        <w:t xml:space="preserve">El </w:t>
      </w:r>
      <w:r w:rsidRPr="001C7DC5">
        <w:rPr>
          <w:rStyle w:val="Textoennegrita"/>
          <w:b w:val="0"/>
        </w:rPr>
        <w:t>enorme aumento de la presión fiscal</w:t>
      </w:r>
      <w:r w:rsidRPr="001C7DC5">
        <w:t xml:space="preserve"> que ha vivido España durante el último lustro, </w:t>
      </w:r>
      <w:hyperlink r:id="rId518" w:history="1">
        <w:r w:rsidRPr="001C7DC5">
          <w:rPr>
            <w:rStyle w:val="Hipervnculo"/>
            <w:color w:val="auto"/>
            <w:u w:val="none"/>
          </w:rPr>
          <w:t>cifrado en 51.000 millones</w:t>
        </w:r>
      </w:hyperlink>
      <w:r w:rsidRPr="001C7DC5">
        <w:t xml:space="preserve"> de euros para el periodo 2010-2014, no ha servido para solucionar los problemas de déficit y deuda que arrastran las Administraciones Públicas. Sin embargo, las subidas de impuestos siguen estando a la orden del día en nuestro país, tanto a nivel nacional como a nivel autonómico y local… A nivel local, los contribuyentes también se enfrentan a una lluvia de impuestos. Más concretamente, las </w:t>
      </w:r>
      <w:r w:rsidRPr="001C7DC5">
        <w:rPr>
          <w:rStyle w:val="Textoennegrita"/>
          <w:b w:val="0"/>
        </w:rPr>
        <w:t>capitales</w:t>
      </w:r>
      <w:r w:rsidRPr="001C7DC5">
        <w:rPr>
          <w:b/>
        </w:rPr>
        <w:t xml:space="preserve"> </w:t>
      </w:r>
      <w:r w:rsidRPr="001C7DC5">
        <w:t xml:space="preserve">españolas han aprobado </w:t>
      </w:r>
      <w:hyperlink r:id="rId519" w:history="1">
        <w:r w:rsidRPr="001C7DC5">
          <w:rPr>
            <w:rStyle w:val="Hipervnculo"/>
            <w:color w:val="auto"/>
            <w:u w:val="none"/>
          </w:rPr>
          <w:t>más de 50 subidas de impuestos</w:t>
        </w:r>
      </w:hyperlink>
      <w:r w:rsidRPr="001C7DC5">
        <w:t xml:space="preserve"> en el último curso… Por su parte, los </w:t>
      </w:r>
      <w:r w:rsidRPr="001C7DC5">
        <w:rPr>
          <w:rStyle w:val="Textoennegrita"/>
          <w:b w:val="0"/>
        </w:rPr>
        <w:t>gobiernos autonómicos</w:t>
      </w:r>
      <w:r w:rsidRPr="001C7DC5">
        <w:t xml:space="preserve"> tampoco se quedan cortos a la hora de aumentar la presión fiscal. Desde 2010, los Ejecutivos regionales </w:t>
      </w:r>
      <w:hyperlink r:id="rId520" w:history="1">
        <w:r w:rsidRPr="001C7DC5">
          <w:rPr>
            <w:rStyle w:val="Hipervnculo"/>
            <w:color w:val="auto"/>
            <w:u w:val="none"/>
          </w:rPr>
          <w:t xml:space="preserve">han aprobado más de </w:t>
        </w:r>
        <w:r w:rsidRPr="001C7DC5">
          <w:rPr>
            <w:rStyle w:val="Textoennegrita"/>
            <w:b w:val="0"/>
          </w:rPr>
          <w:t>120 subidas de impuestos</w:t>
        </w:r>
      </w:hyperlink>
      <w:r w:rsidRPr="001C7DC5">
        <w:t>. Buena parte de esta estrategia se apoyó en el aumento de gravámenes ya existentes, pero la “</w:t>
      </w:r>
      <w:r w:rsidRPr="001C7DC5">
        <w:rPr>
          <w:rStyle w:val="nfasis"/>
          <w:i w:val="0"/>
        </w:rPr>
        <w:t>creatividad tributaria”</w:t>
      </w:r>
      <w:r w:rsidRPr="001C7DC5">
        <w:t xml:space="preserve"> también ha estado a la orden del día, ya que </w:t>
      </w:r>
      <w:hyperlink r:id="rId521" w:history="1">
        <w:r w:rsidR="001C7DC5" w:rsidRPr="001C7DC5">
          <w:rPr>
            <w:rStyle w:val="Hipervnculo"/>
            <w:color w:val="auto"/>
            <w:u w:val="none"/>
          </w:rPr>
          <w:t>las CCAAs se</w:t>
        </w:r>
        <w:r w:rsidR="001C7DC5" w:rsidRPr="001C7DC5">
          <w:rPr>
            <w:rStyle w:val="Hipervnculo"/>
            <w:b/>
            <w:color w:val="auto"/>
            <w:u w:val="none"/>
          </w:rPr>
          <w:t xml:space="preserve"> </w:t>
        </w:r>
        <w:r w:rsidRPr="001C7DC5">
          <w:rPr>
            <w:rStyle w:val="Textoennegrita"/>
            <w:b w:val="0"/>
          </w:rPr>
          <w:t>han inventado más de 40 nuevos impuestos</w:t>
        </w:r>
      </w:hyperlink>
      <w:r w:rsidRPr="001C7DC5">
        <w:rPr>
          <w:rStyle w:val="Textoennegrita"/>
          <w:b w:val="0"/>
        </w:rPr>
        <w:t xml:space="preserve"> en plena crisis.</w:t>
      </w:r>
    </w:p>
    <w:p w:rsidR="00DD6D81" w:rsidRDefault="00DD6D81" w:rsidP="00387350">
      <w:pPr>
        <w:pStyle w:val="NormalWeb"/>
        <w:jc w:val="both"/>
        <w:rPr>
          <w:rStyle w:val="Textoennegrita"/>
          <w:b w:val="0"/>
        </w:rPr>
      </w:pPr>
    </w:p>
    <w:p w:rsidR="00DD6D81" w:rsidRPr="001C7DC5" w:rsidRDefault="00DD6D81" w:rsidP="00387350">
      <w:pPr>
        <w:pStyle w:val="NormalWeb"/>
        <w:jc w:val="both"/>
        <w:rPr>
          <w:rStyle w:val="Textoennegrita"/>
          <w:b w:val="0"/>
        </w:rPr>
      </w:pPr>
    </w:p>
    <w:p w:rsidR="00D51697" w:rsidRDefault="00D51697" w:rsidP="00387350">
      <w:pPr>
        <w:pStyle w:val="NormalWeb"/>
        <w:jc w:val="both"/>
      </w:pPr>
      <w:r>
        <w:lastRenderedPageBreak/>
        <w:t xml:space="preserve">- </w:t>
      </w:r>
      <w:r w:rsidRPr="000F11F2">
        <w:rPr>
          <w:u w:val="single"/>
        </w:rPr>
        <w:t>Los políticos autonómicos realizaron 931 viajes al extranjero desde 2008 frente a los 718 del Gobierno</w:t>
      </w:r>
      <w:r>
        <w:t xml:space="preserve"> (Vozpópuli - </w:t>
      </w:r>
      <w:r w:rsidRPr="000F11F2">
        <w:rPr>
          <w:b/>
        </w:rPr>
        <w:t>16/10/13</w:t>
      </w:r>
      <w:r>
        <w:t>)</w:t>
      </w:r>
    </w:p>
    <w:p w:rsidR="00D51697" w:rsidRDefault="00D51697" w:rsidP="00387350">
      <w:pPr>
        <w:pStyle w:val="NormalWeb"/>
        <w:jc w:val="both"/>
      </w:pPr>
      <w:r w:rsidRPr="00AE1D7C">
        <w:t>El ministro de Asuntos Exteriores ha ofrecido a las comunidades la integración de sus oficinas en las embajadas de España, de forma que se pueda mejorar la eficacia del servicio y se ahorren gastos, tal y como está haciendo España en delegaciones compartidas con la UE o países iberoamericanos. El ministro de Asuntos Exteriores, José Manuel García-Margallo, ha informado este martes de que responsables de las comunidades autónomas han realizado 931 viajes al exterior desde 2008 y firmaron 277 memorandos de entendimiento, lo que demuestra que es necesario poner orden en la acción exterior española, según informa Efe. Así lo ha avanzado García-Margallo en su defensa ante el pleno del Congreso del proyecto de Ley de la Acción y el Servicio Exterior, que se enfrentaba el martes a las enmiendas de devolución presentadas por la práctica totalidad de los grupos de oposición. El titular de Exteriores ha explicado que cuando llegó al Gobierno se encontró con 166 oficinas de las comunidades autónomas fuera de España, lo que generaba un “enorme desorden” en la acción exterior, también en la propia administración central.</w:t>
      </w:r>
    </w:p>
    <w:p w:rsidR="00D51697" w:rsidRDefault="00D51697" w:rsidP="00387350">
      <w:pPr>
        <w:pStyle w:val="NormalWeb"/>
        <w:jc w:val="both"/>
      </w:pPr>
      <w:r>
        <w:t xml:space="preserve">- </w:t>
      </w:r>
      <w:r w:rsidRPr="0049746D">
        <w:rPr>
          <w:u w:val="single"/>
        </w:rPr>
        <w:t>Las eléctricas, en pie de guerra por las primas a las renovables</w:t>
      </w:r>
      <w:r>
        <w:t xml:space="preserve"> (Libertad Digital - </w:t>
      </w:r>
      <w:r w:rsidRPr="0049746D">
        <w:rPr>
          <w:b/>
        </w:rPr>
        <w:t>19/10/13</w:t>
      </w:r>
      <w:r>
        <w:t>)</w:t>
      </w:r>
    </w:p>
    <w:p w:rsidR="00D51697" w:rsidRDefault="00D51697" w:rsidP="00387350">
      <w:pPr>
        <w:pStyle w:val="NormalWeb"/>
        <w:jc w:val="both"/>
      </w:pPr>
      <w:r w:rsidRPr="001C7DC5">
        <w:t xml:space="preserve">Las grandes compañías temen la factura verde. Este año, las subvenciones superarán los 10.000 millones. El déficit está en 28.000 millones. “Si se suspendiera la producción con esta tecnología [solar] la factura podría bajar en más de un 10%”. Con estas palabras de </w:t>
      </w:r>
      <w:hyperlink r:id="rId522" w:history="1">
        <w:r w:rsidRPr="001C7DC5">
          <w:rPr>
            <w:rStyle w:val="Hipervnculo"/>
            <w:color w:val="auto"/>
            <w:u w:val="none"/>
          </w:rPr>
          <w:t>José Ignacio Sánchez Galán</w:t>
        </w:r>
      </w:hyperlink>
      <w:r w:rsidRPr="001C7DC5">
        <w:t xml:space="preserve">, presidente de Iberdrola, comenzaba una semana muy movida en el sector eléctrico. No ha habido grandes leyes, ni encuentros entre los grandes gigantes, pero eso no ha evitado que </w:t>
      </w:r>
      <w:hyperlink r:id="rId523" w:history="1">
        <w:r w:rsidRPr="001C7DC5">
          <w:rPr>
            <w:rStyle w:val="Hipervnculo"/>
            <w:color w:val="auto"/>
            <w:u w:val="none"/>
          </w:rPr>
          <w:t>cada día se haya hablado</w:t>
        </w:r>
      </w:hyperlink>
      <w:r w:rsidRPr="001C7DC5">
        <w:t xml:space="preserve">, y mucho, de uno de los grandes problemas que tiene por delante la economía española: el </w:t>
      </w:r>
      <w:r w:rsidRPr="00AE1D7C">
        <w:t xml:space="preserve">coste de la electricidad (tanto el que paga el consumidor como el que no paga y se acumula en el déficit de tarifa). Y como casi siempre que este tema sale a la palestra, toda la polémica ha girado en torno a las primas a las energías renovables. La novedad es que en los últimos meses son las </w:t>
      </w:r>
      <w:r w:rsidRPr="0016672C">
        <w:rPr>
          <w:rStyle w:val="Textoennegrita"/>
          <w:b w:val="0"/>
        </w:rPr>
        <w:t>propias eléctricas las que están criticando</w:t>
      </w:r>
      <w:r w:rsidRPr="00AE1D7C">
        <w:t xml:space="preserve"> abiertamente la política seguida en los últimos años. No es fácil, porque desde hace una década, en España, el tema de la</w:t>
      </w:r>
      <w:r w:rsidRPr="00AE1D7C">
        <w:rPr>
          <w:rStyle w:val="nfasis"/>
        </w:rPr>
        <w:t xml:space="preserve"> </w:t>
      </w:r>
      <w:r>
        <w:rPr>
          <w:rStyle w:val="nfasis"/>
          <w:i w:val="0"/>
        </w:rPr>
        <w:t>“</w:t>
      </w:r>
      <w:r w:rsidRPr="0016672C">
        <w:rPr>
          <w:rStyle w:val="nfasis"/>
          <w:i w:val="0"/>
        </w:rPr>
        <w:t>energía verde</w:t>
      </w:r>
      <w:r>
        <w:rPr>
          <w:rStyle w:val="nfasis"/>
          <w:i w:val="0"/>
        </w:rPr>
        <w:t>”</w:t>
      </w:r>
      <w:r w:rsidRPr="00AE1D7C">
        <w:t xml:space="preserve"> ha vendido mucho. Cualquiera que se opusiera era tachado de enemigo del medio ambiente, contaminador o de estar al servicio de oscuros intereses. Pero la situación ha llegado a un punto casi insostenible. En la reunión que hace una semana mantuvieron en Bruselas con representantes de la UE, se llegó a hablar incluso de posibles “apagones</w:t>
      </w:r>
      <w:r w:rsidRPr="001C7DC5">
        <w:rPr>
          <w:rStyle w:val="Textoennegrita"/>
          <w:b w:val="0"/>
        </w:rPr>
        <w:t>”. Las cifras:</w:t>
      </w:r>
      <w:r w:rsidRPr="00AE1D7C">
        <w:rPr>
          <w:rStyle w:val="Textoennegrita"/>
        </w:rPr>
        <w:t xml:space="preserve"> </w:t>
      </w:r>
      <w:r w:rsidRPr="00AE1D7C">
        <w:t xml:space="preserve">El plan de energía renovables 2005-2010 establecía un objetivo de 400 MW para la solar fotovoltaica y 500 MW para la solar termoeléctrica. La capacidad instalada a finales de 2011 era de 4.244 MW (casi un 1000% más) y 999 MW (un 100% más) respectivamente. La razón detrás de este incremento por encima de cualquier previsión es un régimen de primas que no sólo prioriza a los productores solares a la hora de entrar en el sistema, sino que les asegura la remuneración durante varias décadas. Pocas inversiones en las últimas décadas (si es que hay alguna) han tenido esta rentabilidad garantizada. Evidentemente, esto no ha salido gratis. Los 1.180 millones de euros de primas al régimen especial (renovables) de 2004 se convirtieron en 8.158 millones el año pasado. Y en 2013 se habla de más de 10.500 millones. El problema no es sólo de primas a las renovables en cifras globales, sino su reparto por tecnología. En el primer semestre de este año, por ejemplo, entre las termosolares y las plantas fotovoltaicas produjeron 5.924 Gwh, el </w:t>
      </w:r>
      <w:r w:rsidRPr="00AE1D7C">
        <w:lastRenderedPageBreak/>
        <w:t xml:space="preserve">9,9% de la electricidad producida por las renovables. Sin embargo, en ese mismo período recibieron 2.084 millones, más del 52% de las primas. El propio </w:t>
      </w:r>
      <w:hyperlink r:id="rId524" w:history="1">
        <w:r w:rsidRPr="001C7DC5">
          <w:rPr>
            <w:rStyle w:val="Hipervnculo"/>
            <w:color w:val="auto"/>
            <w:u w:val="none"/>
          </w:rPr>
          <w:t>José Manuel Soria</w:t>
        </w:r>
      </w:hyperlink>
      <w:r w:rsidRPr="001C7DC5">
        <w:t xml:space="preserve"> afirmó hace unos días que en España, “el precio medio de producir un megavatio es de 50 euros, si lo produce la energía eólica son 90 euros y si es la </w:t>
      </w:r>
      <w:r w:rsidRPr="00AE1D7C">
        <w:t>fotovoltaica, 450 euros”. Con todos estos datos sobre la mesa, no es extraño que la factura de la luz tenga muy poco que ver con el coste real de producir electricidad y mucho con otros conceptos. De cada 100 que pagamos cada mes, menos de 50 van a pagar la energía, su transporte o la distribución. A cambio, 18,3 euros van a subvenciones a renovables y cogeneración, 5,3 euros a amortizar déficits pasados, 5,5 euros a otros conceptos como sobrecostes en las islas o pagos por capacidad y, finalmente, 21,4 euros a impuestos. Y no sólo eso. Hay que tener en cuenta que hay un régimen de tarifa latente, que no se paga, pero que en algún momento habrá que abonar. Serían 19,1 euros de subida adicional respecto a esos 100 euros teóricos de los que hablamos.</w:t>
      </w:r>
    </w:p>
    <w:p w:rsidR="00D51697" w:rsidRDefault="00D51697" w:rsidP="00387350">
      <w:pPr>
        <w:pStyle w:val="NormalWeb"/>
        <w:jc w:val="both"/>
      </w:pPr>
      <w:r>
        <w:t xml:space="preserve">- </w:t>
      </w:r>
      <w:r w:rsidRPr="00211C24">
        <w:rPr>
          <w:u w:val="single"/>
        </w:rPr>
        <w:t>Proyecto Castor: si gano, para mí; si pierdo, paga el Estado</w:t>
      </w:r>
      <w:r>
        <w:t xml:space="preserve"> (El Confidencial - </w:t>
      </w:r>
      <w:r w:rsidRPr="00211C24">
        <w:rPr>
          <w:b/>
        </w:rPr>
        <w:t>23/10/13</w:t>
      </w:r>
      <w:r>
        <w:t>)</w:t>
      </w:r>
    </w:p>
    <w:p w:rsidR="00D51697" w:rsidRPr="007B00AC" w:rsidRDefault="00D51697" w:rsidP="00387350">
      <w:pPr>
        <w:pStyle w:val="NormalWeb"/>
        <w:jc w:val="both"/>
      </w:pPr>
      <w:r w:rsidRPr="007B00AC">
        <w:t>Vamos a analizar la operación financiera del ya famoso “</w:t>
      </w:r>
      <w:hyperlink r:id="rId525" w:history="1">
        <w:r w:rsidRPr="007B00AC">
          <w:rPr>
            <w:rStyle w:val="Hipervnculo"/>
            <w:color w:val="auto"/>
            <w:u w:val="none"/>
          </w:rPr>
          <w:t>proyecto Castor</w:t>
        </w:r>
      </w:hyperlink>
      <w:r w:rsidRPr="007B00AC">
        <w:rPr>
          <w:rStyle w:val="Hipervnculo"/>
          <w:iCs/>
          <w:color w:val="auto"/>
          <w:u w:val="none"/>
        </w:rPr>
        <w:t>”</w:t>
      </w:r>
      <w:r w:rsidRPr="007B00AC">
        <w:rPr>
          <w:rStyle w:val="nfasis"/>
        </w:rPr>
        <w:t xml:space="preserve"> </w:t>
      </w:r>
      <w:r w:rsidRPr="007B00AC">
        <w:t xml:space="preserve"> de almacenaje submarino de gas delante de la costa mediterránea, ya que en mi opinión recoge todos los típicos vicios de la estrategia propia de la relación entre algunas constructoras y los políticos. La compañía </w:t>
      </w:r>
      <w:r w:rsidRPr="00DD6D81">
        <w:rPr>
          <w:rStyle w:val="Textoennegrita"/>
          <w:b w:val="0"/>
        </w:rPr>
        <w:t>ACS</w:t>
      </w:r>
      <w:r w:rsidRPr="00DD6D81">
        <w:rPr>
          <w:b/>
        </w:rPr>
        <w:t>,</w:t>
      </w:r>
      <w:r w:rsidRPr="007B00AC">
        <w:t xml:space="preserve"> de </w:t>
      </w:r>
      <w:r w:rsidRPr="007B00AC">
        <w:rPr>
          <w:rStyle w:val="Textoennegrita"/>
          <w:b w:val="0"/>
        </w:rPr>
        <w:t>Florentino Pérez</w:t>
      </w:r>
      <w:r w:rsidRPr="007B00AC">
        <w:rPr>
          <w:b/>
        </w:rPr>
        <w:t>,</w:t>
      </w:r>
      <w:r w:rsidRPr="007B00AC">
        <w:t xml:space="preserve"> vio una gran oportunidad en la necesidad española de tener suficientes reservas de gas almacenadas. No sé si lideró la creación inicial del proyecto, pero en cualquier caso sí que le dio el impulso necesario y se hizo con la mayoría de las acciones del proyecto. El pasado 21 de diciembre de 2007, la empresa ACS publicó el siguiente </w:t>
      </w:r>
      <w:hyperlink r:id="rId526" w:history="1">
        <w:r w:rsidRPr="007B00AC">
          <w:rPr>
            <w:rStyle w:val="Hipervnculo"/>
            <w:color w:val="auto"/>
            <w:u w:val="none"/>
          </w:rPr>
          <w:t>anuncio oficial</w:t>
        </w:r>
      </w:hyperlink>
      <w:r w:rsidRPr="007B00AC">
        <w:t xml:space="preserve">: “Por este acuerdo, ACS aumentará su participación en </w:t>
      </w:r>
      <w:r w:rsidRPr="007B00AC">
        <w:rPr>
          <w:rStyle w:val="Textoennegrita"/>
          <w:b w:val="0"/>
        </w:rPr>
        <w:t>Escal UGS S.L.</w:t>
      </w:r>
      <w:r w:rsidRPr="007B00AC">
        <w:t xml:space="preserve"> (la compañía española que desarrolla el proyecto) desde el 5% hasta el 66,67%. Castor Limited Partnership (CLP), de la que </w:t>
      </w:r>
      <w:r w:rsidRPr="007B00AC">
        <w:rPr>
          <w:rStyle w:val="Textoennegrita"/>
          <w:b w:val="0"/>
        </w:rPr>
        <w:t xml:space="preserve">Eurogas </w:t>
      </w:r>
      <w:r w:rsidRPr="007B00AC">
        <w:t xml:space="preserve">posee un 73,7%, tendrá el 33,33% de Escal UGS. Cuando entre en funcionamiento el almacenamiento subterráneo de Castor, ACS venderá a </w:t>
      </w:r>
      <w:r w:rsidRPr="007B00AC">
        <w:rPr>
          <w:rStyle w:val="Textoennegrita"/>
          <w:b w:val="0"/>
        </w:rPr>
        <w:t>Enagás</w:t>
      </w:r>
      <w:r w:rsidRPr="007B00AC">
        <w:rPr>
          <w:rStyle w:val="Textoennegrita"/>
        </w:rPr>
        <w:t xml:space="preserve"> </w:t>
      </w:r>
      <w:r w:rsidRPr="007B00AC">
        <w:t xml:space="preserve">la mitad de su participación del 66,67%. A partir de ese momento CLP, ACS y Enagás poseerán un 33,33% de Escal UGS cada una. La inversión total se estima actualmente en más de 1.200 millones de euros”. Ni ACS ni Enagás han publicado los términos del acuerdo, es decir, el precio de la compraventa, aunque algunos medios lo cifran en unos 400 millones de euros para este 33,33%. A partir de los datos públicos, puede intuirse que este ha sido el proceso: 1.- La sociedad propietaria del Castor pide un préstamo a siete años, </w:t>
      </w:r>
      <w:r w:rsidRPr="007B00AC">
        <w:rPr>
          <w:rStyle w:val="Textoennegrita"/>
          <w:b w:val="0"/>
        </w:rPr>
        <w:t>que le conceden 19 bancos</w:t>
      </w:r>
      <w:r w:rsidRPr="007B00AC">
        <w:t xml:space="preserve"> para iniciar las inversiones del proyecto. 2.- En julio de 2013, la financiación bancaria es sustituida por una </w:t>
      </w:r>
      <w:hyperlink r:id="rId527" w:history="1">
        <w:r w:rsidRPr="007B00AC">
          <w:rPr>
            <w:rStyle w:val="Hipervnculo"/>
            <w:color w:val="auto"/>
            <w:u w:val="none"/>
          </w:rPr>
          <w:t>emisión de bonos</w:t>
        </w:r>
      </w:hyperlink>
      <w:r w:rsidRPr="007B00AC">
        <w:t xml:space="preserve"> en </w:t>
      </w:r>
      <w:r w:rsidRPr="007B00AC">
        <w:rPr>
          <w:rStyle w:val="Textoennegrita"/>
          <w:b w:val="0"/>
        </w:rPr>
        <w:t>Luxemburgo</w:t>
      </w:r>
      <w:r w:rsidRPr="007B00AC">
        <w:rPr>
          <w:rStyle w:val="Textoennegrita"/>
        </w:rPr>
        <w:t xml:space="preserve"> </w:t>
      </w:r>
      <w:r w:rsidRPr="007B00AC">
        <w:t xml:space="preserve">a 21,5 años al 5,756% de interés, por una cifra de 1.400 millones. Por suerte, la mayoría son inversores internacionales, aunque otra vez se resiente la marca España. En esta emisión, el </w:t>
      </w:r>
      <w:r w:rsidRPr="007B00AC">
        <w:rPr>
          <w:rStyle w:val="Textoennegrita"/>
          <w:b w:val="0"/>
        </w:rPr>
        <w:t>Banco Europeo de Inversiones</w:t>
      </w:r>
      <w:r w:rsidRPr="007B00AC">
        <w:t xml:space="preserve"> (BEI) invierte directa e indirectamente nada menos que 500 millones. 3.- Al mismo tiempo, ACS negocia con la empresa semipública Enagás la venta de la </w:t>
      </w:r>
      <w:hyperlink r:id="rId528" w:history="1">
        <w:r w:rsidRPr="007B00AC">
          <w:rPr>
            <w:rStyle w:val="Hipervnculo"/>
            <w:color w:val="auto"/>
            <w:u w:val="none"/>
          </w:rPr>
          <w:t>mitad de sus acciones</w:t>
        </w:r>
      </w:hyperlink>
      <w:r w:rsidRPr="007B00AC">
        <w:t xml:space="preserve">, un 33%, manteniendo a priori el resto y quedando el accionariado final repartido a partes iguales entre ACS, Enagás y CLP. 4.- Para cuadrar el círculo, la empresa de Florentino Pérez firmó una cláusula que todo empresario soñaría en cualquier proyecto. En el caso que el </w:t>
      </w:r>
      <w:r w:rsidR="00AC567C">
        <w:t>“</w:t>
      </w:r>
      <w:r w:rsidRPr="00AC567C">
        <w:rPr>
          <w:rStyle w:val="nfasis"/>
          <w:i w:val="0"/>
        </w:rPr>
        <w:t>proyecto Castor</w:t>
      </w:r>
      <w:r w:rsidR="00AC567C">
        <w:rPr>
          <w:rStyle w:val="nfasis"/>
          <w:i w:val="0"/>
        </w:rPr>
        <w:t>”</w:t>
      </w:r>
      <w:r w:rsidRPr="007B00AC">
        <w:t xml:space="preserve"> sea un completo desastre económico, incluso aunque sea por negligencia de sus gestores, </w:t>
      </w:r>
      <w:r w:rsidRPr="007B00AC">
        <w:rPr>
          <w:rStyle w:val="Textoennegrita"/>
          <w:b w:val="0"/>
        </w:rPr>
        <w:t>la compañía recibirá una indemnización por parte del Estado</w:t>
      </w:r>
      <w:r w:rsidRPr="007B00AC">
        <w:t xml:space="preserve">. 5.- Florentino consiguió incluso mejorar el valor del proyecto al elevar el tratamiento del Ministerio de Energía en un real decreto firmado por el ministro </w:t>
      </w:r>
      <w:r w:rsidRPr="007B00AC">
        <w:rPr>
          <w:rStyle w:val="Textoennegrita"/>
          <w:b w:val="0"/>
        </w:rPr>
        <w:t>Soria</w:t>
      </w:r>
      <w:r w:rsidRPr="007B00AC">
        <w:rPr>
          <w:rStyle w:val="Textoennegrita"/>
        </w:rPr>
        <w:t xml:space="preserve"> </w:t>
      </w:r>
      <w:r w:rsidRPr="007B00AC">
        <w:t xml:space="preserve">en </w:t>
      </w:r>
      <w:hyperlink r:id="rId529" w:history="1">
        <w:r w:rsidRPr="007B00AC">
          <w:rPr>
            <w:rStyle w:val="Hipervnculo"/>
            <w:color w:val="auto"/>
            <w:u w:val="none"/>
          </w:rPr>
          <w:t>diciembre de 2012</w:t>
        </w:r>
      </w:hyperlink>
      <w:r w:rsidRPr="007B00AC">
        <w:t xml:space="preserve">, aumentando el valor de la misma.  Los costes que debería asumir el Estado español si se </w:t>
      </w:r>
      <w:r w:rsidRPr="007B00AC">
        <w:lastRenderedPageBreak/>
        <w:t xml:space="preserve">cierra el proyecto son de unos 1.700 millones de euros, según ha declarado recientemente el </w:t>
      </w:r>
      <w:hyperlink r:id="rId530" w:history="1">
        <w:r w:rsidRPr="007B00AC">
          <w:rPr>
            <w:rStyle w:val="Hipervnculo"/>
            <w:color w:val="auto"/>
            <w:u w:val="none"/>
          </w:rPr>
          <w:t>ministro Soria</w:t>
        </w:r>
      </w:hyperlink>
      <w:r w:rsidRPr="007B00AC">
        <w:t xml:space="preserve">. “Esta cantidad incluye un coste de inversión reconocido de 1.272 millones de euros, 200 millones por la compra del gas colchón ya inyectado y otros 200 millones en costes financieros”. El Estado paga incluso los intereses de la deuda de la operación. </w:t>
      </w:r>
      <w:r w:rsidRPr="007B00AC">
        <w:rPr>
          <w:rStyle w:val="Textoennegrita"/>
          <w:b w:val="0"/>
        </w:rPr>
        <w:t>No me extraña que todo se financiase con deuda</w:t>
      </w:r>
      <w:r w:rsidRPr="007B00AC">
        <w:t xml:space="preserve"> y que, como parece, ACS no haya aportado un céntimo en la financiación de la operación. Qué gran operación para ACS: coordina un proyecto que lo financia con deuda sin aportar capital, teniendo pactada una salida parcial con una empresa semipública, en la que diversos ministros de todos los Gobiernos del PSOE-PP firmaron las distintas fases en el tiempo y que, si finalmente el proyecto fracasa, lo paga el Estado. </w:t>
      </w:r>
      <w:r w:rsidRPr="007B00AC">
        <w:rPr>
          <w:rStyle w:val="Textoennegrita"/>
          <w:b w:val="0"/>
        </w:rPr>
        <w:t>Para desgracia de la compañía constructora, por no realizar los estudios suficientes, por ir a un ritmo de inyección de gas demasiado rápido o por mala suerte, los terremotos en la zona han lanzado el proyecto a la luz pública</w:t>
      </w:r>
      <w:r w:rsidRPr="007B00AC">
        <w:rPr>
          <w:b/>
        </w:rPr>
        <w:t>.</w:t>
      </w:r>
      <w:r w:rsidRPr="007B00AC">
        <w:t xml:space="preserve"> De hecho, con estas garantías del Estado, ¿para qué necesitas hacer grandes estudios geológicos si no asumes ningún riesgo financiero en el proyecto ni en los escenarios negativos?</w:t>
      </w:r>
    </w:p>
    <w:p w:rsidR="00D51697" w:rsidRDefault="00D51697" w:rsidP="00387350">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25194">
        <w:rPr>
          <w:rFonts w:ascii="Times New Roman" w:eastAsia="Times New Roman" w:hAnsi="Times New Roman" w:cs="Times New Roman"/>
          <w:sz w:val="24"/>
          <w:szCs w:val="24"/>
          <w:u w:val="single"/>
        </w:rPr>
        <w:t>Las autopistas en quiebra tienen tres días para entrar en la entidad pública</w:t>
      </w:r>
      <w:r>
        <w:rPr>
          <w:rFonts w:ascii="Times New Roman" w:eastAsia="Times New Roman" w:hAnsi="Times New Roman" w:cs="Times New Roman"/>
          <w:sz w:val="24"/>
          <w:szCs w:val="24"/>
        </w:rPr>
        <w:t xml:space="preserve"> (Cinco Días - </w:t>
      </w:r>
      <w:r w:rsidRPr="00625194">
        <w:rPr>
          <w:rFonts w:ascii="Times New Roman" w:eastAsia="Times New Roman" w:hAnsi="Times New Roman" w:cs="Times New Roman"/>
          <w:b/>
          <w:sz w:val="24"/>
          <w:szCs w:val="24"/>
        </w:rPr>
        <w:t>28/10/13</w:t>
      </w:r>
      <w:r>
        <w:rPr>
          <w:rFonts w:ascii="Times New Roman" w:eastAsia="Times New Roman" w:hAnsi="Times New Roman" w:cs="Times New Roman"/>
          <w:sz w:val="24"/>
          <w:szCs w:val="24"/>
        </w:rPr>
        <w:t>)</w:t>
      </w:r>
    </w:p>
    <w:p w:rsidR="00D51697" w:rsidRDefault="00D51697" w:rsidP="00387350">
      <w:pPr>
        <w:spacing w:before="100" w:beforeAutospacing="1" w:after="100" w:afterAutospacing="1" w:line="240" w:lineRule="auto"/>
        <w:jc w:val="both"/>
        <w:rPr>
          <w:rFonts w:ascii="Times New Roman" w:eastAsia="Times New Roman" w:hAnsi="Times New Roman" w:cs="Times New Roman"/>
          <w:sz w:val="24"/>
          <w:szCs w:val="24"/>
        </w:rPr>
      </w:pPr>
      <w:r w:rsidRPr="0089298B">
        <w:rPr>
          <w:rFonts w:ascii="Times New Roman" w:eastAsia="Times New Roman" w:hAnsi="Times New Roman" w:cs="Times New Roman"/>
          <w:sz w:val="24"/>
          <w:szCs w:val="24"/>
        </w:rPr>
        <w:t xml:space="preserve">Comienza la cuenta atrás para encarrilar uno de los conflictos que más preocupa a las grandes concesionarias de autopistas y, por ende, al Ejecutivo: la quiebra de una decena de autopistas de peaje en manos de nueve concesionarias, todas ellas participadas por las grandes constructoras cotizadas. El Ministerio de Fomento dio este fin de semana a las compañías afectadas un ultimátum de tres días, hasta el próximo miércoles 30 de octubre, para que confirmen si se adhieren o no a la sociedad pública que ha creado el departamento que dirige Ana Pastor con el fin de nacionalizar las infraestructuras con problemas. Así, antes de esa fecha las concesionarias de estas vías de pago deben comunicar a Fomento si aceptan su última propuesta. En este planteamiento, el Ministerio mantiene en el 20% el porcentaje de la nueva sociedad pública que cede a las empresas actualmente titulares de las vías. Ofrece además abonar a dichas empresas un total de 350 millones de euros por los importes que les adeuda por las expropiaciones de los terrenos sobre los que se construyeron y las modificaciones que sufrieron sus proyectos de obra, según informaron a Europa Press fuentes del sector. No obstante, hasta el pasado viernes, las empresas mantenían su rechazo a aceptar esta propuesta e insistían en demandar a la Administración una participación del 49% en la nueva empresa nacional de autopistas. El proyecto planteado por Fomento pasa por que todas las autopistas en riesgo de quiebra definitiva acepten integrarse en la nueva empresa nacional y no contempla que alguna se descuelgue del acuerdo. De su lado, las concesionarias abogan por continuar negociando con el Ministerio, dado que, según recuerdan en fuentes del sector, en caso de no aceptar el proyecto e ir a liquidación, el Estado tendría que afrontar la responsabilidad patrimonial de las vías con el consiguiente efecto sobre el déficit público. Además, cabría la posibilidad de que acudieran a los tribunales. Fomento trabaja desde hace meses en integrar en una sociedad pública a la decena de autopistas quebradas para garantizar su viabilidad futura y evitar que el Estado tenga que afrontar su responsabilidad patrimonial. El Ministerio cuenta ya con un acuerdo prácticamente cerrado con los bancos acreedores de las vías, con lo que el proyecto estaría pendiente del visto bueno final de Hacienda y la ratificación unánime de todas las autopistas. La sociedad, que se aprobaría por Real Decreto, estaría participada al 80% por el Estado y al 20% por las concesionarias de las vías de pago que la integran. Se ha diseñado a un horizonte de 40 años y parte de la </w:t>
      </w:r>
      <w:r w:rsidRPr="0089298B">
        <w:rPr>
          <w:rFonts w:ascii="Times New Roman" w:eastAsia="Times New Roman" w:hAnsi="Times New Roman" w:cs="Times New Roman"/>
          <w:sz w:val="24"/>
          <w:szCs w:val="24"/>
        </w:rPr>
        <w:lastRenderedPageBreak/>
        <w:t>previsión de que el tráfico siga cayendo hasta 2015 para empezar a crecer en ejercicios sucesivos. Entre la decena de autopistas en riesgo de quiebra figuran las cuatro radiales de Madrid, la Madrid-Toledo, la Ocaña-La Roda, Cartagena-Vera, la circunvalación de Alicante o la que une Madrid y el Aeropuerto de Barajas. En su mayor parte están participadas por las grandes constructoras cotizadas.</w:t>
      </w:r>
    </w:p>
    <w:p w:rsidR="00D51697" w:rsidRPr="0089298B" w:rsidRDefault="00D51697" w:rsidP="00387350">
      <w:pPr>
        <w:pStyle w:val="Ttulo1"/>
        <w:spacing w:line="240" w:lineRule="auto"/>
        <w:jc w:val="both"/>
        <w:rPr>
          <w:rFonts w:ascii="Times New Roman" w:hAnsi="Times New Roman"/>
          <w:b w:val="0"/>
          <w:color w:val="auto"/>
          <w:sz w:val="24"/>
          <w:szCs w:val="24"/>
        </w:rPr>
      </w:pPr>
      <w:r>
        <w:rPr>
          <w:rFonts w:ascii="Times New Roman" w:hAnsi="Times New Roman"/>
          <w:b w:val="0"/>
          <w:color w:val="auto"/>
          <w:sz w:val="24"/>
          <w:szCs w:val="24"/>
        </w:rPr>
        <w:t xml:space="preserve">- </w:t>
      </w:r>
      <w:r w:rsidRPr="00BA7865">
        <w:rPr>
          <w:rFonts w:ascii="Times New Roman" w:hAnsi="Times New Roman"/>
          <w:b w:val="0"/>
          <w:color w:val="auto"/>
          <w:sz w:val="24"/>
          <w:szCs w:val="24"/>
          <w:u w:val="single"/>
        </w:rPr>
        <w:t>Populismo de Aeropuerto. Otro Ejemplo de Mala Política Industrial</w:t>
      </w:r>
      <w:r>
        <w:rPr>
          <w:rFonts w:ascii="Times New Roman" w:hAnsi="Times New Roman"/>
          <w:b w:val="0"/>
          <w:color w:val="auto"/>
          <w:sz w:val="24"/>
          <w:szCs w:val="24"/>
        </w:rPr>
        <w:t xml:space="preserve"> (Gerard Llobet - Fedea - </w:t>
      </w:r>
      <w:r w:rsidRPr="00BA7865">
        <w:rPr>
          <w:rFonts w:ascii="Times New Roman" w:hAnsi="Times New Roman"/>
          <w:color w:val="auto"/>
          <w:sz w:val="24"/>
          <w:szCs w:val="24"/>
        </w:rPr>
        <w:t>5/11/13</w:t>
      </w:r>
      <w:r>
        <w:rPr>
          <w:rFonts w:ascii="Times New Roman" w:hAnsi="Times New Roman"/>
          <w:b w:val="0"/>
          <w:color w:val="auto"/>
          <w:sz w:val="24"/>
          <w:szCs w:val="24"/>
        </w:rPr>
        <w:t>)</w:t>
      </w:r>
    </w:p>
    <w:p w:rsidR="00D51697" w:rsidRPr="007B00AC" w:rsidRDefault="00D51697" w:rsidP="00387350">
      <w:pPr>
        <w:pStyle w:val="NormalWeb"/>
        <w:jc w:val="both"/>
      </w:pPr>
      <w:r w:rsidRPr="007B00AC">
        <w:t xml:space="preserve">Los ingleses de IAG han hundido a Iberia y con ello al aeropuerto de Barajas y al turismo en la ciudad de Madrid. Así se puede resumir la postura oficial de muchos de los responsables políticos de diferentes niveles de la administración y algunos </w:t>
      </w:r>
      <w:hyperlink r:id="rId531" w:history="1">
        <w:r w:rsidRPr="007B00AC">
          <w:rPr>
            <w:rStyle w:val="Hipervnculo"/>
            <w:color w:val="auto"/>
            <w:u w:val="none"/>
          </w:rPr>
          <w:t>medios de comunicación</w:t>
        </w:r>
      </w:hyperlink>
      <w:r w:rsidRPr="007B00AC">
        <w:t xml:space="preserve"> sobre la significativa caída del tráfico en el Aeropuerto de Barajas. En tiempos políticamente convulsos como los actuales, el “sorpasso” por parte del Aeropuerto de El Prat durante el mes de agosto solo sirvió para añadir sal a la herida. En esta entrada voy a intentar centrar un poco el debate y desvestir los argumentos populistas que solo han llevado a un mal diagnóstico del problema y de sus posibles soluciones. Como parte de la mala asignación de recursos de la España del boom inmobiliario no solo se crearon un número significativo de aeropuertos que en la actualidad no tienen actividad (Castellón, Ciudad Real o </w:t>
      </w:r>
      <w:hyperlink r:id="rId532" w:history="1">
        <w:r w:rsidRPr="007B00AC">
          <w:rPr>
            <w:rStyle w:val="Hipervnculo"/>
            <w:color w:val="auto"/>
            <w:u w:val="none"/>
          </w:rPr>
          <w:t>Murcia Corvera</w:t>
        </w:r>
      </w:hyperlink>
      <w:r w:rsidRPr="007B00AC">
        <w:t xml:space="preserve">). También se invirtieron cantidades ingentes de dinero en ampliar la capacidad de los aeropuertos de Madrid y Barcelona, lo que ha generado gran parte de la deuda de AENA. De los más de 12 mil millones de deuda de AENA en 2011, Xavier Fageda </w:t>
      </w:r>
      <w:hyperlink r:id="rId533" w:history="1">
        <w:r w:rsidRPr="007B00AC">
          <w:rPr>
            <w:rStyle w:val="Hipervnculo"/>
            <w:color w:val="auto"/>
            <w:u w:val="none"/>
          </w:rPr>
          <w:t>a</w:t>
        </w:r>
      </w:hyperlink>
      <w:hyperlink r:id="rId534" w:history="1">
        <w:r w:rsidRPr="007B00AC">
          <w:rPr>
            <w:rStyle w:val="Hipervnculo"/>
            <w:color w:val="auto"/>
            <w:u w:val="none"/>
          </w:rPr>
          <w:t>tribuye</w:t>
        </w:r>
      </w:hyperlink>
      <w:r w:rsidRPr="007B00AC">
        <w:t xml:space="preserve"> el 14% de la misma a El Prat y 45% a Barajas. De hecho, la T-4 se presupuestó por algo más de mil millones y de manera increíble terminó costando </w:t>
      </w:r>
      <w:hyperlink r:id="rId535" w:history="1">
        <w:r w:rsidRPr="007B00AC">
          <w:rPr>
            <w:rStyle w:val="Hipervnculo"/>
            <w:color w:val="auto"/>
            <w:u w:val="none"/>
          </w:rPr>
          <w:t>más de 6 mil</w:t>
        </w:r>
      </w:hyperlink>
      <w:r w:rsidRPr="007B00AC">
        <w:t>. Como resultado, las pérdidas antes de impuestos en 2011 de Barajas y El Prat fueron de 136 y 31 millones de euros, respectivamente. A estas malas decisiones de inversión se sumó nuevamente la afición de los gobernantes de este país de hacer política industrial “vertical” que la experiencia nos demuestra que acostumbra a conllevar una mala asignación de recursos públicos y distorsiona la competencia, escogiendo ganadores entre las empresas o los sectores equivocados y perjudicando a otras empresas que pudiendo ser más eficientes no son premiadas por ello. En este caso, el voluntarismo político detrás de esta política industrial consistía en convertir a Barajas en un “</w:t>
      </w:r>
      <w:r w:rsidRPr="007B00AC">
        <w:rPr>
          <w:iCs/>
        </w:rPr>
        <w:t>hub”</w:t>
      </w:r>
      <w:r w:rsidRPr="007B00AC">
        <w:rPr>
          <w:i/>
          <w:iCs/>
        </w:rPr>
        <w:t xml:space="preserve"> </w:t>
      </w:r>
      <w:r w:rsidRPr="007B00AC">
        <w:t xml:space="preserve">europeo, particularmente en el tráfico con América Latina, a cualquier coste. El instrumento para ello era Iberia, a la que se asignó en exclusiva la T-4 (junto con el resto de las compañías de la alianza One World). Que Iberia fuera una empresa privada cuyo objetivo principal es (o debería ser) la creación de valor para sus accionistas y no los objetivos faraónicos de los gobernantes de turno no pareció importar a nadie. Sin embargo, esto no fue algo específico de Barajas. Las autoridades catalanas tampoco salen bien paradas de este análisis retrospectivo. En contra de lo que sería natural en una ciudad turística como Barcelona, en Cataluña también se buscó ceder la nueva Terminal 1 a una compañía que tuviera su hub en El Prat. Irónicamente, la desaparición de Spanair hizo esta estrategia inviable y obligó a El Prat a abrazar las compañías de bajo coste, con resultados muy positivos, como lo demuestra el caso de Vueling. La herencia de estas terminales, como la de otras muchas infraestructuras en España, es difícil de resolver. El pago de las deudas originadas en un aeropuerto solo puede venir de alguna de las siguientes tres fuentes: de los usuarios de ese aeropuerto, de los usuarios de otros aeropuertos (mediante subsidios cruzados) o a través de la ciudadanía en general vía impuestos. En la coyuntura actual, AENA ha optado desde 2011 por la primera vía mediante la diferenciación de tasas </w:t>
      </w:r>
      <w:r w:rsidRPr="007B00AC">
        <w:lastRenderedPageBreak/>
        <w:t>entre aeropuertos y la subida de las mismas especialmente en Barajas y El Prat. Parece la única solución. Este incremento en las tasas parece haber tenido un efecto significativo en la disminución del tráfico en Barajas, y no tanto la supuesta mala fe de IAG que, según la versión gubernamental, discrimina a Iberia en favor de British Airways y margina Barajas en favor de Heathrow. Recordemos que además de Iberia, compañías de bajo coste como Ryanair o Easyjet, han reducido sus operaciones en Madrid. Además, aunque es obvio decirlo, carece de sentido comparar los resultados de Iberia anteriores a la fusión con los de los últimos años dado el gran cambio en las circunstancias económicas, y su mayor efecto en las compañías tradicionales (en comparación con las aerolíneas de bajo coste). La pregunta relevante es, ¿sería una Iberia independiente y sin la reestructuración que IAG está llevando a cabo una compañía más rentable? De eso no tenemos ninguna evidencia. No podemos decir, sin embargo, que toda la culpa sea de las tasas, el AVE o de la crisis económica. El éxito de El Prat en los últimos tiempos, a pesar del incremento de tasas (que ha sido menor que en Barajas), hace pensar que podría haber otros motivos. La inestabilidad de otros destinos turísticos en el Mediterráneo puede haber desviado turismo (especialmente de sol y playa) a Cataluña. Pero debemos reconocer que este cambio se ha apoyado en la gran imagen que Barcelona tiene en el exterior y que es resultado en gran parte del modelo de promoción de la ciudad que es, desde hace muchos años, ejemplo para muchas urbes. Madrid, sin embargo, apostó toda su promoción exterior a conseguir los famosos Juegos Olímpicos. Este “</w:t>
      </w:r>
      <w:r w:rsidRPr="007B00AC">
        <w:rPr>
          <w:iCs/>
        </w:rPr>
        <w:t>gambling for resurrection”</w:t>
      </w:r>
      <w:r w:rsidRPr="007B00AC">
        <w:t xml:space="preserve"> incluso saliendo bien nunca tuvo visos de ser rentable, ha dejado de lado la transformación de la ciudad y su promoción exterior, un bien público que bien gestionado podría ser un ejemplo de política industrial horizontal.</w:t>
      </w:r>
    </w:p>
    <w:p w:rsidR="00D51697" w:rsidRPr="002341C5" w:rsidRDefault="00D51697"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B2063F">
        <w:rPr>
          <w:rFonts w:ascii="Times New Roman" w:hAnsi="Times New Roman"/>
          <w:sz w:val="24"/>
          <w:szCs w:val="24"/>
          <w:u w:val="single"/>
        </w:rPr>
        <w:t>¡No construyan más AVE en España, por favor!</w:t>
      </w:r>
      <w:r>
        <w:rPr>
          <w:rFonts w:ascii="Times New Roman" w:hAnsi="Times New Roman"/>
          <w:sz w:val="24"/>
          <w:szCs w:val="24"/>
        </w:rPr>
        <w:t xml:space="preserve"> (Cinco Días - </w:t>
      </w:r>
      <w:r w:rsidRPr="00105C9E">
        <w:rPr>
          <w:rFonts w:ascii="Times New Roman" w:hAnsi="Times New Roman"/>
          <w:b/>
          <w:sz w:val="24"/>
          <w:szCs w:val="24"/>
        </w:rPr>
        <w:t>6/11/13</w:t>
      </w:r>
      <w:r>
        <w:rPr>
          <w:rFonts w:ascii="Times New Roman" w:hAnsi="Times New Roman"/>
          <w:sz w:val="24"/>
          <w:szCs w:val="24"/>
        </w:rPr>
        <w:t>)</w:t>
      </w:r>
    </w:p>
    <w:p w:rsidR="00D51697" w:rsidRDefault="00D51697" w:rsidP="00387350">
      <w:pPr>
        <w:spacing w:line="240" w:lineRule="auto"/>
        <w:jc w:val="both"/>
        <w:rPr>
          <w:rFonts w:ascii="Times New Roman" w:hAnsi="Times New Roman"/>
          <w:sz w:val="24"/>
          <w:szCs w:val="24"/>
        </w:rPr>
      </w:pPr>
      <w:r w:rsidRPr="005414B2">
        <w:rPr>
          <w:rFonts w:ascii="Times New Roman" w:hAnsi="Times New Roman"/>
          <w:sz w:val="24"/>
          <w:szCs w:val="24"/>
        </w:rPr>
        <w:t xml:space="preserve">Todo el mundo quiere un AVE en su pueblo, a todos los ciudadanos les parece bien que se haya construido una amplia red ferroviaria de alta velocidad, aunque luego no la use o lo haga de forma esporádica. El problema es que España no se puede permitir esta situación (desde el punto de vista económico). Esta fue la conclusión a la que llegaron ayer tres reconocidos doctores ingenieros de caminos en una jornada organizada por la Asociación Española de la Carretera (AEC) en la que se debatió sobre la idoneidad de la actual política de infraestructuras. José María Menéndez, de la Universidad de Castilla-La Mancha, Mateu Turró, de la Politécnica de Cataluña y José Manuel Vassallo, de la Politécnica de Madrid coincidieron en pedir a los políticos que paren todos aquellos corredores de AVE en construcción que sean claramente adicionales o no necesarios. Menéndez, catedrático de la Escuela de Ingenieros de Caminos de la Universidad de Castilla-La Mancha, presentó el primer estudio que se hace en España sobre el grado de utilización del AVE, medido en el número de viajeros transportados con relación a la población, o con relación a los kilómetros de red, entre otras variables. Así, según este análisis, España es en la actualidad el tercer país del mundo por el número de kilómetros de AVE en funcionamiento, solo por detrás de China y Japón. Pero cuando concluyan los tramos en construcción, pasará a ser la segunda potencia mundial y, sin embargo, en el resto de ratios sale muy mal parada. Baste como ejemplo que según el volumen de pasajeros transportados o en la ratio de usuarios sobre total de habitantes, España está a la cola de todos los grandes países con una red de alta velocidad ferroviaria significativa: China, Japón, Alemania, Francia, Italia, Corea del Sur y Taiwán. Con las cifras que arroja esa comparativa internacional, la conclusión es que mientras un japonés utiliza el AVE un promedio de 2,2 veces al año, el español lo hace apenas una </w:t>
      </w:r>
      <w:r w:rsidRPr="005414B2">
        <w:rPr>
          <w:rFonts w:ascii="Times New Roman" w:hAnsi="Times New Roman"/>
          <w:sz w:val="24"/>
          <w:szCs w:val="24"/>
        </w:rPr>
        <w:lastRenderedPageBreak/>
        <w:t>vez cada dos ejercicios. Lo peor de toda esta situación es que los números revelan que por mucho que mejore la situación económica, por las circunstancias demográficas y de densidad de la población de España, “todo indica que seguirá habiendo unos corredores con alta demanda y otros en los que, en cambio, se va a construir una vía con capacidad para prestar 80 servicios diarios cuando la demanda real es de apenas ocho”, subrayó Menéndez. Por este motivo, José Manuel Vassallo, profesor de la Universidad Politécnica de Madrid, insistió en la recomendación de parar, estudiar cada caso y apeló a la honradez de la clase política para explicar sin tapujos por qué se hacen las cosas. En este sentido, recordó que la alta velocidad ferroviaria es un modo de transporte tradicionalmente protegido en Europa con las subvenciones, mientras otros como la carretera o el avión no lo están o lo están en mucha menor medida. “Cuando a los estadounidenses se les explicó lo que costaría de sus impuestos la construcción del corredor ferroviario de AVE para unir Boston y Washington a través de Nueva York y Filadelfia, los ciudadanos dijeron no”, explicó Vassallo. En este sentido, el catedrático de la Universidad Politécnica de Cataluña, Mateu Turró, también auguró que lo más inteligente desde una óptica de pura rentabilidad económica sería estudiar qué falta por invertir y dilucidar con toda la información disponible si ese desembolso está o no plenamente justificado, “no vayamos a tener 78 kilómetros de túnel en Asturias por el que nunca veamos asomar un tren”. Estos tres técnicos quisieron resaltar la necesidad de valorar si realmente merece la pena seguir invirtiendo en un modo de transporte cuyo coste de construcción es elevadísimo (en torno a unos 30-40 millones por kilómetro y hay previstos otros 1.000 kilómetros). Entretanto, otros sistemas de transporte como la carretera se desangran por el déficit que acumulan en mantenimiento, estimado en 7.250 millones en toda la red (estatal, autonómica y provincial), tal y como denuncia la AEC.</w:t>
      </w:r>
    </w:p>
    <w:p w:rsidR="00D51697" w:rsidRDefault="00D51697"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7061AD">
        <w:rPr>
          <w:rFonts w:ascii="Times New Roman" w:hAnsi="Times New Roman"/>
          <w:sz w:val="24"/>
          <w:szCs w:val="24"/>
          <w:u w:val="single"/>
        </w:rPr>
        <w:t>Las autonomías llevan gastados al menos 6.800 millones en sus teles desde la crisis</w:t>
      </w:r>
      <w:r>
        <w:rPr>
          <w:rFonts w:ascii="Times New Roman" w:hAnsi="Times New Roman"/>
          <w:sz w:val="24"/>
          <w:szCs w:val="24"/>
        </w:rPr>
        <w:t xml:space="preserve"> (El Economista - </w:t>
      </w:r>
      <w:r w:rsidRPr="007061AD">
        <w:rPr>
          <w:rFonts w:ascii="Times New Roman" w:hAnsi="Times New Roman"/>
          <w:b/>
          <w:sz w:val="24"/>
          <w:szCs w:val="24"/>
        </w:rPr>
        <w:t>7/11/13</w:t>
      </w:r>
      <w:r>
        <w:rPr>
          <w:rFonts w:ascii="Times New Roman" w:hAnsi="Times New Roman"/>
          <w:sz w:val="24"/>
          <w:szCs w:val="24"/>
        </w:rPr>
        <w:t>)</w:t>
      </w:r>
    </w:p>
    <w:p w:rsidR="00D51697" w:rsidRDefault="00D51697" w:rsidP="00387350">
      <w:pPr>
        <w:shd w:val="clear" w:color="auto" w:fill="FFFFFF"/>
        <w:spacing w:before="100" w:beforeAutospacing="1" w:after="255" w:line="240" w:lineRule="auto"/>
        <w:jc w:val="both"/>
        <w:rPr>
          <w:rFonts w:ascii="Times New Roman" w:hAnsi="Times New Roman"/>
          <w:sz w:val="24"/>
          <w:szCs w:val="24"/>
        </w:rPr>
      </w:pPr>
      <w:r w:rsidRPr="005414B2">
        <w:rPr>
          <w:rFonts w:ascii="Times New Roman" w:hAnsi="Times New Roman"/>
          <w:sz w:val="24"/>
          <w:szCs w:val="24"/>
        </w:rPr>
        <w:t xml:space="preserve">El cierre de RTVV (Valencia) ha puesto en el punto de mira al resto de las doce televisiones autonómicas. Aunque los diferentes gobiernos regionales se han esforzado en explicar que es un escenario que no se contempla, los datos muestran que será difícil mantener una estructura televisiva que cada año retrae más de 900 millones de euros de unas arcas cada vez más mermadas. No en vano, se han visto obligadas a meter la tijera en partidas como educación y sanidad. Y es que, desde que empezó la crisis en 2008 las comunidades autónomas han presupuestado 6.782 millones de euros para financiar sus televisiones. En estos seis años, las regiones en su conjunto no han realizado grandes ajustes en sus cadenas pese a sus problemas para cumplir con el déficit.  En 2013, los gobiernos aprobaron subvenciones por 910 millones, un 28 por ciento menos que los 1.279 millones de 2008. </w:t>
      </w:r>
      <w:r w:rsidRPr="005414B2">
        <w:rPr>
          <w:rFonts w:ascii="Times New Roman" w:hAnsi="Times New Roman"/>
          <w:bCs/>
          <w:sz w:val="24"/>
          <w:szCs w:val="24"/>
        </w:rPr>
        <w:t>Las regiones que menos se han apretado el cinturón son Cataluña y Madrid</w:t>
      </w:r>
      <w:r w:rsidRPr="005414B2">
        <w:rPr>
          <w:rFonts w:ascii="Times New Roman" w:hAnsi="Times New Roman"/>
          <w:sz w:val="24"/>
          <w:szCs w:val="24"/>
        </w:rPr>
        <w:t>. La primera, que acaba de aprobar un ERE, ha rebajado el presupuesto público de TV3 un 24 por ciento, hasta los 225 millones, y la segunda, un 15 por ciento. La aportación millonaria presupuestada durante la crisis no incluye ni la partida aprobada para 2014 -755 millones a falta de conocerse Extremadura, Asturias y País Vasco- ni los desvíos, que han obligado a cadenas como Telemadrid, IB3, Canal Sur o Canal Nou a endeudarse (acumulan una deuda de 1.491 millones) y a solicitar financiación extra a sus gobiernos.</w:t>
      </w:r>
    </w:p>
    <w:p w:rsidR="007B00AC" w:rsidRDefault="007B00AC" w:rsidP="00387350">
      <w:pPr>
        <w:shd w:val="clear" w:color="auto" w:fill="FFFFFF"/>
        <w:spacing w:before="100" w:beforeAutospacing="1" w:after="255" w:line="240" w:lineRule="auto"/>
        <w:jc w:val="both"/>
        <w:rPr>
          <w:rFonts w:ascii="Times New Roman" w:hAnsi="Times New Roman"/>
          <w:sz w:val="24"/>
          <w:szCs w:val="24"/>
        </w:rPr>
      </w:pPr>
    </w:p>
    <w:p w:rsidR="00D51697" w:rsidRDefault="00D51697" w:rsidP="00387350">
      <w:pPr>
        <w:pStyle w:val="NormalWeb"/>
        <w:jc w:val="both"/>
      </w:pPr>
      <w:r>
        <w:lastRenderedPageBreak/>
        <w:t xml:space="preserve">- </w:t>
      </w:r>
      <w:r w:rsidRPr="00F47A88">
        <w:rPr>
          <w:u w:val="single"/>
        </w:rPr>
        <w:t>España, la segunda red de AVE del mundo... pero la penúltima por número de viajeros</w:t>
      </w:r>
      <w:r>
        <w:t xml:space="preserve"> (El Confidencial - </w:t>
      </w:r>
      <w:r w:rsidRPr="00F47A88">
        <w:rPr>
          <w:b/>
        </w:rPr>
        <w:t>8/11/13</w:t>
      </w:r>
      <w:r>
        <w:t>)</w:t>
      </w:r>
    </w:p>
    <w:p w:rsidR="00D51697" w:rsidRPr="00AC567C" w:rsidRDefault="00D51697" w:rsidP="00387350">
      <w:pPr>
        <w:pStyle w:val="NormalWeb"/>
        <w:jc w:val="both"/>
      </w:pPr>
      <w:r w:rsidRPr="00897FAF">
        <w:t xml:space="preserve">La red de alta velocidad española está </w:t>
      </w:r>
      <w:r w:rsidRPr="007B00AC">
        <w:rPr>
          <w:rStyle w:val="Textoennegrita"/>
          <w:b w:val="0"/>
        </w:rPr>
        <w:t>sobredimensionada</w:t>
      </w:r>
      <w:r w:rsidRPr="007B00AC">
        <w:rPr>
          <w:b/>
        </w:rPr>
        <w:t xml:space="preserve">. </w:t>
      </w:r>
      <w:r w:rsidRPr="00897FAF">
        <w:t xml:space="preserve">Los datos lo confirman. Es la primera conclusión a la que ha llegado una investigación, todavía en curso, realizada en conjunto por la Universidad de Castilla-La Mancha y la de Cantabria. “No con el objetivo de echar culpas, sino de </w:t>
      </w:r>
      <w:r w:rsidRPr="007B00AC">
        <w:rPr>
          <w:rStyle w:val="Textoennegrita"/>
          <w:b w:val="0"/>
        </w:rPr>
        <w:t>replantear el futuro</w:t>
      </w:r>
      <w:r w:rsidRPr="007B00AC">
        <w:t>”</w:t>
      </w:r>
      <w:r w:rsidRPr="007B00AC">
        <w:rPr>
          <w:b/>
        </w:rPr>
        <w:t>,</w:t>
      </w:r>
      <w:r w:rsidRPr="00897FAF">
        <w:t xml:space="preserve"> asegura uno de sus directores, el catedrático </w:t>
      </w:r>
      <w:r w:rsidRPr="00DD6D81">
        <w:rPr>
          <w:rStyle w:val="Textoennegrita"/>
          <w:b w:val="0"/>
        </w:rPr>
        <w:t>José María Menéndez</w:t>
      </w:r>
      <w:r w:rsidRPr="00897FAF">
        <w:t xml:space="preserve">. La comparación de la red española con la de países con una infraestructura similar no deja lugar a dudas.  Con la línea actualmente desplegada en el territorio nacional, la española es, </w:t>
      </w:r>
      <w:r w:rsidRPr="007B00AC">
        <w:t xml:space="preserve">hoy, la tercera red de alta velocidad del mundo. En cuanto se acaben los proyectos ya en marcha, será la segunda, superada en kilometraje sólo por China, según los datos de la </w:t>
      </w:r>
      <w:hyperlink r:id="rId536" w:tgtFrame="_blank" w:history="1">
        <w:r w:rsidRPr="007B00AC">
          <w:rPr>
            <w:rStyle w:val="Hipervnculo"/>
            <w:color w:val="auto"/>
            <w:u w:val="none"/>
          </w:rPr>
          <w:t>Unión Internacional del Ferrocarril</w:t>
        </w:r>
      </w:hyperlink>
      <w:r w:rsidRPr="007B00AC">
        <w:t xml:space="preserve">. </w:t>
      </w:r>
      <w:r w:rsidRPr="007B00AC">
        <w:rPr>
          <w:rStyle w:val="Textoennegrita"/>
          <w:b w:val="0"/>
        </w:rPr>
        <w:t>Adelantará así a Japón, Alemania, Italia y Francia</w:t>
      </w:r>
      <w:r w:rsidRPr="007B00AC">
        <w:t xml:space="preserve"> también en cuanto a relación entre los kilómetros de red y la superficie disponible: cada 1.000 kilómetros cuadrados, 4,9 serán ocupados por líneas del AVE. Por delante, sólo Japón, con siete. Si se compara el dato con los habitantes, como se hace en el citado estudio, España llega a estar a la cabeza del mundo: </w:t>
      </w:r>
      <w:r w:rsidRPr="007B00AC">
        <w:rPr>
          <w:rStyle w:val="Textoennegrita"/>
          <w:b w:val="0"/>
        </w:rPr>
        <w:t>casi 0,5 kilómetros de AVE</w:t>
      </w:r>
      <w:r w:rsidRPr="007B00AC">
        <w:t xml:space="preserve"> cada diez mil habitantes. El doble que Japón, como indica el siguiente gráfico, elaborado a partir de los datos de la citada investigación, a la que ha tenido acceso </w:t>
      </w:r>
      <w:r w:rsidRPr="00AC567C">
        <w:rPr>
          <w:rStyle w:val="nfasis"/>
        </w:rPr>
        <w:t>El Confidencial</w:t>
      </w:r>
      <w:r w:rsidRPr="00AC567C">
        <w:t>.</w:t>
      </w:r>
    </w:p>
    <w:p w:rsidR="00D51697" w:rsidRPr="00897FAF" w:rsidRDefault="00D51697" w:rsidP="00387350">
      <w:pPr>
        <w:pStyle w:val="NormalWeb"/>
        <w:jc w:val="both"/>
      </w:pPr>
      <w:r w:rsidRPr="00897FAF">
        <w:rPr>
          <w:noProof/>
        </w:rPr>
        <w:drawing>
          <wp:inline distT="0" distB="0" distL="0" distR="0" wp14:anchorId="7B8F12E1" wp14:editId="3AD42B2A">
            <wp:extent cx="5391302" cy="1901952"/>
            <wp:effectExtent l="0" t="0" r="0" b="3175"/>
            <wp:docPr id="516" name="Imagen 516" descr="http://www.ecestaticos.com/image/clipping/e05f178d876abba48e5969fabdd29307/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descr="http://www.ecestaticos.com/image/clipping/e05f178d876abba48e5969fabdd29307/imagen-sin-titulo.jpg"/>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5391150" cy="1901898"/>
                    </a:xfrm>
                    <a:prstGeom prst="rect">
                      <a:avLst/>
                    </a:prstGeom>
                    <a:noFill/>
                    <a:ln>
                      <a:noFill/>
                    </a:ln>
                  </pic:spPr>
                </pic:pic>
              </a:graphicData>
            </a:graphic>
          </wp:inline>
        </w:drawing>
      </w:r>
    </w:p>
    <w:p w:rsidR="00D51697" w:rsidRPr="00897FAF" w:rsidRDefault="00D51697" w:rsidP="00387350">
      <w:pPr>
        <w:pStyle w:val="NormalWeb"/>
        <w:jc w:val="both"/>
        <w:rPr>
          <w:rStyle w:val="transparent"/>
        </w:rPr>
      </w:pPr>
      <w:r w:rsidRPr="00897FAF">
        <w:rPr>
          <w:noProof/>
        </w:rPr>
        <w:drawing>
          <wp:inline distT="0" distB="0" distL="0" distR="0" wp14:anchorId="7888B39C" wp14:editId="2F5F6135">
            <wp:extent cx="5507796" cy="2062887"/>
            <wp:effectExtent l="0" t="0" r="0" b="0"/>
            <wp:docPr id="517" name="Imagen 517" descr="Fuente: UIC. Elaboración pr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Fuente: UIC. Elaboración propia."/>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5508625" cy="2063197"/>
                    </a:xfrm>
                    <a:prstGeom prst="rect">
                      <a:avLst/>
                    </a:prstGeom>
                    <a:noFill/>
                    <a:ln>
                      <a:noFill/>
                    </a:ln>
                  </pic:spPr>
                </pic:pic>
              </a:graphicData>
            </a:graphic>
          </wp:inline>
        </w:drawing>
      </w:r>
      <w:r w:rsidRPr="00897FAF">
        <w:rPr>
          <w:rStyle w:val="transparent"/>
        </w:rPr>
        <w:t>Fuente: UIC. Elaboración propia.</w:t>
      </w:r>
    </w:p>
    <w:p w:rsidR="00D51697" w:rsidRPr="00897FAF" w:rsidRDefault="00D51697" w:rsidP="00387350">
      <w:pPr>
        <w:pStyle w:val="NormalWeb"/>
        <w:jc w:val="both"/>
      </w:pPr>
      <w:r w:rsidRPr="00897FAF">
        <w:t xml:space="preserve"> Pero </w:t>
      </w:r>
      <w:r w:rsidRPr="007B00AC">
        <w:rPr>
          <w:rStyle w:val="Textoennegrita"/>
          <w:b w:val="0"/>
        </w:rPr>
        <w:t>¿es esta red de nivel mundial acorde con las exigencias del país?</w:t>
      </w:r>
      <w:r w:rsidRPr="00897FAF">
        <w:t xml:space="preserve"> Los datos globales, citados más arriba, son los que se suelen tomar en consideración para destacar los años de bonanza y grandes inversiones en la alta velocidad española. Comparadas con su uso, </w:t>
      </w:r>
      <w:r w:rsidRPr="007B00AC">
        <w:rPr>
          <w:rStyle w:val="Textoennegrita"/>
          <w:b w:val="0"/>
        </w:rPr>
        <w:t>la historia es otra.</w:t>
      </w:r>
      <w:r w:rsidRPr="00897FAF">
        <w:t xml:space="preserve"> El equipo de las dos universidades españolas ha calculado la relación entre pasajeros que usan el AVE y los kilómetros construidos. España, en </w:t>
      </w:r>
      <w:r w:rsidRPr="00897FAF">
        <w:lastRenderedPageBreak/>
        <w:t xml:space="preserve">este caso, se encuentra </w:t>
      </w:r>
      <w:r w:rsidRPr="007B00AC">
        <w:rPr>
          <w:rStyle w:val="Textoennegrita"/>
          <w:b w:val="0"/>
        </w:rPr>
        <w:t>en el último puesto</w:t>
      </w:r>
      <w:r w:rsidRPr="00897FAF">
        <w:t xml:space="preserve"> a nivel mundial. Le sigue solo Taiwán, caso que, destacan los investigadores, hay que coger con pinzas debido a su morfología. A escala europea, el uso de la red española es así netamente inferior al de los otros estados. Lo mismo ocurre si se relaciona el número de pasajeros con los kilómetros operativos de la red. En España, </w:t>
      </w:r>
      <w:r w:rsidRPr="007B00AC">
        <w:rPr>
          <w:rStyle w:val="Textoennegrita"/>
          <w:b w:val="0"/>
        </w:rPr>
        <w:t>no llega a una décima parte del más de un millón con los que cuenta Japón</w:t>
      </w:r>
      <w:r w:rsidRPr="007B00AC">
        <w:rPr>
          <w:b/>
        </w:rPr>
        <w:t>,</w:t>
      </w:r>
      <w:r w:rsidRPr="00897FAF">
        <w:t xml:space="preserve"> que, cabe recordar, tiene una red menos extensa. “La tendencia de los últimos años </w:t>
      </w:r>
      <w:r w:rsidRPr="007B00AC">
        <w:rPr>
          <w:rStyle w:val="Textoennegrita"/>
          <w:b w:val="0"/>
        </w:rPr>
        <w:t>indica una estabilización en el uso del AVE</w:t>
      </w:r>
      <w:r w:rsidRPr="00897FAF">
        <w:t xml:space="preserve"> incluso en el período precedente a la crisis”, señala a</w:t>
      </w:r>
      <w:r w:rsidRPr="00897FAF">
        <w:rPr>
          <w:rStyle w:val="nfasis"/>
        </w:rPr>
        <w:t xml:space="preserve"> </w:t>
      </w:r>
      <w:r w:rsidRPr="00AC567C">
        <w:rPr>
          <w:rStyle w:val="nfasis"/>
        </w:rPr>
        <w:t>El Confidencial</w:t>
      </w:r>
      <w:r w:rsidRPr="00897FAF">
        <w:t xml:space="preserve"> José María Menéndez, catedrático de Transporte y director de la investigación. Es por ello que ve complicada una repentina mejora al dato de uso del AVE por parte de los españoles: </w:t>
      </w:r>
      <w:r w:rsidRPr="007B00AC">
        <w:rPr>
          <w:rStyle w:val="Textoennegrita"/>
          <w:b w:val="0"/>
        </w:rPr>
        <w:t>una media nacional de 0,5 veces al año</w:t>
      </w:r>
      <w:r w:rsidRPr="007B00AC">
        <w:rPr>
          <w:b/>
        </w:rPr>
        <w:t>,</w:t>
      </w:r>
      <w:r w:rsidRPr="00897FAF">
        <w:t xml:space="preserve"> menos de la mitad que en Francia. “Y esto a pesar de que el número de trenes diarios en los grandes corredores de alta velocidad españoles es comparable al del resto de los países europeos”, señalan los autores del estudio. “Entiendo que no sería políticamente correcto parar todo”, comenta al respecto Menéndez, el director del estudio, “sobre todo considerando que vivimos en un país donde </w:t>
      </w:r>
      <w:r w:rsidRPr="007B00AC">
        <w:rPr>
          <w:rStyle w:val="Textoennegrita"/>
          <w:b w:val="0"/>
        </w:rPr>
        <w:t>no hay ningún alcalde que no se sienta agraviado si su pueblo no entra en los planos del proyecto del AVE”</w:t>
      </w:r>
      <w:r w:rsidRPr="007B00AC">
        <w:rPr>
          <w:b/>
        </w:rPr>
        <w:t>.</w:t>
      </w:r>
      <w:r w:rsidRPr="00897FAF">
        <w:t xml:space="preserve"> Sin embargo, asegura, “sería importante replantear los proyectos futuros, al menos para que sean acordes con las necesidades reales de la población”. Estos datos no son desconocidos en Fomento, explican fuentes del sector. La ministra del ramo, Ana Pastor, ha reiterado en varias ocasiones, por su parte, que el AVE es una inversión prioritaria: “Llegará a Galicia en 2018”, reiteraba en una entrevista con el diario</w:t>
      </w:r>
      <w:r w:rsidRPr="00897FAF">
        <w:rPr>
          <w:rStyle w:val="nfasis"/>
        </w:rPr>
        <w:t xml:space="preserve"> </w:t>
      </w:r>
      <w:r w:rsidRPr="00AC567C">
        <w:rPr>
          <w:rStyle w:val="nfasis"/>
        </w:rPr>
        <w:t>ABC</w:t>
      </w:r>
      <w:r w:rsidRPr="00064868">
        <w:rPr>
          <w:i/>
        </w:rPr>
        <w:t xml:space="preserve"> </w:t>
      </w:r>
      <w:r w:rsidRPr="00897FAF">
        <w:t>del pasado domingo. A este propósito se dedican, en los presupuestos de este y del próximo año, 1457 millones de euros, según los datos del ministerio.</w:t>
      </w:r>
    </w:p>
    <w:p w:rsidR="00D51697" w:rsidRPr="002B42BD" w:rsidRDefault="00D51697" w:rsidP="00387350">
      <w:pPr>
        <w:spacing w:line="240" w:lineRule="auto"/>
        <w:jc w:val="both"/>
        <w:rPr>
          <w:rFonts w:ascii="Times New Roman" w:hAnsi="Times New Roman"/>
          <w:sz w:val="24"/>
          <w:szCs w:val="24"/>
        </w:rPr>
      </w:pPr>
      <w:r>
        <w:rPr>
          <w:rFonts w:ascii="Times New Roman" w:hAnsi="Times New Roman"/>
          <w:sz w:val="24"/>
          <w:szCs w:val="24"/>
        </w:rPr>
        <w:t xml:space="preserve">- </w:t>
      </w:r>
      <w:r w:rsidRPr="002B42BD">
        <w:rPr>
          <w:rFonts w:ascii="Times New Roman" w:hAnsi="Times New Roman"/>
          <w:sz w:val="24"/>
          <w:szCs w:val="24"/>
          <w:u w:val="single"/>
        </w:rPr>
        <w:t>El Gobierno detecta 2.700 normas que dañan la unidad de mercado</w:t>
      </w:r>
      <w:r>
        <w:rPr>
          <w:rFonts w:ascii="Times New Roman" w:hAnsi="Times New Roman"/>
          <w:sz w:val="24"/>
          <w:szCs w:val="24"/>
        </w:rPr>
        <w:t xml:space="preserve"> (Libertad Digital - </w:t>
      </w:r>
      <w:r>
        <w:rPr>
          <w:rFonts w:ascii="Times New Roman" w:hAnsi="Times New Roman"/>
          <w:b/>
          <w:sz w:val="24"/>
          <w:szCs w:val="24"/>
        </w:rPr>
        <w:t>8</w:t>
      </w:r>
      <w:r w:rsidRPr="002B42BD">
        <w:rPr>
          <w:rFonts w:ascii="Times New Roman" w:hAnsi="Times New Roman"/>
          <w:b/>
          <w:sz w:val="24"/>
          <w:szCs w:val="24"/>
        </w:rPr>
        <w:t>/11/13</w:t>
      </w:r>
      <w:r>
        <w:rPr>
          <w:rFonts w:ascii="Times New Roman" w:hAnsi="Times New Roman"/>
          <w:sz w:val="24"/>
          <w:szCs w:val="24"/>
        </w:rPr>
        <w:t>)</w:t>
      </w:r>
    </w:p>
    <w:p w:rsidR="00D51697" w:rsidRPr="007B00AC" w:rsidRDefault="00D51697" w:rsidP="00387350">
      <w:pPr>
        <w:spacing w:line="240" w:lineRule="auto"/>
        <w:jc w:val="both"/>
        <w:rPr>
          <w:rFonts w:ascii="Times New Roman" w:hAnsi="Times New Roman" w:cs="Times New Roman"/>
          <w:sz w:val="24"/>
          <w:szCs w:val="24"/>
        </w:rPr>
      </w:pPr>
      <w:r w:rsidRPr="007B00AC">
        <w:rPr>
          <w:rFonts w:ascii="Times New Roman" w:hAnsi="Times New Roman" w:cs="Times New Roman"/>
          <w:sz w:val="24"/>
          <w:szCs w:val="24"/>
        </w:rPr>
        <w:t xml:space="preserve">El Consejo de Ministros aprueba el acuerdo que fija el calendario para la ejecución del Plan de Racionalización Normativa. El Gobierno </w:t>
      </w:r>
      <w:r w:rsidRPr="007B00AC">
        <w:rPr>
          <w:rStyle w:val="Textoennegrita"/>
          <w:rFonts w:ascii="Times New Roman" w:hAnsi="Times New Roman" w:cs="Times New Roman"/>
          <w:b w:val="0"/>
          <w:sz w:val="24"/>
          <w:szCs w:val="24"/>
        </w:rPr>
        <w:t>ha detectado que unas 2.700 normativas</w:t>
      </w:r>
      <w:r w:rsidRPr="007B00AC">
        <w:rPr>
          <w:rFonts w:ascii="Times New Roman" w:hAnsi="Times New Roman" w:cs="Times New Roman"/>
          <w:b/>
          <w:sz w:val="24"/>
          <w:szCs w:val="24"/>
        </w:rPr>
        <w:t>,</w:t>
      </w:r>
      <w:r w:rsidRPr="007B00AC">
        <w:rPr>
          <w:rFonts w:ascii="Times New Roman" w:hAnsi="Times New Roman" w:cs="Times New Roman"/>
          <w:sz w:val="24"/>
          <w:szCs w:val="24"/>
        </w:rPr>
        <w:t xml:space="preserve"> el 30% de ellas estatales (810) y el 70% autonómicas (1.890), suponen barreras a la </w:t>
      </w:r>
      <w:hyperlink r:id="rId539" w:history="1">
        <w:r w:rsidRPr="007B00AC">
          <w:rPr>
            <w:rStyle w:val="Hipervnculo"/>
            <w:rFonts w:ascii="Times New Roman" w:hAnsi="Times New Roman" w:cs="Times New Roman"/>
            <w:color w:val="auto"/>
            <w:sz w:val="24"/>
            <w:szCs w:val="24"/>
            <w:u w:val="none"/>
          </w:rPr>
          <w:t>Unidad de Mercado</w:t>
        </w:r>
      </w:hyperlink>
      <w:r w:rsidRPr="007B00AC">
        <w:rPr>
          <w:rFonts w:ascii="Times New Roman" w:hAnsi="Times New Roman" w:cs="Times New Roman"/>
          <w:sz w:val="24"/>
          <w:szCs w:val="24"/>
        </w:rPr>
        <w:t xml:space="preserve">, por lo que deberán ser modificadas o derogadas. El Consejo de Ministros ha aprobado este viernes un acuerdo que fija el calendario para la ejecución del </w:t>
      </w:r>
      <w:r w:rsidRPr="007B00AC">
        <w:rPr>
          <w:rStyle w:val="Textoennegrita"/>
          <w:rFonts w:ascii="Times New Roman" w:hAnsi="Times New Roman" w:cs="Times New Roman"/>
          <w:b w:val="0"/>
          <w:sz w:val="24"/>
          <w:szCs w:val="24"/>
        </w:rPr>
        <w:t>Plan de Racionalización Normativa</w:t>
      </w:r>
      <w:r w:rsidRPr="007B00AC">
        <w:rPr>
          <w:rFonts w:ascii="Times New Roman" w:hAnsi="Times New Roman" w:cs="Times New Roman"/>
          <w:sz w:val="24"/>
          <w:szCs w:val="24"/>
        </w:rPr>
        <w:t xml:space="preserve"> que acompañará al Proyecto de Ley de Garantía de Unidad de Mercado, aprobado el pasado mes de julio y que se encuentra en la recta final de su tramitación parlamentaria. Inicialmente, se identificaron </w:t>
      </w:r>
      <w:r w:rsidRPr="00AC567C">
        <w:rPr>
          <w:rStyle w:val="Textoennegrita"/>
          <w:rFonts w:ascii="Times New Roman" w:hAnsi="Times New Roman" w:cs="Times New Roman"/>
          <w:b w:val="0"/>
          <w:sz w:val="24"/>
          <w:szCs w:val="24"/>
        </w:rPr>
        <w:t>6.500 normas</w:t>
      </w:r>
      <w:r w:rsidRPr="007B00AC">
        <w:rPr>
          <w:rStyle w:val="Textoennegrita"/>
          <w:rFonts w:ascii="Times New Roman" w:hAnsi="Times New Roman" w:cs="Times New Roman"/>
          <w:sz w:val="24"/>
          <w:szCs w:val="24"/>
        </w:rPr>
        <w:t xml:space="preserve"> </w:t>
      </w:r>
      <w:r w:rsidRPr="007B00AC">
        <w:rPr>
          <w:rFonts w:ascii="Times New Roman" w:hAnsi="Times New Roman" w:cs="Times New Roman"/>
          <w:sz w:val="24"/>
          <w:szCs w:val="24"/>
        </w:rPr>
        <w:t xml:space="preserve">que impactan en la actividad empresarial, según ha explicado el </w:t>
      </w:r>
      <w:hyperlink r:id="rId540" w:history="1">
        <w:r w:rsidRPr="007B00AC">
          <w:rPr>
            <w:rStyle w:val="Hipervnculo"/>
            <w:rFonts w:ascii="Times New Roman" w:hAnsi="Times New Roman" w:cs="Times New Roman"/>
            <w:color w:val="auto"/>
            <w:sz w:val="24"/>
            <w:szCs w:val="24"/>
            <w:u w:val="none"/>
          </w:rPr>
          <w:t>ministro de Economía</w:t>
        </w:r>
      </w:hyperlink>
      <w:r w:rsidRPr="007B00AC">
        <w:rPr>
          <w:rFonts w:ascii="Times New Roman" w:hAnsi="Times New Roman" w:cs="Times New Roman"/>
          <w:sz w:val="24"/>
          <w:szCs w:val="24"/>
        </w:rPr>
        <w:t xml:space="preserve">, </w:t>
      </w:r>
      <w:hyperlink r:id="rId541" w:history="1">
        <w:r w:rsidRPr="007B00AC">
          <w:rPr>
            <w:rStyle w:val="Hipervnculo"/>
            <w:rFonts w:ascii="Times New Roman" w:hAnsi="Times New Roman" w:cs="Times New Roman"/>
            <w:color w:val="auto"/>
            <w:sz w:val="24"/>
            <w:szCs w:val="24"/>
            <w:u w:val="none"/>
          </w:rPr>
          <w:t>Luis de Guindos</w:t>
        </w:r>
      </w:hyperlink>
      <w:r w:rsidRPr="007B00AC">
        <w:rPr>
          <w:rFonts w:ascii="Times New Roman" w:hAnsi="Times New Roman" w:cs="Times New Roman"/>
          <w:sz w:val="24"/>
          <w:szCs w:val="24"/>
        </w:rPr>
        <w:t>, en la conferencia de prensa posterior al Consejo, quien ha añadido que de éstas, 2.700 tienen un efecto “potencialmente perjudicial”, por lo que es necesario hacer proceso de “limpieza burocrática”.</w:t>
      </w:r>
    </w:p>
    <w:p w:rsidR="00D51697" w:rsidRDefault="00D51697" w:rsidP="00387350">
      <w:pPr>
        <w:pStyle w:val="Ttulo1"/>
        <w:shd w:val="clear" w:color="auto" w:fill="FFFFFF"/>
        <w:spacing w:line="240" w:lineRule="auto"/>
        <w:jc w:val="both"/>
        <w:rPr>
          <w:rFonts w:ascii="Times New Roman" w:hAnsi="Times New Roman"/>
          <w:b w:val="0"/>
          <w:color w:val="auto"/>
          <w:sz w:val="24"/>
          <w:szCs w:val="24"/>
        </w:rPr>
      </w:pPr>
      <w:r w:rsidRPr="007142E9">
        <w:rPr>
          <w:rFonts w:ascii="Times New Roman" w:hAnsi="Times New Roman"/>
          <w:b w:val="0"/>
          <w:color w:val="auto"/>
          <w:sz w:val="24"/>
          <w:szCs w:val="24"/>
        </w:rPr>
        <w:t xml:space="preserve">- </w:t>
      </w:r>
      <w:r w:rsidRPr="007142E9">
        <w:rPr>
          <w:rFonts w:ascii="Times New Roman" w:hAnsi="Times New Roman"/>
          <w:b w:val="0"/>
          <w:color w:val="auto"/>
          <w:sz w:val="24"/>
          <w:szCs w:val="24"/>
          <w:u w:val="single"/>
        </w:rPr>
        <w:t>Los partidos políticos tienen colocados a 145.000 españoles</w:t>
      </w:r>
      <w:r>
        <w:rPr>
          <w:rFonts w:ascii="Times New Roman" w:hAnsi="Times New Roman"/>
          <w:b w:val="0"/>
          <w:color w:val="auto"/>
          <w:sz w:val="24"/>
          <w:szCs w:val="24"/>
        </w:rPr>
        <w:t xml:space="preserve"> (elmundo.es</w:t>
      </w:r>
      <w:r w:rsidRPr="007142E9">
        <w:rPr>
          <w:rFonts w:ascii="Times New Roman" w:hAnsi="Times New Roman"/>
          <w:b w:val="0"/>
          <w:color w:val="auto"/>
          <w:sz w:val="24"/>
          <w:szCs w:val="24"/>
        </w:rPr>
        <w:t xml:space="preserve"> - </w:t>
      </w:r>
      <w:r w:rsidRPr="007142E9">
        <w:rPr>
          <w:rFonts w:ascii="Times New Roman" w:hAnsi="Times New Roman"/>
          <w:color w:val="auto"/>
          <w:sz w:val="24"/>
          <w:szCs w:val="24"/>
        </w:rPr>
        <w:t>10/11/13</w:t>
      </w:r>
      <w:r w:rsidRPr="007142E9">
        <w:rPr>
          <w:rFonts w:ascii="Times New Roman" w:hAnsi="Times New Roman"/>
          <w:b w:val="0"/>
          <w:color w:val="auto"/>
          <w:sz w:val="24"/>
          <w:szCs w:val="24"/>
        </w:rPr>
        <w:t>)</w:t>
      </w:r>
    </w:p>
    <w:p w:rsidR="00D51697" w:rsidRDefault="00D51697" w:rsidP="00387350">
      <w:pPr>
        <w:shd w:val="clear" w:color="auto" w:fill="FFFFFF"/>
        <w:spacing w:before="100" w:beforeAutospacing="1" w:after="345" w:line="240" w:lineRule="auto"/>
        <w:jc w:val="both"/>
        <w:rPr>
          <w:rFonts w:ascii="Times New Roman" w:hAnsi="Times New Roman" w:cs="Times New Roman"/>
          <w:sz w:val="24"/>
          <w:szCs w:val="24"/>
        </w:rPr>
      </w:pPr>
      <w:r w:rsidRPr="00897FAF">
        <w:rPr>
          <w:rFonts w:ascii="Times New Roman" w:hAnsi="Times New Roman" w:cs="Times New Roman"/>
          <w:sz w:val="24"/>
          <w:szCs w:val="24"/>
        </w:rPr>
        <w:t xml:space="preserve">Gracias a los ingresos públicos y a las subvenciones, los partidos políticos, y también los sindicatos, se han convertido en </w:t>
      </w:r>
      <w:r w:rsidRPr="007B00AC">
        <w:rPr>
          <w:rStyle w:val="Textoennegrita"/>
          <w:rFonts w:ascii="Times New Roman" w:hAnsi="Times New Roman" w:cs="Times New Roman"/>
          <w:b w:val="0"/>
          <w:sz w:val="24"/>
          <w:szCs w:val="24"/>
        </w:rPr>
        <w:t>las empresas del país que más empleo gestionan</w:t>
      </w:r>
      <w:r w:rsidRPr="007B00AC">
        <w:rPr>
          <w:rFonts w:ascii="Times New Roman" w:hAnsi="Times New Roman" w:cs="Times New Roman"/>
          <w:b/>
          <w:sz w:val="24"/>
          <w:szCs w:val="24"/>
        </w:rPr>
        <w:t>.</w:t>
      </w:r>
      <w:r w:rsidRPr="00897FAF">
        <w:rPr>
          <w:rFonts w:ascii="Times New Roman" w:hAnsi="Times New Roman" w:cs="Times New Roman"/>
          <w:sz w:val="24"/>
          <w:szCs w:val="24"/>
        </w:rPr>
        <w:t xml:space="preserve">  Según las informaciones recabadas por </w:t>
      </w:r>
      <w:r w:rsidR="00DD6D81">
        <w:rPr>
          <w:rFonts w:ascii="Times New Roman" w:hAnsi="Times New Roman" w:cs="Times New Roman"/>
          <w:i/>
          <w:sz w:val="24"/>
          <w:szCs w:val="24"/>
        </w:rPr>
        <w:t>Mercados</w:t>
      </w:r>
      <w:r w:rsidRPr="00897FAF">
        <w:rPr>
          <w:rFonts w:ascii="Times New Roman" w:hAnsi="Times New Roman" w:cs="Times New Roman"/>
          <w:sz w:val="24"/>
          <w:szCs w:val="24"/>
        </w:rPr>
        <w:t xml:space="preserve">, </w:t>
      </w:r>
      <w:r w:rsidRPr="007B00AC">
        <w:rPr>
          <w:rStyle w:val="Textoennegrita"/>
          <w:rFonts w:ascii="Times New Roman" w:hAnsi="Times New Roman" w:cs="Times New Roman"/>
          <w:b w:val="0"/>
          <w:sz w:val="24"/>
          <w:szCs w:val="24"/>
        </w:rPr>
        <w:t>los partidos controlan el empleo de más de 145.000 personas</w:t>
      </w:r>
      <w:r w:rsidRPr="007B00AC">
        <w:rPr>
          <w:rFonts w:ascii="Times New Roman" w:hAnsi="Times New Roman" w:cs="Times New Roman"/>
          <w:b/>
          <w:sz w:val="24"/>
          <w:szCs w:val="24"/>
        </w:rPr>
        <w:t>,</w:t>
      </w:r>
      <w:r w:rsidRPr="00897FAF">
        <w:rPr>
          <w:rFonts w:ascii="Times New Roman" w:hAnsi="Times New Roman" w:cs="Times New Roman"/>
          <w:sz w:val="24"/>
          <w:szCs w:val="24"/>
        </w:rPr>
        <w:t xml:space="preserve"> la mayor parte nóminas de sus cargos en las distintas administraciones mientras que en sus sedes sólo sostienen una estructura ínfima. Se trata de casi </w:t>
      </w:r>
      <w:r w:rsidRPr="007B00AC">
        <w:rPr>
          <w:rStyle w:val="Textoennegrita"/>
          <w:rFonts w:ascii="Times New Roman" w:hAnsi="Times New Roman" w:cs="Times New Roman"/>
          <w:b w:val="0"/>
          <w:sz w:val="24"/>
          <w:szCs w:val="24"/>
        </w:rPr>
        <w:t>un tercio de los trabajadores que acumulan las 35 empresas del IBEX</w:t>
      </w:r>
      <w:r w:rsidRPr="007B00AC">
        <w:rPr>
          <w:rFonts w:ascii="Times New Roman" w:hAnsi="Times New Roman" w:cs="Times New Roman"/>
          <w:b/>
          <w:sz w:val="24"/>
          <w:szCs w:val="24"/>
        </w:rPr>
        <w:t xml:space="preserve"> </w:t>
      </w:r>
      <w:r w:rsidRPr="00897FAF">
        <w:rPr>
          <w:rFonts w:ascii="Times New Roman" w:hAnsi="Times New Roman" w:cs="Times New Roman"/>
          <w:sz w:val="24"/>
          <w:szCs w:val="24"/>
        </w:rPr>
        <w:t xml:space="preserve">en España. Esta cifra supera, por ejemplo, las plantillas de que disponen los seis bancos que figuran en este índice selectivo (Santander, BBVA, Caixabank, Popular, Sabadell y </w:t>
      </w:r>
      <w:r w:rsidRPr="00897FAF">
        <w:rPr>
          <w:rFonts w:ascii="Times New Roman" w:hAnsi="Times New Roman" w:cs="Times New Roman"/>
          <w:sz w:val="24"/>
          <w:szCs w:val="24"/>
        </w:rPr>
        <w:lastRenderedPageBreak/>
        <w:t xml:space="preserve">Bankinter). De aquí la importancia de ganar unas elecciones o de mantener una base electoral que les permita tener el poder de asignar empleo de no mercado, no competitivo ni procedente de una actividad generadora de PIB a sus correligionarios. Los partidos disponen de una cartera de empleo que puede representar al menos medio millón de votos directos, sumando al trabajador su entorno familiar y social… Según datos de la EPA, en el tercer trimestre de 2013 existían </w:t>
      </w:r>
      <w:r w:rsidRPr="007B00AC">
        <w:rPr>
          <w:rStyle w:val="Textoennegrita"/>
          <w:rFonts w:ascii="Times New Roman" w:hAnsi="Times New Roman" w:cs="Times New Roman"/>
          <w:b w:val="0"/>
          <w:sz w:val="24"/>
          <w:szCs w:val="24"/>
        </w:rPr>
        <w:t>39.500 puestos de trabajo</w:t>
      </w:r>
      <w:r w:rsidRPr="00897FAF">
        <w:rPr>
          <w:rFonts w:ascii="Times New Roman" w:hAnsi="Times New Roman" w:cs="Times New Roman"/>
          <w:sz w:val="24"/>
          <w:szCs w:val="24"/>
        </w:rPr>
        <w:t xml:space="preserve"> que desempeñaban las cúpulas del poder ejecutivo y los cuerpos legislativos. Esta plantilla equivale a la que disponen en su conjunto en España las compañías energéticas </w:t>
      </w:r>
      <w:r w:rsidRPr="007B00AC">
        <w:rPr>
          <w:rStyle w:val="Textoennegrita"/>
          <w:rFonts w:ascii="Times New Roman" w:hAnsi="Times New Roman" w:cs="Times New Roman"/>
          <w:b w:val="0"/>
          <w:sz w:val="24"/>
          <w:szCs w:val="24"/>
        </w:rPr>
        <w:t>Iberdrola, Endesa y Repsol</w:t>
      </w:r>
      <w:r w:rsidRPr="00897FAF">
        <w:rPr>
          <w:rFonts w:ascii="Times New Roman" w:hAnsi="Times New Roman" w:cs="Times New Roman"/>
          <w:sz w:val="24"/>
          <w:szCs w:val="24"/>
        </w:rPr>
        <w:t xml:space="preserve">. Se trata de los miembros de los gobiernos del Estado, autonomías y ayuntamientos, así como del conjunto de parlamentarios de las 19 cámaras existentes en España (Congreso, Senado y las 17 autonómicas) y los 8.116 alcaldes. Aunque no se aclara, también parecen figurar en este apartado los cuadros directivos de los partidos, los sindicatos y organizaciones empresariales. Curiosamente el Gobierno no facilita la información completa y detallada porque se trata de un secreto estadístico. Cuando empezó la crisis, este colectivo sólo </w:t>
      </w:r>
      <w:r w:rsidRPr="007B00AC">
        <w:rPr>
          <w:rStyle w:val="Textoennegrita"/>
          <w:rFonts w:ascii="Times New Roman" w:hAnsi="Times New Roman" w:cs="Times New Roman"/>
          <w:b w:val="0"/>
          <w:sz w:val="24"/>
          <w:szCs w:val="24"/>
        </w:rPr>
        <w:t>alcanzaba a 27.600 personas frente a las 39.500 actuales</w:t>
      </w:r>
      <w:r w:rsidRPr="007B00AC">
        <w:rPr>
          <w:rFonts w:ascii="Times New Roman" w:hAnsi="Times New Roman" w:cs="Times New Roman"/>
          <w:b/>
          <w:sz w:val="24"/>
          <w:szCs w:val="24"/>
        </w:rPr>
        <w:t>.</w:t>
      </w:r>
      <w:r w:rsidRPr="00897FAF">
        <w:rPr>
          <w:rFonts w:ascii="Times New Roman" w:hAnsi="Times New Roman" w:cs="Times New Roman"/>
          <w:sz w:val="24"/>
          <w:szCs w:val="24"/>
        </w:rPr>
        <w:t xml:space="preserve"> En realidad, todos viven del dinero público. Incluso lo hace la mayor parte de la mitad de alcaldes que dicen no cobrar un sueldo fijo al mes, ya que la mayoría se han asignado dietas por la asistencia a plenos o comisiones que, curiosamente, no tributan a Hacienda, como también sucede con las de los miembros del conjunto de parlamentos nacionales.</w:t>
      </w:r>
    </w:p>
    <w:p w:rsidR="00D51697" w:rsidRDefault="00D51697" w:rsidP="00387350">
      <w:pPr>
        <w:spacing w:line="240" w:lineRule="auto"/>
        <w:jc w:val="both"/>
        <w:rPr>
          <w:rFonts w:ascii="Times New Roman" w:hAnsi="Times New Roman"/>
          <w:sz w:val="24"/>
          <w:szCs w:val="24"/>
        </w:rPr>
      </w:pPr>
      <w:r w:rsidRPr="00720628">
        <w:rPr>
          <w:rFonts w:ascii="Times New Roman" w:hAnsi="Times New Roman"/>
          <w:sz w:val="24"/>
          <w:szCs w:val="24"/>
        </w:rPr>
        <w:t xml:space="preserve">- </w:t>
      </w:r>
      <w:r w:rsidRPr="00720628">
        <w:rPr>
          <w:rFonts w:ascii="Times New Roman" w:hAnsi="Times New Roman"/>
          <w:sz w:val="24"/>
          <w:szCs w:val="24"/>
          <w:u w:val="single"/>
        </w:rPr>
        <w:t>UGT se queda por sistema con el 19% del dinero para cursos de formación</w:t>
      </w:r>
      <w:r>
        <w:rPr>
          <w:rFonts w:ascii="Times New Roman" w:hAnsi="Times New Roman"/>
          <w:sz w:val="24"/>
          <w:szCs w:val="24"/>
        </w:rPr>
        <w:t xml:space="preserve"> (elmundo.es - </w:t>
      </w:r>
      <w:r w:rsidRPr="00720628">
        <w:rPr>
          <w:rFonts w:ascii="Times New Roman" w:hAnsi="Times New Roman"/>
          <w:b/>
          <w:sz w:val="24"/>
          <w:szCs w:val="24"/>
        </w:rPr>
        <w:t>14/11/13</w:t>
      </w:r>
      <w:r>
        <w:rPr>
          <w:rFonts w:ascii="Times New Roman" w:hAnsi="Times New Roman"/>
          <w:sz w:val="24"/>
          <w:szCs w:val="24"/>
        </w:rPr>
        <w:t>)</w:t>
      </w:r>
      <w:r w:rsidRPr="00720628">
        <w:rPr>
          <w:rFonts w:ascii="Times New Roman" w:hAnsi="Times New Roman"/>
          <w:sz w:val="24"/>
          <w:szCs w:val="24"/>
        </w:rPr>
        <w:t xml:space="preserve"> </w:t>
      </w:r>
    </w:p>
    <w:p w:rsidR="00D51697" w:rsidRDefault="00D51697" w:rsidP="00387350">
      <w:pPr>
        <w:spacing w:line="240" w:lineRule="auto"/>
        <w:jc w:val="both"/>
        <w:rPr>
          <w:rFonts w:ascii="Times New Roman" w:hAnsi="Times New Roman"/>
          <w:sz w:val="24"/>
          <w:szCs w:val="24"/>
        </w:rPr>
      </w:pPr>
      <w:r w:rsidRPr="00647D37">
        <w:rPr>
          <w:rFonts w:ascii="Times New Roman" w:hAnsi="Times New Roman"/>
          <w:sz w:val="24"/>
          <w:szCs w:val="24"/>
        </w:rPr>
        <w:t xml:space="preserve">Curso número 99 del Plan Estatal de Formación Continua de Comercio correspondiente al año 2011: Corte y cata de jamón. Organiza el Instituto de Formación y Estudios Sociales (IFES) por encargo de UGT. Duración: 30 horas; coste total subvencionado: 5.850 euros. Atendiendo al planning de costes que marcó para este curso el instituto, al que ha tenido acceso este diario, y que distribuyó entre el personal encargado de organizar el citado ciclo formativo, el sindicato se queda con un máximo del 15% de esas ayudas, en concepto de “coste asociado” a la organización del curso, mientras que IFES se embolsa un 4% de la subvención. Dicho de otra manera, un total del 19% del dinero público que llegó para esta actividad se quedó en manos de UGT, ya que la central, a su vez, es propietaria del 100% del instituto. En concreto, el sindicato se cobró un total de 1.111,50 euros del valor del curso. Es decir, empleó ese dinero para financiar los llamados “costes asociados de la actividad formativa”. La orden ministerial que establece las bases para la concesión de subvenciones públicas destinadas a formación profesional para el empleo -orden del Ministerio de Trabajo, fechada en marzo de 2008- engloba entre esos costes los ocasionados por la luz, el agua, la calefacción, mensajería, correo o vigilancia que suponen realizar el curso. Esa norma establece, no obstante, que la suma de costes asociados no puede superar el 10% del coste total de la formación, a no ser que se trate de un curso vinculado a “acciones prioritarias”. En concreto, a la internacionalización de la empresa, la innovación o el desarrollo tecnológico de los procesos productivos. En estos casos, ese porcentaje puede ampliarse hasta el 15%. En el caso de los cursos solicitados por UGT e impartidos por el IFES que aparecen en el planning de costes del instituto, todos conllevan un “coste asociado” para el sindicato del 15%, además del 4% que supone para el IFES. El citado reparto de costes no distingue entre cursos prioritarios y no prioritarios.  Así, un curso de inglés práctico para el pequeño comercio está al mismo nivel de prioridad que el de corte y cata de jamón u otros como el manejo del estrés y las emociones: la risoterapia, control del </w:t>
      </w:r>
      <w:r w:rsidRPr="00647D37">
        <w:rPr>
          <w:rFonts w:ascii="Times New Roman" w:hAnsi="Times New Roman"/>
          <w:sz w:val="24"/>
          <w:szCs w:val="24"/>
        </w:rPr>
        <w:lastRenderedPageBreak/>
        <w:t>estrés, carretillero, arte floral o cursos de técnicas de relajación. Este diario se puso en contacto con el sindicato para conocer su explicación sobre esos “costes asociados”. Las fuentes consultadas remitieron a la citada orden ministerial, no sin antes reconocer que son costes relativos al pago de luz y agua consumidas en el transcurso de los cursos. “Son costes que van asociados a la convocatoria”, apuntaron, en relación al concurso público de las subvenciones. Un curso de risoterapia para 15 alumnos está valorado en 5.850 euros, de los que UGT responde por 877,50 y el IFES por 234 euros. En el caso de cursos de arte floral, el coste total es de 6.630 euros. El sindicato se q</w:t>
      </w:r>
      <w:r>
        <w:rPr>
          <w:rFonts w:ascii="Times New Roman" w:hAnsi="Times New Roman"/>
          <w:sz w:val="24"/>
          <w:szCs w:val="24"/>
        </w:rPr>
        <w:t>ueda con 994,50 para financiar “costes asociados”</w:t>
      </w:r>
      <w:r w:rsidRPr="00647D37">
        <w:rPr>
          <w:rFonts w:ascii="Times New Roman" w:hAnsi="Times New Roman"/>
          <w:sz w:val="24"/>
          <w:szCs w:val="24"/>
        </w:rPr>
        <w:t xml:space="preserve"> y el IFES, 265,20 euros. Atendiendo a los datos facilitados ayer por el propio sindicato en un comunicado, el IFES gestionó 47,5 millones en subvenciones en 2012. Dicho de otra manera, más de nueve millones pasaron a manos del sindicato -incluyendo el porcentaje que corresponde al instituto- en concepto de “costes asociados” el año pasado. Fuentes conocedoras de la planificación de los cursos precisaron que el 15% que recibe el sindicato entra en la organización a través de sus entes territoriales o de las sectoriales confederales. En cuanto al resto de costes planificados por el IFES, se reparten de la siguiente manera. Un 27% de la subvención se destina a pagar a los formadores; un 10%, a preparar el curso; un 9,5% a costear los equipos necesarios -televisión, ordenador, proyector-; un 8,5%, a bolígrafos, cuadernos, carteras o diplomas; un 6,4%, a libros; un 6%, a costear las aulas, y un 1,2%, a contratar los seguros de los alumnos. </w:t>
      </w:r>
    </w:p>
    <w:p w:rsidR="00D51697" w:rsidRDefault="00D51697" w:rsidP="00387350">
      <w:pPr>
        <w:pStyle w:val="NormalWeb"/>
        <w:jc w:val="both"/>
      </w:pPr>
      <w:r>
        <w:t xml:space="preserve">- </w:t>
      </w:r>
      <w:r w:rsidRPr="00ED2718">
        <w:rPr>
          <w:u w:val="single"/>
        </w:rPr>
        <w:t>UGT y CCOO se quedan entre el 19 y el 50% del dinero para formación</w:t>
      </w:r>
      <w:r>
        <w:t xml:space="preserve"> (Libertad Digital - </w:t>
      </w:r>
      <w:r w:rsidRPr="00ED2718">
        <w:rPr>
          <w:b/>
        </w:rPr>
        <w:t>14/11/13</w:t>
      </w:r>
      <w:r>
        <w:t>)</w:t>
      </w:r>
    </w:p>
    <w:p w:rsidR="00D51697" w:rsidRDefault="00D51697" w:rsidP="00387350">
      <w:pPr>
        <w:pStyle w:val="NormalWeb"/>
        <w:jc w:val="both"/>
      </w:pPr>
      <w:r w:rsidRPr="008E2F8C">
        <w:t xml:space="preserve">El informe de </w:t>
      </w:r>
      <w:r w:rsidRPr="007B00AC">
        <w:rPr>
          <w:rStyle w:val="Textoennegrita"/>
          <w:b w:val="0"/>
        </w:rPr>
        <w:t>fiscalización</w:t>
      </w:r>
      <w:r w:rsidRPr="008E2F8C">
        <w:t xml:space="preserve"> realizado por la </w:t>
      </w:r>
      <w:r w:rsidRPr="007B00AC">
        <w:rPr>
          <w:rStyle w:val="Textoennegrita"/>
          <w:b w:val="0"/>
        </w:rPr>
        <w:t>Cámara de Cuentas andaluza en 1998</w:t>
      </w:r>
      <w:r w:rsidRPr="008E2F8C">
        <w:t xml:space="preserve"> sobre las </w:t>
      </w:r>
      <w:r w:rsidRPr="007B00AC">
        <w:rPr>
          <w:rStyle w:val="Textoennegrita"/>
          <w:b w:val="0"/>
        </w:rPr>
        <w:t>subvenciones</w:t>
      </w:r>
      <w:r w:rsidRPr="008E2F8C">
        <w:t xml:space="preserve"> a la formación que reciben sindicatos y empresarios es el único que se conoce que analice con detalle el destino del dinero de los cursos. En aquel informe se desprende que </w:t>
      </w:r>
      <w:hyperlink r:id="rId542" w:history="1">
        <w:r w:rsidRPr="007B00AC">
          <w:rPr>
            <w:rStyle w:val="Hipervnculo"/>
            <w:bCs/>
            <w:color w:val="auto"/>
            <w:u w:val="none"/>
          </w:rPr>
          <w:t>CCOO</w:t>
        </w:r>
      </w:hyperlink>
      <w:r w:rsidRPr="007B00AC">
        <w:rPr>
          <w:rStyle w:val="Textoennegrita"/>
        </w:rPr>
        <w:t xml:space="preserve"> y </w:t>
      </w:r>
      <w:hyperlink r:id="rId543" w:history="1">
        <w:r w:rsidRPr="007B00AC">
          <w:rPr>
            <w:rStyle w:val="Hipervnculo"/>
            <w:bCs/>
            <w:color w:val="auto"/>
            <w:u w:val="none"/>
          </w:rPr>
          <w:t>UGT</w:t>
        </w:r>
      </w:hyperlink>
      <w:r w:rsidRPr="007B00AC">
        <w:rPr>
          <w:rStyle w:val="Textoennegrita"/>
        </w:rPr>
        <w:t xml:space="preserve"> </w:t>
      </w:r>
      <w:r w:rsidRPr="007B00AC">
        <w:rPr>
          <w:rStyle w:val="Textoennegrita"/>
          <w:b w:val="0"/>
        </w:rPr>
        <w:t>destinaron casi el 50 por ciento</w:t>
      </w:r>
      <w:r w:rsidRPr="008E2F8C">
        <w:t xml:space="preserve"> del importe de las subvenciones recibidas en gastos de gestión, generales y de funcionamiento a los que podría obtener beneficios posteriores mediante las subcontrataciones. La Conferencia de Empresarios Andaluces destinó el 40 por ciento a los mismos menesteres. De tal dato dio cuenta </w:t>
      </w:r>
      <w:r w:rsidRPr="007B00AC">
        <w:rPr>
          <w:rStyle w:val="Textoennegrita"/>
          <w:b w:val="0"/>
        </w:rPr>
        <w:t>Libertad Digital</w:t>
      </w:r>
      <w:r w:rsidRPr="008E2F8C">
        <w:t xml:space="preserve"> en 2010. Este jueves, </w:t>
      </w:r>
      <w:hyperlink r:id="rId544" w:history="1">
        <w:r w:rsidRPr="00AC567C">
          <w:rPr>
            <w:rStyle w:val="nfasis"/>
          </w:rPr>
          <w:t>El Mundo</w:t>
        </w:r>
      </w:hyperlink>
      <w:r w:rsidRPr="008E2F8C">
        <w:t xml:space="preserve"> destaca que UGT se queda cuando menos con el 19% del importe final de los cursos que imparte… Según refleja el documento, en el caso de </w:t>
      </w:r>
      <w:r w:rsidRPr="00DD6D81">
        <w:rPr>
          <w:rStyle w:val="Textoennegrita"/>
          <w:b w:val="0"/>
        </w:rPr>
        <w:t>UGT</w:t>
      </w:r>
      <w:r w:rsidRPr="008E2F8C">
        <w:t xml:space="preserve">, de un total de 1.345,5 millones de subvención justificada, profesores, seguridad social y otras actividades sólo importan el 52 por ciento del total. Sin embargo, el dinero que se destina a seguros, materiales, administración, gastos corrientes, etc. ascienden a 642,6 millones, esto es, casi el 48 por ciento del total de la subvención… El caso de </w:t>
      </w:r>
      <w:r w:rsidRPr="007B00AC">
        <w:rPr>
          <w:rStyle w:val="Textoennegrita"/>
          <w:b w:val="0"/>
        </w:rPr>
        <w:t>Comisiones Obreras</w:t>
      </w:r>
      <w:r w:rsidRPr="008E2F8C">
        <w:t xml:space="preserve"> refleja una realidad parecida, aunque el porcentaje de los recursos baja al 45 por ciento: En este caso, el importe de la subvención de la Junta que se destina a profesores y gastos derivados, era de 744,1 millones, un 54,7 por ciento del total mientras que lo que se quedaba la organización para gastos varios ascendía a poco más del 45 por ciento. En el caso de la </w:t>
      </w:r>
      <w:r w:rsidRPr="00DD6D81">
        <w:rPr>
          <w:rStyle w:val="Textoennegrita"/>
          <w:b w:val="0"/>
        </w:rPr>
        <w:t>CEA</w:t>
      </w:r>
      <w:r w:rsidRPr="00DD6D81">
        <w:rPr>
          <w:b/>
        </w:rPr>
        <w:t>,</w:t>
      </w:r>
      <w:r w:rsidRPr="008E2F8C">
        <w:t xml:space="preserve"> el porcentaje utilizado en el propio funcionamiento para aplicar la subvención al fin de la formación es del 40 por ciento. Si se tiene en cuenta el conjunto del dinero percibido para estas actividades por sindicatos y empresarios, podemos decir que de cada 100 euros destinados a la formación por los Acuerdos de Concertación, UGT, CCOO y CEA reservaron para sí entre 40 y 48 euros.</w:t>
      </w:r>
    </w:p>
    <w:p w:rsidR="007B00AC" w:rsidRDefault="007B00AC" w:rsidP="00387350">
      <w:pPr>
        <w:pStyle w:val="NormalWeb"/>
        <w:jc w:val="both"/>
      </w:pPr>
    </w:p>
    <w:p w:rsidR="00D51697" w:rsidRPr="004F0F77" w:rsidRDefault="00D51697" w:rsidP="00387350">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4F0F77">
        <w:rPr>
          <w:rFonts w:ascii="Times New Roman" w:hAnsi="Times New Roman"/>
          <w:sz w:val="24"/>
          <w:szCs w:val="24"/>
          <w:u w:val="single"/>
        </w:rPr>
        <w:t>UGT manipula los concursos para quedarse con las ayudas</w:t>
      </w:r>
      <w:r>
        <w:rPr>
          <w:rFonts w:ascii="Times New Roman" w:hAnsi="Times New Roman"/>
          <w:sz w:val="24"/>
          <w:szCs w:val="24"/>
        </w:rPr>
        <w:t xml:space="preserve"> (elmundo.es - </w:t>
      </w:r>
      <w:r w:rsidRPr="004F0F77">
        <w:rPr>
          <w:rFonts w:ascii="Times New Roman" w:hAnsi="Times New Roman"/>
          <w:b/>
          <w:sz w:val="24"/>
          <w:szCs w:val="24"/>
        </w:rPr>
        <w:t>15/11/13</w:t>
      </w:r>
      <w:r>
        <w:rPr>
          <w:rFonts w:ascii="Times New Roman" w:hAnsi="Times New Roman"/>
          <w:sz w:val="24"/>
          <w:szCs w:val="24"/>
        </w:rPr>
        <w:t>)</w:t>
      </w:r>
      <w:r w:rsidRPr="004F0F77">
        <w:rPr>
          <w:rFonts w:ascii="Times New Roman" w:hAnsi="Times New Roman"/>
          <w:sz w:val="24"/>
          <w:szCs w:val="24"/>
        </w:rPr>
        <w:t xml:space="preserve"> </w:t>
      </w:r>
    </w:p>
    <w:p w:rsidR="00D51697" w:rsidRPr="008E2F8C" w:rsidRDefault="00D51697" w:rsidP="00387350">
      <w:pPr>
        <w:spacing w:line="240" w:lineRule="auto"/>
        <w:jc w:val="both"/>
        <w:rPr>
          <w:rFonts w:ascii="Times New Roman" w:hAnsi="Times New Roman"/>
          <w:sz w:val="24"/>
          <w:szCs w:val="24"/>
        </w:rPr>
      </w:pPr>
      <w:r w:rsidRPr="008E2F8C">
        <w:rPr>
          <w:rFonts w:ascii="Times New Roman" w:hAnsi="Times New Roman"/>
          <w:sz w:val="24"/>
          <w:szCs w:val="24"/>
        </w:rPr>
        <w:t>“Te remito nuestro presupuesto, el cual les puede servir de referencia. La fecha de presentación de presupuesto tiene que ser mediados de junio de 2011 y la cantidad presupuestada en cada curso superior a la que figura en IFES”. Ésta es la transcripción de un correo electrónico, al que tuvo acceso este diario, que el responsable de una dirección territorial del Instituto de Formación y Estudios Sociales (IFES), propiedad de UGT, envió a uno de sus empleados para que buscara dos centros de formación que compitieran con el instituto para conseguir subvenciones. La única condición es que esos centros debían aportar un presupuesto “superior” al presentado por el IFES.  El motivo es obvio. La Ley General de Subvenciones, en su artículo 31.3, obliga al beneficiario de las ayudas -UGT, en este caso- a solicitar como mínimo tres ofertas de diferentes proveedores cuando el coste de la actividad formativa que se solicita supera los 30.000 euros. Es más, condiciona también el gasto subvencionable de suministro de bienes de equipo o prestación de servicios por empresas de consultoría, fijándolo en 12.000 euros. En caso de que la subvención necesaria supere esas cantidades, el organismo beneficiario debe buscar el presupuesto más económico. Atendiendo al citado correo y a fuentes conocedoras del funcionamiento interno del IFES, cuando el sindicato consigue subvenciones para cursos, las delega al instituto para que los realice. El inconveniente es cuando el coste de esa formación supera los límites establecidos por ley. En ese caso, el instituto busca centros de formación “amigos”, como reconocieron a este diario las citadas fuentes, para conseguir presupuestos superiores al suyo. De esta manera, la subvención siempre queda en manos de UGT, a través del IFES. La normativa deja constancia de que “la elección entre las ofertas presentadas (...) se realizará conforme a criterios de eficiencia y economía”, teniendo que presentar, incluso, una memoria, en caso de que la elección no recaiga en la propuesta económica más ventajosa. La citada ley advierte tambié</w:t>
      </w:r>
      <w:r>
        <w:rPr>
          <w:rFonts w:ascii="Times New Roman" w:hAnsi="Times New Roman"/>
          <w:sz w:val="24"/>
          <w:szCs w:val="24"/>
        </w:rPr>
        <w:t>n, en su artículo 29.4, de que “</w:t>
      </w:r>
      <w:r w:rsidRPr="008E2F8C">
        <w:rPr>
          <w:rFonts w:ascii="Times New Roman" w:hAnsi="Times New Roman"/>
          <w:sz w:val="24"/>
          <w:szCs w:val="24"/>
        </w:rPr>
        <w:t>no podrá fraccionarse un contrato con el objeto de</w:t>
      </w:r>
      <w:r>
        <w:rPr>
          <w:rFonts w:ascii="Times New Roman" w:hAnsi="Times New Roman"/>
          <w:sz w:val="24"/>
          <w:szCs w:val="24"/>
        </w:rPr>
        <w:t xml:space="preserve"> disminuir la cuantía del mismo”</w:t>
      </w:r>
      <w:r w:rsidRPr="008E2F8C">
        <w:rPr>
          <w:rFonts w:ascii="Times New Roman" w:hAnsi="Times New Roman"/>
          <w:sz w:val="24"/>
          <w:szCs w:val="24"/>
        </w:rPr>
        <w:t xml:space="preserve">. Precisamente, el procedimiento de facturación que sigue el IFES permite emitir varias facturas cuando el importe total supere los 50.000 euros. Así consta en el Anexo V de la Federación de Servicios FeS de UGT, dedicado a cómo se deben justificar los gastos de los cursos de formación que imparte el IFES. </w:t>
      </w:r>
    </w:p>
    <w:p w:rsidR="00D51697" w:rsidRPr="00E94361" w:rsidRDefault="00D51697" w:rsidP="00387350">
      <w:pPr>
        <w:shd w:val="clear" w:color="auto" w:fill="FFFFFF"/>
        <w:spacing w:before="100" w:beforeAutospacing="1" w:after="345" w:line="240" w:lineRule="auto"/>
        <w:jc w:val="both"/>
        <w:rPr>
          <w:rFonts w:ascii="Times New Roman" w:hAnsi="Times New Roman"/>
          <w:sz w:val="24"/>
          <w:szCs w:val="24"/>
        </w:rPr>
      </w:pPr>
      <w:r>
        <w:rPr>
          <w:rFonts w:ascii="Times New Roman" w:hAnsi="Times New Roman"/>
          <w:sz w:val="24"/>
          <w:szCs w:val="24"/>
        </w:rPr>
        <w:t xml:space="preserve">- </w:t>
      </w:r>
      <w:r w:rsidRPr="00E94361">
        <w:rPr>
          <w:rFonts w:ascii="Times New Roman" w:hAnsi="Times New Roman"/>
          <w:sz w:val="24"/>
          <w:szCs w:val="24"/>
          <w:u w:val="single"/>
        </w:rPr>
        <w:t>Cataluña y Andalucía acaparan el 40% de las empresas públicas municipales</w:t>
      </w:r>
      <w:r>
        <w:rPr>
          <w:rFonts w:ascii="Times New Roman" w:hAnsi="Times New Roman"/>
          <w:sz w:val="24"/>
          <w:szCs w:val="24"/>
        </w:rPr>
        <w:t xml:space="preserve"> (El Economista - </w:t>
      </w:r>
      <w:r w:rsidRPr="00E94361">
        <w:rPr>
          <w:rFonts w:ascii="Times New Roman" w:hAnsi="Times New Roman"/>
          <w:b/>
          <w:sz w:val="24"/>
          <w:szCs w:val="24"/>
        </w:rPr>
        <w:t>18/11/13</w:t>
      </w:r>
      <w:r>
        <w:rPr>
          <w:rFonts w:ascii="Times New Roman" w:hAnsi="Times New Roman"/>
          <w:sz w:val="24"/>
          <w:szCs w:val="24"/>
        </w:rPr>
        <w:t>)</w:t>
      </w:r>
    </w:p>
    <w:p w:rsidR="00D51697" w:rsidRDefault="00D51697" w:rsidP="00387350">
      <w:pPr>
        <w:spacing w:before="100" w:beforeAutospacing="1" w:after="100" w:afterAutospacing="1" w:line="240" w:lineRule="auto"/>
        <w:jc w:val="both"/>
        <w:rPr>
          <w:rFonts w:ascii="Times New Roman" w:hAnsi="Times New Roman" w:cs="Times New Roman"/>
          <w:sz w:val="24"/>
          <w:szCs w:val="24"/>
        </w:rPr>
      </w:pPr>
      <w:r w:rsidRPr="008E2F8C">
        <w:rPr>
          <w:rFonts w:ascii="Times New Roman" w:hAnsi="Times New Roman" w:cs="Times New Roman"/>
          <w:sz w:val="24"/>
          <w:szCs w:val="24"/>
        </w:rPr>
        <w:t xml:space="preserve">Es una Administración dentro de otra Administración. Las entidades locales (ayuntamientos, diputaciones y mancomunidades) han creado a su alrededor un entramado de 4.001 organismos que de ellas dependen, de acuerdo con el registro más reciente, correspondiente a este año, de que dispone el Ministerio de Hacienda. Sobre todo, son empresas públicas y sociedades mercantiles de titularidad pública que han florecido incluso en los municipios más pequeños y remotos de España, pero tienen preferencia sobre todo por Cataluña y Andalucía, que concentran el 40%.  Estos entes (y los llamados organismos autónomos, otra especie muy frecuente en el medio ambiente de la Administración local) sirven para todo: </w:t>
      </w:r>
      <w:r w:rsidRPr="008E2F8C">
        <w:rPr>
          <w:rFonts w:ascii="Times New Roman" w:hAnsi="Times New Roman" w:cs="Times New Roman"/>
          <w:bCs/>
          <w:sz w:val="24"/>
          <w:szCs w:val="24"/>
        </w:rPr>
        <w:t>desde la prestación de servicios básicos como el suministro de agua, hasta el fomento de la cultura y el deporte, pasando por medios de comunicación</w:t>
      </w:r>
      <w:r w:rsidRPr="008E2F8C">
        <w:rPr>
          <w:rFonts w:ascii="Times New Roman" w:hAnsi="Times New Roman" w:cs="Times New Roman"/>
          <w:b/>
          <w:bCs/>
          <w:sz w:val="24"/>
          <w:szCs w:val="24"/>
        </w:rPr>
        <w:t xml:space="preserve"> </w:t>
      </w:r>
      <w:r w:rsidRPr="008E2F8C">
        <w:rPr>
          <w:rFonts w:ascii="Times New Roman" w:hAnsi="Times New Roman" w:cs="Times New Roman"/>
          <w:sz w:val="24"/>
          <w:szCs w:val="24"/>
        </w:rPr>
        <w:t xml:space="preserve">(hay radios, teles y periódicos), y terminando en entidades relacionadas con el turismo o con el desarrollo del uso de las lenguas cooficiales, por poner algunos ejemplos.  De hecho, en Cataluña se concentran 746 entes de este tipo, expresado en términos relativos, el 18,6% del total. Con todo, Andalucía, aunque no </w:t>
      </w:r>
      <w:r w:rsidRPr="008E2F8C">
        <w:rPr>
          <w:rFonts w:ascii="Times New Roman" w:hAnsi="Times New Roman" w:cs="Times New Roman"/>
          <w:sz w:val="24"/>
          <w:szCs w:val="24"/>
        </w:rPr>
        <w:lastRenderedPageBreak/>
        <w:t xml:space="preserve">necesita de políticas lingüísticas particulares, supera los registros catalanes, pues en torno a sus entidades locales giran 828 satélites, el 20,7 por ciento del total, de acuerdo con los registros de Hacienda. De hecho, en el caso andaluz, son más numerosos que los propios municipios de la comunidad autónoma que preside Susana Díaz (estos últimos ascienden a 795, de acuerdo con el Instituto Nacional de Estadística). Lo que todos estos organismos accesorios tienen en común en el conjunto de España es que constituyen una maraña muy difícil de desbrozar.  Y así lo ha reconocido el Gobierno en la puesta en marcha de una de las iniciativas en las que más esperanzas ha depositado: la reforma de la Administración local aprobada en Consejo de Ministros hace casi un año. </w:t>
      </w:r>
    </w:p>
    <w:p w:rsidR="00D51697" w:rsidRDefault="00D51697" w:rsidP="00387350">
      <w:pPr>
        <w:shd w:val="clear" w:color="auto" w:fill="FFFFFF"/>
        <w:spacing w:before="100" w:beforeAutospacing="1" w:after="345" w:line="240" w:lineRule="auto"/>
        <w:jc w:val="both"/>
        <w:rPr>
          <w:rFonts w:ascii="Times New Roman" w:hAnsi="Times New Roman"/>
          <w:sz w:val="24"/>
          <w:szCs w:val="24"/>
        </w:rPr>
      </w:pPr>
      <w:r>
        <w:rPr>
          <w:rFonts w:ascii="Times New Roman" w:hAnsi="Times New Roman"/>
          <w:sz w:val="24"/>
          <w:szCs w:val="24"/>
        </w:rPr>
        <w:t xml:space="preserve">- </w:t>
      </w:r>
      <w:r w:rsidRPr="005770D8">
        <w:rPr>
          <w:rFonts w:ascii="Times New Roman" w:hAnsi="Times New Roman"/>
          <w:sz w:val="24"/>
          <w:szCs w:val="24"/>
          <w:u w:val="single"/>
        </w:rPr>
        <w:t>Salario público medio: 40.150 euros; privado: 24.071</w:t>
      </w:r>
      <w:r>
        <w:rPr>
          <w:rFonts w:ascii="Times New Roman" w:hAnsi="Times New Roman"/>
          <w:sz w:val="24"/>
          <w:szCs w:val="24"/>
        </w:rPr>
        <w:t xml:space="preserve"> (Roberto Centeno - El Confidencial - </w:t>
      </w:r>
      <w:r w:rsidRPr="005770D8">
        <w:rPr>
          <w:rFonts w:ascii="Times New Roman" w:hAnsi="Times New Roman"/>
          <w:b/>
          <w:sz w:val="24"/>
          <w:szCs w:val="24"/>
        </w:rPr>
        <w:t>18/11/13</w:t>
      </w:r>
      <w:r>
        <w:rPr>
          <w:rFonts w:ascii="Times New Roman" w:hAnsi="Times New Roman"/>
          <w:sz w:val="24"/>
          <w:szCs w:val="24"/>
        </w:rPr>
        <w:t>)</w:t>
      </w:r>
    </w:p>
    <w:p w:rsidR="00D51697" w:rsidRDefault="00D51697" w:rsidP="00387350">
      <w:pPr>
        <w:spacing w:before="100" w:beforeAutospacing="1" w:after="100" w:afterAutospacing="1" w:line="240" w:lineRule="auto"/>
        <w:jc w:val="both"/>
        <w:rPr>
          <w:rFonts w:ascii="Times New Roman" w:hAnsi="Times New Roman"/>
          <w:sz w:val="24"/>
          <w:szCs w:val="24"/>
        </w:rPr>
      </w:pPr>
      <w:r w:rsidRPr="00064B42">
        <w:rPr>
          <w:rFonts w:ascii="Times New Roman" w:hAnsi="Times New Roman"/>
          <w:sz w:val="24"/>
          <w:szCs w:val="24"/>
        </w:rPr>
        <w:t xml:space="preserve">En el año 1975 </w:t>
      </w:r>
      <w:r w:rsidRPr="00064B42">
        <w:rPr>
          <w:rFonts w:ascii="Times New Roman" w:hAnsi="Times New Roman"/>
          <w:bCs/>
          <w:sz w:val="24"/>
          <w:szCs w:val="24"/>
        </w:rPr>
        <w:t>España tenía una de las mejores Administraciones Públicas de Europa</w:t>
      </w:r>
      <w:r w:rsidRPr="00064B42">
        <w:rPr>
          <w:rFonts w:ascii="Times New Roman" w:hAnsi="Times New Roman"/>
          <w:sz w:val="24"/>
          <w:szCs w:val="24"/>
        </w:rPr>
        <w:t xml:space="preserve">. Los cuerpos de élite como abogados o economistas del Estado, catedráticos, médicos, notarios, etc., que serían gradualmente marginados por el primer Gobierno socialista, daban una solidez y una eficacia a nuestra Administración como jamás la había tenido con anterioridad. El </w:t>
      </w:r>
      <w:r w:rsidRPr="00064B42">
        <w:rPr>
          <w:rFonts w:ascii="Times New Roman" w:hAnsi="Times New Roman"/>
          <w:bCs/>
          <w:sz w:val="24"/>
          <w:szCs w:val="24"/>
        </w:rPr>
        <w:t>desastre de la Transición</w:t>
      </w:r>
      <w:r w:rsidRPr="00064B42">
        <w:rPr>
          <w:rFonts w:ascii="Times New Roman" w:hAnsi="Times New Roman"/>
          <w:sz w:val="24"/>
          <w:szCs w:val="24"/>
        </w:rPr>
        <w:t xml:space="preserve"> lo cambiaría radicalmente. De 1975 a 2012 el crecimiento del empleo público en España sería el mayor del mundo con diferencia: un 260%, una cifra escandalosa que se compara con crecimientos inferiores al 10% en el  mundo desarrollado, casi cero en la UE o el -20% en Italia. En cifras absolutas, el aumento sería de 1,8 millones de empleados públicos, de los cuales 1,1 millones fueron nombrados a dedo y 580.000 con oposiciones a medida. </w:t>
      </w:r>
      <w:r w:rsidRPr="00064B42">
        <w:rPr>
          <w:rFonts w:ascii="Times New Roman" w:hAnsi="Times New Roman"/>
          <w:bCs/>
          <w:sz w:val="24"/>
          <w:szCs w:val="24"/>
        </w:rPr>
        <w:t>Sólo en puestos duplicados hay más de 700.000 personas</w:t>
      </w:r>
      <w:r w:rsidRPr="00064B42">
        <w:rPr>
          <w:rFonts w:ascii="Times New Roman" w:hAnsi="Times New Roman"/>
          <w:sz w:val="24"/>
          <w:szCs w:val="24"/>
        </w:rPr>
        <w:t xml:space="preserve">. La razón de la sinrazón de este disparate histórico no es otro que el modelo de Estado impuesto a los españoles, todo multiplicado por 17 y sin control alguno. La dimensión del sector público en España no ha sido el resultado de la preferencia social de los ciudadanos, sino del nepotismo y el sectarismo político más descarnado de la oligarquía política corrupta que se hizo con el control del país, robándonos la democracia y enchufando a parientes y amigos y correligionarios políticos a cientos de miles. La consecuencia inevitable de tal dislate es que nunca antes habíamos tenido unas Administraciones tan incompetentes, porque jamás en España ni fuera de ella el </w:t>
      </w:r>
      <w:r w:rsidRPr="00064B42">
        <w:rPr>
          <w:rFonts w:ascii="Times New Roman" w:hAnsi="Times New Roman"/>
          <w:bCs/>
          <w:sz w:val="24"/>
          <w:szCs w:val="24"/>
        </w:rPr>
        <w:t>40% de los empleados públicos había sido designado a dedo sin la menor preparación</w:t>
      </w:r>
      <w:r>
        <w:rPr>
          <w:rFonts w:ascii="Times New Roman" w:hAnsi="Times New Roman"/>
          <w:sz w:val="24"/>
          <w:szCs w:val="24"/>
        </w:rPr>
        <w:t xml:space="preserve"> para el puesto a desempeñar -</w:t>
      </w:r>
      <w:r w:rsidRPr="00064B42">
        <w:rPr>
          <w:rFonts w:ascii="Times New Roman" w:hAnsi="Times New Roman"/>
          <w:sz w:val="24"/>
          <w:szCs w:val="24"/>
        </w:rPr>
        <w:t>68 asesores de Rajoy no tienen n</w:t>
      </w:r>
      <w:r>
        <w:rPr>
          <w:rFonts w:ascii="Times New Roman" w:hAnsi="Times New Roman"/>
          <w:sz w:val="24"/>
          <w:szCs w:val="24"/>
        </w:rPr>
        <w:t>i el título de graduado escolar-</w:t>
      </w:r>
      <w:r w:rsidRPr="00064B42">
        <w:rPr>
          <w:rFonts w:ascii="Times New Roman" w:hAnsi="Times New Roman"/>
          <w:sz w:val="24"/>
          <w:szCs w:val="24"/>
        </w:rPr>
        <w:t>, ni jamás en España ni fuera de ella un 20% de empleados públicos había sido seleccionado con pruebas a medida. Sólo un 40% de los funcionarios españoles ha realizado oposiciones limpias y transparentes, que son los que mantienen y protegen el país. La Administración española es hoy la más costosa en términos de PIB y la de menor productividad de toda Europa... Y como guinda del pastel están</w:t>
      </w:r>
      <w:r w:rsidRPr="00064B42">
        <w:rPr>
          <w:rFonts w:ascii="Times New Roman" w:hAnsi="Times New Roman"/>
          <w:bCs/>
          <w:sz w:val="24"/>
          <w:szCs w:val="24"/>
        </w:rPr>
        <w:t xml:space="preserve"> los salarios públicos</w:t>
      </w:r>
      <w:r w:rsidRPr="00064B42">
        <w:rPr>
          <w:rFonts w:ascii="Times New Roman" w:hAnsi="Times New Roman"/>
          <w:sz w:val="24"/>
          <w:szCs w:val="24"/>
        </w:rPr>
        <w:t xml:space="preserve">, que  al contrario que el mundo desarrollado, donde son inferiores a los privados, en España son casi el doble. En concreto, el salario medio en el sector público en 2012 era nada menos que de 40.150 euros, frente a sólo 24.071 en el sector privado. Cuando el 60% de los trabajadores ocupados gana mil euros o menos, cuando desde que se inició la crisis la población en riesgo de pobreza o exclusión social ha subido en 5 puntos porcentuales hasta el </w:t>
      </w:r>
      <w:r w:rsidR="007B00AC">
        <w:rPr>
          <w:rFonts w:ascii="Times New Roman" w:hAnsi="Times New Roman"/>
          <w:sz w:val="24"/>
          <w:szCs w:val="24"/>
        </w:rPr>
        <w:t>28,2% -</w:t>
      </w:r>
      <w:r w:rsidRPr="00064B42">
        <w:rPr>
          <w:rFonts w:ascii="Times New Roman" w:hAnsi="Times New Roman"/>
          <w:sz w:val="24"/>
          <w:szCs w:val="24"/>
        </w:rPr>
        <w:t xml:space="preserve">diez </w:t>
      </w:r>
      <w:r w:rsidR="007B00AC">
        <w:rPr>
          <w:rFonts w:ascii="Times New Roman" w:hAnsi="Times New Roman"/>
          <w:sz w:val="24"/>
          <w:szCs w:val="24"/>
        </w:rPr>
        <w:t>veces más que la media de la UE-</w:t>
      </w:r>
      <w:r w:rsidRPr="00064B42">
        <w:rPr>
          <w:rFonts w:ascii="Times New Roman" w:hAnsi="Times New Roman"/>
          <w:sz w:val="24"/>
          <w:szCs w:val="24"/>
        </w:rPr>
        <w:t xml:space="preserve">,  esto es sencillamente un </w:t>
      </w:r>
      <w:r w:rsidRPr="00064B42">
        <w:rPr>
          <w:rFonts w:ascii="Times New Roman" w:hAnsi="Times New Roman"/>
          <w:bCs/>
          <w:sz w:val="24"/>
          <w:szCs w:val="24"/>
        </w:rPr>
        <w:t>expolio inaceptable</w:t>
      </w:r>
      <w:r w:rsidRPr="00064B42">
        <w:rPr>
          <w:rFonts w:ascii="Times New Roman" w:hAnsi="Times New Roman"/>
          <w:sz w:val="24"/>
          <w:szCs w:val="24"/>
        </w:rPr>
        <w:t>. El hecho de que el sueldo medio sea tan alto es debido a las decenas de miles de políticos y sus enchufados con sueldos de escándalo que llegan a los 60/80.000 euros, mientras el resto de empleados públicos tiene salarios casi mileuristas.</w:t>
      </w:r>
    </w:p>
    <w:p w:rsidR="00D51697" w:rsidRPr="002A69DC" w:rsidRDefault="00D51697" w:rsidP="00387350">
      <w:pPr>
        <w:spacing w:line="240" w:lineRule="auto"/>
        <w:jc w:val="both"/>
        <w:rPr>
          <w:rFonts w:ascii="Times New Roman" w:hAnsi="Times New Roman"/>
          <w:sz w:val="24"/>
          <w:szCs w:val="24"/>
        </w:rPr>
      </w:pPr>
      <w:r w:rsidRPr="002A69DC">
        <w:rPr>
          <w:rFonts w:ascii="Times New Roman" w:hAnsi="Times New Roman"/>
          <w:b/>
          <w:sz w:val="24"/>
          <w:szCs w:val="24"/>
        </w:rPr>
        <w:lastRenderedPageBreak/>
        <w:t xml:space="preserve">- </w:t>
      </w:r>
      <w:r w:rsidRPr="002A69DC">
        <w:rPr>
          <w:rFonts w:ascii="Times New Roman" w:hAnsi="Times New Roman"/>
          <w:sz w:val="24"/>
          <w:szCs w:val="24"/>
          <w:u w:val="single"/>
        </w:rPr>
        <w:t xml:space="preserve">La factura del despilfarro: Valencia dilapidó 12.500 millones de euros en grandes fastos </w:t>
      </w:r>
      <w:r w:rsidRPr="002A69DC">
        <w:rPr>
          <w:rFonts w:ascii="Times New Roman" w:hAnsi="Times New Roman"/>
          <w:sz w:val="24"/>
          <w:szCs w:val="24"/>
        </w:rPr>
        <w:t xml:space="preserve">(El Confidencial - </w:t>
      </w:r>
      <w:r w:rsidRPr="002A69DC">
        <w:rPr>
          <w:rFonts w:ascii="Times New Roman" w:hAnsi="Times New Roman"/>
          <w:b/>
          <w:sz w:val="24"/>
          <w:szCs w:val="24"/>
        </w:rPr>
        <w:t>24/11/13</w:t>
      </w:r>
      <w:r w:rsidRPr="002A69DC">
        <w:rPr>
          <w:rFonts w:ascii="Times New Roman" w:hAnsi="Times New Roman"/>
          <w:sz w:val="24"/>
          <w:szCs w:val="24"/>
        </w:rPr>
        <w:t>)</w:t>
      </w:r>
    </w:p>
    <w:p w:rsidR="00D51697" w:rsidRDefault="00D51697" w:rsidP="00387350">
      <w:pPr>
        <w:spacing w:line="240" w:lineRule="auto"/>
        <w:jc w:val="both"/>
        <w:rPr>
          <w:rFonts w:ascii="Times New Roman" w:hAnsi="Times New Roman"/>
          <w:sz w:val="24"/>
          <w:szCs w:val="24"/>
        </w:rPr>
      </w:pPr>
      <w:r w:rsidRPr="00064B42">
        <w:rPr>
          <w:rFonts w:ascii="Times New Roman" w:hAnsi="Times New Roman"/>
          <w:sz w:val="24"/>
          <w:szCs w:val="24"/>
        </w:rPr>
        <w:t>José Luis Peñas, el exconcejal del PP de Majadahonda (Madrid) que destapó el caso Gürtel con sus conversaciones grabadas a escondidas a Francisco Correa y sus secuaces, encendió por última vez su casete el 12 de diciembre de 2007. Fue en un salón del hotel madrileño Gran Meliá Fénix, donde el cabecilla de la trama tenía alquiladas dos suites. Ese día, recuerda ahora Peñas, “recogí la frase en la que decía que había llevado mil “kilos” a Bárcenas de comisiones en el Ministerio de Fomento y sus alardeos por el negocio que iba a hacer con Paco Camps con motivo de la Fórmula 1 en Valencia”. El exconcejal ha escrito el prólogo de Tierra de saqueo, un exhaustivo trabajo de investigación y documentación en el que el periodista Sergi Castillo destripa los casos de corrupción que salpican a todas las instituciones de la Comunidad Valenciana controladas por el PP, y en los que ya hay más de un centenar de imputados y condenados, desde expresidentes y exvicepresidentes de la Generalitat a alcaldes y concejales, pasando por parlamentarios autonómicos, diputados provinciales, altos cargos y funcionarios. El Gran Premio de Fórmula 1 de la Comunidad Valenciana del que alardeaba Correa fue sólo uno más en la larga lista de grandes eventos que Eduardo Zaplana, primero, y sobre todo Camps, promovieron co</w:t>
      </w:r>
      <w:r w:rsidR="008B2C69">
        <w:rPr>
          <w:rFonts w:ascii="Times New Roman" w:hAnsi="Times New Roman"/>
          <w:sz w:val="24"/>
          <w:szCs w:val="24"/>
        </w:rPr>
        <w:t>mo tributo a su desmedido ego. “</w:t>
      </w:r>
      <w:r w:rsidRPr="00064B42">
        <w:rPr>
          <w:rFonts w:ascii="Times New Roman" w:hAnsi="Times New Roman"/>
          <w:sz w:val="24"/>
          <w:szCs w:val="24"/>
        </w:rPr>
        <w:t>Jugaron con el dinero de todos a ser los</w:t>
      </w:r>
      <w:r w:rsidR="008B2C69">
        <w:rPr>
          <w:rFonts w:ascii="Times New Roman" w:hAnsi="Times New Roman"/>
          <w:sz w:val="24"/>
          <w:szCs w:val="24"/>
        </w:rPr>
        <w:t xml:space="preserve"> faraones de los nuevos tiempos”</w:t>
      </w:r>
      <w:r w:rsidRPr="00064B42">
        <w:rPr>
          <w:rFonts w:ascii="Times New Roman" w:hAnsi="Times New Roman"/>
          <w:sz w:val="24"/>
          <w:szCs w:val="24"/>
        </w:rPr>
        <w:t>, afirma Castillo, que añade: “Al deseo de perpetuarse y ser recordados se suma el de ser admirados y reconocidos. El discurso es digno de psicoanálisis, pero lo esencial era tener el edificio, el acontecimiento o el acto más grande. Sin más. El tamaño no es que fuera lo más importante; era lo único importante”. El catedrático de la Universidad Jaume I de Castellón José Antonio Piqueras bucea incluso en las raíces antropológicas de la megalomanía de los gobernantes valencianos, al frente de una sociedad que goza con las fallas, la pólvora, la música... “Aquí ha habido una predisposición a la estética y el hedonismo efímeros. Tenemos monumentos que arden, cabalgatas que se consumen y gaitas que son para el desfile. En el mismo acto que se realizan se consume la alegría y ya está”. Y, como recuerda, Castillo, “las hemerotecas están llenas de frases de Camps asociando un supuesto liderazgo de la Comunidad Valenciana a su política de grandes eventos”. El autor de Tierra de saqueo sostiene que “la suma del negocio generado con dinero público por los grandes casos de corrupción y los grandes eventos de la Comunidad Valenciana asciende a 12.500 millones de euros”. Y advierte que “la magnitud de esta cifra es mayor si se compara, por ejemplo, con todo el presupuesto de la Generalitat para 2013”, que asciende a 13.940 millones de euros… Según el Instituto Valenciano de Investigaciones Económicas (IVIE), el coste de los grandes eventos y proyectos en la comunidad durante los mandatos de Zaplana y Camps se eleva a 5.225 millones de euros. Con ese dinero se han financiado la Ciudad de las Artes y las Ciencias de Valencia, la Ciudad de la Luz de Alicante, la Copa del América, el Gran Premio de Fórmula 1, Terra Mítica, en Benidorm, o el a</w:t>
      </w:r>
      <w:r w:rsidR="00DD6D81">
        <w:rPr>
          <w:rFonts w:ascii="Times New Roman" w:hAnsi="Times New Roman"/>
          <w:sz w:val="24"/>
          <w:szCs w:val="24"/>
        </w:rPr>
        <w:t>eropuerto “fantasma”</w:t>
      </w:r>
      <w:r w:rsidRPr="00064B42">
        <w:rPr>
          <w:rFonts w:ascii="Times New Roman" w:hAnsi="Times New Roman"/>
          <w:sz w:val="24"/>
          <w:szCs w:val="24"/>
        </w:rPr>
        <w:t xml:space="preserve"> de Castellón, entre otros muchos. Y a esa lista hay que añadir los sobrecostes generados por los casos de corrupción más sonados del último lustro. Castillo los despieza en su libro. </w:t>
      </w:r>
    </w:p>
    <w:p w:rsidR="00D51697" w:rsidRPr="00E4231D" w:rsidRDefault="00D51697" w:rsidP="00387350">
      <w:pPr>
        <w:shd w:val="clear" w:color="auto" w:fill="FFFFFF"/>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E4231D">
        <w:rPr>
          <w:rFonts w:ascii="Times New Roman" w:hAnsi="Times New Roman"/>
          <w:sz w:val="24"/>
          <w:szCs w:val="24"/>
          <w:u w:val="single"/>
        </w:rPr>
        <w:t>Sólo ocho de los 47 aeropuertos de la red de Aena son rent</w:t>
      </w:r>
      <w:r w:rsidRPr="00E4231D">
        <w:rPr>
          <w:rFonts w:ascii="Times New Roman" w:hAnsi="Times New Roman"/>
          <w:sz w:val="24"/>
          <w:szCs w:val="24"/>
        </w:rPr>
        <w:t>ables</w:t>
      </w:r>
      <w:r>
        <w:rPr>
          <w:rFonts w:ascii="Times New Roman" w:hAnsi="Times New Roman"/>
          <w:sz w:val="24"/>
          <w:szCs w:val="24"/>
        </w:rPr>
        <w:t xml:space="preserve"> (Libertad Digital - </w:t>
      </w:r>
      <w:r w:rsidRPr="00E4231D">
        <w:rPr>
          <w:rFonts w:ascii="Times New Roman" w:hAnsi="Times New Roman"/>
          <w:b/>
          <w:sz w:val="24"/>
          <w:szCs w:val="24"/>
        </w:rPr>
        <w:t>29/11/13</w:t>
      </w:r>
      <w:r>
        <w:rPr>
          <w:rFonts w:ascii="Times New Roman" w:hAnsi="Times New Roman"/>
          <w:sz w:val="24"/>
          <w:szCs w:val="24"/>
        </w:rPr>
        <w:t>)</w:t>
      </w:r>
    </w:p>
    <w:p w:rsidR="00D51697" w:rsidRPr="00697877" w:rsidRDefault="00D51697" w:rsidP="00387350">
      <w:pPr>
        <w:shd w:val="clear" w:color="auto" w:fill="FFFFFF"/>
        <w:spacing w:after="360" w:line="240" w:lineRule="auto"/>
        <w:jc w:val="both"/>
        <w:rPr>
          <w:rFonts w:ascii="Times New Roman" w:hAnsi="Times New Roman"/>
          <w:sz w:val="24"/>
          <w:szCs w:val="24"/>
        </w:rPr>
      </w:pPr>
      <w:r w:rsidRPr="00697877">
        <w:rPr>
          <w:rFonts w:ascii="Times New Roman" w:hAnsi="Times New Roman"/>
          <w:sz w:val="24"/>
          <w:szCs w:val="24"/>
        </w:rPr>
        <w:t>Los aeropuertos españoles no dan beneficios. La red de</w:t>
      </w:r>
      <w:r w:rsidRPr="00697877">
        <w:rPr>
          <w:rFonts w:ascii="Times New Roman" w:hAnsi="Times New Roman"/>
          <w:bCs/>
          <w:sz w:val="24"/>
          <w:szCs w:val="24"/>
        </w:rPr>
        <w:t xml:space="preserve"> </w:t>
      </w:r>
      <w:hyperlink r:id="rId545" w:history="1">
        <w:r w:rsidRPr="00697877">
          <w:rPr>
            <w:rFonts w:ascii="Times New Roman" w:hAnsi="Times New Roman"/>
            <w:bCs/>
            <w:sz w:val="24"/>
            <w:szCs w:val="24"/>
          </w:rPr>
          <w:t>Aena</w:t>
        </w:r>
      </w:hyperlink>
      <w:r w:rsidRPr="00697877">
        <w:rPr>
          <w:rFonts w:ascii="Times New Roman" w:hAnsi="Times New Roman"/>
          <w:bCs/>
          <w:sz w:val="24"/>
          <w:szCs w:val="24"/>
        </w:rPr>
        <w:t xml:space="preserve"> perdió 70,8 millones de euros en 2012</w:t>
      </w:r>
      <w:r w:rsidRPr="00697877">
        <w:rPr>
          <w:rFonts w:ascii="Times New Roman" w:hAnsi="Times New Roman"/>
          <w:sz w:val="24"/>
          <w:szCs w:val="24"/>
        </w:rPr>
        <w:t xml:space="preserve">, aunque logró reducir los números rojos del año anterior un 25%. En el </w:t>
      </w:r>
      <w:r w:rsidRPr="00697877">
        <w:rPr>
          <w:rFonts w:ascii="Times New Roman" w:hAnsi="Times New Roman"/>
          <w:sz w:val="24"/>
          <w:szCs w:val="24"/>
        </w:rPr>
        <w:lastRenderedPageBreak/>
        <w:t xml:space="preserve">año 2011, Aena se dejaba 220,4 millones de euros. A pesar de esta situación, nadie parece plantearse que hay que poner fin al sobredimensionamiento del sector de una manera efectiva. En España hay un total de </w:t>
      </w:r>
      <w:r w:rsidRPr="00697877">
        <w:rPr>
          <w:rFonts w:ascii="Times New Roman" w:hAnsi="Times New Roman"/>
          <w:bCs/>
          <w:sz w:val="24"/>
          <w:szCs w:val="24"/>
        </w:rPr>
        <w:t>47 aeropuertos, de los que sólo 8 ganan dinero</w:t>
      </w:r>
      <w:r w:rsidRPr="00697877">
        <w:rPr>
          <w:rFonts w:ascii="Times New Roman" w:hAnsi="Times New Roman"/>
          <w:sz w:val="24"/>
          <w:szCs w:val="24"/>
        </w:rPr>
        <w:t xml:space="preserve">, informa este viernes el diario </w:t>
      </w:r>
      <w:hyperlink r:id="rId546" w:history="1">
        <w:r w:rsidRPr="00064868">
          <w:rPr>
            <w:rFonts w:ascii="Times New Roman" w:hAnsi="Times New Roman"/>
            <w:iCs/>
            <w:sz w:val="24"/>
            <w:szCs w:val="24"/>
          </w:rPr>
          <w:t>Expansión</w:t>
        </w:r>
        <w:r w:rsidRPr="00697877">
          <w:rPr>
            <w:rFonts w:ascii="Times New Roman" w:hAnsi="Times New Roman"/>
            <w:i/>
            <w:iCs/>
            <w:sz w:val="24"/>
            <w:szCs w:val="24"/>
          </w:rPr>
          <w:t xml:space="preserve">. </w:t>
        </w:r>
      </w:hyperlink>
      <w:r w:rsidRPr="00697877">
        <w:rPr>
          <w:rFonts w:ascii="Times New Roman" w:hAnsi="Times New Roman"/>
          <w:sz w:val="24"/>
          <w:szCs w:val="24"/>
        </w:rPr>
        <w:t xml:space="preserve"> Ibiza, Bilbao, Gran Canaria, Tenerife, Palma de Mallorca, Barcelona (El Prat), Lanzarote y Sevilla, son los únicos aeródromos que cerraron en verde el año 2012. De hecho, aunque el conjunto total haya reducido las pérdidas el pasado año, en 2011, los de Valencia, Alicante y Fuerteventura también eran rentables. Respecto al número de pasajeros, la verdadera s</w:t>
      </w:r>
      <w:r w:rsidRPr="00697877">
        <w:rPr>
          <w:rFonts w:ascii="Times New Roman" w:hAnsi="Times New Roman"/>
          <w:bCs/>
          <w:sz w:val="24"/>
          <w:szCs w:val="24"/>
        </w:rPr>
        <w:t xml:space="preserve">angría se produjo el pasado año en el aeropuerto de Barajas </w:t>
      </w:r>
      <w:r w:rsidRPr="00697877">
        <w:rPr>
          <w:rFonts w:ascii="Times New Roman" w:hAnsi="Times New Roman"/>
          <w:sz w:val="24"/>
          <w:szCs w:val="24"/>
        </w:rPr>
        <w:t xml:space="preserve">que ha sido el segundo de la UE que más pasajeros perdió en ese periodo (-8,9 %), sólo por detrás del de Atenas (-10,2%). A pesar de los malos datos de afluencia, el aeropuerto madrileño logró reducir sus pérdidas hasta los 13 millones de euros, un 86% menos que respecto a 2011. El presidente de Aena, José Manuel Vargas, ha asegurado que pretende terminar 2013 con un resultado bruto de explotación de 1.600 millones de euros. El tráfico en la red de </w:t>
      </w:r>
      <w:r w:rsidRPr="00697877">
        <w:rPr>
          <w:rFonts w:ascii="Times New Roman" w:hAnsi="Times New Roman"/>
          <w:bCs/>
          <w:sz w:val="24"/>
          <w:szCs w:val="24"/>
        </w:rPr>
        <w:t>Aena</w:t>
      </w:r>
      <w:r w:rsidRPr="00697877">
        <w:rPr>
          <w:rFonts w:ascii="Times New Roman" w:hAnsi="Times New Roman"/>
          <w:sz w:val="24"/>
          <w:szCs w:val="24"/>
        </w:rPr>
        <w:t xml:space="preserve"> </w:t>
      </w:r>
      <w:r w:rsidRPr="00697877">
        <w:rPr>
          <w:rFonts w:ascii="Times New Roman" w:hAnsi="Times New Roman"/>
          <w:bCs/>
          <w:sz w:val="24"/>
          <w:szCs w:val="24"/>
        </w:rPr>
        <w:t>ha caído un 4,4% hasta octubre</w:t>
      </w:r>
      <w:r w:rsidRPr="00697877">
        <w:rPr>
          <w:rFonts w:ascii="Times New Roman" w:hAnsi="Times New Roman"/>
          <w:sz w:val="24"/>
          <w:szCs w:val="24"/>
        </w:rPr>
        <w:t>, pero el auge de los pasajeros extranjeros puede modificar los datos anuales. Hace pocas s</w:t>
      </w:r>
      <w:r>
        <w:rPr>
          <w:rFonts w:ascii="Times New Roman" w:hAnsi="Times New Roman"/>
          <w:sz w:val="24"/>
          <w:szCs w:val="24"/>
        </w:rPr>
        <w:t xml:space="preserve">emanas, Vargas señalaba que </w:t>
      </w:r>
      <w:r w:rsidRPr="00697877">
        <w:rPr>
          <w:rFonts w:ascii="Times New Roman" w:hAnsi="Times New Roman"/>
          <w:sz w:val="24"/>
          <w:szCs w:val="24"/>
        </w:rPr>
        <w:t xml:space="preserve">la empresa pública podría plantearse la </w:t>
      </w:r>
      <w:r w:rsidRPr="00697877">
        <w:rPr>
          <w:rFonts w:ascii="Times New Roman" w:hAnsi="Times New Roman"/>
          <w:bCs/>
          <w:sz w:val="24"/>
          <w:szCs w:val="24"/>
        </w:rPr>
        <w:t xml:space="preserve">“congelación y posterior reducción de las tarifas” </w:t>
      </w:r>
      <w:r w:rsidRPr="00697877">
        <w:rPr>
          <w:rFonts w:ascii="Times New Roman" w:hAnsi="Times New Roman"/>
          <w:sz w:val="24"/>
          <w:szCs w:val="24"/>
        </w:rPr>
        <w:t xml:space="preserve">aeroportuarias en el medio plazo. El presidente de Aena también adelantaba que los diez mayores aeropuertos de la red tienen “entre un 25% y un 30% de capacidad ociosa”. </w:t>
      </w:r>
    </w:p>
    <w:p w:rsidR="00D51697" w:rsidRDefault="00D51697" w:rsidP="00387350">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1F741C">
        <w:rPr>
          <w:rFonts w:ascii="Times New Roman" w:hAnsi="Times New Roman"/>
          <w:color w:val="000000"/>
          <w:sz w:val="24"/>
          <w:szCs w:val="24"/>
          <w:u w:val="single"/>
        </w:rPr>
        <w:t>La gran mentira de la austeridad de España: ¿qué esfuerzo hacen las AAPP?</w:t>
      </w:r>
      <w:r>
        <w:rPr>
          <w:rFonts w:ascii="Times New Roman" w:hAnsi="Times New Roman"/>
          <w:color w:val="000000"/>
          <w:sz w:val="24"/>
          <w:szCs w:val="24"/>
        </w:rPr>
        <w:t xml:space="preserve"> (El Economista - </w:t>
      </w:r>
      <w:r w:rsidRPr="001F741C">
        <w:rPr>
          <w:rFonts w:ascii="Times New Roman" w:hAnsi="Times New Roman"/>
          <w:b/>
          <w:color w:val="000000"/>
          <w:sz w:val="24"/>
          <w:szCs w:val="24"/>
        </w:rPr>
        <w:t>29/11/13</w:t>
      </w:r>
      <w:r>
        <w:rPr>
          <w:rFonts w:ascii="Times New Roman" w:hAnsi="Times New Roman"/>
          <w:color w:val="000000"/>
          <w:sz w:val="24"/>
          <w:szCs w:val="24"/>
        </w:rPr>
        <w:t>)</w:t>
      </w:r>
    </w:p>
    <w:p w:rsidR="00D51697" w:rsidRDefault="00D51697" w:rsidP="00387350">
      <w:pPr>
        <w:pStyle w:val="NormalWeb"/>
        <w:jc w:val="both"/>
      </w:pPr>
      <w:r w:rsidRPr="00697877">
        <w:t xml:space="preserve">¿Qué esfuerzo están haciendo realmente las Administraciones Públicas para sanear sus cuentas? El Instituto Nacional de Estadística (INE) difundió ayer las cifras de Contabilidad Nacional de España, que </w:t>
      </w:r>
      <w:hyperlink r:id="rId547" w:history="1">
        <w:r w:rsidRPr="007B00AC">
          <w:rPr>
            <w:rStyle w:val="Hipervnculo"/>
            <w:color w:val="auto"/>
            <w:u w:val="none"/>
          </w:rPr>
          <w:t>además de informar del fin de la recesión técnica en España</w:t>
        </w:r>
      </w:hyperlink>
      <w:r w:rsidRPr="007B00AC">
        <w:t>, r</w:t>
      </w:r>
      <w:r w:rsidRPr="00697877">
        <w:t xml:space="preserve">ecogen otros datos interesantes, especialmente uno que demuestra lo que el Catedrático en Economía de la Universidad de Columbia Xavier Sala i Martín llama “la gran mentira de la austeridad de España”. Entre los datos que destaca Sala i Martín figura, primero, el aumento que registra el Producto Interior Bruto en el tercer trimestre del año respecto al segundo, del 0,1%, lo que viene a confirmar que la economía española ha conseguido revertir la recesión técnica tras nueve trimestres de contracción. No obstante, el PIB sigue siendo un 1,1% inferior al de hace un año. Segundo, la demanda interna aumenta. La demanda interna es la suma del consumo de las familias -que sube un 0,4%-, la inversión de las empresas, que aumenta el 0,2%, y el gasto público, que se eleva el 0,1%. Tercero, la demanda externa (exportaciones menos importaciones) cae. Sala i Martín recuerda, en este punto, que el deterioro del sector exterior no se debe a que vayan mal las exportaciones, que suben el 2,2%, sino a que se disparan las importaciones, que suben en concreto el 2,8%. Y por último, aunque no menos importante, el Catedrático en Economía de la Universidad de Columbia </w:t>
      </w:r>
      <w:r w:rsidRPr="00697877">
        <w:rPr>
          <w:bCs/>
        </w:rPr>
        <w:t>apunta al gasto del sector público, que aumenta un 0,1% respecto del trimestre anterior y un 0,3% respecto de hace un año</w:t>
      </w:r>
      <w:r w:rsidRPr="00697877">
        <w:t>, mientras que el gasto de los hogares retrocede un 2,2% en tasa interanual.</w:t>
      </w:r>
      <w:r>
        <w:t xml:space="preserve"> </w:t>
      </w:r>
      <w:r w:rsidRPr="00697877">
        <w:t>Como señala Sala i Martín, “eso de que el gobierno está haciendo un esfuerzo para recortar el gasto público es otro de los engaños”. “Montoro se pasa el día dando lecciones de austeridad pero resulta que el esfuerzo para equilibrar el presupuesto no lo está haciendo su gobierno sino las familias y las empresas, que se están friendo a impuestos mientras que el Gobierno sigue aumentando el gasto público”. Es la gran mentira de la austeridad de España, concluye el autor en su blog.</w:t>
      </w:r>
    </w:p>
    <w:p w:rsidR="00D51697" w:rsidRDefault="00D51697" w:rsidP="00387350">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CD4EA5">
        <w:rPr>
          <w:rFonts w:ascii="Times New Roman" w:hAnsi="Times New Roman"/>
          <w:sz w:val="24"/>
          <w:szCs w:val="24"/>
          <w:u w:val="single"/>
        </w:rPr>
        <w:t>España es cada vez más corrupta, según los informes internacionales</w:t>
      </w:r>
      <w:r>
        <w:rPr>
          <w:rFonts w:ascii="Times New Roman" w:hAnsi="Times New Roman"/>
          <w:sz w:val="24"/>
          <w:szCs w:val="24"/>
        </w:rPr>
        <w:t xml:space="preserve"> (Cinco Días - </w:t>
      </w:r>
      <w:r w:rsidRPr="00CD4EA5">
        <w:rPr>
          <w:rFonts w:ascii="Times New Roman" w:hAnsi="Times New Roman"/>
          <w:b/>
          <w:sz w:val="24"/>
          <w:szCs w:val="24"/>
        </w:rPr>
        <w:t>3/12/13</w:t>
      </w:r>
      <w:r>
        <w:rPr>
          <w:rFonts w:ascii="Times New Roman" w:hAnsi="Times New Roman"/>
          <w:sz w:val="24"/>
          <w:szCs w:val="24"/>
        </w:rPr>
        <w:t>)</w:t>
      </w:r>
    </w:p>
    <w:p w:rsidR="00D51697" w:rsidRPr="00697877" w:rsidRDefault="00D51697" w:rsidP="00387350">
      <w:pPr>
        <w:spacing w:line="240" w:lineRule="auto"/>
        <w:jc w:val="both"/>
        <w:rPr>
          <w:rFonts w:ascii="Times New Roman" w:hAnsi="Times New Roman"/>
          <w:sz w:val="24"/>
          <w:szCs w:val="24"/>
        </w:rPr>
      </w:pPr>
      <w:r w:rsidRPr="00697877">
        <w:rPr>
          <w:rFonts w:ascii="Times New Roman" w:hAnsi="Times New Roman"/>
          <w:sz w:val="24"/>
          <w:szCs w:val="24"/>
        </w:rPr>
        <w:t>Españ</w:t>
      </w:r>
      <w:r w:rsidR="002E6E34">
        <w:rPr>
          <w:rFonts w:ascii="Times New Roman" w:hAnsi="Times New Roman"/>
          <w:sz w:val="24"/>
          <w:szCs w:val="24"/>
        </w:rPr>
        <w:t>a ha caído diez puestos en el ra</w:t>
      </w:r>
      <w:r w:rsidRPr="00697877">
        <w:rPr>
          <w:rFonts w:ascii="Times New Roman" w:hAnsi="Times New Roman"/>
          <w:sz w:val="24"/>
          <w:szCs w:val="24"/>
        </w:rPr>
        <w:t>nking facilitado por la organización no gubernamental Transparencia Internacional sobre percepción de la corrupción oficial, hasta ocupar la posición número 40, en el marco de los escándalos que han afectado en los últimos meses a varios partidos políticos y sindicatos, así como a algunos miembros de la Familia Real. En su Índice sobre Percepciones de la Corrupción para 2013, la organización ha destacado que España es el segundo gran perdedor de puntos junto a Gambia, Malí, Guinea y Libia. El único país que ha perdido más puntos que los citados países es Siria, sacudido desde hace más de dos años por una cruenta guerra civil. “Lo que la crisis económica ha hecho es permitir un mayor debate público sobre la corrupción (...) La situación está más expuesta y eso afecta a las percepciones (sobre la misma)”, ha sostenido la directora para Europa y Asia Central de Transparencia Internacional, Anne Koch. “En España, todos los sectores, incluyendo los partidos políticos, la Familia Real y las empresas, estaban implicados en casos de corrupción en un momento en el que el país está sufriendo”, ha agregado. Asimismo, ha agregado que la aprobación de la nueva legislación que garantiza el derecho de la ciudadanía a estar informada sobre los gastos públicos es “inadecuada”. España era el único país de la Unión Europea (UE) que no contaba con una ley que regulara dicha situación. En base al índice facilitado por la organización, Dinamarca y Nueva Zelanda comparten el primer puesto, seguidos de cerca por Finlandia. Por contra, Somalia, Corea del Norte y Afganistán cierran la tabla, al igual que en 2012. En la UE Grecia continúa siendo el país con un mayor nivel de percepción sobre la corrupción oficial, si bien ha ganado cuatro puntos respecto al año anterior y ha subido al puesto 80 respecto al 94 que ocupó en 2012… Entre las principales economías mundiales, Estados Unidos ha quedado colocado en decimonovena posición y China en la 80, sin cambios respecto al año anterior, mientras que Rusia ha mejorado ligeramente para escalar seis puestos hasta el 127. Por su parte, Japón ha perdido una posición y se coloca en el 18.</w:t>
      </w:r>
    </w:p>
    <w:p w:rsidR="00D51697" w:rsidRPr="00A558D2" w:rsidRDefault="00D51697" w:rsidP="00387350">
      <w:pPr>
        <w:shd w:val="clear" w:color="auto" w:fill="FFFFFF"/>
        <w:spacing w:after="0" w:line="240" w:lineRule="auto"/>
        <w:jc w:val="both"/>
        <w:rPr>
          <w:rFonts w:ascii="Times New Roman" w:hAnsi="Times New Roman"/>
          <w:sz w:val="24"/>
          <w:szCs w:val="24"/>
        </w:rPr>
      </w:pPr>
      <w:r w:rsidRPr="00A558D2">
        <w:rPr>
          <w:rFonts w:ascii="Times New Roman" w:hAnsi="Times New Roman"/>
          <w:sz w:val="24"/>
          <w:szCs w:val="24"/>
        </w:rPr>
        <w:t xml:space="preserve">- </w:t>
      </w:r>
      <w:r w:rsidRPr="00A558D2">
        <w:rPr>
          <w:rFonts w:ascii="Times New Roman" w:hAnsi="Times New Roman"/>
          <w:sz w:val="24"/>
          <w:szCs w:val="24"/>
          <w:u w:val="single"/>
        </w:rPr>
        <w:t>No rescatemos ni bancos ni televisiones públicas</w:t>
      </w:r>
      <w:r w:rsidRPr="00A558D2">
        <w:rPr>
          <w:rFonts w:ascii="Times New Roman" w:hAnsi="Times New Roman"/>
          <w:sz w:val="24"/>
          <w:szCs w:val="24"/>
        </w:rPr>
        <w:t xml:space="preserve"> (Juan Ramón Rallo </w:t>
      </w:r>
      <w:r>
        <w:rPr>
          <w:rFonts w:ascii="Times New Roman" w:hAnsi="Times New Roman"/>
          <w:sz w:val="24"/>
          <w:szCs w:val="24"/>
        </w:rPr>
        <w:t xml:space="preserve">- </w:t>
      </w:r>
      <w:r w:rsidRPr="00A558D2">
        <w:rPr>
          <w:rFonts w:ascii="Times New Roman" w:hAnsi="Times New Roman"/>
          <w:sz w:val="24"/>
          <w:szCs w:val="24"/>
        </w:rPr>
        <w:t xml:space="preserve">El Economista - </w:t>
      </w:r>
      <w:r w:rsidRPr="00A558D2">
        <w:rPr>
          <w:rFonts w:ascii="Times New Roman" w:hAnsi="Times New Roman"/>
          <w:b/>
          <w:sz w:val="24"/>
          <w:szCs w:val="24"/>
        </w:rPr>
        <w:t>4/12/13</w:t>
      </w:r>
      <w:r w:rsidRPr="00A558D2">
        <w:rPr>
          <w:rFonts w:ascii="Times New Roman" w:hAnsi="Times New Roman"/>
          <w:sz w:val="24"/>
          <w:szCs w:val="24"/>
        </w:rPr>
        <w:t>)</w:t>
      </w:r>
    </w:p>
    <w:p w:rsidR="00D51697" w:rsidRDefault="00D51697" w:rsidP="00387350">
      <w:pPr>
        <w:shd w:val="clear" w:color="auto" w:fill="FFFFFF"/>
        <w:spacing w:after="0" w:line="240" w:lineRule="auto"/>
        <w:jc w:val="both"/>
        <w:rPr>
          <w:rFonts w:ascii="Times New Roman" w:hAnsi="Times New Roman"/>
          <w:sz w:val="24"/>
          <w:szCs w:val="24"/>
        </w:rPr>
      </w:pPr>
      <w:r w:rsidRPr="00A558D2">
        <w:rPr>
          <w:rFonts w:ascii="Times New Roman" w:hAnsi="Times New Roman"/>
          <w:sz w:val="24"/>
          <w:szCs w:val="24"/>
        </w:rPr>
        <w:t xml:space="preserve"> </w:t>
      </w:r>
    </w:p>
    <w:p w:rsidR="00D51697" w:rsidRDefault="00D51697" w:rsidP="00387350">
      <w:pPr>
        <w:shd w:val="clear" w:color="auto" w:fill="FFFFFF"/>
        <w:spacing w:after="0" w:line="240" w:lineRule="auto"/>
        <w:jc w:val="both"/>
        <w:rPr>
          <w:rFonts w:ascii="Times New Roman" w:hAnsi="Times New Roman"/>
          <w:sz w:val="24"/>
          <w:szCs w:val="24"/>
        </w:rPr>
      </w:pPr>
      <w:r w:rsidRPr="008D2221">
        <w:rPr>
          <w:rFonts w:ascii="Times New Roman" w:hAnsi="Times New Roman"/>
          <w:sz w:val="24"/>
          <w:szCs w:val="24"/>
        </w:rPr>
        <w:t xml:space="preserve">El Estado es una sofisticada maquinaria coactiva dirigida a parasitar a los grupos desorganizados en privativo lucro de los grupos de presión organizados. Todos somos conscientes de que esos grupos de presión existen y que pululan alrededor de las instituciones estatales tratando de arañar alguna subvención o alguna regulación a su favor. Es más, incluso conocemos el tipo de tácticas que suelen emplear los lobbies: los más cutres y descarados se afanan por untar directa o indirectamente a los reguladores -baile de sobres o concesión futura de un muy remunerativo puesto directivo-; los más sofisticados centran sus esfuerzos en convencer a la población de que los intereses del lobby coinciden con los intereses generales. Muchas grandes empresas españolas no han sentido rubor alguno a la hora de emplear la primera de estas tácticas: de ahí que ciertos consejos de administración calquen recreaciones en miniatura del Congreso de los Diputados. Por su parte, los bancos, lobby por excelencia donde los haya, han preferido echar mano de la técnica de manipulación de masas para convencer a la ciudadanía de que su rescate público y de que su acceso privilegiado al monopolio estatal de la banca central son prebendas del todo punto imprescindibles para evitar un colapso económico generalizado. En realidad, nada habría sucedido en caso de haber aplicado el bail-in desde un comienzo, es decir, en caso de haber hecho responsables de las pérdidas de los bancos a los acreedores de los bancos -a aquellos que, durante los años de burbuja, les </w:t>
      </w:r>
      <w:r w:rsidRPr="008D2221">
        <w:rPr>
          <w:rFonts w:ascii="Times New Roman" w:hAnsi="Times New Roman"/>
          <w:sz w:val="24"/>
          <w:szCs w:val="24"/>
        </w:rPr>
        <w:lastRenderedPageBreak/>
        <w:t>prestaron el capital necesario para poder seguir con sus muy imprudentes e insostenibles estrategias financieras-. Pero el perverso maridaje entre bancos y Estado optó por empujar a la ciudadanía a aceptar la socialización de pérdidas bajo el argumento de que había bancos “demasiado grandes para quebrar”... Pero los lobbies no sólo se concentran en el sector privado: dentro del propio sector público también se organizan multitud de facciones privilegiadas que buscan seguir viviendo a costa de la riqueza generada por familias y empresas convenciendo a esas familias y empresas de que, muy en el fondo, el atraco es por su bien. Paradigmático está siendo el caso de las televisiones públicas y, en concreto, del cierre de RTVV: sus trabajadores insisten en que no están protestando por sus puestos de trabajo, sino por defender “la televisión pública de los valencianos”. Enternecedora solidaridad hacia el contribuyente valenciano consistente en seguir forzándole a pagar coactivamente de su bolsillo los sueldos de los lobistas. Uno siempre había pensado que la solidaridad era voluntaria y en sentido inverso: aquel que dice ser solidario transfería su tiempo o sus recursos a otros. Aquí no: solidaridad es que esos otros me sigan abonando mensualmente la nómina sin rechistar. Es la lógica de los grupos de presión: sumir en un síndrome de Estocolmo al ciudadano maltratado por la violencia estatal para seguir medrando a sus hombros. En suma. Por idénticas razones a las que los bancos debieron quebrar sin percibir ningún tipo de transferencia forzosa de los contribuyentes, las televisiones públicas deben ser cerradas ipso facto. Todas ellas sin excepción. Y no por un descuadre del presupuesto público que pudiera terminar saneándose en el futuro, sino por un muy elemental respeto a la propiedad privada de los sufridos contribuyentes. No a la socialización de las pérdidas de los bancos y no a la socialización de las pérdidas de las televisiones públicas.</w:t>
      </w:r>
    </w:p>
    <w:p w:rsidR="00D51697" w:rsidRDefault="00D51697" w:rsidP="00387350">
      <w:pPr>
        <w:spacing w:before="100" w:beforeAutospacing="1" w:after="100" w:afterAutospacing="1" w:line="240" w:lineRule="auto"/>
        <w:jc w:val="both"/>
        <w:rPr>
          <w:rFonts w:ascii="Times New Roman" w:hAnsi="Times New Roman"/>
          <w:iCs/>
          <w:sz w:val="24"/>
          <w:szCs w:val="24"/>
        </w:rPr>
      </w:pPr>
      <w:r>
        <w:rPr>
          <w:rFonts w:ascii="Times New Roman" w:hAnsi="Times New Roman"/>
          <w:iCs/>
          <w:sz w:val="24"/>
          <w:szCs w:val="24"/>
        </w:rPr>
        <w:t xml:space="preserve">- </w:t>
      </w:r>
      <w:r w:rsidRPr="00BF5C63">
        <w:rPr>
          <w:rFonts w:ascii="Times New Roman" w:hAnsi="Times New Roman"/>
          <w:iCs/>
          <w:sz w:val="24"/>
          <w:szCs w:val="24"/>
          <w:u w:val="single"/>
        </w:rPr>
        <w:t>Siete empresas públicas fantasma sin negocio... pero con directivos millonarios</w:t>
      </w:r>
      <w:r>
        <w:rPr>
          <w:rFonts w:ascii="Times New Roman" w:hAnsi="Times New Roman"/>
          <w:iCs/>
          <w:sz w:val="24"/>
          <w:szCs w:val="24"/>
        </w:rPr>
        <w:t xml:space="preserve"> (El Confidencial - </w:t>
      </w:r>
      <w:r w:rsidRPr="00BF5C63">
        <w:rPr>
          <w:rFonts w:ascii="Times New Roman" w:hAnsi="Times New Roman"/>
          <w:b/>
          <w:iCs/>
          <w:sz w:val="24"/>
          <w:szCs w:val="24"/>
        </w:rPr>
        <w:t>13/12/13</w:t>
      </w:r>
      <w:r>
        <w:rPr>
          <w:rFonts w:ascii="Times New Roman" w:hAnsi="Times New Roman"/>
          <w:iCs/>
          <w:sz w:val="24"/>
          <w:szCs w:val="24"/>
        </w:rPr>
        <w:t>)</w:t>
      </w:r>
    </w:p>
    <w:p w:rsidR="00D51697" w:rsidRDefault="00D51697" w:rsidP="00387350">
      <w:pPr>
        <w:pStyle w:val="NormalWeb"/>
        <w:jc w:val="both"/>
      </w:pPr>
      <w:r w:rsidRPr="008D2221">
        <w:t>Sin activos, con pérdidas y con más gasto en personal directivo que en volumen de negocio. Es la situación de siete sociedades “cuestionables” del</w:t>
      </w:r>
      <w:r w:rsidRPr="008D2221">
        <w:rPr>
          <w:rStyle w:val="Textoennegrita"/>
        </w:rPr>
        <w:t xml:space="preserve"> </w:t>
      </w:r>
      <w:r w:rsidRPr="007B00AC">
        <w:rPr>
          <w:rStyle w:val="Textoennegrita"/>
          <w:b w:val="0"/>
        </w:rPr>
        <w:t>sector público empresarial estatal</w:t>
      </w:r>
      <w:r w:rsidRPr="008D2221">
        <w:t xml:space="preserve">, según </w:t>
      </w:r>
      <w:r w:rsidRPr="007B00AC">
        <w:t>un </w:t>
      </w:r>
      <w:hyperlink r:id="rId548" w:tgtFrame="_blank" w:history="1">
        <w:r w:rsidRPr="007B00AC">
          <w:rPr>
            <w:rStyle w:val="Hipervnculo"/>
            <w:color w:val="auto"/>
            <w:u w:val="none"/>
          </w:rPr>
          <w:t>informe del Tribunal de Cuentas</w:t>
        </w:r>
      </w:hyperlink>
      <w:r w:rsidRPr="008D2221">
        <w:t xml:space="preserve"> relativo a 2011. Todas ellas tuvieron una cifra de negocios igual a cero al cierre de ese ejercicio. Mientras, </w:t>
      </w:r>
      <w:r w:rsidRPr="007B00AC">
        <w:rPr>
          <w:rStyle w:val="Textoennegrita"/>
          <w:b w:val="0"/>
        </w:rPr>
        <w:t>sus empleados eran menos</w:t>
      </w:r>
      <w:r w:rsidRPr="008D2221">
        <w:t xml:space="preserve"> que los miembros de su consejo de administración, cuyos representantes eran retribuidos “por asistencia a reuniones”. Todas tuvieron resultados negativos. Cuatro de estas sociedades dependen del Ministerio de Economía y Hacienda: la Sociedad Española de Estudios para la Comunicación Fija a través del Estrecho de Gibraltar, Infraestructuras y Equipamientos Hispalenses, Rumasa, S.A. y la Sociedad de Gestión del Proyecto Aletas. Una depende del Ministerio de Fomento, Gestión Urbanística de La Rioja. A estas se añaden otras dos en las que “las cifras de negocios fueron muy inferiores a las retribuciones del personal”. Se trata de Desorción Térmica, S.A. y de Agruminsa, S.A…. En todo el sector, el entonces Gobierno de Zapatero suprimió 42 entidades entre 2009 y 2011, una medida que permitió </w:t>
      </w:r>
      <w:r w:rsidRPr="007B00AC">
        <w:rPr>
          <w:rStyle w:val="Textoennegrita"/>
          <w:b w:val="0"/>
        </w:rPr>
        <w:t>ahorrar 331,2 millones de euros</w:t>
      </w:r>
      <w:r w:rsidRPr="007B00AC">
        <w:rPr>
          <w:b/>
        </w:rPr>
        <w:t>.</w:t>
      </w:r>
      <w:r w:rsidRPr="008D2221">
        <w:t xml:space="preserve"> La plantilla de las entidades del sector público empresarial no financiero</w:t>
      </w:r>
      <w:r w:rsidRPr="008D2221">
        <w:rPr>
          <w:rStyle w:val="Textoennegrita"/>
        </w:rPr>
        <w:t xml:space="preserve"> </w:t>
      </w:r>
      <w:r w:rsidRPr="007B00AC">
        <w:rPr>
          <w:rStyle w:val="Textoennegrita"/>
          <w:b w:val="0"/>
        </w:rPr>
        <w:t>pasó de 176.233 personas en 2009 a 158.594 trabajadores</w:t>
      </w:r>
      <w:r w:rsidRPr="008D2221">
        <w:rPr>
          <w:rStyle w:val="Textoennegrita"/>
        </w:rPr>
        <w:t xml:space="preserve"> </w:t>
      </w:r>
      <w:r w:rsidRPr="008D2221">
        <w:t>dos años después. La retribución media se elevó de 33.100 euros a 33.600 al año. El actual Gobierno, por su parte, prometió liquidar al menos 80 empresas públicas. En enero de 2013, el Estado </w:t>
      </w:r>
      <w:hyperlink r:id="rId549" w:history="1">
        <w:r w:rsidRPr="007B00AC">
          <w:rPr>
            <w:rStyle w:val="Hipervnculo"/>
            <w:color w:val="auto"/>
            <w:u w:val="none"/>
          </w:rPr>
          <w:t>mantenía 448 en activo</w:t>
        </w:r>
      </w:hyperlink>
      <w:r w:rsidRPr="008D2221">
        <w:t>, sólo cuatro menos que a 31 de diciembre de 2011.</w:t>
      </w:r>
    </w:p>
    <w:p w:rsidR="007B00AC" w:rsidRDefault="007B00AC" w:rsidP="00387350">
      <w:pPr>
        <w:pStyle w:val="NormalWeb"/>
        <w:jc w:val="both"/>
      </w:pPr>
    </w:p>
    <w:p w:rsidR="00D51697" w:rsidRDefault="00D51697" w:rsidP="00387350">
      <w:pPr>
        <w:pStyle w:val="NormalWeb"/>
        <w:jc w:val="both"/>
      </w:pPr>
      <w:r>
        <w:lastRenderedPageBreak/>
        <w:t xml:space="preserve">- </w:t>
      </w:r>
      <w:r w:rsidRPr="00E22D8A">
        <w:rPr>
          <w:u w:val="single"/>
        </w:rPr>
        <w:t>La España autonómica del despilfarro: diecisiete monumentos a la incoherencia</w:t>
      </w:r>
      <w:r>
        <w:t xml:space="preserve"> (El Confidencial - </w:t>
      </w:r>
      <w:r w:rsidRPr="00E22D8A">
        <w:rPr>
          <w:b/>
        </w:rPr>
        <w:t>16/12/13</w:t>
      </w:r>
      <w:r>
        <w:t>)</w:t>
      </w:r>
    </w:p>
    <w:p w:rsidR="00D51697" w:rsidRDefault="00D51697" w:rsidP="00387350">
      <w:pPr>
        <w:pStyle w:val="NormalWeb"/>
        <w:jc w:val="both"/>
      </w:pPr>
      <w:r w:rsidRPr="00AD3F9C">
        <w:t>Son iconos del despilfarro de dinero público. Grandes inversiones de dudosa utilidad, ejemplo de una época de las vacas gordas en la que el dinero no parecía ser un problema. Todos se sumaron a la fiesta: alcaldes, presidentes autonómicos y hasta ministros inauguraron proyectos que han resultado ser un auténtico fracaso. En muchos de ellos se siguen invirtiendo decenas de millones de euros. Los aeropuertos sin aviones son los más conocidos de la lista, pero hay mucho más. En algunos casos, como el Fórum de Barcelona, la factura se disparó hasta mil millones de euros. El Confidencial repasa los proyectos estrella de cada región que acabaron estrellados. 1. Cataluña: el Fórum del sobrecoste (3.270 millones de euros). 2. Andalucía: el tranvía de Jaén (120 millones). 3. Aragón: el aeropuerto para esquiadores. 4. Asturias: Musel, el gas cerca de casa. 5. Comunidad Valenciana: las Artes en números rojos (1.200 millones). 6. Extremadura: el expresidente quiere su despacho. 7. Galicia: la ciudad de la Cultura que empezó Fraga (600 millones). 8. La Rioja: viviendas japonesas en Logroño. 9. Madrid: la Caja Mágica (294 millones). 10. Murcia: (otro) aeropuerto sin aviones (270 mi</w:t>
      </w:r>
      <w:r w:rsidR="002E6E34">
        <w:t>l</w:t>
      </w:r>
      <w:r w:rsidRPr="00AD3F9C">
        <w:t>lones). 11. Navarra: velocidad en Los Arcos (43 millones). 12. País Vasco: un túnel ferroviario sin conexión (48 millones). 13. Baleares: Palacio de Congresos de Palma (43 millones). 14. Canarias: obra de arte monumental (25 millones). 15. Reino de don Quijote: el sueño de Castilla-La Mancha. 16. Cantabria: apuesta por el fibroyeso (60 millones). 17. Castilla y León: Ciudad del Medio Ambiente (100 millones).</w:t>
      </w:r>
    </w:p>
    <w:p w:rsidR="00D51697" w:rsidRDefault="00D51697" w:rsidP="00387350">
      <w:pPr>
        <w:pStyle w:val="NormalWeb"/>
        <w:jc w:val="both"/>
      </w:pPr>
      <w:r>
        <w:t xml:space="preserve">- </w:t>
      </w:r>
      <w:r w:rsidRPr="004C3B26">
        <w:rPr>
          <w:u w:val="single"/>
        </w:rPr>
        <w:t>El AVE es el mayor ejemplo de despilfarro</w:t>
      </w:r>
      <w:r>
        <w:t xml:space="preserve"> (Negocios.cm - </w:t>
      </w:r>
      <w:r w:rsidRPr="004C3B26">
        <w:rPr>
          <w:b/>
        </w:rPr>
        <w:t>17/12/13</w:t>
      </w:r>
      <w:r>
        <w:t>)</w:t>
      </w:r>
    </w:p>
    <w:p w:rsidR="00D51697" w:rsidRDefault="00D51697" w:rsidP="00387350">
      <w:pPr>
        <w:pStyle w:val="NormalWeb"/>
        <w:jc w:val="both"/>
      </w:pPr>
      <w:r w:rsidRPr="00AD3F9C">
        <w:t xml:space="preserve">España y Francia estrenaron el pasado domingo la nueva línea de AVE que conectará ambos países por alta velocidad. De las cuatro rutas recién estrenadas, destaca especialmente la de Barcelona-París, cuyo trayecto durará un total de 6 horas y 25 minutos. Cuando se completen todas las obras, en 2017, su duración se reducirá en otros 20 minutos extra. Así pues, lo primero que llama la atención es que los Gobiernos español y francés canten a los cuatro vientos las alabanzas de una colosal infraestructura -con su no menos ingente inversión pública- que, en realidad, apenas supondrá una hora menos de viaje en comparación con la ruta anterior. Pese a ello, lo más grave no radica en esta ridícula mejora sino en la profunda falsedad que se emplea insistentemente para justificar la construcción de unas carísimas líneas de AVE a costa del trabajo y patrimonio de los contribuyentes, para mayor gloria, eso sí, de los Gobiernos de turno. España cuenta con cerca de 3.000 kilómetros de alta velocidad, situándose como el segundo país del mundo, por detrás de China, y el primero de Europa en este tipo de infraestructuras. Los Gobiernos de PP y PSOE se han gastado más de 40.000 millones de euros en AVE hasta 2010, excluyendo, además, la primera línea operativa (Madrid-Sevilla). Pero tal volumen de dinero tan sólo es equiparable a la ruina que ha supuesto y seguirá suponiendo su funcionamiento. Y es que, con poco más de 20 millones de pasajeros al año en toda la red, la alta velocidad española no alcanza el umbral mínimo de rentabilidad que fija la Comisión Europea, unos nueve millones de pasajeros anuales por línea. Por poner un ejemplo, las rutas más emblemáticas, como Madrid-Barcelona o Madrid-Valencia, no superaron los seis, y tres millones de viajeros, respectivamente, en su primer año de servicio. Asimismo, el mayor club del automóvil de España (RACC) concluía, a partir de diversos estudios sobre la materia, que “ninguno” de los corredores de AVE alcanza dicho umbral, de modo que Renfe pierde dinero en cada trayecto. Así, Madrid-Sevilla y Madrid-Barcelona, con 14.000 y 9.000 pasajeros por kilómetro de vía </w:t>
      </w:r>
      <w:r w:rsidRPr="00AD3F9C">
        <w:lastRenderedPageBreak/>
        <w:t>construida, quedan a “distancias insalvables” respecto a las líneas París-Lyon (59.000), Colonia-Fráncfort (51.000) o Tokyo-Osaka (235.000), advertía su informe. Es decir, aún sin contar la fuerte inversión pública que conlleva la construcción de las vías y la compra de los trenes (el grueso del coste), el mero funcionamiento operativo del AVE es deficitario o, lo que es lo mismo, la venta de billetes no cubre el coste del servicio, de ahí la necesidad de subsidios y subvenciones para cubrir la diferencia entre ingresos y gastos. La conclusión es evidente: la inversión en AVE no es amortizable y, por tanto, el Estado jamás recuperará el dinero enterrado en dichas vías, con el consiguiente menoscabo para el bolsillo de los españoles. Y ello, por supuesto, sin contar el absoluto dislate que ha supuesto la construcción de líneas tan surrealistas como la de Toledo-Albacete, con tan sólo 9 pasajeros al día antes de ser cerrada por Fomento. Pero, quizás, el mejor resumen de este despropósito es la opinión que tienen los propios gestores de Renfe. El ex consejero de la entidad pública César Molinas afirmó en su día que “lo del AVE es una locura. Con la única excepción del tren de levitación magnética que une Shanghái con su aeropuerto, los trenes de alta velocidad españoles son el medio de transporte público más caro del mundo. La apuesta española por el AVE ha supuesto sustituir corredores aéreos (Madrid-Barcelona, Madrid-Sevilla...) muy eficientes y competitivos, que se autofinanciaban sin necesidad de dinero público, por corredores ferroviarios tremendamente deficitarios financiados por el contribuyente. Pésimo negocio que pone una bomba de relojería en el presupuesto público (...) Sería mucho más barato transportar gratuitamente a todos los pasajeros de Renfe, a la hora que ellos quisieran, en automóviles Mercedes-Benz de último modelo”.</w:t>
      </w:r>
    </w:p>
    <w:p w:rsidR="00D51697" w:rsidRPr="00AD3F9C" w:rsidRDefault="00D51697" w:rsidP="00387350">
      <w:pPr>
        <w:pStyle w:val="NormalWeb"/>
        <w:jc w:val="both"/>
      </w:pPr>
    </w:p>
    <w:p w:rsidR="00D51697" w:rsidRPr="00AD3F9C" w:rsidRDefault="00D51697" w:rsidP="00387350">
      <w:pPr>
        <w:pStyle w:val="NormalWeb"/>
        <w:jc w:val="both"/>
      </w:pPr>
    </w:p>
    <w:p w:rsidR="00D51697" w:rsidRPr="008D2221" w:rsidRDefault="00D51697" w:rsidP="00387350">
      <w:pPr>
        <w:shd w:val="clear" w:color="auto" w:fill="FFFFFF"/>
        <w:spacing w:after="0" w:line="240" w:lineRule="auto"/>
        <w:jc w:val="both"/>
        <w:rPr>
          <w:rFonts w:ascii="Times New Roman" w:hAnsi="Times New Roman"/>
          <w:sz w:val="24"/>
          <w:szCs w:val="24"/>
        </w:rPr>
      </w:pPr>
    </w:p>
    <w:p w:rsidR="00D51697" w:rsidRPr="00697877" w:rsidRDefault="00D51697" w:rsidP="00387350">
      <w:pPr>
        <w:pStyle w:val="NormalWeb"/>
        <w:jc w:val="both"/>
      </w:pPr>
    </w:p>
    <w:sectPr w:rsidR="00D51697" w:rsidRPr="00697877" w:rsidSect="00DD3426">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EB0574"/>
    <w:multiLevelType w:val="hybridMultilevel"/>
    <w:tmpl w:val="7BB6935E"/>
    <w:lvl w:ilvl="0" w:tplc="35B261E2">
      <w:start w:val="1"/>
      <w:numFmt w:val="upperLetter"/>
      <w:lvlText w:val="%1)"/>
      <w:lvlJc w:val="left"/>
      <w:pPr>
        <w:ind w:left="786"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162C58EF"/>
    <w:multiLevelType w:val="hybridMultilevel"/>
    <w:tmpl w:val="66C0666E"/>
    <w:lvl w:ilvl="0" w:tplc="37540D74">
      <w:start w:val="31"/>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C622223"/>
    <w:multiLevelType w:val="hybridMultilevel"/>
    <w:tmpl w:val="8968E1EC"/>
    <w:lvl w:ilvl="0" w:tplc="28408C1C">
      <w:start w:val="3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5B53A5F"/>
    <w:multiLevelType w:val="hybridMultilevel"/>
    <w:tmpl w:val="C43224C0"/>
    <w:lvl w:ilvl="0" w:tplc="1A463D1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8C515A7"/>
    <w:multiLevelType w:val="multilevel"/>
    <w:tmpl w:val="CA441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ECB2260"/>
    <w:multiLevelType w:val="hybridMultilevel"/>
    <w:tmpl w:val="8FD8F8A4"/>
    <w:lvl w:ilvl="0" w:tplc="78AAAB2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69291868"/>
    <w:multiLevelType w:val="hybridMultilevel"/>
    <w:tmpl w:val="7DC6B034"/>
    <w:lvl w:ilvl="0" w:tplc="712AECB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CA24342"/>
    <w:multiLevelType w:val="hybridMultilevel"/>
    <w:tmpl w:val="835AB14E"/>
    <w:lvl w:ilvl="0" w:tplc="C5141A8A">
      <w:start w:val="31"/>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711C0D4C"/>
    <w:multiLevelType w:val="multilevel"/>
    <w:tmpl w:val="9AA2C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1C56A21"/>
    <w:multiLevelType w:val="hybridMultilevel"/>
    <w:tmpl w:val="CAE8A456"/>
    <w:lvl w:ilvl="0" w:tplc="90544F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2"/>
  </w:num>
  <w:num w:numId="4">
    <w:abstractNumId w:val="9"/>
  </w:num>
  <w:num w:numId="5">
    <w:abstractNumId w:val="5"/>
  </w:num>
  <w:num w:numId="6">
    <w:abstractNumId w:val="7"/>
  </w:num>
  <w:num w:numId="7">
    <w:abstractNumId w:val="1"/>
  </w:num>
  <w:num w:numId="8">
    <w:abstractNumId w:val="0"/>
  </w:num>
  <w:num w:numId="9">
    <w:abstractNumId w:val="4"/>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06E4"/>
    <w:rsid w:val="00012B47"/>
    <w:rsid w:val="00031595"/>
    <w:rsid w:val="000370D6"/>
    <w:rsid w:val="0004022C"/>
    <w:rsid w:val="00045FA5"/>
    <w:rsid w:val="00055DEF"/>
    <w:rsid w:val="00065B37"/>
    <w:rsid w:val="00071A17"/>
    <w:rsid w:val="00072B75"/>
    <w:rsid w:val="000945E6"/>
    <w:rsid w:val="000A3DC2"/>
    <w:rsid w:val="000A4D85"/>
    <w:rsid w:val="000B6AA9"/>
    <w:rsid w:val="000E0913"/>
    <w:rsid w:val="000E5787"/>
    <w:rsid w:val="000F2367"/>
    <w:rsid w:val="000F4E07"/>
    <w:rsid w:val="00142E05"/>
    <w:rsid w:val="00152800"/>
    <w:rsid w:val="001851AA"/>
    <w:rsid w:val="001A3AAD"/>
    <w:rsid w:val="001A3B4C"/>
    <w:rsid w:val="001A70BA"/>
    <w:rsid w:val="001C3ABE"/>
    <w:rsid w:val="001C60EC"/>
    <w:rsid w:val="001C7DC5"/>
    <w:rsid w:val="001F1E4D"/>
    <w:rsid w:val="001F5D33"/>
    <w:rsid w:val="00200055"/>
    <w:rsid w:val="00206061"/>
    <w:rsid w:val="00211209"/>
    <w:rsid w:val="0024614F"/>
    <w:rsid w:val="00247FF7"/>
    <w:rsid w:val="0026176E"/>
    <w:rsid w:val="00265CC7"/>
    <w:rsid w:val="00271718"/>
    <w:rsid w:val="002A3AA8"/>
    <w:rsid w:val="002E2434"/>
    <w:rsid w:val="002E6E34"/>
    <w:rsid w:val="00301881"/>
    <w:rsid w:val="00301B47"/>
    <w:rsid w:val="0032195E"/>
    <w:rsid w:val="003232B9"/>
    <w:rsid w:val="003518B7"/>
    <w:rsid w:val="003573AE"/>
    <w:rsid w:val="003676A3"/>
    <w:rsid w:val="00387350"/>
    <w:rsid w:val="00391C0B"/>
    <w:rsid w:val="003B60E9"/>
    <w:rsid w:val="003B633D"/>
    <w:rsid w:val="003D29A4"/>
    <w:rsid w:val="003E20D7"/>
    <w:rsid w:val="003E2F14"/>
    <w:rsid w:val="003F4946"/>
    <w:rsid w:val="003F662D"/>
    <w:rsid w:val="00403F3B"/>
    <w:rsid w:val="00460EB0"/>
    <w:rsid w:val="00494A4C"/>
    <w:rsid w:val="004B0DED"/>
    <w:rsid w:val="004B4EC1"/>
    <w:rsid w:val="004B5D35"/>
    <w:rsid w:val="004C03BC"/>
    <w:rsid w:val="004D13CE"/>
    <w:rsid w:val="0052410D"/>
    <w:rsid w:val="00557086"/>
    <w:rsid w:val="00561A10"/>
    <w:rsid w:val="00572812"/>
    <w:rsid w:val="005A1A1C"/>
    <w:rsid w:val="005A42CF"/>
    <w:rsid w:val="005B1391"/>
    <w:rsid w:val="005C4BD0"/>
    <w:rsid w:val="005C764A"/>
    <w:rsid w:val="005D1E93"/>
    <w:rsid w:val="005D4161"/>
    <w:rsid w:val="0060367E"/>
    <w:rsid w:val="00650C3D"/>
    <w:rsid w:val="00656BF7"/>
    <w:rsid w:val="0066196D"/>
    <w:rsid w:val="00665BE3"/>
    <w:rsid w:val="006668F4"/>
    <w:rsid w:val="006812FF"/>
    <w:rsid w:val="006828ED"/>
    <w:rsid w:val="0068380F"/>
    <w:rsid w:val="00685CCF"/>
    <w:rsid w:val="0069143A"/>
    <w:rsid w:val="006D19CB"/>
    <w:rsid w:val="006D20F6"/>
    <w:rsid w:val="006D2201"/>
    <w:rsid w:val="006E34B6"/>
    <w:rsid w:val="006F2AC1"/>
    <w:rsid w:val="00704039"/>
    <w:rsid w:val="0078186C"/>
    <w:rsid w:val="007852AF"/>
    <w:rsid w:val="00787855"/>
    <w:rsid w:val="00793D52"/>
    <w:rsid w:val="007B00AC"/>
    <w:rsid w:val="007B59FE"/>
    <w:rsid w:val="007C5918"/>
    <w:rsid w:val="007D7E3D"/>
    <w:rsid w:val="007F208D"/>
    <w:rsid w:val="007F737C"/>
    <w:rsid w:val="00817E23"/>
    <w:rsid w:val="00831858"/>
    <w:rsid w:val="00854453"/>
    <w:rsid w:val="0085730C"/>
    <w:rsid w:val="008606E4"/>
    <w:rsid w:val="008642A9"/>
    <w:rsid w:val="00872429"/>
    <w:rsid w:val="0088487E"/>
    <w:rsid w:val="00895630"/>
    <w:rsid w:val="008A6949"/>
    <w:rsid w:val="008B2C69"/>
    <w:rsid w:val="008B3730"/>
    <w:rsid w:val="008D58DC"/>
    <w:rsid w:val="008E0827"/>
    <w:rsid w:val="008E2CC5"/>
    <w:rsid w:val="008E3D8A"/>
    <w:rsid w:val="008E484F"/>
    <w:rsid w:val="008E7A82"/>
    <w:rsid w:val="008F0A8D"/>
    <w:rsid w:val="00910630"/>
    <w:rsid w:val="00916661"/>
    <w:rsid w:val="00920DF1"/>
    <w:rsid w:val="00925765"/>
    <w:rsid w:val="0093491E"/>
    <w:rsid w:val="00970A77"/>
    <w:rsid w:val="00977761"/>
    <w:rsid w:val="00980A38"/>
    <w:rsid w:val="0098243E"/>
    <w:rsid w:val="00986D80"/>
    <w:rsid w:val="00987427"/>
    <w:rsid w:val="009B3A9C"/>
    <w:rsid w:val="009C5E1F"/>
    <w:rsid w:val="009E6696"/>
    <w:rsid w:val="00A408F3"/>
    <w:rsid w:val="00A808AE"/>
    <w:rsid w:val="00A9018D"/>
    <w:rsid w:val="00A928E8"/>
    <w:rsid w:val="00AA25B6"/>
    <w:rsid w:val="00AC567C"/>
    <w:rsid w:val="00AC5766"/>
    <w:rsid w:val="00AD39BB"/>
    <w:rsid w:val="00AD4442"/>
    <w:rsid w:val="00AE55C3"/>
    <w:rsid w:val="00AE6D8A"/>
    <w:rsid w:val="00AF18F3"/>
    <w:rsid w:val="00B036D0"/>
    <w:rsid w:val="00B06EEF"/>
    <w:rsid w:val="00B11B07"/>
    <w:rsid w:val="00B15E64"/>
    <w:rsid w:val="00B664AF"/>
    <w:rsid w:val="00BA0E27"/>
    <w:rsid w:val="00BA7782"/>
    <w:rsid w:val="00BB33D6"/>
    <w:rsid w:val="00BD49E1"/>
    <w:rsid w:val="00C0545A"/>
    <w:rsid w:val="00C14441"/>
    <w:rsid w:val="00C16ACE"/>
    <w:rsid w:val="00C1767D"/>
    <w:rsid w:val="00C22FA2"/>
    <w:rsid w:val="00C30D65"/>
    <w:rsid w:val="00C32586"/>
    <w:rsid w:val="00C6682E"/>
    <w:rsid w:val="00C71294"/>
    <w:rsid w:val="00C82E2C"/>
    <w:rsid w:val="00C84780"/>
    <w:rsid w:val="00C92374"/>
    <w:rsid w:val="00C9744F"/>
    <w:rsid w:val="00CB7F35"/>
    <w:rsid w:val="00CD5BE7"/>
    <w:rsid w:val="00CE3A47"/>
    <w:rsid w:val="00D12554"/>
    <w:rsid w:val="00D36973"/>
    <w:rsid w:val="00D45318"/>
    <w:rsid w:val="00D45575"/>
    <w:rsid w:val="00D51697"/>
    <w:rsid w:val="00D62FE0"/>
    <w:rsid w:val="00D80E9A"/>
    <w:rsid w:val="00DA4550"/>
    <w:rsid w:val="00DA603A"/>
    <w:rsid w:val="00DB417C"/>
    <w:rsid w:val="00DB4CC4"/>
    <w:rsid w:val="00DC29DF"/>
    <w:rsid w:val="00DD3426"/>
    <w:rsid w:val="00DD6D81"/>
    <w:rsid w:val="00E07DE4"/>
    <w:rsid w:val="00E1029C"/>
    <w:rsid w:val="00E1247A"/>
    <w:rsid w:val="00E31614"/>
    <w:rsid w:val="00E3208B"/>
    <w:rsid w:val="00E45EEE"/>
    <w:rsid w:val="00EA0B0F"/>
    <w:rsid w:val="00EB0C87"/>
    <w:rsid w:val="00EB4BAB"/>
    <w:rsid w:val="00EB733C"/>
    <w:rsid w:val="00ED1C1D"/>
    <w:rsid w:val="00EF0AAF"/>
    <w:rsid w:val="00F11031"/>
    <w:rsid w:val="00F15882"/>
    <w:rsid w:val="00F331C8"/>
    <w:rsid w:val="00F44BCD"/>
    <w:rsid w:val="00F66E67"/>
    <w:rsid w:val="00F7731F"/>
    <w:rsid w:val="00F91E1C"/>
    <w:rsid w:val="00FA199C"/>
    <w:rsid w:val="00FA6AA2"/>
    <w:rsid w:val="00FB6025"/>
    <w:rsid w:val="00FE47DA"/>
    <w:rsid w:val="00FF02F9"/>
    <w:rsid w:val="00FF265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80E9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1103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BA0E27"/>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606E4"/>
    <w:pPr>
      <w:ind w:left="720"/>
      <w:contextualSpacing/>
    </w:pPr>
  </w:style>
  <w:style w:type="paragraph" w:styleId="Textodeglobo">
    <w:name w:val="Balloon Text"/>
    <w:basedOn w:val="Normal"/>
    <w:link w:val="TextodegloboCar"/>
    <w:uiPriority w:val="99"/>
    <w:semiHidden/>
    <w:unhideWhenUsed/>
    <w:rsid w:val="00FB602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B6025"/>
    <w:rPr>
      <w:rFonts w:ascii="Tahoma" w:hAnsi="Tahoma" w:cs="Tahoma"/>
      <w:sz w:val="16"/>
      <w:szCs w:val="16"/>
    </w:rPr>
  </w:style>
  <w:style w:type="paragraph" w:styleId="NormalWeb">
    <w:name w:val="Normal (Web)"/>
    <w:basedOn w:val="Normal"/>
    <w:uiPriority w:val="99"/>
    <w:unhideWhenUsed/>
    <w:rsid w:val="00FB602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AC5766"/>
    <w:rPr>
      <w:color w:val="0000FF"/>
      <w:u w:val="single"/>
    </w:rPr>
  </w:style>
  <w:style w:type="character" w:styleId="nfasis">
    <w:name w:val="Emphasis"/>
    <w:uiPriority w:val="20"/>
    <w:qFormat/>
    <w:rsid w:val="00012B47"/>
    <w:rPr>
      <w:i/>
      <w:iCs/>
    </w:rPr>
  </w:style>
  <w:style w:type="character" w:customStyle="1" w:styleId="apple-style-span">
    <w:name w:val="apple-style-span"/>
    <w:basedOn w:val="Fuentedeprrafopredeter"/>
    <w:rsid w:val="003E20D7"/>
  </w:style>
  <w:style w:type="character" w:customStyle="1" w:styleId="fecha">
    <w:name w:val="fecha"/>
    <w:basedOn w:val="Fuentedeprrafopredeter"/>
    <w:rsid w:val="003E20D7"/>
  </w:style>
  <w:style w:type="paragraph" w:customStyle="1" w:styleId="figcaption">
    <w:name w:val="figcaption"/>
    <w:basedOn w:val="Normal"/>
    <w:rsid w:val="000E5787"/>
    <w:pPr>
      <w:spacing w:after="0" w:line="240" w:lineRule="auto"/>
    </w:pPr>
    <w:rPr>
      <w:rFonts w:ascii="Times New Roman" w:eastAsia="Times New Roman" w:hAnsi="Times New Roman" w:cs="Times New Roman"/>
      <w:sz w:val="24"/>
      <w:szCs w:val="24"/>
      <w:lang w:eastAsia="es-ES"/>
    </w:rPr>
  </w:style>
  <w:style w:type="character" w:styleId="Textoennegrita">
    <w:name w:val="Strong"/>
    <w:uiPriority w:val="22"/>
    <w:qFormat/>
    <w:rsid w:val="00F11031"/>
    <w:rPr>
      <w:b/>
      <w:bCs/>
    </w:rPr>
  </w:style>
  <w:style w:type="character" w:customStyle="1" w:styleId="Ttulo2Car">
    <w:name w:val="Título 2 Car"/>
    <w:basedOn w:val="Fuentedeprrafopredeter"/>
    <w:link w:val="Ttulo2"/>
    <w:uiPriority w:val="9"/>
    <w:rsid w:val="00F11031"/>
    <w:rPr>
      <w:rFonts w:asciiTheme="majorHAnsi" w:eastAsiaTheme="majorEastAsia" w:hAnsiTheme="majorHAnsi" w:cstheme="majorBidi"/>
      <w:b/>
      <w:bCs/>
      <w:color w:val="4F81BD" w:themeColor="accent1"/>
      <w:sz w:val="26"/>
      <w:szCs w:val="26"/>
    </w:rPr>
  </w:style>
  <w:style w:type="character" w:customStyle="1" w:styleId="Ttulo1Car">
    <w:name w:val="Título 1 Car"/>
    <w:basedOn w:val="Fuentedeprrafopredeter"/>
    <w:link w:val="Ttulo1"/>
    <w:uiPriority w:val="9"/>
    <w:rsid w:val="00D80E9A"/>
    <w:rPr>
      <w:rFonts w:asciiTheme="majorHAnsi" w:eastAsiaTheme="majorEastAsia" w:hAnsiTheme="majorHAnsi" w:cstheme="majorBidi"/>
      <w:b/>
      <w:bCs/>
      <w:color w:val="365F91" w:themeColor="accent1" w:themeShade="BF"/>
      <w:sz w:val="28"/>
      <w:szCs w:val="28"/>
    </w:rPr>
  </w:style>
  <w:style w:type="paragraph" w:customStyle="1" w:styleId="headlinemeta">
    <w:name w:val="headline_meta"/>
    <w:basedOn w:val="Normal"/>
    <w:rsid w:val="00D80E9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D80E9A"/>
  </w:style>
  <w:style w:type="paragraph" w:customStyle="1" w:styleId="p">
    <w:name w:val="p"/>
    <w:basedOn w:val="Normal"/>
    <w:rsid w:val="004B0DE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gress2">
    <w:name w:val="ingress2"/>
    <w:basedOn w:val="Normal"/>
    <w:rsid w:val="0004022C"/>
    <w:pPr>
      <w:spacing w:before="100" w:beforeAutospacing="1" w:after="46" w:line="230" w:lineRule="atLeast"/>
    </w:pPr>
    <w:rPr>
      <w:rFonts w:ascii="Times New Roman" w:eastAsia="Times New Roman" w:hAnsi="Times New Roman" w:cs="Times New Roman"/>
      <w:b/>
      <w:bCs/>
      <w:sz w:val="18"/>
      <w:szCs w:val="18"/>
      <w:lang w:eastAsia="es-ES"/>
    </w:rPr>
  </w:style>
  <w:style w:type="paragraph" w:customStyle="1" w:styleId="entradilla2">
    <w:name w:val="entradilla2"/>
    <w:basedOn w:val="Normal"/>
    <w:rsid w:val="008E7A82"/>
    <w:pPr>
      <w:spacing w:before="100" w:beforeAutospacing="1" w:after="100" w:afterAutospacing="1" w:line="330" w:lineRule="atLeast"/>
    </w:pPr>
    <w:rPr>
      <w:rFonts w:ascii="Times New Roman" w:eastAsia="Times New Roman" w:hAnsi="Times New Roman" w:cs="Times New Roman"/>
      <w:color w:val="333333"/>
      <w:sz w:val="23"/>
      <w:szCs w:val="23"/>
      <w:lang w:eastAsia="es-ES"/>
    </w:rPr>
  </w:style>
  <w:style w:type="character" w:customStyle="1" w:styleId="titulo21">
    <w:name w:val="titulo21"/>
    <w:basedOn w:val="Fuentedeprrafopredeter"/>
    <w:rsid w:val="008E7A82"/>
    <w:rPr>
      <w:b/>
      <w:bCs/>
      <w:strike w:val="0"/>
      <w:dstrike w:val="0"/>
      <w:color w:val="000000"/>
      <w:sz w:val="41"/>
      <w:szCs w:val="41"/>
      <w:u w:val="none"/>
      <w:effect w:val="none"/>
    </w:rPr>
  </w:style>
  <w:style w:type="character" w:customStyle="1" w:styleId="transparent">
    <w:name w:val="transparent"/>
    <w:basedOn w:val="Fuentedeprrafopredeter"/>
    <w:rsid w:val="00AD4442"/>
  </w:style>
  <w:style w:type="character" w:customStyle="1" w:styleId="articleimage">
    <w:name w:val="articleimage"/>
    <w:basedOn w:val="Fuentedeprrafopredeter"/>
    <w:rsid w:val="00AD4442"/>
  </w:style>
  <w:style w:type="paragraph" w:customStyle="1" w:styleId="ingress">
    <w:name w:val="ingress"/>
    <w:basedOn w:val="Normal"/>
    <w:rsid w:val="00247FF7"/>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Epgrafe1">
    <w:name w:val="Epígrafe1"/>
    <w:basedOn w:val="Normal"/>
    <w:rsid w:val="00247FF7"/>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caption10">
    <w:name w:val="caption10"/>
    <w:basedOn w:val="Normal"/>
    <w:rsid w:val="0026176E"/>
    <w:pPr>
      <w:spacing w:before="100" w:beforeAutospacing="1" w:after="45" w:line="300" w:lineRule="atLeast"/>
    </w:pPr>
    <w:rPr>
      <w:rFonts w:ascii="Times New Roman" w:eastAsia="Times New Roman" w:hAnsi="Times New Roman" w:cs="Times New Roman"/>
      <w:color w:val="505050"/>
      <w:sz w:val="21"/>
      <w:szCs w:val="21"/>
      <w:lang w:eastAsia="es-ES"/>
    </w:rPr>
  </w:style>
  <w:style w:type="character" w:customStyle="1" w:styleId="Ttulo3Car">
    <w:name w:val="Título 3 Car"/>
    <w:basedOn w:val="Fuentedeprrafopredeter"/>
    <w:link w:val="Ttulo3"/>
    <w:uiPriority w:val="9"/>
    <w:semiHidden/>
    <w:rsid w:val="00BA0E27"/>
    <w:rPr>
      <w:rFonts w:asciiTheme="majorHAnsi" w:eastAsiaTheme="majorEastAsia" w:hAnsiTheme="majorHAnsi" w:cstheme="majorBidi"/>
      <w:b/>
      <w:bCs/>
      <w:color w:val="4F81BD" w:themeColor="accent1"/>
      <w:lang w:eastAsia="es-ES"/>
    </w:rPr>
  </w:style>
  <w:style w:type="character" w:customStyle="1" w:styleId="ampliarfoto1">
    <w:name w:val="ampliar_foto1"/>
    <w:basedOn w:val="Fuentedeprrafopredeter"/>
    <w:rsid w:val="00685CCF"/>
    <w:rPr>
      <w:vanish w:val="0"/>
      <w:webHidden w:val="0"/>
      <w:shd w:val="clear" w:color="auto" w:fill="333333"/>
      <w:specVanish w:val="0"/>
    </w:rPr>
  </w:style>
  <w:style w:type="character" w:customStyle="1" w:styleId="firma6">
    <w:name w:val="firma6"/>
    <w:basedOn w:val="Fuentedeprrafopredeter"/>
    <w:rsid w:val="00685CCF"/>
  </w:style>
  <w:style w:type="paragraph" w:customStyle="1" w:styleId="chart-intro">
    <w:name w:val="chart-intro"/>
    <w:basedOn w:val="Normal"/>
    <w:rsid w:val="00EF0AAF"/>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80E9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1103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BA0E27"/>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606E4"/>
    <w:pPr>
      <w:ind w:left="720"/>
      <w:contextualSpacing/>
    </w:pPr>
  </w:style>
  <w:style w:type="paragraph" w:styleId="Textodeglobo">
    <w:name w:val="Balloon Text"/>
    <w:basedOn w:val="Normal"/>
    <w:link w:val="TextodegloboCar"/>
    <w:uiPriority w:val="99"/>
    <w:semiHidden/>
    <w:unhideWhenUsed/>
    <w:rsid w:val="00FB602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B6025"/>
    <w:rPr>
      <w:rFonts w:ascii="Tahoma" w:hAnsi="Tahoma" w:cs="Tahoma"/>
      <w:sz w:val="16"/>
      <w:szCs w:val="16"/>
    </w:rPr>
  </w:style>
  <w:style w:type="paragraph" w:styleId="NormalWeb">
    <w:name w:val="Normal (Web)"/>
    <w:basedOn w:val="Normal"/>
    <w:uiPriority w:val="99"/>
    <w:unhideWhenUsed/>
    <w:rsid w:val="00FB602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AC5766"/>
    <w:rPr>
      <w:color w:val="0000FF"/>
      <w:u w:val="single"/>
    </w:rPr>
  </w:style>
  <w:style w:type="character" w:styleId="nfasis">
    <w:name w:val="Emphasis"/>
    <w:uiPriority w:val="20"/>
    <w:qFormat/>
    <w:rsid w:val="00012B47"/>
    <w:rPr>
      <w:i/>
      <w:iCs/>
    </w:rPr>
  </w:style>
  <w:style w:type="character" w:customStyle="1" w:styleId="apple-style-span">
    <w:name w:val="apple-style-span"/>
    <w:basedOn w:val="Fuentedeprrafopredeter"/>
    <w:rsid w:val="003E20D7"/>
  </w:style>
  <w:style w:type="character" w:customStyle="1" w:styleId="fecha">
    <w:name w:val="fecha"/>
    <w:basedOn w:val="Fuentedeprrafopredeter"/>
    <w:rsid w:val="003E20D7"/>
  </w:style>
  <w:style w:type="paragraph" w:customStyle="1" w:styleId="figcaption">
    <w:name w:val="figcaption"/>
    <w:basedOn w:val="Normal"/>
    <w:rsid w:val="000E5787"/>
    <w:pPr>
      <w:spacing w:after="0" w:line="240" w:lineRule="auto"/>
    </w:pPr>
    <w:rPr>
      <w:rFonts w:ascii="Times New Roman" w:eastAsia="Times New Roman" w:hAnsi="Times New Roman" w:cs="Times New Roman"/>
      <w:sz w:val="24"/>
      <w:szCs w:val="24"/>
      <w:lang w:eastAsia="es-ES"/>
    </w:rPr>
  </w:style>
  <w:style w:type="character" w:styleId="Textoennegrita">
    <w:name w:val="Strong"/>
    <w:uiPriority w:val="22"/>
    <w:qFormat/>
    <w:rsid w:val="00F11031"/>
    <w:rPr>
      <w:b/>
      <w:bCs/>
    </w:rPr>
  </w:style>
  <w:style w:type="character" w:customStyle="1" w:styleId="Ttulo2Car">
    <w:name w:val="Título 2 Car"/>
    <w:basedOn w:val="Fuentedeprrafopredeter"/>
    <w:link w:val="Ttulo2"/>
    <w:uiPriority w:val="9"/>
    <w:rsid w:val="00F11031"/>
    <w:rPr>
      <w:rFonts w:asciiTheme="majorHAnsi" w:eastAsiaTheme="majorEastAsia" w:hAnsiTheme="majorHAnsi" w:cstheme="majorBidi"/>
      <w:b/>
      <w:bCs/>
      <w:color w:val="4F81BD" w:themeColor="accent1"/>
      <w:sz w:val="26"/>
      <w:szCs w:val="26"/>
    </w:rPr>
  </w:style>
  <w:style w:type="character" w:customStyle="1" w:styleId="Ttulo1Car">
    <w:name w:val="Título 1 Car"/>
    <w:basedOn w:val="Fuentedeprrafopredeter"/>
    <w:link w:val="Ttulo1"/>
    <w:uiPriority w:val="9"/>
    <w:rsid w:val="00D80E9A"/>
    <w:rPr>
      <w:rFonts w:asciiTheme="majorHAnsi" w:eastAsiaTheme="majorEastAsia" w:hAnsiTheme="majorHAnsi" w:cstheme="majorBidi"/>
      <w:b/>
      <w:bCs/>
      <w:color w:val="365F91" w:themeColor="accent1" w:themeShade="BF"/>
      <w:sz w:val="28"/>
      <w:szCs w:val="28"/>
    </w:rPr>
  </w:style>
  <w:style w:type="paragraph" w:customStyle="1" w:styleId="headlinemeta">
    <w:name w:val="headline_meta"/>
    <w:basedOn w:val="Normal"/>
    <w:rsid w:val="00D80E9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D80E9A"/>
  </w:style>
  <w:style w:type="paragraph" w:customStyle="1" w:styleId="p">
    <w:name w:val="p"/>
    <w:basedOn w:val="Normal"/>
    <w:rsid w:val="004B0DE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gress2">
    <w:name w:val="ingress2"/>
    <w:basedOn w:val="Normal"/>
    <w:rsid w:val="0004022C"/>
    <w:pPr>
      <w:spacing w:before="100" w:beforeAutospacing="1" w:after="46" w:line="230" w:lineRule="atLeast"/>
    </w:pPr>
    <w:rPr>
      <w:rFonts w:ascii="Times New Roman" w:eastAsia="Times New Roman" w:hAnsi="Times New Roman" w:cs="Times New Roman"/>
      <w:b/>
      <w:bCs/>
      <w:sz w:val="18"/>
      <w:szCs w:val="18"/>
      <w:lang w:eastAsia="es-ES"/>
    </w:rPr>
  </w:style>
  <w:style w:type="paragraph" w:customStyle="1" w:styleId="entradilla2">
    <w:name w:val="entradilla2"/>
    <w:basedOn w:val="Normal"/>
    <w:rsid w:val="008E7A82"/>
    <w:pPr>
      <w:spacing w:before="100" w:beforeAutospacing="1" w:after="100" w:afterAutospacing="1" w:line="330" w:lineRule="atLeast"/>
    </w:pPr>
    <w:rPr>
      <w:rFonts w:ascii="Times New Roman" w:eastAsia="Times New Roman" w:hAnsi="Times New Roman" w:cs="Times New Roman"/>
      <w:color w:val="333333"/>
      <w:sz w:val="23"/>
      <w:szCs w:val="23"/>
      <w:lang w:eastAsia="es-ES"/>
    </w:rPr>
  </w:style>
  <w:style w:type="character" w:customStyle="1" w:styleId="titulo21">
    <w:name w:val="titulo21"/>
    <w:basedOn w:val="Fuentedeprrafopredeter"/>
    <w:rsid w:val="008E7A82"/>
    <w:rPr>
      <w:b/>
      <w:bCs/>
      <w:strike w:val="0"/>
      <w:dstrike w:val="0"/>
      <w:color w:val="000000"/>
      <w:sz w:val="41"/>
      <w:szCs w:val="41"/>
      <w:u w:val="none"/>
      <w:effect w:val="none"/>
    </w:rPr>
  </w:style>
  <w:style w:type="character" w:customStyle="1" w:styleId="transparent">
    <w:name w:val="transparent"/>
    <w:basedOn w:val="Fuentedeprrafopredeter"/>
    <w:rsid w:val="00AD4442"/>
  </w:style>
  <w:style w:type="character" w:customStyle="1" w:styleId="articleimage">
    <w:name w:val="articleimage"/>
    <w:basedOn w:val="Fuentedeprrafopredeter"/>
    <w:rsid w:val="00AD4442"/>
  </w:style>
  <w:style w:type="paragraph" w:customStyle="1" w:styleId="ingress">
    <w:name w:val="ingress"/>
    <w:basedOn w:val="Normal"/>
    <w:rsid w:val="00247FF7"/>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Epgrafe1">
    <w:name w:val="Epígrafe1"/>
    <w:basedOn w:val="Normal"/>
    <w:rsid w:val="00247FF7"/>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caption10">
    <w:name w:val="caption10"/>
    <w:basedOn w:val="Normal"/>
    <w:rsid w:val="0026176E"/>
    <w:pPr>
      <w:spacing w:before="100" w:beforeAutospacing="1" w:after="45" w:line="300" w:lineRule="atLeast"/>
    </w:pPr>
    <w:rPr>
      <w:rFonts w:ascii="Times New Roman" w:eastAsia="Times New Roman" w:hAnsi="Times New Roman" w:cs="Times New Roman"/>
      <w:color w:val="505050"/>
      <w:sz w:val="21"/>
      <w:szCs w:val="21"/>
      <w:lang w:eastAsia="es-ES"/>
    </w:rPr>
  </w:style>
  <w:style w:type="character" w:customStyle="1" w:styleId="Ttulo3Car">
    <w:name w:val="Título 3 Car"/>
    <w:basedOn w:val="Fuentedeprrafopredeter"/>
    <w:link w:val="Ttulo3"/>
    <w:uiPriority w:val="9"/>
    <w:semiHidden/>
    <w:rsid w:val="00BA0E27"/>
    <w:rPr>
      <w:rFonts w:asciiTheme="majorHAnsi" w:eastAsiaTheme="majorEastAsia" w:hAnsiTheme="majorHAnsi" w:cstheme="majorBidi"/>
      <w:b/>
      <w:bCs/>
      <w:color w:val="4F81BD" w:themeColor="accent1"/>
      <w:lang w:eastAsia="es-ES"/>
    </w:rPr>
  </w:style>
  <w:style w:type="character" w:customStyle="1" w:styleId="ampliarfoto1">
    <w:name w:val="ampliar_foto1"/>
    <w:basedOn w:val="Fuentedeprrafopredeter"/>
    <w:rsid w:val="00685CCF"/>
    <w:rPr>
      <w:vanish w:val="0"/>
      <w:webHidden w:val="0"/>
      <w:shd w:val="clear" w:color="auto" w:fill="333333"/>
      <w:specVanish w:val="0"/>
    </w:rPr>
  </w:style>
  <w:style w:type="character" w:customStyle="1" w:styleId="firma6">
    <w:name w:val="firma6"/>
    <w:basedOn w:val="Fuentedeprrafopredeter"/>
    <w:rsid w:val="00685CCF"/>
  </w:style>
  <w:style w:type="paragraph" w:customStyle="1" w:styleId="chart-intro">
    <w:name w:val="chart-intro"/>
    <w:basedOn w:val="Normal"/>
    <w:rsid w:val="00EF0AAF"/>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eleconomista.es/economia/noticias/5244303/10/13/Krugman-se-refiere-a-Greenspan-como-el-peor-ex-banquero-central-de-todo-el-mundo.html" TargetMode="External"/><Relationship Id="rId299" Type="http://schemas.openxmlformats.org/officeDocument/2006/relationships/image" Target="media/image139.jpeg"/><Relationship Id="rId21" Type="http://schemas.openxmlformats.org/officeDocument/2006/relationships/image" Target="media/image9.jpeg"/><Relationship Id="rId63" Type="http://schemas.openxmlformats.org/officeDocument/2006/relationships/hyperlink" Target="http://4.bp.blogspot.com/-pnQNjB--SKc/TqbNGym6MKI/AAAAAAAAAOY/oxI29su-rQg/s1600/mckinsey_total-debt_ebs.jpeg" TargetMode="External"/><Relationship Id="rId159" Type="http://schemas.openxmlformats.org/officeDocument/2006/relationships/hyperlink" Target="http://www.forbes.com/sites/luisakroll/2013/09/16/inside-the-2013-forbes-400-facts-and-figures-on-americas-richest/" TargetMode="External"/><Relationship Id="rId324" Type="http://schemas.openxmlformats.org/officeDocument/2006/relationships/hyperlink" Target="http://www.ecestaticos.com/image/clipping/9c61f7eb59b3c134f6ff0b893602050a/uno-de-los-calculos-que-sirven-como-ejemplo-a-mcdonalds.jpg" TargetMode="External"/><Relationship Id="rId366" Type="http://schemas.openxmlformats.org/officeDocument/2006/relationships/image" Target="media/image172.jpeg"/><Relationship Id="rId531" Type="http://schemas.openxmlformats.org/officeDocument/2006/relationships/hyperlink" Target="http://vozpopuli.com/economia-y-finanzas/32905-barajas-pierde-10-820-pasajeros-al-dia-en-los-dos-anos-que-lleva-la-fusion-iberia-ba" TargetMode="External"/><Relationship Id="rId170" Type="http://schemas.openxmlformats.org/officeDocument/2006/relationships/hyperlink" Target="http://endoftheamericandream.com/archives/is-the-federal-reserve-doing-a-good-job" TargetMode="External"/><Relationship Id="rId226" Type="http://schemas.openxmlformats.org/officeDocument/2006/relationships/hyperlink" Target="http://www.nypost.com/p/news/local/big_apple_gets_price_clubbed_BYF1ApF3ol3i4CuiQbDEoM" TargetMode="External"/><Relationship Id="rId433" Type="http://schemas.openxmlformats.org/officeDocument/2006/relationships/hyperlink" Target="http://www.libremercado.com/2013-06-09/daniel-hannan-europa-apuesta-por-curar-su-borrachera-con-mas-alcohol-1276492389/" TargetMode="External"/><Relationship Id="rId268" Type="http://schemas.openxmlformats.org/officeDocument/2006/relationships/image" Target="media/image120.jpeg"/><Relationship Id="rId475" Type="http://schemas.openxmlformats.org/officeDocument/2006/relationships/hyperlink" Target="http://www.libremercado.com/2013-06-05/asi-se-gasta-el-dinero-artur-mas-39917-euros-para-los-giganteros-64436-para-pesebristas-1276492034/" TargetMode="External"/><Relationship Id="rId32" Type="http://schemas.openxmlformats.org/officeDocument/2006/relationships/hyperlink" Target="http://es.wikipedia.org/wiki/Micha&#322;_Kalecki" TargetMode="External"/><Relationship Id="rId74" Type="http://schemas.openxmlformats.org/officeDocument/2006/relationships/image" Target="media/image47.png"/><Relationship Id="rId128" Type="http://schemas.openxmlformats.org/officeDocument/2006/relationships/image" Target="media/image85.jpeg"/><Relationship Id="rId335" Type="http://schemas.openxmlformats.org/officeDocument/2006/relationships/hyperlink" Target="http://faculty.chicagobooth.edu/loukas.karabarbounis/research/labor_share.pdf" TargetMode="External"/><Relationship Id="rId377" Type="http://schemas.openxmlformats.org/officeDocument/2006/relationships/image" Target="media/image175.jpeg"/><Relationship Id="rId500" Type="http://schemas.openxmlformats.org/officeDocument/2006/relationships/hyperlink" Target="http://www.fedeablogs.net/economia/wp-content/uploads/kms-ave-ESP.jpg" TargetMode="External"/><Relationship Id="rId542" Type="http://schemas.openxmlformats.org/officeDocument/2006/relationships/hyperlink" Target="http://www.libertaddigital.com/organismos/comisiones-obreras/" TargetMode="External"/><Relationship Id="rId5" Type="http://schemas.openxmlformats.org/officeDocument/2006/relationships/settings" Target="settings.xml"/><Relationship Id="rId181" Type="http://schemas.openxmlformats.org/officeDocument/2006/relationships/hyperlink" Target="http://dallasfed.org/assets/documents/fed/annual/2011/ar11.pdf" TargetMode="External"/><Relationship Id="rId237" Type="http://schemas.openxmlformats.org/officeDocument/2006/relationships/hyperlink" Target="http://www.businessinsider.com/facts-about-inequality-in-america-2011-11" TargetMode="External"/><Relationship Id="rId402" Type="http://schemas.openxmlformats.org/officeDocument/2006/relationships/hyperlink" Target="http://s.libertaddigital.com/fotos/noticias/ave001.jpg" TargetMode="External"/><Relationship Id="rId279" Type="http://schemas.openxmlformats.org/officeDocument/2006/relationships/image" Target="media/image128.jpeg"/><Relationship Id="rId444" Type="http://schemas.openxmlformats.org/officeDocument/2006/relationships/image" Target="media/image202.jpeg"/><Relationship Id="rId486" Type="http://schemas.openxmlformats.org/officeDocument/2006/relationships/hyperlink" Target="http://internacional.elpais.com/internacional/2013/05/22/actualidad/1369251214_606588.html" TargetMode="External"/><Relationship Id="rId43" Type="http://schemas.openxmlformats.org/officeDocument/2006/relationships/image" Target="media/image23.png"/><Relationship Id="rId139" Type="http://schemas.openxmlformats.org/officeDocument/2006/relationships/hyperlink" Target="http://www.treasurydirect.gov/NP/BPDLogin?application=np" TargetMode="External"/><Relationship Id="rId290" Type="http://schemas.openxmlformats.org/officeDocument/2006/relationships/hyperlink" Target="http://estatico.vozpopuli.com/upload/Javier_Ruiz/ocde-temporalidad.jpg" TargetMode="External"/><Relationship Id="rId304" Type="http://schemas.openxmlformats.org/officeDocument/2006/relationships/image" Target="media/image143.png"/><Relationship Id="rId346" Type="http://schemas.openxmlformats.org/officeDocument/2006/relationships/hyperlink" Target="http://s.libertaddigital.com/fotos/noticias/futuro_empresas_2.jpg" TargetMode="External"/><Relationship Id="rId388" Type="http://schemas.openxmlformats.org/officeDocument/2006/relationships/image" Target="media/image182.png"/><Relationship Id="rId511" Type="http://schemas.openxmlformats.org/officeDocument/2006/relationships/image" Target="media/image228.png"/><Relationship Id="rId85" Type="http://schemas.openxmlformats.org/officeDocument/2006/relationships/hyperlink" Target="http://www.ecb.europa.eu/pub/pdf/scpwps/ecbwp1450.pdf" TargetMode="External"/><Relationship Id="rId150" Type="http://schemas.openxmlformats.org/officeDocument/2006/relationships/hyperlink" Target="http://www.ft.com/cms/s/0/4a2000bc-24b3-11e1-ac4b-00144feabdc0.html" TargetMode="External"/><Relationship Id="rId192" Type="http://schemas.openxmlformats.org/officeDocument/2006/relationships/image" Target="media/image96.jpeg"/><Relationship Id="rId206" Type="http://schemas.openxmlformats.org/officeDocument/2006/relationships/hyperlink" Target="http://www.cotizalia.com/publicador_perlas_kike/fotos/20110328100productividad1.jpg" TargetMode="External"/><Relationship Id="rId413" Type="http://schemas.openxmlformats.org/officeDocument/2006/relationships/hyperlink" Target="http://s.libertaddigital.com/fotos/noticias/AUR02.jpg" TargetMode="External"/><Relationship Id="rId248" Type="http://schemas.openxmlformats.org/officeDocument/2006/relationships/hyperlink" Target="http://www.businessinsider.com/mary-meeker-usa-inc-february-24-2011-2" TargetMode="External"/><Relationship Id="rId455" Type="http://schemas.openxmlformats.org/officeDocument/2006/relationships/image" Target="media/image213.jpeg"/><Relationship Id="rId497" Type="http://schemas.openxmlformats.org/officeDocument/2006/relationships/image" Target="media/image224.jpeg"/><Relationship Id="rId12" Type="http://schemas.openxmlformats.org/officeDocument/2006/relationships/hyperlink" Target="http://epp.eurostat.ec.europa.eu/cache/ITY_PUBLIC/2-22042010-BP/EN/2-22042010-BP-EN.PDF" TargetMode="External"/><Relationship Id="rId108" Type="http://schemas.openxmlformats.org/officeDocument/2006/relationships/image" Target="media/image75.png"/><Relationship Id="rId315" Type="http://schemas.openxmlformats.org/officeDocument/2006/relationships/image" Target="media/image149.jpeg"/><Relationship Id="rId357" Type="http://schemas.openxmlformats.org/officeDocument/2006/relationships/hyperlink" Target="http://www.washingtonpost.com/blogs/govbeat/wp/2013/11/18/in-many-states-the-recovery-is-worsening-the-income-gap/" TargetMode="External"/><Relationship Id="rId522" Type="http://schemas.openxmlformats.org/officeDocument/2006/relationships/hyperlink" Target="http://www.libremercado.com/2013-10-14/galan-dice-que-la-luz-bajaria-un-10-si-se-suspendiera-la-produccion-solar-1276501747/" TargetMode="External"/><Relationship Id="rId54" Type="http://schemas.openxmlformats.org/officeDocument/2006/relationships/image" Target="media/image32.png"/><Relationship Id="rId96" Type="http://schemas.openxmlformats.org/officeDocument/2006/relationships/image" Target="media/image64.png"/><Relationship Id="rId161" Type="http://schemas.openxmlformats.org/officeDocument/2006/relationships/hyperlink" Target="http://theeconomiccollapseblog.com/archives/25-fast-facts-about-the-federal-reserve-please-share-with-everyone-you-know" TargetMode="External"/><Relationship Id="rId217" Type="http://schemas.openxmlformats.org/officeDocument/2006/relationships/hyperlink" Target="http://endoftheamericandream.com/archives/36-statistics-which-prove-that-the-american-dream-is-turning-into-an-absolute-nightmare-for-the-middle-class/duration-of-unemployment-2" TargetMode="External"/><Relationship Id="rId399" Type="http://schemas.openxmlformats.org/officeDocument/2006/relationships/image" Target="media/image183.jpeg"/><Relationship Id="rId259" Type="http://schemas.openxmlformats.org/officeDocument/2006/relationships/image" Target="media/image114.jpeg"/><Relationship Id="rId424" Type="http://schemas.openxmlformats.org/officeDocument/2006/relationships/hyperlink" Target="http://www.europaciudadana.org/" TargetMode="External"/><Relationship Id="rId466" Type="http://schemas.openxmlformats.org/officeDocument/2006/relationships/hyperlink" Target="https://diegosanchezdelacruz.wordpress.com/2013/05/10/el-80-del-deficit-autonomico-se-debe-al-aumento-del-gasto/" TargetMode="External"/><Relationship Id="rId23" Type="http://schemas.openxmlformats.org/officeDocument/2006/relationships/image" Target="media/image10.jpeg"/><Relationship Id="rId119" Type="http://schemas.openxmlformats.org/officeDocument/2006/relationships/hyperlink" Target="https://m.facebook.com/notes/randy-fellmy/transcript-of-larry-summers-speech-at-the-imf-economic-forum-nov-8-2013/585630634864563" TargetMode="External"/><Relationship Id="rId270" Type="http://schemas.openxmlformats.org/officeDocument/2006/relationships/image" Target="media/image122.jpeg"/><Relationship Id="rId326" Type="http://schemas.openxmlformats.org/officeDocument/2006/relationships/hyperlink" Target="http://www.fedeablogs.net/economia/wp-content/uploads/grafico22.png" TargetMode="External"/><Relationship Id="rId533" Type="http://schemas.openxmlformats.org/officeDocument/2006/relationships/hyperlink" Target="http://www20.gencat.cat/docs/economia/80_ACCO/Documents/Arxius/Actuacions/callforpapers_programa_presentacions.pdf" TargetMode="External"/><Relationship Id="rId65" Type="http://schemas.openxmlformats.org/officeDocument/2006/relationships/hyperlink" Target="http://1.bp.blogspot.com/-osWo5S8ooNc/TqbNUWjlvyI/AAAAAAAAAOg/w5GLNOvKHhc/s1600/deuda-publica-pcpib_ebs.jpeg" TargetMode="External"/><Relationship Id="rId130" Type="http://schemas.openxmlformats.org/officeDocument/2006/relationships/hyperlink" Target="http://www.amazon.com/Greenspans-Fraud-Decades-Policies-Undermined/dp/1403968594" TargetMode="External"/><Relationship Id="rId368" Type="http://schemas.openxmlformats.org/officeDocument/2006/relationships/image" Target="media/image173.png"/><Relationship Id="rId172" Type="http://schemas.openxmlformats.org/officeDocument/2006/relationships/hyperlink" Target="http://theeconomiccollapseblog.com/archives/have-you-heard-about-the-16-trillion-dollar-bailout-the-federal-reserve-handed-to-the-too-big-to-fail-banks" TargetMode="External"/><Relationship Id="rId228" Type="http://schemas.openxmlformats.org/officeDocument/2006/relationships/hyperlink" Target="http://theeconomiccollapseblog.com/archives/gold-silver-and-oil-are-all-skyrocketing-and-that-is-bad-news-for-the-u-s-economy" TargetMode="External"/><Relationship Id="rId435" Type="http://schemas.openxmlformats.org/officeDocument/2006/relationships/image" Target="media/image195.jpeg"/><Relationship Id="rId477" Type="http://schemas.openxmlformats.org/officeDocument/2006/relationships/hyperlink" Target="http://www.libremercado.com/2012-11-28/el-rescate-de-cataluna-podria-superar-los-13000-millones-el-proximo-ano-1276475440/" TargetMode="External"/><Relationship Id="rId281" Type="http://schemas.openxmlformats.org/officeDocument/2006/relationships/image" Target="media/image129.jpeg"/><Relationship Id="rId337" Type="http://schemas.openxmlformats.org/officeDocument/2006/relationships/hyperlink" Target="http://faculty.chicagobooth.edu/brent.neiman/" TargetMode="External"/><Relationship Id="rId502" Type="http://schemas.openxmlformats.org/officeDocument/2006/relationships/hyperlink" Target="http://ec.europa.eu/regional_policy/sources/docgener/guides/cost/guide2008_en.pdf" TargetMode="External"/><Relationship Id="rId34" Type="http://schemas.openxmlformats.org/officeDocument/2006/relationships/hyperlink" Target="http://www.boeckler.de/35334_39284.htm" TargetMode="External"/><Relationship Id="rId76" Type="http://schemas.openxmlformats.org/officeDocument/2006/relationships/image" Target="media/image49.jpeg"/><Relationship Id="rId141" Type="http://schemas.openxmlformats.org/officeDocument/2006/relationships/hyperlink" Target="http://www.ctj.org/" TargetMode="External"/><Relationship Id="rId379" Type="http://schemas.openxmlformats.org/officeDocument/2006/relationships/image" Target="media/image176.jpeg"/><Relationship Id="rId544" Type="http://schemas.openxmlformats.org/officeDocument/2006/relationships/hyperlink" Target="http://www.elmundo.es/espana/2013/11/14/5284085f61fd3d34048b4578.html?a=918f472cdc2ff8954cf47feb75901969&amp;t=1384418529" TargetMode="External"/><Relationship Id="rId7" Type="http://schemas.openxmlformats.org/officeDocument/2006/relationships/image" Target="media/image1.jpeg"/><Relationship Id="rId183" Type="http://schemas.openxmlformats.org/officeDocument/2006/relationships/hyperlink" Target="http://theeconomiccollapseblog.com/archives/the-441-trillion-dollar-interest-rate-derivative-timb-bomb" TargetMode="External"/><Relationship Id="rId239" Type="http://schemas.openxmlformats.org/officeDocument/2006/relationships/hyperlink" Target="http://www.businessinsider.com/america-middle-class-in-decline-2011-4" TargetMode="External"/><Relationship Id="rId390" Type="http://schemas.openxmlformats.org/officeDocument/2006/relationships/hyperlink" Target="http://rt.com/news/hsbc-us-senate-report-344/" TargetMode="External"/><Relationship Id="rId404" Type="http://schemas.openxmlformats.org/officeDocument/2006/relationships/hyperlink" Target="http://ec.europa.eu/regional_policy/sources/docgener/guides/cost/guide2008_en.pdf" TargetMode="External"/><Relationship Id="rId446" Type="http://schemas.openxmlformats.org/officeDocument/2006/relationships/image" Target="media/image204.jpeg"/><Relationship Id="rId250" Type="http://schemas.openxmlformats.org/officeDocument/2006/relationships/hyperlink" Target="http://www.goldshark.com/kaspars-comments/item/123-sociapitalism-how-the-government-became-the-next-bubble.html" TargetMode="External"/><Relationship Id="rId292" Type="http://schemas.openxmlformats.org/officeDocument/2006/relationships/hyperlink" Target="http://estatico.vozpopuli.com/upload/Javier_Ruiz/ocde-tiempos-busqueda-empleo.jpg" TargetMode="External"/><Relationship Id="rId306" Type="http://schemas.openxmlformats.org/officeDocument/2006/relationships/image" Target="media/image144.jpeg"/><Relationship Id="rId488" Type="http://schemas.openxmlformats.org/officeDocument/2006/relationships/image" Target="media/image221.png"/><Relationship Id="rId45" Type="http://schemas.openxmlformats.org/officeDocument/2006/relationships/image" Target="media/image24.jpeg"/><Relationship Id="rId87" Type="http://schemas.openxmlformats.org/officeDocument/2006/relationships/hyperlink" Target="http://www.fedeablogs.net/economia/wp-content/uploads/deuda1.jpg" TargetMode="External"/><Relationship Id="rId110" Type="http://schemas.openxmlformats.org/officeDocument/2006/relationships/image" Target="media/image77.jpeg"/><Relationship Id="rId348" Type="http://schemas.openxmlformats.org/officeDocument/2006/relationships/hyperlink" Target="http://s.libertaddigital.com/fotos/noticias/CONTR03.jpg" TargetMode="External"/><Relationship Id="rId513" Type="http://schemas.openxmlformats.org/officeDocument/2006/relationships/hyperlink" Target="http://www.sepg.pap.minhap.gob.es/Presup/PGE2014Proyecto/MaestroDocumentos/PGE-ROM/doc/3/1/N_14_A_A_1_1.PDF" TargetMode="External"/><Relationship Id="rId152" Type="http://schemas.openxmlformats.org/officeDocument/2006/relationships/hyperlink" Target="http://www.bloomberg.com/news/2013-02-15/finra-expands-review-of-disclosures-by-15-dark-pool-operators.html" TargetMode="External"/><Relationship Id="rId194" Type="http://schemas.openxmlformats.org/officeDocument/2006/relationships/image" Target="media/image98.jpeg"/><Relationship Id="rId208" Type="http://schemas.openxmlformats.org/officeDocument/2006/relationships/hyperlink" Target="http://www.cotizalia.com/publicador_perlas_kike/fotos/2011032860productividad2.jpg" TargetMode="External"/><Relationship Id="rId415" Type="http://schemas.openxmlformats.org/officeDocument/2006/relationships/hyperlink" Target="http://s.libertaddigital.com/fotos/noticias/AUR06.jpg" TargetMode="External"/><Relationship Id="rId457" Type="http://schemas.openxmlformats.org/officeDocument/2006/relationships/image" Target="media/image215.jpeg"/><Relationship Id="rId261" Type="http://schemas.openxmlformats.org/officeDocument/2006/relationships/image" Target="media/image116.jpeg"/><Relationship Id="rId499" Type="http://schemas.openxmlformats.org/officeDocument/2006/relationships/hyperlink" Target="http://www.uic.org/IMG/pdf/20120701_a1_high_speed_lines_in_the_world.pdf" TargetMode="External"/><Relationship Id="rId14" Type="http://schemas.openxmlformats.org/officeDocument/2006/relationships/image" Target="media/image6.jpeg"/><Relationship Id="rId56" Type="http://schemas.openxmlformats.org/officeDocument/2006/relationships/image" Target="media/image34.png"/><Relationship Id="rId317" Type="http://schemas.openxmlformats.org/officeDocument/2006/relationships/image" Target="media/image150.jpeg"/><Relationship Id="rId359" Type="http://schemas.openxmlformats.org/officeDocument/2006/relationships/image" Target="media/image167.jpeg"/><Relationship Id="rId524" Type="http://schemas.openxmlformats.org/officeDocument/2006/relationships/hyperlink" Target="http://www.energiadiario.com/publicacion/spip.php?article24683" TargetMode="External"/><Relationship Id="rId98" Type="http://schemas.openxmlformats.org/officeDocument/2006/relationships/image" Target="media/image66.jpeg"/><Relationship Id="rId121" Type="http://schemas.openxmlformats.org/officeDocument/2006/relationships/hyperlink" Target="http://blogs.marketwatch.com/thetell/2013/12/02/robert-shiller-most-worried-about-bubble-in-u-s-stock-market/?mod=MW_story_latest_news" TargetMode="External"/><Relationship Id="rId163" Type="http://schemas.openxmlformats.org/officeDocument/2006/relationships/hyperlink" Target="http://theeconomiccollapseblog.com/archives/during-the-best-period-of-economic-growth-in-u-s-history-there-was-no-income-tax-and-no-federal-reserve" TargetMode="External"/><Relationship Id="rId219" Type="http://schemas.openxmlformats.org/officeDocument/2006/relationships/hyperlink" Target="http://blogs.wsj.com/economics/2011/04/30/number-of-the-week-millions-set-to-lose-unemployment-benefits/?mod=WSJBlog&amp;utm_source=feedburner&amp;utm_medium=feed&amp;utm_campaign=Feed%3A+wsj%2Feconomics%2Ffeed+%28WSJ.com%3A+Real+Time+Economics+Blog%29" TargetMode="External"/><Relationship Id="rId370" Type="http://schemas.openxmlformats.org/officeDocument/2006/relationships/hyperlink" Target="http://www.elconfidencial.com/alma-corazon-vida/2013-08-20/muere-un-becario-de-bank-of-america-tras-trabajar-72-horas-seguidas_" TargetMode="External"/><Relationship Id="rId426" Type="http://schemas.openxmlformats.org/officeDocument/2006/relationships/hyperlink" Target="http://ec.europa.eu/dgs/communication/contracts-and-grants/contracts/documents/po_2012_09_a6/1-tender-specs_en.pdf" TargetMode="External"/><Relationship Id="rId230" Type="http://schemas.openxmlformats.org/officeDocument/2006/relationships/hyperlink" Target="http://www.cnbc.com/id/42574743" TargetMode="External"/><Relationship Id="rId468" Type="http://schemas.openxmlformats.org/officeDocument/2006/relationships/hyperlink" Target="http://www.elconfidencial.com/espana/2013/05/09/el-gobierno-no-sabe-lo-que-cuestan-las-149-embajadas-autonomicas-en-el-extranjero-120577/" TargetMode="External"/><Relationship Id="rId25" Type="http://schemas.openxmlformats.org/officeDocument/2006/relationships/hyperlink" Target="http://ec.europa.eu/economy_finance/publications/economic_paper/2013/pdf/ecp478_en.pdf" TargetMode="External"/><Relationship Id="rId67" Type="http://schemas.openxmlformats.org/officeDocument/2006/relationships/hyperlink" Target="http://www.elblogsalmon.com/autor/marco-antonio-m" TargetMode="External"/><Relationship Id="rId272" Type="http://schemas.openxmlformats.org/officeDocument/2006/relationships/hyperlink" Target="javascript:void(0);" TargetMode="External"/><Relationship Id="rId328" Type="http://schemas.openxmlformats.org/officeDocument/2006/relationships/image" Target="media/image155.png"/><Relationship Id="rId535" Type="http://schemas.openxmlformats.org/officeDocument/2006/relationships/hyperlink" Target="http://economia.elpais.com/economia/2013/10/16/actualidad/1381947537_979037.html" TargetMode="External"/><Relationship Id="rId132" Type="http://schemas.openxmlformats.org/officeDocument/2006/relationships/hyperlink" Target="http://serviciosweb.meh.es/apps/dgpe/textos/ice/infotrim/ICEpub.pdf" TargetMode="External"/><Relationship Id="rId174" Type="http://schemas.openxmlformats.org/officeDocument/2006/relationships/hyperlink" Target="http://www.scribd.com/doc/60553686/GAO-Fed-Investigation" TargetMode="External"/><Relationship Id="rId381" Type="http://schemas.openxmlformats.org/officeDocument/2006/relationships/hyperlink" Target="http://www.imf.org/external/pubs/ft/wp/2009/wp09108.pdf" TargetMode="External"/><Relationship Id="rId220" Type="http://schemas.openxmlformats.org/officeDocument/2006/relationships/hyperlink" Target="http://www.businessinsider.com/america-middle-class-in-decline-2011-4" TargetMode="External"/><Relationship Id="rId241" Type="http://schemas.openxmlformats.org/officeDocument/2006/relationships/hyperlink" Target="http://www.zerohedge.com/article/it%E2%80%99s-game-over-us" TargetMode="External"/><Relationship Id="rId437" Type="http://schemas.openxmlformats.org/officeDocument/2006/relationships/hyperlink" Target="http://www.elconfidencial.com/mundo/2013-10-19/la-crimen-organizado-en-la-ue-mueve-cientos-de-miles-de-millones-de-euros_42897/" TargetMode="External"/><Relationship Id="rId458" Type="http://schemas.openxmlformats.org/officeDocument/2006/relationships/hyperlink" Target="http://s.libertaddigital.com/fotos/noticias/espso3.jpg" TargetMode="External"/><Relationship Id="rId479" Type="http://schemas.openxmlformats.org/officeDocument/2006/relationships/hyperlink" Target="http://www.libremercado.com/2013-05-29/la-junta-debe-415-millones-a-los-constructores-de-obra-publica-1276491502/" TargetMode="External"/><Relationship Id="rId15" Type="http://schemas.openxmlformats.org/officeDocument/2006/relationships/hyperlink" Target="http://www.fedeablogs.net/economia/wp-content/uploads/15.jpg" TargetMode="External"/><Relationship Id="rId36" Type="http://schemas.openxmlformats.org/officeDocument/2006/relationships/image" Target="media/image17.jpeg"/><Relationship Id="rId57" Type="http://schemas.openxmlformats.org/officeDocument/2006/relationships/image" Target="media/image35.png"/><Relationship Id="rId262" Type="http://schemas.openxmlformats.org/officeDocument/2006/relationships/hyperlink" Target="http://www.cotizalia.com/publicador_perlas_kike/fotos/2011090629desigualdad.jpg" TargetMode="External"/><Relationship Id="rId283" Type="http://schemas.openxmlformats.org/officeDocument/2006/relationships/image" Target="media/image130.jpeg"/><Relationship Id="rId318" Type="http://schemas.openxmlformats.org/officeDocument/2006/relationships/hyperlink" Target="http://s.libertaddigital.com/fotos/noticias/ninis002.jpg" TargetMode="External"/><Relationship Id="rId339" Type="http://schemas.openxmlformats.org/officeDocument/2006/relationships/image" Target="media/image159.png"/><Relationship Id="rId490" Type="http://schemas.openxmlformats.org/officeDocument/2006/relationships/image" Target="media/image222.jpeg"/><Relationship Id="rId504" Type="http://schemas.openxmlformats.org/officeDocument/2006/relationships/hyperlink" Target="http://www.fedeablogs.net/economia/?p=7824" TargetMode="External"/><Relationship Id="rId525" Type="http://schemas.openxmlformats.org/officeDocument/2006/relationships/hyperlink" Target="http://www.proyectocastor.com/" TargetMode="External"/><Relationship Id="rId546" Type="http://schemas.openxmlformats.org/officeDocument/2006/relationships/hyperlink" Target="http://expansionpro.orbyt.es/2013/11/28/inmobiliaria/1385674411.html" TargetMode="External"/><Relationship Id="rId78" Type="http://schemas.openxmlformats.org/officeDocument/2006/relationships/image" Target="media/image51.jpeg"/><Relationship Id="rId99" Type="http://schemas.openxmlformats.org/officeDocument/2006/relationships/image" Target="media/image67.jpeg"/><Relationship Id="rId101" Type="http://schemas.openxmlformats.org/officeDocument/2006/relationships/hyperlink" Target="http://s.libertaddigital.com/fotos/noticias/bolsayqe.jpg" TargetMode="External"/><Relationship Id="rId122" Type="http://schemas.openxmlformats.org/officeDocument/2006/relationships/hyperlink" Target="http://www.google.com/trends/explore" TargetMode="External"/><Relationship Id="rId143" Type="http://schemas.openxmlformats.org/officeDocument/2006/relationships/hyperlink" Target="http://www.pepco.com/home/" TargetMode="External"/><Relationship Id="rId164" Type="http://schemas.openxmlformats.org/officeDocument/2006/relationships/hyperlink" Target="http://www.24hgold.com/english/contributor.aspx?article=4269461978G10020&amp;contributor=Tim+Iacono" TargetMode="External"/><Relationship Id="rId185" Type="http://schemas.openxmlformats.org/officeDocument/2006/relationships/hyperlink" Target="http://www.treasurydirect.gov/govt/reports/ir/ir_expense.htm" TargetMode="External"/><Relationship Id="rId350" Type="http://schemas.openxmlformats.org/officeDocument/2006/relationships/hyperlink" Target="http://www.ecestaticos.com/image/clipping/87cd10a7adb5132e08259351ffe13894/imagen-sin-titulo.jpg" TargetMode="External"/><Relationship Id="rId371" Type="http://schemas.openxmlformats.org/officeDocument/2006/relationships/hyperlink" Target="http://www.libertaddigital.com/opinion/mauricio-rojas/suecia-en-llamas-68520/" TargetMode="External"/><Relationship Id="rId406" Type="http://schemas.openxmlformats.org/officeDocument/2006/relationships/hyperlink" Target="http://www.fedeablogs.net/economia/?p=27405" TargetMode="External"/><Relationship Id="rId9" Type="http://schemas.openxmlformats.org/officeDocument/2006/relationships/image" Target="media/image3.jpeg"/><Relationship Id="rId210" Type="http://schemas.openxmlformats.org/officeDocument/2006/relationships/hyperlink" Target="http://www.cotizalia.com/publicador_perlas_kike/fotos/2011032869productividad3.jpg" TargetMode="External"/><Relationship Id="rId392" Type="http://schemas.openxmlformats.org/officeDocument/2006/relationships/hyperlink" Target="http://www.bbc.co.uk/mundo/noticias/2012/11/121031_grecia_evasion_lista_lagarde_jp.shtml" TargetMode="External"/><Relationship Id="rId427" Type="http://schemas.openxmlformats.org/officeDocument/2006/relationships/hyperlink" Target="http://online.wsj.com/article/SB10001424127887323823004578595601851084188.html?mod=wsj_share_tweet" TargetMode="External"/><Relationship Id="rId448" Type="http://schemas.openxmlformats.org/officeDocument/2006/relationships/image" Target="media/image206.png"/><Relationship Id="rId469" Type="http://schemas.openxmlformats.org/officeDocument/2006/relationships/hyperlink" Target="http://www.elmundo.es/elmundo/2013/06/09/economia/1370775405.html" TargetMode="External"/><Relationship Id="rId26" Type="http://schemas.openxmlformats.org/officeDocument/2006/relationships/image" Target="media/image11.jpeg"/><Relationship Id="rId231" Type="http://schemas.openxmlformats.org/officeDocument/2006/relationships/hyperlink" Target="http://endoftheamericandream.com/archives/36-statistics-which-prove-that-the-american-dream-is-turning-into-an-absolute-nightmare-for-the-middle-class/oil-price" TargetMode="External"/><Relationship Id="rId252" Type="http://schemas.openxmlformats.org/officeDocument/2006/relationships/hyperlink" Target="http://money.cnn.com/2011/04/26/real_estate/february_case_shiller/index.htm" TargetMode="External"/><Relationship Id="rId273" Type="http://schemas.openxmlformats.org/officeDocument/2006/relationships/image" Target="media/image123.jpeg"/><Relationship Id="rId294" Type="http://schemas.openxmlformats.org/officeDocument/2006/relationships/image" Target="media/image136.png"/><Relationship Id="rId308" Type="http://schemas.openxmlformats.org/officeDocument/2006/relationships/image" Target="media/image145.jpeg"/><Relationship Id="rId329" Type="http://schemas.openxmlformats.org/officeDocument/2006/relationships/hyperlink" Target="http://www.imf.org/external/pubs/ft/weo/2013/02/pdf/text.pdf" TargetMode="External"/><Relationship Id="rId480" Type="http://schemas.openxmlformats.org/officeDocument/2006/relationships/hyperlink" Target="http://www.abc.es/espana/20130606/abci-parlamento-andaluz-sueldos-201306051959.html" TargetMode="External"/><Relationship Id="rId515" Type="http://schemas.openxmlformats.org/officeDocument/2006/relationships/hyperlink" Target="http://vozpopuli.com/economia-y-finanzas/32232-el-gobierno-pierde-la-batalla-del-deficit-y-da-por-bueno-terminar-con-el-6-7" TargetMode="External"/><Relationship Id="rId536" Type="http://schemas.openxmlformats.org/officeDocument/2006/relationships/hyperlink" Target="http://www.uic.org/" TargetMode="External"/><Relationship Id="rId47" Type="http://schemas.openxmlformats.org/officeDocument/2006/relationships/image" Target="media/image26.png"/><Relationship Id="rId68" Type="http://schemas.openxmlformats.org/officeDocument/2006/relationships/image" Target="media/image41.png"/><Relationship Id="rId89" Type="http://schemas.openxmlformats.org/officeDocument/2006/relationships/hyperlink" Target="http://www.bis.org/review/r130409e.pdf?frames=0" TargetMode="External"/><Relationship Id="rId112" Type="http://schemas.openxmlformats.org/officeDocument/2006/relationships/image" Target="media/image79.jpeg"/><Relationship Id="rId133" Type="http://schemas.openxmlformats.org/officeDocument/2006/relationships/image" Target="media/image86.jpeg"/><Relationship Id="rId154" Type="http://schemas.openxmlformats.org/officeDocument/2006/relationships/image" Target="media/image90.jpeg"/><Relationship Id="rId175" Type="http://schemas.openxmlformats.org/officeDocument/2006/relationships/hyperlink" Target="http://finance.yahoo.com/news/wall-street-week-ahead-fed-215017066.html" TargetMode="External"/><Relationship Id="rId340" Type="http://schemas.openxmlformats.org/officeDocument/2006/relationships/image" Target="media/image160.jpeg"/><Relationship Id="rId361" Type="http://schemas.openxmlformats.org/officeDocument/2006/relationships/hyperlink" Target="http://www.elconfidencial.com/espana/2013-12-02/espana-ya-es-el-pais-de-europa-que-mas-poblacion-pierde-por-la-emigracion-y-la-crisis_61059/" TargetMode="External"/><Relationship Id="rId196" Type="http://schemas.openxmlformats.org/officeDocument/2006/relationships/image" Target="media/image99.jpeg"/><Relationship Id="rId200" Type="http://schemas.openxmlformats.org/officeDocument/2006/relationships/image" Target="media/image101.png"/><Relationship Id="rId382" Type="http://schemas.openxmlformats.org/officeDocument/2006/relationships/image" Target="media/image178.jpeg"/><Relationship Id="rId417" Type="http://schemas.openxmlformats.org/officeDocument/2006/relationships/hyperlink" Target="http://s.libertaddigital.com/fotos/noticias/AUR03.jpg" TargetMode="External"/><Relationship Id="rId438" Type="http://schemas.openxmlformats.org/officeDocument/2006/relationships/hyperlink" Target="http://www.europarl.europa.eu/sides/getDoc.do?type=REPORT&amp;reference=A7-2013-0307&amp;language=ES&amp;mode=XML" TargetMode="External"/><Relationship Id="rId459" Type="http://schemas.openxmlformats.org/officeDocument/2006/relationships/image" Target="media/image216.jpeg"/><Relationship Id="rId16" Type="http://schemas.openxmlformats.org/officeDocument/2006/relationships/image" Target="media/image7.jpeg"/><Relationship Id="rId221" Type="http://schemas.openxmlformats.org/officeDocument/2006/relationships/hyperlink" Target="http://www.usatoday.com/money/economy/employment/2011-04-13-more-americans-leave-labor-force.htm" TargetMode="External"/><Relationship Id="rId242" Type="http://schemas.openxmlformats.org/officeDocument/2006/relationships/hyperlink" Target="http://www.usatoday.com/money/perfi/college/2011-04-23-college-students-money-poll.htm" TargetMode="External"/><Relationship Id="rId263" Type="http://schemas.openxmlformats.org/officeDocument/2006/relationships/image" Target="media/image117.jpeg"/><Relationship Id="rId284" Type="http://schemas.openxmlformats.org/officeDocument/2006/relationships/hyperlink" Target="http://www.fedeablogs.net/economia/wp-content/uploads/Polarizaci&#243;n-UE.jpg" TargetMode="External"/><Relationship Id="rId319" Type="http://schemas.openxmlformats.org/officeDocument/2006/relationships/image" Target="media/image151.jpeg"/><Relationship Id="rId470" Type="http://schemas.openxmlformats.org/officeDocument/2006/relationships/hyperlink" Target="http://www.libertaddigital.com/espana/2013-06-08/fernandez-vara-cargo-a-la-sanidad-extremena-facturas-de-jamones-y-gin-tonics-1276492372/" TargetMode="External"/><Relationship Id="rId491" Type="http://schemas.openxmlformats.org/officeDocument/2006/relationships/hyperlink" Target="http://www.libertaddigital.com/economia/el-drama-de-la-generacion-mejor-preparada-de-nuestra-historia-1276414027/" TargetMode="External"/><Relationship Id="rId505" Type="http://schemas.openxmlformats.org/officeDocument/2006/relationships/hyperlink" Target="http://www.revecap.com/revista/" TargetMode="External"/><Relationship Id="rId526" Type="http://schemas.openxmlformats.org/officeDocument/2006/relationships/hyperlink" Target="http://www.grupoacs.com/adjuntos/2218_enagas-acs-eurogas.pdf" TargetMode="External"/><Relationship Id="rId37" Type="http://schemas.openxmlformats.org/officeDocument/2006/relationships/image" Target="media/image18.jpeg"/><Relationship Id="rId58" Type="http://schemas.openxmlformats.org/officeDocument/2006/relationships/image" Target="media/image36.jpeg"/><Relationship Id="rId79" Type="http://schemas.openxmlformats.org/officeDocument/2006/relationships/image" Target="media/image52.jpeg"/><Relationship Id="rId102" Type="http://schemas.openxmlformats.org/officeDocument/2006/relationships/image" Target="media/image69.jpeg"/><Relationship Id="rId123" Type="http://schemas.openxmlformats.org/officeDocument/2006/relationships/hyperlink" Target="http://www.google.com/trends/explore" TargetMode="External"/><Relationship Id="rId144" Type="http://schemas.openxmlformats.org/officeDocument/2006/relationships/hyperlink" Target="http://www.ge.com/es/" TargetMode="External"/><Relationship Id="rId330" Type="http://schemas.openxmlformats.org/officeDocument/2006/relationships/image" Target="media/image156.jpeg"/><Relationship Id="rId547" Type="http://schemas.openxmlformats.org/officeDocument/2006/relationships/hyperlink" Target="http://www.eleconomista.es/economia/noticias/5268757/10/13/El-PIB-de-Espana-crecio-el-01-en-el-tercer-trimestre-segun-el-INE-.html" TargetMode="External"/><Relationship Id="rId90" Type="http://schemas.openxmlformats.org/officeDocument/2006/relationships/hyperlink" Target="http://www.bis.org/" TargetMode="External"/><Relationship Id="rId165" Type="http://schemas.openxmlformats.org/officeDocument/2006/relationships/hyperlink" Target="http://www.zerohedge.com/news/2013-09-12/two-centuries-inflation" TargetMode="External"/><Relationship Id="rId186" Type="http://schemas.openxmlformats.org/officeDocument/2006/relationships/hyperlink" Target="http://www.usconstitution.net/const.html" TargetMode="External"/><Relationship Id="rId351" Type="http://schemas.openxmlformats.org/officeDocument/2006/relationships/image" Target="media/image164.jpeg"/><Relationship Id="rId372" Type="http://schemas.openxmlformats.org/officeDocument/2006/relationships/hyperlink" Target="http://www.eleconomico.es/item/110406-que-pasa-en-suecia" TargetMode="External"/><Relationship Id="rId393" Type="http://schemas.openxmlformats.org/officeDocument/2006/relationships/hyperlink" Target="http://www.ft.com/cms/s/0/953ec30c-2436-11e2-94d0-00144feabdc0.html" TargetMode="External"/><Relationship Id="rId407" Type="http://schemas.openxmlformats.org/officeDocument/2006/relationships/hyperlink" Target="http://tribunas.racc.es/es/ave_en_espanya" TargetMode="External"/><Relationship Id="rId428" Type="http://schemas.openxmlformats.org/officeDocument/2006/relationships/hyperlink" Target="http://www.telegraph.co.uk/news/worldnews/europe/eu/9657673/Audit-seriously-undermines-credibility-of-EU-spending.html" TargetMode="External"/><Relationship Id="rId449" Type="http://schemas.openxmlformats.org/officeDocument/2006/relationships/image" Target="media/image207.jpeg"/><Relationship Id="rId211" Type="http://schemas.openxmlformats.org/officeDocument/2006/relationships/image" Target="media/image108.jpeg"/><Relationship Id="rId232" Type="http://schemas.openxmlformats.org/officeDocument/2006/relationships/image" Target="media/image112.png"/><Relationship Id="rId253" Type="http://schemas.openxmlformats.org/officeDocument/2006/relationships/hyperlink" Target="http://www.mybudget360.com/home-is-where-the-working-and-middle-class-lose-their-money-6-trillion-lost-in-household-real-estate-values-top-1-percent-control-13-trillion-financial-wealth/" TargetMode="External"/><Relationship Id="rId274" Type="http://schemas.openxmlformats.org/officeDocument/2006/relationships/image" Target="media/image124.jpeg"/><Relationship Id="rId295" Type="http://schemas.openxmlformats.org/officeDocument/2006/relationships/hyperlink" Target="http://estatico.vozpopuli.com/upload/Javier_Ruiz/oit-smi.jpg" TargetMode="External"/><Relationship Id="rId309" Type="http://schemas.openxmlformats.org/officeDocument/2006/relationships/hyperlink" Target="http://s.libertaddigital.com/fotos/noticias/PABDE5.jpg" TargetMode="External"/><Relationship Id="rId460" Type="http://schemas.openxmlformats.org/officeDocument/2006/relationships/image" Target="media/image217.jpeg"/><Relationship Id="rId481" Type="http://schemas.openxmlformats.org/officeDocument/2006/relationships/hyperlink" Target="http://www.elconfidencial.com/espana/2013/06/03/no-solo-gintonics-se-disparan-los-chollos-de-los-diputados-andaluces-122214/" TargetMode="External"/><Relationship Id="rId516" Type="http://schemas.openxmlformats.org/officeDocument/2006/relationships/hyperlink" Target="http://www.libremercado.com/2013-09-17/espana-amenaza-con-cerrar-el-ano-con-un-deficit-proximo-al-8-del-pib-1276499619/" TargetMode="External"/><Relationship Id="rId27" Type="http://schemas.openxmlformats.org/officeDocument/2006/relationships/hyperlink" Target="http://www.elconfidencial.com/archivos/ec/201303176sanchez-2.jpg" TargetMode="External"/><Relationship Id="rId48" Type="http://schemas.openxmlformats.org/officeDocument/2006/relationships/image" Target="media/image27.png"/><Relationship Id="rId69" Type="http://schemas.openxmlformats.org/officeDocument/2006/relationships/image" Target="media/image42.jpeg"/><Relationship Id="rId113" Type="http://schemas.openxmlformats.org/officeDocument/2006/relationships/image" Target="media/image80.jpeg"/><Relationship Id="rId134" Type="http://schemas.openxmlformats.org/officeDocument/2006/relationships/hyperlink" Target="http://www.fiscalcommission.gov/sites/fiscalcommission.gov/files/documents/TheMomentofTruth12_1_2010.pdf" TargetMode="External"/><Relationship Id="rId320" Type="http://schemas.openxmlformats.org/officeDocument/2006/relationships/hyperlink" Target="http://www.practicalmoneyskills.com/mcdonalds/video.php" TargetMode="External"/><Relationship Id="rId537" Type="http://schemas.openxmlformats.org/officeDocument/2006/relationships/image" Target="media/image229.jpeg"/><Relationship Id="rId80" Type="http://schemas.openxmlformats.org/officeDocument/2006/relationships/image" Target="media/image53.jpeg"/><Relationship Id="rId155" Type="http://schemas.openxmlformats.org/officeDocument/2006/relationships/image" Target="media/image91.jpeg"/><Relationship Id="rId176" Type="http://schemas.openxmlformats.org/officeDocument/2006/relationships/hyperlink" Target="http://theeconomiccollapseblog.com/archives/the-federal-reserve-is-paying-banks-not-to-lend-1-8-trillion-dollars-to-the-american-people" TargetMode="External"/><Relationship Id="rId197" Type="http://schemas.openxmlformats.org/officeDocument/2006/relationships/hyperlink" Target="http://us.lrd.yahoo.com/_ylt=AsRmvvu.0tEMYqba.Ma5C474KKpG;_ylu=X3oDMTE2MGthcmZsBHBvcwMyBHNlYwNuZXdzYXJzdGFydARzbGsDbWFwYWRlbG9zc2Fs/SIG=12sttnjee/**http:/epp.eurostat.ec.europa.eu/statistics_explained/index.php/Minimum_wage_statistics" TargetMode="External"/><Relationship Id="rId341" Type="http://schemas.openxmlformats.org/officeDocument/2006/relationships/hyperlink" Target="http://www.libremercado.com/2013-04-07/gritar-mucho-y-mojarse-poco-una-foto-poco-agradable-del-espanol-medio-1276486814/" TargetMode="External"/><Relationship Id="rId362" Type="http://schemas.openxmlformats.org/officeDocument/2006/relationships/hyperlink" Target="http://ecodiario.eleconomista.es/espana/noticias/5303938/11/13/El-riesgo-de-pobreza-o-exclusion-alcanza-el-28-en-Espana-cinco-puntos-mas-que-en-2007.html" TargetMode="External"/><Relationship Id="rId383" Type="http://schemas.openxmlformats.org/officeDocument/2006/relationships/image" Target="media/image179.jpeg"/><Relationship Id="rId418" Type="http://schemas.openxmlformats.org/officeDocument/2006/relationships/image" Target="media/image191.jpeg"/><Relationship Id="rId439" Type="http://schemas.openxmlformats.org/officeDocument/2006/relationships/image" Target="media/image197.jpeg"/><Relationship Id="rId201" Type="http://schemas.openxmlformats.org/officeDocument/2006/relationships/hyperlink" Target="http://us.lrd.yahoo.com/_ylt=Arg3mlYWaaezHeFNJw4f1bv4KKpG;_ylu=X3oDMTB2ZDVoM2Q0BHBvcwM0BHNlYwNuZXdzYXJzdGFydARzbGsDaW1hZ2U-/SIG=11mhe2r93/**http:/mit.zenfs.com/42/2011/02/mapasalarios3.png" TargetMode="External"/><Relationship Id="rId222" Type="http://schemas.openxmlformats.org/officeDocument/2006/relationships/hyperlink" Target="http://www.businessinsider.com/how-hard-it-is-to-get-a-job-at-mcdonalds-2011-4" TargetMode="External"/><Relationship Id="rId243" Type="http://schemas.openxmlformats.org/officeDocument/2006/relationships/hyperlink" Target="http://www.benzinga.com/11/04/1032314/are-student-loans-an-impending-bubble-is-higher-education-a-scam" TargetMode="External"/><Relationship Id="rId264" Type="http://schemas.openxmlformats.org/officeDocument/2006/relationships/hyperlink" Target="http://www.cotizalia.com/publicador_perlas_kike/fotos/201109061unoporciento.jpg" TargetMode="External"/><Relationship Id="rId285" Type="http://schemas.openxmlformats.org/officeDocument/2006/relationships/image" Target="media/image131.jpeg"/><Relationship Id="rId450" Type="http://schemas.openxmlformats.org/officeDocument/2006/relationships/image" Target="media/image208.jpeg"/><Relationship Id="rId471" Type="http://schemas.openxmlformats.org/officeDocument/2006/relationships/hyperlink" Target="http://www.elperiodicoextremadura.com/noticias/extremadura/oficinas-con-spa-jacuzzi-y-squash_733914.html" TargetMode="External"/><Relationship Id="rId506" Type="http://schemas.openxmlformats.org/officeDocument/2006/relationships/hyperlink" Target="http://s.libertaddigital.com/fotos/noticias/EPA-PU1.jpg" TargetMode="External"/><Relationship Id="rId17" Type="http://schemas.openxmlformats.org/officeDocument/2006/relationships/hyperlink" Target="http://www.fedeablogs.net/economia/wp-content/uploads/17.jpg" TargetMode="External"/><Relationship Id="rId38" Type="http://schemas.openxmlformats.org/officeDocument/2006/relationships/image" Target="media/image19.jpeg"/><Relationship Id="rId59" Type="http://schemas.openxmlformats.org/officeDocument/2006/relationships/image" Target="media/image37.jpeg"/><Relationship Id="rId103" Type="http://schemas.openxmlformats.org/officeDocument/2006/relationships/image" Target="media/image70.png"/><Relationship Id="rId124" Type="http://schemas.openxmlformats.org/officeDocument/2006/relationships/hyperlink" Target="http://www.bloomberg.com/news/2013-11-19/the-bubble-in-bubbles.html" TargetMode="External"/><Relationship Id="rId310" Type="http://schemas.openxmlformats.org/officeDocument/2006/relationships/image" Target="media/image146.jpeg"/><Relationship Id="rId492" Type="http://schemas.openxmlformats.org/officeDocument/2006/relationships/hyperlink" Target="http://www.libremercado.com/2013-03-17/el-mercado-laboral-espanol-diez-razones-de-un-fracaso-1276485050/" TargetMode="External"/><Relationship Id="rId527" Type="http://schemas.openxmlformats.org/officeDocument/2006/relationships/hyperlink" Target="http://economia.elpais.com/economia/2013/07/26/actualidad/1374854966_710059.html" TargetMode="External"/><Relationship Id="rId548" Type="http://schemas.openxmlformats.org/officeDocument/2006/relationships/hyperlink" Target="http://www.tcu.es/uploads/I1004.pdf" TargetMode="External"/><Relationship Id="rId70" Type="http://schemas.openxmlformats.org/officeDocument/2006/relationships/image" Target="media/image43.jpeg"/><Relationship Id="rId91" Type="http://schemas.openxmlformats.org/officeDocument/2006/relationships/image" Target="media/image59.jpeg"/><Relationship Id="rId145" Type="http://schemas.openxmlformats.org/officeDocument/2006/relationships/image" Target="media/image87.png"/><Relationship Id="rId166" Type="http://schemas.openxmlformats.org/officeDocument/2006/relationships/hyperlink" Target="http://www.shadowstats.com/alternate_data/inflation-charts" TargetMode="External"/><Relationship Id="rId187" Type="http://schemas.openxmlformats.org/officeDocument/2006/relationships/hyperlink" Target="http://www.bloomberg.com/news/2012-02-15/the-secret-meeting-that-launched-the-federal-reserve-echoes.html" TargetMode="External"/><Relationship Id="rId331" Type="http://schemas.openxmlformats.org/officeDocument/2006/relationships/hyperlink" Target="http://s.libertaddigital.com/fotos/noticias/PREVFMI.jpg" TargetMode="External"/><Relationship Id="rId352" Type="http://schemas.openxmlformats.org/officeDocument/2006/relationships/image" Target="media/image165.jpeg"/><Relationship Id="rId373" Type="http://schemas.openxmlformats.org/officeDocument/2006/relationships/image" Target="media/image174.png"/><Relationship Id="rId394" Type="http://schemas.openxmlformats.org/officeDocument/2006/relationships/hyperlink" Target="http://www.ft.com/cms/s/0/af4cbf18-0b15-11e2-afb8-00144feabdc0.html" TargetMode="External"/><Relationship Id="rId408" Type="http://schemas.openxmlformats.org/officeDocument/2006/relationships/hyperlink" Target="http://s.libertaddigital.com/fotos/noticias/ave002.jpg" TargetMode="External"/><Relationship Id="rId429" Type="http://schemas.openxmlformats.org/officeDocument/2006/relationships/hyperlink" Target="http://www.express.co.uk/news/world/356574/Crooked-EU-wastes-89bn-in-one-year" TargetMode="External"/><Relationship Id="rId1" Type="http://schemas.openxmlformats.org/officeDocument/2006/relationships/customXml" Target="../customXml/item1.xml"/><Relationship Id="rId212" Type="http://schemas.openxmlformats.org/officeDocument/2006/relationships/hyperlink" Target="http://www.cotizalia.com/publicador_perlas_kike/fotos/2011032820productividad4.jpg" TargetMode="External"/><Relationship Id="rId233" Type="http://schemas.openxmlformats.org/officeDocument/2006/relationships/hyperlink" Target="http://www.alternet.org/story/150691/we%27re_%231_--_ten_depressing_ways_america_is_exceptional?page=entire" TargetMode="External"/><Relationship Id="rId254" Type="http://schemas.openxmlformats.org/officeDocument/2006/relationships/hyperlink" Target="http://finance.yahoo.com/news/Housing-market-13-of-all-US-cnnm-62477853.html?x=0" TargetMode="External"/><Relationship Id="rId440" Type="http://schemas.openxmlformats.org/officeDocument/2006/relationships/image" Target="media/image198.jpeg"/><Relationship Id="rId28" Type="http://schemas.openxmlformats.org/officeDocument/2006/relationships/image" Target="media/image12.jpeg"/><Relationship Id="rId49" Type="http://schemas.openxmlformats.org/officeDocument/2006/relationships/hyperlink" Target="http://www.bis.org/publ/othp16.pdf" TargetMode="External"/><Relationship Id="rId114" Type="http://schemas.openxmlformats.org/officeDocument/2006/relationships/image" Target="media/image81.jpeg"/><Relationship Id="rId275" Type="http://schemas.openxmlformats.org/officeDocument/2006/relationships/image" Target="media/image125.jpeg"/><Relationship Id="rId296" Type="http://schemas.openxmlformats.org/officeDocument/2006/relationships/image" Target="media/image137.jpeg"/><Relationship Id="rId300" Type="http://schemas.openxmlformats.org/officeDocument/2006/relationships/hyperlink" Target="http://estatico.vozpopuli.com/upload/Javier_Ruiz/ocde-politicas-redistributivas.jpg" TargetMode="External"/><Relationship Id="rId461" Type="http://schemas.openxmlformats.org/officeDocument/2006/relationships/image" Target="media/image218.jpeg"/><Relationship Id="rId482" Type="http://schemas.openxmlformats.org/officeDocument/2006/relationships/hyperlink" Target="http://www.lacelosia.com/el-banco-de-espana-paga-mas-a-sus-empleados-que-el-bundesbank-y-gasta-mas-en-administracion-que-antes-de-la-cesion-de-poderes-al-bce/" TargetMode="External"/><Relationship Id="rId517" Type="http://schemas.openxmlformats.org/officeDocument/2006/relationships/hyperlink" Target="http://diego-sanchez-de-la-cruz.libremercado.com/2013/09/16/el-70-de-los-cargos-publicos-no-tiene-experiencia-en-el-sector-privado/" TargetMode="External"/><Relationship Id="rId538" Type="http://schemas.openxmlformats.org/officeDocument/2006/relationships/image" Target="media/image230.jpeg"/><Relationship Id="rId60" Type="http://schemas.openxmlformats.org/officeDocument/2006/relationships/image" Target="media/image38.jpeg"/><Relationship Id="rId81" Type="http://schemas.openxmlformats.org/officeDocument/2006/relationships/image" Target="media/image54.png"/><Relationship Id="rId135" Type="http://schemas.openxmlformats.org/officeDocument/2006/relationships/hyperlink" Target="http://www.opencongress.org/articles/view/1500-The-Republicans-Haven-t-Always-Been-Against-Raising-the-Debt-Ceiling" TargetMode="External"/><Relationship Id="rId156" Type="http://schemas.openxmlformats.org/officeDocument/2006/relationships/hyperlink" Target="http://www.indexmundi.com/world/gdp_(official_exchange_rate).html" TargetMode="External"/><Relationship Id="rId177" Type="http://schemas.openxmlformats.org/officeDocument/2006/relationships/hyperlink" Target="http://money.cnn.com/2013/09/15/news/economy/income-inequality-obama/index.html?iid=HP_LN" TargetMode="External"/><Relationship Id="rId198" Type="http://schemas.openxmlformats.org/officeDocument/2006/relationships/image" Target="media/image100.png"/><Relationship Id="rId321" Type="http://schemas.openxmlformats.org/officeDocument/2006/relationships/hyperlink" Target="http://www.colbertnation.com/the-colbert-report-videos/427948/july-22-2013/minimum-wage---mcdonald-s-spending-journal" TargetMode="External"/><Relationship Id="rId342" Type="http://schemas.openxmlformats.org/officeDocument/2006/relationships/hyperlink" Target="http://www.libremercado.com/2013-09-19/espana-se-vuelve-antieuropea-1276499716/" TargetMode="External"/><Relationship Id="rId363" Type="http://schemas.openxmlformats.org/officeDocument/2006/relationships/image" Target="media/image169.jpeg"/><Relationship Id="rId384" Type="http://schemas.openxmlformats.org/officeDocument/2006/relationships/hyperlink" Target="http://www.nationalreview.com/corner/301762/austerity-uk-veronique-de-rugy" TargetMode="External"/><Relationship Id="rId419" Type="http://schemas.openxmlformats.org/officeDocument/2006/relationships/image" Target="media/image192.jpeg"/><Relationship Id="rId202" Type="http://schemas.openxmlformats.org/officeDocument/2006/relationships/image" Target="media/image102.png"/><Relationship Id="rId223" Type="http://schemas.openxmlformats.org/officeDocument/2006/relationships/hyperlink" Target="http://theeconomiccollapseblog.com/archives/losing-faith-in-the-u-s-economy" TargetMode="External"/><Relationship Id="rId244" Type="http://schemas.openxmlformats.org/officeDocument/2006/relationships/hyperlink" Target="http://theeconomiccollapseblog.com/archives/student-loan-debt-hell-21-statistics-that-will-make-you-think-twice-about-going-to-college" TargetMode="External"/><Relationship Id="rId430" Type="http://schemas.openxmlformats.org/officeDocument/2006/relationships/hyperlink" Target="http://www.dailymail.co.uk/news/article-2343903/500m-EU-taxpayers-money-donated-Egypt-fight-corruption-vanished-says-shocking-auditors-report.html" TargetMode="External"/><Relationship Id="rId18" Type="http://schemas.openxmlformats.org/officeDocument/2006/relationships/image" Target="media/image8.jpeg"/><Relationship Id="rId39" Type="http://schemas.openxmlformats.org/officeDocument/2006/relationships/image" Target="media/image20.jpeg"/><Relationship Id="rId265" Type="http://schemas.openxmlformats.org/officeDocument/2006/relationships/image" Target="media/image118.jpeg"/><Relationship Id="rId286" Type="http://schemas.openxmlformats.org/officeDocument/2006/relationships/hyperlink" Target="http://www.fedeablogs.net/economia/wp-content/uploads/Grafico-11.jpg" TargetMode="External"/><Relationship Id="rId451" Type="http://schemas.openxmlformats.org/officeDocument/2006/relationships/image" Target="media/image209.jpeg"/><Relationship Id="rId472" Type="http://schemas.openxmlformats.org/officeDocument/2006/relationships/hyperlink" Target="http://www.elconfidencial.com/espana/2013/06/07/el-congreso-elimina-el-gintonic-pero-sigue-subvencionando-el-vino-el-cava-y-el-vermouth-122583/" TargetMode="External"/><Relationship Id="rId493" Type="http://schemas.openxmlformats.org/officeDocument/2006/relationships/hyperlink" Target="http://www.libremercado.com/2012-02-09/espana-destruye-el-90-del-empleo-temporal-en-la-ue-1276449537/" TargetMode="External"/><Relationship Id="rId507" Type="http://schemas.openxmlformats.org/officeDocument/2006/relationships/image" Target="media/image226.jpeg"/><Relationship Id="rId528" Type="http://schemas.openxmlformats.org/officeDocument/2006/relationships/hyperlink" Target="http://www.elconfidencial.com/empresas/2013-10-03/florentino-perez-ve-peligrar-la-entrada-de-enagas-en-castor-y-400-millones_36053/" TargetMode="External"/><Relationship Id="rId549" Type="http://schemas.openxmlformats.org/officeDocument/2006/relationships/hyperlink" Target="http://www.elconfidencial.com/economia/2013/01/02/rajoy-solo-ha-liquidado-cuatro-empresas-publicas-de-los-80-cierres-que-prometio-112101" TargetMode="External"/><Relationship Id="rId50" Type="http://schemas.openxmlformats.org/officeDocument/2006/relationships/image" Target="media/image28.png"/><Relationship Id="rId104" Type="http://schemas.openxmlformats.org/officeDocument/2006/relationships/image" Target="media/image71.png"/><Relationship Id="rId125" Type="http://schemas.openxmlformats.org/officeDocument/2006/relationships/image" Target="media/image83.jpeg"/><Relationship Id="rId146" Type="http://schemas.openxmlformats.org/officeDocument/2006/relationships/image" Target="media/image88.png"/><Relationship Id="rId167" Type="http://schemas.openxmlformats.org/officeDocument/2006/relationships/hyperlink" Target="http://www.mindcontagion.org/fed/fedfacts.html" TargetMode="External"/><Relationship Id="rId188" Type="http://schemas.openxmlformats.org/officeDocument/2006/relationships/image" Target="media/image92.png"/><Relationship Id="rId311" Type="http://schemas.openxmlformats.org/officeDocument/2006/relationships/hyperlink" Target="http://estatico.vozpopuli.com/upload/Javier_Ruiz/oit-clasemedia.JPG" TargetMode="External"/><Relationship Id="rId332" Type="http://schemas.openxmlformats.org/officeDocument/2006/relationships/image" Target="media/image157.jpeg"/><Relationship Id="rId353" Type="http://schemas.openxmlformats.org/officeDocument/2006/relationships/hyperlink" Target="http://www.dol.gov/ilab/" TargetMode="External"/><Relationship Id="rId374" Type="http://schemas.openxmlformats.org/officeDocument/2006/relationships/hyperlink" Target="http://www.elconfidencial.com/alma-corazon-vida/2013-10-11/la-mitad-de-los-espanoles-solo-tienen-dinero-para-pagar-la-vivienda-y-la-comida_40300/" TargetMode="External"/><Relationship Id="rId395" Type="http://schemas.openxmlformats.org/officeDocument/2006/relationships/hyperlink" Target="http://news.uk.msn.com/world/greek-government-chief-found-hanged" TargetMode="External"/><Relationship Id="rId409" Type="http://schemas.openxmlformats.org/officeDocument/2006/relationships/image" Target="media/image186.jpeg"/><Relationship Id="rId71" Type="http://schemas.openxmlformats.org/officeDocument/2006/relationships/image" Target="media/image44.jpeg"/><Relationship Id="rId92" Type="http://schemas.openxmlformats.org/officeDocument/2006/relationships/image" Target="media/image60.jpeg"/><Relationship Id="rId213" Type="http://schemas.openxmlformats.org/officeDocument/2006/relationships/image" Target="media/image109.jpeg"/><Relationship Id="rId234" Type="http://schemas.openxmlformats.org/officeDocument/2006/relationships/hyperlink" Target="http://www.economyincrisis.org/content/economic-stagnation-creates-generation-impoverished-children" TargetMode="External"/><Relationship Id="rId420" Type="http://schemas.openxmlformats.org/officeDocument/2006/relationships/image" Target="media/image193.jpeg"/><Relationship Id="rId2" Type="http://schemas.openxmlformats.org/officeDocument/2006/relationships/numbering" Target="numbering.xml"/><Relationship Id="rId29" Type="http://schemas.openxmlformats.org/officeDocument/2006/relationships/hyperlink" Target="http://estatico.vozpopuli.com/upload/Javier_Ruiz/bce-deuda-deficit.jpg" TargetMode="External"/><Relationship Id="rId255" Type="http://schemas.openxmlformats.org/officeDocument/2006/relationships/hyperlink" Target="http://endoftheamericandream.com/archives/should-you-buy-a-home-in-2011-check-out-these-29-absolutely-crazy-statistics-about-the-housing-crisis" TargetMode="External"/><Relationship Id="rId276" Type="http://schemas.openxmlformats.org/officeDocument/2006/relationships/image" Target="media/image126.jpeg"/><Relationship Id="rId297" Type="http://schemas.openxmlformats.org/officeDocument/2006/relationships/image" Target="media/image138.jpeg"/><Relationship Id="rId441" Type="http://schemas.openxmlformats.org/officeDocument/2006/relationships/image" Target="media/image199.jpeg"/><Relationship Id="rId462" Type="http://schemas.openxmlformats.org/officeDocument/2006/relationships/image" Target="media/image219.jpeg"/><Relationship Id="rId483" Type="http://schemas.openxmlformats.org/officeDocument/2006/relationships/hyperlink" Target="http://www.elconfidencial.com/espana/2013/04/14/el-aeropuerto-de-huesca-cierra-marzo-con-solo-cuatro-pasajeros-pese-a-la-nieve-y-semana-santa-118004/" TargetMode="External"/><Relationship Id="rId518" Type="http://schemas.openxmlformats.org/officeDocument/2006/relationships/hyperlink" Target="http://www.libremercado.com/2013-10-05/rajoy-y-zapatero-asestan-un-sablazo-fiscal-de-51000-millones-a-empresas-y-familias-1276501037/" TargetMode="External"/><Relationship Id="rId539" Type="http://schemas.openxmlformats.org/officeDocument/2006/relationships/hyperlink" Target="http://www.libremercado.com/2013-07-05/el-gobierno-aprueba-el-proyecto-de-ley-de-unidad-de-mercado-1276494582/" TargetMode="External"/><Relationship Id="rId40" Type="http://schemas.openxmlformats.org/officeDocument/2006/relationships/image" Target="media/image21.jpeg"/><Relationship Id="rId115" Type="http://schemas.openxmlformats.org/officeDocument/2006/relationships/image" Target="media/image82.jpeg"/><Relationship Id="rId136" Type="http://schemas.openxmlformats.org/officeDocument/2006/relationships/hyperlink" Target="http://www.bankofengland.co.uk/monetarypolicy/assetpurchases.htm" TargetMode="External"/><Relationship Id="rId157" Type="http://schemas.openxmlformats.org/officeDocument/2006/relationships/hyperlink" Target="http://www.bis.org/statistics/dt1920a.pdf" TargetMode="External"/><Relationship Id="rId178" Type="http://schemas.openxmlformats.org/officeDocument/2006/relationships/hyperlink" Target="http://www.cnbc.com/id/101025377" TargetMode="External"/><Relationship Id="rId301" Type="http://schemas.openxmlformats.org/officeDocument/2006/relationships/image" Target="media/image140.jpeg"/><Relationship Id="rId322" Type="http://schemas.openxmlformats.org/officeDocument/2006/relationships/hyperlink" Target="http://www.examiner.com/article/fast-food-strikes-mcdonald-s-wendy-s-burger-king-more-speak-up" TargetMode="External"/><Relationship Id="rId343" Type="http://schemas.openxmlformats.org/officeDocument/2006/relationships/hyperlink" Target="http://www.libremercado.com/2013-09-19/espana-se-vuelve-antieuropea-1276499716/" TargetMode="External"/><Relationship Id="rId364" Type="http://schemas.openxmlformats.org/officeDocument/2006/relationships/image" Target="media/image170.jpeg"/><Relationship Id="rId550" Type="http://schemas.openxmlformats.org/officeDocument/2006/relationships/fontTable" Target="fontTable.xml"/><Relationship Id="rId61" Type="http://schemas.openxmlformats.org/officeDocument/2006/relationships/hyperlink" Target="http://www.businessweek.com/magazine/what-countriesand-their-citizensowe-10202011-gfx.html" TargetMode="External"/><Relationship Id="rId82" Type="http://schemas.openxmlformats.org/officeDocument/2006/relationships/image" Target="media/image55.jpeg"/><Relationship Id="rId199" Type="http://schemas.openxmlformats.org/officeDocument/2006/relationships/hyperlink" Target="http://us.lrd.yahoo.com/_ylt=AtydfcUYrBG8LS.RX1FG1K74KKpG;_ylu=X3oDMTB2anNxcWE3BHBvcwMzBHNlYwNuZXdzYXJzdGFydARzbGsDaW1hZ2U-/SIG=11m5p39q3/**http:/mit.zenfs.com/42/2011/02/mapasalarios2.png" TargetMode="External"/><Relationship Id="rId203" Type="http://schemas.openxmlformats.org/officeDocument/2006/relationships/image" Target="media/image103.jpeg"/><Relationship Id="rId385" Type="http://schemas.openxmlformats.org/officeDocument/2006/relationships/hyperlink" Target="http://s.libertaddigital.com/fotos/noticias/ausca1.jpg" TargetMode="External"/><Relationship Id="rId19" Type="http://schemas.openxmlformats.org/officeDocument/2006/relationships/hyperlink" Target="http://stats.oecd.org/Index.aspx?DataSetCode=REV" TargetMode="External"/><Relationship Id="rId224" Type="http://schemas.openxmlformats.org/officeDocument/2006/relationships/hyperlink" Target="http://www.calculatedriskblog.com/2011/04/more-than-lost-decade.html" TargetMode="External"/><Relationship Id="rId245" Type="http://schemas.openxmlformats.org/officeDocument/2006/relationships/hyperlink" Target="http://www.businessinsider.com/america-middle-class-in-decline-2011-4" TargetMode="External"/><Relationship Id="rId266" Type="http://schemas.openxmlformats.org/officeDocument/2006/relationships/hyperlink" Target="http://www.cotizalia.com/publicador_perlas_kike/fotos/201109065plusvalor.jpg" TargetMode="External"/><Relationship Id="rId287" Type="http://schemas.openxmlformats.org/officeDocument/2006/relationships/image" Target="media/image132.jpeg"/><Relationship Id="rId410" Type="http://schemas.openxmlformats.org/officeDocument/2006/relationships/hyperlink" Target="http://www.transparency.org/cpi2012/results" TargetMode="External"/><Relationship Id="rId431" Type="http://schemas.openxmlformats.org/officeDocument/2006/relationships/hyperlink" Target="http://filosofie.unibuc.ro/LG/texte/diverse/top100fraudeEU.pdf" TargetMode="External"/><Relationship Id="rId452" Type="http://schemas.openxmlformats.org/officeDocument/2006/relationships/image" Target="media/image210.jpeg"/><Relationship Id="rId473" Type="http://schemas.openxmlformats.org/officeDocument/2006/relationships/hyperlink" Target="http://www.elconfidencial.com/espana/2013/05/28/la-mesa-del-congreso-subvenciona-el-gintonic-a-senorias-e-invitados-solo-costara-345-euros--121824/" TargetMode="External"/><Relationship Id="rId494" Type="http://schemas.openxmlformats.org/officeDocument/2006/relationships/hyperlink" Target="http://www.libremercado.com/2013-07-17/espana-pierde-dos-millones-de-trabajos-temporales-durante-la-crisis-1276495349/" TargetMode="External"/><Relationship Id="rId508" Type="http://schemas.openxmlformats.org/officeDocument/2006/relationships/hyperlink" Target="http://s.libertaddigital.com/fotos/noticias/EPA-PU2.jpg" TargetMode="External"/><Relationship Id="rId529" Type="http://schemas.openxmlformats.org/officeDocument/2006/relationships/hyperlink" Target="http://vozpopuli.com/economia-y-finanzas/21010-industria-suaviza-las-trabas-al-multimillonario-almacen-de-gas-de-acs-castor" TargetMode="External"/><Relationship Id="rId30" Type="http://schemas.openxmlformats.org/officeDocument/2006/relationships/image" Target="media/image13.jpeg"/><Relationship Id="rId105" Type="http://schemas.openxmlformats.org/officeDocument/2006/relationships/image" Target="media/image72.jpeg"/><Relationship Id="rId126" Type="http://schemas.openxmlformats.org/officeDocument/2006/relationships/image" Target="media/image84.jpeg"/><Relationship Id="rId147" Type="http://schemas.openxmlformats.org/officeDocument/2006/relationships/image" Target="media/image89.png"/><Relationship Id="rId168" Type="http://schemas.openxmlformats.org/officeDocument/2006/relationships/hyperlink" Target="http://www.federalreserve.gov/aboutthefed/mission.htm" TargetMode="External"/><Relationship Id="rId312" Type="http://schemas.openxmlformats.org/officeDocument/2006/relationships/image" Target="media/image147.jpeg"/><Relationship Id="rId333" Type="http://schemas.openxmlformats.org/officeDocument/2006/relationships/image" Target="media/image158.png"/><Relationship Id="rId354" Type="http://schemas.openxmlformats.org/officeDocument/2006/relationships/hyperlink" Target="http://afop.org/" TargetMode="External"/><Relationship Id="rId540" Type="http://schemas.openxmlformats.org/officeDocument/2006/relationships/hyperlink" Target="http://www.mineco.gob.es/" TargetMode="External"/><Relationship Id="rId51" Type="http://schemas.openxmlformats.org/officeDocument/2006/relationships/image" Target="media/image29.png"/><Relationship Id="rId72" Type="http://schemas.openxmlformats.org/officeDocument/2006/relationships/image" Target="media/image45.jpeg"/><Relationship Id="rId93" Type="http://schemas.openxmlformats.org/officeDocument/2006/relationships/image" Target="media/image61.png"/><Relationship Id="rId189" Type="http://schemas.openxmlformats.org/officeDocument/2006/relationships/image" Target="media/image93.jpeg"/><Relationship Id="rId375" Type="http://schemas.openxmlformats.org/officeDocument/2006/relationships/hyperlink" Target="http://www.elconfidencial.com/espana/2013-12-15/drama-en-alcala-de-guadaira-padre-en-paro-comida-caducada-y-casa-embargada_66572/" TargetMode="External"/><Relationship Id="rId396" Type="http://schemas.openxmlformats.org/officeDocument/2006/relationships/hyperlink" Target="http://www.businessinsider.com/greek-men-on-lagarde-list-found-dead-2012-10?utm_source=feedburner&amp;utm_medium=feed&amp;utm_campaign=Feed:+clusterstock+%28ClusterStock%29" TargetMode="External"/><Relationship Id="rId3" Type="http://schemas.openxmlformats.org/officeDocument/2006/relationships/styles" Target="styles.xml"/><Relationship Id="rId214" Type="http://schemas.openxmlformats.org/officeDocument/2006/relationships/hyperlink" Target="http://www.cotizalia.com/publicador_perlas_kike/fotos/2011033186cp.jpg" TargetMode="External"/><Relationship Id="rId235" Type="http://schemas.openxmlformats.org/officeDocument/2006/relationships/hyperlink" Target="http://www.businessinsider.com/facts-about-inequality-in-america-2011-11" TargetMode="External"/><Relationship Id="rId256" Type="http://schemas.openxmlformats.org/officeDocument/2006/relationships/hyperlink" Target="http://thehill.com/blogs/on-the-money/801-economy/151039-poll-nearly-one-third-of-homeowners-underwater-on-mortgages" TargetMode="External"/><Relationship Id="rId277" Type="http://schemas.openxmlformats.org/officeDocument/2006/relationships/hyperlink" Target="http://estatico.vozpopuli.com/upload/Javier_Ruiz/fmi-desigualdad.jpg" TargetMode="External"/><Relationship Id="rId298" Type="http://schemas.openxmlformats.org/officeDocument/2006/relationships/hyperlink" Target="http://estatico.vozpopuli.com/upload/Javier_Ruiz/ocde-reduccion-desigualdad.jpg" TargetMode="External"/><Relationship Id="rId400" Type="http://schemas.openxmlformats.org/officeDocument/2006/relationships/image" Target="media/image184.jpeg"/><Relationship Id="rId421" Type="http://schemas.openxmlformats.org/officeDocument/2006/relationships/hyperlink" Target="http://www.cotizalia.com/archivos/cz/2013071216danielampliable.jpg" TargetMode="External"/><Relationship Id="rId442" Type="http://schemas.openxmlformats.org/officeDocument/2006/relationships/image" Target="media/image200.jpeg"/><Relationship Id="rId463" Type="http://schemas.openxmlformats.org/officeDocument/2006/relationships/hyperlink" Target="http://s.libertaddigital.com/fotos/noticias/espso7.jpg" TargetMode="External"/><Relationship Id="rId484" Type="http://schemas.openxmlformats.org/officeDocument/2006/relationships/hyperlink" Target="http://www.abc.es/espana/20130531/abci-revilla-oculta-pagos-201305302230.html" TargetMode="External"/><Relationship Id="rId519" Type="http://schemas.openxmlformats.org/officeDocument/2006/relationships/hyperlink" Target="https://diegosanchezdelacruz.wordpress.com/2013/10/13/2013-50-subidas-de-impuestos-en-los-ayuntamientos-espanoles/" TargetMode="External"/><Relationship Id="rId116" Type="http://schemas.openxmlformats.org/officeDocument/2006/relationships/hyperlink" Target="http://www.nytimes.com/2013/08/14/business/economy/careers-of-2-fed-contenders-reveal-little-on-regulatory-approach.html?pagewanted=3" TargetMode="External"/><Relationship Id="rId137" Type="http://schemas.openxmlformats.org/officeDocument/2006/relationships/hyperlink" Target="http://digitalcommons.ilr.cornell.edu/cgi/viewcontent.cgi?article=1731&amp;context=key_workplace&amp;sei-redir=1" TargetMode="External"/><Relationship Id="rId158" Type="http://schemas.openxmlformats.org/officeDocument/2006/relationships/hyperlink" Target="http://www.economist.com/node/21524908" TargetMode="External"/><Relationship Id="rId302" Type="http://schemas.openxmlformats.org/officeDocument/2006/relationships/image" Target="media/image141.jpeg"/><Relationship Id="rId323" Type="http://schemas.openxmlformats.org/officeDocument/2006/relationships/image" Target="media/image152.jpeg"/><Relationship Id="rId344" Type="http://schemas.openxmlformats.org/officeDocument/2006/relationships/hyperlink" Target="http://s.libertaddigital.com/fotos/noticias/futuro_empresas_1.jpg" TargetMode="External"/><Relationship Id="rId530" Type="http://schemas.openxmlformats.org/officeDocument/2006/relationships/hyperlink" Target="http://www.economiadigital.es/es/notices/2013/10/soria_eleva_el_coste_del_proyecto_castor_a_1.700_millones_46188.php" TargetMode="External"/><Relationship Id="rId20" Type="http://schemas.openxmlformats.org/officeDocument/2006/relationships/hyperlink" Target="http://s.libertaddigital.com/fotos/noticias/proba03.jpg" TargetMode="External"/><Relationship Id="rId41" Type="http://schemas.openxmlformats.org/officeDocument/2006/relationships/image" Target="media/image22.jpeg"/><Relationship Id="rId62" Type="http://schemas.openxmlformats.org/officeDocument/2006/relationships/hyperlink" Target="http://www.elblogsalmon.com/economia/la-historia-de-la-deuda-publica-global-y-sus-consecuencias" TargetMode="External"/><Relationship Id="rId83" Type="http://schemas.openxmlformats.org/officeDocument/2006/relationships/image" Target="media/image56.jpeg"/><Relationship Id="rId179" Type="http://schemas.openxmlformats.org/officeDocument/2006/relationships/hyperlink" Target="http://www.federalreserveeducation.org/faq/topics/fed_basics.cfm" TargetMode="External"/><Relationship Id="rId365" Type="http://schemas.openxmlformats.org/officeDocument/2006/relationships/image" Target="media/image171.jpeg"/><Relationship Id="rId386" Type="http://schemas.openxmlformats.org/officeDocument/2006/relationships/image" Target="media/image180.jpeg"/><Relationship Id="rId551" Type="http://schemas.openxmlformats.org/officeDocument/2006/relationships/theme" Target="theme/theme1.xml"/><Relationship Id="rId190" Type="http://schemas.openxmlformats.org/officeDocument/2006/relationships/image" Target="media/image94.jpeg"/><Relationship Id="rId204" Type="http://schemas.openxmlformats.org/officeDocument/2006/relationships/image" Target="media/image104.jpeg"/><Relationship Id="rId225" Type="http://schemas.openxmlformats.org/officeDocument/2006/relationships/hyperlink" Target="http://theeconomiccollapseblog.com/archives/how-can-america-create-wealth-if-our-industrial-base-is-destroyed-50000-manufacturing-jobs-have-been-lost-every-month-since-2001" TargetMode="External"/><Relationship Id="rId246" Type="http://schemas.openxmlformats.org/officeDocument/2006/relationships/hyperlink" Target="http://www.businessinsider.com/america-middle-class-in-decline-2011-4" TargetMode="External"/><Relationship Id="rId267" Type="http://schemas.openxmlformats.org/officeDocument/2006/relationships/image" Target="media/image119.jpeg"/><Relationship Id="rId288" Type="http://schemas.openxmlformats.org/officeDocument/2006/relationships/hyperlink" Target="http://www.fedeablogs.net/economia/wp-content/uploads/Grafico-2.jpg" TargetMode="External"/><Relationship Id="rId411" Type="http://schemas.openxmlformats.org/officeDocument/2006/relationships/image" Target="media/image187.jpeg"/><Relationship Id="rId432" Type="http://schemas.openxmlformats.org/officeDocument/2006/relationships/hyperlink" Target="http://www.libertaddigital.com/opinion/editorial/ue-presupuesto-cero-66503/" TargetMode="External"/><Relationship Id="rId453" Type="http://schemas.openxmlformats.org/officeDocument/2006/relationships/image" Target="media/image211.jpeg"/><Relationship Id="rId474" Type="http://schemas.openxmlformats.org/officeDocument/2006/relationships/hyperlink" Target="http://rsocial.elmundo.orbyt.es/epaper/xml_epaper/El%20Mundo/28_05_2013/pla_11014_Madrid/xml_arts/art_15339570.xml?SHARE=6C23C0F29C6C4F158F7CA6264B48630520AFA9A8A5E7BF50C9570825AB172247E1AD6FED41A559283D328C6E0EA610A42F6F9FDD7DE8BA411E3D53CFB0BC387BF17447F788D7128D19AC52076425CB35D715AA693B8A5E0B4FCD5FCCB2AAB5E4" TargetMode="External"/><Relationship Id="rId509" Type="http://schemas.openxmlformats.org/officeDocument/2006/relationships/image" Target="media/image227.jpeg"/><Relationship Id="rId106" Type="http://schemas.openxmlformats.org/officeDocument/2006/relationships/image" Target="media/image73.jpeg"/><Relationship Id="rId127" Type="http://schemas.openxmlformats.org/officeDocument/2006/relationships/hyperlink" Target="http://www.eumed.net/libros/2007c/320/salarios%20monetarios%20rigidos.htm" TargetMode="External"/><Relationship Id="rId313" Type="http://schemas.openxmlformats.org/officeDocument/2006/relationships/hyperlink" Target="http://estatico.vozpopuli.com/upload/Javier_Ruiz/oit-desigualdad.jpg" TargetMode="External"/><Relationship Id="rId495" Type="http://schemas.openxmlformats.org/officeDocument/2006/relationships/hyperlink" Target="http://epp.eurostat.ec.europa.eu/portal/page/portal/eurostat/home/" TargetMode="External"/><Relationship Id="rId10" Type="http://schemas.openxmlformats.org/officeDocument/2006/relationships/image" Target="media/image4.jpeg"/><Relationship Id="rId31" Type="http://schemas.openxmlformats.org/officeDocument/2006/relationships/image" Target="media/image14.jpeg"/><Relationship Id="rId52" Type="http://schemas.openxmlformats.org/officeDocument/2006/relationships/image" Target="media/image30.png"/><Relationship Id="rId73" Type="http://schemas.openxmlformats.org/officeDocument/2006/relationships/image" Target="media/image46.png"/><Relationship Id="rId94" Type="http://schemas.openxmlformats.org/officeDocument/2006/relationships/image" Target="media/image62.png"/><Relationship Id="rId148" Type="http://schemas.openxmlformats.org/officeDocument/2006/relationships/hyperlink" Target="http://www.businessinsider.com/mysterious-activity-causes-stock-swings-2012-10" TargetMode="External"/><Relationship Id="rId169" Type="http://schemas.openxmlformats.org/officeDocument/2006/relationships/hyperlink" Target="http://en.wikipedia.org/wiki/Revenue_Act_of_1913" TargetMode="External"/><Relationship Id="rId334" Type="http://schemas.openxmlformats.org/officeDocument/2006/relationships/hyperlink" Target="http://www.fedeablogs.net/economia/?author=16" TargetMode="External"/><Relationship Id="rId355" Type="http://schemas.openxmlformats.org/officeDocument/2006/relationships/hyperlink" Target="http://www.futuretech.ox.ac.uk/sites/futuretech.ox.ac.uk/files/The_Future_of_Employment_OMS_Working_Paper_1.pdf" TargetMode="External"/><Relationship Id="rId376" Type="http://schemas.openxmlformats.org/officeDocument/2006/relationships/hyperlink" Target="http://www.elconfidencial.com/espana/2013-12-14/mueren-intoxicados-una-nina-y-sus-padres-que-se-alimentaban-de-comida-caducada_66541/" TargetMode="External"/><Relationship Id="rId397" Type="http://schemas.openxmlformats.org/officeDocument/2006/relationships/hyperlink" Target="http://greece.greekreporter.com/2012/10/08/businessman-in-tsochatzopoulos-case-found-dead/" TargetMode="External"/><Relationship Id="rId520" Type="http://schemas.openxmlformats.org/officeDocument/2006/relationships/hyperlink" Target="http://diegosanchezdelacruz.wordpress.com/2013/08/19/el-infierno-fiscal-de-las-autonomias-120-nuevos-impuestos-y-tasas/" TargetMode="External"/><Relationship Id="rId541" Type="http://schemas.openxmlformats.org/officeDocument/2006/relationships/hyperlink" Target="http://www.libertaddigital.com/personajes/luis-de-guindos/" TargetMode="External"/><Relationship Id="rId4" Type="http://schemas.microsoft.com/office/2007/relationships/stylesWithEffects" Target="stylesWithEffects.xml"/><Relationship Id="rId180" Type="http://schemas.openxmlformats.org/officeDocument/2006/relationships/hyperlink" Target="http://www.federalreserveeducation.org/faq/topics/fed_basics.cfm" TargetMode="External"/><Relationship Id="rId215" Type="http://schemas.openxmlformats.org/officeDocument/2006/relationships/image" Target="media/image110.jpeg"/><Relationship Id="rId236" Type="http://schemas.openxmlformats.org/officeDocument/2006/relationships/hyperlink" Target="http://www.businessinsider.com/facts-about-inequality-in-america-2011-11" TargetMode="External"/><Relationship Id="rId257" Type="http://schemas.openxmlformats.org/officeDocument/2006/relationships/hyperlink" Target="http://www.usnews.com/opinion/mzuckerman/articles/2011/01/27/housing-crisis-represents-the-greatest-threat-to-the-recovery" TargetMode="External"/><Relationship Id="rId278" Type="http://schemas.openxmlformats.org/officeDocument/2006/relationships/image" Target="media/image127.jpeg"/><Relationship Id="rId401" Type="http://schemas.openxmlformats.org/officeDocument/2006/relationships/hyperlink" Target="http://www.uic.org/IMG/pdf/20120701_a1_high_speed_lines_in_the_world.pdf" TargetMode="External"/><Relationship Id="rId422" Type="http://schemas.openxmlformats.org/officeDocument/2006/relationships/image" Target="media/image194.jpeg"/><Relationship Id="rId443" Type="http://schemas.openxmlformats.org/officeDocument/2006/relationships/image" Target="media/image201.jpeg"/><Relationship Id="rId464" Type="http://schemas.openxmlformats.org/officeDocument/2006/relationships/image" Target="media/image220.jpeg"/><Relationship Id="rId303" Type="http://schemas.openxmlformats.org/officeDocument/2006/relationships/image" Target="media/image142.jpeg"/><Relationship Id="rId485" Type="http://schemas.openxmlformats.org/officeDocument/2006/relationships/hyperlink" Target="http://www.abc.es/espana/20130602/abci-informe-enchufe-malaga-201306021520.html" TargetMode="External"/><Relationship Id="rId42" Type="http://schemas.openxmlformats.org/officeDocument/2006/relationships/hyperlink" Target="http://blogs.cincodias.com/.a/6a00d8341c760153ef014e87d8a5b4970d-pi" TargetMode="External"/><Relationship Id="rId84" Type="http://schemas.openxmlformats.org/officeDocument/2006/relationships/image" Target="media/image57.jpeg"/><Relationship Id="rId138" Type="http://schemas.openxmlformats.org/officeDocument/2006/relationships/hyperlink" Target="http://www.imf.org/external/pubs/ft/reo/2011/APD/eng/areo0411.htm" TargetMode="External"/><Relationship Id="rId345" Type="http://schemas.openxmlformats.org/officeDocument/2006/relationships/image" Target="media/image161.jpeg"/><Relationship Id="rId387" Type="http://schemas.openxmlformats.org/officeDocument/2006/relationships/image" Target="media/image181.png"/><Relationship Id="rId510" Type="http://schemas.openxmlformats.org/officeDocument/2006/relationships/hyperlink" Target="https://twitter.com/Absolutexe" TargetMode="External"/><Relationship Id="rId191" Type="http://schemas.openxmlformats.org/officeDocument/2006/relationships/image" Target="media/image95.jpeg"/><Relationship Id="rId205" Type="http://schemas.openxmlformats.org/officeDocument/2006/relationships/image" Target="media/image105.jpeg"/><Relationship Id="rId247" Type="http://schemas.openxmlformats.org/officeDocument/2006/relationships/hyperlink" Target="http://endoftheamericandream.com/archives/the-royal-wedding-american-idol-dancing-with-the-stars-and-7-other-ways-that-the-american-people-are-being-distracted-from-our-real-problems" TargetMode="External"/><Relationship Id="rId412" Type="http://schemas.openxmlformats.org/officeDocument/2006/relationships/image" Target="media/image188.jpeg"/><Relationship Id="rId107" Type="http://schemas.openxmlformats.org/officeDocument/2006/relationships/image" Target="media/image74.jpeg"/><Relationship Id="rId289" Type="http://schemas.openxmlformats.org/officeDocument/2006/relationships/image" Target="media/image133.jpeg"/><Relationship Id="rId454" Type="http://schemas.openxmlformats.org/officeDocument/2006/relationships/image" Target="media/image212.png"/><Relationship Id="rId496" Type="http://schemas.openxmlformats.org/officeDocument/2006/relationships/image" Target="media/image223.jpeg"/><Relationship Id="rId11" Type="http://schemas.openxmlformats.org/officeDocument/2006/relationships/image" Target="media/image5.jpeg"/><Relationship Id="rId53" Type="http://schemas.openxmlformats.org/officeDocument/2006/relationships/image" Target="media/image31.png"/><Relationship Id="rId149" Type="http://schemas.openxmlformats.org/officeDocument/2006/relationships/hyperlink" Target="http://en.wikipedia.org/wiki/Flash_trading" TargetMode="External"/><Relationship Id="rId314" Type="http://schemas.openxmlformats.org/officeDocument/2006/relationships/image" Target="media/image148.jpeg"/><Relationship Id="rId356" Type="http://schemas.openxmlformats.org/officeDocument/2006/relationships/hyperlink" Target="http://www.resolutionfoundation.org/media/media/downloads/A_polarising_crisis.pdf" TargetMode="External"/><Relationship Id="rId398" Type="http://schemas.openxmlformats.org/officeDocument/2006/relationships/hyperlink" Target="http://www.guardian.co.uk/commentisfree/2012/oct/30/greece-democracy-hot-doc-lagarde-list" TargetMode="External"/><Relationship Id="rId521" Type="http://schemas.openxmlformats.org/officeDocument/2006/relationships/hyperlink" Target="http://diegosanchezdelacruz.wordpress.com/2013/10/13/creatividad-tributaria-las-ccaas-se-inventan-42-nuevos-impuestos/" TargetMode="External"/><Relationship Id="rId95" Type="http://schemas.openxmlformats.org/officeDocument/2006/relationships/image" Target="media/image63.png"/><Relationship Id="rId160" Type="http://schemas.openxmlformats.org/officeDocument/2006/relationships/hyperlink" Target="http://www.forbes.com/sites/mikepatton/2013/01/23/the-demise-of-the-middle-class/" TargetMode="External"/><Relationship Id="rId216" Type="http://schemas.openxmlformats.org/officeDocument/2006/relationships/hyperlink" Target="http://theeconomiccollapseblog.com/archives/how-to-find-a-job-just-be-willing-to-flip-burgers-and-work-for-minimum-wage" TargetMode="External"/><Relationship Id="rId423" Type="http://schemas.openxmlformats.org/officeDocument/2006/relationships/hyperlink" Target="http://www.libertaddigital.com/organismos/union-europea/" TargetMode="External"/><Relationship Id="rId258" Type="http://schemas.openxmlformats.org/officeDocument/2006/relationships/image" Target="media/image113.jpeg"/><Relationship Id="rId465" Type="http://schemas.openxmlformats.org/officeDocument/2006/relationships/hyperlink" Target="http://diegosanchezdelacruz.wordpress.com/2013/05/09/la-falsa-austeridad-de-las-ccaas-gastan-mas-en-2012-que-en-plena-burbuja/" TargetMode="External"/><Relationship Id="rId22" Type="http://schemas.openxmlformats.org/officeDocument/2006/relationships/hyperlink" Target="http://s.libertaddigital.com/fotos/noticias/proba01.jpg" TargetMode="External"/><Relationship Id="rId64" Type="http://schemas.openxmlformats.org/officeDocument/2006/relationships/image" Target="media/image39.jpeg"/><Relationship Id="rId118" Type="http://schemas.openxmlformats.org/officeDocument/2006/relationships/hyperlink" Target="http://www.elconfidencial.com/mercados/2013-11-14/la-candidata-yellen-defiende-hoy-sus-credenciales-para-presidir-la-reserva-federal_53923/" TargetMode="External"/><Relationship Id="rId325" Type="http://schemas.openxmlformats.org/officeDocument/2006/relationships/image" Target="media/image153.jpeg"/><Relationship Id="rId367" Type="http://schemas.openxmlformats.org/officeDocument/2006/relationships/hyperlink" Target="http://familyinequality.wordpress.com/" TargetMode="External"/><Relationship Id="rId532" Type="http://schemas.openxmlformats.org/officeDocument/2006/relationships/hyperlink" Target="http://www.airm.es/index.php" TargetMode="External"/><Relationship Id="rId171" Type="http://schemas.openxmlformats.org/officeDocument/2006/relationships/hyperlink" Target="http://theeconomiccollapseblog.com/archives/farewell-bernanke-thanks-for-inflating-the-biggest-bond-bubble-the-world-has-ever-seen" TargetMode="External"/><Relationship Id="rId227" Type="http://schemas.openxmlformats.org/officeDocument/2006/relationships/hyperlink" Target="http://news.yahoo.com/s/csm/20110430/ts_csm/380688;_ylt=AqXwkwRZLDvPvg6LCeKUucEUewgF;_ylu=X3oDMTJwdmNnbmE3BGFzc2V0A2NzbS8yMDExMDQzMC8zODA2ODgEY2NvZGUDb2ZmZ2I1MGsEY3BvcwM3BHBvcwM3BHNlYwN5bl90b3Bfc3RvcmllcwRzbGsDZ2Fzb2xpbmVwcmlj" TargetMode="External"/><Relationship Id="rId269" Type="http://schemas.openxmlformats.org/officeDocument/2006/relationships/image" Target="media/image121.jpeg"/><Relationship Id="rId434" Type="http://schemas.openxmlformats.org/officeDocument/2006/relationships/hyperlink" Target="http://blogs.elconfidencial.com/economia/apuntes-de-enerconomia/2013-09-03/snowden-el-soldado-manning-y-las-cloacas-de-la-democracia_23816/" TargetMode="External"/><Relationship Id="rId476" Type="http://schemas.openxmlformats.org/officeDocument/2006/relationships/hyperlink" Target="http://www.20minutos.es/noticia/1829700/0/pabellon-catalan/bienal-venecia/mas-caro-espanol/" TargetMode="External"/><Relationship Id="rId33" Type="http://schemas.openxmlformats.org/officeDocument/2006/relationships/image" Target="media/image15.png"/><Relationship Id="rId129" Type="http://schemas.openxmlformats.org/officeDocument/2006/relationships/hyperlink" Target="http://www.ilo.org/wcmsp5/groups/public/@dgreports/@dcomm/@publ/documents/publication/wcms_146710.pdf" TargetMode="External"/><Relationship Id="rId280" Type="http://schemas.openxmlformats.org/officeDocument/2006/relationships/hyperlink" Target="http://www.fedeablogs.net/economia/wp-content/uploads/GINI7.jpg" TargetMode="External"/><Relationship Id="rId336" Type="http://schemas.openxmlformats.org/officeDocument/2006/relationships/hyperlink" Target="http://faculty.chicagobooth.edu/loukas.karabarbounis/index.html" TargetMode="External"/><Relationship Id="rId501" Type="http://schemas.openxmlformats.org/officeDocument/2006/relationships/image" Target="media/image225.jpeg"/><Relationship Id="rId543" Type="http://schemas.openxmlformats.org/officeDocument/2006/relationships/hyperlink" Target="http://www.libertaddigital.com/organismos/ugt/" TargetMode="External"/><Relationship Id="rId75" Type="http://schemas.openxmlformats.org/officeDocument/2006/relationships/image" Target="media/image48.jpeg"/><Relationship Id="rId140" Type="http://schemas.openxmlformats.org/officeDocument/2006/relationships/hyperlink" Target="http://www.verizon.com/" TargetMode="External"/><Relationship Id="rId182" Type="http://schemas.openxmlformats.org/officeDocument/2006/relationships/hyperlink" Target="http://dallasfed.org/assets/documents/fed/annual/2011/ar11.pdf" TargetMode="External"/><Relationship Id="rId378" Type="http://schemas.openxmlformats.org/officeDocument/2006/relationships/hyperlink" Target="http://ec.europa.eu/economy_finance/publications/european_economy/2011/pdf/ee-2011-6_en.pdf" TargetMode="External"/><Relationship Id="rId403" Type="http://schemas.openxmlformats.org/officeDocument/2006/relationships/image" Target="media/image185.jpeg"/><Relationship Id="rId6" Type="http://schemas.openxmlformats.org/officeDocument/2006/relationships/webSettings" Target="webSettings.xml"/><Relationship Id="rId238" Type="http://schemas.openxmlformats.org/officeDocument/2006/relationships/hyperlink" Target="http://www.economyincrisis.org/content/ceo-pay-now-343-times-higher-average-american" TargetMode="External"/><Relationship Id="rId445" Type="http://schemas.openxmlformats.org/officeDocument/2006/relationships/image" Target="media/image203.jpeg"/><Relationship Id="rId487" Type="http://schemas.openxmlformats.org/officeDocument/2006/relationships/hyperlink" Target="javascript:void(0);" TargetMode="External"/><Relationship Id="rId291" Type="http://schemas.openxmlformats.org/officeDocument/2006/relationships/image" Target="media/image134.jpeg"/><Relationship Id="rId305" Type="http://schemas.openxmlformats.org/officeDocument/2006/relationships/hyperlink" Target="http://s.libertaddigital.com/fotos/noticias/PABDE2.jpg" TargetMode="External"/><Relationship Id="rId347" Type="http://schemas.openxmlformats.org/officeDocument/2006/relationships/image" Target="media/image162.jpeg"/><Relationship Id="rId512" Type="http://schemas.openxmlformats.org/officeDocument/2006/relationships/hyperlink" Target="http://www.libremercado.com/2013-09-30/el-gasto-total-crecera-en-15000-millones-en-los-pge-de-2014-1276500633/" TargetMode="External"/><Relationship Id="rId44" Type="http://schemas.openxmlformats.org/officeDocument/2006/relationships/hyperlink" Target="http://www.cotizalia.com/publicador_perlas_kike/fotos/2011052576f1.jpg" TargetMode="External"/><Relationship Id="rId86" Type="http://schemas.openxmlformats.org/officeDocument/2006/relationships/hyperlink" Target="http://www.imf.org/external/pubs/ft/weo/2012/02/pdf/c3.pdf" TargetMode="External"/><Relationship Id="rId151" Type="http://schemas.openxmlformats.org/officeDocument/2006/relationships/hyperlink" Target="http://www.businessweek.com/news/2012-10-03/sec-charges-dark-pool-operator-for-sharing-confidential-data" TargetMode="External"/><Relationship Id="rId389" Type="http://schemas.openxmlformats.org/officeDocument/2006/relationships/hyperlink" Target="http://www.levin.senate.gov/newsroom/press/release/hsbc-exposed-us-financial-system-to-money-laundering-drug-terrorist-financing-risks" TargetMode="External"/><Relationship Id="rId193" Type="http://schemas.openxmlformats.org/officeDocument/2006/relationships/image" Target="media/image97.jpeg"/><Relationship Id="rId207" Type="http://schemas.openxmlformats.org/officeDocument/2006/relationships/image" Target="media/image106.jpeg"/><Relationship Id="rId249" Type="http://schemas.openxmlformats.org/officeDocument/2006/relationships/hyperlink" Target="http://endoftheamericandream.com/archives/broke-and-getting-broker-22-jaw-dropping-statistics-about-the-financial-condition-of-american-families" TargetMode="External"/><Relationship Id="rId414" Type="http://schemas.openxmlformats.org/officeDocument/2006/relationships/image" Target="media/image189.jpeg"/><Relationship Id="rId456" Type="http://schemas.openxmlformats.org/officeDocument/2006/relationships/image" Target="media/image214.jpeg"/><Relationship Id="rId498" Type="http://schemas.openxmlformats.org/officeDocument/2006/relationships/hyperlink" Target="http://www.libremercado.com/2013-08-25/las-ccaa-mantienen-intacta-su-administracion-paralela-durante-la-crisis-1276497927/" TargetMode="External"/><Relationship Id="rId13" Type="http://schemas.openxmlformats.org/officeDocument/2006/relationships/hyperlink" Target="http://www.fedeablogs.net/economia/wp-content/uploads/18.jpg" TargetMode="External"/><Relationship Id="rId109" Type="http://schemas.openxmlformats.org/officeDocument/2006/relationships/image" Target="media/image76.jpeg"/><Relationship Id="rId260" Type="http://schemas.openxmlformats.org/officeDocument/2006/relationships/image" Target="media/image115.jpeg"/><Relationship Id="rId316" Type="http://schemas.openxmlformats.org/officeDocument/2006/relationships/hyperlink" Target="http://s.libertaddigital.com/fotos/noticias/ninis001.jpg" TargetMode="External"/><Relationship Id="rId523" Type="http://schemas.openxmlformats.org/officeDocument/2006/relationships/hyperlink" Target="http://www.libremercado.com/2013-10-18/faes-propone-frenar-las-renovables-eliminar-las-primas-y-reactivar-las-nucleares-1276502039/" TargetMode="External"/><Relationship Id="rId55" Type="http://schemas.openxmlformats.org/officeDocument/2006/relationships/image" Target="media/image33.png"/><Relationship Id="rId97" Type="http://schemas.openxmlformats.org/officeDocument/2006/relationships/image" Target="media/image65.jpeg"/><Relationship Id="rId120" Type="http://schemas.openxmlformats.org/officeDocument/2006/relationships/hyperlink" Target="http://ca.finance.yahoo.com/news/nobel-economics-winner-fama-says-risk-global-recession-120234054--sector.html" TargetMode="External"/><Relationship Id="rId358" Type="http://schemas.openxmlformats.org/officeDocument/2006/relationships/image" Target="media/image166.jpeg"/><Relationship Id="rId162" Type="http://schemas.openxmlformats.org/officeDocument/2006/relationships/hyperlink" Target="http://theeconomiccollapseblog.com/archives/the-biggest-ponzi-scheme-in-the-history-of-the-world" TargetMode="External"/><Relationship Id="rId218" Type="http://schemas.openxmlformats.org/officeDocument/2006/relationships/image" Target="media/image111.png"/><Relationship Id="rId425" Type="http://schemas.openxmlformats.org/officeDocument/2006/relationships/hyperlink" Target="http://ec.europa.eu/dgs/communication/contracts-and-grants/contracts/documents/po_2012_09_a6/1-tender-specs_en.pdf" TargetMode="External"/><Relationship Id="rId467" Type="http://schemas.openxmlformats.org/officeDocument/2006/relationships/hyperlink" Target="http://vozpopuli.com/economia/23193-las-ccaa-vuelven-a-pedir-fondos-tienen-facturas-sin-pagar-por-mas-de-10-300-millones" TargetMode="External"/><Relationship Id="rId271" Type="http://schemas.openxmlformats.org/officeDocument/2006/relationships/hyperlink" Target="http://www.eleconomista.es/economia/noticias/3731848/02/12/El-lado-oscuro-del-milagro-laboral-aleman-siete-millones-de-minijobs-y-sueldos-de-50-centimos-por-hora.html" TargetMode="External"/><Relationship Id="rId24" Type="http://schemas.openxmlformats.org/officeDocument/2006/relationships/hyperlink" Target="http://ec.europa.eu/economy_finance/publications/economic_paper/2013/pdf/ecp478_en.pdf" TargetMode="External"/><Relationship Id="rId66" Type="http://schemas.openxmlformats.org/officeDocument/2006/relationships/image" Target="media/image40.jpeg"/><Relationship Id="rId131" Type="http://schemas.openxmlformats.org/officeDocument/2006/relationships/hyperlink" Target="http://www.epi.org/publications/entry/webfeatures_econindicators_income_20080826/" TargetMode="External"/><Relationship Id="rId327" Type="http://schemas.openxmlformats.org/officeDocument/2006/relationships/image" Target="media/image154.png"/><Relationship Id="rId369" Type="http://schemas.openxmlformats.org/officeDocument/2006/relationships/hyperlink" Target="http://www.eleconomista.es/internacional/noticias/3874003/04/12/Grecia-un-jubilado-se-suicida-ante-el-Parlamento-por-dificultades-economicas.html" TargetMode="External"/><Relationship Id="rId534" Type="http://schemas.openxmlformats.org/officeDocument/2006/relationships/hyperlink" Target="http://www20.gencat.cat/docs/economia/80_ACCO/Documents/Arxius/Actuacions/callforpapers_programa_presentacions.pdf" TargetMode="External"/><Relationship Id="rId173" Type="http://schemas.openxmlformats.org/officeDocument/2006/relationships/hyperlink" Target="http://www.scribd.com/doc/60553686/GAO-Fed-Investigation" TargetMode="External"/><Relationship Id="rId229" Type="http://schemas.openxmlformats.org/officeDocument/2006/relationships/hyperlink" Target="http://www.cnbc.com/id/42704213" TargetMode="External"/><Relationship Id="rId380" Type="http://schemas.openxmlformats.org/officeDocument/2006/relationships/image" Target="media/image177.jpeg"/><Relationship Id="rId436" Type="http://schemas.openxmlformats.org/officeDocument/2006/relationships/image" Target="media/image196.jpeg"/><Relationship Id="rId240" Type="http://schemas.openxmlformats.org/officeDocument/2006/relationships/hyperlink" Target="http://money.msn.com/tax-tips/post.aspx?post=63c403d6-0a2f-4506-a8b8-25124d49889b" TargetMode="External"/><Relationship Id="rId478" Type="http://schemas.openxmlformats.org/officeDocument/2006/relationships/hyperlink" Target="http://www.libremercado.com/2013-06-03/grinan-regala-400-millones-para-playas-en-el-salvador-y-digitalizar-cine-cubano-1276491839/" TargetMode="External"/><Relationship Id="rId35" Type="http://schemas.openxmlformats.org/officeDocument/2006/relationships/image" Target="media/image16.jpeg"/><Relationship Id="rId77" Type="http://schemas.openxmlformats.org/officeDocument/2006/relationships/image" Target="media/image50.jpeg"/><Relationship Id="rId100" Type="http://schemas.openxmlformats.org/officeDocument/2006/relationships/image" Target="media/image68.png"/><Relationship Id="rId282" Type="http://schemas.openxmlformats.org/officeDocument/2006/relationships/hyperlink" Target="http://www.fedeablogs.net/economia/wp-content/uploads/Polarizaci&#243;n5.jpg" TargetMode="External"/><Relationship Id="rId338" Type="http://schemas.openxmlformats.org/officeDocument/2006/relationships/hyperlink" Target="http://www.fedeablogs.net/economia/wp-content/uploads/globalshare.png" TargetMode="External"/><Relationship Id="rId503" Type="http://schemas.openxmlformats.org/officeDocument/2006/relationships/hyperlink" Target="http://www.ingentaconnect.com/content/lse/jtep/2007/00000041/00000001/art00002" TargetMode="External"/><Relationship Id="rId545" Type="http://schemas.openxmlformats.org/officeDocument/2006/relationships/hyperlink" Target="http://www.libertaddigital.com/empresas/aena/" TargetMode="External"/><Relationship Id="rId8" Type="http://schemas.openxmlformats.org/officeDocument/2006/relationships/image" Target="media/image2.jpeg"/><Relationship Id="rId142" Type="http://schemas.openxmlformats.org/officeDocument/2006/relationships/hyperlink" Target="http://publicampaign.org/sites/default/files/ReportTaxDodgerLobbyingDec6Final_rev.pdf" TargetMode="External"/><Relationship Id="rId184" Type="http://schemas.openxmlformats.org/officeDocument/2006/relationships/hyperlink" Target="http://theeconomiccollapseblog.com/archives/where-does-money-come-from-the-giant-federal-reserve-scam-that-most-americans-do-not-understand" TargetMode="External"/><Relationship Id="rId391" Type="http://schemas.openxmlformats.org/officeDocument/2006/relationships/hyperlink" Target="http://www.guardian.co.uk/business/2012/may/29/christine-lagarde-pays-no-tax" TargetMode="External"/><Relationship Id="rId405" Type="http://schemas.openxmlformats.org/officeDocument/2006/relationships/hyperlink" Target="http://www.ingentaconnect.com/content/lse/jtep/2007/00000041/00000001/art00002" TargetMode="External"/><Relationship Id="rId447" Type="http://schemas.openxmlformats.org/officeDocument/2006/relationships/image" Target="media/image205.png"/><Relationship Id="rId251" Type="http://schemas.openxmlformats.org/officeDocument/2006/relationships/hyperlink" Target="http://money.cnn.com/2011/02/24/real_estate/january_new_home_sales/index.htm?iid=EL" TargetMode="External"/><Relationship Id="rId489" Type="http://schemas.openxmlformats.org/officeDocument/2006/relationships/hyperlink" Target="http://www.eleconomista.es/interstitial/volver/directm12/economia/noticias/4916144/06/13/Mas-de-400000-empleados-publicos-escapan-a-los-registros-de-Hacienda-.html" TargetMode="External"/><Relationship Id="rId46" Type="http://schemas.openxmlformats.org/officeDocument/2006/relationships/image" Target="media/image25.jpeg"/><Relationship Id="rId293" Type="http://schemas.openxmlformats.org/officeDocument/2006/relationships/image" Target="media/image135.jpeg"/><Relationship Id="rId307" Type="http://schemas.openxmlformats.org/officeDocument/2006/relationships/hyperlink" Target="http://s.libertaddigital.com/fotos/noticias/PABDE3.jpg" TargetMode="External"/><Relationship Id="rId349" Type="http://schemas.openxmlformats.org/officeDocument/2006/relationships/image" Target="media/image163.jpeg"/><Relationship Id="rId514" Type="http://schemas.openxmlformats.org/officeDocument/2006/relationships/hyperlink" Target="http://diego-sanchez-de-la-cruz.libremercado.com/2013/09/27/montoro-frente-a-la-curva-de-laffer/" TargetMode="External"/><Relationship Id="rId88" Type="http://schemas.openxmlformats.org/officeDocument/2006/relationships/image" Target="media/image58.jpeg"/><Relationship Id="rId111" Type="http://schemas.openxmlformats.org/officeDocument/2006/relationships/image" Target="media/image78.png"/><Relationship Id="rId153" Type="http://schemas.openxmlformats.org/officeDocument/2006/relationships/hyperlink" Target="http://www.foxbusiness.com/news/2013/04/16/us-stock-exchanges-call-for-new-rules-on-dark-pools/" TargetMode="External"/><Relationship Id="rId195" Type="http://schemas.openxmlformats.org/officeDocument/2006/relationships/hyperlink" Target="http://s.libertaddigital.com/fotos/noticias/universitarios_6.jpg" TargetMode="External"/><Relationship Id="rId209" Type="http://schemas.openxmlformats.org/officeDocument/2006/relationships/image" Target="media/image107.jpeg"/><Relationship Id="rId360" Type="http://schemas.openxmlformats.org/officeDocument/2006/relationships/image" Target="media/image168.jpeg"/><Relationship Id="rId416" Type="http://schemas.openxmlformats.org/officeDocument/2006/relationships/image" Target="media/image19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B9CF25-A9D2-45F2-B40F-628BE6399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270</Pages>
  <Words>100921</Words>
  <Characters>555070</Characters>
  <Application>Microsoft Office Word</Application>
  <DocSecurity>0</DocSecurity>
  <Lines>4625</Lines>
  <Paragraphs>1309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654682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2014-02-17T13:33:00Z</dcterms:created>
  <dcterms:modified xsi:type="dcterms:W3CDTF">2014-02-17T13:33:00Z</dcterms:modified>
</cp:coreProperties>
</file>